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D5" w:rsidRPr="009B5E75" w:rsidRDefault="000062D5" w:rsidP="00C1459C">
      <w:pPr>
        <w:jc w:val="center"/>
        <w:rPr>
          <w:rFonts w:cs="Arial"/>
          <w:sz w:val="22"/>
          <w:szCs w:val="22"/>
          <w:lang w:val="en-CA"/>
        </w:rPr>
      </w:pPr>
      <w:bookmarkStart w:id="0" w:name="_GoBack"/>
      <w:bookmarkEnd w:id="0"/>
    </w:p>
    <w:p w:rsidR="000062D5" w:rsidRPr="009B5E75" w:rsidRDefault="000062D5" w:rsidP="00C1459C">
      <w:pPr>
        <w:jc w:val="center"/>
        <w:rPr>
          <w:rFonts w:cs="Arial"/>
          <w:sz w:val="22"/>
          <w:szCs w:val="22"/>
          <w:lang w:val="en-CA"/>
        </w:rPr>
      </w:pPr>
    </w:p>
    <w:p w:rsidR="000062D5" w:rsidRPr="009B5E75" w:rsidRDefault="000062D5" w:rsidP="00C1459C">
      <w:pPr>
        <w:jc w:val="center"/>
        <w:rPr>
          <w:rFonts w:cs="Arial"/>
          <w:sz w:val="22"/>
          <w:szCs w:val="22"/>
          <w:lang w:val="en-CA"/>
        </w:rPr>
      </w:pPr>
    </w:p>
    <w:p w:rsidR="000062D5" w:rsidRPr="009B5E75" w:rsidRDefault="000062D5" w:rsidP="00C1459C">
      <w:pPr>
        <w:jc w:val="center"/>
        <w:rPr>
          <w:rFonts w:cs="Arial"/>
          <w:sz w:val="22"/>
          <w:szCs w:val="22"/>
          <w:lang w:val="en-CA"/>
        </w:rPr>
      </w:pPr>
    </w:p>
    <w:p w:rsidR="000062D5" w:rsidRPr="009B5E75" w:rsidRDefault="000062D5" w:rsidP="00C1459C">
      <w:pPr>
        <w:jc w:val="center"/>
        <w:rPr>
          <w:rFonts w:cs="Arial"/>
          <w:sz w:val="22"/>
          <w:szCs w:val="22"/>
          <w:lang w:val="en-CA"/>
        </w:rPr>
      </w:pPr>
    </w:p>
    <w:p w:rsidR="000062D5" w:rsidRPr="009B5E75" w:rsidRDefault="00E417F9" w:rsidP="000062D5">
      <w:pPr>
        <w:rPr>
          <w:rFonts w:cs="Arial"/>
          <w:sz w:val="22"/>
          <w:szCs w:val="22"/>
          <w:lang w:val="en-CA"/>
        </w:rPr>
      </w:pPr>
      <w:r>
        <w:rPr>
          <w:rFonts w:cs="Arial"/>
          <w:noProof/>
          <w:sz w:val="22"/>
          <w:szCs w:val="22"/>
        </w:rPr>
        <mc:AlternateContent>
          <mc:Choice Requires="wps">
            <w:drawing>
              <wp:anchor distT="4294967295" distB="4294967295" distL="114300" distR="114300" simplePos="0" relativeHeight="251658240" behindDoc="0" locked="0" layoutInCell="1" allowOverlap="1">
                <wp:simplePos x="0" y="0"/>
                <wp:positionH relativeFrom="margin">
                  <wp:posOffset>0</wp:posOffset>
                </wp:positionH>
                <wp:positionV relativeFrom="paragraph">
                  <wp:posOffset>-3176</wp:posOffset>
                </wp:positionV>
                <wp:extent cx="5943600" cy="0"/>
                <wp:effectExtent l="0" t="19050" r="19050" b="3810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0"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" strokecolor="#020000" strokeweight="4.8pt">
                <v:stroke linestyle="thinThin"/>
                <w10:wrap anchorx="margin"/>
              </v:line>
            </w:pict>
          </mc:Fallback>
        </mc:AlternateContent>
      </w:r>
    </w:p>
    <w:p w:rsidR="000062D5" w:rsidRPr="0062218F" w:rsidRDefault="00C1459C" w:rsidP="000062D5">
      <w:pPr>
        <w:rPr>
          <w:rFonts w:cs="Arial"/>
          <w:b/>
          <w:bCs/>
          <w:sz w:val="36"/>
          <w:szCs w:val="36"/>
        </w:rPr>
      </w:pPr>
      <w:r w:rsidRPr="0062218F">
        <w:rPr>
          <w:rFonts w:cs="Arial"/>
          <w:b/>
          <w:bCs/>
          <w:sz w:val="36"/>
          <w:szCs w:val="36"/>
        </w:rPr>
        <w:t>Draft Regulatory Analysis</w:t>
      </w:r>
      <w:r w:rsidR="000062D5" w:rsidRPr="0062218F">
        <w:rPr>
          <w:rFonts w:cs="Arial"/>
          <w:b/>
          <w:bCs/>
          <w:sz w:val="36"/>
          <w:szCs w:val="36"/>
        </w:rPr>
        <w:t xml:space="preserve"> for </w:t>
      </w:r>
      <w:r w:rsidR="003C6E0D" w:rsidRPr="0062218F">
        <w:rPr>
          <w:rFonts w:cs="Arial"/>
          <w:b/>
          <w:bCs/>
          <w:sz w:val="36"/>
          <w:szCs w:val="36"/>
        </w:rPr>
        <w:t>Proposed Rule:</w:t>
      </w:r>
    </w:p>
    <w:p w:rsidR="00C1459C" w:rsidRPr="0062218F" w:rsidRDefault="006C2094" w:rsidP="006C2094">
      <w:pPr>
        <w:rPr>
          <w:rFonts w:cs="Arial"/>
          <w:b/>
          <w:bCs/>
          <w:sz w:val="36"/>
          <w:szCs w:val="36"/>
        </w:rPr>
      </w:pPr>
      <w:r w:rsidRPr="006C2094">
        <w:rPr>
          <w:rFonts w:cs="Arial"/>
          <w:b/>
          <w:bCs/>
          <w:sz w:val="36"/>
          <w:szCs w:val="36"/>
        </w:rPr>
        <w:t xml:space="preserve">Amendments to Material Control and Accounting Regulations </w:t>
      </w:r>
      <w:r w:rsidR="00C1459C" w:rsidRPr="0062218F">
        <w:rPr>
          <w:rFonts w:cs="Arial"/>
          <w:b/>
          <w:bCs/>
          <w:sz w:val="36"/>
          <w:szCs w:val="36"/>
        </w:rPr>
        <w:t>(</w:t>
      </w:r>
      <w:r w:rsidR="00AA21AA" w:rsidRPr="0062218F">
        <w:rPr>
          <w:rFonts w:cs="Arial"/>
          <w:b/>
          <w:bCs/>
          <w:sz w:val="36"/>
          <w:szCs w:val="36"/>
        </w:rPr>
        <w:t>1</w:t>
      </w:r>
      <w:r w:rsidR="00C1459C" w:rsidRPr="0062218F">
        <w:rPr>
          <w:rFonts w:cs="Arial"/>
          <w:b/>
          <w:bCs/>
          <w:sz w:val="36"/>
          <w:szCs w:val="36"/>
        </w:rPr>
        <w:t xml:space="preserve">0 CFR </w:t>
      </w:r>
      <w:r w:rsidR="003B30DC">
        <w:rPr>
          <w:rFonts w:cs="Arial"/>
          <w:b/>
          <w:bCs/>
          <w:sz w:val="36"/>
          <w:szCs w:val="36"/>
        </w:rPr>
        <w:t>part</w:t>
      </w:r>
      <w:r w:rsidR="00C1459C" w:rsidRPr="0062218F">
        <w:rPr>
          <w:rFonts w:cs="Arial"/>
          <w:b/>
          <w:bCs/>
          <w:sz w:val="36"/>
          <w:szCs w:val="36"/>
        </w:rPr>
        <w:t xml:space="preserve"> </w:t>
      </w:r>
      <w:r>
        <w:rPr>
          <w:rFonts w:cs="Arial"/>
          <w:b/>
          <w:bCs/>
          <w:sz w:val="36"/>
          <w:szCs w:val="36"/>
        </w:rPr>
        <w:t>74</w:t>
      </w:r>
      <w:r w:rsidR="00AA21AA" w:rsidRPr="0062218F">
        <w:rPr>
          <w:rFonts w:cs="Arial"/>
          <w:b/>
          <w:bCs/>
          <w:sz w:val="36"/>
          <w:szCs w:val="36"/>
        </w:rPr>
        <w:t>)</w:t>
      </w:r>
    </w:p>
    <w:p w:rsidR="00C1459C" w:rsidRPr="009B5E75" w:rsidRDefault="00C1459C" w:rsidP="008424BE">
      <w:pPr>
        <w:rPr>
          <w:rFonts w:cs="Arial"/>
          <w:b/>
          <w:bCs/>
          <w:sz w:val="22"/>
          <w:szCs w:val="22"/>
        </w:rPr>
      </w:pPr>
    </w:p>
    <w:p w:rsidR="00C1459C" w:rsidRPr="009B5E75" w:rsidRDefault="00E417F9" w:rsidP="00C1459C">
      <w:pPr>
        <w:jc w:val="center"/>
        <w:rPr>
          <w:rFonts w:cs="Arial"/>
          <w:sz w:val="22"/>
          <w:szCs w:val="22"/>
        </w:rPr>
      </w:pPr>
      <w:r>
        <w:rPr>
          <w:rFonts w:cs="Arial"/>
          <w:noProof/>
          <w:sz w:val="22"/>
          <w:szCs w:val="22"/>
        </w:rPr>
        <mc:AlternateContent>
          <mc:Choice Requires="wps">
            <w:drawing>
              <wp:anchor distT="4294967295" distB="4294967295" distL="114300" distR="114300" simplePos="0" relativeHeight="251657216" behindDoc="0" locked="0" layoutInCell="1" allowOverlap="1">
                <wp:simplePos x="0" y="0"/>
                <wp:positionH relativeFrom="margin">
                  <wp:posOffset>0</wp:posOffset>
                </wp:positionH>
                <wp:positionV relativeFrom="paragraph">
                  <wp:posOffset>-4446</wp:posOffset>
                </wp:positionV>
                <wp:extent cx="5943600" cy="0"/>
                <wp:effectExtent l="0" t="19050" r="19050" b="3810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0"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" strokecolor="#020000" strokeweight="4.8pt">
                <v:stroke linestyle="thinThin"/>
                <w10:wrap anchorx="margin"/>
              </v:line>
            </w:pict>
          </mc:Fallback>
        </mc:AlternateContent>
      </w:r>
    </w:p>
    <w:p w:rsidR="00C1459C" w:rsidRPr="009B5E75" w:rsidRDefault="00E417F9" w:rsidP="00C1459C">
      <w:pPr>
        <w:jc w:val="center"/>
        <w:rPr>
          <w:rFonts w:cs="Arial"/>
          <w:sz w:val="22"/>
          <w:szCs w:val="22"/>
        </w:rPr>
      </w:pPr>
      <w:r>
        <w:rPr>
          <w:rFonts w:cs="Arial"/>
          <w:noProof/>
          <w:sz w:val="22"/>
          <w:szCs w:val="22"/>
        </w:rPr>
        <mc:AlternateContent>
          <mc:Choice Requires="wps">
            <w:drawing>
              <wp:anchor distT="4294967295" distB="4294967295" distL="114299" distR="114299" simplePos="0" relativeHeight="251656192" behindDoc="0" locked="0" layoutInCell="0" allowOverlap="1">
                <wp:simplePos x="0" y="0"/>
                <wp:positionH relativeFrom="margin">
                  <wp:posOffset>-1</wp:posOffset>
                </wp:positionH>
                <wp:positionV relativeFrom="paragraph">
                  <wp:posOffset>-1</wp:posOffset>
                </wp:positionV>
                <wp:extent cx="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GaJyfE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C1459C" w:rsidRPr="009B5E75" w:rsidRDefault="00C1459C" w:rsidP="00C1459C">
      <w:pPr>
        <w:jc w:val="center"/>
        <w:rPr>
          <w:rFonts w:cs="Arial"/>
          <w:sz w:val="22"/>
          <w:szCs w:val="22"/>
        </w:rPr>
      </w:pPr>
    </w:p>
    <w:p w:rsidR="00C1459C" w:rsidRPr="00BE06D8" w:rsidRDefault="00C1459C" w:rsidP="00C1459C">
      <w:pPr>
        <w:rPr>
          <w:rFonts w:cs="Arial"/>
          <w:sz w:val="32"/>
          <w:szCs w:val="32"/>
        </w:rPr>
      </w:pPr>
      <w:r w:rsidRPr="00BE06D8">
        <w:rPr>
          <w:rFonts w:cs="Arial"/>
          <w:b/>
          <w:bCs/>
          <w:sz w:val="32"/>
          <w:szCs w:val="32"/>
        </w:rPr>
        <w:t>U.S. Nuclear Regulatory Commission</w:t>
      </w:r>
    </w:p>
    <w:p w:rsidR="0062218F" w:rsidRPr="00BE06D8" w:rsidRDefault="0062218F" w:rsidP="00C1459C">
      <w:pPr>
        <w:rPr>
          <w:rFonts w:cs="Arial"/>
          <w:b/>
          <w:sz w:val="32"/>
          <w:szCs w:val="32"/>
        </w:rPr>
      </w:pPr>
    </w:p>
    <w:p w:rsidR="00C1459C" w:rsidRPr="009B5E75" w:rsidRDefault="002347D8" w:rsidP="00C1459C">
      <w:pPr>
        <w:rPr>
          <w:rFonts w:cs="Arial"/>
          <w:sz w:val="22"/>
          <w:szCs w:val="22"/>
        </w:rPr>
      </w:pPr>
      <w:r>
        <w:rPr>
          <w:rFonts w:cs="Arial"/>
          <w:b/>
          <w:sz w:val="32"/>
          <w:szCs w:val="32"/>
        </w:rPr>
        <w:t>October</w:t>
      </w:r>
      <w:r w:rsidR="00FA7D38">
        <w:rPr>
          <w:rFonts w:cs="Arial"/>
          <w:b/>
          <w:sz w:val="32"/>
          <w:szCs w:val="32"/>
        </w:rPr>
        <w:t xml:space="preserve"> </w:t>
      </w:r>
      <w:r w:rsidR="00123D2B">
        <w:rPr>
          <w:rFonts w:cs="Arial"/>
          <w:b/>
          <w:sz w:val="32"/>
          <w:szCs w:val="32"/>
        </w:rPr>
        <w:t>2013</w:t>
      </w:r>
    </w:p>
    <w:p w:rsidR="00C1459C" w:rsidRPr="009B5E75" w:rsidRDefault="004D3A4B" w:rsidP="00C1459C">
      <w:pPr>
        <w:rPr>
          <w:rFonts w:cs="Arial"/>
          <w:sz w:val="22"/>
          <w:szCs w:val="22"/>
        </w:rPr>
      </w:pPr>
      <w:r>
        <w:rPr>
          <w:rFonts w:cs="Arial"/>
          <w:noProof/>
          <w:sz w:val="22"/>
          <w:szCs w:val="22"/>
        </w:rPr>
        <w:drawing>
          <wp:anchor distT="54610" distB="54610" distL="54610" distR="54610" simplePos="0" relativeHeight="251661312" behindDoc="0" locked="0" layoutInCell="1" allowOverlap="1" wp14:anchorId="0785A5F8" wp14:editId="2D3CCBF3">
            <wp:simplePos x="0" y="0"/>
            <wp:positionH relativeFrom="margin">
              <wp:posOffset>-114300</wp:posOffset>
            </wp:positionH>
            <wp:positionV relativeFrom="margin">
              <wp:posOffset>3238500</wp:posOffset>
            </wp:positionV>
            <wp:extent cx="1819275" cy="1752600"/>
            <wp:effectExtent l="19050" t="0" r="9525" b="0"/>
            <wp:wrapSquare wrapText="bothSides"/>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cstate="print"/>
                    <a:srcRect/>
                    <a:stretch>
                      <a:fillRect/>
                    </a:stretch>
                  </pic:blipFill>
                  <pic:spPr bwMode="auto">
                    <a:xfrm>
                      <a:off x="0" y="0"/>
                      <a:ext cx="1819275" cy="1752600"/>
                    </a:xfrm>
                    <a:prstGeom prst="rect">
                      <a:avLst/>
                    </a:prstGeom>
                    <a:noFill/>
                  </pic:spPr>
                </pic:pic>
              </a:graphicData>
            </a:graphic>
          </wp:anchor>
        </w:drawing>
      </w:r>
    </w:p>
    <w:p w:rsidR="00BE06D8" w:rsidRPr="009B5E75" w:rsidRDefault="00BE06D8" w:rsidP="00C1459C">
      <w:pPr>
        <w:rPr>
          <w:rFonts w:cs="Arial"/>
          <w:sz w:val="22"/>
          <w:szCs w:val="22"/>
        </w:rPr>
        <w:sectPr w:rsidR="00BE06D8" w:rsidRPr="009B5E75" w:rsidSect="000062D5">
          <w:headerReference w:type="default" r:id="rId21"/>
          <w:footerReference w:type="default" r:id="rId22"/>
          <w:pgSz w:w="12240" w:h="15840" w:code="1"/>
          <w:pgMar w:top="1440" w:right="1440" w:bottom="1440" w:left="1440" w:header="1440" w:footer="1440" w:gutter="0"/>
          <w:pgNumType w:fmt="lowerRoman" w:start="1"/>
          <w:cols w:space="720"/>
          <w:noEndnote/>
          <w:titlePg/>
        </w:sectPr>
      </w:pPr>
    </w:p>
    <w:p w:rsidR="008424BE" w:rsidRDefault="008424BE" w:rsidP="00C1459C">
      <w:pPr>
        <w:jc w:val="center"/>
        <w:rPr>
          <w:rFonts w:cs="Arial"/>
          <w:b/>
          <w:sz w:val="22"/>
          <w:szCs w:val="22"/>
        </w:rPr>
      </w:pPr>
    </w:p>
    <w:p w:rsidR="00C1459C" w:rsidRPr="00460063" w:rsidRDefault="00DC3900" w:rsidP="00C1459C">
      <w:pPr>
        <w:jc w:val="center"/>
        <w:rPr>
          <w:rFonts w:cs="Arial"/>
          <w:b/>
          <w:sz w:val="22"/>
          <w:szCs w:val="22"/>
        </w:rPr>
      </w:pPr>
      <w:r w:rsidRPr="00460063">
        <w:rPr>
          <w:rFonts w:cs="Arial"/>
          <w:b/>
          <w:sz w:val="22"/>
          <w:szCs w:val="22"/>
        </w:rPr>
        <w:t xml:space="preserve">Table of </w:t>
      </w:r>
      <w:r w:rsidR="00C1459C" w:rsidRPr="00460063">
        <w:rPr>
          <w:rFonts w:cs="Arial"/>
          <w:b/>
          <w:sz w:val="22"/>
          <w:szCs w:val="22"/>
        </w:rPr>
        <w:t>Contents</w:t>
      </w:r>
    </w:p>
    <w:p w:rsidR="00C1459C" w:rsidRPr="00460063" w:rsidRDefault="00C1459C" w:rsidP="00C1459C">
      <w:pPr>
        <w:rPr>
          <w:rFonts w:cs="Arial"/>
          <w:b/>
          <w:sz w:val="22"/>
          <w:szCs w:val="22"/>
        </w:rPr>
      </w:pPr>
    </w:p>
    <w:p w:rsidR="00C1459C" w:rsidRPr="00460063" w:rsidRDefault="00C1459C" w:rsidP="00C1459C">
      <w:pPr>
        <w:rPr>
          <w:rFonts w:cs="Arial"/>
          <w:b/>
          <w:sz w:val="22"/>
          <w:szCs w:val="22"/>
        </w:rPr>
      </w:pPr>
    </w:p>
    <w:p w:rsidR="00E44C0B" w:rsidRPr="00460063" w:rsidRDefault="001C7681">
      <w:pPr>
        <w:pStyle w:val="TOC2"/>
        <w:rPr>
          <w:rFonts w:asciiTheme="minorHAnsi" w:eastAsiaTheme="minorEastAsia" w:hAnsiTheme="minorHAnsi" w:cstheme="minorBidi"/>
          <w:b/>
          <w:noProof/>
          <w:sz w:val="22"/>
          <w:szCs w:val="22"/>
        </w:rPr>
      </w:pPr>
      <w:r w:rsidRPr="00460063">
        <w:rPr>
          <w:rFonts w:cs="Arial"/>
          <w:b/>
          <w:sz w:val="22"/>
          <w:szCs w:val="22"/>
        </w:rPr>
        <w:fldChar w:fldCharType="begin"/>
      </w:r>
      <w:r w:rsidR="00C1459C" w:rsidRPr="00460063">
        <w:rPr>
          <w:rFonts w:cs="Arial"/>
          <w:b/>
          <w:sz w:val="22"/>
          <w:szCs w:val="22"/>
        </w:rPr>
        <w:instrText>TOC \f</w:instrText>
      </w:r>
      <w:r w:rsidRPr="00460063">
        <w:rPr>
          <w:rFonts w:cs="Arial"/>
          <w:b/>
          <w:sz w:val="22"/>
          <w:szCs w:val="22"/>
        </w:rPr>
        <w:fldChar w:fldCharType="separate"/>
      </w:r>
      <w:r w:rsidR="00E44C0B" w:rsidRPr="00460063">
        <w:rPr>
          <w:rFonts w:cs="Arial"/>
          <w:b/>
          <w:bCs/>
          <w:noProof/>
        </w:rPr>
        <w:t>Executive Summary</w:t>
      </w:r>
      <w:r w:rsidR="00E44C0B" w:rsidRPr="00460063">
        <w:rPr>
          <w:b/>
          <w:noProof/>
        </w:rPr>
        <w:tab/>
      </w:r>
      <w:r w:rsidRPr="00460063">
        <w:rPr>
          <w:b/>
          <w:noProof/>
        </w:rPr>
        <w:fldChar w:fldCharType="begin"/>
      </w:r>
      <w:r w:rsidR="00E44C0B" w:rsidRPr="00460063">
        <w:rPr>
          <w:b/>
          <w:noProof/>
        </w:rPr>
        <w:instrText xml:space="preserve"> PAGEREF _Toc336939789 \h </w:instrText>
      </w:r>
      <w:r w:rsidRPr="00460063">
        <w:rPr>
          <w:b/>
          <w:noProof/>
        </w:rPr>
      </w:r>
      <w:r w:rsidRPr="00460063">
        <w:rPr>
          <w:b/>
          <w:noProof/>
        </w:rPr>
        <w:fldChar w:fldCharType="separate"/>
      </w:r>
      <w:r w:rsidR="00E44C0B" w:rsidRPr="00460063">
        <w:rPr>
          <w:b/>
          <w:noProof/>
        </w:rPr>
        <w:t>ii</w:t>
      </w:r>
      <w:r w:rsidRPr="00460063">
        <w:rPr>
          <w:b/>
          <w:noProof/>
        </w:rPr>
        <w:fldChar w:fldCharType="end"/>
      </w:r>
    </w:p>
    <w:p w:rsidR="00E44C0B" w:rsidRPr="00460063" w:rsidRDefault="00E44C0B">
      <w:pPr>
        <w:pStyle w:val="TOC2"/>
        <w:rPr>
          <w:rFonts w:asciiTheme="minorHAnsi" w:eastAsiaTheme="minorEastAsia" w:hAnsiTheme="minorHAnsi" w:cstheme="minorBidi"/>
          <w:b/>
          <w:noProof/>
          <w:sz w:val="22"/>
          <w:szCs w:val="22"/>
        </w:rPr>
      </w:pPr>
      <w:r w:rsidRPr="00460063">
        <w:rPr>
          <w:b/>
          <w:noProof/>
        </w:rPr>
        <w:t>Abbreviations</w:t>
      </w:r>
      <w:r w:rsidRPr="00460063">
        <w:rPr>
          <w:b/>
          <w:noProof/>
        </w:rPr>
        <w:tab/>
      </w:r>
      <w:r w:rsidR="001C7681" w:rsidRPr="00460063">
        <w:rPr>
          <w:b/>
          <w:noProof/>
        </w:rPr>
        <w:fldChar w:fldCharType="begin"/>
      </w:r>
      <w:r w:rsidRPr="00460063">
        <w:rPr>
          <w:b/>
          <w:noProof/>
        </w:rPr>
        <w:instrText xml:space="preserve"> PAGEREF _Toc336939790 \h </w:instrText>
      </w:r>
      <w:r w:rsidR="001C7681" w:rsidRPr="00460063">
        <w:rPr>
          <w:b/>
          <w:noProof/>
        </w:rPr>
      </w:r>
      <w:r w:rsidR="001C7681" w:rsidRPr="00460063">
        <w:rPr>
          <w:b/>
          <w:noProof/>
        </w:rPr>
        <w:fldChar w:fldCharType="separate"/>
      </w:r>
      <w:r w:rsidRPr="00460063">
        <w:rPr>
          <w:b/>
          <w:noProof/>
        </w:rPr>
        <w:t>iii</w:t>
      </w:r>
      <w:r w:rsidR="001C7681" w:rsidRPr="00460063">
        <w:rPr>
          <w:b/>
          <w:noProof/>
        </w:rPr>
        <w:fldChar w:fldCharType="end"/>
      </w:r>
    </w:p>
    <w:p w:rsidR="00E44C0B" w:rsidRPr="00460063" w:rsidRDefault="00E44C0B">
      <w:pPr>
        <w:pStyle w:val="TOC2"/>
        <w:rPr>
          <w:rFonts w:asciiTheme="minorHAnsi" w:eastAsiaTheme="minorEastAsia" w:hAnsiTheme="minorHAnsi" w:cstheme="minorBidi"/>
          <w:b/>
          <w:noProof/>
          <w:sz w:val="22"/>
          <w:szCs w:val="22"/>
        </w:rPr>
      </w:pPr>
      <w:r w:rsidRPr="00460063">
        <w:rPr>
          <w:rFonts w:cs="Arial"/>
          <w:b/>
          <w:bCs/>
          <w:noProof/>
        </w:rPr>
        <w:t>1.</w:t>
      </w:r>
      <w:r w:rsidRPr="00460063">
        <w:rPr>
          <w:rFonts w:asciiTheme="minorHAnsi" w:eastAsiaTheme="minorEastAsia" w:hAnsiTheme="minorHAnsi" w:cstheme="minorBidi"/>
          <w:b/>
          <w:noProof/>
          <w:sz w:val="22"/>
          <w:szCs w:val="22"/>
        </w:rPr>
        <w:tab/>
      </w:r>
      <w:r w:rsidRPr="00460063">
        <w:rPr>
          <w:rFonts w:cs="Arial"/>
          <w:b/>
          <w:bCs/>
          <w:noProof/>
        </w:rPr>
        <w:t>Introduction</w:t>
      </w:r>
      <w:r w:rsidRPr="00460063">
        <w:rPr>
          <w:b/>
          <w:noProof/>
        </w:rPr>
        <w:tab/>
      </w:r>
      <w:r w:rsidR="001C7681" w:rsidRPr="00460063">
        <w:rPr>
          <w:b/>
          <w:noProof/>
        </w:rPr>
        <w:fldChar w:fldCharType="begin"/>
      </w:r>
      <w:r w:rsidRPr="00460063">
        <w:rPr>
          <w:b/>
          <w:noProof/>
        </w:rPr>
        <w:instrText xml:space="preserve"> PAGEREF _Toc336939791 \h </w:instrText>
      </w:r>
      <w:r w:rsidR="001C7681" w:rsidRPr="00460063">
        <w:rPr>
          <w:b/>
          <w:noProof/>
        </w:rPr>
      </w:r>
      <w:r w:rsidR="001C7681" w:rsidRPr="00460063">
        <w:rPr>
          <w:b/>
          <w:noProof/>
        </w:rPr>
        <w:fldChar w:fldCharType="separate"/>
      </w:r>
      <w:r w:rsidRPr="00460063">
        <w:rPr>
          <w:b/>
          <w:noProof/>
        </w:rPr>
        <w:t>1</w:t>
      </w:r>
      <w:r w:rsidR="001C7681" w:rsidRPr="00460063">
        <w:rPr>
          <w:b/>
          <w:noProof/>
        </w:rPr>
        <w:fldChar w:fldCharType="end"/>
      </w:r>
    </w:p>
    <w:p w:rsidR="00E44C0B" w:rsidRPr="00460063" w:rsidRDefault="00E44C0B">
      <w:pPr>
        <w:pStyle w:val="TOC3"/>
        <w:rPr>
          <w:rFonts w:asciiTheme="minorHAnsi" w:eastAsiaTheme="minorEastAsia" w:hAnsiTheme="minorHAnsi" w:cstheme="minorBidi"/>
          <w:sz w:val="22"/>
          <w:szCs w:val="22"/>
        </w:rPr>
      </w:pPr>
      <w:r w:rsidRPr="00460063">
        <w:rPr>
          <w:rFonts w:cs="Arial"/>
          <w:bCs/>
        </w:rPr>
        <w:t>1.1</w:t>
      </w:r>
      <w:r w:rsidRPr="00460063">
        <w:rPr>
          <w:rFonts w:asciiTheme="minorHAnsi" w:eastAsiaTheme="minorEastAsia" w:hAnsiTheme="minorHAnsi" w:cstheme="minorBidi"/>
          <w:sz w:val="22"/>
          <w:szCs w:val="22"/>
        </w:rPr>
        <w:tab/>
      </w:r>
      <w:r w:rsidRPr="00460063">
        <w:rPr>
          <w:rFonts w:cs="Arial"/>
          <w:bCs/>
        </w:rPr>
        <w:t>Statement of the Problem and Objective of the Rulemaking</w:t>
      </w:r>
      <w:r w:rsidRPr="00460063">
        <w:tab/>
      </w:r>
      <w:r w:rsidR="001C7681" w:rsidRPr="00460063">
        <w:fldChar w:fldCharType="begin"/>
      </w:r>
      <w:r w:rsidRPr="00460063">
        <w:instrText xml:space="preserve"> PAGEREF _Toc336939792 \h </w:instrText>
      </w:r>
      <w:r w:rsidR="001C7681" w:rsidRPr="00460063">
        <w:fldChar w:fldCharType="separate"/>
      </w:r>
      <w:r w:rsidRPr="00460063">
        <w:t>1</w:t>
      </w:r>
      <w:r w:rsidR="001C7681" w:rsidRPr="00460063">
        <w:fldChar w:fldCharType="end"/>
      </w:r>
    </w:p>
    <w:p w:rsidR="00E44C0B" w:rsidRPr="00460063" w:rsidRDefault="00E44C0B">
      <w:pPr>
        <w:pStyle w:val="TOC3"/>
        <w:rPr>
          <w:rFonts w:asciiTheme="minorHAnsi" w:eastAsiaTheme="minorEastAsia" w:hAnsiTheme="minorHAnsi" w:cstheme="minorBidi"/>
          <w:sz w:val="22"/>
          <w:szCs w:val="22"/>
        </w:rPr>
      </w:pPr>
      <w:r w:rsidRPr="00460063">
        <w:rPr>
          <w:rFonts w:cs="Arial"/>
          <w:bCs/>
        </w:rPr>
        <w:t>1.2</w:t>
      </w:r>
      <w:r w:rsidRPr="00460063">
        <w:rPr>
          <w:rFonts w:asciiTheme="minorHAnsi" w:eastAsiaTheme="minorEastAsia" w:hAnsiTheme="minorHAnsi" w:cstheme="minorBidi"/>
          <w:sz w:val="22"/>
          <w:szCs w:val="22"/>
        </w:rPr>
        <w:tab/>
      </w:r>
      <w:r w:rsidRPr="00460063">
        <w:rPr>
          <w:rFonts w:cs="Arial"/>
          <w:bCs/>
        </w:rPr>
        <w:t>Background</w:t>
      </w:r>
      <w:r w:rsidRPr="00460063">
        <w:tab/>
      </w:r>
      <w:r w:rsidR="001C7681" w:rsidRPr="00460063">
        <w:fldChar w:fldCharType="begin"/>
      </w:r>
      <w:r w:rsidRPr="00460063">
        <w:instrText xml:space="preserve"> PAGEREF _Toc336939793 \h </w:instrText>
      </w:r>
      <w:r w:rsidR="001C7681" w:rsidRPr="00460063">
        <w:fldChar w:fldCharType="separate"/>
      </w:r>
      <w:r w:rsidRPr="00460063">
        <w:t>1</w:t>
      </w:r>
      <w:r w:rsidR="001C7681" w:rsidRPr="00460063">
        <w:fldChar w:fldCharType="end"/>
      </w:r>
    </w:p>
    <w:p w:rsidR="00E44C0B" w:rsidRPr="00460063" w:rsidRDefault="00E44C0B">
      <w:pPr>
        <w:pStyle w:val="TOC2"/>
        <w:rPr>
          <w:rFonts w:asciiTheme="minorHAnsi" w:eastAsiaTheme="minorEastAsia" w:hAnsiTheme="minorHAnsi" w:cstheme="minorBidi"/>
          <w:b/>
          <w:noProof/>
          <w:sz w:val="22"/>
          <w:szCs w:val="22"/>
        </w:rPr>
      </w:pPr>
      <w:r w:rsidRPr="00460063">
        <w:rPr>
          <w:rFonts w:cs="Arial"/>
          <w:b/>
          <w:bCs/>
          <w:noProof/>
        </w:rPr>
        <w:t>2.</w:t>
      </w:r>
      <w:r w:rsidRPr="00460063">
        <w:rPr>
          <w:rFonts w:asciiTheme="minorHAnsi" w:eastAsiaTheme="minorEastAsia" w:hAnsiTheme="minorHAnsi" w:cstheme="minorBidi"/>
          <w:b/>
          <w:noProof/>
          <w:sz w:val="22"/>
          <w:szCs w:val="22"/>
        </w:rPr>
        <w:tab/>
      </w:r>
      <w:r w:rsidRPr="00460063">
        <w:rPr>
          <w:rFonts w:cs="Arial"/>
          <w:b/>
          <w:bCs/>
          <w:noProof/>
        </w:rPr>
        <w:t>Identification and Preliminary Analysis of Alternative Approaches</w:t>
      </w:r>
      <w:r w:rsidRPr="00460063">
        <w:rPr>
          <w:b/>
          <w:noProof/>
        </w:rPr>
        <w:tab/>
      </w:r>
      <w:r w:rsidR="001C7681" w:rsidRPr="00460063">
        <w:rPr>
          <w:b/>
          <w:noProof/>
        </w:rPr>
        <w:fldChar w:fldCharType="begin"/>
      </w:r>
      <w:r w:rsidRPr="00460063">
        <w:rPr>
          <w:b/>
          <w:noProof/>
        </w:rPr>
        <w:instrText xml:space="preserve"> PAGEREF _Toc336939794 \h </w:instrText>
      </w:r>
      <w:r w:rsidR="001C7681" w:rsidRPr="00460063">
        <w:rPr>
          <w:b/>
          <w:noProof/>
        </w:rPr>
      </w:r>
      <w:r w:rsidR="001C7681" w:rsidRPr="00460063">
        <w:rPr>
          <w:b/>
          <w:noProof/>
        </w:rPr>
        <w:fldChar w:fldCharType="separate"/>
      </w:r>
      <w:r w:rsidRPr="00460063">
        <w:rPr>
          <w:b/>
          <w:noProof/>
        </w:rPr>
        <w:t>3</w:t>
      </w:r>
      <w:r w:rsidR="001C7681" w:rsidRPr="00460063">
        <w:rPr>
          <w:b/>
          <w:noProof/>
        </w:rPr>
        <w:fldChar w:fldCharType="end"/>
      </w:r>
    </w:p>
    <w:p w:rsidR="00E44C0B" w:rsidRPr="00460063" w:rsidRDefault="00E44C0B">
      <w:pPr>
        <w:pStyle w:val="TOC3"/>
        <w:rPr>
          <w:rFonts w:asciiTheme="minorHAnsi" w:eastAsiaTheme="minorEastAsia" w:hAnsiTheme="minorHAnsi" w:cstheme="minorBidi"/>
          <w:sz w:val="22"/>
          <w:szCs w:val="22"/>
        </w:rPr>
      </w:pPr>
      <w:r w:rsidRPr="00460063">
        <w:rPr>
          <w:rFonts w:cs="Arial"/>
          <w:bCs/>
        </w:rPr>
        <w:t>2.1</w:t>
      </w:r>
      <w:r w:rsidRPr="00460063">
        <w:rPr>
          <w:rFonts w:asciiTheme="minorHAnsi" w:eastAsiaTheme="minorEastAsia" w:hAnsiTheme="minorHAnsi" w:cstheme="minorBidi"/>
          <w:sz w:val="22"/>
          <w:szCs w:val="22"/>
        </w:rPr>
        <w:tab/>
      </w:r>
      <w:r w:rsidRPr="00460063">
        <w:rPr>
          <w:rFonts w:cs="Arial"/>
          <w:bCs/>
        </w:rPr>
        <w:t>Option 1: No Action</w:t>
      </w:r>
      <w:r w:rsidRPr="00460063">
        <w:tab/>
      </w:r>
      <w:r w:rsidR="001C7681" w:rsidRPr="00460063">
        <w:fldChar w:fldCharType="begin"/>
      </w:r>
      <w:r w:rsidRPr="00460063">
        <w:instrText xml:space="preserve"> PAGEREF _Toc336939795 \h </w:instrText>
      </w:r>
      <w:r w:rsidR="001C7681" w:rsidRPr="00460063">
        <w:fldChar w:fldCharType="separate"/>
      </w:r>
      <w:r w:rsidRPr="00460063">
        <w:t>3</w:t>
      </w:r>
      <w:r w:rsidR="001C7681" w:rsidRPr="00460063">
        <w:fldChar w:fldCharType="end"/>
      </w:r>
    </w:p>
    <w:p w:rsidR="00E44C0B" w:rsidRPr="00460063" w:rsidRDefault="00E44C0B">
      <w:pPr>
        <w:pStyle w:val="TOC3"/>
        <w:rPr>
          <w:rFonts w:asciiTheme="minorHAnsi" w:eastAsiaTheme="minorEastAsia" w:hAnsiTheme="minorHAnsi" w:cstheme="minorBidi"/>
          <w:sz w:val="22"/>
          <w:szCs w:val="22"/>
        </w:rPr>
      </w:pPr>
      <w:r w:rsidRPr="00460063">
        <w:rPr>
          <w:rFonts w:cs="Arial"/>
          <w:bCs/>
        </w:rPr>
        <w:t>2.2</w:t>
      </w:r>
      <w:r w:rsidRPr="00460063">
        <w:rPr>
          <w:rFonts w:asciiTheme="minorHAnsi" w:eastAsiaTheme="minorEastAsia" w:hAnsiTheme="minorHAnsi" w:cstheme="minorBidi"/>
          <w:sz w:val="22"/>
          <w:szCs w:val="22"/>
        </w:rPr>
        <w:tab/>
      </w:r>
      <w:r w:rsidRPr="00460063">
        <w:rPr>
          <w:rFonts w:cs="Arial"/>
          <w:bCs/>
        </w:rPr>
        <w:t>Amend 10 CFR Part 74</w:t>
      </w:r>
      <w:r w:rsidRPr="00460063">
        <w:tab/>
      </w:r>
      <w:r w:rsidR="001C7681" w:rsidRPr="00460063">
        <w:fldChar w:fldCharType="begin"/>
      </w:r>
      <w:r w:rsidRPr="00460063">
        <w:instrText xml:space="preserve"> PAGEREF _Toc336939796 \h </w:instrText>
      </w:r>
      <w:r w:rsidR="001C7681" w:rsidRPr="00460063">
        <w:fldChar w:fldCharType="separate"/>
      </w:r>
      <w:r w:rsidRPr="00460063">
        <w:t>3</w:t>
      </w:r>
      <w:r w:rsidR="001C7681" w:rsidRPr="00460063">
        <w:fldChar w:fldCharType="end"/>
      </w:r>
    </w:p>
    <w:p w:rsidR="00E44C0B" w:rsidRPr="00460063" w:rsidRDefault="00E44C0B">
      <w:pPr>
        <w:pStyle w:val="TOC2"/>
        <w:rPr>
          <w:rFonts w:asciiTheme="minorHAnsi" w:eastAsiaTheme="minorEastAsia" w:hAnsiTheme="minorHAnsi" w:cstheme="minorBidi"/>
          <w:b/>
          <w:noProof/>
          <w:sz w:val="22"/>
          <w:szCs w:val="22"/>
        </w:rPr>
      </w:pPr>
      <w:r w:rsidRPr="00460063">
        <w:rPr>
          <w:rFonts w:cs="Arial"/>
          <w:b/>
          <w:bCs/>
          <w:noProof/>
        </w:rPr>
        <w:t>3.</w:t>
      </w:r>
      <w:r w:rsidRPr="00460063">
        <w:rPr>
          <w:rFonts w:asciiTheme="minorHAnsi" w:eastAsiaTheme="minorEastAsia" w:hAnsiTheme="minorHAnsi" w:cstheme="minorBidi"/>
          <w:b/>
          <w:noProof/>
          <w:sz w:val="22"/>
          <w:szCs w:val="22"/>
        </w:rPr>
        <w:tab/>
      </w:r>
      <w:r w:rsidRPr="00460063">
        <w:rPr>
          <w:rFonts w:cs="Arial"/>
          <w:b/>
          <w:bCs/>
          <w:noProof/>
        </w:rPr>
        <w:t>Estimation and Evaluation of Values and Impacts</w:t>
      </w:r>
      <w:r w:rsidRPr="00460063">
        <w:rPr>
          <w:b/>
          <w:noProof/>
        </w:rPr>
        <w:tab/>
      </w:r>
      <w:r w:rsidR="001C7681" w:rsidRPr="00460063">
        <w:rPr>
          <w:b/>
          <w:noProof/>
        </w:rPr>
        <w:fldChar w:fldCharType="begin"/>
      </w:r>
      <w:r w:rsidRPr="00460063">
        <w:rPr>
          <w:b/>
          <w:noProof/>
        </w:rPr>
        <w:instrText xml:space="preserve"> PAGEREF _Toc336939797 \h </w:instrText>
      </w:r>
      <w:r w:rsidR="001C7681" w:rsidRPr="00460063">
        <w:rPr>
          <w:b/>
          <w:noProof/>
        </w:rPr>
      </w:r>
      <w:r w:rsidR="001C7681" w:rsidRPr="00460063">
        <w:rPr>
          <w:b/>
          <w:noProof/>
        </w:rPr>
        <w:fldChar w:fldCharType="separate"/>
      </w:r>
      <w:r w:rsidRPr="00460063">
        <w:rPr>
          <w:b/>
          <w:noProof/>
        </w:rPr>
        <w:t>5</w:t>
      </w:r>
      <w:r w:rsidR="001C7681" w:rsidRPr="00460063">
        <w:rPr>
          <w:b/>
          <w:noProof/>
        </w:rPr>
        <w:fldChar w:fldCharType="end"/>
      </w:r>
    </w:p>
    <w:p w:rsidR="00E44C0B" w:rsidRPr="00460063" w:rsidRDefault="00E44C0B">
      <w:pPr>
        <w:pStyle w:val="TOC3"/>
        <w:rPr>
          <w:rFonts w:asciiTheme="minorHAnsi" w:eastAsiaTheme="minorEastAsia" w:hAnsiTheme="minorHAnsi" w:cstheme="minorBidi"/>
          <w:sz w:val="22"/>
          <w:szCs w:val="22"/>
        </w:rPr>
      </w:pPr>
      <w:r w:rsidRPr="00460063">
        <w:rPr>
          <w:rFonts w:cs="Arial"/>
          <w:bCs/>
        </w:rPr>
        <w:t>3.1</w:t>
      </w:r>
      <w:r w:rsidRPr="00460063">
        <w:rPr>
          <w:rFonts w:asciiTheme="minorHAnsi" w:eastAsiaTheme="minorEastAsia" w:hAnsiTheme="minorHAnsi" w:cstheme="minorBidi"/>
          <w:sz w:val="22"/>
          <w:szCs w:val="22"/>
        </w:rPr>
        <w:tab/>
      </w:r>
      <w:r w:rsidRPr="00460063">
        <w:rPr>
          <w:rFonts w:cs="Arial"/>
          <w:bCs/>
        </w:rPr>
        <w:t>Identification of Affected Attributes</w:t>
      </w:r>
      <w:r w:rsidRPr="00460063">
        <w:tab/>
      </w:r>
      <w:r w:rsidR="001C7681" w:rsidRPr="00460063">
        <w:fldChar w:fldCharType="begin"/>
      </w:r>
      <w:r w:rsidRPr="00460063">
        <w:instrText xml:space="preserve"> PAGEREF _Toc336939798 \h </w:instrText>
      </w:r>
      <w:r w:rsidR="001C7681" w:rsidRPr="00460063">
        <w:fldChar w:fldCharType="separate"/>
      </w:r>
      <w:r w:rsidRPr="00460063">
        <w:t>5</w:t>
      </w:r>
      <w:r w:rsidR="001C7681" w:rsidRPr="00460063">
        <w:fldChar w:fldCharType="end"/>
      </w:r>
    </w:p>
    <w:p w:rsidR="00E44C0B" w:rsidRPr="00460063" w:rsidRDefault="00E44C0B">
      <w:pPr>
        <w:pStyle w:val="TOC3"/>
        <w:rPr>
          <w:rFonts w:asciiTheme="minorHAnsi" w:eastAsiaTheme="minorEastAsia" w:hAnsiTheme="minorHAnsi" w:cstheme="minorBidi"/>
          <w:sz w:val="22"/>
          <w:szCs w:val="22"/>
        </w:rPr>
      </w:pPr>
      <w:r w:rsidRPr="00460063">
        <w:rPr>
          <w:rFonts w:cs="Arial"/>
          <w:bCs/>
        </w:rPr>
        <w:t>3.2</w:t>
      </w:r>
      <w:r w:rsidRPr="00460063">
        <w:rPr>
          <w:rFonts w:asciiTheme="minorHAnsi" w:eastAsiaTheme="minorEastAsia" w:hAnsiTheme="minorHAnsi" w:cstheme="minorBidi"/>
          <w:sz w:val="22"/>
          <w:szCs w:val="22"/>
        </w:rPr>
        <w:tab/>
      </w:r>
      <w:r w:rsidRPr="00460063">
        <w:rPr>
          <w:rFonts w:cs="Arial"/>
          <w:bCs/>
        </w:rPr>
        <w:t>Analytical Methodology</w:t>
      </w:r>
      <w:r w:rsidRPr="00460063">
        <w:tab/>
      </w:r>
      <w:r w:rsidR="001C7681" w:rsidRPr="00460063">
        <w:fldChar w:fldCharType="begin"/>
      </w:r>
      <w:r w:rsidRPr="00460063">
        <w:instrText xml:space="preserve"> PAGEREF _Toc336939799 \h </w:instrText>
      </w:r>
      <w:r w:rsidR="001C7681" w:rsidRPr="00460063">
        <w:fldChar w:fldCharType="separate"/>
      </w:r>
      <w:r w:rsidRPr="00460063">
        <w:t>6</w:t>
      </w:r>
      <w:r w:rsidR="001C7681" w:rsidRPr="00460063">
        <w:fldChar w:fldCharType="end"/>
      </w:r>
    </w:p>
    <w:p w:rsidR="00E44C0B" w:rsidRPr="00460063" w:rsidRDefault="00E44C0B">
      <w:pPr>
        <w:pStyle w:val="TOC3"/>
        <w:rPr>
          <w:rFonts w:asciiTheme="minorHAnsi" w:eastAsiaTheme="minorEastAsia" w:hAnsiTheme="minorHAnsi" w:cstheme="minorBidi"/>
          <w:sz w:val="22"/>
          <w:szCs w:val="22"/>
        </w:rPr>
      </w:pPr>
      <w:r w:rsidRPr="00460063">
        <w:rPr>
          <w:rFonts w:cs="Arial"/>
          <w:bCs/>
        </w:rPr>
        <w:t>3.2.</w:t>
      </w:r>
      <w:r w:rsidR="00B24380" w:rsidRPr="00460063">
        <w:rPr>
          <w:rFonts w:cs="Arial"/>
          <w:bCs/>
        </w:rPr>
        <w:t>1</w:t>
      </w:r>
      <w:r w:rsidRPr="00460063">
        <w:rPr>
          <w:rFonts w:asciiTheme="minorHAnsi" w:eastAsiaTheme="minorEastAsia" w:hAnsiTheme="minorHAnsi" w:cstheme="minorBidi"/>
          <w:sz w:val="22"/>
          <w:szCs w:val="22"/>
        </w:rPr>
        <w:tab/>
      </w:r>
      <w:r w:rsidRPr="00460063">
        <w:rPr>
          <w:rFonts w:cs="Arial"/>
          <w:bCs/>
        </w:rPr>
        <w:t>Data and Assumptions</w:t>
      </w:r>
      <w:r w:rsidRPr="00460063">
        <w:tab/>
      </w:r>
      <w:r w:rsidR="001C7681" w:rsidRPr="00460063">
        <w:fldChar w:fldCharType="begin"/>
      </w:r>
      <w:r w:rsidRPr="00460063">
        <w:instrText xml:space="preserve"> PAGEREF _Toc336939800 \h </w:instrText>
      </w:r>
      <w:r w:rsidR="001C7681" w:rsidRPr="00460063">
        <w:fldChar w:fldCharType="separate"/>
      </w:r>
      <w:r w:rsidRPr="00460063">
        <w:t>7</w:t>
      </w:r>
      <w:r w:rsidR="001C7681" w:rsidRPr="00460063">
        <w:fldChar w:fldCharType="end"/>
      </w:r>
    </w:p>
    <w:p w:rsidR="00E44C0B" w:rsidRPr="00460063" w:rsidRDefault="00E44C0B">
      <w:pPr>
        <w:pStyle w:val="TOC3"/>
        <w:rPr>
          <w:rFonts w:asciiTheme="minorHAnsi" w:eastAsiaTheme="minorEastAsia" w:hAnsiTheme="minorHAnsi" w:cstheme="minorBidi"/>
          <w:sz w:val="22"/>
          <w:szCs w:val="22"/>
        </w:rPr>
      </w:pPr>
      <w:r w:rsidRPr="00460063">
        <w:rPr>
          <w:rFonts w:cs="Arial"/>
          <w:bCs/>
        </w:rPr>
        <w:t>3.3</w:t>
      </w:r>
      <w:r w:rsidRPr="00460063">
        <w:rPr>
          <w:rFonts w:asciiTheme="minorHAnsi" w:eastAsiaTheme="minorEastAsia" w:hAnsiTheme="minorHAnsi" w:cstheme="minorBidi"/>
          <w:sz w:val="22"/>
          <w:szCs w:val="22"/>
        </w:rPr>
        <w:tab/>
      </w:r>
      <w:r w:rsidRPr="00460063">
        <w:rPr>
          <w:rFonts w:cs="Arial"/>
          <w:bCs/>
        </w:rPr>
        <w:t>Detailed Results</w:t>
      </w:r>
      <w:r w:rsidRPr="00460063">
        <w:tab/>
      </w:r>
      <w:r w:rsidR="0062002A" w:rsidRPr="00460063">
        <w:t>8</w:t>
      </w:r>
    </w:p>
    <w:p w:rsidR="00E44C0B" w:rsidRPr="00460063" w:rsidRDefault="00E44C0B">
      <w:pPr>
        <w:pStyle w:val="TOC2"/>
        <w:rPr>
          <w:rFonts w:asciiTheme="minorHAnsi" w:eastAsiaTheme="minorEastAsia" w:hAnsiTheme="minorHAnsi" w:cstheme="minorBidi"/>
          <w:b/>
          <w:noProof/>
          <w:sz w:val="22"/>
          <w:szCs w:val="22"/>
        </w:rPr>
      </w:pPr>
      <w:r w:rsidRPr="00460063">
        <w:rPr>
          <w:rFonts w:cs="Arial"/>
          <w:b/>
          <w:bCs/>
          <w:noProof/>
        </w:rPr>
        <w:t>4.</w:t>
      </w:r>
      <w:r w:rsidRPr="00460063">
        <w:rPr>
          <w:rFonts w:asciiTheme="minorHAnsi" w:eastAsiaTheme="minorEastAsia" w:hAnsiTheme="minorHAnsi" w:cstheme="minorBidi"/>
          <w:b/>
          <w:noProof/>
          <w:sz w:val="22"/>
          <w:szCs w:val="22"/>
        </w:rPr>
        <w:tab/>
      </w:r>
      <w:r w:rsidRPr="00460063">
        <w:rPr>
          <w:rFonts w:cs="Arial"/>
          <w:b/>
          <w:bCs/>
          <w:noProof/>
        </w:rPr>
        <w:t>Presentation of Results</w:t>
      </w:r>
      <w:r w:rsidRPr="00460063">
        <w:rPr>
          <w:b/>
          <w:noProof/>
        </w:rPr>
        <w:tab/>
      </w:r>
      <w:r w:rsidR="0062002A" w:rsidRPr="00460063">
        <w:rPr>
          <w:b/>
          <w:noProof/>
        </w:rPr>
        <w:t>17</w:t>
      </w:r>
    </w:p>
    <w:p w:rsidR="00E44C0B" w:rsidRPr="00460063" w:rsidRDefault="00E44C0B">
      <w:pPr>
        <w:pStyle w:val="TOC3"/>
        <w:rPr>
          <w:rFonts w:asciiTheme="minorHAnsi" w:eastAsiaTheme="minorEastAsia" w:hAnsiTheme="minorHAnsi" w:cstheme="minorBidi"/>
          <w:sz w:val="22"/>
          <w:szCs w:val="22"/>
        </w:rPr>
      </w:pPr>
      <w:r w:rsidRPr="00460063">
        <w:rPr>
          <w:rFonts w:cs="Arial"/>
          <w:bCs/>
        </w:rPr>
        <w:t>4.1</w:t>
      </w:r>
      <w:r w:rsidRPr="00460063">
        <w:rPr>
          <w:rFonts w:asciiTheme="minorHAnsi" w:eastAsiaTheme="minorEastAsia" w:hAnsiTheme="minorHAnsi" w:cstheme="minorBidi"/>
          <w:sz w:val="22"/>
          <w:szCs w:val="22"/>
        </w:rPr>
        <w:tab/>
      </w:r>
      <w:r w:rsidRPr="00460063">
        <w:rPr>
          <w:rFonts w:cs="Arial"/>
          <w:bCs/>
        </w:rPr>
        <w:t>Values and Impacts</w:t>
      </w:r>
      <w:r w:rsidRPr="00460063">
        <w:tab/>
      </w:r>
      <w:r w:rsidR="0062002A" w:rsidRPr="00460063">
        <w:t>17</w:t>
      </w:r>
    </w:p>
    <w:p w:rsidR="00E44C0B" w:rsidRPr="00460063" w:rsidRDefault="00E44C0B">
      <w:pPr>
        <w:pStyle w:val="TOC2"/>
        <w:rPr>
          <w:rFonts w:asciiTheme="minorHAnsi" w:eastAsiaTheme="minorEastAsia" w:hAnsiTheme="minorHAnsi" w:cstheme="minorBidi"/>
          <w:b/>
          <w:noProof/>
          <w:sz w:val="22"/>
          <w:szCs w:val="22"/>
        </w:rPr>
      </w:pPr>
      <w:r w:rsidRPr="00460063">
        <w:rPr>
          <w:rFonts w:cs="Arial"/>
          <w:b/>
          <w:bCs/>
          <w:noProof/>
        </w:rPr>
        <w:t>5.</w:t>
      </w:r>
      <w:r w:rsidRPr="00460063">
        <w:rPr>
          <w:rFonts w:asciiTheme="minorHAnsi" w:eastAsiaTheme="minorEastAsia" w:hAnsiTheme="minorHAnsi" w:cstheme="minorBidi"/>
          <w:b/>
          <w:noProof/>
          <w:sz w:val="22"/>
          <w:szCs w:val="22"/>
        </w:rPr>
        <w:tab/>
      </w:r>
      <w:r w:rsidRPr="00460063">
        <w:rPr>
          <w:rFonts w:cs="Arial"/>
          <w:b/>
          <w:bCs/>
          <w:noProof/>
        </w:rPr>
        <w:t>Decision Rationale</w:t>
      </w:r>
      <w:r w:rsidRPr="00460063">
        <w:rPr>
          <w:b/>
          <w:noProof/>
        </w:rPr>
        <w:tab/>
      </w:r>
      <w:r w:rsidR="0062002A" w:rsidRPr="00460063">
        <w:rPr>
          <w:b/>
          <w:noProof/>
        </w:rPr>
        <w:t>20</w:t>
      </w:r>
    </w:p>
    <w:p w:rsidR="00E44C0B" w:rsidRPr="00460063" w:rsidRDefault="00E44C0B">
      <w:pPr>
        <w:pStyle w:val="TOC2"/>
        <w:rPr>
          <w:rFonts w:asciiTheme="minorHAnsi" w:eastAsiaTheme="minorEastAsia" w:hAnsiTheme="minorHAnsi" w:cstheme="minorBidi"/>
          <w:b/>
          <w:noProof/>
          <w:sz w:val="22"/>
          <w:szCs w:val="22"/>
        </w:rPr>
      </w:pPr>
      <w:r w:rsidRPr="00460063">
        <w:rPr>
          <w:rFonts w:cs="Arial"/>
          <w:b/>
          <w:bCs/>
          <w:noProof/>
        </w:rPr>
        <w:t>6.</w:t>
      </w:r>
      <w:r w:rsidRPr="00460063">
        <w:rPr>
          <w:rFonts w:asciiTheme="minorHAnsi" w:eastAsiaTheme="minorEastAsia" w:hAnsiTheme="minorHAnsi" w:cstheme="minorBidi"/>
          <w:b/>
          <w:noProof/>
          <w:sz w:val="22"/>
          <w:szCs w:val="22"/>
        </w:rPr>
        <w:tab/>
      </w:r>
      <w:r w:rsidRPr="00460063">
        <w:rPr>
          <w:rFonts w:cs="Arial"/>
          <w:b/>
          <w:bCs/>
          <w:noProof/>
        </w:rPr>
        <w:t>Implementation</w:t>
      </w:r>
      <w:r w:rsidRPr="00460063">
        <w:rPr>
          <w:b/>
          <w:noProof/>
        </w:rPr>
        <w:tab/>
      </w:r>
      <w:r w:rsidR="0062002A" w:rsidRPr="00460063">
        <w:rPr>
          <w:b/>
          <w:noProof/>
        </w:rPr>
        <w:t>21</w:t>
      </w:r>
    </w:p>
    <w:p w:rsidR="00E44C0B" w:rsidRPr="00460063" w:rsidRDefault="00E44C0B">
      <w:pPr>
        <w:pStyle w:val="TOC2"/>
        <w:rPr>
          <w:rFonts w:asciiTheme="minorHAnsi" w:eastAsiaTheme="minorEastAsia" w:hAnsiTheme="minorHAnsi" w:cstheme="minorBidi"/>
          <w:b/>
          <w:noProof/>
          <w:sz w:val="22"/>
          <w:szCs w:val="22"/>
        </w:rPr>
      </w:pPr>
      <w:r w:rsidRPr="00460063">
        <w:rPr>
          <w:rFonts w:cs="Arial"/>
          <w:b/>
          <w:bCs/>
          <w:noProof/>
        </w:rPr>
        <w:t>7.</w:t>
      </w:r>
      <w:r w:rsidRPr="00460063">
        <w:rPr>
          <w:rFonts w:asciiTheme="minorHAnsi" w:eastAsiaTheme="minorEastAsia" w:hAnsiTheme="minorHAnsi" w:cstheme="minorBidi"/>
          <w:b/>
          <w:noProof/>
          <w:sz w:val="22"/>
          <w:szCs w:val="22"/>
        </w:rPr>
        <w:tab/>
      </w:r>
      <w:r w:rsidRPr="00460063">
        <w:rPr>
          <w:rFonts w:cs="Arial"/>
          <w:b/>
          <w:bCs/>
          <w:noProof/>
        </w:rPr>
        <w:t>References</w:t>
      </w:r>
      <w:r w:rsidRPr="00460063">
        <w:rPr>
          <w:b/>
          <w:noProof/>
        </w:rPr>
        <w:tab/>
      </w:r>
      <w:r w:rsidR="0062002A" w:rsidRPr="00460063">
        <w:rPr>
          <w:b/>
          <w:noProof/>
        </w:rPr>
        <w:t>21</w:t>
      </w:r>
    </w:p>
    <w:p w:rsidR="00C1459C" w:rsidRPr="00A41BB1" w:rsidRDefault="001C7681" w:rsidP="00024F10">
      <w:pPr>
        <w:tabs>
          <w:tab w:val="left" w:pos="1440"/>
          <w:tab w:val="right" w:leader="dot" w:pos="9360"/>
        </w:tabs>
        <w:spacing w:after="160"/>
        <w:ind w:left="720" w:hanging="720"/>
        <w:rPr>
          <w:rFonts w:cs="Arial"/>
          <w:b/>
          <w:sz w:val="22"/>
          <w:szCs w:val="22"/>
        </w:rPr>
      </w:pPr>
      <w:r w:rsidRPr="00460063">
        <w:rPr>
          <w:rFonts w:cs="Arial"/>
          <w:b/>
          <w:sz w:val="22"/>
          <w:szCs w:val="22"/>
        </w:rPr>
        <w:fldChar w:fldCharType="end"/>
      </w:r>
    </w:p>
    <w:p w:rsidR="00C1459C" w:rsidRPr="009B5E75" w:rsidRDefault="00C1459C" w:rsidP="00C1459C">
      <w:pPr>
        <w:rPr>
          <w:rFonts w:cs="Arial"/>
          <w:sz w:val="22"/>
          <w:szCs w:val="22"/>
        </w:rPr>
      </w:pPr>
    </w:p>
    <w:p w:rsidR="00C1459C" w:rsidRPr="009B5E75" w:rsidRDefault="00C1459C" w:rsidP="00C1459C">
      <w:pPr>
        <w:rPr>
          <w:rFonts w:cs="Arial"/>
          <w:sz w:val="22"/>
          <w:szCs w:val="22"/>
        </w:rPr>
        <w:sectPr w:rsidR="00C1459C" w:rsidRPr="009B5E75" w:rsidSect="00921BB1">
          <w:headerReference w:type="default" r:id="rId23"/>
          <w:footerReference w:type="default" r:id="rId24"/>
          <w:pgSz w:w="12240" w:h="15840" w:code="1"/>
          <w:pgMar w:top="1440" w:right="1440" w:bottom="1440" w:left="1440" w:header="1440" w:footer="1440" w:gutter="0"/>
          <w:pgNumType w:fmt="lowerRoman" w:start="1"/>
          <w:cols w:space="720"/>
          <w:noEndnote/>
          <w:docGrid w:linePitch="272"/>
        </w:sectPr>
      </w:pPr>
    </w:p>
    <w:p w:rsidR="00C1459C" w:rsidRPr="009B5E75" w:rsidRDefault="00C1459C" w:rsidP="00C1459C">
      <w:pPr>
        <w:rPr>
          <w:rFonts w:cs="Arial"/>
          <w:sz w:val="22"/>
          <w:szCs w:val="22"/>
        </w:rPr>
      </w:pPr>
    </w:p>
    <w:p w:rsidR="00A5172D" w:rsidRPr="009B5E75" w:rsidRDefault="00C1459C" w:rsidP="00C1459C">
      <w:pPr>
        <w:tabs>
          <w:tab w:val="left" w:pos="720"/>
        </w:tabs>
        <w:ind w:left="720" w:hanging="720"/>
        <w:rPr>
          <w:rFonts w:cs="Arial"/>
          <w:b/>
          <w:sz w:val="22"/>
          <w:szCs w:val="22"/>
        </w:rPr>
      </w:pPr>
      <w:r w:rsidRPr="009B5E75">
        <w:rPr>
          <w:rFonts w:cs="Arial"/>
          <w:sz w:val="22"/>
          <w:szCs w:val="22"/>
        </w:rPr>
        <w:br w:type="page"/>
      </w:r>
      <w:r w:rsidR="00A5172D" w:rsidRPr="009B5E75">
        <w:rPr>
          <w:rFonts w:cs="Arial"/>
          <w:b/>
          <w:sz w:val="22"/>
          <w:szCs w:val="22"/>
        </w:rPr>
        <w:lastRenderedPageBreak/>
        <w:t>Executive Summary</w:t>
      </w:r>
      <w:r w:rsidR="009D717B" w:rsidRPr="009B5E75">
        <w:rPr>
          <w:rFonts w:cs="Arial"/>
          <w:b/>
          <w:sz w:val="22"/>
          <w:szCs w:val="22"/>
        </w:rPr>
        <w:t xml:space="preserve"> </w:t>
      </w:r>
      <w:r w:rsidR="001C7681" w:rsidRPr="009B5E75">
        <w:rPr>
          <w:rFonts w:cs="Arial"/>
          <w:b/>
          <w:bCs/>
          <w:sz w:val="22"/>
          <w:szCs w:val="22"/>
        </w:rPr>
        <w:fldChar w:fldCharType="begin"/>
      </w:r>
      <w:proofErr w:type="spellStart"/>
      <w:r w:rsidR="009D717B" w:rsidRPr="009B5E75">
        <w:rPr>
          <w:rFonts w:cs="Arial"/>
          <w:b/>
          <w:bCs/>
          <w:sz w:val="22"/>
          <w:szCs w:val="22"/>
        </w:rPr>
        <w:instrText>tc</w:instrText>
      </w:r>
      <w:proofErr w:type="spellEnd"/>
      <w:r w:rsidR="009D717B" w:rsidRPr="009B5E75">
        <w:rPr>
          <w:rFonts w:cs="Arial"/>
          <w:b/>
          <w:bCs/>
          <w:sz w:val="22"/>
          <w:szCs w:val="22"/>
        </w:rPr>
        <w:instrText xml:space="preserve"> "</w:instrText>
      </w:r>
      <w:bookmarkStart w:id="1" w:name="_Toc336939789"/>
      <w:r w:rsidR="009D717B" w:rsidRPr="009B5E75">
        <w:rPr>
          <w:rFonts w:cs="Arial"/>
          <w:b/>
          <w:bCs/>
          <w:sz w:val="22"/>
          <w:szCs w:val="22"/>
        </w:rPr>
        <w:instrText xml:space="preserve">Executive </w:instrText>
      </w:r>
      <w:proofErr w:type="gramStart"/>
      <w:r w:rsidR="009D717B" w:rsidRPr="009B5E75">
        <w:rPr>
          <w:rFonts w:cs="Arial"/>
          <w:b/>
          <w:bCs/>
          <w:sz w:val="22"/>
          <w:szCs w:val="22"/>
        </w:rPr>
        <w:instrText>Summary</w:instrText>
      </w:r>
      <w:bookmarkEnd w:id="1"/>
      <w:r w:rsidR="009D717B" w:rsidRPr="009B5E75">
        <w:rPr>
          <w:rFonts w:cs="Arial"/>
          <w:b/>
          <w:bCs/>
          <w:sz w:val="22"/>
          <w:szCs w:val="22"/>
        </w:rPr>
        <w:instrText xml:space="preserve"> "</w:instrText>
      </w:r>
      <w:proofErr w:type="gramEnd"/>
      <w:r w:rsidR="009D717B" w:rsidRPr="009B5E75">
        <w:rPr>
          <w:rFonts w:cs="Arial"/>
          <w:b/>
          <w:bCs/>
          <w:sz w:val="22"/>
          <w:szCs w:val="22"/>
        </w:rPr>
        <w:instrText xml:space="preserve"> \l 2</w:instrText>
      </w:r>
      <w:r w:rsidR="001C7681" w:rsidRPr="009B5E75">
        <w:rPr>
          <w:rFonts w:cs="Arial"/>
          <w:b/>
          <w:bCs/>
          <w:sz w:val="22"/>
          <w:szCs w:val="22"/>
        </w:rPr>
        <w:fldChar w:fldCharType="end"/>
      </w:r>
    </w:p>
    <w:p w:rsidR="00A5172D" w:rsidRPr="009B5E75" w:rsidRDefault="00A5172D" w:rsidP="00C1459C">
      <w:pPr>
        <w:tabs>
          <w:tab w:val="left" w:pos="720"/>
        </w:tabs>
        <w:ind w:left="720" w:hanging="720"/>
        <w:rPr>
          <w:rFonts w:cs="Arial"/>
          <w:sz w:val="22"/>
          <w:szCs w:val="22"/>
        </w:rPr>
      </w:pPr>
    </w:p>
    <w:p w:rsidR="00B05C68" w:rsidRPr="001D3650" w:rsidRDefault="00CB4C61" w:rsidP="00B05C68">
      <w:pPr>
        <w:tabs>
          <w:tab w:val="num" w:pos="1260"/>
        </w:tabs>
        <w:rPr>
          <w:rFonts w:cs="Arial"/>
          <w:sz w:val="22"/>
          <w:szCs w:val="22"/>
        </w:rPr>
      </w:pPr>
      <w:r w:rsidRPr="009B5E75">
        <w:rPr>
          <w:rFonts w:cs="Arial"/>
          <w:sz w:val="22"/>
          <w:szCs w:val="22"/>
        </w:rPr>
        <w:t>The U.S. Nuclear Regulatory Commission (NRC</w:t>
      </w:r>
      <w:r w:rsidR="00CE3757">
        <w:rPr>
          <w:rFonts w:cs="Arial"/>
          <w:sz w:val="22"/>
          <w:szCs w:val="22"/>
        </w:rPr>
        <w:t xml:space="preserve"> or the Commission</w:t>
      </w:r>
      <w:r w:rsidRPr="009B5E75">
        <w:rPr>
          <w:rFonts w:cs="Arial"/>
          <w:sz w:val="22"/>
          <w:szCs w:val="22"/>
        </w:rPr>
        <w:t xml:space="preserve">) is proposing to </w:t>
      </w:r>
      <w:r w:rsidR="006D35A4">
        <w:rPr>
          <w:rFonts w:cs="Arial"/>
          <w:sz w:val="22"/>
          <w:szCs w:val="22"/>
        </w:rPr>
        <w:t xml:space="preserve">amend </w:t>
      </w:r>
      <w:r w:rsidR="0048470A">
        <w:rPr>
          <w:rFonts w:cs="Arial"/>
          <w:sz w:val="22"/>
          <w:szCs w:val="22"/>
        </w:rPr>
        <w:t xml:space="preserve">the </w:t>
      </w:r>
      <w:r w:rsidR="00675723">
        <w:rPr>
          <w:rFonts w:cs="Arial"/>
          <w:sz w:val="22"/>
          <w:szCs w:val="22"/>
        </w:rPr>
        <w:t xml:space="preserve">Title </w:t>
      </w:r>
      <w:r w:rsidR="0048470A">
        <w:rPr>
          <w:rFonts w:cs="Arial"/>
          <w:sz w:val="22"/>
          <w:szCs w:val="22"/>
        </w:rPr>
        <w:t xml:space="preserve">10 </w:t>
      </w:r>
      <w:r w:rsidR="00675723">
        <w:rPr>
          <w:rFonts w:cs="Arial"/>
          <w:sz w:val="22"/>
          <w:szCs w:val="22"/>
        </w:rPr>
        <w:t xml:space="preserve">of the </w:t>
      </w:r>
      <w:r w:rsidR="00675723" w:rsidRPr="00675723">
        <w:rPr>
          <w:rFonts w:cs="Arial"/>
          <w:i/>
          <w:sz w:val="22"/>
          <w:szCs w:val="22"/>
        </w:rPr>
        <w:t>Code of Federal Regulations</w:t>
      </w:r>
      <w:r w:rsidR="00675723">
        <w:rPr>
          <w:rFonts w:cs="Arial"/>
          <w:sz w:val="22"/>
          <w:szCs w:val="22"/>
        </w:rPr>
        <w:t xml:space="preserve"> (10 </w:t>
      </w:r>
      <w:r w:rsidR="0048470A">
        <w:rPr>
          <w:rFonts w:cs="Arial"/>
          <w:sz w:val="22"/>
          <w:szCs w:val="22"/>
        </w:rPr>
        <w:t>CFR</w:t>
      </w:r>
      <w:r w:rsidR="00675723">
        <w:rPr>
          <w:rFonts w:cs="Arial"/>
          <w:sz w:val="22"/>
          <w:szCs w:val="22"/>
        </w:rPr>
        <w:t>)</w:t>
      </w:r>
      <w:r w:rsidR="0048470A">
        <w:rPr>
          <w:rFonts w:cs="Arial"/>
          <w:sz w:val="22"/>
          <w:szCs w:val="22"/>
        </w:rPr>
        <w:t xml:space="preserve"> </w:t>
      </w:r>
      <w:r w:rsidR="001B0DBD">
        <w:rPr>
          <w:rFonts w:cs="Arial"/>
          <w:sz w:val="22"/>
          <w:szCs w:val="22"/>
        </w:rPr>
        <w:t>part</w:t>
      </w:r>
      <w:r w:rsidR="006C2094" w:rsidRPr="006C2094">
        <w:rPr>
          <w:rFonts w:cs="Arial"/>
          <w:sz w:val="22"/>
          <w:szCs w:val="22"/>
        </w:rPr>
        <w:t xml:space="preserve"> 74 </w:t>
      </w:r>
      <w:r w:rsidR="00675723">
        <w:rPr>
          <w:rFonts w:cs="Arial"/>
          <w:sz w:val="22"/>
          <w:szCs w:val="22"/>
        </w:rPr>
        <w:t>material control and accounting (</w:t>
      </w:r>
      <w:r w:rsidR="006C2094" w:rsidRPr="006C2094">
        <w:rPr>
          <w:rFonts w:cs="Arial"/>
          <w:sz w:val="22"/>
          <w:szCs w:val="22"/>
        </w:rPr>
        <w:t>MC&amp;A</w:t>
      </w:r>
      <w:r w:rsidR="00675723">
        <w:rPr>
          <w:rFonts w:cs="Arial"/>
          <w:sz w:val="22"/>
          <w:szCs w:val="22"/>
        </w:rPr>
        <w:t xml:space="preserve">) </w:t>
      </w:r>
      <w:r w:rsidR="006C2094" w:rsidRPr="006C2094">
        <w:rPr>
          <w:rFonts w:cs="Arial"/>
          <w:sz w:val="22"/>
          <w:szCs w:val="22"/>
        </w:rPr>
        <w:t xml:space="preserve">regulations applicable to special nuclear material (SNM) and some source material.  This rulemaking would consolidate the </w:t>
      </w:r>
      <w:r w:rsidR="009E67EB">
        <w:rPr>
          <w:rFonts w:cs="Arial"/>
          <w:sz w:val="22"/>
          <w:szCs w:val="22"/>
        </w:rPr>
        <w:t xml:space="preserve">MC&amp;A requirements currently in </w:t>
      </w:r>
      <w:r w:rsidR="006D35A4">
        <w:rPr>
          <w:rFonts w:cs="Arial"/>
          <w:sz w:val="22"/>
          <w:szCs w:val="22"/>
        </w:rPr>
        <w:t>10 CFR</w:t>
      </w:r>
      <w:r w:rsidR="00217533">
        <w:rPr>
          <w:rFonts w:cs="Arial"/>
          <w:sz w:val="22"/>
          <w:szCs w:val="22"/>
        </w:rPr>
        <w:t xml:space="preserve"> </w:t>
      </w:r>
      <w:proofErr w:type="gramStart"/>
      <w:r w:rsidR="001B0DBD">
        <w:rPr>
          <w:rFonts w:cs="Arial"/>
          <w:sz w:val="22"/>
          <w:szCs w:val="22"/>
        </w:rPr>
        <w:t>part</w:t>
      </w:r>
      <w:proofErr w:type="gramEnd"/>
      <w:r w:rsidR="006C2094" w:rsidRPr="006C2094">
        <w:rPr>
          <w:rFonts w:cs="Arial"/>
          <w:sz w:val="22"/>
          <w:szCs w:val="22"/>
        </w:rPr>
        <w:t xml:space="preserve"> 72 for independent spent fuel sto</w:t>
      </w:r>
      <w:r w:rsidR="0048470A">
        <w:rPr>
          <w:rFonts w:cs="Arial"/>
          <w:sz w:val="22"/>
          <w:szCs w:val="22"/>
        </w:rPr>
        <w:t xml:space="preserve">rage installations (ISFSIs) in </w:t>
      </w:r>
      <w:r w:rsidR="006D35A4">
        <w:rPr>
          <w:rFonts w:cs="Arial"/>
          <w:sz w:val="22"/>
          <w:szCs w:val="22"/>
        </w:rPr>
        <w:t>10 CFR</w:t>
      </w:r>
      <w:r w:rsidR="00217533">
        <w:rPr>
          <w:rFonts w:cs="Arial"/>
          <w:sz w:val="22"/>
          <w:szCs w:val="22"/>
        </w:rPr>
        <w:t xml:space="preserve"> </w:t>
      </w:r>
      <w:r w:rsidR="001B0DBD">
        <w:rPr>
          <w:rFonts w:cs="Arial"/>
          <w:sz w:val="22"/>
          <w:szCs w:val="22"/>
        </w:rPr>
        <w:t>part</w:t>
      </w:r>
      <w:r w:rsidR="0048470A">
        <w:rPr>
          <w:rFonts w:cs="Arial"/>
          <w:sz w:val="22"/>
          <w:szCs w:val="22"/>
        </w:rPr>
        <w:t xml:space="preserve"> 74.  Also, </w:t>
      </w:r>
      <w:r w:rsidR="00431E0B">
        <w:rPr>
          <w:rFonts w:cs="Arial"/>
          <w:sz w:val="22"/>
          <w:szCs w:val="22"/>
        </w:rPr>
        <w:t>10 CFR</w:t>
      </w:r>
      <w:r w:rsidR="00431E0B" w:rsidRPr="006C2094">
        <w:rPr>
          <w:rFonts w:cs="Arial"/>
          <w:sz w:val="22"/>
          <w:szCs w:val="22"/>
        </w:rPr>
        <w:t xml:space="preserve"> </w:t>
      </w:r>
      <w:r w:rsidR="006C2094" w:rsidRPr="006C2094">
        <w:rPr>
          <w:rFonts w:cs="Arial"/>
          <w:sz w:val="22"/>
          <w:szCs w:val="22"/>
        </w:rPr>
        <w:t xml:space="preserve">150.17 (applicable to licensees located in Agreement States) would be changed to conform to </w:t>
      </w:r>
      <w:r w:rsidR="00431E0B">
        <w:rPr>
          <w:rFonts w:cs="Arial"/>
          <w:sz w:val="22"/>
          <w:szCs w:val="22"/>
        </w:rPr>
        <w:t>10 CFR</w:t>
      </w:r>
      <w:r w:rsidR="00431E0B" w:rsidRPr="006C2094">
        <w:rPr>
          <w:rFonts w:cs="Arial"/>
          <w:sz w:val="22"/>
          <w:szCs w:val="22"/>
        </w:rPr>
        <w:t xml:space="preserve"> </w:t>
      </w:r>
      <w:r w:rsidR="006C2094" w:rsidRPr="006C2094">
        <w:rPr>
          <w:rFonts w:cs="Arial"/>
          <w:sz w:val="22"/>
          <w:szCs w:val="22"/>
        </w:rPr>
        <w:t>74.13.</w:t>
      </w:r>
      <w:r w:rsidR="00DF0008">
        <w:rPr>
          <w:rFonts w:cs="Arial"/>
          <w:sz w:val="22"/>
          <w:szCs w:val="22"/>
        </w:rPr>
        <w:t xml:space="preserve"> </w:t>
      </w:r>
      <w:r w:rsidR="006C2094" w:rsidRPr="006C2094">
        <w:rPr>
          <w:rFonts w:cs="Arial"/>
          <w:sz w:val="22"/>
          <w:szCs w:val="22"/>
        </w:rPr>
        <w:t xml:space="preserve"> </w:t>
      </w:r>
      <w:r w:rsidR="00B05C68" w:rsidRPr="001D3650">
        <w:rPr>
          <w:rFonts w:cs="Arial"/>
          <w:sz w:val="22"/>
          <w:szCs w:val="22"/>
        </w:rPr>
        <w:t>Other miscellaneous</w:t>
      </w:r>
      <w:r w:rsidR="0048470A">
        <w:rPr>
          <w:rFonts w:cs="Arial"/>
          <w:sz w:val="22"/>
          <w:szCs w:val="22"/>
        </w:rPr>
        <w:t xml:space="preserve"> changes would also be made to </w:t>
      </w:r>
      <w:r w:rsidR="006D35A4">
        <w:rPr>
          <w:rFonts w:cs="Arial"/>
          <w:sz w:val="22"/>
          <w:szCs w:val="22"/>
        </w:rPr>
        <w:t>10 CFR</w:t>
      </w:r>
      <w:r w:rsidR="00217533">
        <w:rPr>
          <w:rFonts w:cs="Arial"/>
          <w:sz w:val="22"/>
          <w:szCs w:val="22"/>
        </w:rPr>
        <w:t xml:space="preserve"> </w:t>
      </w:r>
      <w:r w:rsidR="001B0DBD">
        <w:rPr>
          <w:rFonts w:cs="Arial"/>
          <w:sz w:val="22"/>
          <w:szCs w:val="22"/>
        </w:rPr>
        <w:t>part</w:t>
      </w:r>
      <w:r w:rsidR="00B05C68" w:rsidRPr="001D3650">
        <w:rPr>
          <w:rFonts w:cs="Arial"/>
          <w:sz w:val="22"/>
          <w:szCs w:val="22"/>
        </w:rPr>
        <w:t xml:space="preserve"> 74 requirements for Category III, II, an</w:t>
      </w:r>
      <w:r w:rsidR="009E67EB">
        <w:rPr>
          <w:rFonts w:cs="Arial"/>
          <w:sz w:val="22"/>
          <w:szCs w:val="22"/>
        </w:rPr>
        <w:t>d I facilities respectively in S</w:t>
      </w:r>
      <w:r w:rsidR="00B05C68" w:rsidRPr="001D3650">
        <w:rPr>
          <w:rFonts w:cs="Arial"/>
          <w:sz w:val="22"/>
          <w:szCs w:val="22"/>
        </w:rPr>
        <w:t>ub</w:t>
      </w:r>
      <w:r w:rsidR="003B30DC">
        <w:rPr>
          <w:rFonts w:cs="Arial"/>
          <w:sz w:val="22"/>
          <w:szCs w:val="22"/>
        </w:rPr>
        <w:t>part</w:t>
      </w:r>
      <w:r w:rsidR="00B05C68" w:rsidRPr="001D3650">
        <w:rPr>
          <w:rFonts w:cs="Arial"/>
          <w:sz w:val="22"/>
          <w:szCs w:val="22"/>
        </w:rPr>
        <w:t>s C, D, and E.  Plain language r</w:t>
      </w:r>
      <w:r w:rsidR="009E67EB">
        <w:rPr>
          <w:rFonts w:cs="Arial"/>
          <w:sz w:val="22"/>
          <w:szCs w:val="22"/>
        </w:rPr>
        <w:t xml:space="preserve">evisions would also be made to </w:t>
      </w:r>
      <w:r w:rsidR="006D35A4">
        <w:rPr>
          <w:rFonts w:cs="Arial"/>
          <w:sz w:val="22"/>
          <w:szCs w:val="22"/>
        </w:rPr>
        <w:t>10 CFR</w:t>
      </w:r>
      <w:r w:rsidR="00217533">
        <w:rPr>
          <w:rFonts w:cs="Arial"/>
          <w:sz w:val="22"/>
          <w:szCs w:val="22"/>
        </w:rPr>
        <w:t xml:space="preserve"> </w:t>
      </w:r>
      <w:proofErr w:type="gramStart"/>
      <w:r w:rsidR="001B0DBD">
        <w:rPr>
          <w:rFonts w:cs="Arial"/>
          <w:sz w:val="22"/>
          <w:szCs w:val="22"/>
        </w:rPr>
        <w:t>part</w:t>
      </w:r>
      <w:proofErr w:type="gramEnd"/>
      <w:r w:rsidR="00B05C68" w:rsidRPr="001D3650">
        <w:rPr>
          <w:rFonts w:cs="Arial"/>
          <w:sz w:val="22"/>
          <w:szCs w:val="22"/>
        </w:rPr>
        <w:t xml:space="preserve"> 74.  Existing NUREG guidance documents would be revised to re</w:t>
      </w:r>
      <w:r w:rsidR="003B30DC">
        <w:rPr>
          <w:rFonts w:cs="Arial"/>
          <w:sz w:val="22"/>
          <w:szCs w:val="22"/>
        </w:rPr>
        <w:t xml:space="preserve">flect these changes and a </w:t>
      </w:r>
      <w:r w:rsidR="00D24EE2">
        <w:rPr>
          <w:rFonts w:cs="Arial"/>
          <w:sz w:val="22"/>
          <w:szCs w:val="22"/>
        </w:rPr>
        <w:t>previously un-issued</w:t>
      </w:r>
      <w:r w:rsidR="003B30DC">
        <w:rPr>
          <w:rFonts w:cs="Arial"/>
          <w:sz w:val="22"/>
          <w:szCs w:val="22"/>
        </w:rPr>
        <w:t xml:space="preserve"> NUREG</w:t>
      </w:r>
      <w:r w:rsidR="00D24EE2">
        <w:rPr>
          <w:rFonts w:cs="Arial"/>
          <w:sz w:val="22"/>
          <w:szCs w:val="22"/>
        </w:rPr>
        <w:t xml:space="preserve"> </w:t>
      </w:r>
      <w:r w:rsidR="00B05C68" w:rsidRPr="001D3650">
        <w:rPr>
          <w:rFonts w:cs="Arial"/>
          <w:sz w:val="22"/>
          <w:szCs w:val="22"/>
        </w:rPr>
        <w:t xml:space="preserve">guidance document for Category II facilities would </w:t>
      </w:r>
      <w:r w:rsidR="00D24EE2">
        <w:rPr>
          <w:rFonts w:cs="Arial"/>
          <w:sz w:val="22"/>
          <w:szCs w:val="22"/>
        </w:rPr>
        <w:t>also be updated and included</w:t>
      </w:r>
      <w:r w:rsidR="00906EB7" w:rsidRPr="001D3650">
        <w:rPr>
          <w:rFonts w:cs="Arial"/>
          <w:sz w:val="22"/>
          <w:szCs w:val="22"/>
        </w:rPr>
        <w:t>.</w:t>
      </w:r>
      <w:r w:rsidR="00906EB7">
        <w:rPr>
          <w:rFonts w:cs="Arial"/>
          <w:sz w:val="22"/>
          <w:szCs w:val="22"/>
        </w:rPr>
        <w:t xml:space="preserve">  </w:t>
      </w:r>
      <w:r w:rsidR="006C2094" w:rsidRPr="006C2094">
        <w:rPr>
          <w:rFonts w:cs="Arial"/>
          <w:sz w:val="22"/>
          <w:szCs w:val="22"/>
        </w:rPr>
        <w:t xml:space="preserve">References to due dates and reporting frequencies would be made more uniform by expressing such times in terms of calendar days.  Section 74.4 would be amended by adding, removing, and modifying certain defined </w:t>
      </w:r>
      <w:r w:rsidR="009E67EB">
        <w:rPr>
          <w:rFonts w:cs="Arial"/>
          <w:sz w:val="22"/>
          <w:szCs w:val="22"/>
        </w:rPr>
        <w:t xml:space="preserve">terms that are used throughout </w:t>
      </w:r>
      <w:r w:rsidR="006D35A4">
        <w:rPr>
          <w:rFonts w:cs="Arial"/>
          <w:sz w:val="22"/>
          <w:szCs w:val="22"/>
        </w:rPr>
        <w:t>10 CFR</w:t>
      </w:r>
      <w:r w:rsidR="00217533">
        <w:rPr>
          <w:rFonts w:cs="Arial"/>
          <w:sz w:val="22"/>
          <w:szCs w:val="22"/>
        </w:rPr>
        <w:t xml:space="preserve"> </w:t>
      </w:r>
      <w:proofErr w:type="gramStart"/>
      <w:r w:rsidR="001B0DBD">
        <w:rPr>
          <w:rFonts w:cs="Arial"/>
          <w:sz w:val="22"/>
          <w:szCs w:val="22"/>
        </w:rPr>
        <w:t>part</w:t>
      </w:r>
      <w:proofErr w:type="gramEnd"/>
      <w:r w:rsidR="006C2094" w:rsidRPr="006C2094">
        <w:rPr>
          <w:rFonts w:cs="Arial"/>
          <w:sz w:val="22"/>
          <w:szCs w:val="22"/>
        </w:rPr>
        <w:t xml:space="preserve"> 74.  </w:t>
      </w:r>
    </w:p>
    <w:p w:rsidR="006C2094" w:rsidRPr="009B5E75" w:rsidRDefault="006C2094" w:rsidP="006C2094">
      <w:pPr>
        <w:rPr>
          <w:rFonts w:cs="Arial"/>
          <w:bCs/>
          <w:sz w:val="22"/>
          <w:szCs w:val="22"/>
        </w:rPr>
      </w:pPr>
    </w:p>
    <w:p w:rsidR="00A5172D" w:rsidRPr="009B5E75" w:rsidRDefault="00CB4C61" w:rsidP="00D73041">
      <w:pPr>
        <w:rPr>
          <w:rFonts w:cs="Arial"/>
          <w:sz w:val="22"/>
          <w:szCs w:val="22"/>
        </w:rPr>
      </w:pPr>
      <w:r w:rsidRPr="00AA1D8A">
        <w:rPr>
          <w:rFonts w:cs="Arial"/>
          <w:sz w:val="22"/>
          <w:szCs w:val="22"/>
        </w:rPr>
        <w:t xml:space="preserve">The </w:t>
      </w:r>
      <w:r w:rsidR="00F617F6" w:rsidRPr="00AA1D8A">
        <w:rPr>
          <w:rFonts w:cs="Arial"/>
          <w:sz w:val="22"/>
          <w:szCs w:val="22"/>
        </w:rPr>
        <w:t xml:space="preserve">regulatory </w:t>
      </w:r>
      <w:r w:rsidRPr="00AA1D8A">
        <w:rPr>
          <w:rFonts w:cs="Arial"/>
          <w:sz w:val="22"/>
          <w:szCs w:val="22"/>
        </w:rPr>
        <w:t xml:space="preserve">analysis examines the benefits and costs of the proposed </w:t>
      </w:r>
      <w:r w:rsidR="00F6316B" w:rsidRPr="00AA1D8A">
        <w:rPr>
          <w:rFonts w:cs="Arial"/>
          <w:sz w:val="22"/>
          <w:szCs w:val="22"/>
        </w:rPr>
        <w:t>changes to the requirements for general performance objectives</w:t>
      </w:r>
      <w:r w:rsidR="007F1D16">
        <w:rPr>
          <w:rFonts w:cs="Arial"/>
          <w:sz w:val="22"/>
          <w:szCs w:val="22"/>
        </w:rPr>
        <w:t>,</w:t>
      </w:r>
      <w:r w:rsidR="00F6316B" w:rsidRPr="00AA1D8A">
        <w:rPr>
          <w:rFonts w:cs="Arial"/>
          <w:sz w:val="22"/>
          <w:szCs w:val="22"/>
        </w:rPr>
        <w:t xml:space="preserve"> recordkeeping and submitting reports</w:t>
      </w:r>
      <w:r w:rsidR="007F1D16">
        <w:rPr>
          <w:rFonts w:cs="Arial"/>
          <w:sz w:val="22"/>
          <w:szCs w:val="22"/>
        </w:rPr>
        <w:t>,</w:t>
      </w:r>
      <w:r w:rsidR="00F6316B" w:rsidRPr="00AA1D8A">
        <w:rPr>
          <w:rFonts w:cs="Arial"/>
          <w:sz w:val="22"/>
          <w:szCs w:val="22"/>
        </w:rPr>
        <w:t xml:space="preserve"> written </w:t>
      </w:r>
      <w:r w:rsidR="00675723">
        <w:rPr>
          <w:rFonts w:cs="Arial"/>
          <w:sz w:val="22"/>
          <w:szCs w:val="22"/>
        </w:rPr>
        <w:t xml:space="preserve">MC&amp;A </w:t>
      </w:r>
      <w:r w:rsidR="00F6316B" w:rsidRPr="00AA1D8A">
        <w:rPr>
          <w:rFonts w:cs="Arial"/>
          <w:sz w:val="22"/>
          <w:szCs w:val="22"/>
        </w:rPr>
        <w:t>procedures</w:t>
      </w:r>
      <w:r w:rsidR="007F1D16">
        <w:rPr>
          <w:rFonts w:cs="Arial"/>
          <w:sz w:val="22"/>
          <w:szCs w:val="22"/>
        </w:rPr>
        <w:t>,</w:t>
      </w:r>
      <w:r w:rsidR="00F6316B" w:rsidRPr="00AA1D8A">
        <w:rPr>
          <w:rFonts w:cs="Arial"/>
          <w:sz w:val="22"/>
          <w:szCs w:val="22"/>
        </w:rPr>
        <w:t xml:space="preserve"> completing physical inventories, item controls</w:t>
      </w:r>
      <w:r w:rsidR="007F1D16">
        <w:rPr>
          <w:rFonts w:cs="Arial"/>
          <w:sz w:val="22"/>
          <w:szCs w:val="22"/>
        </w:rPr>
        <w:t>,</w:t>
      </w:r>
      <w:r w:rsidR="00F6316B" w:rsidRPr="00AA1D8A">
        <w:rPr>
          <w:rFonts w:cs="Arial"/>
          <w:sz w:val="22"/>
          <w:szCs w:val="22"/>
        </w:rPr>
        <w:t xml:space="preserve"> tamper-safing operations</w:t>
      </w:r>
      <w:r w:rsidR="007F1D16">
        <w:rPr>
          <w:rFonts w:cs="Arial"/>
          <w:sz w:val="22"/>
          <w:szCs w:val="22"/>
        </w:rPr>
        <w:t>,</w:t>
      </w:r>
      <w:r w:rsidR="00F6316B" w:rsidRPr="00AA1D8A">
        <w:rPr>
          <w:rFonts w:cs="Arial"/>
          <w:sz w:val="22"/>
          <w:szCs w:val="22"/>
        </w:rPr>
        <w:t xml:space="preserve"> and designating material balance areas and item control areas and custodial responsibilities for these areas</w:t>
      </w:r>
      <w:r w:rsidRPr="00AA1D8A">
        <w:rPr>
          <w:rFonts w:cs="Arial"/>
          <w:sz w:val="22"/>
          <w:szCs w:val="22"/>
        </w:rPr>
        <w:t>.  The</w:t>
      </w:r>
      <w:r w:rsidRPr="009B5E75">
        <w:rPr>
          <w:rFonts w:cs="Arial"/>
          <w:sz w:val="22"/>
          <w:szCs w:val="22"/>
        </w:rPr>
        <w:t xml:space="preserve"> </w:t>
      </w:r>
      <w:r w:rsidR="004E459C">
        <w:rPr>
          <w:rFonts w:cs="Arial"/>
          <w:sz w:val="22"/>
          <w:szCs w:val="22"/>
        </w:rPr>
        <w:t xml:space="preserve">analysis makes the following </w:t>
      </w:r>
      <w:r w:rsidRPr="009B5E75">
        <w:rPr>
          <w:rFonts w:cs="Arial"/>
          <w:sz w:val="22"/>
          <w:szCs w:val="22"/>
        </w:rPr>
        <w:t>key findings:</w:t>
      </w:r>
    </w:p>
    <w:p w:rsidR="00A5172D" w:rsidRPr="009B5E75" w:rsidRDefault="00A5172D" w:rsidP="00D73041">
      <w:pPr>
        <w:rPr>
          <w:rFonts w:cs="Arial"/>
          <w:sz w:val="22"/>
          <w:szCs w:val="22"/>
        </w:rPr>
      </w:pPr>
    </w:p>
    <w:p w:rsidR="002A4E84" w:rsidRPr="001A06B0" w:rsidRDefault="00B100B7" w:rsidP="0048470A">
      <w:pPr>
        <w:pStyle w:val="StyleBulleted"/>
        <w:tabs>
          <w:tab w:val="clear" w:pos="360"/>
        </w:tabs>
        <w:spacing w:after="220"/>
        <w:ind w:left="720"/>
      </w:pPr>
      <w:r>
        <w:t>Total Cost to Industry</w:t>
      </w:r>
      <w:r w:rsidRPr="00B100B7">
        <w:t>.  The proposed rule would result in a total one</w:t>
      </w:r>
      <w:r w:rsidRPr="00B100B7">
        <w:noBreakHyphen/>
        <w:t>time cost to licensees of approximately $</w:t>
      </w:r>
      <w:r w:rsidR="006F052C">
        <w:t>169,000</w:t>
      </w:r>
      <w:r w:rsidR="00A90A72">
        <w:t xml:space="preserve"> </w:t>
      </w:r>
      <w:r w:rsidR="00C0265F" w:rsidRPr="00B100B7">
        <w:t>to</w:t>
      </w:r>
      <w:r w:rsidRPr="00B100B7">
        <w:t xml:space="preserve"> $</w:t>
      </w:r>
      <w:r w:rsidR="006F052C">
        <w:t>193,000</w:t>
      </w:r>
      <w:r w:rsidR="00A90A72">
        <w:t xml:space="preserve"> </w:t>
      </w:r>
      <w:r w:rsidRPr="00B100B7">
        <w:t xml:space="preserve">followed by total annual costs of </w:t>
      </w:r>
      <w:r>
        <w:t>approximately $</w:t>
      </w:r>
      <w:r w:rsidR="006F052C">
        <w:t>72,000</w:t>
      </w:r>
      <w:r w:rsidR="00A90A72">
        <w:t xml:space="preserve"> </w:t>
      </w:r>
      <w:r>
        <w:t>to $</w:t>
      </w:r>
      <w:r w:rsidR="006F052C">
        <w:t>87,000</w:t>
      </w:r>
      <w:r w:rsidRPr="00B100B7">
        <w:t xml:space="preserve">.  </w:t>
      </w:r>
      <w:r>
        <w:t xml:space="preserve">The analysis estimates the total present value of these </w:t>
      </w:r>
      <w:proofErr w:type="gramStart"/>
      <w:r>
        <w:t xml:space="preserve">costs </w:t>
      </w:r>
      <w:r w:rsidR="006F052C">
        <w:t xml:space="preserve"> </w:t>
      </w:r>
      <w:r w:rsidR="00C64AC7">
        <w:t>to</w:t>
      </w:r>
      <w:proofErr w:type="gramEnd"/>
      <w:r w:rsidR="00C64AC7">
        <w:t xml:space="preserve"> be</w:t>
      </w:r>
      <w:r w:rsidR="006F052C">
        <w:t xml:space="preserve"> approximately $678,000 to $802,000</w:t>
      </w:r>
      <w:r w:rsidR="00A90A72">
        <w:t xml:space="preserve"> </w:t>
      </w:r>
      <w:r>
        <w:t xml:space="preserve">(using a 7-percent discount rate) and </w:t>
      </w:r>
      <w:r w:rsidR="006F052C">
        <w:t>approximately $787,000 to $933,000</w:t>
      </w:r>
      <w:r w:rsidRPr="00B100B7">
        <w:t xml:space="preserve"> </w:t>
      </w:r>
      <w:r>
        <w:t xml:space="preserve">(using a 3-percent discount rate) over the 10-year analysis period.  </w:t>
      </w:r>
    </w:p>
    <w:p w:rsidR="00211229" w:rsidRPr="007F24AB" w:rsidRDefault="00CB4C61" w:rsidP="0048470A">
      <w:pPr>
        <w:pStyle w:val="StyleBulleted"/>
        <w:tabs>
          <w:tab w:val="clear" w:pos="360"/>
        </w:tabs>
        <w:spacing w:after="220"/>
        <w:ind w:left="720"/>
        <w:rPr>
          <w:i/>
          <w:color w:val="000000"/>
        </w:rPr>
      </w:pPr>
      <w:r w:rsidRPr="007F24AB">
        <w:rPr>
          <w:color w:val="000000"/>
        </w:rPr>
        <w:t xml:space="preserve">Costs to </w:t>
      </w:r>
      <w:r w:rsidR="006A63E3" w:rsidRPr="007F24AB">
        <w:rPr>
          <w:color w:val="000000"/>
        </w:rPr>
        <w:t xml:space="preserve">the </w:t>
      </w:r>
      <w:r w:rsidRPr="007F24AB">
        <w:rPr>
          <w:color w:val="000000"/>
        </w:rPr>
        <w:t>NRC</w:t>
      </w:r>
      <w:r w:rsidR="00A00344" w:rsidRPr="007F24AB">
        <w:rPr>
          <w:color w:val="000000"/>
        </w:rPr>
        <w:t xml:space="preserve">. </w:t>
      </w:r>
      <w:r w:rsidR="00A00344" w:rsidRPr="007F24AB">
        <w:rPr>
          <w:i/>
          <w:color w:val="FF0000"/>
        </w:rPr>
        <w:t xml:space="preserve"> </w:t>
      </w:r>
      <w:r w:rsidRPr="007F24AB">
        <w:rPr>
          <w:color w:val="000000"/>
        </w:rPr>
        <w:t xml:space="preserve">The rule would result in a one-time cost to </w:t>
      </w:r>
      <w:r w:rsidR="009001F2" w:rsidRPr="007F24AB">
        <w:rPr>
          <w:color w:val="000000"/>
        </w:rPr>
        <w:t xml:space="preserve">the </w:t>
      </w:r>
      <w:r w:rsidRPr="007F24AB">
        <w:rPr>
          <w:color w:val="000000"/>
        </w:rPr>
        <w:t>NRC of approximately $</w:t>
      </w:r>
      <w:r w:rsidR="007F24AB" w:rsidRPr="007F24AB">
        <w:rPr>
          <w:color w:val="000000"/>
        </w:rPr>
        <w:t>259,</w:t>
      </w:r>
      <w:r w:rsidR="00CE6548">
        <w:rPr>
          <w:color w:val="000000"/>
        </w:rPr>
        <w:t>00</w:t>
      </w:r>
      <w:r w:rsidR="001B49FA" w:rsidRPr="007F24AB">
        <w:rPr>
          <w:color w:val="000000"/>
        </w:rPr>
        <w:t>0</w:t>
      </w:r>
      <w:r w:rsidRPr="007F24AB">
        <w:rPr>
          <w:color w:val="000000"/>
        </w:rPr>
        <w:t xml:space="preserve">, followed by </w:t>
      </w:r>
      <w:r w:rsidR="007F24AB" w:rsidRPr="007F24AB">
        <w:rPr>
          <w:color w:val="000000"/>
        </w:rPr>
        <w:t xml:space="preserve">no </w:t>
      </w:r>
      <w:r w:rsidRPr="007F24AB">
        <w:rPr>
          <w:color w:val="000000"/>
        </w:rPr>
        <w:t>annual costs</w:t>
      </w:r>
      <w:r w:rsidR="00A00344" w:rsidRPr="007F24AB">
        <w:rPr>
          <w:color w:val="000000"/>
        </w:rPr>
        <w:t xml:space="preserve">.  </w:t>
      </w:r>
    </w:p>
    <w:p w:rsidR="00A5172D" w:rsidRPr="006E78F0" w:rsidRDefault="00CB4C61" w:rsidP="006E78F0">
      <w:pPr>
        <w:pStyle w:val="StyleBulleted"/>
        <w:numPr>
          <w:ilvl w:val="0"/>
          <w:numId w:val="0"/>
        </w:numPr>
        <w:tabs>
          <w:tab w:val="left" w:pos="720"/>
        </w:tabs>
        <w:spacing w:after="220"/>
        <w:rPr>
          <w:b/>
        </w:rPr>
      </w:pPr>
      <w:proofErr w:type="gramStart"/>
      <w:r w:rsidRPr="007F24AB">
        <w:rPr>
          <w:color w:val="000000"/>
        </w:rPr>
        <w:t>Decision Rationale</w:t>
      </w:r>
      <w:r w:rsidR="00A00344" w:rsidRPr="007F24AB">
        <w:rPr>
          <w:color w:val="000000"/>
        </w:rPr>
        <w:t>.</w:t>
      </w:r>
      <w:proofErr w:type="gramEnd"/>
      <w:r w:rsidR="00A00344" w:rsidRPr="007F24AB">
        <w:rPr>
          <w:color w:val="000000"/>
        </w:rPr>
        <w:t xml:space="preserve">  </w:t>
      </w:r>
      <w:r w:rsidR="002A4E84" w:rsidRPr="007F24AB">
        <w:rPr>
          <w:color w:val="000000"/>
        </w:rPr>
        <w:t xml:space="preserve">The NRC believes that the rule is cost-justified because the proposed regulatory initiatives would </w:t>
      </w:r>
      <w:r w:rsidR="00594383">
        <w:rPr>
          <w:color w:val="000000"/>
        </w:rPr>
        <w:t xml:space="preserve">update, clarify, and strengthen the existing requirements, and thereby, </w:t>
      </w:r>
      <w:r w:rsidR="002A4E84" w:rsidRPr="007F24AB">
        <w:rPr>
          <w:color w:val="000000"/>
        </w:rPr>
        <w:t>promote the common defense and security</w:t>
      </w:r>
      <w:r w:rsidR="00431E0B">
        <w:rPr>
          <w:color w:val="000000"/>
        </w:rPr>
        <w:t>.</w:t>
      </w:r>
      <w:r w:rsidR="006E78F0" w:rsidRPr="006E78F0">
        <w:rPr>
          <w:color w:val="FF0000"/>
        </w:rPr>
        <w:br w:type="page"/>
      </w:r>
      <w:r w:rsidR="009D717B" w:rsidRPr="006E78F0">
        <w:rPr>
          <w:b/>
        </w:rPr>
        <w:lastRenderedPageBreak/>
        <w:t>A</w:t>
      </w:r>
      <w:r w:rsidR="00184910" w:rsidRPr="006E78F0">
        <w:rPr>
          <w:b/>
        </w:rPr>
        <w:t>cronyms</w:t>
      </w:r>
      <w:r w:rsidR="009D717B" w:rsidRPr="006E78F0">
        <w:rPr>
          <w:b/>
        </w:rPr>
        <w:t xml:space="preserve"> </w:t>
      </w:r>
      <w:r w:rsidR="001C7681" w:rsidRPr="006E78F0">
        <w:rPr>
          <w:b/>
          <w:bCs/>
        </w:rPr>
        <w:fldChar w:fldCharType="begin"/>
      </w:r>
      <w:proofErr w:type="spellStart"/>
      <w:r w:rsidR="009D717B" w:rsidRPr="006E78F0">
        <w:rPr>
          <w:b/>
          <w:bCs/>
        </w:rPr>
        <w:instrText>tc</w:instrText>
      </w:r>
      <w:proofErr w:type="spellEnd"/>
      <w:r w:rsidR="009D717B" w:rsidRPr="006E78F0">
        <w:rPr>
          <w:b/>
          <w:bCs/>
        </w:rPr>
        <w:instrText xml:space="preserve"> </w:instrText>
      </w:r>
      <w:proofErr w:type="gramStart"/>
      <w:r w:rsidR="009D717B" w:rsidRPr="006E78F0">
        <w:rPr>
          <w:b/>
          <w:bCs/>
        </w:rPr>
        <w:instrText>"</w:instrText>
      </w:r>
      <w:r w:rsidR="009D717B" w:rsidRPr="006E78F0">
        <w:rPr>
          <w:b/>
        </w:rPr>
        <w:instrText xml:space="preserve"> </w:instrText>
      </w:r>
      <w:bookmarkStart w:id="2" w:name="_Toc336939790"/>
      <w:r w:rsidR="009D717B" w:rsidRPr="006E78F0">
        <w:rPr>
          <w:b/>
        </w:rPr>
        <w:instrText>Abbreviations</w:instrText>
      </w:r>
      <w:bookmarkEnd w:id="2"/>
      <w:proofErr w:type="gramEnd"/>
      <w:r w:rsidR="009D717B" w:rsidRPr="006E78F0">
        <w:rPr>
          <w:b/>
        </w:rPr>
        <w:instrText xml:space="preserve"> </w:instrText>
      </w:r>
      <w:r w:rsidR="009D717B" w:rsidRPr="006E78F0">
        <w:rPr>
          <w:b/>
          <w:bCs/>
        </w:rPr>
        <w:instrText>" \l 2</w:instrText>
      </w:r>
      <w:r w:rsidR="001C7681" w:rsidRPr="006E78F0">
        <w:rPr>
          <w:b/>
          <w:bCs/>
        </w:rPr>
        <w:fldChar w:fldCharType="end"/>
      </w:r>
    </w:p>
    <w:p w:rsidR="009D717B" w:rsidRPr="009B5E75" w:rsidRDefault="006B2148" w:rsidP="001D1888">
      <w:pPr>
        <w:pStyle w:val="TextBody"/>
        <w:tabs>
          <w:tab w:val="left" w:pos="1026"/>
        </w:tabs>
      </w:pPr>
      <w:r>
        <w:t>ADAMS</w:t>
      </w:r>
      <w:r>
        <w:tab/>
      </w:r>
      <w:r>
        <w:tab/>
      </w:r>
      <w:r w:rsidR="00920918">
        <w:t xml:space="preserve">NRC’s </w:t>
      </w:r>
      <w:r w:rsidR="009D717B" w:rsidRPr="009B5E75">
        <w:t>Agencywide Documents Access and Management System</w:t>
      </w:r>
    </w:p>
    <w:p w:rsidR="009D717B" w:rsidRPr="009B5E75" w:rsidRDefault="00FF5522" w:rsidP="009D717B">
      <w:pPr>
        <w:pStyle w:val="TextBody"/>
        <w:tabs>
          <w:tab w:val="left" w:pos="1026"/>
        </w:tabs>
      </w:pPr>
      <w:r>
        <w:t xml:space="preserve">10 </w:t>
      </w:r>
      <w:r w:rsidR="006B2148">
        <w:t>CFR</w:t>
      </w:r>
      <w:proofErr w:type="gramStart"/>
      <w:r w:rsidR="006B2148">
        <w:tab/>
      </w:r>
      <w:r w:rsidR="006B2148">
        <w:tab/>
      </w:r>
      <w:r>
        <w:t>Title</w:t>
      </w:r>
      <w:proofErr w:type="gramEnd"/>
      <w:r>
        <w:t xml:space="preserve"> 10 of the </w:t>
      </w:r>
      <w:r w:rsidR="00211229" w:rsidRPr="00211229">
        <w:rPr>
          <w:i/>
        </w:rPr>
        <w:t>Code of Federal Regulations</w:t>
      </w:r>
    </w:p>
    <w:p w:rsidR="00A40966" w:rsidRDefault="00A40966" w:rsidP="00A40966">
      <w:pPr>
        <w:pStyle w:val="TextBody"/>
        <w:tabs>
          <w:tab w:val="left" w:pos="1026"/>
        </w:tabs>
      </w:pPr>
      <w:r>
        <w:t>FNMC</w:t>
      </w:r>
      <w:r>
        <w:tab/>
      </w:r>
      <w:r>
        <w:tab/>
        <w:t>Fundamental Nuclear Material Control</w:t>
      </w:r>
    </w:p>
    <w:p w:rsidR="00793231" w:rsidRDefault="00793231" w:rsidP="00A40966">
      <w:pPr>
        <w:pStyle w:val="TextBody"/>
        <w:tabs>
          <w:tab w:val="left" w:pos="1026"/>
        </w:tabs>
      </w:pPr>
      <w:r>
        <w:t>FTE</w:t>
      </w:r>
      <w:r>
        <w:tab/>
      </w:r>
      <w:r>
        <w:tab/>
        <w:t>Full-Time Equivalent</w:t>
      </w:r>
    </w:p>
    <w:p w:rsidR="00EA67C1" w:rsidRDefault="00EA67C1" w:rsidP="00A40966">
      <w:pPr>
        <w:pStyle w:val="TextBody"/>
        <w:tabs>
          <w:tab w:val="left" w:pos="1026"/>
        </w:tabs>
      </w:pPr>
      <w:r>
        <w:t>GPO</w:t>
      </w:r>
      <w:r>
        <w:tab/>
      </w:r>
      <w:r>
        <w:tab/>
        <w:t>General Performance Objective</w:t>
      </w:r>
    </w:p>
    <w:p w:rsidR="009D717B" w:rsidRDefault="006B2148" w:rsidP="009D717B">
      <w:pPr>
        <w:pStyle w:val="TextBody"/>
        <w:tabs>
          <w:tab w:val="left" w:pos="1026"/>
        </w:tabs>
      </w:pPr>
      <w:r>
        <w:t>NRC</w:t>
      </w:r>
      <w:r>
        <w:tab/>
      </w:r>
      <w:r>
        <w:tab/>
      </w:r>
      <w:r w:rsidR="009D717B" w:rsidRPr="009B5E75">
        <w:t>U.S. Nuclear Regulatory Commission</w:t>
      </w:r>
    </w:p>
    <w:p w:rsidR="005E21FF" w:rsidRDefault="006B2148" w:rsidP="009D717B">
      <w:pPr>
        <w:pStyle w:val="TextBody"/>
        <w:tabs>
          <w:tab w:val="left" w:pos="1026"/>
        </w:tabs>
      </w:pPr>
      <w:r>
        <w:t>SNM</w:t>
      </w:r>
      <w:r>
        <w:tab/>
      </w:r>
      <w:r>
        <w:tab/>
      </w:r>
      <w:r w:rsidR="005E21FF">
        <w:t xml:space="preserve">Special </w:t>
      </w:r>
      <w:r w:rsidR="00D24EE2">
        <w:t>Nuclear Material</w:t>
      </w:r>
    </w:p>
    <w:p w:rsidR="005E21FF" w:rsidRDefault="006B2148" w:rsidP="009D717B">
      <w:pPr>
        <w:pStyle w:val="TextBody"/>
        <w:tabs>
          <w:tab w:val="left" w:pos="1026"/>
        </w:tabs>
      </w:pPr>
      <w:r>
        <w:t>ISFSI</w:t>
      </w:r>
      <w:r>
        <w:tab/>
      </w:r>
      <w:r>
        <w:tab/>
      </w:r>
      <w:r w:rsidR="005E21FF">
        <w:t>I</w:t>
      </w:r>
      <w:r w:rsidR="005E21FF" w:rsidRPr="001D3650">
        <w:t xml:space="preserve">ndependent </w:t>
      </w:r>
      <w:r w:rsidR="00D67EA9" w:rsidRPr="001D3650">
        <w:t xml:space="preserve">Spent Fuel Storage Installation </w:t>
      </w:r>
    </w:p>
    <w:p w:rsidR="005E21FF" w:rsidRDefault="006B2148" w:rsidP="009D717B">
      <w:pPr>
        <w:pStyle w:val="TextBody"/>
        <w:tabs>
          <w:tab w:val="left" w:pos="1026"/>
        </w:tabs>
      </w:pPr>
      <w:r>
        <w:t>MC&amp;A</w:t>
      </w:r>
      <w:r>
        <w:tab/>
      </w:r>
      <w:r>
        <w:tab/>
      </w:r>
      <w:r w:rsidR="005E21FF">
        <w:t>Material Control and Accounting</w:t>
      </w:r>
    </w:p>
    <w:p w:rsidR="003E7CDA" w:rsidRDefault="003E7CDA" w:rsidP="009D717B">
      <w:pPr>
        <w:pStyle w:val="TextBody"/>
        <w:tabs>
          <w:tab w:val="left" w:pos="1026"/>
        </w:tabs>
      </w:pPr>
      <w:r>
        <w:t>MOX</w:t>
      </w:r>
      <w:r>
        <w:tab/>
      </w:r>
      <w:r>
        <w:tab/>
        <w:t>Mixed Oxide</w:t>
      </w:r>
    </w:p>
    <w:p w:rsidR="00013B91" w:rsidRDefault="00013B91" w:rsidP="009D717B">
      <w:pPr>
        <w:pStyle w:val="TextBody"/>
        <w:tabs>
          <w:tab w:val="left" w:pos="1026"/>
        </w:tabs>
      </w:pPr>
      <w:r>
        <w:t>NMMSS</w:t>
      </w:r>
      <w:r>
        <w:tab/>
      </w:r>
      <w:r>
        <w:tab/>
        <w:t>Nuclear Materials Management and Safeguards System</w:t>
      </w:r>
    </w:p>
    <w:p w:rsidR="005E21FF" w:rsidRDefault="005E21FF" w:rsidP="009D717B">
      <w:pPr>
        <w:pStyle w:val="TextBody"/>
        <w:tabs>
          <w:tab w:val="left" w:pos="1026"/>
        </w:tabs>
      </w:pPr>
      <w:r w:rsidRPr="001D3650">
        <w:t>NUREG</w:t>
      </w:r>
      <w:r w:rsidR="006B2148">
        <w:tab/>
      </w:r>
      <w:r w:rsidR="006B2148">
        <w:tab/>
      </w:r>
      <w:r w:rsidR="00366742" w:rsidRPr="00366742">
        <w:t>Nuclear Regulatory Publication</w:t>
      </w:r>
    </w:p>
    <w:p w:rsidR="00844BBB" w:rsidRDefault="00844BBB" w:rsidP="00844BBB">
      <w:pPr>
        <w:pStyle w:val="TextBody"/>
        <w:tabs>
          <w:tab w:val="left" w:pos="1026"/>
        </w:tabs>
        <w:jc w:val="both"/>
      </w:pPr>
      <w:r>
        <w:t>OMB</w:t>
      </w:r>
      <w:r>
        <w:tab/>
      </w:r>
      <w:r>
        <w:tab/>
        <w:t>Office of Management and Budget</w:t>
      </w:r>
    </w:p>
    <w:p w:rsidR="00EF3AD1" w:rsidRDefault="00EF3AD1" w:rsidP="00844BBB">
      <w:pPr>
        <w:pStyle w:val="TextBody"/>
        <w:tabs>
          <w:tab w:val="left" w:pos="1026"/>
        </w:tabs>
        <w:jc w:val="both"/>
      </w:pPr>
      <w:r>
        <w:t>ROP</w:t>
      </w:r>
      <w:r>
        <w:tab/>
      </w:r>
      <w:r>
        <w:tab/>
        <w:t>Reactor Oversight Program</w:t>
      </w:r>
    </w:p>
    <w:p w:rsidR="00EF3AD1" w:rsidRPr="009B5E75" w:rsidRDefault="00EF3AD1" w:rsidP="00844BBB">
      <w:pPr>
        <w:pStyle w:val="TextBody"/>
        <w:tabs>
          <w:tab w:val="left" w:pos="1026"/>
        </w:tabs>
        <w:jc w:val="both"/>
      </w:pPr>
    </w:p>
    <w:p w:rsidR="00A5172D" w:rsidRPr="009B5E75" w:rsidRDefault="00A5172D" w:rsidP="00C1459C">
      <w:pPr>
        <w:tabs>
          <w:tab w:val="left" w:pos="720"/>
        </w:tabs>
        <w:ind w:left="720" w:hanging="720"/>
        <w:rPr>
          <w:rFonts w:cs="Arial"/>
          <w:bCs/>
          <w:sz w:val="22"/>
          <w:szCs w:val="22"/>
        </w:rPr>
      </w:pPr>
    </w:p>
    <w:p w:rsidR="00A5172D" w:rsidRPr="009B5E75" w:rsidRDefault="00A5172D" w:rsidP="00C1459C">
      <w:pPr>
        <w:tabs>
          <w:tab w:val="left" w:pos="720"/>
        </w:tabs>
        <w:ind w:left="720" w:hanging="720"/>
        <w:rPr>
          <w:rFonts w:cs="Arial"/>
          <w:bCs/>
          <w:sz w:val="22"/>
          <w:szCs w:val="22"/>
        </w:rPr>
      </w:pPr>
    </w:p>
    <w:p w:rsidR="009D717B" w:rsidRPr="009B5E75" w:rsidRDefault="009D717B" w:rsidP="00C1459C">
      <w:pPr>
        <w:tabs>
          <w:tab w:val="left" w:pos="720"/>
        </w:tabs>
        <w:ind w:left="720" w:hanging="720"/>
        <w:rPr>
          <w:rFonts w:cs="Arial"/>
          <w:bCs/>
          <w:sz w:val="22"/>
          <w:szCs w:val="22"/>
        </w:rPr>
        <w:sectPr w:rsidR="009D717B" w:rsidRPr="009B5E75" w:rsidSect="009D717B">
          <w:headerReference w:type="default" r:id="rId25"/>
          <w:footerReference w:type="default" r:id="rId26"/>
          <w:type w:val="continuous"/>
          <w:pgSz w:w="12240" w:h="15840"/>
          <w:pgMar w:top="2078" w:right="1440" w:bottom="1440" w:left="1440" w:header="1440" w:footer="1440" w:gutter="0"/>
          <w:pgNumType w:fmt="lowerRoman" w:start="1"/>
          <w:cols w:space="720"/>
          <w:noEndnote/>
        </w:sectPr>
      </w:pPr>
    </w:p>
    <w:p w:rsidR="00C1459C" w:rsidRPr="009B5E75" w:rsidRDefault="00C1459C" w:rsidP="00C1459C">
      <w:pPr>
        <w:tabs>
          <w:tab w:val="left" w:pos="720"/>
        </w:tabs>
        <w:ind w:left="720" w:hanging="720"/>
        <w:rPr>
          <w:rFonts w:cs="Arial"/>
          <w:b/>
          <w:bCs/>
          <w:sz w:val="22"/>
          <w:szCs w:val="22"/>
        </w:rPr>
      </w:pPr>
      <w:r w:rsidRPr="009B5E75">
        <w:rPr>
          <w:rFonts w:cs="Arial"/>
          <w:b/>
          <w:bCs/>
          <w:sz w:val="22"/>
          <w:szCs w:val="22"/>
        </w:rPr>
        <w:lastRenderedPageBreak/>
        <w:t>1.</w:t>
      </w:r>
      <w:r w:rsidRPr="009B5E75">
        <w:rPr>
          <w:rFonts w:cs="Arial"/>
          <w:b/>
          <w:bCs/>
          <w:sz w:val="22"/>
          <w:szCs w:val="22"/>
        </w:rPr>
        <w:tab/>
      </w:r>
      <w:r w:rsidRPr="0048470A">
        <w:rPr>
          <w:rFonts w:cs="Arial"/>
          <w:b/>
          <w:bCs/>
          <w:sz w:val="22"/>
          <w:szCs w:val="22"/>
          <w:u w:val="single"/>
        </w:rPr>
        <w:t xml:space="preserve">Introduction </w:t>
      </w:r>
      <w:r w:rsidR="001C7681" w:rsidRPr="009B5E75">
        <w:rPr>
          <w:rFonts w:cs="Arial"/>
          <w:b/>
          <w:bCs/>
          <w:sz w:val="22"/>
          <w:szCs w:val="22"/>
        </w:rPr>
        <w:fldChar w:fldCharType="begin"/>
      </w:r>
      <w:proofErr w:type="spellStart"/>
      <w:proofErr w:type="gramStart"/>
      <w:r w:rsidRPr="009B5E75">
        <w:rPr>
          <w:rFonts w:cs="Arial"/>
          <w:b/>
          <w:bCs/>
          <w:sz w:val="22"/>
          <w:szCs w:val="22"/>
        </w:rPr>
        <w:instrText>tc</w:instrText>
      </w:r>
      <w:proofErr w:type="spellEnd"/>
      <w:proofErr w:type="gramEnd"/>
      <w:r w:rsidRPr="009B5E75">
        <w:rPr>
          <w:rFonts w:cs="Arial"/>
          <w:b/>
          <w:bCs/>
          <w:sz w:val="22"/>
          <w:szCs w:val="22"/>
        </w:rPr>
        <w:instrText xml:space="preserve"> "</w:instrText>
      </w:r>
      <w:bookmarkStart w:id="3" w:name="_Toc293403051"/>
      <w:bookmarkStart w:id="4" w:name="_Toc336939791"/>
      <w:r w:rsidRPr="009B5E75">
        <w:rPr>
          <w:rFonts w:cs="Arial"/>
          <w:b/>
          <w:bCs/>
          <w:sz w:val="22"/>
          <w:szCs w:val="22"/>
        </w:rPr>
        <w:instrText>1.</w:instrText>
      </w:r>
      <w:r w:rsidRPr="009B5E75">
        <w:rPr>
          <w:rFonts w:cs="Arial"/>
          <w:b/>
          <w:bCs/>
          <w:sz w:val="22"/>
          <w:szCs w:val="22"/>
        </w:rPr>
        <w:tab/>
        <w:instrText>Introduction</w:instrText>
      </w:r>
      <w:bookmarkEnd w:id="3"/>
      <w:bookmarkEnd w:id="4"/>
      <w:r w:rsidRPr="009B5E75">
        <w:rPr>
          <w:rFonts w:cs="Arial"/>
          <w:b/>
          <w:bCs/>
          <w:sz w:val="22"/>
          <w:szCs w:val="22"/>
        </w:rPr>
        <w:instrText xml:space="preserve"> </w:instrText>
      </w:r>
      <w:proofErr w:type="gramStart"/>
      <w:r w:rsidRPr="009B5E75">
        <w:rPr>
          <w:rFonts w:cs="Arial"/>
          <w:b/>
          <w:bCs/>
          <w:sz w:val="22"/>
          <w:szCs w:val="22"/>
        </w:rPr>
        <w:instrText>" \</w:instrText>
      </w:r>
      <w:proofErr w:type="gramEnd"/>
      <w:r w:rsidRPr="009B5E75">
        <w:rPr>
          <w:rFonts w:cs="Arial"/>
          <w:b/>
          <w:bCs/>
          <w:sz w:val="22"/>
          <w:szCs w:val="22"/>
        </w:rPr>
        <w:instrText>l 2</w:instrText>
      </w:r>
      <w:r w:rsidR="001C7681" w:rsidRPr="009B5E75">
        <w:rPr>
          <w:rFonts w:cs="Arial"/>
          <w:b/>
          <w:bCs/>
          <w:sz w:val="22"/>
          <w:szCs w:val="22"/>
        </w:rPr>
        <w:fldChar w:fldCharType="end"/>
      </w:r>
    </w:p>
    <w:p w:rsidR="00C1459C" w:rsidRPr="009B5E75" w:rsidRDefault="00C1459C" w:rsidP="00C1459C">
      <w:pPr>
        <w:rPr>
          <w:rFonts w:cs="Arial"/>
          <w:sz w:val="22"/>
          <w:szCs w:val="22"/>
        </w:rPr>
      </w:pPr>
    </w:p>
    <w:p w:rsidR="00A21CCB" w:rsidRDefault="00A21CCB" w:rsidP="00A21CCB">
      <w:pPr>
        <w:rPr>
          <w:rFonts w:cs="Arial"/>
          <w:sz w:val="22"/>
          <w:szCs w:val="22"/>
        </w:rPr>
      </w:pPr>
      <w:r w:rsidRPr="009B5E75">
        <w:rPr>
          <w:rFonts w:cs="Arial"/>
          <w:sz w:val="22"/>
          <w:szCs w:val="22"/>
        </w:rPr>
        <w:t>Th</w:t>
      </w:r>
      <w:r w:rsidR="0010199D" w:rsidRPr="009B5E75">
        <w:rPr>
          <w:rFonts w:cs="Arial"/>
          <w:sz w:val="22"/>
          <w:szCs w:val="22"/>
        </w:rPr>
        <w:t>e NRC i</w:t>
      </w:r>
      <w:r w:rsidRPr="009B5E75">
        <w:rPr>
          <w:rFonts w:cs="Arial"/>
          <w:sz w:val="22"/>
          <w:szCs w:val="22"/>
        </w:rPr>
        <w:t xml:space="preserve">s </w:t>
      </w:r>
      <w:r w:rsidR="0010199D" w:rsidRPr="009B5E75">
        <w:rPr>
          <w:rFonts w:cs="Arial"/>
          <w:sz w:val="22"/>
          <w:szCs w:val="22"/>
        </w:rPr>
        <w:t xml:space="preserve">proposing to </w:t>
      </w:r>
      <w:r w:rsidR="009C7AC0">
        <w:rPr>
          <w:rFonts w:cs="Arial"/>
          <w:sz w:val="22"/>
          <w:szCs w:val="22"/>
        </w:rPr>
        <w:t xml:space="preserve">amend </w:t>
      </w:r>
      <w:r w:rsidR="009E67EB">
        <w:rPr>
          <w:rFonts w:cs="Arial"/>
          <w:sz w:val="22"/>
          <w:szCs w:val="22"/>
        </w:rPr>
        <w:t xml:space="preserve">the 10 CFR </w:t>
      </w:r>
      <w:r w:rsidR="001B0DBD">
        <w:rPr>
          <w:rFonts w:cs="Arial"/>
          <w:sz w:val="22"/>
          <w:szCs w:val="22"/>
        </w:rPr>
        <w:t>part</w:t>
      </w:r>
      <w:r w:rsidR="001D3650">
        <w:rPr>
          <w:rFonts w:cs="Arial"/>
          <w:sz w:val="22"/>
          <w:szCs w:val="22"/>
        </w:rPr>
        <w:t xml:space="preserve"> 74 MC&amp;A regulations applicable to SNM.  </w:t>
      </w:r>
      <w:r w:rsidR="001D3650" w:rsidRPr="007315B9">
        <w:rPr>
          <w:rFonts w:cs="Arial"/>
          <w:sz w:val="22"/>
          <w:szCs w:val="22"/>
        </w:rPr>
        <w:t xml:space="preserve">This </w:t>
      </w:r>
      <w:r w:rsidR="001D3650">
        <w:rPr>
          <w:rFonts w:cs="Arial"/>
          <w:sz w:val="22"/>
          <w:szCs w:val="22"/>
        </w:rPr>
        <w:t xml:space="preserve">rulemaking </w:t>
      </w:r>
      <w:r w:rsidR="001D3650" w:rsidRPr="007315B9">
        <w:rPr>
          <w:rFonts w:cs="Arial"/>
          <w:sz w:val="22"/>
          <w:szCs w:val="22"/>
        </w:rPr>
        <w:t xml:space="preserve">would </w:t>
      </w:r>
      <w:r w:rsidR="001D3650">
        <w:rPr>
          <w:rFonts w:cs="Arial"/>
          <w:sz w:val="22"/>
          <w:szCs w:val="22"/>
        </w:rPr>
        <w:t xml:space="preserve">consolidate the </w:t>
      </w:r>
      <w:r w:rsidR="009E67EB">
        <w:rPr>
          <w:rFonts w:cs="Arial"/>
          <w:sz w:val="22"/>
          <w:szCs w:val="22"/>
        </w:rPr>
        <w:t xml:space="preserve">MC&amp;A requirements currently in </w:t>
      </w:r>
      <w:r w:rsidR="006D35A4">
        <w:rPr>
          <w:rFonts w:cs="Arial"/>
          <w:sz w:val="22"/>
          <w:szCs w:val="22"/>
        </w:rPr>
        <w:t>10 CFR</w:t>
      </w:r>
      <w:r w:rsidR="000E5C7E">
        <w:rPr>
          <w:rFonts w:cs="Arial"/>
          <w:sz w:val="22"/>
          <w:szCs w:val="22"/>
        </w:rPr>
        <w:t xml:space="preserve"> </w:t>
      </w:r>
      <w:proofErr w:type="gramStart"/>
      <w:r w:rsidR="001B0DBD">
        <w:rPr>
          <w:rFonts w:cs="Arial"/>
          <w:sz w:val="22"/>
          <w:szCs w:val="22"/>
        </w:rPr>
        <w:t>part</w:t>
      </w:r>
      <w:proofErr w:type="gramEnd"/>
      <w:r w:rsidR="001D3650">
        <w:rPr>
          <w:rFonts w:cs="Arial"/>
          <w:sz w:val="22"/>
          <w:szCs w:val="22"/>
        </w:rPr>
        <w:t xml:space="preserve"> 72 </w:t>
      </w:r>
      <w:r w:rsidR="001D3650" w:rsidRPr="007315B9">
        <w:rPr>
          <w:rFonts w:cs="Arial"/>
          <w:sz w:val="22"/>
          <w:szCs w:val="22"/>
        </w:rPr>
        <w:t>for ISFSI</w:t>
      </w:r>
      <w:r w:rsidR="001D3650">
        <w:rPr>
          <w:rFonts w:cs="Arial"/>
          <w:sz w:val="22"/>
          <w:szCs w:val="22"/>
        </w:rPr>
        <w:t>s</w:t>
      </w:r>
      <w:r w:rsidR="001D3650" w:rsidRPr="007315B9">
        <w:rPr>
          <w:rFonts w:cs="Arial"/>
          <w:sz w:val="22"/>
          <w:szCs w:val="22"/>
        </w:rPr>
        <w:t xml:space="preserve"> </w:t>
      </w:r>
      <w:r w:rsidR="001D3650">
        <w:rPr>
          <w:rFonts w:cs="Arial"/>
          <w:sz w:val="22"/>
          <w:szCs w:val="22"/>
        </w:rPr>
        <w:t>in</w:t>
      </w:r>
      <w:r w:rsidR="009E67EB">
        <w:rPr>
          <w:rFonts w:cs="Arial"/>
          <w:sz w:val="22"/>
          <w:szCs w:val="22"/>
        </w:rPr>
        <w:t xml:space="preserve"> </w:t>
      </w:r>
      <w:r w:rsidR="00C670DC">
        <w:rPr>
          <w:rFonts w:cs="Arial"/>
          <w:sz w:val="22"/>
          <w:szCs w:val="22"/>
        </w:rPr>
        <w:t xml:space="preserve">10 CFR </w:t>
      </w:r>
      <w:r w:rsidR="001B0DBD">
        <w:rPr>
          <w:rFonts w:cs="Arial"/>
          <w:sz w:val="22"/>
          <w:szCs w:val="22"/>
        </w:rPr>
        <w:t>part</w:t>
      </w:r>
      <w:r w:rsidR="00C670DC">
        <w:rPr>
          <w:rFonts w:cs="Arial"/>
          <w:sz w:val="22"/>
          <w:szCs w:val="22"/>
        </w:rPr>
        <w:t xml:space="preserve"> 74. </w:t>
      </w:r>
      <w:r w:rsidR="001D3650" w:rsidRPr="007315B9">
        <w:rPr>
          <w:rFonts w:cs="Arial"/>
          <w:sz w:val="22"/>
          <w:szCs w:val="22"/>
        </w:rPr>
        <w:t xml:space="preserve"> </w:t>
      </w:r>
      <w:r w:rsidR="001D3650">
        <w:rPr>
          <w:rFonts w:cs="Arial"/>
          <w:sz w:val="22"/>
          <w:szCs w:val="22"/>
        </w:rPr>
        <w:t xml:space="preserve">Also, </w:t>
      </w:r>
      <w:r w:rsidR="00431E0B">
        <w:rPr>
          <w:rFonts w:cs="Arial"/>
          <w:sz w:val="22"/>
          <w:szCs w:val="22"/>
        </w:rPr>
        <w:t xml:space="preserve">10 CFR </w:t>
      </w:r>
      <w:r w:rsidR="001D3650">
        <w:rPr>
          <w:rFonts w:cs="Arial"/>
          <w:sz w:val="22"/>
          <w:szCs w:val="22"/>
        </w:rPr>
        <w:t>150.17</w:t>
      </w:r>
      <w:r w:rsidR="001D3650" w:rsidRPr="007315B9">
        <w:rPr>
          <w:rFonts w:cs="Arial"/>
          <w:sz w:val="22"/>
          <w:szCs w:val="22"/>
        </w:rPr>
        <w:t xml:space="preserve"> </w:t>
      </w:r>
      <w:r w:rsidR="001D3650">
        <w:rPr>
          <w:rFonts w:cs="Arial"/>
          <w:sz w:val="22"/>
          <w:szCs w:val="22"/>
        </w:rPr>
        <w:t xml:space="preserve">(applicable to </w:t>
      </w:r>
      <w:r w:rsidR="001D3650" w:rsidRPr="007315B9">
        <w:rPr>
          <w:rFonts w:cs="Arial"/>
          <w:sz w:val="22"/>
          <w:szCs w:val="22"/>
        </w:rPr>
        <w:t>licensee</w:t>
      </w:r>
      <w:r w:rsidR="001D3650">
        <w:rPr>
          <w:rFonts w:cs="Arial"/>
          <w:sz w:val="22"/>
          <w:szCs w:val="22"/>
        </w:rPr>
        <w:t>s</w:t>
      </w:r>
      <w:r w:rsidR="001D3650" w:rsidRPr="007315B9">
        <w:rPr>
          <w:rFonts w:cs="Arial"/>
          <w:sz w:val="22"/>
          <w:szCs w:val="22"/>
        </w:rPr>
        <w:t xml:space="preserve"> located in Agreement State</w:t>
      </w:r>
      <w:r w:rsidR="001D3650">
        <w:rPr>
          <w:rFonts w:cs="Arial"/>
          <w:sz w:val="22"/>
          <w:szCs w:val="22"/>
        </w:rPr>
        <w:t>s)</w:t>
      </w:r>
      <w:r w:rsidR="001D3650" w:rsidRPr="007315B9">
        <w:rPr>
          <w:rFonts w:cs="Arial"/>
          <w:sz w:val="22"/>
          <w:szCs w:val="22"/>
        </w:rPr>
        <w:t xml:space="preserve"> would be </w:t>
      </w:r>
      <w:r w:rsidR="001D3650">
        <w:rPr>
          <w:rFonts w:cs="Arial"/>
          <w:sz w:val="22"/>
          <w:szCs w:val="22"/>
        </w:rPr>
        <w:t xml:space="preserve">changed to conform to </w:t>
      </w:r>
      <w:r w:rsidR="00431E0B">
        <w:rPr>
          <w:rFonts w:cs="Arial"/>
          <w:sz w:val="22"/>
          <w:szCs w:val="22"/>
        </w:rPr>
        <w:t xml:space="preserve">10 CFR </w:t>
      </w:r>
      <w:r w:rsidR="001D3650">
        <w:rPr>
          <w:rFonts w:cs="Arial"/>
          <w:sz w:val="22"/>
          <w:szCs w:val="22"/>
        </w:rPr>
        <w:t xml:space="preserve">74.13.  No substantive changes would be involved.  References to due dates and reporting frequencies would be made more uniform by expressing such times in terms of calendar days.  </w:t>
      </w:r>
      <w:r w:rsidR="00D24EE2">
        <w:rPr>
          <w:rFonts w:cs="Arial"/>
          <w:sz w:val="22"/>
          <w:szCs w:val="22"/>
        </w:rPr>
        <w:t>Section</w:t>
      </w:r>
      <w:r w:rsidR="006E1C51">
        <w:rPr>
          <w:rFonts w:cs="Arial"/>
          <w:sz w:val="22"/>
          <w:szCs w:val="22"/>
        </w:rPr>
        <w:t xml:space="preserve"> </w:t>
      </w:r>
      <w:r w:rsidR="001D3650">
        <w:rPr>
          <w:rFonts w:cs="Arial"/>
          <w:sz w:val="22"/>
          <w:szCs w:val="22"/>
        </w:rPr>
        <w:t xml:space="preserve">74.4 </w:t>
      </w:r>
      <w:r w:rsidR="001D3650" w:rsidRPr="007315B9">
        <w:rPr>
          <w:rFonts w:cs="Arial"/>
          <w:sz w:val="22"/>
          <w:szCs w:val="22"/>
        </w:rPr>
        <w:t xml:space="preserve">would be </w:t>
      </w:r>
      <w:r w:rsidR="001D3650">
        <w:rPr>
          <w:rFonts w:cs="Arial"/>
          <w:sz w:val="22"/>
          <w:szCs w:val="22"/>
        </w:rPr>
        <w:t xml:space="preserve">amended </w:t>
      </w:r>
      <w:r w:rsidR="001D3650" w:rsidRPr="007315B9">
        <w:rPr>
          <w:rFonts w:cs="Arial"/>
          <w:sz w:val="22"/>
          <w:szCs w:val="22"/>
        </w:rPr>
        <w:t xml:space="preserve">by adding, removing, and modifying certain </w:t>
      </w:r>
      <w:r w:rsidR="001D3650">
        <w:rPr>
          <w:rFonts w:cs="Arial"/>
          <w:sz w:val="22"/>
          <w:szCs w:val="22"/>
        </w:rPr>
        <w:t xml:space="preserve">defined </w:t>
      </w:r>
      <w:r w:rsidR="009E67EB">
        <w:rPr>
          <w:rFonts w:cs="Arial"/>
          <w:sz w:val="22"/>
          <w:szCs w:val="22"/>
        </w:rPr>
        <w:t xml:space="preserve">terms that are used throughout </w:t>
      </w:r>
      <w:r w:rsidR="00C670DC">
        <w:rPr>
          <w:rFonts w:cs="Arial"/>
          <w:sz w:val="22"/>
          <w:szCs w:val="22"/>
        </w:rPr>
        <w:t xml:space="preserve">10 CFR </w:t>
      </w:r>
      <w:proofErr w:type="gramStart"/>
      <w:r w:rsidR="001B0DBD">
        <w:rPr>
          <w:rFonts w:cs="Arial"/>
          <w:sz w:val="22"/>
          <w:szCs w:val="22"/>
        </w:rPr>
        <w:t>part</w:t>
      </w:r>
      <w:proofErr w:type="gramEnd"/>
      <w:r w:rsidR="00C670DC">
        <w:rPr>
          <w:rFonts w:cs="Arial"/>
          <w:sz w:val="22"/>
          <w:szCs w:val="22"/>
        </w:rPr>
        <w:t xml:space="preserve"> 74. </w:t>
      </w:r>
      <w:r w:rsidR="001D3650">
        <w:rPr>
          <w:rFonts w:cs="Arial"/>
          <w:sz w:val="22"/>
          <w:szCs w:val="22"/>
        </w:rPr>
        <w:t xml:space="preserve"> </w:t>
      </w:r>
    </w:p>
    <w:p w:rsidR="001D3650" w:rsidRPr="009B5E75" w:rsidRDefault="001D3650" w:rsidP="00A21CCB">
      <w:pPr>
        <w:rPr>
          <w:rFonts w:cs="Arial"/>
          <w:sz w:val="22"/>
          <w:szCs w:val="22"/>
        </w:rPr>
      </w:pPr>
    </w:p>
    <w:p w:rsidR="00347551" w:rsidRPr="009B5E75" w:rsidRDefault="00347551" w:rsidP="00347551">
      <w:pPr>
        <w:rPr>
          <w:rFonts w:cs="Arial"/>
          <w:sz w:val="22"/>
          <w:szCs w:val="22"/>
        </w:rPr>
      </w:pPr>
      <w:r w:rsidRPr="009B5E75">
        <w:rPr>
          <w:rFonts w:cs="Arial"/>
          <w:sz w:val="22"/>
          <w:szCs w:val="22"/>
        </w:rPr>
        <w:t xml:space="preserve">This </w:t>
      </w:r>
      <w:r w:rsidR="005D0419" w:rsidRPr="009B5E75">
        <w:rPr>
          <w:rFonts w:cs="Arial"/>
          <w:sz w:val="22"/>
          <w:szCs w:val="22"/>
        </w:rPr>
        <w:t xml:space="preserve">analysis </w:t>
      </w:r>
      <w:r w:rsidRPr="009B5E75">
        <w:rPr>
          <w:rFonts w:cs="Arial"/>
          <w:sz w:val="22"/>
          <w:szCs w:val="22"/>
        </w:rPr>
        <w:t>present</w:t>
      </w:r>
      <w:r w:rsidR="0010199D" w:rsidRPr="009B5E75">
        <w:rPr>
          <w:rFonts w:cs="Arial"/>
          <w:sz w:val="22"/>
          <w:szCs w:val="22"/>
        </w:rPr>
        <w:t>s</w:t>
      </w:r>
      <w:r w:rsidRPr="009B5E75">
        <w:rPr>
          <w:rFonts w:cs="Arial"/>
          <w:sz w:val="22"/>
          <w:szCs w:val="22"/>
        </w:rPr>
        <w:t xml:space="preserve"> background material, rulemaking objectives, alternatives, </w:t>
      </w:r>
      <w:r w:rsidR="00277F8C" w:rsidRPr="009B5E75">
        <w:rPr>
          <w:rFonts w:cs="Arial"/>
          <w:sz w:val="22"/>
          <w:szCs w:val="22"/>
        </w:rPr>
        <w:t xml:space="preserve">and </w:t>
      </w:r>
      <w:r w:rsidRPr="009B5E75">
        <w:rPr>
          <w:rFonts w:cs="Arial"/>
          <w:sz w:val="22"/>
          <w:szCs w:val="22"/>
        </w:rPr>
        <w:t xml:space="preserve">input assumptions, and </w:t>
      </w:r>
      <w:r w:rsidR="00277F8C" w:rsidRPr="009B5E75">
        <w:rPr>
          <w:rFonts w:cs="Arial"/>
          <w:sz w:val="22"/>
          <w:szCs w:val="22"/>
        </w:rPr>
        <w:t xml:space="preserve">it </w:t>
      </w:r>
      <w:r w:rsidR="00277C9A">
        <w:rPr>
          <w:rFonts w:cs="Arial"/>
          <w:sz w:val="22"/>
          <w:szCs w:val="22"/>
        </w:rPr>
        <w:t>describes</w:t>
      </w:r>
      <w:r w:rsidR="005D0419" w:rsidRPr="00277C9A">
        <w:rPr>
          <w:rFonts w:cs="Arial"/>
          <w:sz w:val="22"/>
          <w:szCs w:val="22"/>
        </w:rPr>
        <w:t xml:space="preserve"> </w:t>
      </w:r>
      <w:r w:rsidRPr="00277C9A">
        <w:rPr>
          <w:rFonts w:cs="Arial"/>
          <w:sz w:val="22"/>
          <w:szCs w:val="22"/>
        </w:rPr>
        <w:t>the</w:t>
      </w:r>
      <w:r w:rsidRPr="009B5E75">
        <w:rPr>
          <w:rFonts w:cs="Arial"/>
          <w:sz w:val="22"/>
          <w:szCs w:val="22"/>
        </w:rPr>
        <w:t xml:space="preserve"> consequences of the rule language and alternative </w:t>
      </w:r>
      <w:r w:rsidR="004C03D7" w:rsidRPr="009B5E75">
        <w:rPr>
          <w:rFonts w:cs="Arial"/>
          <w:sz w:val="22"/>
          <w:szCs w:val="22"/>
        </w:rPr>
        <w:t>a</w:t>
      </w:r>
      <w:r w:rsidRPr="009B5E75">
        <w:rPr>
          <w:rFonts w:cs="Arial"/>
          <w:sz w:val="22"/>
          <w:szCs w:val="22"/>
        </w:rPr>
        <w:t xml:space="preserve">pproaches </w:t>
      </w:r>
      <w:r w:rsidR="00CB0253">
        <w:rPr>
          <w:rFonts w:cs="Arial"/>
          <w:sz w:val="22"/>
          <w:szCs w:val="22"/>
        </w:rPr>
        <w:t xml:space="preserve">necessary </w:t>
      </w:r>
      <w:r w:rsidRPr="009B5E75">
        <w:rPr>
          <w:rFonts w:cs="Arial"/>
          <w:sz w:val="22"/>
          <w:szCs w:val="22"/>
        </w:rPr>
        <w:t>to accomp</w:t>
      </w:r>
      <w:r w:rsidR="008533E6" w:rsidRPr="009B5E75">
        <w:rPr>
          <w:rFonts w:cs="Arial"/>
          <w:sz w:val="22"/>
          <w:szCs w:val="22"/>
        </w:rPr>
        <w:t>lish the regulatory objectives.</w:t>
      </w:r>
    </w:p>
    <w:p w:rsidR="00347551" w:rsidRPr="009B5E75" w:rsidRDefault="00347551" w:rsidP="00347551">
      <w:pPr>
        <w:rPr>
          <w:rFonts w:cs="Arial"/>
          <w:sz w:val="22"/>
          <w:szCs w:val="22"/>
        </w:rPr>
      </w:pPr>
    </w:p>
    <w:p w:rsidR="00C1459C" w:rsidRPr="009B5E75" w:rsidRDefault="00C1459C" w:rsidP="00C1459C">
      <w:pPr>
        <w:rPr>
          <w:rFonts w:cs="Arial"/>
          <w:sz w:val="22"/>
          <w:szCs w:val="22"/>
        </w:rPr>
      </w:pPr>
      <w:r w:rsidRPr="009B5E75">
        <w:rPr>
          <w:rFonts w:cs="Arial"/>
          <w:sz w:val="22"/>
          <w:szCs w:val="22"/>
        </w:rPr>
        <w:t>The remainder of this introduction is divided into two sections.  Section 1.1 states the problem and the objective of the rulemaking.  Section 1.2 provides background information</w:t>
      </w:r>
      <w:r w:rsidR="0097248F" w:rsidRPr="009B5E75">
        <w:rPr>
          <w:rFonts w:cs="Arial"/>
          <w:sz w:val="22"/>
          <w:szCs w:val="22"/>
        </w:rPr>
        <w:t>.</w:t>
      </w:r>
    </w:p>
    <w:p w:rsidR="00C1459C" w:rsidRPr="009B5E75" w:rsidRDefault="00C1459C" w:rsidP="00C1459C">
      <w:pPr>
        <w:rPr>
          <w:rFonts w:cs="Arial"/>
          <w:sz w:val="22"/>
          <w:szCs w:val="22"/>
        </w:rPr>
      </w:pPr>
    </w:p>
    <w:p w:rsidR="00C1459C" w:rsidRPr="009B5E75" w:rsidRDefault="00C1459C" w:rsidP="00C1459C">
      <w:pPr>
        <w:rPr>
          <w:rFonts w:cs="Arial"/>
          <w:b/>
          <w:bCs/>
          <w:sz w:val="22"/>
          <w:szCs w:val="22"/>
        </w:rPr>
      </w:pPr>
      <w:r w:rsidRPr="009B5E75">
        <w:rPr>
          <w:rFonts w:cs="Arial"/>
          <w:b/>
          <w:bCs/>
          <w:sz w:val="22"/>
          <w:szCs w:val="22"/>
        </w:rPr>
        <w:t>1.1</w:t>
      </w:r>
      <w:r w:rsidRPr="009B5E75">
        <w:rPr>
          <w:rFonts w:cs="Arial"/>
          <w:b/>
          <w:bCs/>
          <w:sz w:val="22"/>
          <w:szCs w:val="22"/>
        </w:rPr>
        <w:tab/>
      </w:r>
      <w:r w:rsidRPr="0048470A">
        <w:rPr>
          <w:rFonts w:cs="Arial"/>
          <w:b/>
          <w:bCs/>
          <w:sz w:val="22"/>
          <w:szCs w:val="22"/>
        </w:rPr>
        <w:t>Statement of the Problem and Objective of the Rulemaking</w:t>
      </w:r>
      <w:r w:rsidRPr="009B5E75">
        <w:rPr>
          <w:rFonts w:cs="Arial"/>
          <w:b/>
          <w:bCs/>
          <w:sz w:val="22"/>
          <w:szCs w:val="22"/>
        </w:rPr>
        <w:t xml:space="preserve"> </w:t>
      </w:r>
      <w:r w:rsidR="001C7681" w:rsidRPr="009B5E75">
        <w:rPr>
          <w:rFonts w:cs="Arial"/>
          <w:b/>
          <w:bCs/>
          <w:sz w:val="22"/>
          <w:szCs w:val="22"/>
        </w:rPr>
        <w:fldChar w:fldCharType="begin"/>
      </w:r>
      <w:proofErr w:type="spellStart"/>
      <w:r w:rsidRPr="009B5E75">
        <w:rPr>
          <w:rFonts w:cs="Arial"/>
          <w:b/>
          <w:bCs/>
          <w:sz w:val="22"/>
          <w:szCs w:val="22"/>
        </w:rPr>
        <w:instrText>tc</w:instrText>
      </w:r>
      <w:proofErr w:type="spellEnd"/>
      <w:r w:rsidRPr="009B5E75">
        <w:rPr>
          <w:rFonts w:cs="Arial"/>
          <w:b/>
          <w:bCs/>
          <w:sz w:val="22"/>
          <w:szCs w:val="22"/>
        </w:rPr>
        <w:instrText xml:space="preserve"> "</w:instrText>
      </w:r>
      <w:bookmarkStart w:id="5" w:name="_Toc293403052"/>
      <w:bookmarkStart w:id="6" w:name="_Toc336939792"/>
      <w:r w:rsidRPr="009B5E75">
        <w:rPr>
          <w:rFonts w:cs="Arial"/>
          <w:b/>
          <w:bCs/>
          <w:sz w:val="22"/>
          <w:szCs w:val="22"/>
        </w:rPr>
        <w:instrText>1.1</w:instrText>
      </w:r>
      <w:r w:rsidRPr="009B5E75">
        <w:rPr>
          <w:rFonts w:cs="Arial"/>
          <w:b/>
          <w:bCs/>
          <w:sz w:val="22"/>
          <w:szCs w:val="22"/>
        </w:rPr>
        <w:tab/>
        <w:instrText xml:space="preserve">Statement of the Problem and Objective of the </w:instrText>
      </w:r>
      <w:proofErr w:type="gramStart"/>
      <w:r w:rsidRPr="009B5E75">
        <w:rPr>
          <w:rFonts w:cs="Arial"/>
          <w:b/>
          <w:bCs/>
          <w:sz w:val="22"/>
          <w:szCs w:val="22"/>
        </w:rPr>
        <w:instrText>Rulemaking</w:instrText>
      </w:r>
      <w:bookmarkEnd w:id="5"/>
      <w:bookmarkEnd w:id="6"/>
      <w:r w:rsidRPr="009B5E75">
        <w:rPr>
          <w:rFonts w:cs="Arial"/>
          <w:b/>
          <w:bCs/>
          <w:sz w:val="22"/>
          <w:szCs w:val="22"/>
        </w:rPr>
        <w:instrText xml:space="preserve"> "</w:instrText>
      </w:r>
      <w:proofErr w:type="gramEnd"/>
      <w:r w:rsidRPr="009B5E75">
        <w:rPr>
          <w:rFonts w:cs="Arial"/>
          <w:b/>
          <w:bCs/>
          <w:sz w:val="22"/>
          <w:szCs w:val="22"/>
        </w:rPr>
        <w:instrText xml:space="preserve"> \l 3</w:instrText>
      </w:r>
      <w:r w:rsidR="001C7681" w:rsidRPr="009B5E75">
        <w:rPr>
          <w:rFonts w:cs="Arial"/>
          <w:b/>
          <w:bCs/>
          <w:sz w:val="22"/>
          <w:szCs w:val="22"/>
        </w:rPr>
        <w:fldChar w:fldCharType="end"/>
      </w:r>
    </w:p>
    <w:p w:rsidR="00C1459C" w:rsidRPr="009B5E75" w:rsidRDefault="00C1459C" w:rsidP="00C1459C">
      <w:pPr>
        <w:rPr>
          <w:rFonts w:cs="Arial"/>
          <w:sz w:val="22"/>
          <w:szCs w:val="22"/>
        </w:rPr>
      </w:pPr>
    </w:p>
    <w:p w:rsidR="001D3650" w:rsidRPr="001D3650" w:rsidRDefault="001D3650" w:rsidP="001D3650">
      <w:pPr>
        <w:tabs>
          <w:tab w:val="num" w:pos="1260"/>
        </w:tabs>
        <w:rPr>
          <w:rFonts w:cs="Arial"/>
          <w:sz w:val="22"/>
          <w:szCs w:val="22"/>
        </w:rPr>
      </w:pPr>
      <w:r w:rsidRPr="001D3650">
        <w:rPr>
          <w:rFonts w:cs="Arial"/>
          <w:sz w:val="22"/>
          <w:szCs w:val="22"/>
        </w:rPr>
        <w:t xml:space="preserve">The Commission </w:t>
      </w:r>
      <w:r w:rsidR="00B66BA4">
        <w:rPr>
          <w:rFonts w:cs="Arial"/>
          <w:sz w:val="22"/>
          <w:szCs w:val="22"/>
        </w:rPr>
        <w:t xml:space="preserve">has directed the staff to </w:t>
      </w:r>
      <w:r w:rsidRPr="001D3650">
        <w:rPr>
          <w:rFonts w:cs="Arial"/>
          <w:sz w:val="22"/>
          <w:szCs w:val="22"/>
        </w:rPr>
        <w:t>revise and consol</w:t>
      </w:r>
      <w:r w:rsidR="009E67EB">
        <w:rPr>
          <w:rFonts w:cs="Arial"/>
          <w:sz w:val="22"/>
          <w:szCs w:val="22"/>
        </w:rPr>
        <w:t xml:space="preserve">idate requirements for MC&amp;A in </w:t>
      </w:r>
      <w:r w:rsidR="009E67EB">
        <w:rPr>
          <w:rFonts w:cs="Arial"/>
          <w:sz w:val="22"/>
          <w:szCs w:val="22"/>
        </w:rPr>
        <w:br/>
      </w:r>
      <w:proofErr w:type="gramStart"/>
      <w:r w:rsidR="00C670DC">
        <w:rPr>
          <w:rFonts w:cs="Arial"/>
          <w:sz w:val="22"/>
          <w:szCs w:val="22"/>
        </w:rPr>
        <w:t xml:space="preserve">10 CFR </w:t>
      </w:r>
      <w:r w:rsidR="001B0DBD">
        <w:rPr>
          <w:rFonts w:cs="Arial"/>
          <w:sz w:val="22"/>
          <w:szCs w:val="22"/>
        </w:rPr>
        <w:t>part</w:t>
      </w:r>
      <w:proofErr w:type="gramEnd"/>
      <w:r w:rsidR="00C670DC">
        <w:rPr>
          <w:rFonts w:cs="Arial"/>
          <w:sz w:val="22"/>
          <w:szCs w:val="22"/>
        </w:rPr>
        <w:t xml:space="preserve"> 74. </w:t>
      </w:r>
      <w:r w:rsidRPr="001D3650">
        <w:rPr>
          <w:rFonts w:cs="Arial"/>
          <w:sz w:val="22"/>
          <w:szCs w:val="22"/>
        </w:rPr>
        <w:t xml:space="preserve"> The MC&amp;A requirements for an ISFSI</w:t>
      </w:r>
      <w:r w:rsidR="009E67EB">
        <w:rPr>
          <w:rFonts w:cs="Arial"/>
          <w:sz w:val="22"/>
          <w:szCs w:val="22"/>
        </w:rPr>
        <w:t xml:space="preserve"> that are currently located in </w:t>
      </w:r>
      <w:r w:rsidR="006D35A4">
        <w:rPr>
          <w:rFonts w:cs="Arial"/>
          <w:sz w:val="22"/>
          <w:szCs w:val="22"/>
        </w:rPr>
        <w:t>10 CFR</w:t>
      </w:r>
      <w:r w:rsidR="000E5C7E">
        <w:rPr>
          <w:rFonts w:cs="Arial"/>
          <w:sz w:val="22"/>
          <w:szCs w:val="22"/>
        </w:rPr>
        <w:t xml:space="preserve"> </w:t>
      </w:r>
      <w:proofErr w:type="gramStart"/>
      <w:r w:rsidR="001B0DBD">
        <w:rPr>
          <w:rFonts w:cs="Arial"/>
          <w:sz w:val="22"/>
          <w:szCs w:val="22"/>
        </w:rPr>
        <w:t>part</w:t>
      </w:r>
      <w:proofErr w:type="gramEnd"/>
      <w:r w:rsidR="009E67EB">
        <w:rPr>
          <w:rFonts w:cs="Arial"/>
          <w:sz w:val="22"/>
          <w:szCs w:val="22"/>
        </w:rPr>
        <w:t xml:space="preserve"> 72 would be relocated in </w:t>
      </w:r>
      <w:r w:rsidR="00C670DC">
        <w:rPr>
          <w:rFonts w:cs="Arial"/>
          <w:sz w:val="22"/>
          <w:szCs w:val="22"/>
        </w:rPr>
        <w:t xml:space="preserve">10 CFR </w:t>
      </w:r>
      <w:r w:rsidR="001B0DBD">
        <w:rPr>
          <w:rFonts w:cs="Arial"/>
          <w:sz w:val="22"/>
          <w:szCs w:val="22"/>
        </w:rPr>
        <w:t>part</w:t>
      </w:r>
      <w:r w:rsidR="00C670DC">
        <w:rPr>
          <w:rFonts w:cs="Arial"/>
          <w:sz w:val="22"/>
          <w:szCs w:val="22"/>
        </w:rPr>
        <w:t xml:space="preserve"> 74. </w:t>
      </w:r>
      <w:r w:rsidR="009E67EB">
        <w:rPr>
          <w:rFonts w:cs="Arial"/>
          <w:sz w:val="22"/>
          <w:szCs w:val="22"/>
        </w:rPr>
        <w:t xml:space="preserve"> In addition, </w:t>
      </w:r>
      <w:r w:rsidR="00217533">
        <w:rPr>
          <w:rFonts w:cs="Arial"/>
          <w:sz w:val="22"/>
          <w:szCs w:val="22"/>
        </w:rPr>
        <w:t xml:space="preserve">10 CFR </w:t>
      </w:r>
      <w:r w:rsidR="001B0DBD">
        <w:rPr>
          <w:rFonts w:cs="Arial"/>
          <w:sz w:val="22"/>
          <w:szCs w:val="22"/>
        </w:rPr>
        <w:t>part</w:t>
      </w:r>
      <w:r w:rsidR="00217533">
        <w:rPr>
          <w:rFonts w:cs="Arial"/>
          <w:sz w:val="22"/>
          <w:szCs w:val="22"/>
        </w:rPr>
        <w:t xml:space="preserve"> 74 </w:t>
      </w:r>
      <w:r w:rsidRPr="001D3650">
        <w:rPr>
          <w:rFonts w:cs="Arial"/>
          <w:sz w:val="22"/>
          <w:szCs w:val="22"/>
        </w:rPr>
        <w:t xml:space="preserve">would be revised to make it clear what requirements apply to different types of </w:t>
      </w:r>
      <w:proofErr w:type="gramStart"/>
      <w:r w:rsidRPr="001D3650">
        <w:rPr>
          <w:rFonts w:cs="Arial"/>
          <w:sz w:val="22"/>
          <w:szCs w:val="22"/>
        </w:rPr>
        <w:t>facilities.</w:t>
      </w:r>
      <w:proofErr w:type="gramEnd"/>
      <w:r w:rsidR="00552422">
        <w:rPr>
          <w:rFonts w:cs="Arial"/>
          <w:sz w:val="22"/>
          <w:szCs w:val="22"/>
        </w:rPr>
        <w:t xml:space="preserve"> </w:t>
      </w:r>
      <w:r w:rsidRPr="001D3650">
        <w:rPr>
          <w:rFonts w:cs="Arial"/>
          <w:sz w:val="22"/>
          <w:szCs w:val="22"/>
        </w:rPr>
        <w:t xml:space="preserve"> The general provisions would be revised to include general performance objectives</w:t>
      </w:r>
      <w:r w:rsidR="00EA67C1">
        <w:rPr>
          <w:rFonts w:cs="Arial"/>
          <w:sz w:val="22"/>
          <w:szCs w:val="22"/>
        </w:rPr>
        <w:t xml:space="preserve"> (GPOs)</w:t>
      </w:r>
      <w:r w:rsidRPr="001D3650">
        <w:rPr>
          <w:rFonts w:cs="Arial"/>
          <w:sz w:val="22"/>
          <w:szCs w:val="22"/>
        </w:rPr>
        <w:t xml:space="preserve"> for the MC&amp;A program that would apply to licensees</w:t>
      </w:r>
      <w:r w:rsidR="004A4286">
        <w:rPr>
          <w:rFonts w:cs="Arial"/>
          <w:sz w:val="22"/>
          <w:szCs w:val="22"/>
        </w:rPr>
        <w:t xml:space="preserve"> </w:t>
      </w:r>
      <w:r w:rsidR="00116DA6">
        <w:rPr>
          <w:rFonts w:cs="Arial"/>
          <w:sz w:val="22"/>
          <w:szCs w:val="22"/>
        </w:rPr>
        <w:t xml:space="preserve">authorized to </w:t>
      </w:r>
      <w:r w:rsidR="00E27053">
        <w:rPr>
          <w:rFonts w:cs="Arial"/>
          <w:sz w:val="22"/>
          <w:szCs w:val="22"/>
        </w:rPr>
        <w:t>possess</w:t>
      </w:r>
      <w:r w:rsidR="004A4286">
        <w:rPr>
          <w:rFonts w:cs="Arial"/>
          <w:sz w:val="22"/>
          <w:szCs w:val="22"/>
        </w:rPr>
        <w:t xml:space="preserve"> SNM in a quantity greater than 350 grams</w:t>
      </w:r>
      <w:r w:rsidRPr="001D3650">
        <w:rPr>
          <w:rFonts w:cs="Arial"/>
          <w:sz w:val="22"/>
          <w:szCs w:val="22"/>
        </w:rPr>
        <w:t>.  Some current exemptions in the regulations would be deleted or modified</w:t>
      </w:r>
      <w:r w:rsidR="00E75DAC">
        <w:rPr>
          <w:rFonts w:cs="Arial"/>
          <w:sz w:val="22"/>
          <w:szCs w:val="22"/>
        </w:rPr>
        <w:t xml:space="preserve">.  </w:t>
      </w:r>
      <w:r w:rsidR="004B103B">
        <w:rPr>
          <w:rFonts w:cs="Arial"/>
          <w:sz w:val="22"/>
          <w:szCs w:val="22"/>
        </w:rPr>
        <w:t xml:space="preserve">The requirements in 10 CFR </w:t>
      </w:r>
      <w:proofErr w:type="gramStart"/>
      <w:r w:rsidR="001B0DBD">
        <w:rPr>
          <w:rFonts w:cs="Arial"/>
          <w:sz w:val="22"/>
          <w:szCs w:val="22"/>
        </w:rPr>
        <w:t>part</w:t>
      </w:r>
      <w:proofErr w:type="gramEnd"/>
      <w:r w:rsidR="00E75DAC">
        <w:rPr>
          <w:rFonts w:cs="Arial"/>
          <w:sz w:val="22"/>
          <w:szCs w:val="22"/>
        </w:rPr>
        <w:t xml:space="preserve"> 74 </w:t>
      </w:r>
      <w:r w:rsidRPr="001D3650">
        <w:rPr>
          <w:rFonts w:cs="Arial"/>
          <w:sz w:val="22"/>
          <w:szCs w:val="22"/>
        </w:rPr>
        <w:t>would be revised to include definitions for some new terms and to clarify the definitions of some terms</w:t>
      </w:r>
      <w:r w:rsidR="00E75DAC">
        <w:rPr>
          <w:rFonts w:cs="Arial"/>
          <w:sz w:val="22"/>
          <w:szCs w:val="22"/>
        </w:rPr>
        <w:t xml:space="preserve">.  </w:t>
      </w:r>
      <w:r w:rsidRPr="001D3650">
        <w:rPr>
          <w:rFonts w:cs="Arial"/>
          <w:sz w:val="22"/>
          <w:szCs w:val="22"/>
        </w:rPr>
        <w:t>Other miscellaneous</w:t>
      </w:r>
      <w:r w:rsidR="009E67EB">
        <w:rPr>
          <w:rFonts w:cs="Arial"/>
          <w:sz w:val="22"/>
          <w:szCs w:val="22"/>
        </w:rPr>
        <w:t xml:space="preserve"> changes would also be made to </w:t>
      </w:r>
      <w:r w:rsidR="00A44E27">
        <w:rPr>
          <w:rFonts w:cs="Arial"/>
          <w:sz w:val="22"/>
          <w:szCs w:val="22"/>
        </w:rPr>
        <w:t>10 </w:t>
      </w:r>
      <w:r w:rsidR="00217533">
        <w:rPr>
          <w:rFonts w:cs="Arial"/>
          <w:sz w:val="22"/>
          <w:szCs w:val="22"/>
        </w:rPr>
        <w:t xml:space="preserve">CFR </w:t>
      </w:r>
      <w:r w:rsidR="001B0DBD">
        <w:rPr>
          <w:rFonts w:cs="Arial"/>
          <w:sz w:val="22"/>
          <w:szCs w:val="22"/>
        </w:rPr>
        <w:t>part</w:t>
      </w:r>
      <w:r w:rsidR="00217533">
        <w:rPr>
          <w:rFonts w:cs="Arial"/>
          <w:sz w:val="22"/>
          <w:szCs w:val="22"/>
        </w:rPr>
        <w:t xml:space="preserve"> 74 </w:t>
      </w:r>
      <w:r w:rsidRPr="001D3650">
        <w:rPr>
          <w:rFonts w:cs="Arial"/>
          <w:sz w:val="22"/>
          <w:szCs w:val="22"/>
        </w:rPr>
        <w:t xml:space="preserve">requirements for Category III, II, and I facilities respectively in </w:t>
      </w:r>
      <w:r w:rsidR="00FF5522">
        <w:rPr>
          <w:rFonts w:cs="Arial"/>
          <w:sz w:val="22"/>
          <w:szCs w:val="22"/>
        </w:rPr>
        <w:t>S</w:t>
      </w:r>
      <w:r w:rsidRPr="001D3650">
        <w:rPr>
          <w:rFonts w:cs="Arial"/>
          <w:sz w:val="22"/>
          <w:szCs w:val="22"/>
        </w:rPr>
        <w:t>ub</w:t>
      </w:r>
      <w:r w:rsidR="003B30DC">
        <w:rPr>
          <w:rFonts w:cs="Arial"/>
          <w:sz w:val="22"/>
          <w:szCs w:val="22"/>
        </w:rPr>
        <w:t>part</w:t>
      </w:r>
      <w:r w:rsidRPr="001D3650">
        <w:rPr>
          <w:rFonts w:cs="Arial"/>
          <w:sz w:val="22"/>
          <w:szCs w:val="22"/>
        </w:rPr>
        <w:t>s C, D, and E.  Plain language r</w:t>
      </w:r>
      <w:r w:rsidR="009E67EB">
        <w:rPr>
          <w:rFonts w:cs="Arial"/>
          <w:sz w:val="22"/>
          <w:szCs w:val="22"/>
        </w:rPr>
        <w:t xml:space="preserve">evisions would also be made to </w:t>
      </w:r>
      <w:r w:rsidR="00C670DC">
        <w:rPr>
          <w:rFonts w:cs="Arial"/>
          <w:sz w:val="22"/>
          <w:szCs w:val="22"/>
        </w:rPr>
        <w:t xml:space="preserve">10 CFR </w:t>
      </w:r>
      <w:proofErr w:type="gramStart"/>
      <w:r w:rsidR="001B0DBD">
        <w:rPr>
          <w:rFonts w:cs="Arial"/>
          <w:sz w:val="22"/>
          <w:szCs w:val="22"/>
        </w:rPr>
        <w:t>part</w:t>
      </w:r>
      <w:proofErr w:type="gramEnd"/>
      <w:r w:rsidR="00C670DC">
        <w:rPr>
          <w:rFonts w:cs="Arial"/>
          <w:sz w:val="22"/>
          <w:szCs w:val="22"/>
        </w:rPr>
        <w:t xml:space="preserve"> 74. </w:t>
      </w:r>
      <w:r w:rsidRPr="001D3650">
        <w:rPr>
          <w:rFonts w:cs="Arial"/>
          <w:sz w:val="22"/>
          <w:szCs w:val="22"/>
        </w:rPr>
        <w:t xml:space="preserve"> Existing NUREG guidance documents would be revised to reflect these changes and a NUREG guidance document for Category II facilities would be developed.</w:t>
      </w:r>
    </w:p>
    <w:p w:rsidR="00A21CCB" w:rsidRPr="009B5E75" w:rsidRDefault="00A21CCB" w:rsidP="00C1459C">
      <w:pPr>
        <w:rPr>
          <w:rFonts w:cs="Arial"/>
          <w:sz w:val="22"/>
          <w:szCs w:val="22"/>
        </w:rPr>
      </w:pPr>
    </w:p>
    <w:p w:rsidR="00C1459C" w:rsidRPr="009B5E75" w:rsidRDefault="00C1459C" w:rsidP="0083215E">
      <w:pPr>
        <w:tabs>
          <w:tab w:val="left" w:pos="720"/>
        </w:tabs>
        <w:rPr>
          <w:rFonts w:cs="Arial"/>
          <w:b/>
          <w:bCs/>
          <w:sz w:val="22"/>
          <w:szCs w:val="22"/>
        </w:rPr>
      </w:pPr>
      <w:r w:rsidRPr="009B5E75">
        <w:rPr>
          <w:rFonts w:cs="Arial"/>
          <w:b/>
          <w:bCs/>
          <w:sz w:val="22"/>
          <w:szCs w:val="22"/>
        </w:rPr>
        <w:t>1.2</w:t>
      </w:r>
      <w:r w:rsidRPr="009B5E75">
        <w:rPr>
          <w:rFonts w:cs="Arial"/>
          <w:b/>
          <w:bCs/>
          <w:sz w:val="22"/>
          <w:szCs w:val="22"/>
        </w:rPr>
        <w:tab/>
      </w:r>
      <w:r w:rsidR="00D87A76" w:rsidRPr="0048470A">
        <w:rPr>
          <w:rFonts w:cs="Arial"/>
          <w:b/>
          <w:bCs/>
          <w:sz w:val="22"/>
          <w:szCs w:val="22"/>
        </w:rPr>
        <w:t xml:space="preserve">Background </w:t>
      </w:r>
      <w:r w:rsidR="001C7681" w:rsidRPr="009B5E75">
        <w:rPr>
          <w:rFonts w:cs="Arial"/>
          <w:b/>
          <w:bCs/>
          <w:sz w:val="22"/>
          <w:szCs w:val="22"/>
        </w:rPr>
        <w:fldChar w:fldCharType="begin"/>
      </w:r>
      <w:proofErr w:type="spellStart"/>
      <w:r w:rsidRPr="009B5E75">
        <w:rPr>
          <w:rFonts w:cs="Arial"/>
          <w:b/>
          <w:bCs/>
          <w:sz w:val="22"/>
          <w:szCs w:val="22"/>
        </w:rPr>
        <w:instrText>tc</w:instrText>
      </w:r>
      <w:proofErr w:type="spellEnd"/>
      <w:r w:rsidRPr="009B5E75">
        <w:rPr>
          <w:rFonts w:cs="Arial"/>
          <w:b/>
          <w:bCs/>
          <w:sz w:val="22"/>
          <w:szCs w:val="22"/>
        </w:rPr>
        <w:instrText xml:space="preserve"> "</w:instrText>
      </w:r>
      <w:bookmarkStart w:id="7" w:name="_Toc293403053"/>
      <w:bookmarkStart w:id="8" w:name="_Toc336939793"/>
      <w:r w:rsidRPr="009B5E75">
        <w:rPr>
          <w:rFonts w:cs="Arial"/>
          <w:b/>
          <w:bCs/>
          <w:sz w:val="22"/>
          <w:szCs w:val="22"/>
        </w:rPr>
        <w:instrText>1.2</w:instrText>
      </w:r>
      <w:r w:rsidRPr="009B5E75">
        <w:rPr>
          <w:rFonts w:cs="Arial"/>
          <w:b/>
          <w:bCs/>
          <w:sz w:val="22"/>
          <w:szCs w:val="22"/>
        </w:rPr>
        <w:tab/>
      </w:r>
      <w:proofErr w:type="gramStart"/>
      <w:r w:rsidR="009D717B" w:rsidRPr="009B5E75">
        <w:rPr>
          <w:rFonts w:cs="Arial"/>
          <w:b/>
          <w:bCs/>
          <w:sz w:val="22"/>
          <w:szCs w:val="22"/>
        </w:rPr>
        <w:instrText>Background</w:instrText>
      </w:r>
      <w:bookmarkEnd w:id="7"/>
      <w:bookmarkEnd w:id="8"/>
      <w:r w:rsidRPr="009B5E75">
        <w:rPr>
          <w:rFonts w:cs="Arial"/>
          <w:b/>
          <w:bCs/>
          <w:sz w:val="22"/>
          <w:szCs w:val="22"/>
        </w:rPr>
        <w:instrText xml:space="preserve"> "</w:instrText>
      </w:r>
      <w:proofErr w:type="gramEnd"/>
      <w:r w:rsidRPr="009B5E75">
        <w:rPr>
          <w:rFonts w:cs="Arial"/>
          <w:b/>
          <w:bCs/>
          <w:sz w:val="22"/>
          <w:szCs w:val="22"/>
        </w:rPr>
        <w:instrText xml:space="preserve"> \l 3</w:instrText>
      </w:r>
      <w:r w:rsidR="001C7681" w:rsidRPr="009B5E75">
        <w:rPr>
          <w:rFonts w:cs="Arial"/>
          <w:b/>
          <w:bCs/>
          <w:sz w:val="22"/>
          <w:szCs w:val="22"/>
        </w:rPr>
        <w:fldChar w:fldCharType="end"/>
      </w:r>
    </w:p>
    <w:p w:rsidR="00C1459C" w:rsidRPr="009B5E75" w:rsidRDefault="00C1459C" w:rsidP="00C1459C">
      <w:pPr>
        <w:rPr>
          <w:rFonts w:cs="Arial"/>
          <w:sz w:val="22"/>
          <w:szCs w:val="22"/>
        </w:rPr>
      </w:pPr>
    </w:p>
    <w:p w:rsidR="00E75DAC" w:rsidRDefault="00E24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AA1D8A">
        <w:rPr>
          <w:rFonts w:cs="Arial"/>
          <w:sz w:val="22"/>
          <w:szCs w:val="22"/>
        </w:rPr>
        <w:t>Many of the current MC&amp;A requirements were developed over 20 years ago and have been considered over the past several years during self-assessment and operating experience activities completed by</w:t>
      </w:r>
      <w:r w:rsidR="00D24EE2">
        <w:rPr>
          <w:rFonts w:cs="Arial"/>
          <w:sz w:val="22"/>
          <w:szCs w:val="22"/>
        </w:rPr>
        <w:t xml:space="preserve"> the</w:t>
      </w:r>
      <w:r w:rsidRPr="00AA1D8A">
        <w:rPr>
          <w:rFonts w:cs="Arial"/>
          <w:sz w:val="22"/>
          <w:szCs w:val="22"/>
        </w:rPr>
        <w:t xml:space="preserve"> NRC.  A more risk-informed and performance-based approach is being cons</w:t>
      </w:r>
      <w:r w:rsidR="009E67EB">
        <w:rPr>
          <w:rFonts w:cs="Arial"/>
          <w:sz w:val="22"/>
          <w:szCs w:val="22"/>
        </w:rPr>
        <w:t xml:space="preserve">idered for the requirements in </w:t>
      </w:r>
      <w:r w:rsidR="00C670DC">
        <w:rPr>
          <w:rFonts w:cs="Arial"/>
          <w:sz w:val="22"/>
          <w:szCs w:val="22"/>
        </w:rPr>
        <w:t xml:space="preserve">10 CFR </w:t>
      </w:r>
      <w:proofErr w:type="gramStart"/>
      <w:r w:rsidR="001B0DBD">
        <w:rPr>
          <w:rFonts w:cs="Arial"/>
          <w:sz w:val="22"/>
          <w:szCs w:val="22"/>
        </w:rPr>
        <w:t>part</w:t>
      </w:r>
      <w:proofErr w:type="gramEnd"/>
      <w:r w:rsidR="00C670DC">
        <w:rPr>
          <w:rFonts w:cs="Arial"/>
          <w:sz w:val="22"/>
          <w:szCs w:val="22"/>
        </w:rPr>
        <w:t xml:space="preserve"> 74. </w:t>
      </w:r>
      <w:r w:rsidR="009E67EB">
        <w:rPr>
          <w:rFonts w:cs="Arial"/>
          <w:sz w:val="22"/>
          <w:szCs w:val="22"/>
        </w:rPr>
        <w:t xml:space="preserve"> The previous amendments to </w:t>
      </w:r>
      <w:r w:rsidR="00217533">
        <w:rPr>
          <w:rFonts w:cs="Arial"/>
          <w:sz w:val="22"/>
          <w:szCs w:val="22"/>
        </w:rPr>
        <w:t>10</w:t>
      </w:r>
      <w:r w:rsidR="00921BB1">
        <w:rPr>
          <w:rFonts w:cs="Arial"/>
          <w:sz w:val="22"/>
          <w:szCs w:val="22"/>
        </w:rPr>
        <w:t> </w:t>
      </w:r>
      <w:r w:rsidR="00217533">
        <w:rPr>
          <w:rFonts w:cs="Arial"/>
          <w:sz w:val="22"/>
          <w:szCs w:val="22"/>
        </w:rPr>
        <w:t xml:space="preserve">CFR </w:t>
      </w:r>
      <w:proofErr w:type="gramStart"/>
      <w:r w:rsidR="001B0DBD">
        <w:rPr>
          <w:rFonts w:cs="Arial"/>
          <w:sz w:val="22"/>
          <w:szCs w:val="22"/>
        </w:rPr>
        <w:t>part</w:t>
      </w:r>
      <w:proofErr w:type="gramEnd"/>
      <w:r w:rsidR="00217533">
        <w:rPr>
          <w:rFonts w:cs="Arial"/>
          <w:sz w:val="22"/>
          <w:szCs w:val="22"/>
        </w:rPr>
        <w:t xml:space="preserve"> 74 </w:t>
      </w:r>
      <w:r w:rsidRPr="00AA1D8A">
        <w:rPr>
          <w:rFonts w:cs="Arial"/>
          <w:sz w:val="22"/>
          <w:szCs w:val="22"/>
        </w:rPr>
        <w:t>consolida</w:t>
      </w:r>
      <w:r w:rsidR="009E67EB">
        <w:rPr>
          <w:rFonts w:cs="Arial"/>
          <w:sz w:val="22"/>
          <w:szCs w:val="22"/>
        </w:rPr>
        <w:t xml:space="preserve">ted the MC&amp;A requirements from </w:t>
      </w:r>
      <w:r w:rsidR="006D35A4">
        <w:rPr>
          <w:rFonts w:cs="Arial"/>
          <w:sz w:val="22"/>
          <w:szCs w:val="22"/>
        </w:rPr>
        <w:t>10 CFR</w:t>
      </w:r>
      <w:r w:rsidR="000E5C7E">
        <w:rPr>
          <w:rFonts w:cs="Arial"/>
          <w:sz w:val="22"/>
          <w:szCs w:val="22"/>
        </w:rPr>
        <w:t xml:space="preserve"> </w:t>
      </w:r>
      <w:r w:rsidR="001B0DBD">
        <w:rPr>
          <w:rFonts w:cs="Arial"/>
          <w:sz w:val="22"/>
          <w:szCs w:val="22"/>
        </w:rPr>
        <w:t>part</w:t>
      </w:r>
      <w:r w:rsidRPr="00AA1D8A">
        <w:rPr>
          <w:rFonts w:cs="Arial"/>
          <w:sz w:val="22"/>
          <w:szCs w:val="22"/>
        </w:rPr>
        <w:t xml:space="preserve"> 70.  </w:t>
      </w:r>
      <w:r w:rsidR="000E6FF9" w:rsidRPr="00FA648A">
        <w:rPr>
          <w:rFonts w:cs="Arial"/>
          <w:sz w:val="22"/>
          <w:szCs w:val="22"/>
        </w:rPr>
        <w:t xml:space="preserve">All that remains to be moved are the requirements in </w:t>
      </w:r>
      <w:r w:rsidR="000E6FF9">
        <w:rPr>
          <w:rFonts w:cs="Arial"/>
          <w:sz w:val="22"/>
          <w:szCs w:val="22"/>
        </w:rPr>
        <w:t xml:space="preserve">10 CFR </w:t>
      </w:r>
      <w:proofErr w:type="gramStart"/>
      <w:r w:rsidR="001B0DBD">
        <w:rPr>
          <w:rFonts w:cs="Arial"/>
          <w:sz w:val="22"/>
          <w:szCs w:val="22"/>
        </w:rPr>
        <w:t>part</w:t>
      </w:r>
      <w:proofErr w:type="gramEnd"/>
      <w:r w:rsidR="000E6FF9" w:rsidRPr="00FA648A">
        <w:rPr>
          <w:rFonts w:cs="Arial"/>
          <w:sz w:val="22"/>
          <w:szCs w:val="22"/>
        </w:rPr>
        <w:t xml:space="preserve"> 72 that apply to a licensee operating an ISFSI.  </w:t>
      </w:r>
      <w:r w:rsidR="000E6FF9" w:rsidRPr="00E131B3">
        <w:rPr>
          <w:rFonts w:cs="Arial"/>
          <w:sz w:val="22"/>
          <w:szCs w:val="22"/>
        </w:rPr>
        <w:t>There are</w:t>
      </w:r>
      <w:r w:rsidR="000E6FF9">
        <w:rPr>
          <w:rFonts w:cs="Arial"/>
          <w:sz w:val="22"/>
          <w:szCs w:val="22"/>
        </w:rPr>
        <w:t xml:space="preserve"> </w:t>
      </w:r>
      <w:r w:rsidR="000E6FF9" w:rsidRPr="00E131B3">
        <w:rPr>
          <w:rFonts w:cs="Arial"/>
          <w:sz w:val="22"/>
          <w:szCs w:val="22"/>
        </w:rPr>
        <w:t xml:space="preserve">reporting requirements </w:t>
      </w:r>
      <w:r w:rsidR="000E6FF9">
        <w:rPr>
          <w:rFonts w:cs="Arial"/>
          <w:sz w:val="22"/>
          <w:szCs w:val="22"/>
        </w:rPr>
        <w:t xml:space="preserve">for the Nuclear Materials Management and Safeguards System (NMMSS) </w:t>
      </w:r>
      <w:r w:rsidR="000E6FF9" w:rsidRPr="00E131B3">
        <w:rPr>
          <w:rFonts w:cs="Arial"/>
          <w:sz w:val="22"/>
          <w:szCs w:val="22"/>
        </w:rPr>
        <w:t xml:space="preserve">that are located in </w:t>
      </w:r>
      <w:r w:rsidR="000E6FF9">
        <w:rPr>
          <w:rFonts w:cs="Arial"/>
          <w:sz w:val="22"/>
          <w:szCs w:val="22"/>
        </w:rPr>
        <w:t xml:space="preserve">10 CFR </w:t>
      </w:r>
      <w:proofErr w:type="gramStart"/>
      <w:r w:rsidR="001B0DBD">
        <w:rPr>
          <w:rFonts w:cs="Arial"/>
          <w:sz w:val="22"/>
          <w:szCs w:val="22"/>
        </w:rPr>
        <w:t>part</w:t>
      </w:r>
      <w:proofErr w:type="gramEnd"/>
      <w:r w:rsidR="000E6FF9" w:rsidRPr="00E131B3">
        <w:rPr>
          <w:rFonts w:cs="Arial"/>
          <w:sz w:val="22"/>
          <w:szCs w:val="22"/>
        </w:rPr>
        <w:t xml:space="preserve"> 40 </w:t>
      </w:r>
      <w:r w:rsidR="000E6FF9">
        <w:rPr>
          <w:rFonts w:cs="Arial"/>
          <w:sz w:val="22"/>
          <w:szCs w:val="22"/>
        </w:rPr>
        <w:t>for</w:t>
      </w:r>
      <w:r w:rsidR="000E6FF9" w:rsidRPr="00E131B3">
        <w:rPr>
          <w:rFonts w:cs="Arial"/>
          <w:sz w:val="22"/>
          <w:szCs w:val="22"/>
        </w:rPr>
        <w:t xml:space="preserve"> source material.</w:t>
      </w:r>
      <w:r w:rsidR="006579A0">
        <w:rPr>
          <w:rFonts w:cs="Arial"/>
          <w:sz w:val="22"/>
          <w:szCs w:val="22"/>
        </w:rPr>
        <w:t xml:space="preserve"> </w:t>
      </w:r>
      <w:r w:rsidR="000E6FF9" w:rsidRPr="00E131B3">
        <w:rPr>
          <w:rFonts w:cs="Arial"/>
          <w:sz w:val="22"/>
          <w:szCs w:val="22"/>
        </w:rPr>
        <w:t xml:space="preserve"> These</w:t>
      </w:r>
      <w:r w:rsidR="000E6FF9">
        <w:rPr>
          <w:rFonts w:cs="Arial"/>
          <w:sz w:val="22"/>
          <w:szCs w:val="22"/>
        </w:rPr>
        <w:t xml:space="preserve"> </w:t>
      </w:r>
      <w:r w:rsidR="000E6FF9" w:rsidRPr="00E131B3">
        <w:rPr>
          <w:rFonts w:cs="Arial"/>
          <w:sz w:val="22"/>
          <w:szCs w:val="22"/>
        </w:rPr>
        <w:t>requirements would not be moved as they are not applicable for SNM</w:t>
      </w:r>
      <w:r w:rsidR="00906EB7" w:rsidRPr="00E131B3">
        <w:rPr>
          <w:rFonts w:cs="Arial"/>
          <w:sz w:val="22"/>
          <w:szCs w:val="22"/>
        </w:rPr>
        <w:t xml:space="preserve">.  </w:t>
      </w:r>
      <w:r w:rsidR="000E6FF9" w:rsidRPr="00E131B3">
        <w:rPr>
          <w:rFonts w:cs="Arial"/>
          <w:sz w:val="22"/>
          <w:szCs w:val="22"/>
        </w:rPr>
        <w:t>There are also NMMSS</w:t>
      </w:r>
      <w:r w:rsidR="000E6FF9">
        <w:rPr>
          <w:rFonts w:cs="Arial"/>
          <w:sz w:val="22"/>
          <w:szCs w:val="22"/>
        </w:rPr>
        <w:t xml:space="preserve"> </w:t>
      </w:r>
      <w:r w:rsidR="000E6FF9" w:rsidRPr="00E131B3">
        <w:rPr>
          <w:rFonts w:cs="Arial"/>
          <w:sz w:val="22"/>
          <w:szCs w:val="22"/>
        </w:rPr>
        <w:t xml:space="preserve">reporting requirements in </w:t>
      </w:r>
      <w:r w:rsidR="000E6FF9">
        <w:rPr>
          <w:rFonts w:cs="Arial"/>
          <w:sz w:val="22"/>
          <w:szCs w:val="22"/>
        </w:rPr>
        <w:t xml:space="preserve">10 CFR </w:t>
      </w:r>
      <w:proofErr w:type="gramStart"/>
      <w:r w:rsidR="001B0DBD">
        <w:rPr>
          <w:rFonts w:cs="Arial"/>
          <w:sz w:val="22"/>
          <w:szCs w:val="22"/>
        </w:rPr>
        <w:t>part</w:t>
      </w:r>
      <w:proofErr w:type="gramEnd"/>
      <w:r w:rsidR="000E6FF9" w:rsidRPr="00E131B3">
        <w:rPr>
          <w:rFonts w:cs="Arial"/>
          <w:sz w:val="22"/>
          <w:szCs w:val="22"/>
        </w:rPr>
        <w:t xml:space="preserve"> 150 that apply to Agreement State licensees.</w:t>
      </w:r>
      <w:r w:rsidR="006579A0">
        <w:rPr>
          <w:rFonts w:cs="Arial"/>
          <w:sz w:val="22"/>
          <w:szCs w:val="22"/>
        </w:rPr>
        <w:t xml:space="preserve"> </w:t>
      </w:r>
      <w:r w:rsidR="000E6FF9" w:rsidRPr="00E131B3">
        <w:rPr>
          <w:rFonts w:cs="Arial"/>
          <w:sz w:val="22"/>
          <w:szCs w:val="22"/>
        </w:rPr>
        <w:t xml:space="preserve"> These</w:t>
      </w:r>
      <w:r w:rsidR="000E6FF9">
        <w:rPr>
          <w:rFonts w:cs="Arial"/>
          <w:sz w:val="22"/>
          <w:szCs w:val="22"/>
        </w:rPr>
        <w:t xml:space="preserve"> r</w:t>
      </w:r>
      <w:r w:rsidR="000E6FF9" w:rsidRPr="00E131B3">
        <w:rPr>
          <w:rFonts w:cs="Arial"/>
          <w:sz w:val="22"/>
          <w:szCs w:val="22"/>
        </w:rPr>
        <w:t xml:space="preserve">equirements would not be relocated to </w:t>
      </w:r>
      <w:r w:rsidR="000E6FF9">
        <w:rPr>
          <w:rFonts w:cs="Arial"/>
          <w:sz w:val="22"/>
          <w:szCs w:val="22"/>
        </w:rPr>
        <w:t xml:space="preserve">10 CFR </w:t>
      </w:r>
      <w:proofErr w:type="gramStart"/>
      <w:r w:rsidR="001B0DBD">
        <w:rPr>
          <w:rFonts w:cs="Arial"/>
          <w:sz w:val="22"/>
          <w:szCs w:val="22"/>
        </w:rPr>
        <w:t>part</w:t>
      </w:r>
      <w:proofErr w:type="gramEnd"/>
      <w:r w:rsidR="000E6FF9" w:rsidRPr="00E131B3">
        <w:rPr>
          <w:rFonts w:cs="Arial"/>
          <w:sz w:val="22"/>
          <w:szCs w:val="22"/>
        </w:rPr>
        <w:t xml:space="preserve"> 74.</w:t>
      </w:r>
      <w:r w:rsidR="000E6FF9">
        <w:rPr>
          <w:rFonts w:cs="Arial"/>
          <w:sz w:val="22"/>
          <w:szCs w:val="22"/>
        </w:rPr>
        <w:t xml:space="preserve">  </w:t>
      </w:r>
      <w:r w:rsidR="000E6FF9" w:rsidRPr="00FA648A">
        <w:rPr>
          <w:rFonts w:cs="Arial"/>
          <w:sz w:val="22"/>
          <w:szCs w:val="22"/>
        </w:rPr>
        <w:t>This rulemaking would complete the relocation process by including ISFSI</w:t>
      </w:r>
      <w:r w:rsidR="00373A9C">
        <w:rPr>
          <w:rFonts w:cs="Arial"/>
          <w:sz w:val="22"/>
          <w:szCs w:val="22"/>
        </w:rPr>
        <w:t>s</w:t>
      </w:r>
      <w:r w:rsidR="000E6FF9" w:rsidRPr="00FA648A">
        <w:rPr>
          <w:rFonts w:cs="Arial"/>
          <w:sz w:val="22"/>
          <w:szCs w:val="22"/>
        </w:rPr>
        <w:t xml:space="preserve"> in the scope of </w:t>
      </w:r>
      <w:r w:rsidR="000E6FF9">
        <w:rPr>
          <w:rFonts w:cs="Arial"/>
          <w:sz w:val="22"/>
          <w:szCs w:val="22"/>
        </w:rPr>
        <w:t xml:space="preserve">10 CFR </w:t>
      </w:r>
      <w:proofErr w:type="gramStart"/>
      <w:r w:rsidR="001B0DBD">
        <w:rPr>
          <w:rFonts w:cs="Arial"/>
          <w:sz w:val="22"/>
          <w:szCs w:val="22"/>
        </w:rPr>
        <w:t>part</w:t>
      </w:r>
      <w:proofErr w:type="gramEnd"/>
      <w:r w:rsidR="000E6FF9" w:rsidRPr="00FA648A">
        <w:rPr>
          <w:rFonts w:cs="Arial"/>
          <w:sz w:val="22"/>
          <w:szCs w:val="22"/>
        </w:rPr>
        <w:t xml:space="preserve"> 74 and in the requirements for </w:t>
      </w:r>
      <w:r w:rsidR="000E6FF9" w:rsidRPr="00FA648A">
        <w:rPr>
          <w:rFonts w:cs="Arial"/>
          <w:sz w:val="22"/>
          <w:szCs w:val="22"/>
        </w:rPr>
        <w:lastRenderedPageBreak/>
        <w:t xml:space="preserve">submitting material status reports and nuclear material transaction reports to the NRC via the NMMSS.  </w:t>
      </w:r>
      <w:r w:rsidR="00B0072A" w:rsidRPr="00FA648A">
        <w:rPr>
          <w:rFonts w:cs="Arial"/>
          <w:sz w:val="22"/>
          <w:szCs w:val="22"/>
        </w:rPr>
        <w:t>Co</w:t>
      </w:r>
      <w:r w:rsidR="00B0072A">
        <w:rPr>
          <w:rFonts w:cs="Arial"/>
          <w:sz w:val="22"/>
          <w:szCs w:val="22"/>
        </w:rPr>
        <w:t>nformi</w:t>
      </w:r>
      <w:r w:rsidR="00B0072A" w:rsidRPr="00FA648A">
        <w:rPr>
          <w:rFonts w:cs="Arial"/>
          <w:sz w:val="22"/>
          <w:szCs w:val="22"/>
        </w:rPr>
        <w:t xml:space="preserve">ng </w:t>
      </w:r>
      <w:r w:rsidR="000E6FF9" w:rsidRPr="00FA648A">
        <w:rPr>
          <w:rFonts w:cs="Arial"/>
          <w:sz w:val="22"/>
          <w:szCs w:val="22"/>
        </w:rPr>
        <w:t xml:space="preserve">changes would remove the requirements from </w:t>
      </w:r>
      <w:r w:rsidR="000E6FF9">
        <w:rPr>
          <w:rFonts w:cs="Arial"/>
          <w:sz w:val="22"/>
          <w:szCs w:val="22"/>
        </w:rPr>
        <w:t xml:space="preserve">10 CFR </w:t>
      </w:r>
      <w:proofErr w:type="gramStart"/>
      <w:r w:rsidR="001B0DBD">
        <w:rPr>
          <w:rFonts w:cs="Arial"/>
          <w:sz w:val="22"/>
          <w:szCs w:val="22"/>
        </w:rPr>
        <w:t>part</w:t>
      </w:r>
      <w:proofErr w:type="gramEnd"/>
      <w:r w:rsidR="000E6FF9" w:rsidRPr="00FA648A">
        <w:rPr>
          <w:rFonts w:cs="Arial"/>
          <w:sz w:val="22"/>
          <w:szCs w:val="22"/>
        </w:rPr>
        <w:t xml:space="preserve"> 72 and refer to the MC&amp;A requirements in </w:t>
      </w:r>
      <w:r w:rsidR="000E6FF9">
        <w:rPr>
          <w:rFonts w:cs="Arial"/>
          <w:sz w:val="22"/>
          <w:szCs w:val="22"/>
        </w:rPr>
        <w:t xml:space="preserve">10 CFR </w:t>
      </w:r>
      <w:r w:rsidR="001B0DBD">
        <w:rPr>
          <w:rFonts w:cs="Arial"/>
          <w:sz w:val="22"/>
          <w:szCs w:val="22"/>
        </w:rPr>
        <w:t>part</w:t>
      </w:r>
      <w:r w:rsidR="000E6FF9" w:rsidRPr="00FA648A">
        <w:rPr>
          <w:rFonts w:cs="Arial"/>
          <w:sz w:val="22"/>
          <w:szCs w:val="22"/>
        </w:rPr>
        <w:t xml:space="preserve"> 74.  The proposed reporting requirements for a licensee under </w:t>
      </w:r>
      <w:r w:rsidR="000E6FF9">
        <w:rPr>
          <w:rFonts w:cs="Arial"/>
          <w:sz w:val="22"/>
          <w:szCs w:val="22"/>
        </w:rPr>
        <w:t xml:space="preserve">10 CFR </w:t>
      </w:r>
      <w:r w:rsidR="001B0DBD">
        <w:rPr>
          <w:rFonts w:cs="Arial"/>
          <w:sz w:val="22"/>
          <w:szCs w:val="22"/>
        </w:rPr>
        <w:t>part</w:t>
      </w:r>
      <w:r w:rsidR="000E6FF9" w:rsidRPr="00FA648A">
        <w:rPr>
          <w:rFonts w:cs="Arial"/>
          <w:sz w:val="22"/>
          <w:szCs w:val="22"/>
        </w:rPr>
        <w:t xml:space="preserve"> 72 would be essentially unchanged except that the requirements would be located in </w:t>
      </w:r>
      <w:r w:rsidR="000E6FF9">
        <w:rPr>
          <w:rFonts w:cs="Arial"/>
          <w:sz w:val="22"/>
          <w:szCs w:val="22"/>
        </w:rPr>
        <w:t xml:space="preserve">10 CFR </w:t>
      </w:r>
      <w:proofErr w:type="gramStart"/>
      <w:r w:rsidR="001B0DBD">
        <w:rPr>
          <w:rFonts w:cs="Arial"/>
          <w:sz w:val="22"/>
          <w:szCs w:val="22"/>
        </w:rPr>
        <w:t>part</w:t>
      </w:r>
      <w:proofErr w:type="gramEnd"/>
      <w:r w:rsidR="000E6FF9" w:rsidRPr="00FA648A">
        <w:rPr>
          <w:rFonts w:cs="Arial"/>
          <w:sz w:val="22"/>
          <w:szCs w:val="22"/>
        </w:rPr>
        <w:t xml:space="preserve"> 74. </w:t>
      </w:r>
      <w:r w:rsidR="000E6FF9">
        <w:rPr>
          <w:rFonts w:cs="Arial"/>
          <w:sz w:val="22"/>
          <w:szCs w:val="22"/>
        </w:rPr>
        <w:t xml:space="preserve"> </w:t>
      </w:r>
    </w:p>
    <w:p w:rsidR="00E75DAC" w:rsidRDefault="00E75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717C76" w:rsidRDefault="00E24D88" w:rsidP="00D40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AA1D8A">
        <w:rPr>
          <w:rFonts w:cs="Arial"/>
          <w:sz w:val="22"/>
          <w:szCs w:val="22"/>
        </w:rPr>
        <w:t xml:space="preserve">Currently there are no </w:t>
      </w:r>
      <w:r w:rsidR="00650229">
        <w:rPr>
          <w:rFonts w:cs="Arial"/>
          <w:sz w:val="22"/>
          <w:szCs w:val="22"/>
        </w:rPr>
        <w:t>GPO</w:t>
      </w:r>
      <w:r w:rsidR="000417F8">
        <w:rPr>
          <w:rFonts w:cs="Arial"/>
          <w:sz w:val="22"/>
          <w:szCs w:val="22"/>
        </w:rPr>
        <w:t xml:space="preserve"> requirement</w:t>
      </w:r>
      <w:r w:rsidRPr="00AA1D8A">
        <w:rPr>
          <w:rFonts w:cs="Arial"/>
          <w:sz w:val="22"/>
          <w:szCs w:val="22"/>
        </w:rPr>
        <w:t xml:space="preserve">s for </w:t>
      </w:r>
      <w:r w:rsidR="000417F8">
        <w:rPr>
          <w:rFonts w:cs="Arial"/>
          <w:sz w:val="22"/>
          <w:szCs w:val="22"/>
        </w:rPr>
        <w:t>NRC-</w:t>
      </w:r>
      <w:r w:rsidRPr="00AA1D8A">
        <w:rPr>
          <w:rFonts w:cs="Arial"/>
          <w:sz w:val="22"/>
          <w:szCs w:val="22"/>
        </w:rPr>
        <w:t>licens</w:t>
      </w:r>
      <w:r w:rsidR="00D40B8E">
        <w:rPr>
          <w:rFonts w:cs="Arial"/>
          <w:sz w:val="22"/>
          <w:szCs w:val="22"/>
        </w:rPr>
        <w:t xml:space="preserve">ed </w:t>
      </w:r>
      <w:r w:rsidR="000417F8">
        <w:rPr>
          <w:rFonts w:cs="Arial"/>
          <w:sz w:val="22"/>
          <w:szCs w:val="22"/>
        </w:rPr>
        <w:t>facilities which are</w:t>
      </w:r>
      <w:r w:rsidRPr="00AA1D8A">
        <w:rPr>
          <w:rFonts w:cs="Arial"/>
          <w:sz w:val="22"/>
          <w:szCs w:val="22"/>
        </w:rPr>
        <w:t xml:space="preserve"> authorized to possess </w:t>
      </w:r>
      <w:r w:rsidR="00CC238A">
        <w:rPr>
          <w:rFonts w:cs="Arial"/>
          <w:sz w:val="22"/>
          <w:szCs w:val="22"/>
        </w:rPr>
        <w:t>more</w:t>
      </w:r>
      <w:r w:rsidR="0001064C">
        <w:rPr>
          <w:rFonts w:cs="Arial"/>
          <w:sz w:val="22"/>
          <w:szCs w:val="22"/>
        </w:rPr>
        <w:t xml:space="preserve"> than 350 grams </w:t>
      </w:r>
      <w:r w:rsidRPr="00AA1D8A">
        <w:rPr>
          <w:rFonts w:cs="Arial"/>
          <w:sz w:val="22"/>
          <w:szCs w:val="22"/>
        </w:rPr>
        <w:t xml:space="preserve">of </w:t>
      </w:r>
      <w:r w:rsidR="00675723">
        <w:rPr>
          <w:rFonts w:cs="Arial"/>
          <w:sz w:val="22"/>
          <w:szCs w:val="22"/>
        </w:rPr>
        <w:t>SNM</w:t>
      </w:r>
      <w:r w:rsidR="00CC238A">
        <w:rPr>
          <w:rFonts w:cs="Arial"/>
          <w:sz w:val="22"/>
          <w:szCs w:val="22"/>
        </w:rPr>
        <w:t>, but which are not Category I, II, or III facilities.</w:t>
      </w:r>
      <w:r w:rsidR="009E67EB">
        <w:rPr>
          <w:rFonts w:cs="Arial"/>
          <w:sz w:val="22"/>
          <w:szCs w:val="22"/>
        </w:rPr>
        <w:t xml:space="preserve">  This </w:t>
      </w:r>
      <w:r w:rsidR="00CC238A">
        <w:rPr>
          <w:rFonts w:cs="Arial"/>
          <w:sz w:val="22"/>
          <w:szCs w:val="22"/>
        </w:rPr>
        <w:t xml:space="preserve">rulemaking </w:t>
      </w:r>
      <w:r w:rsidR="009E67EB">
        <w:rPr>
          <w:rFonts w:cs="Arial"/>
          <w:sz w:val="22"/>
          <w:szCs w:val="22"/>
        </w:rPr>
        <w:t>would revise S</w:t>
      </w:r>
      <w:r w:rsidRPr="00AA1D8A">
        <w:rPr>
          <w:rFonts w:cs="Arial"/>
          <w:sz w:val="22"/>
          <w:szCs w:val="22"/>
        </w:rPr>
        <w:t>ub</w:t>
      </w:r>
      <w:r w:rsidR="003B30DC">
        <w:rPr>
          <w:rFonts w:cs="Arial"/>
          <w:sz w:val="22"/>
          <w:szCs w:val="22"/>
        </w:rPr>
        <w:t>part</w:t>
      </w:r>
      <w:r w:rsidRPr="00AA1D8A">
        <w:rPr>
          <w:rFonts w:cs="Arial"/>
          <w:sz w:val="22"/>
          <w:szCs w:val="22"/>
        </w:rPr>
        <w:t xml:space="preserve"> </w:t>
      </w:r>
      <w:proofErr w:type="gramStart"/>
      <w:r w:rsidRPr="00AA1D8A">
        <w:rPr>
          <w:rFonts w:cs="Arial"/>
          <w:sz w:val="22"/>
          <w:szCs w:val="22"/>
        </w:rPr>
        <w:t>A</w:t>
      </w:r>
      <w:proofErr w:type="gramEnd"/>
      <w:r w:rsidR="00CC238A">
        <w:rPr>
          <w:rFonts w:cs="Arial"/>
          <w:sz w:val="22"/>
          <w:szCs w:val="22"/>
        </w:rPr>
        <w:t xml:space="preserve"> of 10 CFR </w:t>
      </w:r>
      <w:r w:rsidR="001B0DBD">
        <w:rPr>
          <w:rFonts w:cs="Arial"/>
          <w:sz w:val="22"/>
          <w:szCs w:val="22"/>
        </w:rPr>
        <w:t>part</w:t>
      </w:r>
      <w:r w:rsidR="00CC238A">
        <w:rPr>
          <w:rFonts w:cs="Arial"/>
          <w:sz w:val="22"/>
          <w:szCs w:val="22"/>
        </w:rPr>
        <w:t xml:space="preserve"> 74</w:t>
      </w:r>
      <w:r w:rsidRPr="00AA1D8A">
        <w:rPr>
          <w:rFonts w:cs="Arial"/>
          <w:sz w:val="22"/>
          <w:szCs w:val="22"/>
        </w:rPr>
        <w:t xml:space="preserve"> to </w:t>
      </w:r>
      <w:r w:rsidR="00CC238A">
        <w:rPr>
          <w:rFonts w:cs="Arial"/>
          <w:sz w:val="22"/>
          <w:szCs w:val="22"/>
        </w:rPr>
        <w:t>enlarge the set of NRC licensees who are subject to GPO requirements</w:t>
      </w:r>
      <w:r w:rsidRPr="00AA1D8A">
        <w:rPr>
          <w:rFonts w:cs="Arial"/>
          <w:sz w:val="22"/>
          <w:szCs w:val="22"/>
        </w:rPr>
        <w:t xml:space="preserve">.  </w:t>
      </w:r>
    </w:p>
    <w:p w:rsidR="00717C76" w:rsidRDefault="00717C76" w:rsidP="00D40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E75DAC" w:rsidRDefault="00E24D88" w:rsidP="00D40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AA1D8A">
        <w:rPr>
          <w:rFonts w:cs="Arial"/>
          <w:sz w:val="22"/>
          <w:szCs w:val="22"/>
        </w:rPr>
        <w:t xml:space="preserve">This </w:t>
      </w:r>
      <w:r w:rsidR="00CC238A">
        <w:rPr>
          <w:rFonts w:cs="Arial"/>
          <w:sz w:val="22"/>
          <w:szCs w:val="22"/>
        </w:rPr>
        <w:t>rulemaking</w:t>
      </w:r>
      <w:r w:rsidR="00CC238A" w:rsidRPr="00AA1D8A">
        <w:rPr>
          <w:rFonts w:cs="Arial"/>
          <w:sz w:val="22"/>
          <w:szCs w:val="22"/>
        </w:rPr>
        <w:t xml:space="preserve"> </w:t>
      </w:r>
      <w:r w:rsidRPr="00AA1D8A">
        <w:rPr>
          <w:rFonts w:cs="Arial"/>
          <w:sz w:val="22"/>
          <w:szCs w:val="22"/>
        </w:rPr>
        <w:t xml:space="preserve">would add </w:t>
      </w:r>
      <w:r w:rsidR="00CC238A">
        <w:rPr>
          <w:rFonts w:cs="Arial"/>
          <w:sz w:val="22"/>
          <w:szCs w:val="22"/>
        </w:rPr>
        <w:t xml:space="preserve">defined terms to 10 CFR </w:t>
      </w:r>
      <w:proofErr w:type="gramStart"/>
      <w:r w:rsidR="001B0DBD">
        <w:rPr>
          <w:rFonts w:cs="Arial"/>
          <w:sz w:val="22"/>
          <w:szCs w:val="22"/>
        </w:rPr>
        <w:t>part</w:t>
      </w:r>
      <w:proofErr w:type="gramEnd"/>
      <w:r w:rsidR="00CC238A">
        <w:rPr>
          <w:rFonts w:cs="Arial"/>
          <w:sz w:val="22"/>
          <w:szCs w:val="22"/>
        </w:rPr>
        <w:t xml:space="preserve"> 74,</w:t>
      </w:r>
      <w:r w:rsidRPr="00AA1D8A">
        <w:rPr>
          <w:rFonts w:cs="Arial"/>
          <w:sz w:val="22"/>
          <w:szCs w:val="22"/>
        </w:rPr>
        <w:t xml:space="preserve"> modify</w:t>
      </w:r>
      <w:r w:rsidR="00CC238A">
        <w:rPr>
          <w:rFonts w:cs="Arial"/>
          <w:sz w:val="22"/>
          <w:szCs w:val="22"/>
        </w:rPr>
        <w:t xml:space="preserve"> some existing terms, and</w:t>
      </w:r>
      <w:r w:rsidR="009E67EB">
        <w:rPr>
          <w:rFonts w:cs="Arial"/>
          <w:sz w:val="22"/>
          <w:szCs w:val="22"/>
        </w:rPr>
        <w:t xml:space="preserve"> remove</w:t>
      </w:r>
      <w:r w:rsidR="00CC238A">
        <w:rPr>
          <w:rFonts w:cs="Arial"/>
          <w:sz w:val="22"/>
          <w:szCs w:val="22"/>
        </w:rPr>
        <w:t xml:space="preserve"> one defined term</w:t>
      </w:r>
      <w:r w:rsidR="00EF3E89">
        <w:rPr>
          <w:rFonts w:cs="Arial"/>
          <w:sz w:val="22"/>
          <w:szCs w:val="22"/>
        </w:rPr>
        <w:t>.</w:t>
      </w:r>
      <w:r w:rsidR="00025065">
        <w:rPr>
          <w:rFonts w:cs="Arial"/>
          <w:sz w:val="22"/>
          <w:szCs w:val="22"/>
        </w:rPr>
        <w:t xml:space="preserve"> </w:t>
      </w:r>
      <w:r w:rsidR="00C670DC">
        <w:rPr>
          <w:rFonts w:cs="Arial"/>
          <w:sz w:val="22"/>
          <w:szCs w:val="22"/>
        </w:rPr>
        <w:t xml:space="preserve"> </w:t>
      </w:r>
      <w:r w:rsidRPr="00AA1D8A">
        <w:rPr>
          <w:rFonts w:cs="Arial"/>
          <w:sz w:val="22"/>
          <w:szCs w:val="22"/>
        </w:rPr>
        <w:t xml:space="preserve">Newly defined terms include:  </w:t>
      </w:r>
      <w:r w:rsidRPr="00D24EE2">
        <w:rPr>
          <w:rFonts w:cs="Arial"/>
          <w:i/>
          <w:sz w:val="22"/>
          <w:szCs w:val="22"/>
        </w:rPr>
        <w:t>accounting, custodian, item control</w:t>
      </w:r>
      <w:r w:rsidR="00CE6548">
        <w:rPr>
          <w:rFonts w:cs="Arial"/>
          <w:i/>
          <w:sz w:val="22"/>
          <w:szCs w:val="22"/>
        </w:rPr>
        <w:t xml:space="preserve"> system</w:t>
      </w:r>
      <w:r w:rsidRPr="00D24EE2">
        <w:rPr>
          <w:rFonts w:cs="Arial"/>
          <w:i/>
          <w:sz w:val="22"/>
          <w:szCs w:val="22"/>
        </w:rPr>
        <w:t xml:space="preserve"> </w:t>
      </w:r>
      <w:r w:rsidRPr="00D24EE2">
        <w:rPr>
          <w:rFonts w:cs="Arial"/>
          <w:sz w:val="22"/>
          <w:szCs w:val="22"/>
        </w:rPr>
        <w:t>and</w:t>
      </w:r>
      <w:r w:rsidRPr="00D24EE2">
        <w:rPr>
          <w:rFonts w:cs="Arial"/>
          <w:i/>
          <w:sz w:val="22"/>
          <w:szCs w:val="22"/>
        </w:rPr>
        <w:t xml:space="preserve"> item control area, material balance area, </w:t>
      </w:r>
      <w:r w:rsidR="002879F9" w:rsidRPr="00D24EE2">
        <w:rPr>
          <w:rFonts w:cs="Arial"/>
          <w:sz w:val="22"/>
          <w:szCs w:val="22"/>
        </w:rPr>
        <w:t>and</w:t>
      </w:r>
      <w:r w:rsidR="002879F9" w:rsidRPr="00D24EE2">
        <w:rPr>
          <w:rFonts w:cs="Arial"/>
          <w:i/>
          <w:sz w:val="22"/>
          <w:szCs w:val="22"/>
        </w:rPr>
        <w:t xml:space="preserve"> </w:t>
      </w:r>
      <w:r w:rsidRPr="00D24EE2">
        <w:rPr>
          <w:rFonts w:cs="Arial"/>
          <w:i/>
          <w:sz w:val="22"/>
          <w:szCs w:val="22"/>
        </w:rPr>
        <w:t>material control and accounting</w:t>
      </w:r>
      <w:r w:rsidR="00025065">
        <w:rPr>
          <w:rFonts w:cs="Arial"/>
          <w:sz w:val="22"/>
          <w:szCs w:val="22"/>
        </w:rPr>
        <w:t xml:space="preserve">.  </w:t>
      </w:r>
      <w:r w:rsidRPr="00025065">
        <w:rPr>
          <w:rFonts w:cs="Arial"/>
          <w:sz w:val="22"/>
          <w:szCs w:val="22"/>
        </w:rPr>
        <w:t>Modified</w:t>
      </w:r>
      <w:r w:rsidRPr="00D24EE2">
        <w:rPr>
          <w:rFonts w:cs="Arial"/>
          <w:sz w:val="22"/>
          <w:szCs w:val="22"/>
        </w:rPr>
        <w:t xml:space="preserve"> terms include,</w:t>
      </w:r>
      <w:r w:rsidRPr="00D24EE2">
        <w:rPr>
          <w:rFonts w:cs="Arial"/>
          <w:i/>
          <w:sz w:val="22"/>
          <w:szCs w:val="22"/>
        </w:rPr>
        <w:t xml:space="preserve"> formula quantity, </w:t>
      </w:r>
      <w:r w:rsidR="009929DD">
        <w:rPr>
          <w:rFonts w:cs="Arial"/>
          <w:i/>
          <w:sz w:val="22"/>
          <w:szCs w:val="22"/>
        </w:rPr>
        <w:t xml:space="preserve">special nuclear material </w:t>
      </w:r>
      <w:r w:rsidRPr="00D24EE2">
        <w:rPr>
          <w:rFonts w:cs="Arial"/>
          <w:i/>
          <w:sz w:val="22"/>
          <w:szCs w:val="22"/>
        </w:rPr>
        <w:t xml:space="preserve">of moderate strategic significance, </w:t>
      </w:r>
      <w:r w:rsidRPr="00D24EE2">
        <w:rPr>
          <w:rFonts w:cs="Arial"/>
          <w:sz w:val="22"/>
          <w:szCs w:val="22"/>
        </w:rPr>
        <w:t>and</w:t>
      </w:r>
      <w:r w:rsidRPr="00D24EE2">
        <w:rPr>
          <w:rFonts w:cs="Arial"/>
          <w:i/>
          <w:sz w:val="22"/>
          <w:szCs w:val="22"/>
        </w:rPr>
        <w:t xml:space="preserve"> </w:t>
      </w:r>
      <w:r w:rsidR="009929DD">
        <w:rPr>
          <w:rFonts w:cs="Arial"/>
          <w:i/>
          <w:sz w:val="22"/>
          <w:szCs w:val="22"/>
        </w:rPr>
        <w:t xml:space="preserve">special nuclear material </w:t>
      </w:r>
      <w:r w:rsidR="00AD5B69" w:rsidRPr="00D24EE2">
        <w:rPr>
          <w:rFonts w:cs="Arial"/>
          <w:i/>
          <w:sz w:val="22"/>
          <w:szCs w:val="22"/>
        </w:rPr>
        <w:t>of</w:t>
      </w:r>
      <w:r w:rsidRPr="00D24EE2">
        <w:rPr>
          <w:rFonts w:cs="Arial"/>
          <w:i/>
          <w:sz w:val="22"/>
          <w:szCs w:val="22"/>
        </w:rPr>
        <w:t xml:space="preserve"> low strategic significance</w:t>
      </w:r>
      <w:r w:rsidRPr="00AA1D8A">
        <w:rPr>
          <w:rFonts w:cs="Arial"/>
          <w:sz w:val="22"/>
          <w:szCs w:val="22"/>
        </w:rPr>
        <w:t>.  For these classes of materi</w:t>
      </w:r>
      <w:r w:rsidR="009E67EB">
        <w:rPr>
          <w:rFonts w:cs="Arial"/>
          <w:sz w:val="22"/>
          <w:szCs w:val="22"/>
        </w:rPr>
        <w:t xml:space="preserve">als, </w:t>
      </w:r>
      <w:r w:rsidR="00217533">
        <w:rPr>
          <w:rFonts w:cs="Arial"/>
          <w:sz w:val="22"/>
          <w:szCs w:val="22"/>
        </w:rPr>
        <w:t xml:space="preserve">10 CFR </w:t>
      </w:r>
      <w:r w:rsidR="001B0DBD">
        <w:rPr>
          <w:rFonts w:cs="Arial"/>
          <w:sz w:val="22"/>
          <w:szCs w:val="22"/>
        </w:rPr>
        <w:t>part</w:t>
      </w:r>
      <w:r w:rsidR="00217533">
        <w:rPr>
          <w:rFonts w:cs="Arial"/>
          <w:sz w:val="22"/>
          <w:szCs w:val="22"/>
        </w:rPr>
        <w:t xml:space="preserve"> 74 </w:t>
      </w:r>
      <w:r w:rsidRPr="00AA1D8A">
        <w:rPr>
          <w:rFonts w:cs="Arial"/>
          <w:sz w:val="22"/>
          <w:szCs w:val="22"/>
        </w:rPr>
        <w:t xml:space="preserve">would be revised to improve clarity of the requirements that apply to different types of facilities.  These classes of materials would be designated respectively as a Category I quantity, a Category II quantity, and a Category III quantity.  Also, a </w:t>
      </w:r>
      <w:r w:rsidR="009E67EB">
        <w:rPr>
          <w:rFonts w:cs="Arial"/>
          <w:sz w:val="22"/>
          <w:szCs w:val="22"/>
        </w:rPr>
        <w:t xml:space="preserve">new appendix would be added to </w:t>
      </w:r>
      <w:r w:rsidR="006D35A4">
        <w:rPr>
          <w:rFonts w:cs="Arial"/>
          <w:sz w:val="22"/>
          <w:szCs w:val="22"/>
        </w:rPr>
        <w:t>10 CFR</w:t>
      </w:r>
      <w:r w:rsidR="000E5C7E">
        <w:rPr>
          <w:rFonts w:cs="Arial"/>
          <w:sz w:val="22"/>
          <w:szCs w:val="22"/>
        </w:rPr>
        <w:t xml:space="preserve"> </w:t>
      </w:r>
      <w:proofErr w:type="gramStart"/>
      <w:r w:rsidR="001B0DBD">
        <w:rPr>
          <w:rFonts w:cs="Arial"/>
          <w:sz w:val="22"/>
          <w:szCs w:val="22"/>
        </w:rPr>
        <w:t>part</w:t>
      </w:r>
      <w:proofErr w:type="gramEnd"/>
      <w:r w:rsidRPr="00AA1D8A">
        <w:rPr>
          <w:rFonts w:cs="Arial"/>
          <w:sz w:val="22"/>
          <w:szCs w:val="22"/>
        </w:rPr>
        <w:t xml:space="preserve"> 74</w:t>
      </w:r>
      <w:r w:rsidR="00DD5685">
        <w:rPr>
          <w:rFonts w:cs="Arial"/>
          <w:sz w:val="22"/>
          <w:szCs w:val="22"/>
        </w:rPr>
        <w:t>:</w:t>
      </w:r>
      <w:r w:rsidR="00DD5685" w:rsidRPr="00AA1D8A">
        <w:rPr>
          <w:rFonts w:cs="Arial"/>
          <w:sz w:val="22"/>
          <w:szCs w:val="22"/>
        </w:rPr>
        <w:t xml:space="preserve"> </w:t>
      </w:r>
      <w:r w:rsidR="00025065">
        <w:rPr>
          <w:rFonts w:cs="Arial"/>
          <w:sz w:val="22"/>
          <w:szCs w:val="22"/>
        </w:rPr>
        <w:t xml:space="preserve"> </w:t>
      </w:r>
      <w:r w:rsidRPr="00AA1D8A">
        <w:rPr>
          <w:rFonts w:cs="Arial"/>
          <w:sz w:val="22"/>
          <w:szCs w:val="22"/>
        </w:rPr>
        <w:t>Appendix A, Categories of Special Nuclear Material, that includes a table showing the quantities for each category</w:t>
      </w:r>
      <w:r w:rsidR="009E67EB">
        <w:rPr>
          <w:rFonts w:cs="Arial"/>
          <w:sz w:val="22"/>
          <w:szCs w:val="22"/>
        </w:rPr>
        <w:t xml:space="preserve">, the </w:t>
      </w:r>
      <w:r w:rsidR="00717C76">
        <w:rPr>
          <w:rFonts w:cs="Arial"/>
          <w:sz w:val="22"/>
          <w:szCs w:val="22"/>
        </w:rPr>
        <w:t xml:space="preserve">reference </w:t>
      </w:r>
      <w:r w:rsidR="009E67EB">
        <w:rPr>
          <w:rFonts w:cs="Arial"/>
          <w:sz w:val="22"/>
          <w:szCs w:val="22"/>
        </w:rPr>
        <w:t xml:space="preserve">corresponding </w:t>
      </w:r>
      <w:r w:rsidR="00717C76">
        <w:rPr>
          <w:rFonts w:cs="Arial"/>
          <w:sz w:val="22"/>
          <w:szCs w:val="22"/>
        </w:rPr>
        <w:t xml:space="preserve">to the </w:t>
      </w:r>
      <w:r w:rsidR="009E67EB">
        <w:rPr>
          <w:rFonts w:cs="Arial"/>
          <w:sz w:val="22"/>
          <w:szCs w:val="22"/>
        </w:rPr>
        <w:t>sub</w:t>
      </w:r>
      <w:r w:rsidR="003B30DC">
        <w:rPr>
          <w:rFonts w:cs="Arial"/>
          <w:sz w:val="22"/>
          <w:szCs w:val="22"/>
        </w:rPr>
        <w:t>part</w:t>
      </w:r>
      <w:r w:rsidR="009E67EB">
        <w:rPr>
          <w:rFonts w:cs="Arial"/>
          <w:sz w:val="22"/>
          <w:szCs w:val="22"/>
        </w:rPr>
        <w:t xml:space="preserve"> in </w:t>
      </w:r>
      <w:r w:rsidR="00217533">
        <w:rPr>
          <w:rFonts w:cs="Arial"/>
          <w:sz w:val="22"/>
          <w:szCs w:val="22"/>
        </w:rPr>
        <w:t xml:space="preserve">10 CFR </w:t>
      </w:r>
      <w:r w:rsidR="001B0DBD">
        <w:rPr>
          <w:rFonts w:cs="Arial"/>
          <w:sz w:val="22"/>
          <w:szCs w:val="22"/>
        </w:rPr>
        <w:t>part</w:t>
      </w:r>
      <w:r w:rsidR="00217533">
        <w:rPr>
          <w:rFonts w:cs="Arial"/>
          <w:sz w:val="22"/>
          <w:szCs w:val="22"/>
        </w:rPr>
        <w:t xml:space="preserve"> 74 </w:t>
      </w:r>
      <w:r w:rsidRPr="00AA1D8A">
        <w:rPr>
          <w:rFonts w:cs="Arial"/>
          <w:sz w:val="22"/>
          <w:szCs w:val="22"/>
        </w:rPr>
        <w:t>for each category, and formulae to calculate any combination of SNM in a quantity for a category.  The term</w:t>
      </w:r>
      <w:r w:rsidR="00D40B8E">
        <w:rPr>
          <w:rFonts w:cs="Arial"/>
          <w:sz w:val="22"/>
          <w:szCs w:val="22"/>
        </w:rPr>
        <w:t xml:space="preserve"> </w:t>
      </w:r>
      <w:r w:rsidR="00D40B8E" w:rsidRPr="00916CB4">
        <w:rPr>
          <w:rFonts w:cs="Arial"/>
          <w:i/>
          <w:sz w:val="22"/>
          <w:szCs w:val="22"/>
        </w:rPr>
        <w:t>Effective kilograms of special nuclear material</w:t>
      </w:r>
      <w:r w:rsidR="00BF4356">
        <w:rPr>
          <w:rFonts w:cs="Arial"/>
          <w:i/>
          <w:sz w:val="22"/>
          <w:szCs w:val="22"/>
        </w:rPr>
        <w:t xml:space="preserve"> </w:t>
      </w:r>
      <w:r w:rsidR="009E67EB">
        <w:rPr>
          <w:rFonts w:cs="Arial"/>
          <w:sz w:val="22"/>
          <w:szCs w:val="22"/>
        </w:rPr>
        <w:t xml:space="preserve">would be removed from </w:t>
      </w:r>
      <w:r w:rsidR="00217533">
        <w:rPr>
          <w:rFonts w:cs="Arial"/>
          <w:sz w:val="22"/>
          <w:szCs w:val="22"/>
        </w:rPr>
        <w:t xml:space="preserve">10 CFR </w:t>
      </w:r>
      <w:proofErr w:type="gramStart"/>
      <w:r w:rsidR="001B0DBD">
        <w:rPr>
          <w:rFonts w:cs="Arial"/>
          <w:sz w:val="22"/>
          <w:szCs w:val="22"/>
        </w:rPr>
        <w:t>part</w:t>
      </w:r>
      <w:proofErr w:type="gramEnd"/>
      <w:r w:rsidR="00217533">
        <w:rPr>
          <w:rFonts w:cs="Arial"/>
          <w:sz w:val="22"/>
          <w:szCs w:val="22"/>
        </w:rPr>
        <w:t xml:space="preserve"> 74 </w:t>
      </w:r>
      <w:r w:rsidRPr="00AA1D8A">
        <w:rPr>
          <w:rFonts w:cs="Arial"/>
          <w:sz w:val="22"/>
          <w:szCs w:val="22"/>
        </w:rPr>
        <w:t>and the requirements would simply refer to gram quantities</w:t>
      </w:r>
      <w:r w:rsidR="00D40B8E">
        <w:rPr>
          <w:rFonts w:cs="Arial"/>
          <w:sz w:val="22"/>
          <w:szCs w:val="22"/>
        </w:rPr>
        <w:t>.</w:t>
      </w:r>
      <w:r w:rsidRPr="00AA1D8A">
        <w:rPr>
          <w:rFonts w:cs="Arial"/>
          <w:sz w:val="22"/>
          <w:szCs w:val="22"/>
        </w:rPr>
        <w:t xml:space="preserve"> </w:t>
      </w:r>
      <w:r w:rsidR="00D40B8E">
        <w:rPr>
          <w:rFonts w:cs="Arial"/>
          <w:sz w:val="22"/>
          <w:szCs w:val="22"/>
        </w:rPr>
        <w:t xml:space="preserve"> </w:t>
      </w:r>
      <w:r w:rsidR="00D40B8E">
        <w:rPr>
          <w:rFonts w:cs="Arial"/>
          <w:i/>
          <w:sz w:val="22"/>
          <w:szCs w:val="22"/>
        </w:rPr>
        <w:t>Effective kilograms of special nuclear material</w:t>
      </w:r>
      <w:r w:rsidR="00D40B8E">
        <w:rPr>
          <w:rFonts w:cs="Arial"/>
          <w:sz w:val="22"/>
          <w:szCs w:val="22"/>
        </w:rPr>
        <w:t xml:space="preserve"> would remain as a defined term in 10 CFR </w:t>
      </w:r>
      <w:r w:rsidR="001B0DBD">
        <w:rPr>
          <w:rFonts w:cs="Arial"/>
          <w:sz w:val="22"/>
          <w:szCs w:val="22"/>
        </w:rPr>
        <w:t>part</w:t>
      </w:r>
      <w:r w:rsidR="00D40B8E">
        <w:rPr>
          <w:rFonts w:cs="Arial"/>
          <w:sz w:val="22"/>
          <w:szCs w:val="22"/>
        </w:rPr>
        <w:t>s 40, 70, 75, 76, and 110, to ensure the continued effective implementation of the U</w:t>
      </w:r>
      <w:r w:rsidR="00920918">
        <w:rPr>
          <w:rFonts w:cs="Arial"/>
          <w:sz w:val="22"/>
          <w:szCs w:val="22"/>
        </w:rPr>
        <w:t>.</w:t>
      </w:r>
      <w:r w:rsidR="00D40B8E">
        <w:rPr>
          <w:rFonts w:cs="Arial"/>
          <w:sz w:val="22"/>
          <w:szCs w:val="22"/>
        </w:rPr>
        <w:t>S</w:t>
      </w:r>
      <w:r w:rsidR="00920918">
        <w:rPr>
          <w:rFonts w:cs="Arial"/>
          <w:sz w:val="22"/>
          <w:szCs w:val="22"/>
        </w:rPr>
        <w:t>.</w:t>
      </w:r>
      <w:r w:rsidR="00D40B8E">
        <w:rPr>
          <w:rFonts w:cs="Arial"/>
          <w:sz w:val="22"/>
          <w:szCs w:val="22"/>
        </w:rPr>
        <w:t xml:space="preserve">/International Atomic Energy Agency Safeguards Agreement.  </w:t>
      </w:r>
    </w:p>
    <w:p w:rsidR="00E75DAC" w:rsidRDefault="00E75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A50333" w:rsidRDefault="00F2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2314ED">
        <w:rPr>
          <w:rFonts w:cs="Arial"/>
          <w:sz w:val="22"/>
          <w:szCs w:val="22"/>
        </w:rPr>
        <w:t xml:space="preserve">Many of the references to due dates and reporting frequencies would be changed to calendar days, to make 10 CFR </w:t>
      </w:r>
      <w:proofErr w:type="gramStart"/>
      <w:r w:rsidR="001B0DBD">
        <w:rPr>
          <w:rFonts w:cs="Arial"/>
          <w:sz w:val="22"/>
          <w:szCs w:val="22"/>
        </w:rPr>
        <w:t>part</w:t>
      </w:r>
      <w:proofErr w:type="gramEnd"/>
      <w:r w:rsidRPr="002314ED">
        <w:rPr>
          <w:rFonts w:cs="Arial"/>
          <w:sz w:val="22"/>
          <w:szCs w:val="22"/>
        </w:rPr>
        <w:t xml:space="preserve"> 74 more uniform in this regard.  Using calendar days avoids the existing uncertainty over whether weekends and holidays are counted in determining whether or not a licensee has taken timely action.  </w:t>
      </w:r>
    </w:p>
    <w:p w:rsidR="00A50333" w:rsidRDefault="00A50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DF0008" w:rsidRDefault="00A50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AA1D8A">
        <w:rPr>
          <w:rFonts w:cs="Arial"/>
          <w:sz w:val="22"/>
          <w:szCs w:val="22"/>
        </w:rPr>
        <w:t>A new item control requirement would</w:t>
      </w:r>
      <w:r>
        <w:rPr>
          <w:rFonts w:cs="Arial"/>
          <w:sz w:val="22"/>
          <w:szCs w:val="22"/>
        </w:rPr>
        <w:t xml:space="preserve"> be added to S</w:t>
      </w:r>
      <w:r w:rsidRPr="00AA1D8A">
        <w:rPr>
          <w:rFonts w:cs="Arial"/>
          <w:sz w:val="22"/>
          <w:szCs w:val="22"/>
        </w:rPr>
        <w:t>ub</w:t>
      </w:r>
      <w:r w:rsidR="003B30DC">
        <w:rPr>
          <w:rFonts w:cs="Arial"/>
          <w:sz w:val="22"/>
          <w:szCs w:val="22"/>
        </w:rPr>
        <w:t>part</w:t>
      </w:r>
      <w:r w:rsidRPr="00AA1D8A">
        <w:rPr>
          <w:rFonts w:cs="Arial"/>
          <w:sz w:val="22"/>
          <w:szCs w:val="22"/>
        </w:rPr>
        <w:t xml:space="preserve"> B</w:t>
      </w:r>
      <w:r>
        <w:rPr>
          <w:rFonts w:cs="Arial"/>
          <w:sz w:val="22"/>
          <w:szCs w:val="22"/>
        </w:rPr>
        <w:t xml:space="preserve"> of 10 CFR </w:t>
      </w:r>
      <w:r w:rsidR="001B0DBD">
        <w:rPr>
          <w:rFonts w:cs="Arial"/>
          <w:sz w:val="22"/>
          <w:szCs w:val="22"/>
        </w:rPr>
        <w:t>part</w:t>
      </w:r>
      <w:r>
        <w:rPr>
          <w:rFonts w:cs="Arial"/>
          <w:sz w:val="22"/>
          <w:szCs w:val="22"/>
        </w:rPr>
        <w:t xml:space="preserve"> 74. </w:t>
      </w:r>
      <w:r w:rsidR="00920918">
        <w:rPr>
          <w:rFonts w:cs="Arial"/>
          <w:sz w:val="22"/>
          <w:szCs w:val="22"/>
        </w:rPr>
        <w:t xml:space="preserve"> </w:t>
      </w:r>
      <w:r w:rsidR="00A76BFC">
        <w:rPr>
          <w:rFonts w:cs="Arial"/>
          <w:sz w:val="22"/>
          <w:szCs w:val="22"/>
        </w:rPr>
        <w:t>S</w:t>
      </w:r>
      <w:r w:rsidR="00E24D88" w:rsidRPr="00AA1D8A">
        <w:rPr>
          <w:rFonts w:cs="Arial"/>
          <w:sz w:val="22"/>
          <w:szCs w:val="22"/>
        </w:rPr>
        <w:t>ub</w:t>
      </w:r>
      <w:r w:rsidR="003B30DC">
        <w:rPr>
          <w:rFonts w:cs="Arial"/>
          <w:sz w:val="22"/>
          <w:szCs w:val="22"/>
        </w:rPr>
        <w:t>part</w:t>
      </w:r>
      <w:r w:rsidR="00E24D88" w:rsidRPr="00AA1D8A">
        <w:rPr>
          <w:rFonts w:cs="Arial"/>
          <w:sz w:val="22"/>
          <w:szCs w:val="22"/>
        </w:rPr>
        <w:t>s C</w:t>
      </w:r>
      <w:r w:rsidR="00373A9C">
        <w:rPr>
          <w:rFonts w:cs="Arial"/>
          <w:sz w:val="22"/>
          <w:szCs w:val="22"/>
        </w:rPr>
        <w:t xml:space="preserve"> and</w:t>
      </w:r>
      <w:r w:rsidR="00E24D88" w:rsidRPr="00AA1D8A">
        <w:rPr>
          <w:rFonts w:cs="Arial"/>
          <w:sz w:val="22"/>
          <w:szCs w:val="22"/>
        </w:rPr>
        <w:t xml:space="preserve"> D would be revised to remove some exemptions or modify requirements for item control of smaller quantities of SNM.  Sub</w:t>
      </w:r>
      <w:r w:rsidR="003B30DC">
        <w:rPr>
          <w:rFonts w:cs="Arial"/>
          <w:sz w:val="22"/>
          <w:szCs w:val="22"/>
        </w:rPr>
        <w:t>part</w:t>
      </w:r>
      <w:r w:rsidR="00E24D88" w:rsidRPr="00AA1D8A">
        <w:rPr>
          <w:rFonts w:cs="Arial"/>
          <w:sz w:val="22"/>
          <w:szCs w:val="22"/>
        </w:rPr>
        <w:t xml:space="preserve">s C, D, and E would be revised to require certain procedures to be established for tamper-safing containers or locations and to require </w:t>
      </w:r>
      <w:r w:rsidR="00373A9C">
        <w:rPr>
          <w:rFonts w:cs="Arial"/>
          <w:sz w:val="22"/>
          <w:szCs w:val="22"/>
        </w:rPr>
        <w:t xml:space="preserve">designation of </w:t>
      </w:r>
      <w:r w:rsidR="00E24D88" w:rsidRPr="00AA1D8A">
        <w:rPr>
          <w:rFonts w:cs="Arial"/>
          <w:sz w:val="22"/>
          <w:szCs w:val="22"/>
        </w:rPr>
        <w:t xml:space="preserve">material balance areas or item control areas.  Plain language revisions would clarify an MC&amp;A program and various systems that comprise the MC&amp;A program.  The term, MC&amp;A plan would replace the term, </w:t>
      </w:r>
      <w:r w:rsidR="00DD5685">
        <w:rPr>
          <w:rFonts w:cs="Arial"/>
          <w:sz w:val="22"/>
          <w:szCs w:val="22"/>
        </w:rPr>
        <w:t>F</w:t>
      </w:r>
      <w:r w:rsidR="00DD5685" w:rsidRPr="00AA1D8A">
        <w:rPr>
          <w:rFonts w:cs="Arial"/>
          <w:sz w:val="22"/>
          <w:szCs w:val="22"/>
        </w:rPr>
        <w:t xml:space="preserve">undamental </w:t>
      </w:r>
      <w:r w:rsidR="00DD5685">
        <w:rPr>
          <w:rFonts w:cs="Arial"/>
          <w:sz w:val="22"/>
          <w:szCs w:val="22"/>
        </w:rPr>
        <w:t>N</w:t>
      </w:r>
      <w:r w:rsidR="00DD5685" w:rsidRPr="00AA1D8A">
        <w:rPr>
          <w:rFonts w:cs="Arial"/>
          <w:sz w:val="22"/>
          <w:szCs w:val="22"/>
        </w:rPr>
        <w:t xml:space="preserve">uclear </w:t>
      </w:r>
      <w:r w:rsidR="00DD5685">
        <w:rPr>
          <w:rFonts w:cs="Arial"/>
          <w:sz w:val="22"/>
          <w:szCs w:val="22"/>
        </w:rPr>
        <w:t>M</w:t>
      </w:r>
      <w:r w:rsidR="00DD5685" w:rsidRPr="00AA1D8A">
        <w:rPr>
          <w:rFonts w:cs="Arial"/>
          <w:sz w:val="22"/>
          <w:szCs w:val="22"/>
        </w:rPr>
        <w:t xml:space="preserve">aterial </w:t>
      </w:r>
      <w:r w:rsidR="00DD5685">
        <w:rPr>
          <w:rFonts w:cs="Arial"/>
          <w:sz w:val="22"/>
          <w:szCs w:val="22"/>
        </w:rPr>
        <w:t>C</w:t>
      </w:r>
      <w:r w:rsidR="00DD5685" w:rsidRPr="00AA1D8A">
        <w:rPr>
          <w:rFonts w:cs="Arial"/>
          <w:sz w:val="22"/>
          <w:szCs w:val="22"/>
        </w:rPr>
        <w:t xml:space="preserve">ontrol </w:t>
      </w:r>
      <w:r w:rsidR="00E24D88" w:rsidRPr="00AA1D8A">
        <w:rPr>
          <w:rFonts w:cs="Arial"/>
          <w:sz w:val="22"/>
          <w:szCs w:val="22"/>
        </w:rPr>
        <w:t>(FNMC) plan.  Conforming changes would be completed for associated guidance documents that are used by licensees and the NRC and interested members of the public</w:t>
      </w:r>
      <w:r w:rsidR="00B66BA4">
        <w:rPr>
          <w:rFonts w:cs="Arial"/>
          <w:sz w:val="22"/>
          <w:szCs w:val="22"/>
        </w:rPr>
        <w:t>.</w:t>
      </w:r>
    </w:p>
    <w:p w:rsidR="003267B5" w:rsidRDefault="003267B5" w:rsidP="00C1459C">
      <w:pPr>
        <w:numPr>
          <w:ilvl w:val="12"/>
          <w:numId w:val="0"/>
        </w:numPr>
        <w:tabs>
          <w:tab w:val="left" w:pos="720"/>
        </w:tabs>
        <w:ind w:left="720" w:hanging="720"/>
        <w:rPr>
          <w:rFonts w:cs="Arial"/>
          <w:bCs/>
          <w:sz w:val="22"/>
          <w:szCs w:val="22"/>
        </w:rPr>
      </w:pPr>
    </w:p>
    <w:p w:rsidR="000C6D34" w:rsidRDefault="000C6D34" w:rsidP="00C1459C">
      <w:pPr>
        <w:numPr>
          <w:ilvl w:val="12"/>
          <w:numId w:val="0"/>
        </w:numPr>
        <w:tabs>
          <w:tab w:val="left" w:pos="720"/>
        </w:tabs>
        <w:ind w:left="720" w:hanging="720"/>
        <w:rPr>
          <w:rFonts w:cs="Arial"/>
          <w:b/>
          <w:bCs/>
          <w:sz w:val="22"/>
          <w:szCs w:val="22"/>
        </w:rPr>
      </w:pPr>
    </w:p>
    <w:p w:rsidR="000C6D34" w:rsidRDefault="000C6D34" w:rsidP="00C1459C">
      <w:pPr>
        <w:numPr>
          <w:ilvl w:val="12"/>
          <w:numId w:val="0"/>
        </w:numPr>
        <w:tabs>
          <w:tab w:val="left" w:pos="720"/>
        </w:tabs>
        <w:ind w:left="720" w:hanging="720"/>
        <w:rPr>
          <w:rFonts w:cs="Arial"/>
          <w:b/>
          <w:bCs/>
          <w:sz w:val="22"/>
          <w:szCs w:val="22"/>
        </w:rPr>
      </w:pPr>
    </w:p>
    <w:p w:rsidR="00C1459C" w:rsidRPr="009B5E75" w:rsidRDefault="00C1459C" w:rsidP="00C1459C">
      <w:pPr>
        <w:numPr>
          <w:ilvl w:val="12"/>
          <w:numId w:val="0"/>
        </w:numPr>
        <w:tabs>
          <w:tab w:val="left" w:pos="720"/>
        </w:tabs>
        <w:ind w:left="720" w:hanging="720"/>
        <w:rPr>
          <w:rFonts w:cs="Arial"/>
          <w:b/>
          <w:bCs/>
          <w:sz w:val="22"/>
          <w:szCs w:val="22"/>
        </w:rPr>
      </w:pPr>
      <w:r w:rsidRPr="009B5E75">
        <w:rPr>
          <w:rFonts w:cs="Arial"/>
          <w:b/>
          <w:bCs/>
          <w:sz w:val="22"/>
          <w:szCs w:val="22"/>
        </w:rPr>
        <w:t>2.</w:t>
      </w:r>
      <w:r w:rsidRPr="009B5E75">
        <w:rPr>
          <w:rFonts w:cs="Arial"/>
          <w:b/>
          <w:bCs/>
          <w:sz w:val="22"/>
          <w:szCs w:val="22"/>
        </w:rPr>
        <w:tab/>
      </w:r>
      <w:r w:rsidRPr="0048470A">
        <w:rPr>
          <w:rFonts w:cs="Arial"/>
          <w:b/>
          <w:bCs/>
          <w:sz w:val="22"/>
          <w:szCs w:val="22"/>
          <w:u w:val="single"/>
        </w:rPr>
        <w:t>Identification and Preliminary Analysis of Alternative Approaches</w:t>
      </w:r>
      <w:r w:rsidRPr="009B5E75">
        <w:rPr>
          <w:rFonts w:cs="Arial"/>
          <w:b/>
          <w:bCs/>
          <w:sz w:val="22"/>
          <w:szCs w:val="22"/>
        </w:rPr>
        <w:t xml:space="preserve"> </w:t>
      </w:r>
      <w:r w:rsidR="001C7681" w:rsidRPr="009B5E75">
        <w:rPr>
          <w:rFonts w:cs="Arial"/>
          <w:b/>
          <w:bCs/>
          <w:sz w:val="22"/>
          <w:szCs w:val="22"/>
        </w:rPr>
        <w:fldChar w:fldCharType="begin"/>
      </w:r>
      <w:proofErr w:type="spellStart"/>
      <w:proofErr w:type="gramStart"/>
      <w:r w:rsidRPr="009B5E75">
        <w:rPr>
          <w:rFonts w:cs="Arial"/>
          <w:b/>
          <w:bCs/>
          <w:sz w:val="22"/>
          <w:szCs w:val="22"/>
        </w:rPr>
        <w:instrText>tc</w:instrText>
      </w:r>
      <w:proofErr w:type="spellEnd"/>
      <w:proofErr w:type="gramEnd"/>
      <w:r w:rsidRPr="009B5E75">
        <w:rPr>
          <w:rFonts w:cs="Arial"/>
          <w:b/>
          <w:bCs/>
          <w:sz w:val="22"/>
          <w:szCs w:val="22"/>
        </w:rPr>
        <w:instrText xml:space="preserve"> "</w:instrText>
      </w:r>
      <w:bookmarkStart w:id="9" w:name="_Toc293403054"/>
      <w:bookmarkStart w:id="10" w:name="_Toc336939794"/>
      <w:r w:rsidRPr="009B5E75">
        <w:rPr>
          <w:rFonts w:cs="Arial"/>
          <w:b/>
          <w:bCs/>
          <w:sz w:val="22"/>
          <w:szCs w:val="22"/>
        </w:rPr>
        <w:instrText>2.</w:instrText>
      </w:r>
      <w:r w:rsidRPr="009B5E75">
        <w:rPr>
          <w:rFonts w:cs="Arial"/>
          <w:b/>
          <w:bCs/>
          <w:sz w:val="22"/>
          <w:szCs w:val="22"/>
        </w:rPr>
        <w:tab/>
        <w:instrText>Identification and Preliminary Analysis of Alternative Approaches</w:instrText>
      </w:r>
      <w:bookmarkEnd w:id="9"/>
      <w:bookmarkEnd w:id="10"/>
      <w:r w:rsidRPr="009B5E75">
        <w:rPr>
          <w:rFonts w:cs="Arial"/>
          <w:b/>
          <w:bCs/>
          <w:sz w:val="22"/>
          <w:szCs w:val="22"/>
        </w:rPr>
        <w:instrText xml:space="preserve"> </w:instrText>
      </w:r>
      <w:proofErr w:type="gramStart"/>
      <w:r w:rsidRPr="009B5E75">
        <w:rPr>
          <w:rFonts w:cs="Arial"/>
          <w:b/>
          <w:bCs/>
          <w:sz w:val="22"/>
          <w:szCs w:val="22"/>
        </w:rPr>
        <w:instrText>" \</w:instrText>
      </w:r>
      <w:proofErr w:type="gramEnd"/>
      <w:r w:rsidRPr="009B5E75">
        <w:rPr>
          <w:rFonts w:cs="Arial"/>
          <w:b/>
          <w:bCs/>
          <w:sz w:val="22"/>
          <w:szCs w:val="22"/>
        </w:rPr>
        <w:instrText>l 2</w:instrText>
      </w:r>
      <w:r w:rsidR="001C7681" w:rsidRPr="009B5E75">
        <w:rPr>
          <w:rFonts w:cs="Arial"/>
          <w:b/>
          <w:bCs/>
          <w:sz w:val="22"/>
          <w:szCs w:val="22"/>
        </w:rPr>
        <w:fldChar w:fldCharType="end"/>
      </w:r>
    </w:p>
    <w:p w:rsidR="00C1459C" w:rsidRPr="009B5E75" w:rsidRDefault="00C1459C" w:rsidP="00C1459C">
      <w:pPr>
        <w:numPr>
          <w:ilvl w:val="12"/>
          <w:numId w:val="0"/>
        </w:numPr>
        <w:rPr>
          <w:rFonts w:cs="Arial"/>
          <w:sz w:val="22"/>
          <w:szCs w:val="22"/>
        </w:rPr>
      </w:pPr>
    </w:p>
    <w:p w:rsidR="00C1459C" w:rsidRDefault="00C1459C" w:rsidP="003E058B">
      <w:pPr>
        <w:numPr>
          <w:ilvl w:val="12"/>
          <w:numId w:val="0"/>
        </w:numPr>
        <w:rPr>
          <w:rFonts w:cs="Arial"/>
          <w:sz w:val="22"/>
          <w:szCs w:val="22"/>
        </w:rPr>
      </w:pPr>
      <w:r w:rsidRPr="009B5E75">
        <w:rPr>
          <w:rFonts w:cs="Arial"/>
          <w:sz w:val="22"/>
          <w:szCs w:val="22"/>
        </w:rPr>
        <w:lastRenderedPageBreak/>
        <w:t xml:space="preserve">The following </w:t>
      </w:r>
      <w:r w:rsidR="00D87109">
        <w:rPr>
          <w:rFonts w:cs="Arial"/>
          <w:sz w:val="22"/>
          <w:szCs w:val="22"/>
        </w:rPr>
        <w:t xml:space="preserve">sections </w:t>
      </w:r>
      <w:r w:rsidRPr="009B5E75">
        <w:rPr>
          <w:rFonts w:cs="Arial"/>
          <w:sz w:val="22"/>
          <w:szCs w:val="22"/>
        </w:rPr>
        <w:t xml:space="preserve">describe the two regulatory options </w:t>
      </w:r>
      <w:r w:rsidR="007F748F" w:rsidRPr="009B5E75">
        <w:rPr>
          <w:rFonts w:cs="Arial"/>
          <w:sz w:val="22"/>
          <w:szCs w:val="22"/>
        </w:rPr>
        <w:t xml:space="preserve">that the NRC is </w:t>
      </w:r>
      <w:r w:rsidRPr="009B5E75">
        <w:rPr>
          <w:rFonts w:cs="Arial"/>
          <w:sz w:val="22"/>
          <w:szCs w:val="22"/>
        </w:rPr>
        <w:t>consider</w:t>
      </w:r>
      <w:r w:rsidR="007F748F" w:rsidRPr="009B5E75">
        <w:rPr>
          <w:rFonts w:cs="Arial"/>
          <w:sz w:val="22"/>
          <w:szCs w:val="22"/>
        </w:rPr>
        <w:t>ing</w:t>
      </w:r>
      <w:r w:rsidR="00AE18DF">
        <w:rPr>
          <w:rFonts w:cs="Arial"/>
          <w:sz w:val="22"/>
          <w:szCs w:val="22"/>
        </w:rPr>
        <w:t xml:space="preserve"> in order</w:t>
      </w:r>
      <w:r w:rsidR="00835F91" w:rsidRPr="009B5E75">
        <w:rPr>
          <w:rFonts w:cs="Arial"/>
          <w:sz w:val="22"/>
          <w:szCs w:val="22"/>
        </w:rPr>
        <w:t xml:space="preserve"> to meet the rulemaking objective identified in the previous section.  </w:t>
      </w:r>
      <w:r w:rsidR="007F748F" w:rsidRPr="009B5E75">
        <w:rPr>
          <w:rFonts w:cs="Arial"/>
          <w:sz w:val="22"/>
          <w:szCs w:val="22"/>
        </w:rPr>
        <w:t>Section 3 presents a d</w:t>
      </w:r>
      <w:r w:rsidR="00835F91" w:rsidRPr="009B5E75">
        <w:rPr>
          <w:rFonts w:cs="Arial"/>
          <w:sz w:val="22"/>
          <w:szCs w:val="22"/>
        </w:rPr>
        <w:t>etailed a</w:t>
      </w:r>
      <w:r w:rsidRPr="009B5E75">
        <w:rPr>
          <w:rFonts w:cs="Arial"/>
          <w:sz w:val="22"/>
          <w:szCs w:val="22"/>
        </w:rPr>
        <w:t>nalysis.</w:t>
      </w:r>
    </w:p>
    <w:p w:rsidR="00921BB1" w:rsidRPr="009B5E75" w:rsidRDefault="00921BB1" w:rsidP="003E058B">
      <w:pPr>
        <w:numPr>
          <w:ilvl w:val="12"/>
          <w:numId w:val="0"/>
        </w:numPr>
        <w:rPr>
          <w:rFonts w:cs="Arial"/>
          <w:sz w:val="22"/>
          <w:szCs w:val="22"/>
        </w:rPr>
      </w:pPr>
    </w:p>
    <w:p w:rsidR="00C1459C" w:rsidRPr="009B5E75" w:rsidRDefault="00C1459C" w:rsidP="00C1459C">
      <w:pPr>
        <w:numPr>
          <w:ilvl w:val="12"/>
          <w:numId w:val="0"/>
        </w:numPr>
        <w:tabs>
          <w:tab w:val="left" w:pos="720"/>
          <w:tab w:val="left" w:pos="1440"/>
          <w:tab w:val="left" w:pos="2160"/>
        </w:tabs>
        <w:ind w:left="2160" w:hanging="2160"/>
        <w:rPr>
          <w:rFonts w:cs="Arial"/>
          <w:b/>
          <w:bCs/>
          <w:sz w:val="22"/>
          <w:szCs w:val="22"/>
        </w:rPr>
      </w:pPr>
      <w:r w:rsidRPr="009B5E75">
        <w:rPr>
          <w:rFonts w:cs="Arial"/>
          <w:b/>
          <w:bCs/>
          <w:sz w:val="22"/>
          <w:szCs w:val="22"/>
        </w:rPr>
        <w:t>2.1</w:t>
      </w:r>
      <w:r w:rsidRPr="009B5E75">
        <w:rPr>
          <w:rFonts w:cs="Arial"/>
          <w:b/>
          <w:bCs/>
          <w:sz w:val="22"/>
          <w:szCs w:val="22"/>
        </w:rPr>
        <w:tab/>
        <w:t>Option 1:</w:t>
      </w:r>
      <w:r w:rsidR="00B66ED2" w:rsidRPr="009B5E75">
        <w:rPr>
          <w:rFonts w:cs="Arial"/>
          <w:b/>
          <w:bCs/>
          <w:sz w:val="22"/>
          <w:szCs w:val="22"/>
        </w:rPr>
        <w:t xml:space="preserve">  </w:t>
      </w:r>
      <w:r w:rsidRPr="009B5E75">
        <w:rPr>
          <w:rFonts w:cs="Arial"/>
          <w:b/>
          <w:bCs/>
          <w:sz w:val="22"/>
          <w:szCs w:val="22"/>
        </w:rPr>
        <w:t xml:space="preserve">No Action </w:t>
      </w:r>
      <w:r w:rsidR="001C7681" w:rsidRPr="009B5E75">
        <w:rPr>
          <w:rFonts w:cs="Arial"/>
          <w:b/>
          <w:bCs/>
          <w:sz w:val="22"/>
          <w:szCs w:val="22"/>
        </w:rPr>
        <w:fldChar w:fldCharType="begin"/>
      </w:r>
      <w:proofErr w:type="spellStart"/>
      <w:proofErr w:type="gramStart"/>
      <w:r w:rsidRPr="009B5E75">
        <w:rPr>
          <w:rFonts w:cs="Arial"/>
          <w:b/>
          <w:bCs/>
          <w:sz w:val="22"/>
          <w:szCs w:val="22"/>
        </w:rPr>
        <w:instrText>tc</w:instrText>
      </w:r>
      <w:proofErr w:type="spellEnd"/>
      <w:proofErr w:type="gramEnd"/>
      <w:r w:rsidRPr="009B5E75">
        <w:rPr>
          <w:rFonts w:cs="Arial"/>
          <w:b/>
          <w:bCs/>
          <w:sz w:val="22"/>
          <w:szCs w:val="22"/>
        </w:rPr>
        <w:instrText xml:space="preserve"> "</w:instrText>
      </w:r>
      <w:bookmarkStart w:id="11" w:name="_Toc293403055"/>
      <w:bookmarkStart w:id="12" w:name="_Toc336939795"/>
      <w:r w:rsidRPr="009B5E75">
        <w:rPr>
          <w:rFonts w:cs="Arial"/>
          <w:b/>
          <w:bCs/>
          <w:sz w:val="22"/>
          <w:szCs w:val="22"/>
        </w:rPr>
        <w:instrText>2.1</w:instrText>
      </w:r>
      <w:r w:rsidRPr="009B5E75">
        <w:rPr>
          <w:rFonts w:cs="Arial"/>
          <w:b/>
          <w:bCs/>
          <w:sz w:val="22"/>
          <w:szCs w:val="22"/>
        </w:rPr>
        <w:tab/>
        <w:instrText>Option 1\:</w:instrText>
      </w:r>
      <w:r w:rsidRPr="009B5E75">
        <w:rPr>
          <w:rFonts w:cs="Arial"/>
          <w:b/>
          <w:bCs/>
          <w:sz w:val="22"/>
          <w:szCs w:val="22"/>
        </w:rPr>
        <w:tab/>
        <w:instrText>No Action</w:instrText>
      </w:r>
      <w:bookmarkEnd w:id="11"/>
      <w:bookmarkEnd w:id="12"/>
      <w:r w:rsidRPr="009B5E75">
        <w:rPr>
          <w:rFonts w:cs="Arial"/>
          <w:b/>
          <w:bCs/>
          <w:sz w:val="22"/>
          <w:szCs w:val="22"/>
        </w:rPr>
        <w:instrText xml:space="preserve"> " \l 3</w:instrText>
      </w:r>
      <w:r w:rsidR="001C7681" w:rsidRPr="009B5E75">
        <w:rPr>
          <w:rFonts w:cs="Arial"/>
          <w:b/>
          <w:bCs/>
          <w:sz w:val="22"/>
          <w:szCs w:val="22"/>
        </w:rPr>
        <w:fldChar w:fldCharType="end"/>
      </w:r>
    </w:p>
    <w:p w:rsidR="00C1459C" w:rsidRPr="009B5E75" w:rsidRDefault="00C1459C" w:rsidP="00C1459C">
      <w:pPr>
        <w:numPr>
          <w:ilvl w:val="12"/>
          <w:numId w:val="0"/>
        </w:numPr>
        <w:rPr>
          <w:rFonts w:cs="Arial"/>
          <w:sz w:val="22"/>
          <w:szCs w:val="22"/>
        </w:rPr>
      </w:pPr>
    </w:p>
    <w:p w:rsidR="00E75DAC" w:rsidRDefault="00C1459C" w:rsidP="009D717B">
      <w:pPr>
        <w:rPr>
          <w:rFonts w:cs="Arial"/>
          <w:sz w:val="22"/>
          <w:szCs w:val="22"/>
        </w:rPr>
      </w:pPr>
      <w:r w:rsidRPr="009B5E75">
        <w:rPr>
          <w:rFonts w:cs="Arial"/>
          <w:sz w:val="22"/>
          <w:szCs w:val="22"/>
        </w:rPr>
        <w:t>Under Option 1, the no-action alternative,</w:t>
      </w:r>
      <w:r w:rsidR="005705ED" w:rsidRPr="009B5E75">
        <w:rPr>
          <w:rFonts w:cs="Arial"/>
          <w:sz w:val="22"/>
          <w:szCs w:val="22"/>
        </w:rPr>
        <w:t xml:space="preserve"> the</w:t>
      </w:r>
      <w:r w:rsidRPr="009B5E75">
        <w:rPr>
          <w:rFonts w:cs="Arial"/>
          <w:sz w:val="22"/>
          <w:szCs w:val="22"/>
        </w:rPr>
        <w:t xml:space="preserve"> NRC would not amend the current regulations </w:t>
      </w:r>
      <w:r w:rsidR="00B66ED2" w:rsidRPr="009B5E75">
        <w:rPr>
          <w:rFonts w:cs="Arial"/>
          <w:sz w:val="22"/>
          <w:szCs w:val="22"/>
        </w:rPr>
        <w:t>at 10 CFR </w:t>
      </w:r>
      <w:proofErr w:type="gramStart"/>
      <w:r w:rsidR="001B0DBD">
        <w:rPr>
          <w:rFonts w:cs="Arial"/>
          <w:sz w:val="22"/>
          <w:szCs w:val="22"/>
        </w:rPr>
        <w:t>part</w:t>
      </w:r>
      <w:proofErr w:type="gramEnd"/>
      <w:r w:rsidR="00B66ED2" w:rsidRPr="009B5E75">
        <w:rPr>
          <w:rFonts w:cs="Arial"/>
          <w:sz w:val="22"/>
          <w:szCs w:val="22"/>
        </w:rPr>
        <w:t> 7</w:t>
      </w:r>
      <w:r w:rsidR="001D3650">
        <w:rPr>
          <w:rFonts w:cs="Arial"/>
          <w:sz w:val="22"/>
          <w:szCs w:val="22"/>
        </w:rPr>
        <w:t xml:space="preserve">4. </w:t>
      </w:r>
      <w:r w:rsidR="00B66ED2" w:rsidRPr="009B5E75">
        <w:rPr>
          <w:rFonts w:cs="Arial"/>
          <w:sz w:val="22"/>
          <w:szCs w:val="22"/>
        </w:rPr>
        <w:t xml:space="preserve"> </w:t>
      </w:r>
      <w:r w:rsidR="001275F1" w:rsidRPr="005E21FF">
        <w:rPr>
          <w:rFonts w:cs="Arial"/>
          <w:sz w:val="22"/>
          <w:szCs w:val="22"/>
        </w:rPr>
        <w:t xml:space="preserve">Current NRC regulations do not include </w:t>
      </w:r>
      <w:r w:rsidR="00EF3E89">
        <w:rPr>
          <w:rFonts w:cs="Arial"/>
          <w:sz w:val="22"/>
          <w:szCs w:val="22"/>
        </w:rPr>
        <w:t>GPO requirements for licensees authorized to possess more than 350 grams of SNM, but which are not Category I, II, or III facilities.</w:t>
      </w:r>
      <w:r w:rsidR="009E67EB">
        <w:rPr>
          <w:rFonts w:cs="Arial"/>
          <w:sz w:val="22"/>
          <w:szCs w:val="22"/>
        </w:rPr>
        <w:t xml:space="preserve">  Licensees under S</w:t>
      </w:r>
      <w:r w:rsidR="00A64261" w:rsidRPr="005E21FF">
        <w:rPr>
          <w:rFonts w:cs="Arial"/>
          <w:sz w:val="22"/>
          <w:szCs w:val="22"/>
        </w:rPr>
        <w:t>ub</w:t>
      </w:r>
      <w:r w:rsidR="003B30DC">
        <w:rPr>
          <w:rFonts w:cs="Arial"/>
          <w:sz w:val="22"/>
          <w:szCs w:val="22"/>
        </w:rPr>
        <w:t>part</w:t>
      </w:r>
      <w:r w:rsidR="00A64261" w:rsidRPr="005E21FF">
        <w:rPr>
          <w:rFonts w:cs="Arial"/>
          <w:sz w:val="22"/>
          <w:szCs w:val="22"/>
        </w:rPr>
        <w:t xml:space="preserve"> B are required to establish and follow written </w:t>
      </w:r>
      <w:r w:rsidR="005E21FF" w:rsidRPr="005E21FF">
        <w:rPr>
          <w:rFonts w:cs="Arial"/>
          <w:sz w:val="22"/>
          <w:szCs w:val="22"/>
        </w:rPr>
        <w:t>MC&amp;A</w:t>
      </w:r>
      <w:r w:rsidR="008B7058" w:rsidRPr="005E21FF">
        <w:rPr>
          <w:rFonts w:cs="Arial"/>
          <w:sz w:val="22"/>
          <w:szCs w:val="22"/>
        </w:rPr>
        <w:t xml:space="preserve"> </w:t>
      </w:r>
      <w:r w:rsidR="00A64261" w:rsidRPr="005E21FF">
        <w:rPr>
          <w:rFonts w:cs="Arial"/>
          <w:sz w:val="22"/>
          <w:szCs w:val="22"/>
        </w:rPr>
        <w:t xml:space="preserve">procedures </w:t>
      </w:r>
      <w:r w:rsidR="000E6FF9">
        <w:rPr>
          <w:rFonts w:cs="Arial"/>
          <w:sz w:val="22"/>
          <w:szCs w:val="22"/>
        </w:rPr>
        <w:t xml:space="preserve">but </w:t>
      </w:r>
      <w:r w:rsidR="0073563C">
        <w:rPr>
          <w:rFonts w:cs="Arial"/>
          <w:sz w:val="22"/>
          <w:szCs w:val="22"/>
        </w:rPr>
        <w:t xml:space="preserve">reactor licensees and ISFSI licensees </w:t>
      </w:r>
      <w:r w:rsidR="000E6FF9">
        <w:rPr>
          <w:rFonts w:cs="Arial"/>
          <w:sz w:val="22"/>
          <w:szCs w:val="22"/>
        </w:rPr>
        <w:t>are not</w:t>
      </w:r>
      <w:r w:rsidR="000E6FF9" w:rsidRPr="005E21FF">
        <w:rPr>
          <w:rFonts w:cs="Arial"/>
          <w:sz w:val="22"/>
          <w:szCs w:val="22"/>
        </w:rPr>
        <w:t xml:space="preserve"> </w:t>
      </w:r>
      <w:r w:rsidR="009803CE" w:rsidRPr="005E21FF">
        <w:rPr>
          <w:rFonts w:cs="Arial"/>
          <w:sz w:val="22"/>
          <w:szCs w:val="22"/>
        </w:rPr>
        <w:t xml:space="preserve">required to </w:t>
      </w:r>
      <w:r w:rsidR="00A64261" w:rsidRPr="005E21FF">
        <w:rPr>
          <w:rFonts w:cs="Arial"/>
          <w:sz w:val="22"/>
          <w:szCs w:val="22"/>
        </w:rPr>
        <w:t>implement item controls.</w:t>
      </w:r>
      <w:r w:rsidR="009E67EB">
        <w:rPr>
          <w:rFonts w:cs="Arial"/>
          <w:sz w:val="22"/>
          <w:szCs w:val="22"/>
        </w:rPr>
        <w:t xml:space="preserve">  Licensees under S</w:t>
      </w:r>
      <w:r w:rsidR="001275F1" w:rsidRPr="005E21FF">
        <w:rPr>
          <w:rFonts w:cs="Arial"/>
          <w:sz w:val="22"/>
          <w:szCs w:val="22"/>
        </w:rPr>
        <w:t>ub</w:t>
      </w:r>
      <w:r w:rsidR="003B30DC">
        <w:rPr>
          <w:rFonts w:cs="Arial"/>
          <w:sz w:val="22"/>
          <w:szCs w:val="22"/>
        </w:rPr>
        <w:t>part</w:t>
      </w:r>
      <w:r w:rsidR="001275F1" w:rsidRPr="005E21FF">
        <w:rPr>
          <w:rFonts w:cs="Arial"/>
          <w:sz w:val="22"/>
          <w:szCs w:val="22"/>
        </w:rPr>
        <w:t xml:space="preserve">s C and D </w:t>
      </w:r>
      <w:r w:rsidR="00EF3E89">
        <w:rPr>
          <w:rFonts w:cs="Arial"/>
          <w:sz w:val="22"/>
          <w:szCs w:val="22"/>
        </w:rPr>
        <w:t xml:space="preserve">(Category III and II facilities, respectively) </w:t>
      </w:r>
      <w:r w:rsidR="001275F1" w:rsidRPr="005E21FF">
        <w:rPr>
          <w:rFonts w:cs="Arial"/>
          <w:sz w:val="22"/>
          <w:szCs w:val="22"/>
        </w:rPr>
        <w:t xml:space="preserve">are </w:t>
      </w:r>
      <w:r w:rsidR="00EF3E89">
        <w:rPr>
          <w:rFonts w:cs="Arial"/>
          <w:sz w:val="22"/>
          <w:szCs w:val="22"/>
        </w:rPr>
        <w:t xml:space="preserve">now </w:t>
      </w:r>
      <w:r w:rsidR="001275F1" w:rsidRPr="005E21FF">
        <w:rPr>
          <w:rFonts w:cs="Arial"/>
          <w:sz w:val="22"/>
          <w:szCs w:val="22"/>
        </w:rPr>
        <w:t>exempt from certain item</w:t>
      </w:r>
      <w:r w:rsidR="00C15775">
        <w:rPr>
          <w:rFonts w:cs="Arial"/>
          <w:sz w:val="22"/>
          <w:szCs w:val="22"/>
        </w:rPr>
        <w:t xml:space="preserve"> control</w:t>
      </w:r>
      <w:r w:rsidR="001275F1" w:rsidRPr="005E21FF">
        <w:rPr>
          <w:rFonts w:cs="Arial"/>
          <w:sz w:val="22"/>
          <w:szCs w:val="22"/>
        </w:rPr>
        <w:t>s</w:t>
      </w:r>
      <w:r w:rsidR="00C15775">
        <w:rPr>
          <w:rFonts w:cs="Arial"/>
          <w:sz w:val="22"/>
          <w:szCs w:val="22"/>
        </w:rPr>
        <w:t xml:space="preserve"> involving kilogram amounts</w:t>
      </w:r>
      <w:r w:rsidR="001275F1" w:rsidRPr="005E21FF">
        <w:rPr>
          <w:rFonts w:cs="Arial"/>
          <w:sz w:val="22"/>
          <w:szCs w:val="22"/>
        </w:rPr>
        <w:t xml:space="preserve"> of </w:t>
      </w:r>
      <w:r w:rsidR="008F7FB7">
        <w:rPr>
          <w:rFonts w:cs="Arial"/>
          <w:sz w:val="22"/>
          <w:szCs w:val="22"/>
        </w:rPr>
        <w:t>SNM</w:t>
      </w:r>
      <w:r w:rsidR="00A64261" w:rsidRPr="005E21FF">
        <w:rPr>
          <w:rFonts w:cs="Arial"/>
          <w:sz w:val="22"/>
          <w:szCs w:val="22"/>
        </w:rPr>
        <w:t>.  T</w:t>
      </w:r>
      <w:r w:rsidR="001275F1" w:rsidRPr="005E21FF">
        <w:rPr>
          <w:rFonts w:cs="Arial"/>
          <w:sz w:val="22"/>
          <w:szCs w:val="22"/>
        </w:rPr>
        <w:t>here is no tamper-safing requirement</w:t>
      </w:r>
      <w:r w:rsidR="009E67EB">
        <w:rPr>
          <w:rFonts w:cs="Arial"/>
          <w:sz w:val="22"/>
          <w:szCs w:val="22"/>
        </w:rPr>
        <w:t xml:space="preserve"> in S</w:t>
      </w:r>
      <w:r w:rsidR="00A64261" w:rsidRPr="005E21FF">
        <w:rPr>
          <w:rFonts w:cs="Arial"/>
          <w:sz w:val="22"/>
          <w:szCs w:val="22"/>
        </w:rPr>
        <w:t>ub</w:t>
      </w:r>
      <w:r w:rsidR="003B30DC">
        <w:rPr>
          <w:rFonts w:cs="Arial"/>
          <w:sz w:val="22"/>
          <w:szCs w:val="22"/>
        </w:rPr>
        <w:t>part</w:t>
      </w:r>
      <w:r w:rsidR="00A64261" w:rsidRPr="005E21FF">
        <w:rPr>
          <w:rFonts w:cs="Arial"/>
          <w:sz w:val="22"/>
          <w:szCs w:val="22"/>
        </w:rPr>
        <w:t xml:space="preserve"> C </w:t>
      </w:r>
      <w:r w:rsidR="009E67EB">
        <w:rPr>
          <w:rFonts w:cs="Arial"/>
          <w:sz w:val="22"/>
          <w:szCs w:val="22"/>
        </w:rPr>
        <w:t>and licensees under S</w:t>
      </w:r>
      <w:r w:rsidR="002B013A" w:rsidRPr="005E21FF">
        <w:rPr>
          <w:rFonts w:cs="Arial"/>
          <w:sz w:val="22"/>
          <w:szCs w:val="22"/>
        </w:rPr>
        <w:t>ub</w:t>
      </w:r>
      <w:r w:rsidR="003B30DC">
        <w:rPr>
          <w:rFonts w:cs="Arial"/>
          <w:sz w:val="22"/>
          <w:szCs w:val="22"/>
        </w:rPr>
        <w:t>part</w:t>
      </w:r>
      <w:r w:rsidR="002B013A" w:rsidRPr="005E21FF">
        <w:rPr>
          <w:rFonts w:cs="Arial"/>
          <w:sz w:val="22"/>
          <w:szCs w:val="22"/>
        </w:rPr>
        <w:t xml:space="preserve"> E </w:t>
      </w:r>
      <w:r w:rsidR="00C15775">
        <w:rPr>
          <w:rFonts w:cs="Arial"/>
          <w:sz w:val="22"/>
          <w:szCs w:val="22"/>
        </w:rPr>
        <w:t xml:space="preserve">(Category I facilities) </w:t>
      </w:r>
      <w:r w:rsidR="002B013A" w:rsidRPr="005E21FF">
        <w:rPr>
          <w:rFonts w:cs="Arial"/>
          <w:sz w:val="22"/>
          <w:szCs w:val="22"/>
        </w:rPr>
        <w:t>are not required to control access to unused tamper seals or account for seals</w:t>
      </w:r>
      <w:r w:rsidR="009E67EB">
        <w:rPr>
          <w:rFonts w:cs="Arial"/>
          <w:sz w:val="22"/>
          <w:szCs w:val="22"/>
        </w:rPr>
        <w:t>.  Licensees under S</w:t>
      </w:r>
      <w:r w:rsidR="001275F1" w:rsidRPr="005E21FF">
        <w:rPr>
          <w:rFonts w:cs="Arial"/>
          <w:sz w:val="22"/>
          <w:szCs w:val="22"/>
        </w:rPr>
        <w:t>ub</w:t>
      </w:r>
      <w:r w:rsidR="003B30DC">
        <w:rPr>
          <w:rFonts w:cs="Arial"/>
          <w:sz w:val="22"/>
          <w:szCs w:val="22"/>
        </w:rPr>
        <w:t>part</w:t>
      </w:r>
      <w:r w:rsidR="001275F1" w:rsidRPr="005E21FF">
        <w:rPr>
          <w:rFonts w:cs="Arial"/>
          <w:sz w:val="22"/>
          <w:szCs w:val="22"/>
        </w:rPr>
        <w:t>s C,</w:t>
      </w:r>
      <w:r w:rsidR="00A64261" w:rsidRPr="005E21FF">
        <w:rPr>
          <w:rFonts w:cs="Arial"/>
          <w:sz w:val="22"/>
          <w:szCs w:val="22"/>
        </w:rPr>
        <w:t xml:space="preserve"> D, and </w:t>
      </w:r>
      <w:proofErr w:type="spellStart"/>
      <w:r w:rsidR="00A64261" w:rsidRPr="005E21FF">
        <w:rPr>
          <w:rFonts w:cs="Arial"/>
          <w:sz w:val="22"/>
          <w:szCs w:val="22"/>
        </w:rPr>
        <w:t>E</w:t>
      </w:r>
      <w:proofErr w:type="spellEnd"/>
      <w:r w:rsidR="00A64261" w:rsidRPr="005E21FF">
        <w:rPr>
          <w:rFonts w:cs="Arial"/>
          <w:sz w:val="22"/>
          <w:szCs w:val="22"/>
        </w:rPr>
        <w:t xml:space="preserve"> are not required to designate material balance areas, item control areas, or custodians for these areas.  </w:t>
      </w:r>
      <w:r w:rsidR="009803CE" w:rsidRPr="005E21FF">
        <w:rPr>
          <w:rFonts w:cs="Arial"/>
          <w:sz w:val="22"/>
          <w:szCs w:val="22"/>
        </w:rPr>
        <w:t>An</w:t>
      </w:r>
      <w:r w:rsidR="00C15775">
        <w:rPr>
          <w:rFonts w:cs="Arial"/>
          <w:sz w:val="22"/>
          <w:szCs w:val="22"/>
        </w:rPr>
        <w:t>y future</w:t>
      </w:r>
      <w:r w:rsidR="009803CE" w:rsidRPr="005E21FF">
        <w:rPr>
          <w:rFonts w:cs="Arial"/>
          <w:sz w:val="22"/>
          <w:szCs w:val="22"/>
        </w:rPr>
        <w:t xml:space="preserve"> irradiated fuel reprocessing plan</w:t>
      </w:r>
      <w:r w:rsidR="002B013A" w:rsidRPr="005E21FF">
        <w:rPr>
          <w:rFonts w:cs="Arial"/>
          <w:sz w:val="22"/>
          <w:szCs w:val="22"/>
        </w:rPr>
        <w:t>t</w:t>
      </w:r>
      <w:r w:rsidR="009803CE" w:rsidRPr="005E21FF">
        <w:rPr>
          <w:rFonts w:cs="Arial"/>
          <w:sz w:val="22"/>
          <w:szCs w:val="22"/>
        </w:rPr>
        <w:t xml:space="preserve"> </w:t>
      </w:r>
      <w:r w:rsidR="00C15775">
        <w:rPr>
          <w:rFonts w:cs="Arial"/>
          <w:sz w:val="22"/>
          <w:szCs w:val="22"/>
        </w:rPr>
        <w:t>would</w:t>
      </w:r>
      <w:r w:rsidR="00C15775" w:rsidRPr="005E21FF">
        <w:rPr>
          <w:rFonts w:cs="Arial"/>
          <w:sz w:val="22"/>
          <w:szCs w:val="22"/>
        </w:rPr>
        <w:t xml:space="preserve"> </w:t>
      </w:r>
      <w:r w:rsidR="009803CE" w:rsidRPr="005E21FF">
        <w:rPr>
          <w:rFonts w:cs="Arial"/>
          <w:sz w:val="22"/>
          <w:szCs w:val="22"/>
        </w:rPr>
        <w:t>currently</w:t>
      </w:r>
      <w:r w:rsidR="00C15775">
        <w:rPr>
          <w:rFonts w:cs="Arial"/>
          <w:sz w:val="22"/>
          <w:szCs w:val="22"/>
        </w:rPr>
        <w:t xml:space="preserve"> be</w:t>
      </w:r>
      <w:r w:rsidR="009803CE" w:rsidRPr="005E21FF">
        <w:rPr>
          <w:rFonts w:cs="Arial"/>
          <w:sz w:val="22"/>
          <w:szCs w:val="22"/>
        </w:rPr>
        <w:t xml:space="preserve"> exem</w:t>
      </w:r>
      <w:r w:rsidR="009E67EB">
        <w:rPr>
          <w:rFonts w:cs="Arial"/>
          <w:sz w:val="22"/>
          <w:szCs w:val="22"/>
        </w:rPr>
        <w:t xml:space="preserve">pt from the </w:t>
      </w:r>
      <w:r w:rsidR="00C15775">
        <w:rPr>
          <w:rFonts w:cs="Arial"/>
          <w:sz w:val="22"/>
          <w:szCs w:val="22"/>
        </w:rPr>
        <w:t>S</w:t>
      </w:r>
      <w:r w:rsidR="00C15775" w:rsidRPr="005E21FF">
        <w:rPr>
          <w:rFonts w:cs="Arial"/>
          <w:sz w:val="22"/>
          <w:szCs w:val="22"/>
        </w:rPr>
        <w:t>ub</w:t>
      </w:r>
      <w:r w:rsidR="003B30DC">
        <w:rPr>
          <w:rFonts w:cs="Arial"/>
          <w:sz w:val="22"/>
          <w:szCs w:val="22"/>
        </w:rPr>
        <w:t>part</w:t>
      </w:r>
      <w:r w:rsidR="00C15775" w:rsidRPr="005E21FF">
        <w:rPr>
          <w:rFonts w:cs="Arial"/>
          <w:sz w:val="22"/>
          <w:szCs w:val="22"/>
        </w:rPr>
        <w:t xml:space="preserve"> E</w:t>
      </w:r>
      <w:r w:rsidR="00C15775">
        <w:rPr>
          <w:rFonts w:cs="Arial"/>
          <w:sz w:val="22"/>
          <w:szCs w:val="22"/>
        </w:rPr>
        <w:t xml:space="preserve"> </w:t>
      </w:r>
      <w:r w:rsidR="009E67EB">
        <w:rPr>
          <w:rFonts w:cs="Arial"/>
          <w:sz w:val="22"/>
          <w:szCs w:val="22"/>
        </w:rPr>
        <w:t>requirements</w:t>
      </w:r>
      <w:r w:rsidR="009803CE" w:rsidRPr="005E21FF">
        <w:rPr>
          <w:rFonts w:cs="Arial"/>
          <w:sz w:val="22"/>
          <w:szCs w:val="22"/>
        </w:rPr>
        <w:t xml:space="preserve">.  </w:t>
      </w:r>
    </w:p>
    <w:p w:rsidR="00E75DAC" w:rsidRDefault="00E75DAC" w:rsidP="009D717B">
      <w:pPr>
        <w:rPr>
          <w:rFonts w:cs="Arial"/>
          <w:sz w:val="22"/>
          <w:szCs w:val="22"/>
        </w:rPr>
      </w:pPr>
    </w:p>
    <w:p w:rsidR="00E431D8" w:rsidRPr="005E21FF" w:rsidRDefault="009803CE" w:rsidP="009D717B">
      <w:pPr>
        <w:rPr>
          <w:rFonts w:cs="Arial"/>
          <w:sz w:val="22"/>
          <w:szCs w:val="22"/>
        </w:rPr>
      </w:pPr>
      <w:r w:rsidRPr="005E21FF">
        <w:rPr>
          <w:rFonts w:cs="Arial"/>
          <w:sz w:val="22"/>
          <w:szCs w:val="22"/>
        </w:rPr>
        <w:t xml:space="preserve">The licensees would continue to comply with existing regulations.  They may choose to voluntarily implement these practices that have been encouraged within the industry for many years.  </w:t>
      </w:r>
      <w:r w:rsidR="00DD5685">
        <w:rPr>
          <w:rFonts w:cs="Arial"/>
          <w:sz w:val="22"/>
          <w:szCs w:val="22"/>
        </w:rPr>
        <w:t>T</w:t>
      </w:r>
      <w:r w:rsidR="00DD5685" w:rsidRPr="005E21FF">
        <w:rPr>
          <w:rFonts w:cs="Arial"/>
          <w:sz w:val="22"/>
          <w:szCs w:val="22"/>
        </w:rPr>
        <w:t>here are currently no facilities that</w:t>
      </w:r>
      <w:r w:rsidR="00DD5685">
        <w:rPr>
          <w:rFonts w:cs="Arial"/>
          <w:sz w:val="22"/>
          <w:szCs w:val="22"/>
        </w:rPr>
        <w:t xml:space="preserve"> are licensed to operate under S</w:t>
      </w:r>
      <w:r w:rsidR="00DD5685" w:rsidRPr="005E21FF">
        <w:rPr>
          <w:rFonts w:cs="Arial"/>
          <w:sz w:val="22"/>
          <w:szCs w:val="22"/>
        </w:rPr>
        <w:t>ub</w:t>
      </w:r>
      <w:r w:rsidR="003B30DC">
        <w:rPr>
          <w:rFonts w:cs="Arial"/>
          <w:sz w:val="22"/>
          <w:szCs w:val="22"/>
        </w:rPr>
        <w:t>part</w:t>
      </w:r>
      <w:r w:rsidR="00DD5685" w:rsidRPr="005E21FF">
        <w:rPr>
          <w:rFonts w:cs="Arial"/>
          <w:sz w:val="22"/>
          <w:szCs w:val="22"/>
        </w:rPr>
        <w:t xml:space="preserve"> D of 10 CFR </w:t>
      </w:r>
      <w:r w:rsidR="001B0DBD">
        <w:rPr>
          <w:rFonts w:cs="Arial"/>
          <w:sz w:val="22"/>
          <w:szCs w:val="22"/>
        </w:rPr>
        <w:t>part</w:t>
      </w:r>
      <w:r w:rsidR="00DD5685" w:rsidRPr="005E21FF">
        <w:rPr>
          <w:rFonts w:cs="Arial"/>
          <w:sz w:val="22"/>
          <w:szCs w:val="22"/>
        </w:rPr>
        <w:t xml:space="preserve"> 74</w:t>
      </w:r>
      <w:r w:rsidR="00DD5685">
        <w:rPr>
          <w:rFonts w:cs="Arial"/>
          <w:sz w:val="22"/>
          <w:szCs w:val="22"/>
        </w:rPr>
        <w:t xml:space="preserve">.  </w:t>
      </w:r>
      <w:r w:rsidR="009E67EB">
        <w:rPr>
          <w:rFonts w:cs="Arial"/>
          <w:sz w:val="22"/>
          <w:szCs w:val="22"/>
        </w:rPr>
        <w:t>The licensees</w:t>
      </w:r>
      <w:r w:rsidR="00DD5685">
        <w:rPr>
          <w:rFonts w:cs="Arial"/>
          <w:sz w:val="22"/>
          <w:szCs w:val="22"/>
        </w:rPr>
        <w:t xml:space="preserve"> operating</w:t>
      </w:r>
      <w:r w:rsidR="009E67EB">
        <w:rPr>
          <w:rFonts w:cs="Arial"/>
          <w:sz w:val="22"/>
          <w:szCs w:val="22"/>
        </w:rPr>
        <w:t xml:space="preserve"> under S</w:t>
      </w:r>
      <w:r w:rsidR="008B7058" w:rsidRPr="005E21FF">
        <w:rPr>
          <w:rFonts w:cs="Arial"/>
          <w:sz w:val="22"/>
          <w:szCs w:val="22"/>
        </w:rPr>
        <w:t>ub</w:t>
      </w:r>
      <w:r w:rsidR="003B30DC">
        <w:rPr>
          <w:rFonts w:cs="Arial"/>
          <w:sz w:val="22"/>
          <w:szCs w:val="22"/>
        </w:rPr>
        <w:t>part</w:t>
      </w:r>
      <w:r w:rsidR="008B7058" w:rsidRPr="005E21FF">
        <w:rPr>
          <w:rFonts w:cs="Arial"/>
          <w:sz w:val="22"/>
          <w:szCs w:val="22"/>
        </w:rPr>
        <w:t>s C</w:t>
      </w:r>
      <w:r w:rsidR="006579A0">
        <w:rPr>
          <w:rFonts w:cs="Arial"/>
          <w:sz w:val="22"/>
          <w:szCs w:val="22"/>
        </w:rPr>
        <w:t xml:space="preserve"> </w:t>
      </w:r>
      <w:r w:rsidR="008B7058" w:rsidRPr="005E21FF">
        <w:rPr>
          <w:rFonts w:cs="Arial"/>
          <w:sz w:val="22"/>
          <w:szCs w:val="22"/>
        </w:rPr>
        <w:t xml:space="preserve">and E </w:t>
      </w:r>
      <w:r w:rsidRPr="005E21FF">
        <w:rPr>
          <w:rFonts w:cs="Arial"/>
          <w:sz w:val="22"/>
          <w:szCs w:val="22"/>
        </w:rPr>
        <w:t xml:space="preserve">have already implemented best </w:t>
      </w:r>
      <w:r w:rsidR="008B7058" w:rsidRPr="005E21FF">
        <w:rPr>
          <w:rFonts w:cs="Arial"/>
          <w:sz w:val="22"/>
          <w:szCs w:val="22"/>
        </w:rPr>
        <w:t xml:space="preserve">practices which are similar to the proposed changes.  </w:t>
      </w:r>
      <w:r w:rsidR="00D973EC" w:rsidRPr="005E21FF">
        <w:rPr>
          <w:rFonts w:cs="Arial"/>
          <w:sz w:val="22"/>
          <w:szCs w:val="22"/>
        </w:rPr>
        <w:t>Option 1</w:t>
      </w:r>
      <w:r w:rsidR="00EF0C4D" w:rsidRPr="005E21FF">
        <w:rPr>
          <w:rFonts w:cs="Arial"/>
          <w:sz w:val="22"/>
          <w:szCs w:val="22"/>
        </w:rPr>
        <w:t xml:space="preserve"> </w:t>
      </w:r>
      <w:r w:rsidR="00835F91" w:rsidRPr="005E21FF">
        <w:rPr>
          <w:rFonts w:cs="Arial"/>
          <w:sz w:val="22"/>
          <w:szCs w:val="22"/>
        </w:rPr>
        <w:t xml:space="preserve">would avoid costs that the </w:t>
      </w:r>
      <w:r w:rsidR="005705ED" w:rsidRPr="005E21FF">
        <w:rPr>
          <w:rFonts w:cs="Arial"/>
          <w:sz w:val="22"/>
          <w:szCs w:val="22"/>
        </w:rPr>
        <w:t xml:space="preserve">proposed </w:t>
      </w:r>
      <w:r w:rsidR="00835F91" w:rsidRPr="005E21FF">
        <w:rPr>
          <w:rFonts w:cs="Arial"/>
          <w:sz w:val="22"/>
          <w:szCs w:val="22"/>
        </w:rPr>
        <w:t>rule would impose</w:t>
      </w:r>
      <w:r w:rsidR="00D973EC" w:rsidRPr="005E21FF">
        <w:rPr>
          <w:rFonts w:cs="Arial"/>
          <w:sz w:val="22"/>
          <w:szCs w:val="22"/>
        </w:rPr>
        <w:t>; h</w:t>
      </w:r>
      <w:r w:rsidR="00BB3463" w:rsidRPr="005E21FF">
        <w:rPr>
          <w:rFonts w:cs="Arial"/>
          <w:sz w:val="22"/>
          <w:szCs w:val="22"/>
        </w:rPr>
        <w:t xml:space="preserve">owever, the existing </w:t>
      </w:r>
      <w:r w:rsidR="008B7058" w:rsidRPr="005E21FF">
        <w:rPr>
          <w:rFonts w:cs="Arial"/>
          <w:sz w:val="22"/>
          <w:szCs w:val="22"/>
        </w:rPr>
        <w:t xml:space="preserve">requirements would not be updated, clarified, or consolidated to improve </w:t>
      </w:r>
      <w:r w:rsidR="00BB3463" w:rsidRPr="005E21FF">
        <w:rPr>
          <w:rFonts w:cs="Arial"/>
          <w:sz w:val="22"/>
          <w:szCs w:val="22"/>
        </w:rPr>
        <w:t>security issues</w:t>
      </w:r>
      <w:r w:rsidR="008B7058" w:rsidRPr="005E21FF">
        <w:rPr>
          <w:rFonts w:cs="Arial"/>
          <w:sz w:val="22"/>
          <w:szCs w:val="22"/>
        </w:rPr>
        <w:t xml:space="preserve"> for facilities authorized to possess and use </w:t>
      </w:r>
      <w:r w:rsidR="00675723">
        <w:rPr>
          <w:rFonts w:cs="Arial"/>
          <w:sz w:val="22"/>
          <w:szCs w:val="22"/>
        </w:rPr>
        <w:t xml:space="preserve">SNM </w:t>
      </w:r>
      <w:r w:rsidR="008B7058" w:rsidRPr="005E21FF">
        <w:rPr>
          <w:rFonts w:cs="Arial"/>
          <w:sz w:val="22"/>
          <w:szCs w:val="22"/>
        </w:rPr>
        <w:t xml:space="preserve">that </w:t>
      </w:r>
      <w:r w:rsidR="00BB3463" w:rsidRPr="005E21FF">
        <w:rPr>
          <w:rFonts w:cs="Arial"/>
          <w:sz w:val="22"/>
          <w:szCs w:val="22"/>
        </w:rPr>
        <w:t xml:space="preserve">the NRC </w:t>
      </w:r>
      <w:r w:rsidR="00B66ED2" w:rsidRPr="005E21FF">
        <w:rPr>
          <w:rFonts w:cs="Arial"/>
          <w:sz w:val="22"/>
          <w:szCs w:val="22"/>
        </w:rPr>
        <w:t>considers</w:t>
      </w:r>
      <w:r w:rsidR="00BB3463" w:rsidRPr="005E21FF">
        <w:rPr>
          <w:rFonts w:cs="Arial"/>
          <w:sz w:val="22"/>
          <w:szCs w:val="22"/>
        </w:rPr>
        <w:t xml:space="preserve"> necessary </w:t>
      </w:r>
      <w:r w:rsidR="00A74841" w:rsidRPr="005E21FF">
        <w:rPr>
          <w:rFonts w:cs="Arial"/>
          <w:sz w:val="22"/>
          <w:szCs w:val="22"/>
        </w:rPr>
        <w:t xml:space="preserve">to assure </w:t>
      </w:r>
      <w:r w:rsidR="00BB3463" w:rsidRPr="005E21FF">
        <w:rPr>
          <w:rFonts w:cs="Arial"/>
          <w:sz w:val="22"/>
          <w:szCs w:val="22"/>
        </w:rPr>
        <w:t xml:space="preserve">the common defense and security.  </w:t>
      </w:r>
      <w:r w:rsidR="00475BD4" w:rsidRPr="005E21FF">
        <w:rPr>
          <w:rFonts w:cs="Arial"/>
          <w:sz w:val="22"/>
          <w:szCs w:val="22"/>
        </w:rPr>
        <w:t>Option</w:t>
      </w:r>
      <w:r w:rsidR="00690841" w:rsidRPr="005E21FF">
        <w:rPr>
          <w:rFonts w:cs="Arial"/>
          <w:sz w:val="22"/>
          <w:szCs w:val="22"/>
        </w:rPr>
        <w:t> </w:t>
      </w:r>
      <w:r w:rsidR="00475BD4" w:rsidRPr="005E21FF">
        <w:rPr>
          <w:rFonts w:cs="Arial"/>
          <w:sz w:val="22"/>
          <w:szCs w:val="22"/>
        </w:rPr>
        <w:t>1, which is the no-action alternative, is t</w:t>
      </w:r>
      <w:r w:rsidR="00A72028" w:rsidRPr="005E21FF">
        <w:rPr>
          <w:rFonts w:cs="Arial"/>
          <w:sz w:val="22"/>
          <w:szCs w:val="22"/>
        </w:rPr>
        <w:t xml:space="preserve">he baseline </w:t>
      </w:r>
      <w:r w:rsidR="00B66ED2" w:rsidRPr="005E21FF">
        <w:rPr>
          <w:rFonts w:cs="Arial"/>
          <w:sz w:val="22"/>
          <w:szCs w:val="22"/>
        </w:rPr>
        <w:t xml:space="preserve">for </w:t>
      </w:r>
      <w:r w:rsidR="00A72028" w:rsidRPr="005E21FF">
        <w:rPr>
          <w:rFonts w:cs="Arial"/>
          <w:sz w:val="22"/>
          <w:szCs w:val="22"/>
        </w:rPr>
        <w:t>th</w:t>
      </w:r>
      <w:r w:rsidR="00835F91" w:rsidRPr="005E21FF">
        <w:rPr>
          <w:rFonts w:cs="Arial"/>
          <w:sz w:val="22"/>
          <w:szCs w:val="22"/>
        </w:rPr>
        <w:t>is</w:t>
      </w:r>
      <w:r w:rsidR="00A72028" w:rsidRPr="005E21FF">
        <w:rPr>
          <w:rFonts w:cs="Arial"/>
          <w:sz w:val="22"/>
          <w:szCs w:val="22"/>
        </w:rPr>
        <w:t xml:space="preserve"> </w:t>
      </w:r>
      <w:r w:rsidR="004B7043" w:rsidRPr="005E21FF">
        <w:rPr>
          <w:rFonts w:cs="Arial"/>
          <w:sz w:val="22"/>
          <w:szCs w:val="22"/>
        </w:rPr>
        <w:t xml:space="preserve">regulatory </w:t>
      </w:r>
      <w:r w:rsidR="00A72028" w:rsidRPr="005E21FF">
        <w:rPr>
          <w:rFonts w:cs="Arial"/>
          <w:sz w:val="22"/>
          <w:szCs w:val="22"/>
        </w:rPr>
        <w:t>analysis</w:t>
      </w:r>
      <w:r w:rsidR="005705ED" w:rsidRPr="005E21FF">
        <w:rPr>
          <w:rFonts w:cs="Arial"/>
          <w:sz w:val="22"/>
          <w:szCs w:val="22"/>
        </w:rPr>
        <w:t>.</w:t>
      </w:r>
    </w:p>
    <w:p w:rsidR="00C1459C" w:rsidRDefault="00C1459C" w:rsidP="00C1459C">
      <w:pPr>
        <w:numPr>
          <w:ilvl w:val="12"/>
          <w:numId w:val="0"/>
        </w:numPr>
        <w:rPr>
          <w:rFonts w:cs="Arial"/>
          <w:sz w:val="22"/>
          <w:szCs w:val="22"/>
        </w:rPr>
      </w:pPr>
    </w:p>
    <w:p w:rsidR="001D3650" w:rsidRPr="001D3650" w:rsidRDefault="00C1459C" w:rsidP="001D3650">
      <w:pPr>
        <w:numPr>
          <w:ilvl w:val="12"/>
          <w:numId w:val="0"/>
        </w:numPr>
        <w:tabs>
          <w:tab w:val="left" w:pos="720"/>
          <w:tab w:val="left" w:pos="1440"/>
        </w:tabs>
        <w:ind w:left="720" w:hanging="720"/>
        <w:rPr>
          <w:rFonts w:cs="Arial"/>
          <w:b/>
          <w:bCs/>
          <w:sz w:val="22"/>
          <w:szCs w:val="22"/>
        </w:rPr>
      </w:pPr>
      <w:r w:rsidRPr="009B5E75">
        <w:rPr>
          <w:rFonts w:cs="Arial"/>
          <w:b/>
          <w:bCs/>
          <w:sz w:val="22"/>
          <w:szCs w:val="22"/>
        </w:rPr>
        <w:t>2.2</w:t>
      </w:r>
      <w:r w:rsidRPr="009B5E75">
        <w:rPr>
          <w:rFonts w:cs="Arial"/>
          <w:b/>
          <w:bCs/>
          <w:sz w:val="22"/>
          <w:szCs w:val="22"/>
        </w:rPr>
        <w:tab/>
        <w:t>Option 2:</w:t>
      </w:r>
      <w:r w:rsidR="00B66ED2" w:rsidRPr="009B5E75">
        <w:rPr>
          <w:rFonts w:cs="Arial"/>
          <w:b/>
          <w:bCs/>
          <w:sz w:val="22"/>
          <w:szCs w:val="22"/>
        </w:rPr>
        <w:t xml:space="preserve">  </w:t>
      </w:r>
      <w:r w:rsidRPr="009B5E75">
        <w:rPr>
          <w:rFonts w:cs="Arial"/>
          <w:b/>
          <w:bCs/>
          <w:sz w:val="22"/>
          <w:szCs w:val="22"/>
        </w:rPr>
        <w:t xml:space="preserve">Amend </w:t>
      </w:r>
      <w:r w:rsidR="00D24EE2">
        <w:rPr>
          <w:rFonts w:cs="Arial"/>
          <w:b/>
          <w:bCs/>
          <w:sz w:val="22"/>
          <w:szCs w:val="22"/>
        </w:rPr>
        <w:t>1</w:t>
      </w:r>
      <w:r w:rsidR="003722E6">
        <w:rPr>
          <w:rFonts w:cs="Arial"/>
          <w:b/>
          <w:bCs/>
          <w:sz w:val="22"/>
          <w:szCs w:val="22"/>
        </w:rPr>
        <w:t xml:space="preserve">0 CFR </w:t>
      </w:r>
      <w:r w:rsidR="001B0DBD">
        <w:rPr>
          <w:rFonts w:cs="Arial"/>
          <w:b/>
          <w:bCs/>
          <w:sz w:val="22"/>
          <w:szCs w:val="22"/>
        </w:rPr>
        <w:t>part</w:t>
      </w:r>
      <w:r w:rsidR="003722E6">
        <w:rPr>
          <w:rFonts w:cs="Arial"/>
          <w:b/>
          <w:bCs/>
          <w:sz w:val="22"/>
          <w:szCs w:val="22"/>
        </w:rPr>
        <w:t xml:space="preserve"> 74</w:t>
      </w:r>
      <w:r w:rsidR="00C670DC">
        <w:rPr>
          <w:rFonts w:cs="Arial"/>
          <w:b/>
          <w:bCs/>
          <w:sz w:val="22"/>
          <w:szCs w:val="22"/>
        </w:rPr>
        <w:t xml:space="preserve"> </w:t>
      </w:r>
      <w:r w:rsidR="001C7681" w:rsidRPr="009B5E75">
        <w:rPr>
          <w:rFonts w:cs="Arial"/>
          <w:b/>
          <w:bCs/>
          <w:sz w:val="22"/>
          <w:szCs w:val="22"/>
        </w:rPr>
        <w:fldChar w:fldCharType="begin"/>
      </w:r>
      <w:proofErr w:type="spellStart"/>
      <w:r w:rsidR="006617A2" w:rsidRPr="009B5E75">
        <w:rPr>
          <w:rFonts w:cs="Arial"/>
          <w:b/>
          <w:bCs/>
          <w:sz w:val="22"/>
          <w:szCs w:val="22"/>
        </w:rPr>
        <w:instrText>tc</w:instrText>
      </w:r>
      <w:proofErr w:type="spellEnd"/>
      <w:r w:rsidR="006617A2" w:rsidRPr="009B5E75">
        <w:rPr>
          <w:rFonts w:cs="Arial"/>
          <w:b/>
          <w:bCs/>
          <w:sz w:val="22"/>
          <w:szCs w:val="22"/>
        </w:rPr>
        <w:instrText xml:space="preserve"> "</w:instrText>
      </w:r>
      <w:bookmarkStart w:id="13" w:name="_Toc336939796"/>
      <w:r w:rsidR="006617A2" w:rsidRPr="009B5E75">
        <w:rPr>
          <w:rFonts w:cs="Arial"/>
          <w:b/>
          <w:bCs/>
          <w:sz w:val="22"/>
          <w:szCs w:val="22"/>
        </w:rPr>
        <w:instrText>2.</w:instrText>
      </w:r>
      <w:r w:rsidR="006617A2">
        <w:rPr>
          <w:rFonts w:cs="Arial"/>
          <w:b/>
          <w:bCs/>
          <w:sz w:val="22"/>
          <w:szCs w:val="22"/>
        </w:rPr>
        <w:instrText>2</w:instrText>
      </w:r>
      <w:r w:rsidR="006617A2" w:rsidRPr="009B5E75">
        <w:rPr>
          <w:rFonts w:cs="Arial"/>
          <w:b/>
          <w:bCs/>
          <w:sz w:val="22"/>
          <w:szCs w:val="22"/>
        </w:rPr>
        <w:tab/>
        <w:instrText xml:space="preserve">Amend </w:instrText>
      </w:r>
      <w:r w:rsidR="006617A2">
        <w:rPr>
          <w:rFonts w:cs="Arial"/>
          <w:b/>
          <w:bCs/>
          <w:sz w:val="22"/>
          <w:szCs w:val="22"/>
        </w:rPr>
        <w:instrText xml:space="preserve">10 CFR </w:instrText>
      </w:r>
      <w:r w:rsidR="003B30DC">
        <w:rPr>
          <w:rFonts w:cs="Arial"/>
          <w:b/>
          <w:bCs/>
          <w:sz w:val="22"/>
          <w:szCs w:val="22"/>
        </w:rPr>
        <w:instrText>Part</w:instrText>
      </w:r>
      <w:r w:rsidR="006617A2">
        <w:rPr>
          <w:rFonts w:cs="Arial"/>
          <w:b/>
          <w:bCs/>
          <w:sz w:val="22"/>
          <w:szCs w:val="22"/>
        </w:rPr>
        <w:instrText xml:space="preserve"> </w:instrText>
      </w:r>
      <w:proofErr w:type="gramStart"/>
      <w:r w:rsidR="006617A2">
        <w:rPr>
          <w:rFonts w:cs="Arial"/>
          <w:b/>
          <w:bCs/>
          <w:sz w:val="22"/>
          <w:szCs w:val="22"/>
        </w:rPr>
        <w:instrText>74</w:instrText>
      </w:r>
      <w:bookmarkEnd w:id="13"/>
      <w:r w:rsidR="006617A2" w:rsidRPr="009B5E75">
        <w:rPr>
          <w:rFonts w:cs="Arial"/>
          <w:b/>
          <w:bCs/>
          <w:sz w:val="22"/>
          <w:szCs w:val="22"/>
        </w:rPr>
        <w:instrText xml:space="preserve"> "</w:instrText>
      </w:r>
      <w:proofErr w:type="gramEnd"/>
      <w:r w:rsidR="006617A2" w:rsidRPr="009B5E75">
        <w:rPr>
          <w:rFonts w:cs="Arial"/>
          <w:b/>
          <w:bCs/>
          <w:sz w:val="22"/>
          <w:szCs w:val="22"/>
        </w:rPr>
        <w:instrText xml:space="preserve"> \l 3</w:instrText>
      </w:r>
      <w:r w:rsidR="001C7681" w:rsidRPr="009B5E75">
        <w:rPr>
          <w:rFonts w:cs="Arial"/>
          <w:b/>
          <w:bCs/>
          <w:sz w:val="22"/>
          <w:szCs w:val="22"/>
        </w:rPr>
        <w:fldChar w:fldCharType="end"/>
      </w:r>
      <w:r w:rsidR="001D3650" w:rsidRPr="001D3650">
        <w:rPr>
          <w:rFonts w:cs="Arial"/>
          <w:b/>
          <w:bCs/>
          <w:sz w:val="22"/>
          <w:szCs w:val="22"/>
        </w:rPr>
        <w:t xml:space="preserve"> </w:t>
      </w:r>
    </w:p>
    <w:p w:rsidR="001D3650" w:rsidRPr="001D3650" w:rsidRDefault="001D3650" w:rsidP="001D3650">
      <w:pPr>
        <w:numPr>
          <w:ilvl w:val="12"/>
          <w:numId w:val="0"/>
        </w:numPr>
        <w:tabs>
          <w:tab w:val="left" w:pos="720"/>
          <w:tab w:val="left" w:pos="1440"/>
        </w:tabs>
        <w:ind w:left="720" w:hanging="720"/>
        <w:rPr>
          <w:rFonts w:cs="Arial"/>
          <w:b/>
          <w:bCs/>
          <w:sz w:val="22"/>
          <w:szCs w:val="22"/>
        </w:rPr>
      </w:pPr>
    </w:p>
    <w:p w:rsidR="001D3650" w:rsidRDefault="001D3650" w:rsidP="001D3650">
      <w:pPr>
        <w:rPr>
          <w:rFonts w:cs="Arial"/>
          <w:color w:val="000000"/>
          <w:sz w:val="22"/>
          <w:szCs w:val="22"/>
        </w:rPr>
      </w:pPr>
      <w:r w:rsidRPr="001D3650">
        <w:rPr>
          <w:rFonts w:cs="Arial"/>
          <w:color w:val="000000"/>
          <w:sz w:val="22"/>
          <w:szCs w:val="22"/>
        </w:rPr>
        <w:t xml:space="preserve">The changes listed below are consistent with Option </w:t>
      </w:r>
      <w:r>
        <w:rPr>
          <w:rFonts w:cs="Arial"/>
          <w:color w:val="000000"/>
          <w:sz w:val="22"/>
          <w:szCs w:val="22"/>
        </w:rPr>
        <w:t>2</w:t>
      </w:r>
      <w:r w:rsidRPr="001D3650">
        <w:rPr>
          <w:rFonts w:cs="Arial"/>
          <w:color w:val="000000"/>
          <w:sz w:val="22"/>
          <w:szCs w:val="22"/>
        </w:rPr>
        <w:t xml:space="preserve"> to revise and co</w:t>
      </w:r>
      <w:r w:rsidR="009E67EB">
        <w:rPr>
          <w:rFonts w:cs="Arial"/>
          <w:color w:val="000000"/>
          <w:sz w:val="22"/>
          <w:szCs w:val="22"/>
        </w:rPr>
        <w:t xml:space="preserve">nsolidate MC&amp;A requirements in </w:t>
      </w:r>
      <w:r w:rsidR="00C670DC">
        <w:rPr>
          <w:rFonts w:cs="Arial"/>
          <w:color w:val="000000"/>
          <w:sz w:val="22"/>
          <w:szCs w:val="22"/>
        </w:rPr>
        <w:t xml:space="preserve">10 CFR </w:t>
      </w:r>
      <w:proofErr w:type="gramStart"/>
      <w:r w:rsidR="001B0DBD">
        <w:rPr>
          <w:rFonts w:cs="Arial"/>
          <w:color w:val="000000"/>
          <w:sz w:val="22"/>
          <w:szCs w:val="22"/>
        </w:rPr>
        <w:t>part</w:t>
      </w:r>
      <w:proofErr w:type="gramEnd"/>
      <w:r w:rsidR="00C670DC">
        <w:rPr>
          <w:rFonts w:cs="Arial"/>
          <w:color w:val="000000"/>
          <w:sz w:val="22"/>
          <w:szCs w:val="22"/>
        </w:rPr>
        <w:t xml:space="preserve"> 74. </w:t>
      </w:r>
      <w:r w:rsidRPr="001D3650">
        <w:rPr>
          <w:rFonts w:cs="Arial"/>
          <w:color w:val="000000"/>
          <w:sz w:val="22"/>
          <w:szCs w:val="22"/>
        </w:rPr>
        <w:t xml:space="preserve"> </w:t>
      </w:r>
    </w:p>
    <w:p w:rsidR="00E45002" w:rsidRDefault="00E45002" w:rsidP="001D3650">
      <w:pPr>
        <w:rPr>
          <w:rFonts w:cs="Arial"/>
          <w:color w:val="000000"/>
          <w:sz w:val="22"/>
          <w:szCs w:val="22"/>
        </w:rPr>
      </w:pPr>
    </w:p>
    <w:p w:rsidR="00E45002" w:rsidRPr="00E45002" w:rsidRDefault="00E45002" w:rsidP="00A61136">
      <w:pPr>
        <w:numPr>
          <w:ilvl w:val="0"/>
          <w:numId w:val="34"/>
        </w:numPr>
        <w:ind w:left="360"/>
        <w:rPr>
          <w:rFonts w:cs="Arial"/>
          <w:color w:val="000000"/>
          <w:sz w:val="22"/>
          <w:szCs w:val="22"/>
        </w:rPr>
      </w:pPr>
      <w:r w:rsidRPr="00E45002">
        <w:rPr>
          <w:rFonts w:cs="Arial"/>
          <w:color w:val="000000"/>
          <w:sz w:val="22"/>
          <w:szCs w:val="22"/>
        </w:rPr>
        <w:t xml:space="preserve">Relocate to </w:t>
      </w:r>
      <w:r w:rsidR="00217533">
        <w:rPr>
          <w:rFonts w:cs="Arial"/>
          <w:color w:val="000000"/>
          <w:sz w:val="22"/>
          <w:szCs w:val="22"/>
        </w:rPr>
        <w:t xml:space="preserve">10 CFR </w:t>
      </w:r>
      <w:proofErr w:type="gramStart"/>
      <w:r w:rsidR="001B0DBD">
        <w:rPr>
          <w:rFonts w:cs="Arial"/>
          <w:color w:val="000000"/>
          <w:sz w:val="22"/>
          <w:szCs w:val="22"/>
        </w:rPr>
        <w:t>part</w:t>
      </w:r>
      <w:proofErr w:type="gramEnd"/>
      <w:r w:rsidR="00217533">
        <w:rPr>
          <w:rFonts w:cs="Arial"/>
          <w:color w:val="000000"/>
          <w:sz w:val="22"/>
          <w:szCs w:val="22"/>
        </w:rPr>
        <w:t xml:space="preserve"> 74 </w:t>
      </w:r>
      <w:r w:rsidRPr="00E45002">
        <w:rPr>
          <w:rFonts w:cs="Arial"/>
          <w:color w:val="000000"/>
          <w:sz w:val="22"/>
          <w:szCs w:val="22"/>
        </w:rPr>
        <w:t xml:space="preserve">the NMMSS-related reporting requirements for ISFSIs that currently exist in </w:t>
      </w:r>
      <w:r w:rsidR="00F66396">
        <w:rPr>
          <w:rFonts w:cs="Arial"/>
          <w:color w:val="000000"/>
          <w:sz w:val="22"/>
          <w:szCs w:val="22"/>
        </w:rPr>
        <w:t>10 CFR</w:t>
      </w:r>
      <w:r w:rsidR="00D46C2D">
        <w:rPr>
          <w:rFonts w:cs="Arial"/>
          <w:color w:val="000000"/>
          <w:sz w:val="22"/>
          <w:szCs w:val="22"/>
        </w:rPr>
        <w:t xml:space="preserve"> </w:t>
      </w:r>
      <w:r w:rsidR="001B0DBD">
        <w:rPr>
          <w:rFonts w:cs="Arial"/>
          <w:color w:val="000000"/>
          <w:sz w:val="22"/>
          <w:szCs w:val="22"/>
        </w:rPr>
        <w:t>part</w:t>
      </w:r>
      <w:r w:rsidRPr="00E45002">
        <w:rPr>
          <w:rFonts w:cs="Arial"/>
          <w:color w:val="000000"/>
          <w:sz w:val="22"/>
          <w:szCs w:val="22"/>
        </w:rPr>
        <w:t xml:space="preserve"> 72.  These requirements in 10 CFR </w:t>
      </w:r>
      <w:r w:rsidR="001B0DBD">
        <w:rPr>
          <w:rFonts w:cs="Arial"/>
          <w:color w:val="000000"/>
          <w:sz w:val="22"/>
          <w:szCs w:val="22"/>
        </w:rPr>
        <w:t>part</w:t>
      </w:r>
      <w:r w:rsidRPr="00E45002">
        <w:rPr>
          <w:rFonts w:cs="Arial"/>
          <w:color w:val="000000"/>
          <w:sz w:val="22"/>
          <w:szCs w:val="22"/>
        </w:rPr>
        <w:t xml:space="preserve"> 72 dupl</w:t>
      </w:r>
      <w:r w:rsidR="009E67EB">
        <w:rPr>
          <w:rFonts w:cs="Arial"/>
          <w:color w:val="000000"/>
          <w:sz w:val="22"/>
          <w:szCs w:val="22"/>
        </w:rPr>
        <w:t>icate requirements in existing S</w:t>
      </w:r>
      <w:r w:rsidRPr="00E45002">
        <w:rPr>
          <w:rFonts w:cs="Arial"/>
          <w:color w:val="000000"/>
          <w:sz w:val="22"/>
          <w:szCs w:val="22"/>
        </w:rPr>
        <w:t>ub</w:t>
      </w:r>
      <w:r w:rsidR="003B30DC">
        <w:rPr>
          <w:rFonts w:cs="Arial"/>
          <w:color w:val="000000"/>
          <w:sz w:val="22"/>
          <w:szCs w:val="22"/>
        </w:rPr>
        <w:t>part</w:t>
      </w:r>
      <w:r w:rsidRPr="00E45002">
        <w:rPr>
          <w:rFonts w:cs="Arial"/>
          <w:color w:val="000000"/>
          <w:sz w:val="22"/>
          <w:szCs w:val="22"/>
        </w:rPr>
        <w:t xml:space="preserve"> B of 10 CF</w:t>
      </w:r>
      <w:r w:rsidR="009E67EB">
        <w:rPr>
          <w:rFonts w:cs="Arial"/>
          <w:color w:val="000000"/>
          <w:sz w:val="22"/>
          <w:szCs w:val="22"/>
        </w:rPr>
        <w:t xml:space="preserve">R </w:t>
      </w:r>
      <w:r w:rsidR="001B0DBD">
        <w:rPr>
          <w:rFonts w:cs="Arial"/>
          <w:color w:val="000000"/>
          <w:sz w:val="22"/>
          <w:szCs w:val="22"/>
        </w:rPr>
        <w:t>part</w:t>
      </w:r>
      <w:r w:rsidRPr="00E45002">
        <w:rPr>
          <w:rFonts w:cs="Arial"/>
          <w:color w:val="000000"/>
          <w:sz w:val="22"/>
          <w:szCs w:val="22"/>
        </w:rPr>
        <w:t xml:space="preserve"> 74.  In this regard, revisions are proposed to 10 CFR 72.72 and </w:t>
      </w:r>
      <w:r w:rsidR="008B76A8">
        <w:rPr>
          <w:rFonts w:cs="Arial"/>
          <w:color w:val="000000"/>
          <w:sz w:val="22"/>
          <w:szCs w:val="22"/>
        </w:rPr>
        <w:t>72.74</w:t>
      </w:r>
      <w:r w:rsidRPr="00E45002">
        <w:rPr>
          <w:rFonts w:cs="Arial"/>
          <w:color w:val="000000"/>
          <w:sz w:val="22"/>
          <w:szCs w:val="22"/>
        </w:rPr>
        <w:t>; 10 CFR 72.76 and 72.78 would be removed</w:t>
      </w:r>
      <w:r w:rsidR="007F1566" w:rsidRPr="00E45002">
        <w:rPr>
          <w:rFonts w:cs="Arial"/>
          <w:color w:val="000000"/>
          <w:sz w:val="22"/>
          <w:szCs w:val="22"/>
        </w:rPr>
        <w:t xml:space="preserve">.  </w:t>
      </w:r>
      <w:r w:rsidR="00CD4BFA">
        <w:rPr>
          <w:rFonts w:cs="Arial"/>
          <w:color w:val="000000"/>
          <w:sz w:val="22"/>
          <w:szCs w:val="22"/>
        </w:rPr>
        <w:br/>
      </w:r>
    </w:p>
    <w:p w:rsidR="00327E58" w:rsidRPr="00435D71" w:rsidRDefault="00D24EE2" w:rsidP="00435D71">
      <w:pPr>
        <w:numPr>
          <w:ilvl w:val="0"/>
          <w:numId w:val="34"/>
        </w:numPr>
        <w:ind w:left="360"/>
        <w:rPr>
          <w:rFonts w:cs="Arial"/>
          <w:color w:val="000000"/>
          <w:sz w:val="22"/>
          <w:szCs w:val="22"/>
        </w:rPr>
      </w:pPr>
      <w:r w:rsidRPr="00435D71">
        <w:rPr>
          <w:rFonts w:cs="Arial"/>
          <w:color w:val="000000"/>
          <w:sz w:val="22"/>
          <w:szCs w:val="22"/>
        </w:rPr>
        <w:t xml:space="preserve">Revise </w:t>
      </w:r>
      <w:r w:rsidR="00217533" w:rsidRPr="00435D71">
        <w:rPr>
          <w:rFonts w:cs="Arial"/>
          <w:color w:val="000000"/>
          <w:sz w:val="22"/>
          <w:szCs w:val="22"/>
        </w:rPr>
        <w:t xml:space="preserve">10 CFR </w:t>
      </w:r>
      <w:proofErr w:type="gramStart"/>
      <w:r w:rsidR="001B0DBD">
        <w:rPr>
          <w:rFonts w:cs="Arial"/>
          <w:color w:val="000000"/>
          <w:sz w:val="22"/>
          <w:szCs w:val="22"/>
        </w:rPr>
        <w:t>part</w:t>
      </w:r>
      <w:proofErr w:type="gramEnd"/>
      <w:r w:rsidR="00217533" w:rsidRPr="00435D71">
        <w:rPr>
          <w:rFonts w:cs="Arial"/>
          <w:color w:val="000000"/>
          <w:sz w:val="22"/>
          <w:szCs w:val="22"/>
        </w:rPr>
        <w:t xml:space="preserve"> 74</w:t>
      </w:r>
      <w:r w:rsidRPr="00435D71">
        <w:rPr>
          <w:rFonts w:cs="Arial"/>
          <w:color w:val="000000"/>
          <w:sz w:val="22"/>
          <w:szCs w:val="22"/>
        </w:rPr>
        <w:t xml:space="preserve"> </w:t>
      </w:r>
      <w:r w:rsidR="00E45002" w:rsidRPr="00435D71">
        <w:rPr>
          <w:rFonts w:cs="Arial"/>
          <w:color w:val="000000"/>
          <w:sz w:val="22"/>
          <w:szCs w:val="22"/>
        </w:rPr>
        <w:t>to make it clear what requirements apply to different types of facilities because although the Sub</w:t>
      </w:r>
      <w:r w:rsidR="003B30DC">
        <w:rPr>
          <w:rFonts w:cs="Arial"/>
          <w:color w:val="000000"/>
          <w:sz w:val="22"/>
          <w:szCs w:val="22"/>
        </w:rPr>
        <w:t>part</w:t>
      </w:r>
      <w:r w:rsidR="00E45002" w:rsidRPr="00435D71">
        <w:rPr>
          <w:rFonts w:cs="Arial"/>
          <w:color w:val="000000"/>
          <w:sz w:val="22"/>
          <w:szCs w:val="22"/>
        </w:rPr>
        <w:t xml:space="preserve"> B general provisions apply to almost all facilities that are authorized to possess and use SNM, some licensees and NRC staff have expressed confusion as to what requirements apply to a </w:t>
      </w:r>
      <w:r w:rsidR="003B30DC">
        <w:rPr>
          <w:rFonts w:cs="Arial"/>
          <w:color w:val="000000"/>
          <w:sz w:val="22"/>
          <w:szCs w:val="22"/>
        </w:rPr>
        <w:t>part</w:t>
      </w:r>
      <w:r w:rsidR="00E45002" w:rsidRPr="00435D71">
        <w:rPr>
          <w:rFonts w:cs="Arial"/>
          <w:color w:val="000000"/>
          <w:sz w:val="22"/>
          <w:szCs w:val="22"/>
        </w:rPr>
        <w:t>icular facility.  To address this matter, th</w:t>
      </w:r>
      <w:r w:rsidR="009E67EB" w:rsidRPr="00435D71">
        <w:rPr>
          <w:rFonts w:cs="Arial"/>
          <w:color w:val="000000"/>
          <w:sz w:val="22"/>
          <w:szCs w:val="22"/>
        </w:rPr>
        <w:t xml:space="preserve">e staff proposes to modify the </w:t>
      </w:r>
      <w:r w:rsidR="00217533" w:rsidRPr="00435D71">
        <w:rPr>
          <w:rFonts w:cs="Arial"/>
          <w:color w:val="000000"/>
          <w:sz w:val="22"/>
          <w:szCs w:val="22"/>
        </w:rPr>
        <w:t xml:space="preserve">10 CFR </w:t>
      </w:r>
      <w:r w:rsidR="001B0DBD">
        <w:rPr>
          <w:rFonts w:cs="Arial"/>
          <w:color w:val="000000"/>
          <w:sz w:val="22"/>
          <w:szCs w:val="22"/>
        </w:rPr>
        <w:t>part</w:t>
      </w:r>
      <w:r w:rsidR="00217533" w:rsidRPr="00435D71">
        <w:rPr>
          <w:rFonts w:cs="Arial"/>
          <w:color w:val="000000"/>
          <w:sz w:val="22"/>
          <w:szCs w:val="22"/>
        </w:rPr>
        <w:t xml:space="preserve"> 74 </w:t>
      </w:r>
      <w:r w:rsidR="00E45002" w:rsidRPr="00435D71">
        <w:rPr>
          <w:rFonts w:cs="Arial"/>
          <w:color w:val="000000"/>
          <w:sz w:val="22"/>
          <w:szCs w:val="22"/>
        </w:rPr>
        <w:t xml:space="preserve">definitions for </w:t>
      </w:r>
      <w:r w:rsidR="00E45002" w:rsidRPr="00435D71">
        <w:rPr>
          <w:rFonts w:cs="Arial"/>
          <w:i/>
          <w:color w:val="000000"/>
          <w:sz w:val="22"/>
          <w:szCs w:val="22"/>
        </w:rPr>
        <w:t xml:space="preserve">formula quantity, </w:t>
      </w:r>
      <w:r w:rsidR="009929DD">
        <w:rPr>
          <w:rFonts w:cs="Arial"/>
          <w:i/>
          <w:color w:val="000000"/>
          <w:sz w:val="22"/>
          <w:szCs w:val="22"/>
        </w:rPr>
        <w:t>special nuclear material</w:t>
      </w:r>
      <w:r w:rsidR="009929DD" w:rsidRPr="00435D71">
        <w:rPr>
          <w:rFonts w:cs="Arial"/>
          <w:i/>
          <w:color w:val="000000"/>
          <w:sz w:val="22"/>
          <w:szCs w:val="22"/>
        </w:rPr>
        <w:t xml:space="preserve"> </w:t>
      </w:r>
      <w:r w:rsidR="00E45002" w:rsidRPr="00435D71">
        <w:rPr>
          <w:rFonts w:cs="Arial"/>
          <w:i/>
          <w:color w:val="000000"/>
          <w:sz w:val="22"/>
          <w:szCs w:val="22"/>
        </w:rPr>
        <w:t>of moderate strategic significance</w:t>
      </w:r>
      <w:r w:rsidR="00E45002" w:rsidRPr="00435D71">
        <w:rPr>
          <w:rFonts w:cs="Arial"/>
          <w:color w:val="000000"/>
          <w:sz w:val="22"/>
          <w:szCs w:val="22"/>
        </w:rPr>
        <w:t xml:space="preserve">, and </w:t>
      </w:r>
      <w:r w:rsidR="00C0265F" w:rsidRPr="00435D71">
        <w:rPr>
          <w:rFonts w:cs="Arial"/>
          <w:i/>
          <w:color w:val="000000"/>
          <w:sz w:val="22"/>
          <w:szCs w:val="22"/>
        </w:rPr>
        <w:t>SNM of</w:t>
      </w:r>
      <w:r w:rsidR="00E45002" w:rsidRPr="00435D71">
        <w:rPr>
          <w:rFonts w:cs="Arial"/>
          <w:i/>
          <w:color w:val="000000"/>
          <w:sz w:val="22"/>
          <w:szCs w:val="22"/>
        </w:rPr>
        <w:t xml:space="preserve"> low strategic significance</w:t>
      </w:r>
      <w:r w:rsidR="00E45002" w:rsidRPr="00435D71">
        <w:rPr>
          <w:rFonts w:cs="Arial"/>
          <w:color w:val="000000"/>
          <w:sz w:val="22"/>
          <w:szCs w:val="22"/>
        </w:rPr>
        <w:t xml:space="preserve"> by conforming them to the </w:t>
      </w:r>
      <w:r w:rsidR="009E67EB" w:rsidRPr="00435D71">
        <w:rPr>
          <w:rFonts w:cs="Arial"/>
          <w:color w:val="000000"/>
          <w:sz w:val="22"/>
          <w:szCs w:val="22"/>
        </w:rPr>
        <w:t xml:space="preserve">existing definitions in 10 CFR </w:t>
      </w:r>
      <w:r w:rsidR="001B0DBD">
        <w:rPr>
          <w:rFonts w:cs="Arial"/>
          <w:color w:val="000000"/>
          <w:sz w:val="22"/>
          <w:szCs w:val="22"/>
        </w:rPr>
        <w:t>part</w:t>
      </w:r>
      <w:r w:rsidR="00E45002" w:rsidRPr="00435D71">
        <w:rPr>
          <w:rFonts w:cs="Arial"/>
          <w:color w:val="000000"/>
          <w:sz w:val="22"/>
          <w:szCs w:val="22"/>
        </w:rPr>
        <w:t>s 70 and 73, which clarify these classes of SNM respectively as Category I, II</w:t>
      </w:r>
      <w:r w:rsidR="00A44E27" w:rsidRPr="00435D71">
        <w:rPr>
          <w:rFonts w:cs="Arial"/>
          <w:color w:val="000000"/>
          <w:sz w:val="22"/>
          <w:szCs w:val="22"/>
        </w:rPr>
        <w:t xml:space="preserve">, </w:t>
      </w:r>
      <w:r w:rsidR="00E45002" w:rsidRPr="00435D71">
        <w:rPr>
          <w:rFonts w:cs="Arial"/>
          <w:color w:val="000000"/>
          <w:sz w:val="22"/>
          <w:szCs w:val="22"/>
        </w:rPr>
        <w:t xml:space="preserve">and III quantities of strategic </w:t>
      </w:r>
      <w:r w:rsidR="008F7FB7" w:rsidRPr="00435D71">
        <w:rPr>
          <w:rFonts w:cs="Arial"/>
          <w:color w:val="000000"/>
          <w:sz w:val="22"/>
          <w:szCs w:val="22"/>
        </w:rPr>
        <w:t>SNM</w:t>
      </w:r>
      <w:r w:rsidR="00E45002" w:rsidRPr="00435D71">
        <w:rPr>
          <w:rFonts w:cs="Arial"/>
          <w:color w:val="000000"/>
          <w:sz w:val="22"/>
          <w:szCs w:val="22"/>
        </w:rPr>
        <w:t>.</w:t>
      </w:r>
      <w:r w:rsidR="00552422" w:rsidRPr="00435D71">
        <w:rPr>
          <w:rFonts w:cs="Arial"/>
          <w:color w:val="000000"/>
          <w:sz w:val="22"/>
          <w:szCs w:val="22"/>
        </w:rPr>
        <w:t xml:space="preserve"> </w:t>
      </w:r>
      <w:r w:rsidR="00E45002" w:rsidRPr="00435D71">
        <w:rPr>
          <w:rFonts w:cs="Arial"/>
          <w:color w:val="000000"/>
          <w:sz w:val="22"/>
          <w:szCs w:val="22"/>
        </w:rPr>
        <w:t xml:space="preserve"> Licensees authorized to </w:t>
      </w:r>
      <w:r w:rsidR="00E27053">
        <w:rPr>
          <w:rFonts w:cs="Arial"/>
          <w:color w:val="000000"/>
          <w:sz w:val="22"/>
          <w:szCs w:val="22"/>
        </w:rPr>
        <w:t>possess</w:t>
      </w:r>
      <w:r w:rsidR="00E45002" w:rsidRPr="00435D71">
        <w:rPr>
          <w:rFonts w:cs="Arial"/>
          <w:color w:val="000000"/>
          <w:sz w:val="22"/>
          <w:szCs w:val="22"/>
        </w:rPr>
        <w:t xml:space="preserve"> Category I material are subject</w:t>
      </w:r>
      <w:r w:rsidR="009E67EB" w:rsidRPr="00435D71">
        <w:rPr>
          <w:rFonts w:cs="Arial"/>
          <w:color w:val="000000"/>
          <w:sz w:val="22"/>
          <w:szCs w:val="22"/>
        </w:rPr>
        <w:t xml:space="preserve"> to the requirements in 10 CFR </w:t>
      </w:r>
      <w:proofErr w:type="gramStart"/>
      <w:r w:rsidR="001B0DBD">
        <w:rPr>
          <w:rFonts w:cs="Arial"/>
          <w:color w:val="000000"/>
          <w:sz w:val="22"/>
          <w:szCs w:val="22"/>
        </w:rPr>
        <w:t>part</w:t>
      </w:r>
      <w:proofErr w:type="gramEnd"/>
      <w:r w:rsidR="009E67EB" w:rsidRPr="00435D71">
        <w:rPr>
          <w:rFonts w:cs="Arial"/>
          <w:color w:val="000000"/>
          <w:sz w:val="22"/>
          <w:szCs w:val="22"/>
        </w:rPr>
        <w:t xml:space="preserve"> </w:t>
      </w:r>
      <w:r w:rsidR="009E67EB" w:rsidRPr="00435D71">
        <w:rPr>
          <w:rFonts w:cs="Arial"/>
          <w:color w:val="000000"/>
          <w:sz w:val="22"/>
          <w:szCs w:val="22"/>
        </w:rPr>
        <w:lastRenderedPageBreak/>
        <w:t>74, S</w:t>
      </w:r>
      <w:r w:rsidR="00E45002" w:rsidRPr="00435D71">
        <w:rPr>
          <w:rFonts w:cs="Arial"/>
          <w:color w:val="000000"/>
          <w:sz w:val="22"/>
          <w:szCs w:val="22"/>
        </w:rPr>
        <w:t>ub</w:t>
      </w:r>
      <w:r w:rsidR="003B30DC">
        <w:rPr>
          <w:rFonts w:cs="Arial"/>
          <w:color w:val="000000"/>
          <w:sz w:val="22"/>
          <w:szCs w:val="22"/>
        </w:rPr>
        <w:t>part</w:t>
      </w:r>
      <w:r w:rsidR="00E45002" w:rsidRPr="00435D71">
        <w:rPr>
          <w:rFonts w:cs="Arial"/>
          <w:color w:val="000000"/>
          <w:sz w:val="22"/>
          <w:szCs w:val="22"/>
        </w:rPr>
        <w:t xml:space="preserve"> E, while licensees authorized to </w:t>
      </w:r>
      <w:r w:rsidR="00E27053">
        <w:rPr>
          <w:rFonts w:cs="Arial"/>
          <w:color w:val="000000"/>
          <w:sz w:val="22"/>
          <w:szCs w:val="22"/>
        </w:rPr>
        <w:t>possess</w:t>
      </w:r>
      <w:r w:rsidR="00E45002" w:rsidRPr="00435D71">
        <w:rPr>
          <w:rFonts w:cs="Arial"/>
          <w:color w:val="000000"/>
          <w:sz w:val="22"/>
          <w:szCs w:val="22"/>
        </w:rPr>
        <w:t xml:space="preserve"> Category II or III material are </w:t>
      </w:r>
      <w:r w:rsidR="009E67EB" w:rsidRPr="00435D71">
        <w:rPr>
          <w:rFonts w:cs="Arial"/>
          <w:color w:val="000000"/>
          <w:sz w:val="22"/>
          <w:szCs w:val="22"/>
        </w:rPr>
        <w:t>subject to the requirements in S</w:t>
      </w:r>
      <w:r w:rsidR="00E45002" w:rsidRPr="00435D71">
        <w:rPr>
          <w:rFonts w:cs="Arial"/>
          <w:color w:val="000000"/>
          <w:sz w:val="22"/>
          <w:szCs w:val="22"/>
        </w:rPr>
        <w:t>ub</w:t>
      </w:r>
      <w:r w:rsidR="003B30DC">
        <w:rPr>
          <w:rFonts w:cs="Arial"/>
          <w:color w:val="000000"/>
          <w:sz w:val="22"/>
          <w:szCs w:val="22"/>
        </w:rPr>
        <w:t>part</w:t>
      </w:r>
      <w:r w:rsidR="00E45002" w:rsidRPr="00435D71">
        <w:rPr>
          <w:rFonts w:cs="Arial"/>
          <w:color w:val="000000"/>
          <w:sz w:val="22"/>
          <w:szCs w:val="22"/>
        </w:rPr>
        <w:t xml:space="preserve"> D </w:t>
      </w:r>
      <w:r w:rsidR="00D46C2D" w:rsidRPr="00435D71">
        <w:rPr>
          <w:rFonts w:cs="Arial"/>
          <w:color w:val="000000"/>
          <w:sz w:val="22"/>
          <w:szCs w:val="22"/>
        </w:rPr>
        <w:t xml:space="preserve">or </w:t>
      </w:r>
      <w:r w:rsidR="00E45002" w:rsidRPr="00435D71">
        <w:rPr>
          <w:rFonts w:cs="Arial"/>
          <w:color w:val="000000"/>
          <w:sz w:val="22"/>
          <w:szCs w:val="22"/>
        </w:rPr>
        <w:t xml:space="preserve">C, respectively.  To further clarify these divisions, the staff proposes to add Appendix A to 10 CFR </w:t>
      </w:r>
      <w:proofErr w:type="gramStart"/>
      <w:r w:rsidR="001B0DBD">
        <w:rPr>
          <w:rFonts w:cs="Arial"/>
          <w:color w:val="000000"/>
          <w:sz w:val="22"/>
          <w:szCs w:val="22"/>
        </w:rPr>
        <w:t>part</w:t>
      </w:r>
      <w:proofErr w:type="gramEnd"/>
      <w:r w:rsidR="00E45002" w:rsidRPr="00435D71">
        <w:rPr>
          <w:rFonts w:cs="Arial"/>
          <w:color w:val="000000"/>
          <w:sz w:val="22"/>
          <w:szCs w:val="22"/>
        </w:rPr>
        <w:t xml:space="preserve"> 74 – a table listing the Category I, II, and III quantities of strategic </w:t>
      </w:r>
      <w:r w:rsidR="008F7FB7" w:rsidRPr="00435D71">
        <w:rPr>
          <w:rFonts w:cs="Arial"/>
          <w:color w:val="000000"/>
          <w:sz w:val="22"/>
          <w:szCs w:val="22"/>
        </w:rPr>
        <w:t>SNM</w:t>
      </w:r>
      <w:r w:rsidR="00E45002" w:rsidRPr="00435D71">
        <w:rPr>
          <w:rFonts w:cs="Arial"/>
          <w:color w:val="000000"/>
          <w:sz w:val="22"/>
          <w:szCs w:val="22"/>
        </w:rPr>
        <w:t>, and the formulae used to calculate these quantities</w:t>
      </w:r>
      <w:r w:rsidR="007F1566" w:rsidRPr="00435D71">
        <w:rPr>
          <w:rFonts w:cs="Arial"/>
          <w:color w:val="000000"/>
          <w:sz w:val="22"/>
          <w:szCs w:val="22"/>
        </w:rPr>
        <w:t xml:space="preserve">.  </w:t>
      </w:r>
      <w:r w:rsidR="00CD4BFA" w:rsidRPr="00435D71">
        <w:rPr>
          <w:rFonts w:cs="Arial"/>
          <w:color w:val="000000"/>
          <w:sz w:val="22"/>
          <w:szCs w:val="22"/>
        </w:rPr>
        <w:br/>
      </w:r>
    </w:p>
    <w:p w:rsidR="00E45002" w:rsidRPr="00E45002" w:rsidRDefault="00E45002" w:rsidP="00A61136">
      <w:pPr>
        <w:numPr>
          <w:ilvl w:val="0"/>
          <w:numId w:val="34"/>
        </w:numPr>
        <w:ind w:left="360"/>
        <w:rPr>
          <w:rFonts w:cs="Arial"/>
          <w:color w:val="000000"/>
          <w:sz w:val="22"/>
          <w:szCs w:val="22"/>
        </w:rPr>
      </w:pPr>
      <w:r w:rsidRPr="00E45002">
        <w:rPr>
          <w:rFonts w:cs="Arial"/>
          <w:color w:val="000000"/>
          <w:sz w:val="22"/>
          <w:szCs w:val="22"/>
        </w:rPr>
        <w:t xml:space="preserve">Include </w:t>
      </w:r>
      <w:r w:rsidR="00EA67C1">
        <w:rPr>
          <w:rFonts w:cs="Arial"/>
          <w:color w:val="000000"/>
          <w:sz w:val="22"/>
          <w:szCs w:val="22"/>
        </w:rPr>
        <w:t xml:space="preserve">GPOs </w:t>
      </w:r>
      <w:r w:rsidRPr="00E45002">
        <w:rPr>
          <w:rFonts w:cs="Arial"/>
          <w:color w:val="000000"/>
          <w:sz w:val="22"/>
          <w:szCs w:val="22"/>
        </w:rPr>
        <w:t>that would apply to licensee</w:t>
      </w:r>
      <w:r w:rsidR="00C15775">
        <w:rPr>
          <w:rFonts w:cs="Arial"/>
          <w:color w:val="000000"/>
          <w:sz w:val="22"/>
          <w:szCs w:val="22"/>
        </w:rPr>
        <w:t>s</w:t>
      </w:r>
      <w:r w:rsidRPr="00E45002">
        <w:rPr>
          <w:rFonts w:cs="Arial"/>
          <w:color w:val="000000"/>
          <w:sz w:val="22"/>
          <w:szCs w:val="22"/>
        </w:rPr>
        <w:t xml:space="preserve"> authorized to </w:t>
      </w:r>
      <w:r w:rsidR="00E27053">
        <w:rPr>
          <w:rFonts w:cs="Arial"/>
          <w:color w:val="000000"/>
          <w:sz w:val="22"/>
          <w:szCs w:val="22"/>
        </w:rPr>
        <w:t>possess</w:t>
      </w:r>
      <w:r w:rsidRPr="00E45002">
        <w:rPr>
          <w:rFonts w:cs="Arial"/>
          <w:color w:val="000000"/>
          <w:sz w:val="22"/>
          <w:szCs w:val="22"/>
        </w:rPr>
        <w:t xml:space="preserve"> </w:t>
      </w:r>
      <w:r w:rsidR="00C15775">
        <w:rPr>
          <w:rFonts w:cs="Arial"/>
          <w:color w:val="000000"/>
          <w:sz w:val="22"/>
          <w:szCs w:val="22"/>
        </w:rPr>
        <w:t>more than 350 grams of</w:t>
      </w:r>
      <w:r w:rsidR="003B3D78">
        <w:rPr>
          <w:rFonts w:cs="Arial"/>
          <w:color w:val="000000"/>
          <w:sz w:val="22"/>
          <w:szCs w:val="22"/>
        </w:rPr>
        <w:t xml:space="preserve"> </w:t>
      </w:r>
      <w:r w:rsidRPr="00E45002">
        <w:rPr>
          <w:rFonts w:cs="Arial"/>
          <w:color w:val="000000"/>
          <w:sz w:val="22"/>
          <w:szCs w:val="22"/>
        </w:rPr>
        <w:t>SNM</w:t>
      </w:r>
      <w:r w:rsidR="003B3D78">
        <w:rPr>
          <w:rFonts w:cs="Arial"/>
          <w:color w:val="000000"/>
          <w:sz w:val="22"/>
          <w:szCs w:val="22"/>
        </w:rPr>
        <w:t xml:space="preserve"> </w:t>
      </w:r>
      <w:r w:rsidR="00C15775">
        <w:rPr>
          <w:rFonts w:cs="Arial"/>
          <w:color w:val="000000"/>
          <w:sz w:val="22"/>
          <w:szCs w:val="22"/>
        </w:rPr>
        <w:t>but which are not</w:t>
      </w:r>
      <w:r w:rsidRPr="00E45002">
        <w:rPr>
          <w:rFonts w:cs="Arial"/>
          <w:color w:val="000000"/>
          <w:sz w:val="22"/>
          <w:szCs w:val="22"/>
        </w:rPr>
        <w:t xml:space="preserve"> licensees authorized to </w:t>
      </w:r>
      <w:r w:rsidR="007512CA">
        <w:rPr>
          <w:rFonts w:cs="Arial"/>
          <w:color w:val="000000"/>
          <w:sz w:val="22"/>
          <w:szCs w:val="22"/>
        </w:rPr>
        <w:t>possess</w:t>
      </w:r>
      <w:r w:rsidR="007512CA" w:rsidRPr="00E45002">
        <w:rPr>
          <w:rFonts w:cs="Arial"/>
          <w:color w:val="000000"/>
          <w:sz w:val="22"/>
          <w:szCs w:val="22"/>
        </w:rPr>
        <w:t xml:space="preserve"> Category</w:t>
      </w:r>
      <w:r w:rsidRPr="00E45002">
        <w:rPr>
          <w:rFonts w:cs="Arial"/>
          <w:color w:val="000000"/>
          <w:sz w:val="22"/>
          <w:szCs w:val="22"/>
        </w:rPr>
        <w:t xml:space="preserve"> I, II, and III quantities of material.  Examples of </w:t>
      </w:r>
      <w:r w:rsidR="00EA67C1">
        <w:rPr>
          <w:rFonts w:cs="Arial"/>
          <w:color w:val="000000"/>
          <w:sz w:val="22"/>
          <w:szCs w:val="22"/>
        </w:rPr>
        <w:t xml:space="preserve">GPOs </w:t>
      </w:r>
      <w:r w:rsidRPr="00E45002">
        <w:rPr>
          <w:rFonts w:cs="Arial"/>
          <w:color w:val="000000"/>
          <w:sz w:val="22"/>
          <w:szCs w:val="22"/>
        </w:rPr>
        <w:t>include the need to confirm the presence of SNM and to resolve indications of missing material.</w:t>
      </w:r>
      <w:r w:rsidR="00994D08">
        <w:rPr>
          <w:rFonts w:cs="Arial"/>
          <w:color w:val="000000"/>
          <w:sz w:val="22"/>
          <w:szCs w:val="22"/>
        </w:rPr>
        <w:t xml:space="preserve"> </w:t>
      </w:r>
      <w:r w:rsidRPr="00E45002">
        <w:rPr>
          <w:rFonts w:cs="Arial"/>
          <w:color w:val="000000"/>
          <w:sz w:val="22"/>
          <w:szCs w:val="22"/>
        </w:rPr>
        <w:t xml:space="preserve"> The </w:t>
      </w:r>
      <w:r w:rsidR="00EA67C1">
        <w:rPr>
          <w:rFonts w:cs="Arial"/>
          <w:color w:val="000000"/>
          <w:sz w:val="22"/>
          <w:szCs w:val="22"/>
        </w:rPr>
        <w:t xml:space="preserve">GPOs </w:t>
      </w:r>
      <w:r w:rsidRPr="00E45002">
        <w:rPr>
          <w:rFonts w:cs="Arial"/>
          <w:color w:val="000000"/>
          <w:sz w:val="22"/>
          <w:szCs w:val="22"/>
        </w:rPr>
        <w:t>that would apply to a</w:t>
      </w:r>
      <w:r w:rsidR="00C15775">
        <w:rPr>
          <w:rFonts w:cs="Arial"/>
          <w:color w:val="000000"/>
          <w:sz w:val="22"/>
          <w:szCs w:val="22"/>
        </w:rPr>
        <w:t>ll NRC</w:t>
      </w:r>
      <w:r w:rsidRPr="00E45002">
        <w:rPr>
          <w:rFonts w:cs="Arial"/>
          <w:color w:val="000000"/>
          <w:sz w:val="22"/>
          <w:szCs w:val="22"/>
        </w:rPr>
        <w:t xml:space="preserve"> licensee</w:t>
      </w:r>
      <w:r w:rsidR="00C15775">
        <w:rPr>
          <w:rFonts w:cs="Arial"/>
          <w:color w:val="000000"/>
          <w:sz w:val="22"/>
          <w:szCs w:val="22"/>
        </w:rPr>
        <w:t>s</w:t>
      </w:r>
      <w:r w:rsidRPr="00E45002">
        <w:rPr>
          <w:rFonts w:cs="Arial"/>
          <w:color w:val="000000"/>
          <w:sz w:val="22"/>
          <w:szCs w:val="22"/>
        </w:rPr>
        <w:t xml:space="preserve"> authorized to </w:t>
      </w:r>
      <w:r w:rsidR="00E27053">
        <w:rPr>
          <w:rFonts w:cs="Arial"/>
          <w:color w:val="000000"/>
          <w:sz w:val="22"/>
          <w:szCs w:val="22"/>
        </w:rPr>
        <w:t>possess</w:t>
      </w:r>
      <w:r w:rsidRPr="00E45002">
        <w:rPr>
          <w:rFonts w:cs="Arial"/>
          <w:color w:val="000000"/>
          <w:sz w:val="22"/>
          <w:szCs w:val="22"/>
        </w:rPr>
        <w:t xml:space="preserve"> SNM</w:t>
      </w:r>
      <w:r w:rsidR="003B3D78">
        <w:rPr>
          <w:rFonts w:cs="Arial"/>
          <w:color w:val="000000"/>
          <w:sz w:val="22"/>
          <w:szCs w:val="22"/>
        </w:rPr>
        <w:t xml:space="preserve"> in a quantity greater than 350 grams</w:t>
      </w:r>
      <w:r w:rsidRPr="00E45002">
        <w:rPr>
          <w:rFonts w:cs="Arial"/>
          <w:color w:val="000000"/>
          <w:sz w:val="22"/>
          <w:szCs w:val="22"/>
        </w:rPr>
        <w:t xml:space="preserve"> are stated in proposed 10 CFR 74.3.</w:t>
      </w:r>
      <w:r w:rsidR="00CD4BFA">
        <w:rPr>
          <w:rFonts w:cs="Arial"/>
          <w:color w:val="000000"/>
          <w:sz w:val="22"/>
          <w:szCs w:val="22"/>
        </w:rPr>
        <w:br/>
      </w:r>
    </w:p>
    <w:p w:rsidR="00E45002" w:rsidRDefault="00E45002" w:rsidP="00A61136">
      <w:pPr>
        <w:numPr>
          <w:ilvl w:val="0"/>
          <w:numId w:val="34"/>
        </w:numPr>
        <w:ind w:left="360"/>
        <w:rPr>
          <w:rFonts w:cs="Arial"/>
          <w:color w:val="000000"/>
          <w:sz w:val="22"/>
          <w:szCs w:val="22"/>
        </w:rPr>
      </w:pPr>
      <w:r w:rsidRPr="00E45002">
        <w:rPr>
          <w:rFonts w:cs="Arial"/>
          <w:color w:val="000000"/>
          <w:sz w:val="22"/>
          <w:szCs w:val="22"/>
        </w:rPr>
        <w:t xml:space="preserve">Add </w:t>
      </w:r>
      <w:r w:rsidR="00805108" w:rsidRPr="00E45002">
        <w:rPr>
          <w:rFonts w:cs="Arial"/>
          <w:color w:val="000000"/>
          <w:sz w:val="22"/>
          <w:szCs w:val="22"/>
        </w:rPr>
        <w:t xml:space="preserve">item control requirements </w:t>
      </w:r>
      <w:r w:rsidR="00805108">
        <w:rPr>
          <w:rFonts w:cs="Arial"/>
          <w:color w:val="000000"/>
          <w:sz w:val="22"/>
          <w:szCs w:val="22"/>
        </w:rPr>
        <w:t>in proposed 10 CFR 74.19(</w:t>
      </w:r>
      <w:r w:rsidR="000C3561">
        <w:rPr>
          <w:rFonts w:cs="Arial"/>
          <w:color w:val="000000"/>
          <w:sz w:val="22"/>
          <w:szCs w:val="22"/>
        </w:rPr>
        <w:t>d</w:t>
      </w:r>
      <w:r w:rsidR="00805108">
        <w:rPr>
          <w:rFonts w:cs="Arial"/>
          <w:color w:val="000000"/>
          <w:sz w:val="22"/>
          <w:szCs w:val="22"/>
        </w:rPr>
        <w:t xml:space="preserve">) </w:t>
      </w:r>
      <w:r w:rsidR="00805108" w:rsidRPr="00E45002">
        <w:rPr>
          <w:rFonts w:cs="Arial"/>
          <w:color w:val="000000"/>
          <w:sz w:val="22"/>
          <w:szCs w:val="22"/>
        </w:rPr>
        <w:t xml:space="preserve">that would apply to </w:t>
      </w:r>
      <w:r w:rsidR="000C3561">
        <w:rPr>
          <w:rFonts w:cs="Arial"/>
          <w:color w:val="000000"/>
          <w:sz w:val="22"/>
          <w:szCs w:val="22"/>
        </w:rPr>
        <w:t xml:space="preserve">reactor </w:t>
      </w:r>
      <w:r w:rsidR="00805108" w:rsidRPr="00E45002">
        <w:rPr>
          <w:rFonts w:cs="Arial"/>
          <w:color w:val="000000"/>
          <w:sz w:val="22"/>
          <w:szCs w:val="22"/>
        </w:rPr>
        <w:t>licensee</w:t>
      </w:r>
      <w:r w:rsidR="00047877">
        <w:rPr>
          <w:rFonts w:cs="Arial"/>
          <w:color w:val="000000"/>
          <w:sz w:val="22"/>
          <w:szCs w:val="22"/>
        </w:rPr>
        <w:t>s</w:t>
      </w:r>
      <w:r w:rsidR="000C3561">
        <w:rPr>
          <w:rFonts w:cs="Arial"/>
          <w:color w:val="000000"/>
          <w:sz w:val="22"/>
          <w:szCs w:val="22"/>
        </w:rPr>
        <w:t xml:space="preserve"> under 10 CFR </w:t>
      </w:r>
      <w:r w:rsidR="001B0DBD">
        <w:rPr>
          <w:rFonts w:cs="Arial"/>
          <w:color w:val="000000"/>
          <w:sz w:val="22"/>
          <w:szCs w:val="22"/>
        </w:rPr>
        <w:t>part</w:t>
      </w:r>
      <w:r w:rsidR="000C3561">
        <w:rPr>
          <w:rFonts w:cs="Arial"/>
          <w:color w:val="000000"/>
          <w:sz w:val="22"/>
          <w:szCs w:val="22"/>
        </w:rPr>
        <w:t xml:space="preserve"> 50 or 52 and ISFSI licensees under 10 CFR </w:t>
      </w:r>
      <w:r w:rsidR="001B0DBD">
        <w:rPr>
          <w:rFonts w:cs="Arial"/>
          <w:color w:val="000000"/>
          <w:sz w:val="22"/>
          <w:szCs w:val="22"/>
        </w:rPr>
        <w:t>part</w:t>
      </w:r>
      <w:r w:rsidR="000C3561">
        <w:rPr>
          <w:rFonts w:cs="Arial"/>
          <w:color w:val="000000"/>
          <w:sz w:val="22"/>
          <w:szCs w:val="22"/>
        </w:rPr>
        <w:t xml:space="preserve"> 72</w:t>
      </w:r>
      <w:r w:rsidR="00047877">
        <w:rPr>
          <w:rFonts w:cs="Arial"/>
          <w:color w:val="000000"/>
          <w:sz w:val="22"/>
          <w:szCs w:val="22"/>
        </w:rPr>
        <w:t>.</w:t>
      </w:r>
      <w:r w:rsidR="00805108" w:rsidRPr="00E45002">
        <w:rPr>
          <w:rFonts w:cs="Arial"/>
          <w:color w:val="000000"/>
          <w:sz w:val="22"/>
          <w:szCs w:val="22"/>
        </w:rPr>
        <w:t xml:space="preserve"> </w:t>
      </w:r>
      <w:r w:rsidR="006579A0">
        <w:rPr>
          <w:rFonts w:cs="Arial"/>
          <w:color w:val="000000"/>
          <w:sz w:val="22"/>
          <w:szCs w:val="22"/>
        </w:rPr>
        <w:t xml:space="preserve"> </w:t>
      </w:r>
      <w:r w:rsidR="009C5F50" w:rsidRPr="00E45002">
        <w:rPr>
          <w:rFonts w:cs="Arial"/>
          <w:color w:val="000000"/>
          <w:sz w:val="22"/>
          <w:szCs w:val="22"/>
        </w:rPr>
        <w:t>Item control exemptions would be removed from 10 CFR 74.31(c</w:t>
      </w:r>
      <w:proofErr w:type="gramStart"/>
      <w:r w:rsidR="009C5F50" w:rsidRPr="00E45002">
        <w:rPr>
          <w:rFonts w:cs="Arial"/>
          <w:color w:val="000000"/>
          <w:sz w:val="22"/>
          <w:szCs w:val="22"/>
        </w:rPr>
        <w:t>)(</w:t>
      </w:r>
      <w:proofErr w:type="gramEnd"/>
      <w:r w:rsidR="009C5F50" w:rsidRPr="00E45002">
        <w:rPr>
          <w:rFonts w:cs="Arial"/>
          <w:color w:val="000000"/>
          <w:sz w:val="22"/>
          <w:szCs w:val="22"/>
        </w:rPr>
        <w:t>6), 10</w:t>
      </w:r>
      <w:r w:rsidR="009C5F50">
        <w:rPr>
          <w:rFonts w:cs="Arial"/>
          <w:color w:val="000000"/>
          <w:sz w:val="22"/>
          <w:szCs w:val="22"/>
        </w:rPr>
        <w:t> </w:t>
      </w:r>
      <w:r w:rsidR="009C5F50" w:rsidRPr="00E45002">
        <w:rPr>
          <w:rFonts w:cs="Arial"/>
          <w:color w:val="000000"/>
          <w:sz w:val="22"/>
          <w:szCs w:val="22"/>
        </w:rPr>
        <w:t>CFR 74.33(c)(6), and 10 CFR 74.43(b)(6).</w:t>
      </w:r>
    </w:p>
    <w:p w:rsidR="006579A0" w:rsidRPr="00E45002" w:rsidRDefault="006579A0" w:rsidP="006579A0">
      <w:pPr>
        <w:ind w:left="360"/>
        <w:rPr>
          <w:rFonts w:cs="Arial"/>
          <w:color w:val="000000"/>
          <w:sz w:val="22"/>
          <w:szCs w:val="22"/>
        </w:rPr>
      </w:pPr>
    </w:p>
    <w:p w:rsidR="00AC29A3" w:rsidRDefault="009C5F50" w:rsidP="00A61136">
      <w:pPr>
        <w:numPr>
          <w:ilvl w:val="0"/>
          <w:numId w:val="34"/>
        </w:numPr>
        <w:ind w:left="360"/>
        <w:rPr>
          <w:rFonts w:cs="Arial"/>
          <w:color w:val="000000"/>
          <w:sz w:val="22"/>
          <w:szCs w:val="22"/>
        </w:rPr>
      </w:pPr>
      <w:r>
        <w:rPr>
          <w:rFonts w:cs="Arial"/>
          <w:color w:val="000000"/>
          <w:sz w:val="22"/>
          <w:szCs w:val="22"/>
        </w:rPr>
        <w:t>Move the exemptions for sealed sources</w:t>
      </w:r>
      <w:r w:rsidR="00E45002" w:rsidRPr="00E45002">
        <w:rPr>
          <w:rFonts w:cs="Arial"/>
          <w:color w:val="000000"/>
          <w:sz w:val="22"/>
          <w:szCs w:val="22"/>
        </w:rPr>
        <w:t xml:space="preserve"> </w:t>
      </w:r>
      <w:r>
        <w:rPr>
          <w:rFonts w:cs="Arial"/>
          <w:color w:val="000000"/>
          <w:sz w:val="22"/>
          <w:szCs w:val="22"/>
        </w:rPr>
        <w:t>in</w:t>
      </w:r>
      <w:r w:rsidR="00E45002" w:rsidRPr="00E45002">
        <w:rPr>
          <w:rFonts w:cs="Arial"/>
          <w:color w:val="000000"/>
          <w:sz w:val="22"/>
          <w:szCs w:val="22"/>
        </w:rPr>
        <w:t xml:space="preserve"> 10 CFR 74.31(a</w:t>
      </w:r>
      <w:proofErr w:type="gramStart"/>
      <w:r w:rsidR="00E45002" w:rsidRPr="00E45002">
        <w:rPr>
          <w:rFonts w:cs="Arial"/>
          <w:color w:val="000000"/>
          <w:sz w:val="22"/>
          <w:szCs w:val="22"/>
        </w:rPr>
        <w:t>)(</w:t>
      </w:r>
      <w:proofErr w:type="gramEnd"/>
      <w:r w:rsidR="00E45002" w:rsidRPr="00E45002">
        <w:rPr>
          <w:rFonts w:cs="Arial"/>
          <w:color w:val="000000"/>
          <w:sz w:val="22"/>
          <w:szCs w:val="22"/>
        </w:rPr>
        <w:t>1) and 10 CFR 74.41(a)(1</w:t>
      </w:r>
      <w:r w:rsidR="00994D08">
        <w:rPr>
          <w:rFonts w:cs="Arial"/>
          <w:color w:val="000000"/>
          <w:sz w:val="22"/>
          <w:szCs w:val="22"/>
        </w:rPr>
        <w:t>)</w:t>
      </w:r>
      <w:r>
        <w:rPr>
          <w:rFonts w:cs="Arial"/>
          <w:color w:val="000000"/>
          <w:sz w:val="22"/>
          <w:szCs w:val="22"/>
        </w:rPr>
        <w:t xml:space="preserve">.  These exemptions exclude sealed sources from being used in calculating whether or not a facility possesses SNM of low strategic significance or SNM of moderate strategic significance, respectively.  </w:t>
      </w:r>
      <w:r w:rsidR="005A2194">
        <w:rPr>
          <w:rFonts w:cs="Arial"/>
          <w:color w:val="000000"/>
          <w:sz w:val="22"/>
          <w:szCs w:val="22"/>
        </w:rPr>
        <w:t>T</w:t>
      </w:r>
      <w:r>
        <w:rPr>
          <w:rFonts w:cs="Arial"/>
          <w:color w:val="000000"/>
          <w:sz w:val="22"/>
          <w:szCs w:val="22"/>
        </w:rPr>
        <w:t xml:space="preserve">o clarify this </w:t>
      </w:r>
      <w:r w:rsidR="005A2194">
        <w:rPr>
          <w:rFonts w:cs="Arial"/>
          <w:color w:val="000000"/>
          <w:sz w:val="22"/>
          <w:szCs w:val="22"/>
        </w:rPr>
        <w:t>point</w:t>
      </w:r>
      <w:r>
        <w:rPr>
          <w:rFonts w:cs="Arial"/>
          <w:color w:val="000000"/>
          <w:sz w:val="22"/>
          <w:szCs w:val="22"/>
        </w:rPr>
        <w:t>, these exemptions would be moved to Appendix A</w:t>
      </w:r>
      <w:r w:rsidR="00E45002" w:rsidRPr="00E45002">
        <w:rPr>
          <w:rFonts w:cs="Arial"/>
          <w:color w:val="000000"/>
          <w:sz w:val="22"/>
          <w:szCs w:val="22"/>
        </w:rPr>
        <w:t xml:space="preserve">.  </w:t>
      </w:r>
    </w:p>
    <w:p w:rsidR="00C722BE" w:rsidRDefault="00C722BE" w:rsidP="00C722BE">
      <w:pPr>
        <w:ind w:left="360"/>
        <w:rPr>
          <w:rFonts w:cs="Arial"/>
          <w:color w:val="000000"/>
          <w:sz w:val="22"/>
          <w:szCs w:val="22"/>
        </w:rPr>
      </w:pPr>
    </w:p>
    <w:p w:rsidR="00E45002" w:rsidRPr="00E45002" w:rsidRDefault="00AC29A3" w:rsidP="00A61136">
      <w:pPr>
        <w:numPr>
          <w:ilvl w:val="0"/>
          <w:numId w:val="34"/>
        </w:numPr>
        <w:ind w:left="360"/>
        <w:rPr>
          <w:rFonts w:cs="Arial"/>
          <w:color w:val="000000"/>
          <w:sz w:val="22"/>
          <w:szCs w:val="22"/>
        </w:rPr>
      </w:pPr>
      <w:r>
        <w:rPr>
          <w:rFonts w:cs="Arial"/>
          <w:color w:val="000000"/>
          <w:sz w:val="22"/>
          <w:szCs w:val="22"/>
        </w:rPr>
        <w:t>Remove the existing exemption in 10 CFR 74.51(a) for an irradiated fuel reprocessing plant.</w:t>
      </w:r>
      <w:r w:rsidR="00CD4BFA">
        <w:rPr>
          <w:rFonts w:cs="Arial"/>
          <w:color w:val="000000"/>
          <w:sz w:val="22"/>
          <w:szCs w:val="22"/>
        </w:rPr>
        <w:br/>
      </w:r>
    </w:p>
    <w:p w:rsidR="00E45002" w:rsidRPr="00E45002" w:rsidRDefault="00E45002" w:rsidP="00A61136">
      <w:pPr>
        <w:numPr>
          <w:ilvl w:val="0"/>
          <w:numId w:val="34"/>
        </w:numPr>
        <w:ind w:left="360"/>
        <w:rPr>
          <w:rFonts w:cs="Arial"/>
          <w:color w:val="000000"/>
          <w:sz w:val="22"/>
          <w:szCs w:val="22"/>
        </w:rPr>
      </w:pPr>
      <w:r w:rsidRPr="00E45002">
        <w:rPr>
          <w:rFonts w:cs="Arial"/>
          <w:color w:val="000000"/>
          <w:sz w:val="22"/>
          <w:szCs w:val="22"/>
        </w:rPr>
        <w:t xml:space="preserve">Include definitions for some new terms and to clarify the definitions of some terms. </w:t>
      </w:r>
      <w:r w:rsidR="00994D08">
        <w:rPr>
          <w:rFonts w:cs="Arial"/>
          <w:color w:val="000000"/>
          <w:sz w:val="22"/>
          <w:szCs w:val="22"/>
        </w:rPr>
        <w:t xml:space="preserve"> </w:t>
      </w:r>
      <w:r w:rsidRPr="00E45002">
        <w:rPr>
          <w:rFonts w:cs="Arial"/>
          <w:color w:val="000000"/>
          <w:sz w:val="22"/>
          <w:szCs w:val="22"/>
        </w:rPr>
        <w:t xml:space="preserve">In this regard, the staff proposes to add defined terms for </w:t>
      </w:r>
      <w:r w:rsidRPr="00E45002">
        <w:rPr>
          <w:rFonts w:cs="Arial"/>
          <w:i/>
          <w:color w:val="000000"/>
          <w:sz w:val="22"/>
          <w:szCs w:val="22"/>
        </w:rPr>
        <w:t xml:space="preserve">accounting, custodian, item control area, item control system, material balance area, </w:t>
      </w:r>
      <w:r w:rsidR="009952DA" w:rsidRPr="00E45002">
        <w:rPr>
          <w:rFonts w:cs="Arial"/>
          <w:color w:val="000000"/>
          <w:sz w:val="22"/>
          <w:szCs w:val="22"/>
        </w:rPr>
        <w:t xml:space="preserve">and </w:t>
      </w:r>
      <w:r w:rsidRPr="00E45002">
        <w:rPr>
          <w:rFonts w:cs="Arial"/>
          <w:i/>
          <w:color w:val="000000"/>
          <w:sz w:val="22"/>
          <w:szCs w:val="22"/>
        </w:rPr>
        <w:t>material control and accounting</w:t>
      </w:r>
      <w:r w:rsidR="007F1566" w:rsidRPr="00E45002">
        <w:rPr>
          <w:rFonts w:cs="Arial"/>
          <w:i/>
          <w:color w:val="000000"/>
          <w:sz w:val="22"/>
          <w:szCs w:val="22"/>
        </w:rPr>
        <w:t>.</w:t>
      </w:r>
      <w:r w:rsidR="007F1566" w:rsidRPr="00E45002">
        <w:rPr>
          <w:rFonts w:cs="Arial"/>
          <w:color w:val="000000"/>
          <w:sz w:val="22"/>
          <w:szCs w:val="22"/>
        </w:rPr>
        <w:t xml:space="preserve">  </w:t>
      </w:r>
      <w:r w:rsidR="00CD4BFA">
        <w:rPr>
          <w:rFonts w:cs="Arial"/>
          <w:color w:val="000000"/>
          <w:sz w:val="22"/>
          <w:szCs w:val="22"/>
        </w:rPr>
        <w:br/>
      </w:r>
    </w:p>
    <w:p w:rsidR="00E45002" w:rsidRPr="00E45002" w:rsidRDefault="00E45002" w:rsidP="00A61136">
      <w:pPr>
        <w:numPr>
          <w:ilvl w:val="0"/>
          <w:numId w:val="34"/>
        </w:numPr>
        <w:ind w:left="360"/>
        <w:rPr>
          <w:rFonts w:cs="Arial"/>
          <w:color w:val="000000"/>
          <w:sz w:val="22"/>
          <w:szCs w:val="22"/>
        </w:rPr>
      </w:pPr>
      <w:r w:rsidRPr="00E45002">
        <w:rPr>
          <w:rFonts w:cs="Arial"/>
          <w:color w:val="000000"/>
          <w:sz w:val="22"/>
          <w:szCs w:val="22"/>
        </w:rPr>
        <w:t>Strengthen requirements related to tamper-indicating device programs.</w:t>
      </w:r>
      <w:r w:rsidR="00994D08">
        <w:rPr>
          <w:rFonts w:cs="Arial"/>
          <w:color w:val="000000"/>
          <w:sz w:val="22"/>
          <w:szCs w:val="22"/>
        </w:rPr>
        <w:t xml:space="preserve"> </w:t>
      </w:r>
      <w:r w:rsidRPr="00E45002">
        <w:rPr>
          <w:rFonts w:cs="Arial"/>
          <w:color w:val="000000"/>
          <w:sz w:val="22"/>
          <w:szCs w:val="22"/>
        </w:rPr>
        <w:t xml:space="preserve"> Having a </w:t>
      </w:r>
      <w:r w:rsidR="006579A0">
        <w:rPr>
          <w:rFonts w:cs="Arial"/>
          <w:color w:val="000000"/>
          <w:sz w:val="22"/>
          <w:szCs w:val="22"/>
        </w:rPr>
        <w:br/>
      </w:r>
      <w:r w:rsidRPr="00E45002">
        <w:rPr>
          <w:rFonts w:cs="Arial"/>
          <w:color w:val="000000"/>
          <w:sz w:val="22"/>
          <w:szCs w:val="22"/>
        </w:rPr>
        <w:t>tamper-safing program is already requ</w:t>
      </w:r>
      <w:r w:rsidR="009E67EB">
        <w:rPr>
          <w:rFonts w:cs="Arial"/>
          <w:color w:val="000000"/>
          <w:sz w:val="22"/>
          <w:szCs w:val="22"/>
        </w:rPr>
        <w:t>ired in S</w:t>
      </w:r>
      <w:r w:rsidRPr="00E45002">
        <w:rPr>
          <w:rFonts w:cs="Arial"/>
          <w:color w:val="000000"/>
          <w:sz w:val="22"/>
          <w:szCs w:val="22"/>
        </w:rPr>
        <w:t>ub</w:t>
      </w:r>
      <w:r w:rsidR="003B30DC">
        <w:rPr>
          <w:rFonts w:cs="Arial"/>
          <w:color w:val="000000"/>
          <w:sz w:val="22"/>
          <w:szCs w:val="22"/>
        </w:rPr>
        <w:t>part</w:t>
      </w:r>
      <w:r w:rsidRPr="00E45002">
        <w:rPr>
          <w:rFonts w:cs="Arial"/>
          <w:color w:val="000000"/>
          <w:sz w:val="22"/>
          <w:szCs w:val="22"/>
        </w:rPr>
        <w:t xml:space="preserve">s D and E at 10 CFR 74.43(c)(3) and 74.59(f)(2), respectively, and similar tamper-safing </w:t>
      </w:r>
      <w:r w:rsidR="009E67EB">
        <w:rPr>
          <w:rFonts w:cs="Arial"/>
          <w:color w:val="000000"/>
          <w:sz w:val="22"/>
          <w:szCs w:val="22"/>
        </w:rPr>
        <w:t xml:space="preserve">requirements would be added to </w:t>
      </w:r>
      <w:r w:rsidR="006579A0">
        <w:rPr>
          <w:rFonts w:cs="Arial"/>
          <w:color w:val="000000"/>
          <w:sz w:val="22"/>
          <w:szCs w:val="22"/>
        </w:rPr>
        <w:br/>
      </w:r>
      <w:r w:rsidR="009E67EB">
        <w:rPr>
          <w:rFonts w:cs="Arial"/>
          <w:color w:val="000000"/>
          <w:sz w:val="22"/>
          <w:szCs w:val="22"/>
        </w:rPr>
        <w:t>S</w:t>
      </w:r>
      <w:r w:rsidRPr="00E45002">
        <w:rPr>
          <w:rFonts w:cs="Arial"/>
          <w:color w:val="000000"/>
          <w:sz w:val="22"/>
          <w:szCs w:val="22"/>
        </w:rPr>
        <w:t>ub</w:t>
      </w:r>
      <w:r w:rsidR="003B30DC">
        <w:rPr>
          <w:rFonts w:cs="Arial"/>
          <w:color w:val="000000"/>
          <w:sz w:val="22"/>
          <w:szCs w:val="22"/>
        </w:rPr>
        <w:t>part</w:t>
      </w:r>
      <w:r w:rsidRPr="00E45002">
        <w:rPr>
          <w:rFonts w:cs="Arial"/>
          <w:color w:val="000000"/>
          <w:sz w:val="22"/>
          <w:szCs w:val="22"/>
        </w:rPr>
        <w:t xml:space="preserve"> C in proposed 10 CFR 74.31(c)(9)</w:t>
      </w:r>
      <w:r w:rsidR="00583363">
        <w:rPr>
          <w:rFonts w:cs="Arial"/>
          <w:color w:val="000000"/>
          <w:sz w:val="22"/>
          <w:szCs w:val="22"/>
        </w:rPr>
        <w:t xml:space="preserve"> </w:t>
      </w:r>
      <w:r w:rsidRPr="00E45002">
        <w:rPr>
          <w:rFonts w:cs="Arial"/>
          <w:color w:val="000000"/>
          <w:sz w:val="22"/>
          <w:szCs w:val="22"/>
        </w:rPr>
        <w:t xml:space="preserve">for fuel fabrication facilities using SNM of low strategic significance and 10 CFR 74.33(c)(9) for uranium enrichment facilities.   </w:t>
      </w:r>
    </w:p>
    <w:p w:rsidR="00E45002" w:rsidRPr="00E45002" w:rsidRDefault="00E45002" w:rsidP="00A61136">
      <w:pPr>
        <w:rPr>
          <w:rFonts w:cs="Arial"/>
          <w:color w:val="000000"/>
          <w:sz w:val="22"/>
          <w:szCs w:val="22"/>
        </w:rPr>
      </w:pPr>
    </w:p>
    <w:p w:rsidR="00E45002" w:rsidRPr="00E45002" w:rsidRDefault="00E45002" w:rsidP="00E45002">
      <w:pPr>
        <w:rPr>
          <w:rFonts w:cs="Arial"/>
          <w:color w:val="000000"/>
          <w:sz w:val="22"/>
          <w:szCs w:val="22"/>
        </w:rPr>
      </w:pPr>
      <w:r w:rsidRPr="00E45002">
        <w:rPr>
          <w:rFonts w:cs="Arial"/>
          <w:color w:val="000000"/>
          <w:sz w:val="22"/>
          <w:szCs w:val="22"/>
        </w:rPr>
        <w:t xml:space="preserve">Other miscellaneous changes would be made, including plain language revisions.  </w:t>
      </w:r>
      <w:r w:rsidR="00B0072A">
        <w:rPr>
          <w:rFonts w:cs="Arial"/>
          <w:color w:val="000000"/>
          <w:sz w:val="22"/>
          <w:szCs w:val="22"/>
        </w:rPr>
        <w:t xml:space="preserve">These </w:t>
      </w:r>
      <w:r w:rsidRPr="00E45002">
        <w:rPr>
          <w:rFonts w:cs="Arial"/>
          <w:color w:val="000000"/>
          <w:sz w:val="22"/>
          <w:szCs w:val="22"/>
        </w:rPr>
        <w:t xml:space="preserve">changes and revisions would replace the existing references to the </w:t>
      </w:r>
      <w:r w:rsidR="00CD4BFA">
        <w:rPr>
          <w:rFonts w:cs="Arial"/>
          <w:color w:val="000000"/>
          <w:sz w:val="22"/>
          <w:szCs w:val="22"/>
        </w:rPr>
        <w:t xml:space="preserve">FNMC </w:t>
      </w:r>
      <w:r w:rsidRPr="00E45002">
        <w:rPr>
          <w:rFonts w:cs="Arial"/>
          <w:color w:val="000000"/>
          <w:sz w:val="22"/>
          <w:szCs w:val="22"/>
        </w:rPr>
        <w:t>Plan with references to an MC&amp;A Plan.  The staff’s view is that FNMC is an outdated term</w:t>
      </w:r>
      <w:r w:rsidR="008B76A8">
        <w:rPr>
          <w:rFonts w:cs="Arial"/>
          <w:color w:val="000000"/>
          <w:sz w:val="22"/>
          <w:szCs w:val="22"/>
        </w:rPr>
        <w:t xml:space="preserve"> and</w:t>
      </w:r>
      <w:r w:rsidRPr="00E45002">
        <w:rPr>
          <w:rFonts w:cs="Arial"/>
          <w:color w:val="000000"/>
          <w:sz w:val="22"/>
          <w:szCs w:val="22"/>
        </w:rPr>
        <w:t xml:space="preserve"> does not explicitly refer to “accounting.”  Thus, it does not fully describe the accounting aspects of the MC&amp;A program.  </w:t>
      </w:r>
    </w:p>
    <w:p w:rsidR="00F23DF3" w:rsidRDefault="00F23DF3" w:rsidP="001D3650">
      <w:pPr>
        <w:rPr>
          <w:rFonts w:cs="Arial"/>
          <w:color w:val="000000"/>
          <w:sz w:val="22"/>
          <w:szCs w:val="22"/>
        </w:rPr>
      </w:pPr>
    </w:p>
    <w:p w:rsidR="001D3650" w:rsidRDefault="001D3650" w:rsidP="001D3650">
      <w:pPr>
        <w:rPr>
          <w:rFonts w:cs="Arial"/>
          <w:color w:val="000000"/>
          <w:sz w:val="22"/>
          <w:szCs w:val="22"/>
        </w:rPr>
      </w:pPr>
      <w:r w:rsidRPr="001D3650">
        <w:rPr>
          <w:rFonts w:cs="Arial"/>
          <w:color w:val="000000"/>
          <w:sz w:val="22"/>
          <w:szCs w:val="22"/>
        </w:rPr>
        <w:t xml:space="preserve">The NUREG guidance documents listed below would be </w:t>
      </w:r>
      <w:r w:rsidR="00E75DAC">
        <w:rPr>
          <w:rFonts w:cs="Arial"/>
          <w:color w:val="000000"/>
          <w:sz w:val="22"/>
          <w:szCs w:val="22"/>
        </w:rPr>
        <w:t>updated.  A previously un-issued guidance document for a Category II facility would be updated and included with the guidance documents listed below</w:t>
      </w:r>
      <w:r w:rsidRPr="001D3650">
        <w:rPr>
          <w:rFonts w:cs="Arial"/>
          <w:color w:val="000000"/>
          <w:sz w:val="22"/>
          <w:szCs w:val="22"/>
        </w:rPr>
        <w:t>.</w:t>
      </w:r>
    </w:p>
    <w:p w:rsidR="005E21FF" w:rsidRPr="001D3650" w:rsidRDefault="005E21FF" w:rsidP="001D3650">
      <w:pPr>
        <w:rPr>
          <w:rFonts w:cs="Arial"/>
          <w:color w:val="000000"/>
          <w:sz w:val="22"/>
          <w:szCs w:val="22"/>
        </w:rPr>
      </w:pPr>
    </w:p>
    <w:p w:rsidR="001D3650" w:rsidRPr="001D3650" w:rsidRDefault="001D3650" w:rsidP="001D3650">
      <w:pPr>
        <w:numPr>
          <w:ilvl w:val="0"/>
          <w:numId w:val="33"/>
        </w:numPr>
        <w:rPr>
          <w:rFonts w:cs="Arial"/>
          <w:color w:val="000000"/>
          <w:sz w:val="22"/>
          <w:szCs w:val="22"/>
        </w:rPr>
      </w:pPr>
      <w:r w:rsidRPr="001D3650">
        <w:rPr>
          <w:rFonts w:cs="Arial"/>
          <w:color w:val="000000"/>
          <w:sz w:val="22"/>
          <w:szCs w:val="22"/>
        </w:rPr>
        <w:lastRenderedPageBreak/>
        <w:t>NUREG-1280, Rev. 1 (1995), “Standard Format and Content Acceptance Criteria for the Material Control and Accounting (MC&amp;A) Reform Amendment”</w:t>
      </w:r>
      <w:r w:rsidR="00CD4BFA">
        <w:rPr>
          <w:rFonts w:cs="Arial"/>
          <w:color w:val="000000"/>
          <w:sz w:val="22"/>
          <w:szCs w:val="22"/>
        </w:rPr>
        <w:br/>
      </w:r>
    </w:p>
    <w:p w:rsidR="006579A0" w:rsidRDefault="001D3650" w:rsidP="001D3650">
      <w:pPr>
        <w:numPr>
          <w:ilvl w:val="0"/>
          <w:numId w:val="33"/>
        </w:numPr>
        <w:rPr>
          <w:rFonts w:cs="Arial"/>
          <w:color w:val="000000"/>
          <w:sz w:val="22"/>
          <w:szCs w:val="22"/>
        </w:rPr>
      </w:pPr>
      <w:r w:rsidRPr="006579A0">
        <w:rPr>
          <w:rFonts w:cs="Arial"/>
          <w:color w:val="000000"/>
          <w:sz w:val="22"/>
          <w:szCs w:val="22"/>
        </w:rPr>
        <w:t>NUREG-1065, Rev. 2 (1995), “Acceptable Standard Format and Content for the Fundamental Nuclear Material Control (FNMC) Plan Required for Low-Enriched Uranium Facilities”</w:t>
      </w:r>
    </w:p>
    <w:p w:rsidR="006579A0" w:rsidRDefault="006579A0" w:rsidP="006579A0">
      <w:pPr>
        <w:ind w:left="360"/>
        <w:rPr>
          <w:rFonts w:cs="Arial"/>
          <w:color w:val="000000"/>
          <w:sz w:val="22"/>
          <w:szCs w:val="22"/>
        </w:rPr>
      </w:pPr>
    </w:p>
    <w:p w:rsidR="001D3650" w:rsidRPr="006579A0" w:rsidRDefault="001D3650" w:rsidP="001D3650">
      <w:pPr>
        <w:numPr>
          <w:ilvl w:val="0"/>
          <w:numId w:val="33"/>
        </w:numPr>
        <w:rPr>
          <w:rFonts w:cs="Arial"/>
          <w:color w:val="000000"/>
          <w:sz w:val="22"/>
          <w:szCs w:val="22"/>
        </w:rPr>
      </w:pPr>
      <w:r w:rsidRPr="006579A0">
        <w:rPr>
          <w:rFonts w:cs="Arial"/>
          <w:color w:val="000000"/>
          <w:sz w:val="22"/>
          <w:szCs w:val="22"/>
        </w:rPr>
        <w:t xml:space="preserve">NUREG/CR-5734 (1991), </w:t>
      </w:r>
      <w:r w:rsidR="00920918">
        <w:rPr>
          <w:rFonts w:cs="Arial"/>
          <w:color w:val="000000"/>
          <w:sz w:val="22"/>
          <w:szCs w:val="22"/>
        </w:rPr>
        <w:t>“</w:t>
      </w:r>
      <w:r w:rsidRPr="006579A0">
        <w:rPr>
          <w:rFonts w:cs="Arial"/>
          <w:color w:val="000000"/>
          <w:sz w:val="22"/>
          <w:szCs w:val="22"/>
        </w:rPr>
        <w:t xml:space="preserve">Recommendations to the NRC on Acceptable Standard Format and Content for the Fundamental Nuclear Material Control (FNMC) Plan Required for </w:t>
      </w:r>
      <w:r w:rsidR="006579A0">
        <w:rPr>
          <w:rFonts w:cs="Arial"/>
          <w:color w:val="000000"/>
          <w:sz w:val="22"/>
          <w:szCs w:val="22"/>
        </w:rPr>
        <w:br/>
      </w:r>
      <w:r w:rsidRPr="006579A0">
        <w:rPr>
          <w:rFonts w:cs="Arial"/>
          <w:color w:val="000000"/>
          <w:sz w:val="22"/>
          <w:szCs w:val="22"/>
        </w:rPr>
        <w:t>Low-Enriched Uranium Enrichment Facilities”</w:t>
      </w:r>
      <w:r w:rsidR="008D23E0" w:rsidRPr="006579A0">
        <w:rPr>
          <w:rFonts w:cs="Arial"/>
          <w:color w:val="000000"/>
          <w:sz w:val="22"/>
          <w:szCs w:val="22"/>
        </w:rPr>
        <w:br/>
      </w:r>
    </w:p>
    <w:p w:rsidR="001D3650" w:rsidRPr="00D24EE2" w:rsidRDefault="001D3650" w:rsidP="00D24EE2">
      <w:pPr>
        <w:numPr>
          <w:ilvl w:val="0"/>
          <w:numId w:val="33"/>
        </w:numPr>
        <w:rPr>
          <w:rFonts w:cs="Arial"/>
          <w:color w:val="000000"/>
          <w:sz w:val="22"/>
          <w:szCs w:val="22"/>
        </w:rPr>
      </w:pPr>
      <w:r w:rsidRPr="001D3650">
        <w:rPr>
          <w:rFonts w:cs="Arial"/>
          <w:color w:val="000000"/>
          <w:sz w:val="22"/>
          <w:szCs w:val="22"/>
        </w:rPr>
        <w:t>NUREG/BR-0096</w:t>
      </w:r>
      <w:r w:rsidR="00920918">
        <w:rPr>
          <w:rFonts w:cs="Arial"/>
          <w:color w:val="000000"/>
          <w:sz w:val="22"/>
          <w:szCs w:val="22"/>
        </w:rPr>
        <w:t xml:space="preserve"> </w:t>
      </w:r>
      <w:r w:rsidRPr="001D3650">
        <w:rPr>
          <w:rFonts w:cs="Arial"/>
          <w:color w:val="000000"/>
          <w:sz w:val="22"/>
          <w:szCs w:val="22"/>
        </w:rPr>
        <w:t>(1992), “Instructions and Guidance for Completing Ph</w:t>
      </w:r>
      <w:r w:rsidR="00A44E27">
        <w:rPr>
          <w:rFonts w:cs="Arial"/>
          <w:color w:val="000000"/>
          <w:sz w:val="22"/>
          <w:szCs w:val="22"/>
        </w:rPr>
        <w:t>ysical Inventory Summary Report</w:t>
      </w:r>
      <w:r w:rsidRPr="001D3650">
        <w:rPr>
          <w:rFonts w:cs="Arial"/>
          <w:color w:val="000000"/>
          <w:sz w:val="22"/>
          <w:szCs w:val="22"/>
        </w:rPr>
        <w:t>”</w:t>
      </w:r>
    </w:p>
    <w:p w:rsidR="001D3650" w:rsidRPr="001D3650" w:rsidRDefault="001D3650" w:rsidP="001D3650">
      <w:pPr>
        <w:rPr>
          <w:rFonts w:cs="Arial"/>
          <w:color w:val="000000"/>
          <w:sz w:val="22"/>
          <w:szCs w:val="22"/>
        </w:rPr>
      </w:pPr>
    </w:p>
    <w:p w:rsidR="008F5A27" w:rsidRPr="009B5E75" w:rsidRDefault="008F5A27" w:rsidP="00D73041">
      <w:pPr>
        <w:rPr>
          <w:rFonts w:cs="Arial"/>
          <w:sz w:val="22"/>
          <w:szCs w:val="22"/>
        </w:rPr>
      </w:pPr>
      <w:r w:rsidRPr="009B5E75">
        <w:rPr>
          <w:rFonts w:cs="Arial"/>
          <w:sz w:val="22"/>
          <w:szCs w:val="22"/>
        </w:rPr>
        <w:t>The NRC has estimated the benefits and costs of this option, as described in Sections</w:t>
      </w:r>
      <w:r w:rsidR="003662A9">
        <w:rPr>
          <w:rFonts w:cs="Arial"/>
          <w:sz w:val="22"/>
          <w:szCs w:val="22"/>
        </w:rPr>
        <w:t> </w:t>
      </w:r>
      <w:r w:rsidRPr="009B5E75">
        <w:rPr>
          <w:rFonts w:cs="Arial"/>
          <w:sz w:val="22"/>
          <w:szCs w:val="22"/>
        </w:rPr>
        <w:t>3 and 4 of this regulatory analysis, and has pursued Option 2 for the reasons discussed in Section</w:t>
      </w:r>
      <w:r w:rsidR="003662A9">
        <w:rPr>
          <w:rFonts w:cs="Arial"/>
          <w:sz w:val="22"/>
          <w:szCs w:val="22"/>
        </w:rPr>
        <w:t> </w:t>
      </w:r>
      <w:r w:rsidRPr="009B5E75">
        <w:rPr>
          <w:rFonts w:cs="Arial"/>
          <w:sz w:val="22"/>
          <w:szCs w:val="22"/>
        </w:rPr>
        <w:t>5.</w:t>
      </w:r>
    </w:p>
    <w:p w:rsidR="0048470A" w:rsidRPr="009B5E75" w:rsidRDefault="0048470A" w:rsidP="00C1459C">
      <w:pPr>
        <w:numPr>
          <w:ilvl w:val="12"/>
          <w:numId w:val="0"/>
        </w:numPr>
        <w:rPr>
          <w:rFonts w:cs="Arial"/>
          <w:sz w:val="22"/>
          <w:szCs w:val="22"/>
        </w:rPr>
      </w:pPr>
    </w:p>
    <w:p w:rsidR="00C1459C" w:rsidRPr="009B5E75" w:rsidRDefault="00C1459C" w:rsidP="00C1459C">
      <w:pPr>
        <w:numPr>
          <w:ilvl w:val="12"/>
          <w:numId w:val="0"/>
        </w:numPr>
        <w:rPr>
          <w:rFonts w:cs="Arial"/>
          <w:b/>
          <w:bCs/>
          <w:sz w:val="22"/>
          <w:szCs w:val="22"/>
        </w:rPr>
      </w:pPr>
      <w:r w:rsidRPr="009B5E75">
        <w:rPr>
          <w:rFonts w:cs="Arial"/>
          <w:b/>
          <w:bCs/>
          <w:sz w:val="22"/>
          <w:szCs w:val="22"/>
        </w:rPr>
        <w:t>3.</w:t>
      </w:r>
      <w:r w:rsidRPr="009B5E75">
        <w:rPr>
          <w:rFonts w:cs="Arial"/>
          <w:b/>
          <w:bCs/>
          <w:sz w:val="22"/>
          <w:szCs w:val="22"/>
        </w:rPr>
        <w:tab/>
      </w:r>
      <w:r w:rsidRPr="0048470A">
        <w:rPr>
          <w:rFonts w:cs="Arial"/>
          <w:b/>
          <w:bCs/>
          <w:sz w:val="22"/>
          <w:szCs w:val="22"/>
          <w:u w:val="single"/>
        </w:rPr>
        <w:t>Estimation and Evaluation of Values and Impacts</w:t>
      </w:r>
      <w:r w:rsidRPr="009B5E75">
        <w:rPr>
          <w:rFonts w:cs="Arial"/>
          <w:b/>
          <w:bCs/>
          <w:sz w:val="22"/>
          <w:szCs w:val="22"/>
        </w:rPr>
        <w:t xml:space="preserve"> </w:t>
      </w:r>
      <w:r w:rsidR="001C7681" w:rsidRPr="009B5E75">
        <w:rPr>
          <w:rFonts w:cs="Arial"/>
          <w:b/>
          <w:bCs/>
          <w:sz w:val="22"/>
          <w:szCs w:val="22"/>
        </w:rPr>
        <w:fldChar w:fldCharType="begin"/>
      </w:r>
      <w:proofErr w:type="spellStart"/>
      <w:proofErr w:type="gramStart"/>
      <w:r w:rsidRPr="009B5E75">
        <w:rPr>
          <w:rFonts w:cs="Arial"/>
          <w:b/>
          <w:bCs/>
          <w:sz w:val="22"/>
          <w:szCs w:val="22"/>
        </w:rPr>
        <w:instrText>tc</w:instrText>
      </w:r>
      <w:proofErr w:type="spellEnd"/>
      <w:proofErr w:type="gramEnd"/>
      <w:r w:rsidRPr="009B5E75">
        <w:rPr>
          <w:rFonts w:cs="Arial"/>
          <w:b/>
          <w:bCs/>
          <w:sz w:val="22"/>
          <w:szCs w:val="22"/>
        </w:rPr>
        <w:instrText xml:space="preserve"> "</w:instrText>
      </w:r>
      <w:bookmarkStart w:id="14" w:name="_Toc293403056"/>
      <w:bookmarkStart w:id="15" w:name="_Toc336939797"/>
      <w:r w:rsidRPr="009B5E75">
        <w:rPr>
          <w:rFonts w:cs="Arial"/>
          <w:b/>
          <w:bCs/>
          <w:sz w:val="22"/>
          <w:szCs w:val="22"/>
        </w:rPr>
        <w:instrText>3.</w:instrText>
      </w:r>
      <w:r w:rsidRPr="009B5E75">
        <w:rPr>
          <w:rFonts w:cs="Arial"/>
          <w:b/>
          <w:bCs/>
          <w:sz w:val="22"/>
          <w:szCs w:val="22"/>
        </w:rPr>
        <w:tab/>
        <w:instrText>Estimation and Evaluation of Values and Impacts</w:instrText>
      </w:r>
      <w:bookmarkEnd w:id="14"/>
      <w:bookmarkEnd w:id="15"/>
      <w:r w:rsidRPr="009B5E75">
        <w:rPr>
          <w:rFonts w:cs="Arial"/>
          <w:b/>
          <w:bCs/>
          <w:sz w:val="22"/>
          <w:szCs w:val="22"/>
        </w:rPr>
        <w:instrText xml:space="preserve"> </w:instrText>
      </w:r>
      <w:proofErr w:type="gramStart"/>
      <w:r w:rsidRPr="009B5E75">
        <w:rPr>
          <w:rFonts w:cs="Arial"/>
          <w:b/>
          <w:bCs/>
          <w:sz w:val="22"/>
          <w:szCs w:val="22"/>
        </w:rPr>
        <w:instrText>" \</w:instrText>
      </w:r>
      <w:proofErr w:type="gramEnd"/>
      <w:r w:rsidRPr="009B5E75">
        <w:rPr>
          <w:rFonts w:cs="Arial"/>
          <w:b/>
          <w:bCs/>
          <w:sz w:val="22"/>
          <w:szCs w:val="22"/>
        </w:rPr>
        <w:instrText>l 2</w:instrText>
      </w:r>
      <w:r w:rsidR="001C7681" w:rsidRPr="009B5E75">
        <w:rPr>
          <w:rFonts w:cs="Arial"/>
          <w:b/>
          <w:bCs/>
          <w:sz w:val="22"/>
          <w:szCs w:val="22"/>
        </w:rPr>
        <w:fldChar w:fldCharType="end"/>
      </w:r>
    </w:p>
    <w:p w:rsidR="00C1459C" w:rsidRPr="009B5E75" w:rsidRDefault="00C1459C" w:rsidP="00C1459C">
      <w:pPr>
        <w:numPr>
          <w:ilvl w:val="12"/>
          <w:numId w:val="0"/>
        </w:numPr>
        <w:rPr>
          <w:rFonts w:cs="Arial"/>
          <w:sz w:val="22"/>
          <w:szCs w:val="22"/>
        </w:rPr>
      </w:pPr>
    </w:p>
    <w:p w:rsidR="00C1459C" w:rsidRPr="009B5E75" w:rsidRDefault="00C1459C" w:rsidP="003E058B">
      <w:pPr>
        <w:numPr>
          <w:ilvl w:val="12"/>
          <w:numId w:val="0"/>
        </w:numPr>
        <w:rPr>
          <w:rFonts w:cs="Arial"/>
          <w:sz w:val="22"/>
          <w:szCs w:val="22"/>
        </w:rPr>
      </w:pPr>
      <w:r w:rsidRPr="009B5E75">
        <w:rPr>
          <w:rFonts w:cs="Arial"/>
          <w:sz w:val="22"/>
          <w:szCs w:val="22"/>
        </w:rPr>
        <w:t xml:space="preserve">This section describes the analysis </w:t>
      </w:r>
      <w:r w:rsidR="005B3105">
        <w:rPr>
          <w:rFonts w:cs="Arial"/>
          <w:sz w:val="22"/>
          <w:szCs w:val="22"/>
        </w:rPr>
        <w:t xml:space="preserve">that the NRC </w:t>
      </w:r>
      <w:r w:rsidRPr="009B5E75">
        <w:rPr>
          <w:rFonts w:cs="Arial"/>
          <w:sz w:val="22"/>
          <w:szCs w:val="22"/>
        </w:rPr>
        <w:t xml:space="preserve">conducted to identify and evaluate the benefits (values) and costs (impacts) of the two regulatory options.  Section 3.1 identifies the attributes </w:t>
      </w:r>
      <w:r w:rsidR="003662A9">
        <w:rPr>
          <w:rFonts w:cs="Arial"/>
          <w:sz w:val="22"/>
          <w:szCs w:val="22"/>
        </w:rPr>
        <w:t xml:space="preserve">that the staff </w:t>
      </w:r>
      <w:r w:rsidRPr="009B5E75">
        <w:rPr>
          <w:rFonts w:cs="Arial"/>
          <w:sz w:val="22"/>
          <w:szCs w:val="22"/>
        </w:rPr>
        <w:t>expect</w:t>
      </w:r>
      <w:r w:rsidR="003662A9">
        <w:rPr>
          <w:rFonts w:cs="Arial"/>
          <w:sz w:val="22"/>
          <w:szCs w:val="22"/>
        </w:rPr>
        <w:t>s</w:t>
      </w:r>
      <w:r w:rsidRPr="009B5E75">
        <w:rPr>
          <w:rFonts w:cs="Arial"/>
          <w:sz w:val="22"/>
          <w:szCs w:val="22"/>
        </w:rPr>
        <w:t xml:space="preserve"> the proposed rulemaking</w:t>
      </w:r>
      <w:r w:rsidR="003662A9">
        <w:rPr>
          <w:rFonts w:cs="Arial"/>
          <w:sz w:val="22"/>
          <w:szCs w:val="22"/>
        </w:rPr>
        <w:t xml:space="preserve"> to affect</w:t>
      </w:r>
      <w:r w:rsidRPr="009B5E75">
        <w:rPr>
          <w:rFonts w:cs="Arial"/>
          <w:sz w:val="22"/>
          <w:szCs w:val="22"/>
        </w:rPr>
        <w:t>.  Section 3.2 describes how the values and impacts have been analyzed.  Finally, Section 3.3 presents the detailed results of the projected impacts.</w:t>
      </w:r>
    </w:p>
    <w:p w:rsidR="003267B5" w:rsidRDefault="003267B5" w:rsidP="00C1459C">
      <w:pPr>
        <w:numPr>
          <w:ilvl w:val="12"/>
          <w:numId w:val="0"/>
        </w:numPr>
        <w:tabs>
          <w:tab w:val="left" w:pos="720"/>
        </w:tabs>
        <w:ind w:left="720" w:hanging="720"/>
        <w:rPr>
          <w:rFonts w:cs="Arial"/>
          <w:sz w:val="22"/>
          <w:szCs w:val="22"/>
        </w:rPr>
      </w:pPr>
    </w:p>
    <w:p w:rsidR="00C1459C" w:rsidRPr="009B5E75" w:rsidRDefault="00C1459C" w:rsidP="00C1459C">
      <w:pPr>
        <w:numPr>
          <w:ilvl w:val="12"/>
          <w:numId w:val="0"/>
        </w:numPr>
        <w:tabs>
          <w:tab w:val="left" w:pos="720"/>
        </w:tabs>
        <w:ind w:left="720" w:hanging="720"/>
        <w:rPr>
          <w:rFonts w:cs="Arial"/>
          <w:b/>
          <w:bCs/>
          <w:sz w:val="22"/>
          <w:szCs w:val="22"/>
        </w:rPr>
      </w:pPr>
      <w:r w:rsidRPr="009B5E75">
        <w:rPr>
          <w:rFonts w:cs="Arial"/>
          <w:b/>
          <w:bCs/>
          <w:sz w:val="22"/>
          <w:szCs w:val="22"/>
        </w:rPr>
        <w:t>3.1</w:t>
      </w:r>
      <w:r w:rsidRPr="009B5E75">
        <w:rPr>
          <w:rFonts w:cs="Arial"/>
          <w:b/>
          <w:bCs/>
          <w:sz w:val="22"/>
          <w:szCs w:val="22"/>
        </w:rPr>
        <w:tab/>
        <w:t>Identification of Affected Attributes</w:t>
      </w:r>
      <w:r w:rsidRPr="009B5E75">
        <w:rPr>
          <w:rFonts w:cs="Arial"/>
          <w:b/>
          <w:bCs/>
          <w:sz w:val="22"/>
          <w:szCs w:val="22"/>
        </w:rPr>
        <w:tab/>
      </w:r>
      <w:r w:rsidRPr="009B5E75">
        <w:rPr>
          <w:rFonts w:cs="Arial"/>
          <w:b/>
          <w:bCs/>
          <w:sz w:val="22"/>
          <w:szCs w:val="22"/>
        </w:rPr>
        <w:tab/>
      </w:r>
      <w:r w:rsidRPr="009B5E75">
        <w:rPr>
          <w:rFonts w:cs="Arial"/>
          <w:b/>
          <w:bCs/>
          <w:sz w:val="22"/>
          <w:szCs w:val="22"/>
        </w:rPr>
        <w:tab/>
        <w:t xml:space="preserve"> </w:t>
      </w:r>
      <w:r w:rsidR="001C7681" w:rsidRPr="009B5E75">
        <w:rPr>
          <w:rFonts w:cs="Arial"/>
          <w:b/>
          <w:bCs/>
          <w:sz w:val="22"/>
          <w:szCs w:val="22"/>
        </w:rPr>
        <w:fldChar w:fldCharType="begin"/>
      </w:r>
      <w:proofErr w:type="spellStart"/>
      <w:proofErr w:type="gramStart"/>
      <w:r w:rsidRPr="009B5E75">
        <w:rPr>
          <w:rFonts w:cs="Arial"/>
          <w:b/>
          <w:bCs/>
          <w:sz w:val="22"/>
          <w:szCs w:val="22"/>
        </w:rPr>
        <w:instrText>tc</w:instrText>
      </w:r>
      <w:proofErr w:type="spellEnd"/>
      <w:proofErr w:type="gramEnd"/>
      <w:r w:rsidRPr="009B5E75">
        <w:rPr>
          <w:rFonts w:cs="Arial"/>
          <w:b/>
          <w:bCs/>
          <w:sz w:val="22"/>
          <w:szCs w:val="22"/>
        </w:rPr>
        <w:instrText xml:space="preserve"> "</w:instrText>
      </w:r>
      <w:bookmarkStart w:id="16" w:name="_Toc293403057"/>
      <w:bookmarkStart w:id="17" w:name="_Toc336939798"/>
      <w:r w:rsidRPr="009B5E75">
        <w:rPr>
          <w:rFonts w:cs="Arial"/>
          <w:b/>
          <w:bCs/>
          <w:sz w:val="22"/>
          <w:szCs w:val="22"/>
        </w:rPr>
        <w:instrText>3.1</w:instrText>
      </w:r>
      <w:r w:rsidRPr="009B5E75">
        <w:rPr>
          <w:rFonts w:cs="Arial"/>
          <w:b/>
          <w:bCs/>
          <w:sz w:val="22"/>
          <w:szCs w:val="22"/>
        </w:rPr>
        <w:tab/>
        <w:instrText>Identification of Affected Attributes</w:instrText>
      </w:r>
      <w:bookmarkEnd w:id="16"/>
      <w:bookmarkEnd w:id="17"/>
      <w:r w:rsidRPr="009B5E75">
        <w:rPr>
          <w:rFonts w:cs="Arial"/>
          <w:b/>
          <w:bCs/>
          <w:sz w:val="22"/>
          <w:szCs w:val="22"/>
        </w:rPr>
        <w:tab/>
      </w:r>
      <w:r w:rsidRPr="009B5E75">
        <w:rPr>
          <w:rFonts w:cs="Arial"/>
          <w:b/>
          <w:bCs/>
          <w:sz w:val="22"/>
          <w:szCs w:val="22"/>
        </w:rPr>
        <w:tab/>
      </w:r>
      <w:r w:rsidRPr="009B5E75">
        <w:rPr>
          <w:rFonts w:cs="Arial"/>
          <w:b/>
          <w:bCs/>
          <w:sz w:val="22"/>
          <w:szCs w:val="22"/>
        </w:rPr>
        <w:tab/>
        <w:instrText xml:space="preserve"> " \l 3</w:instrText>
      </w:r>
      <w:r w:rsidR="001C7681" w:rsidRPr="009B5E75">
        <w:rPr>
          <w:rFonts w:cs="Arial"/>
          <w:b/>
          <w:bCs/>
          <w:sz w:val="22"/>
          <w:szCs w:val="22"/>
        </w:rPr>
        <w:fldChar w:fldCharType="end"/>
      </w:r>
    </w:p>
    <w:p w:rsidR="00C1459C" w:rsidRPr="009B5E75" w:rsidRDefault="00C1459C" w:rsidP="00C1459C">
      <w:pPr>
        <w:numPr>
          <w:ilvl w:val="12"/>
          <w:numId w:val="0"/>
        </w:numPr>
        <w:rPr>
          <w:rFonts w:cs="Arial"/>
          <w:sz w:val="22"/>
          <w:szCs w:val="22"/>
        </w:rPr>
      </w:pPr>
    </w:p>
    <w:p w:rsidR="00E10CB2" w:rsidRDefault="00C1459C" w:rsidP="00E10CB2">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9B5E75">
        <w:rPr>
          <w:rFonts w:cs="Arial"/>
          <w:sz w:val="22"/>
          <w:szCs w:val="22"/>
        </w:rPr>
        <w:t xml:space="preserve">This section identifies the factors </w:t>
      </w:r>
      <w:r w:rsidR="00C85CD7" w:rsidRPr="009B5E75">
        <w:rPr>
          <w:rFonts w:cs="Arial"/>
          <w:sz w:val="22"/>
          <w:szCs w:val="22"/>
        </w:rPr>
        <w:t>within the public and private sectors that the final rule is expected to affect, using the list of potential attributes in Chapter 5 of NUREG/BR</w:t>
      </w:r>
      <w:r w:rsidR="00ED12C4" w:rsidRPr="009B5E75">
        <w:rPr>
          <w:rFonts w:cs="Arial"/>
          <w:sz w:val="22"/>
          <w:szCs w:val="22"/>
        </w:rPr>
        <w:noBreakHyphen/>
      </w:r>
      <w:r w:rsidR="00C85CD7" w:rsidRPr="009B5E75">
        <w:rPr>
          <w:rFonts w:cs="Arial"/>
          <w:sz w:val="22"/>
          <w:szCs w:val="22"/>
        </w:rPr>
        <w:t xml:space="preserve">0184, </w:t>
      </w:r>
      <w:r w:rsidR="00ED12C4" w:rsidRPr="009B5E75">
        <w:rPr>
          <w:rFonts w:cs="Arial"/>
          <w:sz w:val="22"/>
          <w:szCs w:val="22"/>
        </w:rPr>
        <w:t>“</w:t>
      </w:r>
      <w:r w:rsidR="00C85CD7" w:rsidRPr="009B5E75">
        <w:rPr>
          <w:rFonts w:cs="Arial"/>
          <w:sz w:val="22"/>
          <w:szCs w:val="22"/>
        </w:rPr>
        <w:t>Regulatory Analysis Technical Evaluation Handbook,</w:t>
      </w:r>
      <w:r w:rsidR="00ED12C4" w:rsidRPr="009B5E75">
        <w:rPr>
          <w:rFonts w:cs="Arial"/>
          <w:sz w:val="22"/>
          <w:szCs w:val="22"/>
        </w:rPr>
        <w:t>”</w:t>
      </w:r>
      <w:r w:rsidR="00C85CD7" w:rsidRPr="009B5E75">
        <w:rPr>
          <w:rFonts w:cs="Arial"/>
          <w:sz w:val="22"/>
          <w:szCs w:val="22"/>
        </w:rPr>
        <w:t xml:space="preserve"> </w:t>
      </w:r>
      <w:r w:rsidR="00ED12C4" w:rsidRPr="009B5E75">
        <w:rPr>
          <w:rFonts w:cs="Arial"/>
          <w:sz w:val="22"/>
          <w:szCs w:val="22"/>
        </w:rPr>
        <w:t xml:space="preserve">issued </w:t>
      </w:r>
      <w:r w:rsidR="00C85CD7" w:rsidRPr="009B5E75">
        <w:rPr>
          <w:rFonts w:cs="Arial"/>
          <w:sz w:val="22"/>
          <w:szCs w:val="22"/>
        </w:rPr>
        <w:t>January 1997, and in Chapter 4 of NUREG/BR</w:t>
      </w:r>
      <w:r w:rsidR="00ED12C4" w:rsidRPr="009B5E75">
        <w:rPr>
          <w:rFonts w:cs="Arial"/>
          <w:sz w:val="22"/>
          <w:szCs w:val="22"/>
        </w:rPr>
        <w:noBreakHyphen/>
      </w:r>
      <w:r w:rsidR="00C85CD7" w:rsidRPr="009B5E75">
        <w:rPr>
          <w:rFonts w:cs="Arial"/>
          <w:sz w:val="22"/>
          <w:szCs w:val="22"/>
        </w:rPr>
        <w:t xml:space="preserve">0058, </w:t>
      </w:r>
      <w:r w:rsidR="00ED12C4" w:rsidRPr="009B5E75">
        <w:rPr>
          <w:rFonts w:cs="Arial"/>
          <w:sz w:val="22"/>
          <w:szCs w:val="22"/>
        </w:rPr>
        <w:t>“</w:t>
      </w:r>
      <w:r w:rsidR="00C85CD7" w:rsidRPr="009B5E75">
        <w:rPr>
          <w:rFonts w:cs="Arial"/>
          <w:sz w:val="22"/>
          <w:szCs w:val="22"/>
        </w:rPr>
        <w:t>Regulatory Analysis Guidelines of the U.S. Nuclear Regulatory Commission,</w:t>
      </w:r>
      <w:r w:rsidR="00ED12C4" w:rsidRPr="009B5E75">
        <w:rPr>
          <w:rFonts w:cs="Arial"/>
          <w:sz w:val="22"/>
          <w:szCs w:val="22"/>
        </w:rPr>
        <w:t>”</w:t>
      </w:r>
      <w:r w:rsidR="00C85CD7" w:rsidRPr="009B5E75">
        <w:rPr>
          <w:rFonts w:cs="Arial"/>
          <w:sz w:val="22"/>
          <w:szCs w:val="22"/>
        </w:rPr>
        <w:t xml:space="preserve"> </w:t>
      </w:r>
      <w:r w:rsidR="00E83E8C">
        <w:rPr>
          <w:rFonts w:cs="Arial"/>
          <w:sz w:val="22"/>
          <w:szCs w:val="22"/>
        </w:rPr>
        <w:t>Revision 4</w:t>
      </w:r>
      <w:r w:rsidR="00ED12C4" w:rsidRPr="009B5E75">
        <w:rPr>
          <w:rFonts w:cs="Arial"/>
          <w:sz w:val="22"/>
          <w:szCs w:val="22"/>
        </w:rPr>
        <w:t xml:space="preserve">, issued </w:t>
      </w:r>
      <w:r w:rsidR="00C85CD7" w:rsidRPr="009B5E75">
        <w:rPr>
          <w:rFonts w:cs="Arial"/>
          <w:sz w:val="22"/>
          <w:szCs w:val="22"/>
        </w:rPr>
        <w:t>September 2004.  The evaluation considered each attribute listed in Chapter 5</w:t>
      </w:r>
      <w:r w:rsidR="00ED12C4" w:rsidRPr="009B5E75">
        <w:rPr>
          <w:rFonts w:cs="Arial"/>
          <w:sz w:val="22"/>
          <w:szCs w:val="22"/>
        </w:rPr>
        <w:t xml:space="preserve"> of NUREG/BR-0184</w:t>
      </w:r>
      <w:r w:rsidR="00C85CD7" w:rsidRPr="009B5E75">
        <w:rPr>
          <w:rFonts w:cs="Arial"/>
          <w:sz w:val="22"/>
          <w:szCs w:val="22"/>
        </w:rPr>
        <w:t>.  The basis for selecting those attributes is presented below.</w:t>
      </w:r>
    </w:p>
    <w:p w:rsidR="00E10CB2" w:rsidRDefault="00E10CB2" w:rsidP="00E10CB2">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B66BA4" w:rsidRDefault="00C1459C" w:rsidP="00E10CB2">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9B5E75">
        <w:rPr>
          <w:rFonts w:cs="Arial"/>
          <w:sz w:val="22"/>
          <w:szCs w:val="22"/>
        </w:rPr>
        <w:t>Affected attributes include the following:</w:t>
      </w:r>
      <w:r w:rsidR="000118FC" w:rsidRPr="009B5E75">
        <w:rPr>
          <w:rFonts w:cs="Arial"/>
          <w:sz w:val="22"/>
          <w:szCs w:val="22"/>
        </w:rPr>
        <w:t xml:space="preserve"> </w:t>
      </w:r>
    </w:p>
    <w:p w:rsidR="00B66BA4" w:rsidRDefault="00B66BA4" w:rsidP="00B66BA4">
      <w:pPr>
        <w:numPr>
          <w:ilvl w:val="12"/>
          <w:numId w:val="0"/>
        </w:numPr>
        <w:rPr>
          <w:rFonts w:cs="Arial"/>
          <w:sz w:val="22"/>
          <w:szCs w:val="22"/>
        </w:rPr>
      </w:pPr>
    </w:p>
    <w:p w:rsidR="00211229" w:rsidRPr="00B66BA4" w:rsidRDefault="00211229" w:rsidP="00131CEC">
      <w:pPr>
        <w:numPr>
          <w:ilvl w:val="0"/>
          <w:numId w:val="35"/>
        </w:numPr>
        <w:ind w:hanging="720"/>
        <w:rPr>
          <w:rFonts w:cs="Arial"/>
          <w:iCs/>
          <w:sz w:val="22"/>
          <w:szCs w:val="22"/>
        </w:rPr>
      </w:pPr>
      <w:r w:rsidRPr="0083702D">
        <w:rPr>
          <w:rFonts w:cs="Arial"/>
          <w:sz w:val="22"/>
          <w:szCs w:val="22"/>
        </w:rPr>
        <w:t>Industry Implementation</w:t>
      </w:r>
      <w:r w:rsidR="003F618D" w:rsidRPr="0083702D">
        <w:rPr>
          <w:rFonts w:cs="Arial"/>
          <w:sz w:val="22"/>
          <w:szCs w:val="22"/>
        </w:rPr>
        <w:t xml:space="preserve">.  </w:t>
      </w:r>
      <w:r w:rsidR="00B66BA4" w:rsidRPr="00B66BA4">
        <w:rPr>
          <w:rFonts w:cs="Arial"/>
          <w:sz w:val="22"/>
          <w:szCs w:val="22"/>
        </w:rPr>
        <w:t>The proposed changes would require certain licensees to implement </w:t>
      </w:r>
      <w:r w:rsidR="00B66BA4" w:rsidRPr="00B66BA4">
        <w:rPr>
          <w:rFonts w:cs="Arial"/>
          <w:iCs/>
          <w:sz w:val="22"/>
          <w:szCs w:val="22"/>
        </w:rPr>
        <w:t xml:space="preserve">general performance objectives, establish and follow written MC&amp;A procedures, implement an item control system, </w:t>
      </w:r>
      <w:r w:rsidR="003A1DAE">
        <w:rPr>
          <w:rFonts w:cs="Arial"/>
          <w:iCs/>
          <w:sz w:val="22"/>
          <w:szCs w:val="22"/>
        </w:rPr>
        <w:t xml:space="preserve">and </w:t>
      </w:r>
      <w:r w:rsidR="00B66BA4" w:rsidRPr="00B66BA4">
        <w:rPr>
          <w:rFonts w:cs="Arial"/>
          <w:iCs/>
          <w:sz w:val="22"/>
          <w:szCs w:val="22"/>
        </w:rPr>
        <w:t xml:space="preserve">designate material balance areas and/or item control areas and custodial responsibilities for these areas.  Certain items currently exempted from an item control program would be subject to item controls.  An irradiated fuel reprocessing plant would no longer be </w:t>
      </w:r>
      <w:r w:rsidR="008B76A8">
        <w:rPr>
          <w:rFonts w:cs="Arial"/>
          <w:iCs/>
          <w:sz w:val="22"/>
          <w:szCs w:val="22"/>
        </w:rPr>
        <w:t>exempted</w:t>
      </w:r>
      <w:r w:rsidR="008B76A8" w:rsidRPr="00B66BA4">
        <w:rPr>
          <w:rFonts w:cs="Arial"/>
          <w:iCs/>
          <w:sz w:val="22"/>
          <w:szCs w:val="22"/>
        </w:rPr>
        <w:t xml:space="preserve"> </w:t>
      </w:r>
      <w:r w:rsidR="00B66BA4" w:rsidRPr="00B66BA4">
        <w:rPr>
          <w:rFonts w:cs="Arial"/>
          <w:iCs/>
          <w:sz w:val="22"/>
          <w:szCs w:val="22"/>
        </w:rPr>
        <w:t>from the requirements for a</w:t>
      </w:r>
      <w:r w:rsidR="009E67EB">
        <w:rPr>
          <w:rFonts w:cs="Arial"/>
          <w:iCs/>
          <w:sz w:val="22"/>
          <w:szCs w:val="22"/>
        </w:rPr>
        <w:t xml:space="preserve"> Category I facility in 10 CFR </w:t>
      </w:r>
      <w:r w:rsidR="001B0DBD">
        <w:rPr>
          <w:rFonts w:cs="Arial"/>
          <w:iCs/>
          <w:sz w:val="22"/>
          <w:szCs w:val="22"/>
        </w:rPr>
        <w:t>part</w:t>
      </w:r>
      <w:r w:rsidR="009E67EB">
        <w:rPr>
          <w:rFonts w:cs="Arial"/>
          <w:iCs/>
          <w:sz w:val="22"/>
          <w:szCs w:val="22"/>
        </w:rPr>
        <w:t xml:space="preserve"> 74, S</w:t>
      </w:r>
      <w:r w:rsidR="00B66BA4" w:rsidRPr="00B66BA4">
        <w:rPr>
          <w:rFonts w:cs="Arial"/>
          <w:iCs/>
          <w:sz w:val="22"/>
          <w:szCs w:val="22"/>
        </w:rPr>
        <w:t>ub</w:t>
      </w:r>
      <w:r w:rsidR="003B30DC">
        <w:rPr>
          <w:rFonts w:cs="Arial"/>
          <w:iCs/>
          <w:sz w:val="22"/>
          <w:szCs w:val="22"/>
        </w:rPr>
        <w:t>part</w:t>
      </w:r>
      <w:r w:rsidR="00B66BA4" w:rsidRPr="00B66BA4">
        <w:rPr>
          <w:rFonts w:cs="Arial"/>
          <w:iCs/>
          <w:sz w:val="22"/>
          <w:szCs w:val="22"/>
        </w:rPr>
        <w:t xml:space="preserve"> E.</w:t>
      </w:r>
    </w:p>
    <w:p w:rsidR="0083702D" w:rsidRPr="0083702D" w:rsidRDefault="0083702D" w:rsidP="0083702D">
      <w:pPr>
        <w:tabs>
          <w:tab w:val="num" w:pos="720"/>
        </w:tabs>
        <w:ind w:left="720"/>
        <w:rPr>
          <w:rFonts w:cs="Arial"/>
          <w:iCs/>
          <w:sz w:val="22"/>
          <w:szCs w:val="22"/>
        </w:rPr>
      </w:pPr>
    </w:p>
    <w:p w:rsidR="00B66BA4" w:rsidRPr="00B66BA4" w:rsidRDefault="00211229" w:rsidP="00B66BA4">
      <w:pPr>
        <w:numPr>
          <w:ilvl w:val="0"/>
          <w:numId w:val="16"/>
        </w:numPr>
        <w:tabs>
          <w:tab w:val="clear" w:pos="780"/>
          <w:tab w:val="num" w:pos="720"/>
          <w:tab w:val="left" w:pos="1440"/>
        </w:tabs>
        <w:ind w:left="720" w:hanging="720"/>
        <w:rPr>
          <w:rFonts w:cs="Arial"/>
          <w:sz w:val="22"/>
          <w:szCs w:val="22"/>
        </w:rPr>
      </w:pPr>
      <w:r w:rsidRPr="00211229">
        <w:rPr>
          <w:rFonts w:cs="Arial"/>
          <w:iCs/>
          <w:sz w:val="22"/>
          <w:szCs w:val="22"/>
        </w:rPr>
        <w:lastRenderedPageBreak/>
        <w:t>NRC Implementation</w:t>
      </w:r>
      <w:r w:rsidR="003F618D" w:rsidRPr="009B5E75">
        <w:rPr>
          <w:rFonts w:cs="Arial"/>
          <w:sz w:val="22"/>
          <w:szCs w:val="22"/>
        </w:rPr>
        <w:t xml:space="preserve">.  </w:t>
      </w:r>
      <w:r w:rsidR="00B66BA4" w:rsidRPr="00B66BA4">
        <w:rPr>
          <w:rFonts w:cs="Arial"/>
          <w:sz w:val="22"/>
          <w:szCs w:val="22"/>
        </w:rPr>
        <w:t xml:space="preserve">Under the proposed action, the NRC would develop the proposed rule package to be published by the Office of the </w:t>
      </w:r>
      <w:r w:rsidR="005B6365" w:rsidRPr="005B6365">
        <w:rPr>
          <w:rFonts w:cs="Arial"/>
          <w:sz w:val="22"/>
          <w:szCs w:val="22"/>
        </w:rPr>
        <w:t>Federal Register</w:t>
      </w:r>
      <w:r w:rsidR="00B66BA4" w:rsidRPr="00B66BA4">
        <w:rPr>
          <w:rFonts w:cs="Arial"/>
          <w:sz w:val="22"/>
          <w:szCs w:val="22"/>
        </w:rPr>
        <w:t xml:space="preserve"> and prepare the final rule package that responds to comments from stakeholders and sets forth the final rule text for publication by the Office of the </w:t>
      </w:r>
      <w:r w:rsidR="005B6365" w:rsidRPr="005B6365">
        <w:rPr>
          <w:rFonts w:cs="Arial"/>
          <w:sz w:val="22"/>
          <w:szCs w:val="22"/>
        </w:rPr>
        <w:t>Federal Register</w:t>
      </w:r>
      <w:r w:rsidR="00B66BA4" w:rsidRPr="00B66BA4">
        <w:rPr>
          <w:rFonts w:cs="Arial"/>
          <w:sz w:val="22"/>
          <w:szCs w:val="22"/>
        </w:rPr>
        <w:t xml:space="preserve">.  </w:t>
      </w:r>
      <w:r w:rsidR="009A2FFD">
        <w:rPr>
          <w:rFonts w:cs="Arial"/>
          <w:sz w:val="22"/>
          <w:szCs w:val="22"/>
        </w:rPr>
        <w:t xml:space="preserve">The </w:t>
      </w:r>
      <w:r w:rsidR="00B66BA4" w:rsidRPr="00B66BA4">
        <w:rPr>
          <w:rFonts w:cs="Arial"/>
          <w:sz w:val="22"/>
          <w:szCs w:val="22"/>
        </w:rPr>
        <w:t>NRC would revise guidance and </w:t>
      </w:r>
      <w:r w:rsidR="00B66BA4" w:rsidRPr="00B66BA4">
        <w:rPr>
          <w:rFonts w:cs="Arial"/>
          <w:iCs/>
          <w:sz w:val="22"/>
          <w:szCs w:val="22"/>
        </w:rPr>
        <w:t>inspection procedures to accommodate the requirements that would be added or modified by the rulemaking process.</w:t>
      </w:r>
    </w:p>
    <w:p w:rsidR="00952C94" w:rsidRDefault="00952C94" w:rsidP="00952C94">
      <w:pPr>
        <w:pStyle w:val="ListParagraph"/>
        <w:rPr>
          <w:rFonts w:cs="Arial"/>
          <w:sz w:val="22"/>
          <w:szCs w:val="22"/>
        </w:rPr>
      </w:pPr>
    </w:p>
    <w:p w:rsidR="00B66BA4" w:rsidRPr="00B66BA4" w:rsidRDefault="00952C94" w:rsidP="00B66BA4">
      <w:pPr>
        <w:numPr>
          <w:ilvl w:val="0"/>
          <w:numId w:val="16"/>
        </w:numPr>
        <w:tabs>
          <w:tab w:val="clear" w:pos="780"/>
          <w:tab w:val="num" w:pos="720"/>
          <w:tab w:val="left" w:pos="1440"/>
        </w:tabs>
        <w:ind w:left="720" w:hanging="720"/>
        <w:rPr>
          <w:rFonts w:cs="Arial"/>
          <w:sz w:val="22"/>
          <w:szCs w:val="22"/>
        </w:rPr>
      </w:pPr>
      <w:r>
        <w:rPr>
          <w:rFonts w:cs="Arial"/>
          <w:sz w:val="22"/>
          <w:szCs w:val="22"/>
        </w:rPr>
        <w:t>Industry Operations</w:t>
      </w:r>
      <w:r w:rsidR="00B66BA4">
        <w:rPr>
          <w:rFonts w:cs="Arial"/>
          <w:sz w:val="22"/>
          <w:szCs w:val="22"/>
        </w:rPr>
        <w:t xml:space="preserve">.  The </w:t>
      </w:r>
      <w:r w:rsidR="00425540">
        <w:rPr>
          <w:rFonts w:cs="Arial"/>
          <w:sz w:val="22"/>
          <w:szCs w:val="22"/>
        </w:rPr>
        <w:t xml:space="preserve">new </w:t>
      </w:r>
      <w:r w:rsidR="00A52B91">
        <w:rPr>
          <w:rFonts w:cs="Arial"/>
          <w:sz w:val="22"/>
          <w:szCs w:val="22"/>
        </w:rPr>
        <w:t>10 CFR 74.19(</w:t>
      </w:r>
      <w:r w:rsidR="002925EB">
        <w:rPr>
          <w:rFonts w:cs="Arial"/>
          <w:sz w:val="22"/>
          <w:szCs w:val="22"/>
        </w:rPr>
        <w:t>d</w:t>
      </w:r>
      <w:r w:rsidR="00A52B91">
        <w:rPr>
          <w:rFonts w:cs="Arial"/>
          <w:sz w:val="22"/>
          <w:szCs w:val="22"/>
        </w:rPr>
        <w:t>)</w:t>
      </w:r>
      <w:r w:rsidR="00B66BA4">
        <w:rPr>
          <w:rFonts w:cs="Arial"/>
          <w:sz w:val="22"/>
          <w:szCs w:val="22"/>
        </w:rPr>
        <w:t xml:space="preserve"> </w:t>
      </w:r>
      <w:r w:rsidR="006C60A9">
        <w:rPr>
          <w:rFonts w:cs="Arial"/>
          <w:sz w:val="22"/>
          <w:szCs w:val="22"/>
        </w:rPr>
        <w:t xml:space="preserve">in subpart B </w:t>
      </w:r>
      <w:r w:rsidR="00B66BA4">
        <w:rPr>
          <w:rFonts w:cs="Arial"/>
          <w:sz w:val="22"/>
          <w:szCs w:val="22"/>
        </w:rPr>
        <w:t xml:space="preserve">would require </w:t>
      </w:r>
      <w:r w:rsidR="00B66BA4" w:rsidRPr="00B66BA4">
        <w:rPr>
          <w:rFonts w:cs="Arial"/>
          <w:iCs/>
          <w:sz w:val="22"/>
          <w:szCs w:val="22"/>
        </w:rPr>
        <w:t>licensees</w:t>
      </w:r>
      <w:r w:rsidR="006C60A9">
        <w:rPr>
          <w:rFonts w:cs="Arial"/>
          <w:iCs/>
          <w:sz w:val="22"/>
          <w:szCs w:val="22"/>
        </w:rPr>
        <w:t xml:space="preserve"> under 10 CFR part 50 or 52</w:t>
      </w:r>
      <w:r w:rsidR="00A52B91">
        <w:rPr>
          <w:rFonts w:cs="Arial"/>
          <w:iCs/>
          <w:sz w:val="22"/>
          <w:szCs w:val="22"/>
        </w:rPr>
        <w:t xml:space="preserve"> and </w:t>
      </w:r>
      <w:r w:rsidR="002925EB">
        <w:rPr>
          <w:rFonts w:cs="Arial"/>
          <w:iCs/>
          <w:sz w:val="22"/>
          <w:szCs w:val="22"/>
        </w:rPr>
        <w:t>ISFSI</w:t>
      </w:r>
      <w:r w:rsidR="00A52B91">
        <w:rPr>
          <w:rFonts w:cs="Arial"/>
          <w:iCs/>
          <w:sz w:val="22"/>
          <w:szCs w:val="22"/>
        </w:rPr>
        <w:t xml:space="preserve"> licensees</w:t>
      </w:r>
      <w:r w:rsidR="006C60A9">
        <w:rPr>
          <w:rFonts w:cs="Arial"/>
          <w:iCs/>
          <w:sz w:val="22"/>
          <w:szCs w:val="22"/>
        </w:rPr>
        <w:t xml:space="preserve"> under 10 CFR part 72</w:t>
      </w:r>
      <w:r w:rsidR="00B66BA4" w:rsidRPr="00B66BA4">
        <w:rPr>
          <w:rFonts w:cs="Arial"/>
          <w:iCs/>
          <w:sz w:val="22"/>
          <w:szCs w:val="22"/>
        </w:rPr>
        <w:t xml:space="preserve"> </w:t>
      </w:r>
      <w:r w:rsidR="00B66BA4">
        <w:rPr>
          <w:rFonts w:cs="Arial"/>
          <w:iCs/>
          <w:sz w:val="22"/>
          <w:szCs w:val="22"/>
        </w:rPr>
        <w:t>to</w:t>
      </w:r>
      <w:r w:rsidR="00A52B91">
        <w:rPr>
          <w:rFonts w:cs="Arial"/>
          <w:iCs/>
          <w:sz w:val="22"/>
          <w:szCs w:val="22"/>
        </w:rPr>
        <w:t xml:space="preserve"> establish</w:t>
      </w:r>
      <w:r w:rsidR="00B66BA4" w:rsidRPr="00B66BA4">
        <w:rPr>
          <w:rFonts w:cs="Arial"/>
          <w:iCs/>
          <w:sz w:val="22"/>
          <w:szCs w:val="22"/>
        </w:rPr>
        <w:t xml:space="preserve"> item control system</w:t>
      </w:r>
      <w:r w:rsidR="00A52B91">
        <w:rPr>
          <w:rFonts w:cs="Arial"/>
          <w:iCs/>
          <w:sz w:val="22"/>
          <w:szCs w:val="22"/>
        </w:rPr>
        <w:t>s.</w:t>
      </w:r>
      <w:r w:rsidR="00B66BA4" w:rsidRPr="00B66BA4">
        <w:rPr>
          <w:rFonts w:cs="Arial"/>
          <w:iCs/>
          <w:sz w:val="22"/>
          <w:szCs w:val="22"/>
        </w:rPr>
        <w:t xml:space="preserve">  Licensees would maintain material balance areas and/or item control areas and ensure custodial responsibilities are assigned to these areas.  Certain items currently exempted from item control requirements would be tracked to maintain current knowledge of each item</w:t>
      </w:r>
      <w:r w:rsidR="00B66BA4" w:rsidRPr="00B66BA4">
        <w:rPr>
          <w:rFonts w:cs="Arial"/>
          <w:sz w:val="22"/>
          <w:szCs w:val="22"/>
        </w:rPr>
        <w:t>.</w:t>
      </w:r>
    </w:p>
    <w:p w:rsidR="00952C94" w:rsidRDefault="00952C94" w:rsidP="00952C94">
      <w:pPr>
        <w:pStyle w:val="ListParagraph"/>
        <w:rPr>
          <w:rFonts w:cs="Arial"/>
          <w:sz w:val="22"/>
          <w:szCs w:val="22"/>
        </w:rPr>
      </w:pPr>
    </w:p>
    <w:p w:rsidR="003A1DAE" w:rsidRDefault="00952C94" w:rsidP="003A1DAE">
      <w:pPr>
        <w:numPr>
          <w:ilvl w:val="0"/>
          <w:numId w:val="16"/>
        </w:numPr>
        <w:tabs>
          <w:tab w:val="clear" w:pos="780"/>
          <w:tab w:val="num" w:pos="720"/>
          <w:tab w:val="left" w:pos="1440"/>
        </w:tabs>
        <w:ind w:left="720" w:hanging="720"/>
        <w:rPr>
          <w:rFonts w:cs="Arial"/>
          <w:sz w:val="22"/>
          <w:szCs w:val="22"/>
        </w:rPr>
      </w:pPr>
      <w:r w:rsidRPr="00211229">
        <w:rPr>
          <w:rFonts w:cs="Arial"/>
          <w:sz w:val="22"/>
          <w:szCs w:val="22"/>
        </w:rPr>
        <w:t>NRC Operations</w:t>
      </w:r>
      <w:r w:rsidR="00131CEC">
        <w:rPr>
          <w:rFonts w:cs="Arial"/>
          <w:sz w:val="22"/>
          <w:szCs w:val="22"/>
        </w:rPr>
        <w:t>.</w:t>
      </w:r>
      <w:r>
        <w:rPr>
          <w:rFonts w:cs="Arial"/>
          <w:sz w:val="22"/>
          <w:szCs w:val="22"/>
        </w:rPr>
        <w:t xml:space="preserve"> </w:t>
      </w:r>
      <w:r w:rsidR="00994D08">
        <w:rPr>
          <w:rFonts w:cs="Arial"/>
          <w:sz w:val="22"/>
          <w:szCs w:val="22"/>
        </w:rPr>
        <w:t xml:space="preserve"> </w:t>
      </w:r>
      <w:r w:rsidR="00B66BA4" w:rsidRPr="00B66BA4">
        <w:rPr>
          <w:rFonts w:cs="Arial"/>
          <w:sz w:val="22"/>
          <w:szCs w:val="22"/>
        </w:rPr>
        <w:t xml:space="preserve">The proposed changes would </w:t>
      </w:r>
      <w:r w:rsidR="00B66BA4">
        <w:rPr>
          <w:rFonts w:cs="Arial"/>
          <w:iCs/>
          <w:sz w:val="22"/>
          <w:szCs w:val="22"/>
        </w:rPr>
        <w:t>i</w:t>
      </w:r>
      <w:r w:rsidR="00B66BA4" w:rsidRPr="00B66BA4">
        <w:rPr>
          <w:rFonts w:cs="Arial"/>
          <w:iCs/>
          <w:sz w:val="22"/>
          <w:szCs w:val="22"/>
        </w:rPr>
        <w:t xml:space="preserve">nclude inspection and enforcement of requirements for certain licensees to adequately assure common defense and security of workers and members of the public from lost, missing, stolen, or diverted SNM.  Inspectors would </w:t>
      </w:r>
      <w:r w:rsidR="003C5E78">
        <w:rPr>
          <w:rFonts w:cs="Arial"/>
          <w:iCs/>
          <w:sz w:val="22"/>
          <w:szCs w:val="22"/>
        </w:rPr>
        <w:t>assess</w:t>
      </w:r>
      <w:r w:rsidR="003C5E78" w:rsidRPr="00B66BA4">
        <w:rPr>
          <w:rFonts w:cs="Arial"/>
          <w:iCs/>
          <w:sz w:val="22"/>
          <w:szCs w:val="22"/>
        </w:rPr>
        <w:t xml:space="preserve"> </w:t>
      </w:r>
      <w:r w:rsidR="00B66BA4" w:rsidRPr="00B66BA4">
        <w:rPr>
          <w:rFonts w:cs="Arial"/>
          <w:iCs/>
          <w:sz w:val="22"/>
          <w:szCs w:val="22"/>
        </w:rPr>
        <w:t>licensee implementation of the requirements noted above and operational activities noted above to maintain the MC&amp;A program at licensee facilities</w:t>
      </w:r>
      <w:r w:rsidR="00B66BA4">
        <w:rPr>
          <w:rFonts w:cs="Arial"/>
          <w:sz w:val="22"/>
          <w:szCs w:val="22"/>
        </w:rPr>
        <w:t>.</w:t>
      </w:r>
      <w:r w:rsidR="001572B2">
        <w:rPr>
          <w:rFonts w:cs="Arial"/>
          <w:sz w:val="22"/>
          <w:szCs w:val="22"/>
        </w:rPr>
        <w:t xml:space="preserve">  The NRC does not estimate any </w:t>
      </w:r>
      <w:r w:rsidR="003C5E78">
        <w:rPr>
          <w:rFonts w:cs="Arial"/>
          <w:sz w:val="22"/>
          <w:szCs w:val="22"/>
        </w:rPr>
        <w:t xml:space="preserve">additional </w:t>
      </w:r>
      <w:r w:rsidR="001572B2">
        <w:rPr>
          <w:rFonts w:cs="Arial"/>
          <w:sz w:val="22"/>
          <w:szCs w:val="22"/>
        </w:rPr>
        <w:t>operating cost due to the proposed regulations</w:t>
      </w:r>
      <w:r w:rsidR="003C5E78">
        <w:rPr>
          <w:rFonts w:cs="Arial"/>
          <w:sz w:val="22"/>
          <w:szCs w:val="22"/>
        </w:rPr>
        <w:t xml:space="preserve"> because the routine inspection program is reviewed and updated at 3-year intervals and the </w:t>
      </w:r>
      <w:r w:rsidR="00464F76">
        <w:rPr>
          <w:rFonts w:cs="Arial"/>
          <w:sz w:val="22"/>
          <w:szCs w:val="22"/>
        </w:rPr>
        <w:t>proposed</w:t>
      </w:r>
      <w:r w:rsidR="003C5E78">
        <w:rPr>
          <w:rFonts w:cs="Arial"/>
          <w:sz w:val="22"/>
          <w:szCs w:val="22"/>
        </w:rPr>
        <w:t xml:space="preserve"> changes would be incorporated without increasing cost to </w:t>
      </w:r>
      <w:r w:rsidR="009A2FFD">
        <w:rPr>
          <w:rFonts w:cs="Arial"/>
          <w:sz w:val="22"/>
          <w:szCs w:val="22"/>
        </w:rPr>
        <w:t xml:space="preserve">the </w:t>
      </w:r>
      <w:r w:rsidR="003C5E78">
        <w:rPr>
          <w:rFonts w:cs="Arial"/>
          <w:sz w:val="22"/>
          <w:szCs w:val="22"/>
        </w:rPr>
        <w:t>NRC to update procedures</w:t>
      </w:r>
      <w:r w:rsidR="00464F76">
        <w:rPr>
          <w:rFonts w:cs="Arial"/>
          <w:sz w:val="22"/>
          <w:szCs w:val="22"/>
        </w:rPr>
        <w:t xml:space="preserve">.  </w:t>
      </w:r>
      <w:r w:rsidR="009A2FFD">
        <w:rPr>
          <w:rFonts w:cs="Arial"/>
          <w:sz w:val="22"/>
          <w:szCs w:val="22"/>
        </w:rPr>
        <w:t xml:space="preserve">The </w:t>
      </w:r>
      <w:r w:rsidR="00464F76">
        <w:rPr>
          <w:rFonts w:cs="Arial"/>
          <w:sz w:val="22"/>
          <w:szCs w:val="22"/>
        </w:rPr>
        <w:t>NRC i</w:t>
      </w:r>
      <w:r w:rsidR="003C5E78">
        <w:rPr>
          <w:rFonts w:cs="Arial"/>
          <w:sz w:val="22"/>
          <w:szCs w:val="22"/>
        </w:rPr>
        <w:t>nspection activities at a facility would include the proposed changes without increasing inspection effort</w:t>
      </w:r>
      <w:r w:rsidR="001572B2">
        <w:rPr>
          <w:rFonts w:cs="Arial"/>
          <w:sz w:val="22"/>
          <w:szCs w:val="22"/>
        </w:rPr>
        <w:t xml:space="preserve">. </w:t>
      </w:r>
    </w:p>
    <w:p w:rsidR="00DF0008" w:rsidRDefault="00DF0008">
      <w:pPr>
        <w:tabs>
          <w:tab w:val="left" w:pos="1440"/>
        </w:tabs>
        <w:ind w:left="720"/>
        <w:rPr>
          <w:rFonts w:cs="Arial"/>
          <w:sz w:val="22"/>
          <w:szCs w:val="22"/>
        </w:rPr>
      </w:pPr>
    </w:p>
    <w:p w:rsidR="003A1DAE" w:rsidRDefault="003A1DAE" w:rsidP="003A1DAE">
      <w:pPr>
        <w:numPr>
          <w:ilvl w:val="0"/>
          <w:numId w:val="16"/>
        </w:numPr>
        <w:tabs>
          <w:tab w:val="clear" w:pos="780"/>
          <w:tab w:val="num" w:pos="720"/>
          <w:tab w:val="left" w:pos="1440"/>
        </w:tabs>
        <w:ind w:left="720" w:hanging="720"/>
        <w:rPr>
          <w:rFonts w:cs="Arial"/>
          <w:sz w:val="22"/>
          <w:szCs w:val="22"/>
        </w:rPr>
      </w:pPr>
      <w:r w:rsidRPr="003A1DAE">
        <w:rPr>
          <w:rFonts w:cs="Arial"/>
          <w:sz w:val="22"/>
          <w:szCs w:val="22"/>
        </w:rPr>
        <w:t xml:space="preserve">Security </w:t>
      </w:r>
      <w:r w:rsidR="00036CE4">
        <w:rPr>
          <w:rFonts w:cs="Arial"/>
          <w:sz w:val="22"/>
          <w:szCs w:val="22"/>
        </w:rPr>
        <w:t xml:space="preserve">and Safeguards </w:t>
      </w:r>
      <w:r w:rsidRPr="003A1DAE">
        <w:rPr>
          <w:rFonts w:cs="Arial"/>
          <w:sz w:val="22"/>
          <w:szCs w:val="22"/>
        </w:rPr>
        <w:t xml:space="preserve">Considerations.  </w:t>
      </w:r>
      <w:r w:rsidR="007741CA">
        <w:rPr>
          <w:rFonts w:cs="Arial"/>
          <w:sz w:val="22"/>
          <w:szCs w:val="22"/>
        </w:rPr>
        <w:t xml:space="preserve">The regulatory basis for 10 CFR </w:t>
      </w:r>
      <w:proofErr w:type="gramStart"/>
      <w:r w:rsidR="001B0DBD">
        <w:rPr>
          <w:rFonts w:cs="Arial"/>
          <w:sz w:val="22"/>
          <w:szCs w:val="22"/>
        </w:rPr>
        <w:t>part</w:t>
      </w:r>
      <w:proofErr w:type="gramEnd"/>
      <w:r w:rsidR="007741CA">
        <w:rPr>
          <w:rFonts w:cs="Arial"/>
          <w:sz w:val="22"/>
          <w:szCs w:val="22"/>
        </w:rPr>
        <w:t xml:space="preserve"> 74 is security and the information and data and </w:t>
      </w:r>
      <w:r w:rsidR="00AF3ED2">
        <w:rPr>
          <w:rFonts w:cs="Arial"/>
          <w:sz w:val="22"/>
          <w:szCs w:val="22"/>
        </w:rPr>
        <w:t xml:space="preserve">the </w:t>
      </w:r>
      <w:r w:rsidR="007741CA">
        <w:rPr>
          <w:rFonts w:cs="Arial"/>
          <w:sz w:val="22"/>
          <w:szCs w:val="22"/>
        </w:rPr>
        <w:t xml:space="preserve">activities to manage the information and data </w:t>
      </w:r>
      <w:r w:rsidR="00AF3ED2">
        <w:rPr>
          <w:rFonts w:cs="Arial"/>
          <w:sz w:val="22"/>
          <w:szCs w:val="22"/>
        </w:rPr>
        <w:t>ensure that an adequate level of safety and security over SNM is maintained.</w:t>
      </w:r>
    </w:p>
    <w:p w:rsidR="00C722BE" w:rsidRDefault="00C722BE" w:rsidP="00C722BE">
      <w:pPr>
        <w:tabs>
          <w:tab w:val="left" w:pos="1440"/>
        </w:tabs>
        <w:ind w:left="720"/>
        <w:rPr>
          <w:rFonts w:cs="Arial"/>
          <w:sz w:val="22"/>
          <w:szCs w:val="22"/>
        </w:rPr>
      </w:pPr>
    </w:p>
    <w:p w:rsidR="00211229" w:rsidRPr="00211229" w:rsidRDefault="00C1459C" w:rsidP="00211229">
      <w:pPr>
        <w:numPr>
          <w:ilvl w:val="12"/>
          <w:numId w:val="0"/>
        </w:numPr>
        <w:rPr>
          <w:rFonts w:cs="Arial"/>
          <w:b/>
          <w:bCs/>
          <w:sz w:val="22"/>
          <w:szCs w:val="22"/>
        </w:rPr>
      </w:pPr>
      <w:r w:rsidRPr="009B5E75">
        <w:rPr>
          <w:rFonts w:cs="Arial"/>
          <w:sz w:val="22"/>
          <w:szCs w:val="22"/>
        </w:rPr>
        <w:t>Attributes that the rulemaking options</w:t>
      </w:r>
      <w:r w:rsidR="005C2529" w:rsidRPr="009B5E75">
        <w:rPr>
          <w:rFonts w:cs="Arial"/>
          <w:sz w:val="22"/>
          <w:szCs w:val="22"/>
        </w:rPr>
        <w:t xml:space="preserve"> </w:t>
      </w:r>
      <w:r w:rsidR="003A1DAE">
        <w:rPr>
          <w:rFonts w:cs="Arial"/>
          <w:sz w:val="22"/>
          <w:szCs w:val="22"/>
        </w:rPr>
        <w:t>would</w:t>
      </w:r>
      <w:r w:rsidR="003A1DAE" w:rsidRPr="009B5E75">
        <w:rPr>
          <w:rFonts w:cs="Arial"/>
          <w:sz w:val="22"/>
          <w:szCs w:val="22"/>
        </w:rPr>
        <w:t xml:space="preserve"> </w:t>
      </w:r>
      <w:r w:rsidR="00211229" w:rsidRPr="00211229">
        <w:rPr>
          <w:rFonts w:cs="Arial"/>
          <w:i/>
          <w:sz w:val="22"/>
          <w:szCs w:val="22"/>
        </w:rPr>
        <w:t>not</w:t>
      </w:r>
      <w:r w:rsidR="005C2529" w:rsidRPr="009B5E75">
        <w:rPr>
          <w:rFonts w:cs="Arial"/>
          <w:sz w:val="22"/>
          <w:szCs w:val="22"/>
        </w:rPr>
        <w:t xml:space="preserve"> affect</w:t>
      </w:r>
      <w:r w:rsidRPr="009B5E75">
        <w:rPr>
          <w:rFonts w:cs="Arial"/>
          <w:sz w:val="22"/>
          <w:szCs w:val="22"/>
        </w:rPr>
        <w:t xml:space="preserve"> include the following: </w:t>
      </w:r>
      <w:r w:rsidR="005C2529" w:rsidRPr="009B5E75">
        <w:rPr>
          <w:rFonts w:cs="Arial"/>
          <w:sz w:val="22"/>
          <w:szCs w:val="22"/>
        </w:rPr>
        <w:t xml:space="preserve"> </w:t>
      </w:r>
      <w:r w:rsidR="00211229" w:rsidRPr="00211229">
        <w:rPr>
          <w:rFonts w:cs="Arial"/>
          <w:sz w:val="22"/>
          <w:szCs w:val="22"/>
        </w:rPr>
        <w:t xml:space="preserve">occupational health (routine), </w:t>
      </w:r>
      <w:r w:rsidR="00952C94">
        <w:rPr>
          <w:rFonts w:cs="Arial"/>
          <w:sz w:val="22"/>
          <w:szCs w:val="22"/>
        </w:rPr>
        <w:t>o</w:t>
      </w:r>
      <w:r w:rsidR="0083702D" w:rsidRPr="00211229">
        <w:rPr>
          <w:rFonts w:cs="Arial"/>
          <w:sz w:val="22"/>
          <w:szCs w:val="22"/>
        </w:rPr>
        <w:t xml:space="preserve">ccupational </w:t>
      </w:r>
      <w:r w:rsidR="00952C94">
        <w:rPr>
          <w:rFonts w:cs="Arial"/>
          <w:sz w:val="22"/>
          <w:szCs w:val="22"/>
        </w:rPr>
        <w:t>h</w:t>
      </w:r>
      <w:r w:rsidR="0083702D" w:rsidRPr="00211229">
        <w:rPr>
          <w:rFonts w:cs="Arial"/>
          <w:sz w:val="22"/>
          <w:szCs w:val="22"/>
        </w:rPr>
        <w:t>ealth (</w:t>
      </w:r>
      <w:r w:rsidR="00952C94">
        <w:rPr>
          <w:rFonts w:cs="Arial"/>
          <w:sz w:val="22"/>
          <w:szCs w:val="22"/>
        </w:rPr>
        <w:t>a</w:t>
      </w:r>
      <w:r w:rsidR="0083702D" w:rsidRPr="00211229">
        <w:rPr>
          <w:rFonts w:cs="Arial"/>
          <w:sz w:val="22"/>
          <w:szCs w:val="22"/>
        </w:rPr>
        <w:t>ccident</w:t>
      </w:r>
      <w:r w:rsidR="0083702D">
        <w:rPr>
          <w:rFonts w:cs="Arial"/>
          <w:sz w:val="22"/>
          <w:szCs w:val="22"/>
        </w:rPr>
        <w:t>s)</w:t>
      </w:r>
      <w:r w:rsidR="00035809">
        <w:rPr>
          <w:rFonts w:cs="Arial"/>
          <w:sz w:val="22"/>
          <w:szCs w:val="22"/>
        </w:rPr>
        <w:t>,</w:t>
      </w:r>
      <w:r w:rsidR="00211229" w:rsidRPr="00211229">
        <w:rPr>
          <w:rFonts w:cs="Arial"/>
          <w:sz w:val="22"/>
          <w:szCs w:val="22"/>
        </w:rPr>
        <w:t xml:space="preserve"> </w:t>
      </w:r>
      <w:r w:rsidR="00952C94">
        <w:rPr>
          <w:rFonts w:cs="Arial"/>
          <w:sz w:val="22"/>
          <w:szCs w:val="22"/>
        </w:rPr>
        <w:t>p</w:t>
      </w:r>
      <w:r w:rsidR="00211229" w:rsidRPr="00211229">
        <w:rPr>
          <w:rFonts w:cs="Arial"/>
          <w:sz w:val="22"/>
          <w:szCs w:val="22"/>
        </w:rPr>
        <w:t>ublic health (routine)</w:t>
      </w:r>
      <w:r w:rsidR="006D2DD7" w:rsidRPr="009B5E75">
        <w:rPr>
          <w:rFonts w:cs="Arial"/>
          <w:sz w:val="22"/>
          <w:szCs w:val="22"/>
        </w:rPr>
        <w:t>,</w:t>
      </w:r>
      <w:r w:rsidR="0083702D" w:rsidRPr="0083702D">
        <w:rPr>
          <w:rFonts w:cs="Arial"/>
          <w:sz w:val="22"/>
          <w:szCs w:val="22"/>
        </w:rPr>
        <w:t xml:space="preserve"> </w:t>
      </w:r>
      <w:r w:rsidR="00952C94">
        <w:rPr>
          <w:rFonts w:cs="Arial"/>
          <w:sz w:val="22"/>
          <w:szCs w:val="22"/>
        </w:rPr>
        <w:t>p</w:t>
      </w:r>
      <w:r w:rsidR="0083702D" w:rsidRPr="00211229">
        <w:rPr>
          <w:rFonts w:cs="Arial"/>
          <w:sz w:val="22"/>
          <w:szCs w:val="22"/>
        </w:rPr>
        <w:t xml:space="preserve">ublic </w:t>
      </w:r>
      <w:r w:rsidR="00952C94">
        <w:rPr>
          <w:rFonts w:cs="Arial"/>
          <w:sz w:val="22"/>
          <w:szCs w:val="22"/>
        </w:rPr>
        <w:t>h</w:t>
      </w:r>
      <w:r w:rsidR="0083702D" w:rsidRPr="00211229">
        <w:rPr>
          <w:rFonts w:cs="Arial"/>
          <w:sz w:val="22"/>
          <w:szCs w:val="22"/>
        </w:rPr>
        <w:t>ealth (</w:t>
      </w:r>
      <w:r w:rsidR="00952C94">
        <w:rPr>
          <w:rFonts w:cs="Arial"/>
          <w:sz w:val="22"/>
          <w:szCs w:val="22"/>
        </w:rPr>
        <w:t>a</w:t>
      </w:r>
      <w:r w:rsidR="0083702D" w:rsidRPr="00211229">
        <w:rPr>
          <w:rFonts w:cs="Arial"/>
          <w:sz w:val="22"/>
          <w:szCs w:val="22"/>
        </w:rPr>
        <w:t>ccident</w:t>
      </w:r>
      <w:r w:rsidR="0083702D">
        <w:rPr>
          <w:rFonts w:cs="Arial"/>
          <w:sz w:val="22"/>
          <w:szCs w:val="22"/>
        </w:rPr>
        <w:t>s</w:t>
      </w:r>
      <w:r w:rsidR="0083702D" w:rsidRPr="00211229">
        <w:rPr>
          <w:rFonts w:cs="Arial"/>
          <w:sz w:val="22"/>
          <w:szCs w:val="22"/>
        </w:rPr>
        <w:t>)</w:t>
      </w:r>
      <w:r w:rsidR="00952C94">
        <w:rPr>
          <w:rFonts w:cs="Arial"/>
          <w:sz w:val="22"/>
          <w:szCs w:val="22"/>
        </w:rPr>
        <w:t>,</w:t>
      </w:r>
      <w:r w:rsidR="00211229" w:rsidRPr="00211229">
        <w:rPr>
          <w:rFonts w:cs="Arial"/>
          <w:sz w:val="22"/>
          <w:szCs w:val="22"/>
        </w:rPr>
        <w:t xml:space="preserve"> </w:t>
      </w:r>
      <w:r w:rsidR="006D2DD7" w:rsidRPr="009B5E75">
        <w:rPr>
          <w:rFonts w:cs="Arial"/>
          <w:sz w:val="22"/>
          <w:szCs w:val="22"/>
        </w:rPr>
        <w:t>r</w:t>
      </w:r>
      <w:r w:rsidR="00211229" w:rsidRPr="00211229">
        <w:rPr>
          <w:rFonts w:cs="Arial"/>
          <w:sz w:val="22"/>
          <w:szCs w:val="22"/>
        </w:rPr>
        <w:t xml:space="preserve">egulatory </w:t>
      </w:r>
      <w:r w:rsidR="006D2DD7" w:rsidRPr="009B5E75">
        <w:rPr>
          <w:rFonts w:cs="Arial"/>
          <w:sz w:val="22"/>
          <w:szCs w:val="22"/>
        </w:rPr>
        <w:t>e</w:t>
      </w:r>
      <w:r w:rsidR="00211229" w:rsidRPr="00211229">
        <w:rPr>
          <w:rFonts w:cs="Arial"/>
          <w:sz w:val="22"/>
          <w:szCs w:val="22"/>
        </w:rPr>
        <w:t>fficiency</w:t>
      </w:r>
      <w:r w:rsidR="006D2DD7" w:rsidRPr="009B5E75">
        <w:rPr>
          <w:rFonts w:cs="Arial"/>
          <w:sz w:val="22"/>
          <w:szCs w:val="22"/>
        </w:rPr>
        <w:t>, e</w:t>
      </w:r>
      <w:r w:rsidR="00211229" w:rsidRPr="00211229">
        <w:rPr>
          <w:rFonts w:cs="Arial"/>
          <w:sz w:val="22"/>
          <w:szCs w:val="22"/>
        </w:rPr>
        <w:t xml:space="preserve">nvironmental considerations, general public, improvements in knowledge, </w:t>
      </w:r>
      <w:r w:rsidR="00693BED">
        <w:rPr>
          <w:rFonts w:cs="Arial"/>
          <w:sz w:val="22"/>
          <w:szCs w:val="22"/>
        </w:rPr>
        <w:t>o</w:t>
      </w:r>
      <w:r w:rsidR="0083702D" w:rsidRPr="00211229">
        <w:rPr>
          <w:rFonts w:cs="Arial"/>
          <w:sz w:val="22"/>
          <w:szCs w:val="22"/>
        </w:rPr>
        <w:t>ff</w:t>
      </w:r>
      <w:r w:rsidR="0083702D" w:rsidRPr="009B5E75">
        <w:rPr>
          <w:rFonts w:cs="Arial"/>
          <w:sz w:val="22"/>
          <w:szCs w:val="22"/>
        </w:rPr>
        <w:t>s</w:t>
      </w:r>
      <w:r w:rsidR="0083702D" w:rsidRPr="00211229">
        <w:rPr>
          <w:rFonts w:cs="Arial"/>
          <w:sz w:val="22"/>
          <w:szCs w:val="22"/>
        </w:rPr>
        <w:t xml:space="preserve">ite </w:t>
      </w:r>
      <w:r w:rsidR="00693BED">
        <w:rPr>
          <w:rFonts w:cs="Arial"/>
          <w:sz w:val="22"/>
          <w:szCs w:val="22"/>
        </w:rPr>
        <w:t>p</w:t>
      </w:r>
      <w:r w:rsidR="0083702D" w:rsidRPr="00211229">
        <w:rPr>
          <w:rFonts w:cs="Arial"/>
          <w:sz w:val="22"/>
          <w:szCs w:val="22"/>
        </w:rPr>
        <w:t>roperty</w:t>
      </w:r>
      <w:r w:rsidR="00952C94">
        <w:rPr>
          <w:rFonts w:cs="Arial"/>
          <w:sz w:val="22"/>
          <w:szCs w:val="22"/>
        </w:rPr>
        <w:t>,</w:t>
      </w:r>
      <w:r w:rsidR="0083702D" w:rsidRPr="0083702D">
        <w:rPr>
          <w:rFonts w:cs="Arial"/>
          <w:sz w:val="22"/>
          <w:szCs w:val="22"/>
        </w:rPr>
        <w:t xml:space="preserve"> </w:t>
      </w:r>
      <w:r w:rsidR="00693BED">
        <w:rPr>
          <w:rFonts w:cs="Arial"/>
          <w:sz w:val="22"/>
          <w:szCs w:val="22"/>
        </w:rPr>
        <w:t>o</w:t>
      </w:r>
      <w:r w:rsidR="0083702D" w:rsidRPr="00211229">
        <w:rPr>
          <w:rFonts w:cs="Arial"/>
          <w:sz w:val="22"/>
          <w:szCs w:val="22"/>
        </w:rPr>
        <w:t>n</w:t>
      </w:r>
      <w:r w:rsidR="0083702D" w:rsidRPr="009B5E75">
        <w:rPr>
          <w:rFonts w:cs="Arial"/>
          <w:sz w:val="22"/>
          <w:szCs w:val="22"/>
        </w:rPr>
        <w:t>s</w:t>
      </w:r>
      <w:r w:rsidR="0083702D" w:rsidRPr="00211229">
        <w:rPr>
          <w:rFonts w:cs="Arial"/>
          <w:sz w:val="22"/>
          <w:szCs w:val="22"/>
        </w:rPr>
        <w:t xml:space="preserve">ite </w:t>
      </w:r>
      <w:r w:rsidR="00693BED">
        <w:rPr>
          <w:rFonts w:cs="Arial"/>
          <w:sz w:val="22"/>
          <w:szCs w:val="22"/>
        </w:rPr>
        <w:t>p</w:t>
      </w:r>
      <w:r w:rsidR="0083702D" w:rsidRPr="00211229">
        <w:rPr>
          <w:rFonts w:cs="Arial"/>
          <w:sz w:val="22"/>
          <w:szCs w:val="22"/>
        </w:rPr>
        <w:t>roperty</w:t>
      </w:r>
      <w:r w:rsidR="0083702D">
        <w:rPr>
          <w:rFonts w:cs="Arial"/>
          <w:sz w:val="22"/>
          <w:szCs w:val="22"/>
        </w:rPr>
        <w:t xml:space="preserve">, </w:t>
      </w:r>
      <w:r w:rsidR="00211229" w:rsidRPr="00211229">
        <w:rPr>
          <w:rFonts w:cs="Arial"/>
          <w:sz w:val="22"/>
          <w:szCs w:val="22"/>
        </w:rPr>
        <w:t>antitrust considerations</w:t>
      </w:r>
      <w:r w:rsidR="00FD3147">
        <w:rPr>
          <w:rFonts w:cs="Arial"/>
          <w:sz w:val="22"/>
          <w:szCs w:val="22"/>
        </w:rPr>
        <w:t xml:space="preserve">, </w:t>
      </w:r>
      <w:r w:rsidR="00211229" w:rsidRPr="00211229">
        <w:rPr>
          <w:rFonts w:cs="Arial"/>
          <w:sz w:val="22"/>
          <w:szCs w:val="22"/>
        </w:rPr>
        <w:t>and other Government</w:t>
      </w:r>
      <w:r w:rsidR="009631B3">
        <w:rPr>
          <w:rFonts w:cs="Arial"/>
          <w:sz w:val="22"/>
          <w:szCs w:val="22"/>
        </w:rPr>
        <w:t xml:space="preserve"> regulations</w:t>
      </w:r>
      <w:r w:rsidR="00211229" w:rsidRPr="00211229">
        <w:rPr>
          <w:rFonts w:cs="Arial"/>
          <w:sz w:val="22"/>
          <w:szCs w:val="22"/>
        </w:rPr>
        <w:t>.</w:t>
      </w:r>
    </w:p>
    <w:p w:rsidR="004245BC" w:rsidRDefault="004245BC" w:rsidP="00C1459C">
      <w:pPr>
        <w:numPr>
          <w:ilvl w:val="12"/>
          <w:numId w:val="0"/>
        </w:numPr>
        <w:rPr>
          <w:rFonts w:cs="Arial"/>
          <w:b/>
          <w:bCs/>
          <w:sz w:val="22"/>
          <w:szCs w:val="22"/>
        </w:rPr>
      </w:pPr>
    </w:p>
    <w:p w:rsidR="00C1459C" w:rsidRPr="009B5E75" w:rsidRDefault="00C1459C" w:rsidP="00C1459C">
      <w:pPr>
        <w:numPr>
          <w:ilvl w:val="12"/>
          <w:numId w:val="0"/>
        </w:numPr>
        <w:rPr>
          <w:rFonts w:cs="Arial"/>
          <w:b/>
          <w:bCs/>
          <w:sz w:val="22"/>
          <w:szCs w:val="22"/>
        </w:rPr>
      </w:pPr>
      <w:r w:rsidRPr="009B5E75">
        <w:rPr>
          <w:rFonts w:cs="Arial"/>
          <w:b/>
          <w:bCs/>
          <w:sz w:val="22"/>
          <w:szCs w:val="22"/>
        </w:rPr>
        <w:t>3.2</w:t>
      </w:r>
      <w:r w:rsidRPr="009B5E75">
        <w:rPr>
          <w:rFonts w:cs="Arial"/>
          <w:b/>
          <w:bCs/>
          <w:sz w:val="22"/>
          <w:szCs w:val="22"/>
        </w:rPr>
        <w:tab/>
        <w:t xml:space="preserve">Analytical Methodology </w:t>
      </w:r>
      <w:r w:rsidR="001C7681" w:rsidRPr="009B5E75">
        <w:rPr>
          <w:rFonts w:cs="Arial"/>
          <w:b/>
          <w:bCs/>
          <w:sz w:val="22"/>
          <w:szCs w:val="22"/>
        </w:rPr>
        <w:fldChar w:fldCharType="begin"/>
      </w:r>
      <w:proofErr w:type="spellStart"/>
      <w:r w:rsidRPr="009B5E75">
        <w:rPr>
          <w:rFonts w:cs="Arial"/>
          <w:b/>
          <w:bCs/>
          <w:sz w:val="22"/>
          <w:szCs w:val="22"/>
        </w:rPr>
        <w:instrText>tc</w:instrText>
      </w:r>
      <w:proofErr w:type="spellEnd"/>
      <w:r w:rsidRPr="009B5E75">
        <w:rPr>
          <w:rFonts w:cs="Arial"/>
          <w:b/>
          <w:bCs/>
          <w:sz w:val="22"/>
          <w:szCs w:val="22"/>
        </w:rPr>
        <w:instrText xml:space="preserve"> "</w:instrText>
      </w:r>
      <w:bookmarkStart w:id="18" w:name="_Toc293403058"/>
      <w:bookmarkStart w:id="19" w:name="_Toc336939799"/>
      <w:r w:rsidRPr="009B5E75">
        <w:rPr>
          <w:rFonts w:cs="Arial"/>
          <w:b/>
          <w:bCs/>
          <w:sz w:val="22"/>
          <w:szCs w:val="22"/>
        </w:rPr>
        <w:instrText>3.2</w:instrText>
      </w:r>
      <w:r w:rsidRPr="009B5E75">
        <w:rPr>
          <w:rFonts w:cs="Arial"/>
          <w:b/>
          <w:bCs/>
          <w:sz w:val="22"/>
          <w:szCs w:val="22"/>
        </w:rPr>
        <w:tab/>
        <w:instrText xml:space="preserve">Analytical </w:instrText>
      </w:r>
      <w:proofErr w:type="gramStart"/>
      <w:r w:rsidRPr="009B5E75">
        <w:rPr>
          <w:rFonts w:cs="Arial"/>
          <w:b/>
          <w:bCs/>
          <w:sz w:val="22"/>
          <w:szCs w:val="22"/>
        </w:rPr>
        <w:instrText>Methodology</w:instrText>
      </w:r>
      <w:bookmarkEnd w:id="18"/>
      <w:bookmarkEnd w:id="19"/>
      <w:r w:rsidRPr="009B5E75">
        <w:rPr>
          <w:rFonts w:cs="Arial"/>
          <w:b/>
          <w:bCs/>
          <w:sz w:val="22"/>
          <w:szCs w:val="22"/>
        </w:rPr>
        <w:instrText xml:space="preserve"> "</w:instrText>
      </w:r>
      <w:proofErr w:type="gramEnd"/>
      <w:r w:rsidRPr="009B5E75">
        <w:rPr>
          <w:rFonts w:cs="Arial"/>
          <w:b/>
          <w:bCs/>
          <w:sz w:val="22"/>
          <w:szCs w:val="22"/>
        </w:rPr>
        <w:instrText xml:space="preserve"> \l 3</w:instrText>
      </w:r>
      <w:r w:rsidR="001C7681" w:rsidRPr="009B5E75">
        <w:rPr>
          <w:rFonts w:cs="Arial"/>
          <w:b/>
          <w:bCs/>
          <w:sz w:val="22"/>
          <w:szCs w:val="22"/>
        </w:rPr>
        <w:fldChar w:fldCharType="end"/>
      </w:r>
    </w:p>
    <w:p w:rsidR="00C1459C" w:rsidRPr="009B5E75" w:rsidRDefault="00C1459C" w:rsidP="00C1459C">
      <w:pPr>
        <w:numPr>
          <w:ilvl w:val="12"/>
          <w:numId w:val="0"/>
        </w:numPr>
        <w:rPr>
          <w:rFonts w:cs="Arial"/>
          <w:sz w:val="22"/>
          <w:szCs w:val="22"/>
        </w:rPr>
      </w:pPr>
    </w:p>
    <w:p w:rsidR="00972664" w:rsidRPr="009B5E75" w:rsidRDefault="00972664" w:rsidP="00314FE3">
      <w:pPr>
        <w:numPr>
          <w:ilvl w:val="12"/>
          <w:numId w:val="0"/>
        </w:numPr>
        <w:rPr>
          <w:rFonts w:cs="Arial"/>
          <w:bCs/>
          <w:sz w:val="22"/>
          <w:szCs w:val="22"/>
        </w:rPr>
      </w:pPr>
      <w:r w:rsidRPr="009B5E75">
        <w:rPr>
          <w:rFonts w:cs="Arial"/>
          <w:bCs/>
          <w:sz w:val="22"/>
          <w:szCs w:val="22"/>
        </w:rPr>
        <w:t xml:space="preserve">This section describes the methodology used to analyze the consequences associated with the proposed rule.  The values (benefits) include any desirable changes in the affected attributes.  The impacts (costs) include any undesirable changes in </w:t>
      </w:r>
      <w:r w:rsidR="00E83E8C">
        <w:rPr>
          <w:rFonts w:cs="Arial"/>
          <w:bCs/>
          <w:sz w:val="22"/>
          <w:szCs w:val="22"/>
        </w:rPr>
        <w:t xml:space="preserve">the </w:t>
      </w:r>
      <w:r w:rsidRPr="009B5E75">
        <w:rPr>
          <w:rFonts w:cs="Arial"/>
          <w:bCs/>
          <w:sz w:val="22"/>
          <w:szCs w:val="22"/>
        </w:rPr>
        <w:t>affected attributes.</w:t>
      </w:r>
    </w:p>
    <w:p w:rsidR="00C1459C" w:rsidRPr="009B5E75" w:rsidRDefault="00C1459C" w:rsidP="007F5E58">
      <w:pPr>
        <w:numPr>
          <w:ilvl w:val="12"/>
          <w:numId w:val="0"/>
        </w:numPr>
        <w:rPr>
          <w:rFonts w:cs="Arial"/>
          <w:sz w:val="22"/>
          <w:szCs w:val="22"/>
        </w:rPr>
      </w:pPr>
      <w:r w:rsidRPr="009B5E75">
        <w:rPr>
          <w:rFonts w:cs="Arial"/>
          <w:sz w:val="22"/>
          <w:szCs w:val="22"/>
        </w:rPr>
        <w:t>As described in Section 3.1, the attributes expected to be affected include the following:</w:t>
      </w:r>
    </w:p>
    <w:p w:rsidR="00C1459C" w:rsidRPr="009B5E75" w:rsidRDefault="00C1459C" w:rsidP="00C1459C">
      <w:pPr>
        <w:numPr>
          <w:ilvl w:val="12"/>
          <w:numId w:val="0"/>
        </w:numPr>
        <w:rPr>
          <w:rFonts w:cs="Arial"/>
          <w:sz w:val="22"/>
          <w:szCs w:val="22"/>
        </w:rPr>
      </w:pPr>
    </w:p>
    <w:p w:rsidR="00210EA3" w:rsidRDefault="00285655" w:rsidP="00210EA3">
      <w:pPr>
        <w:pStyle w:val="Level1"/>
        <w:numPr>
          <w:ilvl w:val="0"/>
          <w:numId w:val="24"/>
        </w:numPr>
        <w:tabs>
          <w:tab w:val="left" w:pos="360"/>
        </w:tabs>
        <w:ind w:left="360"/>
        <w:rPr>
          <w:rFonts w:cs="Arial"/>
          <w:sz w:val="22"/>
          <w:szCs w:val="22"/>
        </w:rPr>
      </w:pPr>
      <w:r w:rsidRPr="00210EA3">
        <w:rPr>
          <w:rFonts w:cs="Arial"/>
          <w:sz w:val="22"/>
          <w:szCs w:val="22"/>
        </w:rPr>
        <w:t>I</w:t>
      </w:r>
      <w:r w:rsidR="00C1459C" w:rsidRPr="00210EA3">
        <w:rPr>
          <w:rFonts w:cs="Arial"/>
          <w:sz w:val="22"/>
          <w:szCs w:val="22"/>
        </w:rPr>
        <w:t xml:space="preserve">ndustry </w:t>
      </w:r>
      <w:r w:rsidR="00E83E8C" w:rsidRPr="00210EA3">
        <w:rPr>
          <w:rFonts w:cs="Arial"/>
          <w:sz w:val="22"/>
          <w:szCs w:val="22"/>
        </w:rPr>
        <w:t>i</w:t>
      </w:r>
      <w:r w:rsidR="00C1459C" w:rsidRPr="00210EA3">
        <w:rPr>
          <w:rFonts w:cs="Arial"/>
          <w:sz w:val="22"/>
          <w:szCs w:val="22"/>
        </w:rPr>
        <w:t>mplementation</w:t>
      </w:r>
      <w:r w:rsidR="00210EA3" w:rsidRPr="00210EA3">
        <w:rPr>
          <w:rFonts w:cs="Arial"/>
          <w:sz w:val="22"/>
          <w:szCs w:val="22"/>
        </w:rPr>
        <w:t xml:space="preserve"> </w:t>
      </w:r>
    </w:p>
    <w:p w:rsidR="00211229" w:rsidRPr="00210EA3" w:rsidRDefault="00285655" w:rsidP="00210EA3">
      <w:pPr>
        <w:pStyle w:val="Level1"/>
        <w:numPr>
          <w:ilvl w:val="0"/>
          <w:numId w:val="24"/>
        </w:numPr>
        <w:tabs>
          <w:tab w:val="left" w:pos="360"/>
        </w:tabs>
        <w:ind w:left="360"/>
        <w:rPr>
          <w:rFonts w:cs="Arial"/>
          <w:sz w:val="22"/>
          <w:szCs w:val="22"/>
        </w:rPr>
      </w:pPr>
      <w:r w:rsidRPr="00210EA3">
        <w:rPr>
          <w:rFonts w:cs="Arial"/>
          <w:sz w:val="22"/>
          <w:szCs w:val="22"/>
        </w:rPr>
        <w:t>I</w:t>
      </w:r>
      <w:r w:rsidR="00C1459C" w:rsidRPr="00210EA3">
        <w:rPr>
          <w:rFonts w:cs="Arial"/>
          <w:sz w:val="22"/>
          <w:szCs w:val="22"/>
        </w:rPr>
        <w:t xml:space="preserve">ndustry </w:t>
      </w:r>
      <w:r w:rsidR="00E83E8C" w:rsidRPr="00210EA3">
        <w:rPr>
          <w:rFonts w:cs="Arial"/>
          <w:sz w:val="22"/>
          <w:szCs w:val="22"/>
        </w:rPr>
        <w:t>o</w:t>
      </w:r>
      <w:r w:rsidR="00C1459C" w:rsidRPr="00210EA3">
        <w:rPr>
          <w:rFonts w:cs="Arial"/>
          <w:sz w:val="22"/>
          <w:szCs w:val="22"/>
        </w:rPr>
        <w:t>peration</w:t>
      </w:r>
    </w:p>
    <w:p w:rsidR="00211229" w:rsidRDefault="00C1459C" w:rsidP="00210EA3">
      <w:pPr>
        <w:pStyle w:val="Level1"/>
        <w:numPr>
          <w:ilvl w:val="0"/>
          <w:numId w:val="24"/>
        </w:numPr>
        <w:tabs>
          <w:tab w:val="left" w:pos="360"/>
        </w:tabs>
        <w:ind w:left="360"/>
        <w:rPr>
          <w:rFonts w:cs="Arial"/>
          <w:sz w:val="22"/>
          <w:szCs w:val="22"/>
        </w:rPr>
      </w:pPr>
      <w:r w:rsidRPr="009B5E75">
        <w:rPr>
          <w:rFonts w:cs="Arial"/>
          <w:sz w:val="22"/>
          <w:szCs w:val="22"/>
        </w:rPr>
        <w:t xml:space="preserve">NRC </w:t>
      </w:r>
      <w:r w:rsidR="00E83E8C">
        <w:rPr>
          <w:rFonts w:cs="Arial"/>
          <w:sz w:val="22"/>
          <w:szCs w:val="22"/>
        </w:rPr>
        <w:t>i</w:t>
      </w:r>
      <w:r w:rsidRPr="009B5E75">
        <w:rPr>
          <w:rFonts w:cs="Arial"/>
          <w:sz w:val="22"/>
          <w:szCs w:val="22"/>
        </w:rPr>
        <w:t>mplementation</w:t>
      </w:r>
    </w:p>
    <w:p w:rsidR="00211229" w:rsidRDefault="00C1459C" w:rsidP="00210EA3">
      <w:pPr>
        <w:pStyle w:val="Level1"/>
        <w:numPr>
          <w:ilvl w:val="0"/>
          <w:numId w:val="24"/>
        </w:numPr>
        <w:tabs>
          <w:tab w:val="left" w:pos="360"/>
        </w:tabs>
        <w:ind w:left="360"/>
        <w:rPr>
          <w:rFonts w:cs="Arial"/>
          <w:sz w:val="22"/>
          <w:szCs w:val="22"/>
        </w:rPr>
      </w:pPr>
      <w:r w:rsidRPr="009B5E75">
        <w:rPr>
          <w:rFonts w:cs="Arial"/>
          <w:sz w:val="22"/>
          <w:szCs w:val="22"/>
        </w:rPr>
        <w:t xml:space="preserve">NRC </w:t>
      </w:r>
      <w:r w:rsidR="00E83E8C">
        <w:rPr>
          <w:rFonts w:cs="Arial"/>
          <w:sz w:val="22"/>
          <w:szCs w:val="22"/>
        </w:rPr>
        <w:t>o</w:t>
      </w:r>
      <w:r w:rsidRPr="009B5E75">
        <w:rPr>
          <w:rFonts w:cs="Arial"/>
          <w:sz w:val="22"/>
          <w:szCs w:val="22"/>
        </w:rPr>
        <w:t>peration</w:t>
      </w:r>
      <w:r w:rsidR="008A09B2">
        <w:rPr>
          <w:rFonts w:cs="Arial"/>
          <w:sz w:val="22"/>
          <w:szCs w:val="22"/>
        </w:rPr>
        <w:t>s</w:t>
      </w:r>
    </w:p>
    <w:p w:rsidR="00F23626" w:rsidRDefault="00B65C39" w:rsidP="00F23626">
      <w:pPr>
        <w:pStyle w:val="Level1"/>
        <w:numPr>
          <w:ilvl w:val="0"/>
          <w:numId w:val="24"/>
        </w:numPr>
        <w:tabs>
          <w:tab w:val="left" w:pos="360"/>
        </w:tabs>
        <w:ind w:left="360"/>
        <w:rPr>
          <w:rFonts w:cs="Arial"/>
          <w:sz w:val="22"/>
          <w:szCs w:val="22"/>
        </w:rPr>
      </w:pPr>
      <w:r>
        <w:rPr>
          <w:rFonts w:cs="Arial"/>
          <w:sz w:val="22"/>
          <w:szCs w:val="22"/>
        </w:rPr>
        <w:t>S</w:t>
      </w:r>
      <w:r w:rsidR="009A2FFD" w:rsidRPr="003A1DAE">
        <w:rPr>
          <w:rFonts w:cs="Arial"/>
          <w:sz w:val="22"/>
          <w:szCs w:val="22"/>
        </w:rPr>
        <w:t xml:space="preserve">ecurity </w:t>
      </w:r>
      <w:r w:rsidR="000F4A96">
        <w:rPr>
          <w:rFonts w:cs="Arial"/>
          <w:sz w:val="22"/>
          <w:szCs w:val="22"/>
        </w:rPr>
        <w:t xml:space="preserve">and safeguards </w:t>
      </w:r>
      <w:r w:rsidR="009A2FFD" w:rsidRPr="003A1DAE">
        <w:rPr>
          <w:rFonts w:cs="Arial"/>
          <w:sz w:val="22"/>
          <w:szCs w:val="22"/>
        </w:rPr>
        <w:t>considerations</w:t>
      </w:r>
    </w:p>
    <w:p w:rsidR="00DF0008" w:rsidRDefault="00DF0008">
      <w:pPr>
        <w:pStyle w:val="Level1"/>
        <w:tabs>
          <w:tab w:val="left" w:pos="360"/>
        </w:tabs>
        <w:rPr>
          <w:rFonts w:cs="Arial"/>
          <w:sz w:val="22"/>
          <w:szCs w:val="22"/>
        </w:rPr>
      </w:pPr>
    </w:p>
    <w:p w:rsidR="00D55484" w:rsidRDefault="00D55484" w:rsidP="00D55484">
      <w:pPr>
        <w:autoSpaceDE/>
        <w:rPr>
          <w:sz w:val="24"/>
          <w:szCs w:val="24"/>
        </w:rPr>
      </w:pPr>
      <w:r>
        <w:rPr>
          <w:rFonts w:cs="Arial"/>
          <w:sz w:val="22"/>
          <w:szCs w:val="22"/>
        </w:rPr>
        <w:lastRenderedPageBreak/>
        <w:t xml:space="preserve">This analysis relies on a qualitative evaluation of one of the affected attributes (security </w:t>
      </w:r>
      <w:r w:rsidR="00284272">
        <w:rPr>
          <w:rFonts w:cs="Arial"/>
          <w:sz w:val="22"/>
          <w:szCs w:val="22"/>
        </w:rPr>
        <w:t xml:space="preserve">and safeguards </w:t>
      </w:r>
      <w:r>
        <w:rPr>
          <w:rFonts w:cs="Arial"/>
          <w:sz w:val="22"/>
          <w:szCs w:val="22"/>
        </w:rPr>
        <w:t>considerations) due to the difficulty in quantifying the impact of the current rulemaking</w:t>
      </w:r>
      <w:r w:rsidR="00906EB7">
        <w:rPr>
          <w:rFonts w:cs="Arial"/>
          <w:sz w:val="22"/>
          <w:szCs w:val="22"/>
        </w:rPr>
        <w:t xml:space="preserve">.  </w:t>
      </w:r>
      <w:r>
        <w:rPr>
          <w:rFonts w:cs="Arial"/>
          <w:sz w:val="22"/>
          <w:szCs w:val="22"/>
        </w:rPr>
        <w:t>This attribute would be affected by the regulatory options through the associated reduction in the risks of damage from malevolent use of SNM.  Quantification would require estimation of factors such as:</w:t>
      </w:r>
      <w:r w:rsidR="00921BB1">
        <w:rPr>
          <w:rFonts w:cs="Arial"/>
          <w:sz w:val="22"/>
          <w:szCs w:val="22"/>
        </w:rPr>
        <w:t xml:space="preserve"> </w:t>
      </w:r>
      <w:r>
        <w:rPr>
          <w:rFonts w:cs="Arial"/>
          <w:sz w:val="22"/>
          <w:szCs w:val="22"/>
        </w:rPr>
        <w:t xml:space="preserve"> (1) the frequency of attempted theft or diversion, (2) the frequency with which theft or diversion attempts are (i.e., pre-rule) and will be (i.e., post-rule) successful, and (3) the impacts associated with successful theft or diversion attempts.</w:t>
      </w:r>
      <w:r>
        <w:rPr>
          <w:sz w:val="24"/>
          <w:szCs w:val="24"/>
        </w:rPr>
        <w:t xml:space="preserve"> </w:t>
      </w:r>
    </w:p>
    <w:p w:rsidR="00DF0008" w:rsidRDefault="00DF0008">
      <w:pPr>
        <w:pStyle w:val="Level1"/>
        <w:tabs>
          <w:tab w:val="left" w:pos="360"/>
        </w:tabs>
        <w:rPr>
          <w:rFonts w:cs="Arial"/>
          <w:sz w:val="22"/>
          <w:szCs w:val="22"/>
        </w:rPr>
      </w:pPr>
    </w:p>
    <w:p w:rsidR="00D55484" w:rsidRPr="009B5E75" w:rsidRDefault="00D55484" w:rsidP="00D55484">
      <w:pPr>
        <w:numPr>
          <w:ilvl w:val="12"/>
          <w:numId w:val="0"/>
        </w:numPr>
        <w:rPr>
          <w:rFonts w:cs="Arial"/>
          <w:bCs/>
          <w:sz w:val="22"/>
          <w:szCs w:val="22"/>
        </w:rPr>
      </w:pPr>
      <w:r w:rsidRPr="009B5E75">
        <w:rPr>
          <w:rFonts w:cs="Arial"/>
          <w:bCs/>
          <w:sz w:val="22"/>
          <w:szCs w:val="22"/>
        </w:rPr>
        <w:t>The NRC collected input assumptions using data and information from NRC workgroups and staff experience</w:t>
      </w:r>
      <w:r>
        <w:rPr>
          <w:rFonts w:cs="Arial"/>
          <w:bCs/>
          <w:sz w:val="22"/>
          <w:szCs w:val="22"/>
        </w:rPr>
        <w:t xml:space="preserve"> and</w:t>
      </w:r>
      <w:r w:rsidRPr="009B5E75">
        <w:rPr>
          <w:rFonts w:cs="Arial"/>
          <w:bCs/>
          <w:sz w:val="22"/>
          <w:szCs w:val="22"/>
        </w:rPr>
        <w:t xml:space="preserve"> NRC databases</w:t>
      </w:r>
      <w:r>
        <w:rPr>
          <w:rFonts w:cs="Arial"/>
          <w:bCs/>
          <w:sz w:val="22"/>
          <w:szCs w:val="22"/>
        </w:rPr>
        <w:t xml:space="preserve"> to estimate the costs associated with implementation and costs associated with annual operations of industry and the NRC</w:t>
      </w:r>
      <w:r w:rsidRPr="009B5E75">
        <w:rPr>
          <w:rFonts w:cs="Arial"/>
          <w:bCs/>
          <w:sz w:val="22"/>
          <w:szCs w:val="22"/>
        </w:rPr>
        <w:t>.</w:t>
      </w:r>
    </w:p>
    <w:p w:rsidR="00424986" w:rsidRPr="009B5E75" w:rsidRDefault="00424986" w:rsidP="00C1459C">
      <w:pPr>
        <w:numPr>
          <w:ilvl w:val="12"/>
          <w:numId w:val="0"/>
        </w:numPr>
        <w:rPr>
          <w:rFonts w:cs="Arial"/>
          <w:sz w:val="22"/>
          <w:szCs w:val="22"/>
        </w:rPr>
      </w:pPr>
    </w:p>
    <w:p w:rsidR="00424986" w:rsidRPr="009B5E75" w:rsidRDefault="00424986" w:rsidP="00314FE3">
      <w:pPr>
        <w:rPr>
          <w:rFonts w:cs="Arial"/>
          <w:sz w:val="22"/>
          <w:szCs w:val="22"/>
        </w:rPr>
      </w:pPr>
      <w:r w:rsidRPr="009B5E75">
        <w:rPr>
          <w:rFonts w:cs="Arial"/>
          <w:sz w:val="22"/>
          <w:szCs w:val="22"/>
        </w:rPr>
        <w:t xml:space="preserve">In accordance with </w:t>
      </w:r>
      <w:r w:rsidR="00CF6EA1">
        <w:rPr>
          <w:rFonts w:cs="Arial"/>
          <w:sz w:val="22"/>
          <w:szCs w:val="22"/>
        </w:rPr>
        <w:t xml:space="preserve">guidance from the </w:t>
      </w:r>
      <w:r w:rsidRPr="009B5E75">
        <w:rPr>
          <w:rFonts w:cs="Arial"/>
          <w:sz w:val="22"/>
          <w:szCs w:val="22"/>
        </w:rPr>
        <w:t xml:space="preserve">Office of Management and Budget </w:t>
      </w:r>
      <w:r w:rsidR="00844BBB">
        <w:rPr>
          <w:rFonts w:cs="Arial"/>
          <w:sz w:val="22"/>
          <w:szCs w:val="22"/>
        </w:rPr>
        <w:t xml:space="preserve">(OMB) </w:t>
      </w:r>
      <w:r w:rsidRPr="009B5E75">
        <w:rPr>
          <w:rFonts w:cs="Arial"/>
          <w:sz w:val="22"/>
          <w:szCs w:val="22"/>
        </w:rPr>
        <w:t>and NUREG/BR</w:t>
      </w:r>
      <w:r w:rsidR="00CF6EA1">
        <w:rPr>
          <w:rFonts w:cs="Arial"/>
          <w:sz w:val="22"/>
          <w:szCs w:val="22"/>
        </w:rPr>
        <w:noBreakHyphen/>
      </w:r>
      <w:r w:rsidRPr="009B5E75">
        <w:rPr>
          <w:rFonts w:cs="Arial"/>
          <w:sz w:val="22"/>
          <w:szCs w:val="22"/>
        </w:rPr>
        <w:t>0058, Rev</w:t>
      </w:r>
      <w:r w:rsidR="00E83E8C">
        <w:rPr>
          <w:rFonts w:cs="Arial"/>
          <w:sz w:val="22"/>
          <w:szCs w:val="22"/>
        </w:rPr>
        <w:t>ision</w:t>
      </w:r>
      <w:r w:rsidR="00616916">
        <w:rPr>
          <w:rFonts w:cs="Arial"/>
          <w:sz w:val="22"/>
          <w:szCs w:val="22"/>
        </w:rPr>
        <w:t> </w:t>
      </w:r>
      <w:r w:rsidRPr="009B5E75">
        <w:rPr>
          <w:rFonts w:cs="Arial"/>
          <w:sz w:val="22"/>
          <w:szCs w:val="22"/>
        </w:rPr>
        <w:t xml:space="preserve">4, </w:t>
      </w:r>
      <w:r w:rsidR="00DC390A">
        <w:rPr>
          <w:rFonts w:cs="Arial"/>
          <w:sz w:val="22"/>
          <w:szCs w:val="22"/>
        </w:rPr>
        <w:t xml:space="preserve">this regulatory analysis presents </w:t>
      </w:r>
      <w:r w:rsidRPr="009B5E75">
        <w:rPr>
          <w:rFonts w:cs="Arial"/>
          <w:sz w:val="22"/>
          <w:szCs w:val="22"/>
        </w:rPr>
        <w:t>the results of the analysis using both 3</w:t>
      </w:r>
      <w:r w:rsidR="008E17AB">
        <w:rPr>
          <w:rFonts w:cs="Arial"/>
          <w:sz w:val="22"/>
          <w:szCs w:val="22"/>
        </w:rPr>
        <w:t>-</w:t>
      </w:r>
      <w:r w:rsidRPr="009B5E75">
        <w:rPr>
          <w:rFonts w:cs="Arial"/>
          <w:sz w:val="22"/>
          <w:szCs w:val="22"/>
        </w:rPr>
        <w:t>percent and 7</w:t>
      </w:r>
      <w:r w:rsidR="008E17AB">
        <w:rPr>
          <w:rFonts w:cs="Arial"/>
          <w:sz w:val="22"/>
          <w:szCs w:val="22"/>
        </w:rPr>
        <w:t>-</w:t>
      </w:r>
      <w:r w:rsidRPr="009B5E75">
        <w:rPr>
          <w:rFonts w:cs="Arial"/>
          <w:sz w:val="22"/>
          <w:szCs w:val="22"/>
        </w:rPr>
        <w:t xml:space="preserve">percent real discount rates. </w:t>
      </w:r>
      <w:r w:rsidR="00793231">
        <w:rPr>
          <w:rFonts w:cs="Arial"/>
          <w:sz w:val="22"/>
          <w:szCs w:val="22"/>
        </w:rPr>
        <w:t xml:space="preserve"> </w:t>
      </w:r>
      <w:r w:rsidR="00B65C39" w:rsidRPr="00B65C39">
        <w:rPr>
          <w:rFonts w:cs="Arial"/>
          <w:sz w:val="22"/>
          <w:szCs w:val="22"/>
        </w:rPr>
        <w:t xml:space="preserve">The </w:t>
      </w:r>
      <w:r w:rsidR="00B65C39">
        <w:rPr>
          <w:rFonts w:cs="Arial"/>
          <w:sz w:val="22"/>
          <w:szCs w:val="22"/>
        </w:rPr>
        <w:t xml:space="preserve">real discounted rates or </w:t>
      </w:r>
      <w:r w:rsidR="00B65C39" w:rsidRPr="00B65C39">
        <w:rPr>
          <w:rFonts w:cs="Arial"/>
          <w:sz w:val="22"/>
          <w:szCs w:val="22"/>
        </w:rPr>
        <w:t xml:space="preserve">present-worth calculation </w:t>
      </w:r>
      <w:r w:rsidR="00B65C39">
        <w:rPr>
          <w:rFonts w:cs="Arial"/>
          <w:sz w:val="22"/>
          <w:szCs w:val="22"/>
        </w:rPr>
        <w:t>s</w:t>
      </w:r>
      <w:r w:rsidR="00B65C39" w:rsidRPr="00B65C39">
        <w:rPr>
          <w:rFonts w:cs="Arial"/>
          <w:sz w:val="22"/>
          <w:szCs w:val="22"/>
        </w:rPr>
        <w:t>imply determin</w:t>
      </w:r>
      <w:r w:rsidR="00B65C39">
        <w:rPr>
          <w:rFonts w:cs="Arial"/>
          <w:sz w:val="22"/>
          <w:szCs w:val="22"/>
        </w:rPr>
        <w:t>es</w:t>
      </w:r>
      <w:r w:rsidR="00B65C39" w:rsidRPr="00B65C39">
        <w:rPr>
          <w:rFonts w:cs="Arial"/>
          <w:sz w:val="22"/>
          <w:szCs w:val="22"/>
        </w:rPr>
        <w:t xml:space="preserve"> how much society would need to invest today to ensure that the designated dollar amount is available in a given year in the future.  By using present-worth, costs</w:t>
      </w:r>
      <w:r w:rsidR="00B65C39">
        <w:rPr>
          <w:rFonts w:cs="Arial"/>
          <w:sz w:val="22"/>
          <w:szCs w:val="22"/>
        </w:rPr>
        <w:t xml:space="preserve"> and benefits</w:t>
      </w:r>
      <w:r w:rsidR="00B65C39" w:rsidRPr="00B65C39">
        <w:rPr>
          <w:rFonts w:cs="Arial"/>
          <w:sz w:val="22"/>
          <w:szCs w:val="22"/>
        </w:rPr>
        <w:t xml:space="preserve">, regardless of when averted in time, are valued equally.  </w:t>
      </w:r>
      <w:proofErr w:type="gramStart"/>
      <w:r w:rsidR="00B65C39" w:rsidRPr="00B65C39">
        <w:rPr>
          <w:rFonts w:cs="Arial"/>
          <w:sz w:val="22"/>
          <w:szCs w:val="22"/>
        </w:rPr>
        <w:t>Based on OMB guidance (OMB Circular No.</w:t>
      </w:r>
      <w:proofErr w:type="gramEnd"/>
      <w:r w:rsidR="00B65C39" w:rsidRPr="00B65C39">
        <w:rPr>
          <w:rFonts w:cs="Arial"/>
          <w:sz w:val="22"/>
          <w:szCs w:val="22"/>
        </w:rPr>
        <w:t xml:space="preserve"> A-4, September, 17, 2003), present-worth calculations are presented using both </w:t>
      </w:r>
      <w:r w:rsidR="00D932CD" w:rsidRPr="00B65C39">
        <w:rPr>
          <w:rFonts w:cs="Arial"/>
          <w:sz w:val="22"/>
          <w:szCs w:val="22"/>
        </w:rPr>
        <w:t>3</w:t>
      </w:r>
      <w:r w:rsidR="00D932CD">
        <w:rPr>
          <w:rFonts w:cs="Arial"/>
          <w:sz w:val="22"/>
          <w:szCs w:val="22"/>
        </w:rPr>
        <w:t>-</w:t>
      </w:r>
      <w:r w:rsidR="00B65C39" w:rsidRPr="00B65C39">
        <w:rPr>
          <w:rFonts w:cs="Arial"/>
          <w:sz w:val="22"/>
          <w:szCs w:val="22"/>
        </w:rPr>
        <w:t xml:space="preserve">percent and </w:t>
      </w:r>
      <w:r w:rsidR="00D932CD" w:rsidRPr="00B65C39">
        <w:rPr>
          <w:rFonts w:cs="Arial"/>
          <w:sz w:val="22"/>
          <w:szCs w:val="22"/>
        </w:rPr>
        <w:t>7</w:t>
      </w:r>
      <w:r w:rsidR="00D932CD">
        <w:rPr>
          <w:rFonts w:cs="Arial"/>
          <w:sz w:val="22"/>
          <w:szCs w:val="22"/>
        </w:rPr>
        <w:t>-</w:t>
      </w:r>
      <w:r w:rsidR="00B65C39" w:rsidRPr="00B65C39">
        <w:rPr>
          <w:rFonts w:cs="Arial"/>
          <w:sz w:val="22"/>
          <w:szCs w:val="22"/>
        </w:rPr>
        <w:t xml:space="preserve">percent real discount rates.  The </w:t>
      </w:r>
      <w:r w:rsidR="00D932CD" w:rsidRPr="00B65C39">
        <w:rPr>
          <w:rFonts w:cs="Arial"/>
          <w:sz w:val="22"/>
          <w:szCs w:val="22"/>
        </w:rPr>
        <w:t>3</w:t>
      </w:r>
      <w:r w:rsidR="00D932CD">
        <w:rPr>
          <w:rFonts w:cs="Arial"/>
          <w:sz w:val="22"/>
          <w:szCs w:val="22"/>
        </w:rPr>
        <w:t>-</w:t>
      </w:r>
      <w:r w:rsidR="00B65C39" w:rsidRPr="00B65C39">
        <w:rPr>
          <w:rFonts w:cs="Arial"/>
          <w:sz w:val="22"/>
          <w:szCs w:val="22"/>
        </w:rPr>
        <w:t xml:space="preserve">percent rate approximates the real rate of return on long-term government debt which serves as a proxy for the real rate of return on savings.  This rate is appropriate when the primary effect of the regulation is on private consumption.  Alternatively, the </w:t>
      </w:r>
      <w:r w:rsidR="00D932CD" w:rsidRPr="00B65C39">
        <w:rPr>
          <w:rFonts w:cs="Arial"/>
          <w:sz w:val="22"/>
          <w:szCs w:val="22"/>
        </w:rPr>
        <w:t>7</w:t>
      </w:r>
      <w:r w:rsidR="00D932CD">
        <w:rPr>
          <w:rFonts w:cs="Arial"/>
          <w:sz w:val="22"/>
          <w:szCs w:val="22"/>
        </w:rPr>
        <w:t>-</w:t>
      </w:r>
      <w:r w:rsidR="00B65C39" w:rsidRPr="00B65C39">
        <w:rPr>
          <w:rFonts w:cs="Arial"/>
          <w:sz w:val="22"/>
          <w:szCs w:val="22"/>
        </w:rPr>
        <w:t xml:space="preserve">percent rate approximates the marginal pretax real rate of return on an average investment in the private sector, and is the appropriate discount rate whenever the main effect of a regulation is to displace or alter the use of capital in the private sector. </w:t>
      </w:r>
      <w:r w:rsidR="00B65C39">
        <w:rPr>
          <w:rFonts w:cs="Arial"/>
          <w:sz w:val="22"/>
          <w:szCs w:val="22"/>
        </w:rPr>
        <w:t xml:space="preserve"> </w:t>
      </w:r>
      <w:r w:rsidRPr="009B5E75">
        <w:rPr>
          <w:rFonts w:cs="Arial"/>
          <w:sz w:val="22"/>
          <w:szCs w:val="22"/>
        </w:rPr>
        <w:t xml:space="preserve">The NRC seeks public comments on the accuracy of </w:t>
      </w:r>
      <w:r w:rsidR="00C11DC4" w:rsidRPr="009B5E75">
        <w:rPr>
          <w:rFonts w:cs="Arial"/>
          <w:sz w:val="22"/>
          <w:szCs w:val="22"/>
        </w:rPr>
        <w:t>these regulatory analysis assumptions</w:t>
      </w:r>
      <w:r w:rsidRPr="009B5E75">
        <w:rPr>
          <w:rFonts w:cs="Arial"/>
          <w:sz w:val="22"/>
          <w:szCs w:val="22"/>
        </w:rPr>
        <w:t xml:space="preserve"> and on the validity of the proposed rule</w:t>
      </w:r>
      <w:r w:rsidR="009845C2">
        <w:rPr>
          <w:rFonts w:cs="Arial"/>
          <w:sz w:val="22"/>
          <w:szCs w:val="22"/>
        </w:rPr>
        <w:t>’</w:t>
      </w:r>
      <w:r w:rsidRPr="009B5E75">
        <w:rPr>
          <w:rFonts w:cs="Arial"/>
          <w:sz w:val="22"/>
          <w:szCs w:val="22"/>
        </w:rPr>
        <w:t>s value and impact estimation methods.</w:t>
      </w:r>
    </w:p>
    <w:p w:rsidR="00C1459C" w:rsidRPr="009B5E75" w:rsidRDefault="00C1459C" w:rsidP="00C1459C">
      <w:pPr>
        <w:pStyle w:val="Level1"/>
        <w:numPr>
          <w:ilvl w:val="12"/>
          <w:numId w:val="0"/>
        </w:numPr>
        <w:rPr>
          <w:rFonts w:cs="Arial"/>
          <w:sz w:val="22"/>
          <w:szCs w:val="22"/>
        </w:rPr>
      </w:pPr>
    </w:p>
    <w:p w:rsidR="00C1459C" w:rsidRPr="009B5E75" w:rsidRDefault="00C1459C" w:rsidP="00C1459C">
      <w:pPr>
        <w:numPr>
          <w:ilvl w:val="12"/>
          <w:numId w:val="0"/>
        </w:numPr>
        <w:tabs>
          <w:tab w:val="left" w:pos="720"/>
          <w:tab w:val="left" w:pos="1440"/>
        </w:tabs>
        <w:ind w:left="1440" w:hanging="1440"/>
        <w:rPr>
          <w:rFonts w:cs="Arial"/>
          <w:b/>
          <w:bCs/>
          <w:sz w:val="22"/>
          <w:szCs w:val="22"/>
        </w:rPr>
      </w:pPr>
      <w:r w:rsidRPr="009B5E75">
        <w:rPr>
          <w:rFonts w:cs="Arial"/>
          <w:b/>
          <w:bCs/>
          <w:sz w:val="22"/>
          <w:szCs w:val="22"/>
        </w:rPr>
        <w:t>3.2.</w:t>
      </w:r>
      <w:r w:rsidR="009E5549">
        <w:rPr>
          <w:rFonts w:cs="Arial"/>
          <w:b/>
          <w:bCs/>
          <w:sz w:val="22"/>
          <w:szCs w:val="22"/>
        </w:rPr>
        <w:t>1</w:t>
      </w:r>
      <w:r w:rsidRPr="009B5E75">
        <w:rPr>
          <w:rFonts w:cs="Arial"/>
          <w:b/>
          <w:bCs/>
          <w:sz w:val="22"/>
          <w:szCs w:val="22"/>
        </w:rPr>
        <w:tab/>
        <w:t xml:space="preserve">Data and Assumptions </w:t>
      </w:r>
      <w:r w:rsidR="001C7681" w:rsidRPr="009B5E75">
        <w:rPr>
          <w:rFonts w:cs="Arial"/>
          <w:b/>
          <w:bCs/>
          <w:sz w:val="22"/>
          <w:szCs w:val="22"/>
        </w:rPr>
        <w:fldChar w:fldCharType="begin"/>
      </w:r>
      <w:proofErr w:type="spellStart"/>
      <w:proofErr w:type="gramStart"/>
      <w:r w:rsidRPr="009B5E75">
        <w:rPr>
          <w:rFonts w:cs="Arial"/>
          <w:b/>
          <w:bCs/>
          <w:sz w:val="22"/>
          <w:szCs w:val="22"/>
        </w:rPr>
        <w:instrText>tc</w:instrText>
      </w:r>
      <w:proofErr w:type="spellEnd"/>
      <w:proofErr w:type="gramEnd"/>
      <w:r w:rsidRPr="009B5E75">
        <w:rPr>
          <w:rFonts w:cs="Arial"/>
          <w:b/>
          <w:bCs/>
          <w:sz w:val="22"/>
          <w:szCs w:val="22"/>
        </w:rPr>
        <w:instrText xml:space="preserve"> "</w:instrText>
      </w:r>
      <w:r w:rsidRPr="009B5E75">
        <w:rPr>
          <w:rFonts w:cs="Arial"/>
          <w:b/>
          <w:bCs/>
          <w:sz w:val="22"/>
          <w:szCs w:val="22"/>
        </w:rPr>
        <w:tab/>
      </w:r>
      <w:bookmarkStart w:id="20" w:name="_Toc293403060"/>
      <w:bookmarkStart w:id="21" w:name="_Toc336939800"/>
      <w:r w:rsidRPr="009B5E75">
        <w:rPr>
          <w:rFonts w:cs="Arial"/>
          <w:b/>
          <w:bCs/>
          <w:sz w:val="22"/>
          <w:szCs w:val="22"/>
        </w:rPr>
        <w:instrText>3.2.2</w:instrText>
      </w:r>
      <w:r w:rsidRPr="009B5E75">
        <w:rPr>
          <w:rFonts w:cs="Arial"/>
          <w:b/>
          <w:bCs/>
          <w:sz w:val="22"/>
          <w:szCs w:val="22"/>
        </w:rPr>
        <w:tab/>
        <w:instrText>Data and Assumptions</w:instrText>
      </w:r>
      <w:bookmarkEnd w:id="20"/>
      <w:bookmarkEnd w:id="21"/>
      <w:r w:rsidRPr="009B5E75">
        <w:rPr>
          <w:rFonts w:cs="Arial"/>
          <w:b/>
          <w:bCs/>
          <w:sz w:val="22"/>
          <w:szCs w:val="22"/>
        </w:rPr>
        <w:instrText xml:space="preserve"> " \l 3</w:instrText>
      </w:r>
      <w:r w:rsidR="001C7681" w:rsidRPr="009B5E75">
        <w:rPr>
          <w:rFonts w:cs="Arial"/>
          <w:b/>
          <w:bCs/>
          <w:sz w:val="22"/>
          <w:szCs w:val="22"/>
        </w:rPr>
        <w:fldChar w:fldCharType="end"/>
      </w:r>
    </w:p>
    <w:p w:rsidR="00C1459C" w:rsidRPr="009B5E75" w:rsidRDefault="00C1459C" w:rsidP="00C1459C">
      <w:pPr>
        <w:numPr>
          <w:ilvl w:val="12"/>
          <w:numId w:val="0"/>
        </w:numPr>
        <w:rPr>
          <w:rFonts w:cs="Arial"/>
          <w:sz w:val="22"/>
          <w:szCs w:val="22"/>
        </w:rPr>
      </w:pPr>
    </w:p>
    <w:p w:rsidR="00CB1839" w:rsidRDefault="00B6757D" w:rsidP="00C1459C">
      <w:pPr>
        <w:numPr>
          <w:ilvl w:val="12"/>
          <w:numId w:val="0"/>
        </w:numPr>
        <w:rPr>
          <w:rFonts w:cs="Arial"/>
          <w:sz w:val="22"/>
          <w:szCs w:val="22"/>
        </w:rPr>
      </w:pPr>
      <w:r w:rsidRPr="009B5E75">
        <w:rPr>
          <w:rFonts w:cs="Arial"/>
          <w:sz w:val="22"/>
          <w:szCs w:val="22"/>
        </w:rPr>
        <w:t xml:space="preserve">The analysis assumes that one-time implementation costs </w:t>
      </w:r>
      <w:r w:rsidR="00970CDC">
        <w:rPr>
          <w:rFonts w:cs="Arial"/>
          <w:sz w:val="22"/>
          <w:szCs w:val="22"/>
        </w:rPr>
        <w:t>will be</w:t>
      </w:r>
      <w:r w:rsidR="00970CDC" w:rsidRPr="009B5E75">
        <w:rPr>
          <w:rFonts w:cs="Arial"/>
          <w:sz w:val="22"/>
          <w:szCs w:val="22"/>
        </w:rPr>
        <w:t xml:space="preserve"> </w:t>
      </w:r>
      <w:r w:rsidRPr="009B5E75">
        <w:rPr>
          <w:rFonts w:cs="Arial"/>
          <w:sz w:val="22"/>
          <w:szCs w:val="22"/>
        </w:rPr>
        <w:t xml:space="preserve">incurred in calendar </w:t>
      </w:r>
      <w:r w:rsidRPr="00832B0C">
        <w:rPr>
          <w:rFonts w:cs="Arial"/>
          <w:color w:val="000000"/>
          <w:sz w:val="22"/>
          <w:szCs w:val="22"/>
        </w:rPr>
        <w:t>year</w:t>
      </w:r>
      <w:r w:rsidR="00970CDC" w:rsidRPr="00832B0C">
        <w:rPr>
          <w:rFonts w:cs="Arial"/>
          <w:color w:val="000000"/>
          <w:sz w:val="22"/>
          <w:szCs w:val="22"/>
        </w:rPr>
        <w:t> </w:t>
      </w:r>
      <w:r w:rsidR="002B699C">
        <w:rPr>
          <w:rFonts w:cs="Arial"/>
          <w:color w:val="000000"/>
          <w:sz w:val="22"/>
          <w:szCs w:val="22"/>
        </w:rPr>
        <w:t>2014</w:t>
      </w:r>
      <w:r w:rsidRPr="009B5E75">
        <w:rPr>
          <w:rFonts w:cs="Arial"/>
          <w:sz w:val="22"/>
          <w:szCs w:val="22"/>
        </w:rPr>
        <w:t xml:space="preserve">.  </w:t>
      </w:r>
      <w:r w:rsidR="00970CDC">
        <w:rPr>
          <w:rFonts w:cs="Arial"/>
          <w:sz w:val="22"/>
          <w:szCs w:val="22"/>
        </w:rPr>
        <w:t>The analysis assumes that o</w:t>
      </w:r>
      <w:r w:rsidRPr="009B5E75">
        <w:rPr>
          <w:rFonts w:cs="Arial"/>
          <w:sz w:val="22"/>
          <w:szCs w:val="22"/>
        </w:rPr>
        <w:t xml:space="preserve">ngoing costs </w:t>
      </w:r>
      <w:r w:rsidR="00501A09" w:rsidRPr="00501A09">
        <w:rPr>
          <w:rFonts w:cs="Arial"/>
          <w:sz w:val="22"/>
          <w:szCs w:val="22"/>
        </w:rPr>
        <w:t>to revise and consol</w:t>
      </w:r>
      <w:r w:rsidR="009E67EB">
        <w:rPr>
          <w:rFonts w:cs="Arial"/>
          <w:sz w:val="22"/>
          <w:szCs w:val="22"/>
        </w:rPr>
        <w:t xml:space="preserve">idate requirements for MC&amp;A in </w:t>
      </w:r>
      <w:r w:rsidR="00217533">
        <w:rPr>
          <w:rFonts w:cs="Arial"/>
          <w:sz w:val="22"/>
          <w:szCs w:val="22"/>
        </w:rPr>
        <w:t xml:space="preserve">10 CFR </w:t>
      </w:r>
      <w:r w:rsidR="001B0DBD">
        <w:rPr>
          <w:rFonts w:cs="Arial"/>
          <w:sz w:val="22"/>
          <w:szCs w:val="22"/>
        </w:rPr>
        <w:t>part</w:t>
      </w:r>
      <w:r w:rsidR="00217533">
        <w:rPr>
          <w:rFonts w:cs="Arial"/>
          <w:sz w:val="22"/>
          <w:szCs w:val="22"/>
        </w:rPr>
        <w:t xml:space="preserve"> 74 </w:t>
      </w:r>
      <w:r w:rsidRPr="009B5E75">
        <w:rPr>
          <w:rFonts w:cs="Arial"/>
          <w:sz w:val="22"/>
          <w:szCs w:val="22"/>
        </w:rPr>
        <w:t xml:space="preserve">related to the </w:t>
      </w:r>
      <w:r w:rsidR="00791883">
        <w:rPr>
          <w:rFonts w:cs="Arial"/>
          <w:sz w:val="22"/>
          <w:szCs w:val="22"/>
        </w:rPr>
        <w:t xml:space="preserve">proposed </w:t>
      </w:r>
      <w:r w:rsidRPr="009B5E75">
        <w:rPr>
          <w:rFonts w:cs="Arial"/>
          <w:sz w:val="22"/>
          <w:szCs w:val="22"/>
        </w:rPr>
        <w:t xml:space="preserve">rule </w:t>
      </w:r>
      <w:r w:rsidR="00970CDC">
        <w:rPr>
          <w:rFonts w:cs="Arial"/>
          <w:sz w:val="22"/>
          <w:szCs w:val="22"/>
        </w:rPr>
        <w:t>will</w:t>
      </w:r>
      <w:r w:rsidRPr="009B5E75">
        <w:rPr>
          <w:rFonts w:cs="Arial"/>
          <w:sz w:val="22"/>
          <w:szCs w:val="22"/>
        </w:rPr>
        <w:t xml:space="preserve"> begin in </w:t>
      </w:r>
      <w:r w:rsidRPr="00832B0C">
        <w:rPr>
          <w:rFonts w:cs="Arial"/>
          <w:color w:val="000000"/>
          <w:sz w:val="22"/>
          <w:szCs w:val="22"/>
        </w:rPr>
        <w:t>201</w:t>
      </w:r>
      <w:r w:rsidR="00501A09" w:rsidRPr="00832B0C">
        <w:rPr>
          <w:rFonts w:cs="Arial"/>
          <w:color w:val="000000"/>
          <w:sz w:val="22"/>
          <w:szCs w:val="22"/>
        </w:rPr>
        <w:t>3</w:t>
      </w:r>
      <w:r w:rsidRPr="00832B0C">
        <w:rPr>
          <w:rFonts w:cs="Arial"/>
          <w:color w:val="000000"/>
          <w:sz w:val="22"/>
          <w:szCs w:val="22"/>
        </w:rPr>
        <w:t xml:space="preserve"> </w:t>
      </w:r>
      <w:r w:rsidRPr="009B5E75">
        <w:rPr>
          <w:rFonts w:cs="Arial"/>
          <w:sz w:val="22"/>
          <w:szCs w:val="22"/>
        </w:rPr>
        <w:t xml:space="preserve">and </w:t>
      </w:r>
      <w:r w:rsidR="00970CDC">
        <w:rPr>
          <w:rFonts w:cs="Arial"/>
          <w:sz w:val="22"/>
          <w:szCs w:val="22"/>
        </w:rPr>
        <w:t>will be</w:t>
      </w:r>
      <w:r w:rsidR="00970CDC" w:rsidRPr="009B5E75">
        <w:rPr>
          <w:rFonts w:cs="Arial"/>
          <w:sz w:val="22"/>
          <w:szCs w:val="22"/>
        </w:rPr>
        <w:t xml:space="preserve"> </w:t>
      </w:r>
      <w:r w:rsidRPr="009B5E75">
        <w:rPr>
          <w:rFonts w:cs="Arial"/>
          <w:sz w:val="22"/>
          <w:szCs w:val="22"/>
        </w:rPr>
        <w:t xml:space="preserve">modeled on an annual cost basis.  The analysis calculated cost and savings over a </w:t>
      </w:r>
      <w:r w:rsidR="00501A09">
        <w:rPr>
          <w:rFonts w:cs="Arial"/>
          <w:sz w:val="22"/>
          <w:szCs w:val="22"/>
        </w:rPr>
        <w:t>1</w:t>
      </w:r>
      <w:r w:rsidRPr="009B5E75">
        <w:rPr>
          <w:rFonts w:cs="Arial"/>
          <w:sz w:val="22"/>
          <w:szCs w:val="22"/>
        </w:rPr>
        <w:t xml:space="preserve">0-year </w:t>
      </w:r>
      <w:r w:rsidR="00A74841">
        <w:rPr>
          <w:rFonts w:cs="Arial"/>
          <w:sz w:val="22"/>
          <w:szCs w:val="22"/>
        </w:rPr>
        <w:t>time horizon</w:t>
      </w:r>
      <w:r w:rsidRPr="009B5E75">
        <w:rPr>
          <w:rFonts w:cs="Arial"/>
          <w:sz w:val="22"/>
          <w:szCs w:val="22"/>
        </w:rPr>
        <w:t xml:space="preserve"> with each year’s costs or savings discounted back at a 7</w:t>
      </w:r>
      <w:r w:rsidR="00970CDC">
        <w:rPr>
          <w:rFonts w:cs="Arial"/>
          <w:sz w:val="22"/>
          <w:szCs w:val="22"/>
        </w:rPr>
        <w:noBreakHyphen/>
      </w:r>
      <w:r w:rsidRPr="009B5E75">
        <w:rPr>
          <w:rFonts w:cs="Arial"/>
          <w:sz w:val="22"/>
          <w:szCs w:val="22"/>
        </w:rPr>
        <w:t>percent and 3</w:t>
      </w:r>
      <w:r w:rsidR="00970CDC">
        <w:rPr>
          <w:rFonts w:cs="Arial"/>
          <w:sz w:val="22"/>
          <w:szCs w:val="22"/>
        </w:rPr>
        <w:noBreakHyphen/>
      </w:r>
      <w:r w:rsidRPr="009B5E75">
        <w:rPr>
          <w:rFonts w:cs="Arial"/>
          <w:sz w:val="22"/>
          <w:szCs w:val="22"/>
        </w:rPr>
        <w:t>percent discount rate in accordance with NUREG/BR-0058, Rev</w:t>
      </w:r>
      <w:r w:rsidR="00E83E8C">
        <w:rPr>
          <w:rFonts w:cs="Arial"/>
          <w:sz w:val="22"/>
          <w:szCs w:val="22"/>
        </w:rPr>
        <w:t>ision</w:t>
      </w:r>
      <w:r w:rsidRPr="009B5E75">
        <w:rPr>
          <w:rFonts w:cs="Arial"/>
          <w:sz w:val="22"/>
          <w:szCs w:val="22"/>
        </w:rPr>
        <w:t xml:space="preserve"> 4.  Costs and savings are expressed in 201</w:t>
      </w:r>
      <w:r w:rsidR="000E4182">
        <w:rPr>
          <w:rFonts w:cs="Arial"/>
          <w:sz w:val="22"/>
          <w:szCs w:val="22"/>
        </w:rPr>
        <w:t>2</w:t>
      </w:r>
      <w:r w:rsidRPr="009B5E75">
        <w:rPr>
          <w:rFonts w:cs="Arial"/>
          <w:sz w:val="22"/>
          <w:szCs w:val="22"/>
        </w:rPr>
        <w:t xml:space="preserve"> dollars.</w:t>
      </w:r>
    </w:p>
    <w:p w:rsidR="00CB1839" w:rsidRPr="009B5E75" w:rsidRDefault="00CB1839" w:rsidP="00C1459C">
      <w:pPr>
        <w:numPr>
          <w:ilvl w:val="12"/>
          <w:numId w:val="0"/>
        </w:numPr>
        <w:rPr>
          <w:rFonts w:cs="Arial"/>
          <w:sz w:val="22"/>
          <w:szCs w:val="22"/>
        </w:rPr>
      </w:pPr>
    </w:p>
    <w:p w:rsidR="00211229" w:rsidRDefault="00CE7FC4" w:rsidP="00211229">
      <w:pPr>
        <w:numPr>
          <w:ilvl w:val="12"/>
          <w:numId w:val="0"/>
        </w:numPr>
        <w:tabs>
          <w:tab w:val="left" w:pos="720"/>
        </w:tabs>
        <w:rPr>
          <w:rFonts w:cs="Arial"/>
          <w:b/>
          <w:sz w:val="22"/>
          <w:szCs w:val="22"/>
        </w:rPr>
      </w:pPr>
      <w:r w:rsidRPr="009B5E75">
        <w:rPr>
          <w:rFonts w:cs="Arial"/>
          <w:b/>
          <w:sz w:val="22"/>
          <w:szCs w:val="22"/>
        </w:rPr>
        <w:t>Data/Affected Entities</w:t>
      </w:r>
    </w:p>
    <w:p w:rsidR="000C655A" w:rsidRPr="009B5E75" w:rsidRDefault="000C655A" w:rsidP="000C655A">
      <w:pPr>
        <w:numPr>
          <w:ilvl w:val="12"/>
          <w:numId w:val="0"/>
        </w:numPr>
        <w:rPr>
          <w:rFonts w:cs="Arial"/>
          <w:sz w:val="22"/>
          <w:szCs w:val="22"/>
          <w:u w:val="single"/>
        </w:rPr>
      </w:pPr>
    </w:p>
    <w:p w:rsidR="000C655A" w:rsidRPr="00CD2579" w:rsidRDefault="000C655A" w:rsidP="000C655A">
      <w:pPr>
        <w:numPr>
          <w:ilvl w:val="12"/>
          <w:numId w:val="0"/>
        </w:numPr>
        <w:rPr>
          <w:rFonts w:cs="Arial"/>
          <w:color w:val="000000"/>
          <w:sz w:val="22"/>
          <w:szCs w:val="22"/>
        </w:rPr>
      </w:pPr>
      <w:r>
        <w:rPr>
          <w:rFonts w:cs="Arial"/>
          <w:sz w:val="22"/>
          <w:szCs w:val="22"/>
        </w:rPr>
        <w:t xml:space="preserve">The analysis assumes </w:t>
      </w:r>
      <w:r w:rsidRPr="00CD2579">
        <w:rPr>
          <w:rFonts w:cs="Arial"/>
          <w:color w:val="000000"/>
          <w:sz w:val="22"/>
          <w:szCs w:val="22"/>
        </w:rPr>
        <w:t xml:space="preserve">that </w:t>
      </w:r>
      <w:r>
        <w:rPr>
          <w:rFonts w:cs="Arial"/>
          <w:color w:val="000000"/>
          <w:sz w:val="22"/>
          <w:szCs w:val="22"/>
        </w:rPr>
        <w:t xml:space="preserve">licensees of </w:t>
      </w:r>
      <w:r w:rsidRPr="00CD2579">
        <w:rPr>
          <w:rFonts w:cs="Arial"/>
          <w:color w:val="000000"/>
          <w:sz w:val="22"/>
          <w:szCs w:val="22"/>
        </w:rPr>
        <w:t xml:space="preserve">the following </w:t>
      </w:r>
      <w:r>
        <w:rPr>
          <w:rFonts w:cs="Arial"/>
          <w:color w:val="000000"/>
          <w:sz w:val="22"/>
          <w:szCs w:val="22"/>
        </w:rPr>
        <w:t xml:space="preserve">existing </w:t>
      </w:r>
      <w:r w:rsidRPr="00CD2579">
        <w:rPr>
          <w:rFonts w:cs="Arial"/>
          <w:color w:val="000000"/>
          <w:sz w:val="22"/>
          <w:szCs w:val="22"/>
        </w:rPr>
        <w:t xml:space="preserve">facilities will be </w:t>
      </w:r>
      <w:r w:rsidR="007512CA">
        <w:rPr>
          <w:rFonts w:cs="Arial"/>
          <w:color w:val="000000"/>
          <w:sz w:val="22"/>
          <w:szCs w:val="22"/>
        </w:rPr>
        <w:t xml:space="preserve">affected </w:t>
      </w:r>
      <w:r w:rsidR="007512CA" w:rsidRPr="00CD2579">
        <w:rPr>
          <w:rFonts w:cs="Arial"/>
          <w:color w:val="000000"/>
          <w:sz w:val="22"/>
          <w:szCs w:val="22"/>
        </w:rPr>
        <w:t>by</w:t>
      </w:r>
      <w:r w:rsidRPr="00CD2579">
        <w:rPr>
          <w:rFonts w:cs="Arial"/>
          <w:color w:val="000000"/>
          <w:sz w:val="22"/>
          <w:szCs w:val="22"/>
        </w:rPr>
        <w:t xml:space="preserve"> this rule: </w:t>
      </w:r>
    </w:p>
    <w:p w:rsidR="000C655A" w:rsidRPr="00CD2579" w:rsidRDefault="000C655A" w:rsidP="000C655A">
      <w:pPr>
        <w:numPr>
          <w:ilvl w:val="12"/>
          <w:numId w:val="0"/>
        </w:numPr>
        <w:rPr>
          <w:rFonts w:cs="Arial"/>
          <w:color w:val="000000"/>
          <w:sz w:val="22"/>
          <w:szCs w:val="22"/>
        </w:rPr>
      </w:pPr>
    </w:p>
    <w:p w:rsidR="000C655A" w:rsidRPr="006A0FE7" w:rsidRDefault="000C655A" w:rsidP="000C655A">
      <w:pPr>
        <w:numPr>
          <w:ilvl w:val="0"/>
          <w:numId w:val="38"/>
        </w:numPr>
        <w:tabs>
          <w:tab w:val="left" w:pos="360"/>
        </w:tabs>
        <w:ind w:left="360"/>
        <w:rPr>
          <w:rFonts w:cs="Arial"/>
          <w:color w:val="000000"/>
          <w:sz w:val="22"/>
          <w:szCs w:val="22"/>
        </w:rPr>
      </w:pPr>
      <w:r w:rsidRPr="006A0FE7">
        <w:rPr>
          <w:rFonts w:cs="Arial"/>
          <w:color w:val="000000"/>
          <w:sz w:val="22"/>
          <w:szCs w:val="22"/>
        </w:rPr>
        <w:t xml:space="preserve">Reactor facilities licensed under 10 CFR </w:t>
      </w:r>
      <w:r w:rsidR="001B0DBD">
        <w:rPr>
          <w:rFonts w:cs="Arial"/>
          <w:color w:val="000000"/>
          <w:sz w:val="22"/>
          <w:szCs w:val="22"/>
        </w:rPr>
        <w:t>part</w:t>
      </w:r>
      <w:r w:rsidRPr="006A0FE7">
        <w:rPr>
          <w:rFonts w:cs="Arial"/>
          <w:color w:val="000000"/>
          <w:sz w:val="22"/>
          <w:szCs w:val="22"/>
        </w:rPr>
        <w:t xml:space="preserve"> 50 </w:t>
      </w:r>
      <w:r w:rsidR="001060F7">
        <w:rPr>
          <w:rFonts w:cs="Arial"/>
          <w:color w:val="000000"/>
          <w:sz w:val="22"/>
          <w:szCs w:val="22"/>
        </w:rPr>
        <w:t>or 52</w:t>
      </w:r>
    </w:p>
    <w:p w:rsidR="000C655A" w:rsidRDefault="000C655A" w:rsidP="000C655A">
      <w:pPr>
        <w:numPr>
          <w:ilvl w:val="0"/>
          <w:numId w:val="38"/>
        </w:numPr>
        <w:tabs>
          <w:tab w:val="left" w:pos="360"/>
        </w:tabs>
        <w:ind w:left="360"/>
        <w:rPr>
          <w:rFonts w:cs="Arial"/>
          <w:color w:val="000000"/>
          <w:sz w:val="22"/>
          <w:szCs w:val="22"/>
        </w:rPr>
      </w:pPr>
      <w:r>
        <w:rPr>
          <w:rFonts w:cs="Arial"/>
          <w:color w:val="000000"/>
          <w:sz w:val="22"/>
          <w:szCs w:val="22"/>
        </w:rPr>
        <w:t>Industrial, academic, and resea</w:t>
      </w:r>
      <w:r w:rsidR="003660E5">
        <w:rPr>
          <w:rFonts w:cs="Arial"/>
          <w:color w:val="000000"/>
          <w:sz w:val="22"/>
          <w:szCs w:val="22"/>
        </w:rPr>
        <w:t xml:space="preserve">rch facilities licensed under 10 </w:t>
      </w:r>
      <w:r>
        <w:rPr>
          <w:rFonts w:cs="Arial"/>
          <w:color w:val="000000"/>
          <w:sz w:val="22"/>
          <w:szCs w:val="22"/>
        </w:rPr>
        <w:t xml:space="preserve">CFR </w:t>
      </w:r>
      <w:r w:rsidR="001B0DBD">
        <w:rPr>
          <w:rFonts w:cs="Arial"/>
          <w:color w:val="000000"/>
          <w:sz w:val="22"/>
          <w:szCs w:val="22"/>
        </w:rPr>
        <w:t>part</w:t>
      </w:r>
      <w:r w:rsidRPr="00CD2579">
        <w:rPr>
          <w:rFonts w:cs="Arial"/>
          <w:color w:val="000000"/>
          <w:sz w:val="22"/>
          <w:szCs w:val="22"/>
        </w:rPr>
        <w:t xml:space="preserve"> 70</w:t>
      </w:r>
    </w:p>
    <w:p w:rsidR="000C655A" w:rsidRPr="00CD2579" w:rsidRDefault="000C655A" w:rsidP="000C655A">
      <w:pPr>
        <w:numPr>
          <w:ilvl w:val="0"/>
          <w:numId w:val="38"/>
        </w:numPr>
        <w:tabs>
          <w:tab w:val="left" w:pos="360"/>
        </w:tabs>
        <w:ind w:left="360"/>
        <w:rPr>
          <w:rFonts w:cs="Arial"/>
          <w:color w:val="000000"/>
          <w:sz w:val="22"/>
          <w:szCs w:val="22"/>
        </w:rPr>
      </w:pPr>
      <w:r w:rsidRPr="00CD2579">
        <w:rPr>
          <w:rFonts w:cs="Arial"/>
          <w:color w:val="000000"/>
          <w:sz w:val="22"/>
          <w:szCs w:val="22"/>
        </w:rPr>
        <w:t>Category III- Enrichment Facilit</w:t>
      </w:r>
      <w:r>
        <w:rPr>
          <w:rFonts w:cs="Arial"/>
          <w:color w:val="000000"/>
          <w:sz w:val="22"/>
          <w:szCs w:val="22"/>
        </w:rPr>
        <w:t xml:space="preserve">ies licensed under 10 CFR </w:t>
      </w:r>
      <w:r w:rsidR="001B0DBD">
        <w:rPr>
          <w:rFonts w:cs="Arial"/>
          <w:color w:val="000000"/>
          <w:sz w:val="22"/>
          <w:szCs w:val="22"/>
        </w:rPr>
        <w:t>part</w:t>
      </w:r>
      <w:r>
        <w:rPr>
          <w:rFonts w:cs="Arial"/>
          <w:color w:val="000000"/>
          <w:sz w:val="22"/>
          <w:szCs w:val="22"/>
        </w:rPr>
        <w:t xml:space="preserve"> 70</w:t>
      </w:r>
      <w:r w:rsidRPr="00CD2579">
        <w:rPr>
          <w:rFonts w:cs="Arial"/>
          <w:color w:val="000000"/>
          <w:sz w:val="22"/>
          <w:szCs w:val="22"/>
        </w:rPr>
        <w:t xml:space="preserve"> </w:t>
      </w:r>
    </w:p>
    <w:p w:rsidR="000C655A" w:rsidRPr="00CD2579" w:rsidRDefault="000C655A" w:rsidP="000C655A">
      <w:pPr>
        <w:numPr>
          <w:ilvl w:val="0"/>
          <w:numId w:val="38"/>
        </w:numPr>
        <w:tabs>
          <w:tab w:val="left" w:pos="360"/>
        </w:tabs>
        <w:ind w:left="360"/>
        <w:rPr>
          <w:rFonts w:cs="Arial"/>
          <w:color w:val="000000"/>
          <w:sz w:val="22"/>
          <w:szCs w:val="22"/>
        </w:rPr>
      </w:pPr>
      <w:r w:rsidRPr="00CD2579">
        <w:rPr>
          <w:rFonts w:cs="Arial"/>
          <w:color w:val="000000"/>
          <w:sz w:val="22"/>
          <w:szCs w:val="22"/>
        </w:rPr>
        <w:lastRenderedPageBreak/>
        <w:t>Category III- Fuel Fabrication Facilit</w:t>
      </w:r>
      <w:r>
        <w:rPr>
          <w:rFonts w:cs="Arial"/>
          <w:color w:val="000000"/>
          <w:sz w:val="22"/>
          <w:szCs w:val="22"/>
        </w:rPr>
        <w:t xml:space="preserve">ies licensed under 10 CFR </w:t>
      </w:r>
      <w:r w:rsidR="001B0DBD">
        <w:rPr>
          <w:rFonts w:cs="Arial"/>
          <w:color w:val="000000"/>
          <w:sz w:val="22"/>
          <w:szCs w:val="22"/>
        </w:rPr>
        <w:t>part</w:t>
      </w:r>
      <w:r>
        <w:rPr>
          <w:rFonts w:cs="Arial"/>
          <w:color w:val="000000"/>
          <w:sz w:val="22"/>
          <w:szCs w:val="22"/>
        </w:rPr>
        <w:t xml:space="preserve"> 70</w:t>
      </w:r>
    </w:p>
    <w:p w:rsidR="000C655A" w:rsidRPr="00CD2579" w:rsidRDefault="000C655A" w:rsidP="000C655A">
      <w:pPr>
        <w:numPr>
          <w:ilvl w:val="0"/>
          <w:numId w:val="38"/>
        </w:numPr>
        <w:tabs>
          <w:tab w:val="left" w:pos="360"/>
        </w:tabs>
        <w:ind w:left="360"/>
        <w:rPr>
          <w:rFonts w:cs="Arial"/>
          <w:color w:val="000000"/>
          <w:sz w:val="22"/>
          <w:szCs w:val="22"/>
        </w:rPr>
      </w:pPr>
      <w:r w:rsidRPr="00CD2579">
        <w:rPr>
          <w:rFonts w:cs="Arial"/>
          <w:color w:val="000000"/>
          <w:sz w:val="22"/>
          <w:szCs w:val="22"/>
        </w:rPr>
        <w:t>Category I</w:t>
      </w:r>
      <w:r>
        <w:rPr>
          <w:rFonts w:cs="Arial"/>
          <w:color w:val="000000"/>
          <w:sz w:val="22"/>
          <w:szCs w:val="22"/>
        </w:rPr>
        <w:t xml:space="preserve">- </w:t>
      </w:r>
      <w:r w:rsidRPr="00CD2579">
        <w:rPr>
          <w:rFonts w:cs="Arial"/>
          <w:color w:val="000000"/>
          <w:sz w:val="22"/>
          <w:szCs w:val="22"/>
        </w:rPr>
        <w:t>Fuel Fabrication Facilit</w:t>
      </w:r>
      <w:r>
        <w:rPr>
          <w:rFonts w:cs="Arial"/>
          <w:color w:val="000000"/>
          <w:sz w:val="22"/>
          <w:szCs w:val="22"/>
        </w:rPr>
        <w:t xml:space="preserve">ies licensed under 10 CFR </w:t>
      </w:r>
      <w:r w:rsidR="001B0DBD">
        <w:rPr>
          <w:rFonts w:cs="Arial"/>
          <w:color w:val="000000"/>
          <w:sz w:val="22"/>
          <w:szCs w:val="22"/>
        </w:rPr>
        <w:t>part</w:t>
      </w:r>
      <w:r>
        <w:rPr>
          <w:rFonts w:cs="Arial"/>
          <w:color w:val="000000"/>
          <w:sz w:val="22"/>
          <w:szCs w:val="22"/>
        </w:rPr>
        <w:t xml:space="preserve"> 70</w:t>
      </w:r>
    </w:p>
    <w:p w:rsidR="000C655A" w:rsidRPr="00CD2579" w:rsidRDefault="000C655A" w:rsidP="000C655A">
      <w:pPr>
        <w:numPr>
          <w:ilvl w:val="0"/>
          <w:numId w:val="38"/>
        </w:numPr>
        <w:tabs>
          <w:tab w:val="left" w:pos="360"/>
        </w:tabs>
        <w:ind w:left="360"/>
        <w:rPr>
          <w:rFonts w:cs="Arial"/>
          <w:color w:val="000000"/>
          <w:sz w:val="22"/>
          <w:szCs w:val="22"/>
        </w:rPr>
      </w:pPr>
      <w:r w:rsidRPr="00CD2579">
        <w:rPr>
          <w:rFonts w:cs="Arial"/>
          <w:color w:val="000000"/>
          <w:sz w:val="22"/>
          <w:szCs w:val="22"/>
        </w:rPr>
        <w:t>ISFSI</w:t>
      </w:r>
      <w:r>
        <w:rPr>
          <w:rFonts w:cs="Arial"/>
          <w:color w:val="000000"/>
          <w:sz w:val="22"/>
          <w:szCs w:val="22"/>
        </w:rPr>
        <w:t xml:space="preserve">s licensed under 10 CFR </w:t>
      </w:r>
      <w:r w:rsidR="001B0DBD">
        <w:rPr>
          <w:rFonts w:cs="Arial"/>
          <w:color w:val="000000"/>
          <w:sz w:val="22"/>
          <w:szCs w:val="22"/>
        </w:rPr>
        <w:t>part</w:t>
      </w:r>
      <w:r>
        <w:rPr>
          <w:rFonts w:cs="Arial"/>
          <w:color w:val="000000"/>
          <w:sz w:val="22"/>
          <w:szCs w:val="22"/>
        </w:rPr>
        <w:t xml:space="preserve"> 72</w:t>
      </w:r>
    </w:p>
    <w:p w:rsidR="00FA095C" w:rsidRDefault="00FA095C" w:rsidP="000C655A">
      <w:pPr>
        <w:tabs>
          <w:tab w:val="left" w:pos="360"/>
        </w:tabs>
        <w:rPr>
          <w:rFonts w:cs="Arial"/>
          <w:color w:val="000000"/>
          <w:sz w:val="22"/>
          <w:szCs w:val="22"/>
        </w:rPr>
      </w:pPr>
    </w:p>
    <w:p w:rsidR="00C1459C" w:rsidRDefault="000C655A" w:rsidP="00C1459C">
      <w:pPr>
        <w:numPr>
          <w:ilvl w:val="12"/>
          <w:numId w:val="0"/>
        </w:numPr>
        <w:rPr>
          <w:rFonts w:cs="Arial"/>
          <w:color w:val="000000"/>
          <w:sz w:val="22"/>
          <w:szCs w:val="22"/>
        </w:rPr>
      </w:pPr>
      <w:r>
        <w:rPr>
          <w:rFonts w:cs="Arial"/>
          <w:color w:val="000000"/>
          <w:sz w:val="22"/>
          <w:szCs w:val="22"/>
        </w:rPr>
        <w:t xml:space="preserve">Within the next 10 years, the NRC expects to review an application for a medical isotope production facility.  Such a facility, if licensed, would likely be a Category II </w:t>
      </w:r>
      <w:r w:rsidR="007512CA">
        <w:rPr>
          <w:rFonts w:cs="Arial"/>
          <w:color w:val="000000"/>
          <w:sz w:val="22"/>
          <w:szCs w:val="22"/>
        </w:rPr>
        <w:t>facility that</w:t>
      </w:r>
      <w:r>
        <w:rPr>
          <w:rFonts w:cs="Arial"/>
          <w:color w:val="000000"/>
          <w:sz w:val="22"/>
          <w:szCs w:val="22"/>
        </w:rPr>
        <w:t xml:space="preserve"> would be affected by this rule.</w:t>
      </w:r>
      <w:r w:rsidR="00EF3AD1">
        <w:rPr>
          <w:rFonts w:cs="Arial"/>
          <w:color w:val="000000"/>
          <w:sz w:val="22"/>
          <w:szCs w:val="22"/>
        </w:rPr>
        <w:t xml:space="preserve">  In addition, within the next 10 years the NRC expects to </w:t>
      </w:r>
      <w:r w:rsidR="00261B08">
        <w:rPr>
          <w:rFonts w:cs="Arial"/>
          <w:color w:val="000000"/>
          <w:sz w:val="22"/>
          <w:szCs w:val="22"/>
        </w:rPr>
        <w:t>issue licenses</w:t>
      </w:r>
      <w:r w:rsidR="00EF3AD1">
        <w:rPr>
          <w:rFonts w:cs="Arial"/>
          <w:color w:val="000000"/>
          <w:sz w:val="22"/>
          <w:szCs w:val="22"/>
        </w:rPr>
        <w:t xml:space="preserve"> for</w:t>
      </w:r>
      <w:r w:rsidR="00E16E69">
        <w:rPr>
          <w:rFonts w:cs="Arial"/>
          <w:color w:val="000000"/>
          <w:sz w:val="22"/>
          <w:szCs w:val="22"/>
        </w:rPr>
        <w:t xml:space="preserve"> new</w:t>
      </w:r>
      <w:r w:rsidR="00EF3AD1">
        <w:rPr>
          <w:rFonts w:cs="Arial"/>
          <w:color w:val="000000"/>
          <w:sz w:val="22"/>
          <w:szCs w:val="22"/>
        </w:rPr>
        <w:t xml:space="preserve"> reactor facilities</w:t>
      </w:r>
      <w:r w:rsidR="00E16E69">
        <w:rPr>
          <w:rFonts w:cs="Arial"/>
          <w:color w:val="000000"/>
          <w:sz w:val="22"/>
          <w:szCs w:val="22"/>
        </w:rPr>
        <w:t xml:space="preserve"> under 10 CFR part 52</w:t>
      </w:r>
      <w:r w:rsidR="00261B08">
        <w:rPr>
          <w:rFonts w:cs="Arial"/>
          <w:color w:val="000000"/>
          <w:sz w:val="22"/>
          <w:szCs w:val="22"/>
        </w:rPr>
        <w:t>,</w:t>
      </w:r>
      <w:r w:rsidR="00EF3AD1">
        <w:rPr>
          <w:rFonts w:cs="Arial"/>
          <w:color w:val="000000"/>
          <w:sz w:val="22"/>
          <w:szCs w:val="22"/>
        </w:rPr>
        <w:t xml:space="preserve"> however, none are expected to be new </w:t>
      </w:r>
      <w:r w:rsidR="00261B08">
        <w:rPr>
          <w:rFonts w:cs="Arial"/>
          <w:color w:val="000000"/>
          <w:sz w:val="22"/>
          <w:szCs w:val="22"/>
        </w:rPr>
        <w:t xml:space="preserve">sites where no reactor facility is currently licensed to operate.  </w:t>
      </w:r>
      <w:r w:rsidR="00961AF9">
        <w:rPr>
          <w:rFonts w:cs="Arial"/>
          <w:color w:val="000000"/>
          <w:sz w:val="22"/>
          <w:szCs w:val="22"/>
        </w:rPr>
        <w:t>A</w:t>
      </w:r>
      <w:r w:rsidR="00261B08">
        <w:rPr>
          <w:rFonts w:cs="Arial"/>
          <w:color w:val="000000"/>
          <w:sz w:val="22"/>
          <w:szCs w:val="22"/>
        </w:rPr>
        <w:t xml:space="preserve"> new reactor facilit</w:t>
      </w:r>
      <w:r w:rsidR="00961AF9">
        <w:rPr>
          <w:rFonts w:cs="Arial"/>
          <w:color w:val="000000"/>
          <w:sz w:val="22"/>
          <w:szCs w:val="22"/>
        </w:rPr>
        <w:t>y</w:t>
      </w:r>
      <w:r w:rsidR="00261B08">
        <w:rPr>
          <w:rFonts w:cs="Arial"/>
          <w:color w:val="000000"/>
          <w:sz w:val="22"/>
          <w:szCs w:val="22"/>
        </w:rPr>
        <w:t xml:space="preserve"> would not be</w:t>
      </w:r>
      <w:r w:rsidR="00EF3AD1">
        <w:rPr>
          <w:rFonts w:cs="Arial"/>
          <w:color w:val="000000"/>
          <w:sz w:val="22"/>
          <w:szCs w:val="22"/>
        </w:rPr>
        <w:t xml:space="preserve"> impacted by this rule</w:t>
      </w:r>
      <w:r w:rsidR="00961AF9">
        <w:rPr>
          <w:rFonts w:cs="Arial"/>
          <w:color w:val="000000"/>
          <w:sz w:val="22"/>
          <w:szCs w:val="22"/>
        </w:rPr>
        <w:t xml:space="preserve"> because the licensee at the site would have already implemented the rule and the operations at the site would already include an item control system</w:t>
      </w:r>
      <w:r w:rsidR="00EF3AD1">
        <w:rPr>
          <w:rFonts w:cs="Arial"/>
          <w:color w:val="000000"/>
          <w:sz w:val="22"/>
          <w:szCs w:val="22"/>
        </w:rPr>
        <w:t>.</w:t>
      </w:r>
      <w:r w:rsidR="00261B08">
        <w:rPr>
          <w:rFonts w:cs="Arial"/>
          <w:color w:val="000000"/>
          <w:sz w:val="22"/>
          <w:szCs w:val="22"/>
        </w:rPr>
        <w:t xml:space="preserve">  </w:t>
      </w:r>
    </w:p>
    <w:p w:rsidR="00001116" w:rsidRPr="00CD2579" w:rsidRDefault="00001116" w:rsidP="00C1459C">
      <w:pPr>
        <w:numPr>
          <w:ilvl w:val="12"/>
          <w:numId w:val="0"/>
        </w:numPr>
        <w:rPr>
          <w:rFonts w:cs="Arial"/>
          <w:color w:val="000000"/>
          <w:sz w:val="22"/>
          <w:szCs w:val="22"/>
        </w:rPr>
      </w:pPr>
    </w:p>
    <w:p w:rsidR="00C1459C" w:rsidRPr="009B5E75" w:rsidRDefault="000B4EA3" w:rsidP="000B4EA3">
      <w:pPr>
        <w:numPr>
          <w:ilvl w:val="12"/>
          <w:numId w:val="0"/>
        </w:numPr>
        <w:rPr>
          <w:rFonts w:cs="Arial"/>
          <w:b/>
          <w:sz w:val="22"/>
          <w:szCs w:val="22"/>
        </w:rPr>
      </w:pPr>
      <w:r w:rsidRPr="009B5E75">
        <w:rPr>
          <w:rFonts w:cs="Arial"/>
          <w:b/>
          <w:sz w:val="22"/>
          <w:szCs w:val="22"/>
        </w:rPr>
        <w:t>Other</w:t>
      </w:r>
      <w:r w:rsidR="00530EF6" w:rsidRPr="009B5E75">
        <w:rPr>
          <w:rFonts w:cs="Arial"/>
          <w:b/>
          <w:sz w:val="22"/>
          <w:szCs w:val="22"/>
        </w:rPr>
        <w:t xml:space="preserve"> Data and Assumptions</w:t>
      </w:r>
    </w:p>
    <w:p w:rsidR="00C1459C" w:rsidRDefault="00C1459C" w:rsidP="00C1459C">
      <w:pPr>
        <w:numPr>
          <w:ilvl w:val="12"/>
          <w:numId w:val="0"/>
        </w:numPr>
        <w:rPr>
          <w:rFonts w:cs="Arial"/>
          <w:sz w:val="22"/>
          <w:szCs w:val="22"/>
        </w:rPr>
      </w:pPr>
    </w:p>
    <w:p w:rsidR="0039508C" w:rsidRDefault="0039508C" w:rsidP="00C1459C">
      <w:pPr>
        <w:numPr>
          <w:ilvl w:val="12"/>
          <w:numId w:val="0"/>
        </w:numPr>
        <w:rPr>
          <w:rFonts w:cs="Arial"/>
          <w:sz w:val="22"/>
          <w:szCs w:val="22"/>
        </w:rPr>
      </w:pPr>
      <w:r>
        <w:rPr>
          <w:rFonts w:cs="Arial"/>
          <w:sz w:val="22"/>
          <w:szCs w:val="22"/>
        </w:rPr>
        <w:t>The analysis makes the following other assumptions:</w:t>
      </w:r>
    </w:p>
    <w:p w:rsidR="0039508C" w:rsidRPr="009B5E75" w:rsidRDefault="0039508C" w:rsidP="00C1459C">
      <w:pPr>
        <w:numPr>
          <w:ilvl w:val="12"/>
          <w:numId w:val="0"/>
        </w:numPr>
        <w:rPr>
          <w:rFonts w:cs="Arial"/>
          <w:sz w:val="22"/>
          <w:szCs w:val="22"/>
        </w:rPr>
      </w:pPr>
    </w:p>
    <w:p w:rsidR="000E4182" w:rsidRPr="008554CF" w:rsidRDefault="005E00DE" w:rsidP="00CE5A87">
      <w:pPr>
        <w:pStyle w:val="ListParagraph"/>
        <w:numPr>
          <w:ilvl w:val="0"/>
          <w:numId w:val="47"/>
        </w:numPr>
        <w:ind w:left="360"/>
        <w:contextualSpacing/>
        <w:rPr>
          <w:rFonts w:cs="Arial"/>
          <w:sz w:val="22"/>
          <w:szCs w:val="22"/>
        </w:rPr>
      </w:pPr>
      <w:r>
        <w:rPr>
          <w:rFonts w:cs="Arial"/>
          <w:sz w:val="22"/>
          <w:szCs w:val="22"/>
        </w:rPr>
        <w:t xml:space="preserve">The NRC’s labor rates are determined using the methodology in Abstract 5.2, “NRC Labor Rates,” of NUREG/CR-4627, </w:t>
      </w:r>
      <w:r w:rsidR="00793231">
        <w:rPr>
          <w:rFonts w:cs="Arial"/>
          <w:sz w:val="22"/>
          <w:szCs w:val="22"/>
        </w:rPr>
        <w:t>“</w:t>
      </w:r>
      <w:r>
        <w:rPr>
          <w:rFonts w:cs="Arial"/>
          <w:sz w:val="22"/>
          <w:szCs w:val="22"/>
        </w:rPr>
        <w:t xml:space="preserve">Generic Cost Estimates, </w:t>
      </w:r>
      <w:proofErr w:type="gramStart"/>
      <w:r>
        <w:rPr>
          <w:rFonts w:cs="Arial"/>
          <w:sz w:val="22"/>
          <w:szCs w:val="22"/>
        </w:rPr>
        <w:t>Abstracts</w:t>
      </w:r>
      <w:proofErr w:type="gramEnd"/>
      <w:r>
        <w:rPr>
          <w:rFonts w:cs="Arial"/>
          <w:sz w:val="22"/>
          <w:szCs w:val="22"/>
        </w:rPr>
        <w:t xml:space="preserve"> from Generic Studies for Use in Preparing Regulatory Impact Analyses.</w:t>
      </w:r>
      <w:r w:rsidR="00793231">
        <w:rPr>
          <w:rFonts w:cs="Arial"/>
          <w:sz w:val="22"/>
          <w:szCs w:val="22"/>
        </w:rPr>
        <w:t>”</w:t>
      </w:r>
      <w:r>
        <w:rPr>
          <w:rFonts w:cs="Arial"/>
          <w:sz w:val="22"/>
          <w:szCs w:val="22"/>
        </w:rPr>
        <w:t xml:space="preserve">  This methodology considers only variable costs that are directly related to the implementation, operation, and maintenance of the proposed amendments. Currently, the NRC hourly labor rate is $119.  </w:t>
      </w:r>
      <w:r>
        <w:rPr>
          <w:rFonts w:cs="Arial"/>
          <w:bCs/>
          <w:sz w:val="22"/>
          <w:szCs w:val="22"/>
        </w:rPr>
        <w:t xml:space="preserve">The estimation of costs for rulemaking is based on professional NRC staff full-time equivalent (FTE).  </w:t>
      </w:r>
    </w:p>
    <w:p w:rsidR="00211229" w:rsidRDefault="00211229" w:rsidP="00FF5522">
      <w:pPr>
        <w:ind w:left="360" w:hanging="360"/>
        <w:rPr>
          <w:rFonts w:cs="Arial"/>
          <w:sz w:val="22"/>
          <w:szCs w:val="22"/>
        </w:rPr>
      </w:pPr>
    </w:p>
    <w:p w:rsidR="00211229" w:rsidRDefault="000E4182" w:rsidP="00FF5522">
      <w:pPr>
        <w:numPr>
          <w:ilvl w:val="0"/>
          <w:numId w:val="25"/>
        </w:numPr>
        <w:ind w:left="360"/>
        <w:rPr>
          <w:rFonts w:cs="Arial"/>
          <w:sz w:val="22"/>
          <w:szCs w:val="22"/>
        </w:rPr>
      </w:pPr>
      <w:r w:rsidRPr="003521A4">
        <w:rPr>
          <w:rFonts w:cs="Arial"/>
          <w:sz w:val="22"/>
          <w:szCs w:val="22"/>
        </w:rPr>
        <w:t xml:space="preserve">Licensee labor rates were obtained from National Wage Data available on the Bureau of Labor Statistics </w:t>
      </w:r>
      <w:r w:rsidR="002A53D2">
        <w:rPr>
          <w:rFonts w:cs="Arial"/>
          <w:sz w:val="22"/>
          <w:szCs w:val="22"/>
        </w:rPr>
        <w:t>W</w:t>
      </w:r>
      <w:r w:rsidR="002A53D2" w:rsidRPr="003521A4">
        <w:rPr>
          <w:rFonts w:cs="Arial"/>
          <w:sz w:val="22"/>
          <w:szCs w:val="22"/>
        </w:rPr>
        <w:t xml:space="preserve">eb </w:t>
      </w:r>
      <w:r w:rsidRPr="003521A4">
        <w:rPr>
          <w:rFonts w:cs="Arial"/>
          <w:sz w:val="22"/>
          <w:szCs w:val="22"/>
        </w:rPr>
        <w:t>site (</w:t>
      </w:r>
      <w:hyperlink r:id="rId27" w:history="1">
        <w:r w:rsidRPr="003521A4">
          <w:rPr>
            <w:rStyle w:val="Hyperlink"/>
            <w:rFonts w:cs="Arial"/>
            <w:sz w:val="22"/>
            <w:szCs w:val="22"/>
          </w:rPr>
          <w:t>www.bls.gov</w:t>
        </w:r>
      </w:hyperlink>
      <w:r w:rsidRPr="003521A4">
        <w:rPr>
          <w:rFonts w:cs="Arial"/>
          <w:sz w:val="22"/>
          <w:szCs w:val="22"/>
        </w:rPr>
        <w:t xml:space="preserve">).  Depending on the industry and the occupation (e.g., manufacturing, health and safety, etc.), an appropriate mean hourly labor rate is selected.  Because exact hourly rates would be difficult to obtain and may not be sufficiently recent, nationwide mean hourly rates are used.  </w:t>
      </w:r>
      <w:r w:rsidR="00141728">
        <w:rPr>
          <w:rFonts w:cs="Arial"/>
          <w:bCs/>
          <w:sz w:val="22"/>
          <w:szCs w:val="22"/>
        </w:rPr>
        <w:t>The bases for the labor rates</w:t>
      </w:r>
      <w:r w:rsidR="00141728" w:rsidRPr="00B63BC9">
        <w:rPr>
          <w:rFonts w:cs="Arial"/>
          <w:bCs/>
          <w:sz w:val="22"/>
          <w:szCs w:val="22"/>
        </w:rPr>
        <w:t xml:space="preserve"> are described below.</w:t>
      </w:r>
      <w:r w:rsidR="00141728">
        <w:rPr>
          <w:rFonts w:cs="Arial"/>
          <w:bCs/>
          <w:sz w:val="22"/>
          <w:szCs w:val="22"/>
        </w:rPr>
        <w:t xml:space="preserve"> </w:t>
      </w:r>
      <w:r w:rsidR="00793231">
        <w:rPr>
          <w:rFonts w:cs="Arial"/>
          <w:bCs/>
          <w:sz w:val="22"/>
          <w:szCs w:val="22"/>
        </w:rPr>
        <w:t xml:space="preserve"> </w:t>
      </w:r>
      <w:r w:rsidR="00141728" w:rsidRPr="00B63BC9">
        <w:rPr>
          <w:rFonts w:cs="Arial"/>
          <w:bCs/>
          <w:sz w:val="22"/>
          <w:szCs w:val="22"/>
        </w:rPr>
        <w:t xml:space="preserve">The </w:t>
      </w:r>
      <w:r w:rsidR="00141728">
        <w:rPr>
          <w:rFonts w:cs="Arial"/>
          <w:bCs/>
          <w:sz w:val="22"/>
          <w:szCs w:val="22"/>
        </w:rPr>
        <w:t xml:space="preserve">hourly cost was determined by multiplying the hourly labor </w:t>
      </w:r>
      <w:r w:rsidR="00141728" w:rsidRPr="00B63BC9">
        <w:rPr>
          <w:rFonts w:cs="Arial"/>
          <w:bCs/>
          <w:sz w:val="22"/>
          <w:szCs w:val="22"/>
        </w:rPr>
        <w:t xml:space="preserve">rate </w:t>
      </w:r>
      <w:r w:rsidR="00141728">
        <w:rPr>
          <w:rFonts w:cs="Arial"/>
          <w:bCs/>
          <w:sz w:val="22"/>
          <w:szCs w:val="22"/>
        </w:rPr>
        <w:t xml:space="preserve">by </w:t>
      </w:r>
      <w:r w:rsidR="00141728" w:rsidRPr="00B63BC9">
        <w:rPr>
          <w:rFonts w:cs="Arial"/>
          <w:bCs/>
          <w:sz w:val="22"/>
          <w:szCs w:val="22"/>
        </w:rPr>
        <w:t>1.5 to account for benefits (insurance premiums, pension, and legally required benefits).  For licensee labor rates, $73.20/hour</w:t>
      </w:r>
      <w:r w:rsidR="00141728">
        <w:rPr>
          <w:rFonts w:cs="Arial"/>
          <w:bCs/>
          <w:sz w:val="22"/>
          <w:szCs w:val="22"/>
        </w:rPr>
        <w:t xml:space="preserve"> ($48.80/hour X 1.5)</w:t>
      </w:r>
      <w:r w:rsidR="00141728" w:rsidRPr="00B63BC9">
        <w:rPr>
          <w:rFonts w:cs="Arial"/>
          <w:bCs/>
          <w:sz w:val="22"/>
          <w:szCs w:val="22"/>
        </w:rPr>
        <w:t xml:space="preserve"> is used, which is from </w:t>
      </w:r>
      <w:r w:rsidR="00141728">
        <w:rPr>
          <w:rFonts w:cs="Arial"/>
          <w:bCs/>
          <w:sz w:val="22"/>
          <w:szCs w:val="22"/>
        </w:rPr>
        <w:t xml:space="preserve">the </w:t>
      </w:r>
      <w:r w:rsidR="00141728" w:rsidRPr="00B63BC9">
        <w:rPr>
          <w:rFonts w:cs="Arial"/>
          <w:bCs/>
          <w:sz w:val="22"/>
          <w:szCs w:val="22"/>
        </w:rPr>
        <w:t>Bureau of Labor Statistics Employer Costs for Employee Compensation data set, “Nuclear Engineers</w:t>
      </w:r>
      <w:r w:rsidR="002A53D2">
        <w:rPr>
          <w:rFonts w:cs="Arial"/>
          <w:bCs/>
          <w:sz w:val="22"/>
          <w:szCs w:val="22"/>
        </w:rPr>
        <w:t>.</w:t>
      </w:r>
      <w:r w:rsidR="002A53D2" w:rsidRPr="00B63BC9">
        <w:rPr>
          <w:rFonts w:cs="Arial"/>
          <w:bCs/>
          <w:sz w:val="22"/>
          <w:szCs w:val="22"/>
        </w:rPr>
        <w:t>”</w:t>
      </w:r>
    </w:p>
    <w:p w:rsidR="00211229" w:rsidRDefault="00211229" w:rsidP="00FF5522">
      <w:pPr>
        <w:ind w:left="360" w:hanging="360"/>
        <w:rPr>
          <w:rFonts w:cs="Arial"/>
          <w:sz w:val="22"/>
          <w:szCs w:val="22"/>
        </w:rPr>
      </w:pPr>
    </w:p>
    <w:p w:rsidR="00211229" w:rsidRDefault="00C1459C" w:rsidP="00FF5522">
      <w:pPr>
        <w:numPr>
          <w:ilvl w:val="0"/>
          <w:numId w:val="25"/>
        </w:numPr>
        <w:ind w:left="360"/>
        <w:rPr>
          <w:rFonts w:cs="Arial"/>
          <w:sz w:val="22"/>
          <w:szCs w:val="22"/>
        </w:rPr>
      </w:pPr>
      <w:r w:rsidRPr="009B5E75">
        <w:rPr>
          <w:rFonts w:cs="Arial"/>
          <w:sz w:val="22"/>
          <w:szCs w:val="22"/>
        </w:rPr>
        <w:t xml:space="preserve">The analysis assumes </w:t>
      </w:r>
      <w:r w:rsidR="00575547">
        <w:rPr>
          <w:rFonts w:cs="Arial"/>
          <w:sz w:val="22"/>
          <w:szCs w:val="22"/>
        </w:rPr>
        <w:t xml:space="preserve">that </w:t>
      </w:r>
      <w:r w:rsidRPr="009B5E75">
        <w:rPr>
          <w:rFonts w:cs="Arial"/>
          <w:sz w:val="22"/>
          <w:szCs w:val="22"/>
        </w:rPr>
        <w:t xml:space="preserve">the </w:t>
      </w:r>
      <w:r w:rsidR="00530EF6" w:rsidRPr="009B5E75">
        <w:rPr>
          <w:rFonts w:cs="Arial"/>
          <w:sz w:val="22"/>
          <w:szCs w:val="22"/>
        </w:rPr>
        <w:t xml:space="preserve">final </w:t>
      </w:r>
      <w:r w:rsidRPr="009B5E75">
        <w:rPr>
          <w:rFonts w:cs="Arial"/>
          <w:sz w:val="22"/>
          <w:szCs w:val="22"/>
        </w:rPr>
        <w:t>rule will be</w:t>
      </w:r>
      <w:r w:rsidR="00F23626">
        <w:rPr>
          <w:rFonts w:cs="Arial"/>
          <w:sz w:val="22"/>
          <w:szCs w:val="22"/>
        </w:rPr>
        <w:t xml:space="preserve"> published</w:t>
      </w:r>
      <w:r w:rsidRPr="009B5E75">
        <w:rPr>
          <w:rFonts w:cs="Arial"/>
          <w:sz w:val="22"/>
          <w:szCs w:val="22"/>
        </w:rPr>
        <w:t xml:space="preserve"> in </w:t>
      </w:r>
      <w:r w:rsidR="00886DDA">
        <w:rPr>
          <w:rFonts w:cs="Arial"/>
          <w:sz w:val="22"/>
          <w:szCs w:val="22"/>
        </w:rPr>
        <w:t>September 2014</w:t>
      </w:r>
      <w:r w:rsidR="00F36E57">
        <w:rPr>
          <w:rFonts w:cs="Arial"/>
          <w:sz w:val="22"/>
          <w:szCs w:val="22"/>
        </w:rPr>
        <w:t xml:space="preserve"> </w:t>
      </w:r>
      <w:r w:rsidR="00F23626">
        <w:rPr>
          <w:rFonts w:cs="Arial"/>
          <w:sz w:val="22"/>
          <w:szCs w:val="22"/>
        </w:rPr>
        <w:t xml:space="preserve">and would be effective in </w:t>
      </w:r>
      <w:r w:rsidR="00886DDA">
        <w:rPr>
          <w:rFonts w:cs="Arial"/>
          <w:sz w:val="22"/>
          <w:szCs w:val="22"/>
        </w:rPr>
        <w:t>late</w:t>
      </w:r>
      <w:r w:rsidR="00F23626">
        <w:rPr>
          <w:rFonts w:cs="Arial"/>
          <w:sz w:val="22"/>
          <w:szCs w:val="22"/>
        </w:rPr>
        <w:t>-</w:t>
      </w:r>
      <w:r w:rsidR="00F36E57">
        <w:rPr>
          <w:rFonts w:cs="Arial"/>
          <w:sz w:val="22"/>
          <w:szCs w:val="22"/>
        </w:rPr>
        <w:t>2014</w:t>
      </w:r>
      <w:r w:rsidRPr="009B5E75">
        <w:rPr>
          <w:rFonts w:cs="Arial"/>
          <w:sz w:val="22"/>
          <w:szCs w:val="22"/>
        </w:rPr>
        <w:t>.</w:t>
      </w:r>
    </w:p>
    <w:p w:rsidR="00211229" w:rsidRDefault="00211229" w:rsidP="00FF5522">
      <w:pPr>
        <w:pStyle w:val="ListParagraph"/>
        <w:ind w:left="360" w:hanging="360"/>
        <w:rPr>
          <w:rFonts w:cs="Arial"/>
          <w:sz w:val="22"/>
          <w:szCs w:val="22"/>
        </w:rPr>
      </w:pPr>
    </w:p>
    <w:p w:rsidR="00211229" w:rsidRDefault="00E1656F" w:rsidP="00FF5522">
      <w:pPr>
        <w:numPr>
          <w:ilvl w:val="0"/>
          <w:numId w:val="25"/>
        </w:numPr>
        <w:tabs>
          <w:tab w:val="left" w:pos="0"/>
        </w:tabs>
        <w:ind w:left="360"/>
        <w:rPr>
          <w:rFonts w:cs="Arial"/>
          <w:sz w:val="22"/>
          <w:szCs w:val="22"/>
        </w:rPr>
      </w:pPr>
      <w:r w:rsidRPr="009B5E75">
        <w:rPr>
          <w:rFonts w:cs="Arial"/>
          <w:sz w:val="22"/>
          <w:szCs w:val="22"/>
        </w:rPr>
        <w:t xml:space="preserve">The analysis calculated cost over a </w:t>
      </w:r>
      <w:r w:rsidR="00456CCE">
        <w:rPr>
          <w:rFonts w:cs="Arial"/>
          <w:sz w:val="22"/>
          <w:szCs w:val="22"/>
        </w:rPr>
        <w:t>10</w:t>
      </w:r>
      <w:r w:rsidRPr="009B5E75">
        <w:rPr>
          <w:rFonts w:cs="Arial"/>
          <w:sz w:val="22"/>
          <w:szCs w:val="22"/>
        </w:rPr>
        <w:t>-year timeframe with each year’s costs or savings discounted back at a 7-percent and 3-percent discount rate, in accordance with NUREG/BR</w:t>
      </w:r>
      <w:r>
        <w:rPr>
          <w:rFonts w:cs="Arial"/>
          <w:sz w:val="22"/>
          <w:szCs w:val="22"/>
        </w:rPr>
        <w:noBreakHyphen/>
      </w:r>
      <w:r w:rsidRPr="009B5E75">
        <w:rPr>
          <w:rFonts w:cs="Arial"/>
          <w:sz w:val="22"/>
          <w:szCs w:val="22"/>
        </w:rPr>
        <w:t>0058, Rev</w:t>
      </w:r>
      <w:r>
        <w:rPr>
          <w:rFonts w:cs="Arial"/>
          <w:sz w:val="22"/>
          <w:szCs w:val="22"/>
        </w:rPr>
        <w:t>ision</w:t>
      </w:r>
      <w:r w:rsidRPr="009B5E75">
        <w:rPr>
          <w:rFonts w:cs="Arial"/>
          <w:sz w:val="22"/>
          <w:szCs w:val="22"/>
        </w:rPr>
        <w:t xml:space="preserve"> 4.</w:t>
      </w:r>
    </w:p>
    <w:p w:rsidR="00211229" w:rsidRDefault="008533E6" w:rsidP="00FF5522">
      <w:pPr>
        <w:numPr>
          <w:ilvl w:val="0"/>
          <w:numId w:val="25"/>
        </w:numPr>
        <w:ind w:left="360"/>
        <w:rPr>
          <w:rFonts w:cs="Arial"/>
          <w:sz w:val="22"/>
          <w:szCs w:val="22"/>
        </w:rPr>
      </w:pPr>
      <w:r w:rsidRPr="009B5E75">
        <w:rPr>
          <w:rFonts w:cs="Arial"/>
          <w:sz w:val="22"/>
          <w:szCs w:val="22"/>
        </w:rPr>
        <w:t>To the extent practica</w:t>
      </w:r>
      <w:r w:rsidR="00821C12">
        <w:rPr>
          <w:rFonts w:cs="Arial"/>
          <w:sz w:val="22"/>
          <w:szCs w:val="22"/>
        </w:rPr>
        <w:t>b</w:t>
      </w:r>
      <w:r w:rsidRPr="009B5E75">
        <w:rPr>
          <w:rFonts w:cs="Arial"/>
          <w:sz w:val="22"/>
          <w:szCs w:val="22"/>
        </w:rPr>
        <w:t>l</w:t>
      </w:r>
      <w:r w:rsidR="00821C12">
        <w:rPr>
          <w:rFonts w:cs="Arial"/>
          <w:sz w:val="22"/>
          <w:szCs w:val="22"/>
        </w:rPr>
        <w:t>e</w:t>
      </w:r>
      <w:r w:rsidRPr="009B5E75">
        <w:rPr>
          <w:rFonts w:cs="Arial"/>
          <w:sz w:val="22"/>
          <w:szCs w:val="22"/>
        </w:rPr>
        <w:t xml:space="preserve">, quantitative information (e.g., costs and savings) and qualitative information (e.g., the nature and magnitude of impacts) on attributes affected by the rule were obtained from, or developed in consultation with, </w:t>
      </w:r>
      <w:r w:rsidR="00E36031">
        <w:rPr>
          <w:rFonts w:cs="Arial"/>
          <w:sz w:val="22"/>
          <w:szCs w:val="22"/>
        </w:rPr>
        <w:t xml:space="preserve">the </w:t>
      </w:r>
      <w:r w:rsidRPr="009B5E75">
        <w:rPr>
          <w:rFonts w:cs="Arial"/>
          <w:sz w:val="22"/>
          <w:szCs w:val="22"/>
        </w:rPr>
        <w:t>NRC staff.</w:t>
      </w:r>
    </w:p>
    <w:p w:rsidR="00CD2579" w:rsidRDefault="00CD2579" w:rsidP="00C1459C">
      <w:pPr>
        <w:numPr>
          <w:ilvl w:val="12"/>
          <w:numId w:val="0"/>
        </w:numPr>
        <w:ind w:left="720" w:hanging="720"/>
        <w:rPr>
          <w:rFonts w:cs="Arial"/>
          <w:b/>
          <w:bCs/>
          <w:sz w:val="22"/>
          <w:szCs w:val="22"/>
        </w:rPr>
      </w:pPr>
    </w:p>
    <w:p w:rsidR="00C1459C" w:rsidRPr="009B5E75" w:rsidRDefault="00C1459C" w:rsidP="00C1459C">
      <w:pPr>
        <w:numPr>
          <w:ilvl w:val="12"/>
          <w:numId w:val="0"/>
        </w:numPr>
        <w:ind w:left="720" w:hanging="720"/>
        <w:rPr>
          <w:rFonts w:cs="Arial"/>
          <w:b/>
          <w:bCs/>
          <w:sz w:val="22"/>
          <w:szCs w:val="22"/>
        </w:rPr>
      </w:pPr>
      <w:r w:rsidRPr="009B5E75">
        <w:rPr>
          <w:rFonts w:cs="Arial"/>
          <w:b/>
          <w:bCs/>
          <w:sz w:val="22"/>
          <w:szCs w:val="22"/>
        </w:rPr>
        <w:t>3.3</w:t>
      </w:r>
      <w:r w:rsidRPr="009B5E75">
        <w:rPr>
          <w:rFonts w:cs="Arial"/>
          <w:b/>
          <w:bCs/>
          <w:sz w:val="22"/>
          <w:szCs w:val="22"/>
        </w:rPr>
        <w:tab/>
        <w:t xml:space="preserve">Detailed Results </w:t>
      </w:r>
      <w:r w:rsidR="001C7681" w:rsidRPr="009B5E75">
        <w:rPr>
          <w:rFonts w:cs="Arial"/>
          <w:b/>
          <w:bCs/>
          <w:sz w:val="22"/>
          <w:szCs w:val="22"/>
        </w:rPr>
        <w:fldChar w:fldCharType="begin"/>
      </w:r>
      <w:proofErr w:type="spellStart"/>
      <w:r w:rsidRPr="009B5E75">
        <w:rPr>
          <w:rFonts w:cs="Arial"/>
          <w:b/>
          <w:bCs/>
          <w:sz w:val="22"/>
          <w:szCs w:val="22"/>
        </w:rPr>
        <w:instrText>tc</w:instrText>
      </w:r>
      <w:proofErr w:type="spellEnd"/>
      <w:r w:rsidRPr="009B5E75">
        <w:rPr>
          <w:rFonts w:cs="Arial"/>
          <w:b/>
          <w:bCs/>
          <w:sz w:val="22"/>
          <w:szCs w:val="22"/>
        </w:rPr>
        <w:instrText xml:space="preserve"> "</w:instrText>
      </w:r>
      <w:bookmarkStart w:id="22" w:name="_Toc293403061"/>
      <w:bookmarkStart w:id="23" w:name="_Toc336939801"/>
      <w:r w:rsidRPr="009B5E75">
        <w:rPr>
          <w:rFonts w:cs="Arial"/>
          <w:b/>
          <w:bCs/>
          <w:sz w:val="22"/>
          <w:szCs w:val="22"/>
        </w:rPr>
        <w:instrText>3.3</w:instrText>
      </w:r>
      <w:r w:rsidRPr="009B5E75">
        <w:rPr>
          <w:rFonts w:cs="Arial"/>
          <w:b/>
          <w:bCs/>
          <w:sz w:val="22"/>
          <w:szCs w:val="22"/>
        </w:rPr>
        <w:tab/>
        <w:instrText xml:space="preserve">Detailed </w:instrText>
      </w:r>
      <w:proofErr w:type="gramStart"/>
      <w:r w:rsidRPr="009B5E75">
        <w:rPr>
          <w:rFonts w:cs="Arial"/>
          <w:b/>
          <w:bCs/>
          <w:sz w:val="22"/>
          <w:szCs w:val="22"/>
        </w:rPr>
        <w:instrText>Results</w:instrText>
      </w:r>
      <w:bookmarkEnd w:id="22"/>
      <w:bookmarkEnd w:id="23"/>
      <w:r w:rsidRPr="009B5E75">
        <w:rPr>
          <w:rFonts w:cs="Arial"/>
          <w:b/>
          <w:bCs/>
          <w:sz w:val="22"/>
          <w:szCs w:val="22"/>
        </w:rPr>
        <w:instrText xml:space="preserve"> "</w:instrText>
      </w:r>
      <w:proofErr w:type="gramEnd"/>
      <w:r w:rsidRPr="009B5E75">
        <w:rPr>
          <w:rFonts w:cs="Arial"/>
          <w:b/>
          <w:bCs/>
          <w:sz w:val="22"/>
          <w:szCs w:val="22"/>
        </w:rPr>
        <w:instrText xml:space="preserve"> \l 3</w:instrText>
      </w:r>
      <w:r w:rsidR="001C7681" w:rsidRPr="009B5E75">
        <w:rPr>
          <w:rFonts w:cs="Arial"/>
          <w:b/>
          <w:bCs/>
          <w:sz w:val="22"/>
          <w:szCs w:val="22"/>
        </w:rPr>
        <w:fldChar w:fldCharType="end"/>
      </w:r>
    </w:p>
    <w:p w:rsidR="00C1459C" w:rsidRPr="009B5E75" w:rsidRDefault="00C1459C" w:rsidP="00C1459C">
      <w:pPr>
        <w:numPr>
          <w:ilvl w:val="12"/>
          <w:numId w:val="0"/>
        </w:numPr>
        <w:rPr>
          <w:rFonts w:cs="Arial"/>
          <w:sz w:val="22"/>
          <w:szCs w:val="22"/>
        </w:rPr>
      </w:pPr>
    </w:p>
    <w:p w:rsidR="00435D71" w:rsidRDefault="00C1459C" w:rsidP="00435D71">
      <w:pPr>
        <w:numPr>
          <w:ilvl w:val="12"/>
          <w:numId w:val="0"/>
        </w:numPr>
        <w:rPr>
          <w:rFonts w:cs="Arial"/>
          <w:sz w:val="22"/>
          <w:szCs w:val="22"/>
        </w:rPr>
      </w:pPr>
      <w:r w:rsidRPr="009B5E75">
        <w:rPr>
          <w:rFonts w:cs="Arial"/>
          <w:sz w:val="22"/>
          <w:szCs w:val="22"/>
        </w:rPr>
        <w:lastRenderedPageBreak/>
        <w:t xml:space="preserve">This section presents a detailed estimate of the impacts for the proposed rulemaking (Option 2).  Some values and impacts are addressed qualitatively for reasons discussed in Section 3.2.  </w:t>
      </w:r>
      <w:r w:rsidR="00B24380" w:rsidRPr="009B5E75">
        <w:rPr>
          <w:rFonts w:cs="Arial"/>
          <w:sz w:val="22"/>
          <w:szCs w:val="22"/>
        </w:rPr>
        <w:t>Exhibits 3-1</w:t>
      </w:r>
      <w:r w:rsidR="00B24380">
        <w:rPr>
          <w:rFonts w:cs="Arial"/>
          <w:sz w:val="22"/>
          <w:szCs w:val="22"/>
        </w:rPr>
        <w:t>, 3-2, 3-3,</w:t>
      </w:r>
      <w:r w:rsidR="00B24380" w:rsidRPr="009B5E75">
        <w:rPr>
          <w:rFonts w:cs="Arial"/>
          <w:sz w:val="22"/>
          <w:szCs w:val="22"/>
        </w:rPr>
        <w:t xml:space="preserve"> and 3-</w:t>
      </w:r>
      <w:r w:rsidR="00B24380">
        <w:rPr>
          <w:rFonts w:cs="Arial"/>
          <w:sz w:val="22"/>
          <w:szCs w:val="22"/>
        </w:rPr>
        <w:t>4 summarize these results</w:t>
      </w:r>
      <w:r w:rsidR="00B24380" w:rsidRPr="009B5E75">
        <w:rPr>
          <w:rFonts w:cs="Arial"/>
          <w:sz w:val="22"/>
          <w:szCs w:val="22"/>
        </w:rPr>
        <w:t>.</w:t>
      </w:r>
    </w:p>
    <w:p w:rsidR="00435D71" w:rsidRDefault="00435D71" w:rsidP="00435D71">
      <w:pPr>
        <w:numPr>
          <w:ilvl w:val="12"/>
          <w:numId w:val="0"/>
        </w:numPr>
        <w:rPr>
          <w:rFonts w:cs="Arial"/>
          <w:sz w:val="22"/>
          <w:szCs w:val="22"/>
        </w:rPr>
      </w:pPr>
    </w:p>
    <w:p w:rsidR="00C1459C" w:rsidRPr="009B5E75" w:rsidRDefault="00FF5522" w:rsidP="00435D71">
      <w:pPr>
        <w:numPr>
          <w:ilvl w:val="12"/>
          <w:numId w:val="0"/>
        </w:numPr>
        <w:rPr>
          <w:rFonts w:cs="Arial"/>
          <w:sz w:val="22"/>
          <w:szCs w:val="22"/>
        </w:rPr>
      </w:pPr>
      <w:r>
        <w:rPr>
          <w:rFonts w:cs="Arial"/>
          <w:b/>
          <w:bCs/>
          <w:sz w:val="22"/>
          <w:szCs w:val="22"/>
        </w:rPr>
        <w:t xml:space="preserve">Option 1:  </w:t>
      </w:r>
      <w:r w:rsidR="00C1459C" w:rsidRPr="009B5E75">
        <w:rPr>
          <w:rFonts w:cs="Arial"/>
          <w:b/>
          <w:bCs/>
          <w:sz w:val="22"/>
          <w:szCs w:val="22"/>
        </w:rPr>
        <w:t xml:space="preserve">No </w:t>
      </w:r>
      <w:r w:rsidR="003B05BB">
        <w:rPr>
          <w:rFonts w:cs="Arial"/>
          <w:b/>
          <w:bCs/>
          <w:sz w:val="22"/>
          <w:szCs w:val="22"/>
        </w:rPr>
        <w:t>A</w:t>
      </w:r>
      <w:r w:rsidR="00C1459C" w:rsidRPr="009B5E75">
        <w:rPr>
          <w:rFonts w:cs="Arial"/>
          <w:b/>
          <w:bCs/>
          <w:sz w:val="22"/>
          <w:szCs w:val="22"/>
        </w:rPr>
        <w:t>ction</w:t>
      </w:r>
    </w:p>
    <w:p w:rsidR="00C1459C" w:rsidRPr="009B5E75" w:rsidRDefault="00C1459C" w:rsidP="00C1459C">
      <w:pPr>
        <w:numPr>
          <w:ilvl w:val="12"/>
          <w:numId w:val="0"/>
        </w:numPr>
        <w:rPr>
          <w:rFonts w:cs="Arial"/>
          <w:sz w:val="22"/>
          <w:szCs w:val="22"/>
        </w:rPr>
      </w:pPr>
    </w:p>
    <w:p w:rsidR="002347D8" w:rsidRDefault="00C1459C" w:rsidP="00211229">
      <w:pPr>
        <w:numPr>
          <w:ilvl w:val="12"/>
          <w:numId w:val="0"/>
        </w:numPr>
        <w:rPr>
          <w:rFonts w:cs="Arial"/>
          <w:sz w:val="22"/>
          <w:szCs w:val="22"/>
        </w:rPr>
      </w:pPr>
      <w:r w:rsidRPr="009B5E75">
        <w:rPr>
          <w:rFonts w:cs="Arial"/>
          <w:sz w:val="22"/>
          <w:szCs w:val="22"/>
        </w:rPr>
        <w:t>By definition, this option does not result in any values or impacts.</w:t>
      </w:r>
      <w:r w:rsidR="00621A36">
        <w:rPr>
          <w:rFonts w:cs="Arial"/>
          <w:sz w:val="22"/>
          <w:szCs w:val="22"/>
        </w:rPr>
        <w:t xml:space="preserve">  </w:t>
      </w:r>
      <w:r w:rsidR="00621A36" w:rsidRPr="00621A36">
        <w:rPr>
          <w:rFonts w:cs="Arial"/>
          <w:sz w:val="22"/>
          <w:szCs w:val="22"/>
        </w:rPr>
        <w:t>The baseline for the Main Analysis is the No-Action Alternative. The baseline assumes full compliance with existing NRC requir</w:t>
      </w:r>
      <w:r w:rsidR="00621A36">
        <w:rPr>
          <w:rFonts w:cs="Arial"/>
          <w:sz w:val="22"/>
          <w:szCs w:val="22"/>
        </w:rPr>
        <w:t>ements</w:t>
      </w:r>
      <w:r w:rsidR="00EF3AD1">
        <w:rPr>
          <w:rFonts w:cs="Arial"/>
          <w:sz w:val="22"/>
          <w:szCs w:val="22"/>
        </w:rPr>
        <w:t xml:space="preserve">. </w:t>
      </w:r>
      <w:r w:rsidR="00621A36">
        <w:rPr>
          <w:rFonts w:cs="Arial"/>
          <w:sz w:val="22"/>
          <w:szCs w:val="22"/>
        </w:rPr>
        <w:t xml:space="preserve"> </w:t>
      </w:r>
      <w:r w:rsidR="00621A36" w:rsidRPr="00621A36">
        <w:rPr>
          <w:rFonts w:cs="Arial"/>
          <w:sz w:val="22"/>
          <w:szCs w:val="22"/>
        </w:rPr>
        <w:t>This baseline is consistent with NUREG/BR-0058</w:t>
      </w:r>
      <w:r w:rsidR="007E67F7">
        <w:rPr>
          <w:rFonts w:cs="Arial"/>
          <w:sz w:val="22"/>
          <w:szCs w:val="22"/>
        </w:rPr>
        <w:t>,</w:t>
      </w:r>
      <w:r w:rsidR="00621A36" w:rsidRPr="00621A36">
        <w:rPr>
          <w:rFonts w:cs="Arial"/>
          <w:sz w:val="22"/>
          <w:szCs w:val="22"/>
        </w:rPr>
        <w:t xml:space="preserve"> which states that, “in evaluating a new requirement...the staff should assume that all existing NRC requirements have been implemented.”  </w:t>
      </w:r>
    </w:p>
    <w:p w:rsidR="00497E24" w:rsidRPr="009B5E75" w:rsidRDefault="00497E24" w:rsidP="00C1459C">
      <w:pPr>
        <w:numPr>
          <w:ilvl w:val="12"/>
          <w:numId w:val="0"/>
        </w:numPr>
        <w:rPr>
          <w:rFonts w:cs="Arial"/>
          <w:sz w:val="22"/>
          <w:szCs w:val="22"/>
        </w:rPr>
      </w:pPr>
    </w:p>
    <w:p w:rsidR="00327E58" w:rsidRDefault="00FF5522">
      <w:pPr>
        <w:numPr>
          <w:ilvl w:val="12"/>
          <w:numId w:val="0"/>
        </w:numPr>
        <w:tabs>
          <w:tab w:val="left" w:pos="720"/>
          <w:tab w:val="left" w:pos="1440"/>
        </w:tabs>
        <w:ind w:left="1440" w:hanging="1440"/>
        <w:rPr>
          <w:rFonts w:cs="Arial"/>
          <w:b/>
          <w:bCs/>
          <w:sz w:val="22"/>
          <w:szCs w:val="22"/>
        </w:rPr>
      </w:pPr>
      <w:r>
        <w:rPr>
          <w:rFonts w:cs="Arial"/>
          <w:b/>
          <w:bCs/>
          <w:sz w:val="22"/>
          <w:szCs w:val="22"/>
        </w:rPr>
        <w:t xml:space="preserve">Option 2:  </w:t>
      </w:r>
      <w:r w:rsidR="00456CCE" w:rsidRPr="009B5E75">
        <w:rPr>
          <w:rFonts w:cs="Arial"/>
          <w:b/>
          <w:bCs/>
          <w:sz w:val="22"/>
          <w:szCs w:val="22"/>
        </w:rPr>
        <w:t xml:space="preserve">Amend Regulations </w:t>
      </w:r>
      <w:r w:rsidR="00456CCE">
        <w:rPr>
          <w:rFonts w:cs="Arial"/>
          <w:b/>
          <w:bCs/>
          <w:sz w:val="22"/>
          <w:szCs w:val="22"/>
        </w:rPr>
        <w:t>t</w:t>
      </w:r>
      <w:r w:rsidR="00456CCE" w:rsidRPr="009B5E75">
        <w:rPr>
          <w:rFonts w:cs="Arial"/>
          <w:b/>
          <w:bCs/>
          <w:sz w:val="22"/>
          <w:szCs w:val="22"/>
        </w:rPr>
        <w:t xml:space="preserve">o </w:t>
      </w:r>
      <w:r w:rsidR="007F1009">
        <w:rPr>
          <w:rFonts w:cs="Arial"/>
          <w:b/>
          <w:bCs/>
          <w:sz w:val="22"/>
          <w:szCs w:val="22"/>
        </w:rPr>
        <w:t>R</w:t>
      </w:r>
      <w:r>
        <w:rPr>
          <w:rFonts w:cs="Arial"/>
          <w:b/>
          <w:bCs/>
          <w:sz w:val="22"/>
          <w:szCs w:val="22"/>
        </w:rPr>
        <w:t xml:space="preserve">evise and </w:t>
      </w:r>
      <w:r w:rsidR="007F1009">
        <w:rPr>
          <w:rFonts w:cs="Arial"/>
          <w:b/>
          <w:bCs/>
          <w:sz w:val="22"/>
          <w:szCs w:val="22"/>
        </w:rPr>
        <w:t>C</w:t>
      </w:r>
      <w:r>
        <w:rPr>
          <w:rFonts w:cs="Arial"/>
          <w:b/>
          <w:bCs/>
          <w:sz w:val="22"/>
          <w:szCs w:val="22"/>
        </w:rPr>
        <w:t>onsolidate</w:t>
      </w:r>
      <w:r w:rsidR="00921BB1">
        <w:rPr>
          <w:rFonts w:cs="Arial"/>
          <w:b/>
          <w:bCs/>
          <w:sz w:val="22"/>
          <w:szCs w:val="22"/>
        </w:rPr>
        <w:t xml:space="preserve"> </w:t>
      </w:r>
      <w:r w:rsidR="007F1009">
        <w:rPr>
          <w:rFonts w:cs="Arial"/>
          <w:b/>
          <w:bCs/>
          <w:sz w:val="22"/>
          <w:szCs w:val="22"/>
        </w:rPr>
        <w:t>R</w:t>
      </w:r>
      <w:r w:rsidR="009E67EB">
        <w:rPr>
          <w:rFonts w:cs="Arial"/>
          <w:b/>
          <w:bCs/>
          <w:sz w:val="22"/>
          <w:szCs w:val="22"/>
        </w:rPr>
        <w:t xml:space="preserve">equirements for MC&amp;A of </w:t>
      </w:r>
    </w:p>
    <w:p w:rsidR="007E67F7" w:rsidRDefault="009E67EB">
      <w:pPr>
        <w:numPr>
          <w:ilvl w:val="12"/>
          <w:numId w:val="0"/>
        </w:numPr>
        <w:tabs>
          <w:tab w:val="left" w:pos="720"/>
          <w:tab w:val="left" w:pos="1440"/>
        </w:tabs>
        <w:ind w:left="1440" w:hanging="1440"/>
        <w:rPr>
          <w:rFonts w:cs="Arial"/>
          <w:b/>
          <w:bCs/>
          <w:sz w:val="22"/>
          <w:szCs w:val="22"/>
        </w:rPr>
      </w:pPr>
      <w:r>
        <w:rPr>
          <w:rFonts w:cs="Arial"/>
          <w:b/>
          <w:bCs/>
          <w:sz w:val="22"/>
          <w:szCs w:val="22"/>
        </w:rPr>
        <w:t xml:space="preserve">SNM in </w:t>
      </w:r>
      <w:r w:rsidR="00F66396">
        <w:rPr>
          <w:rFonts w:cs="Arial"/>
          <w:b/>
          <w:bCs/>
          <w:sz w:val="22"/>
          <w:szCs w:val="22"/>
        </w:rPr>
        <w:t>10 CFR</w:t>
      </w:r>
      <w:r w:rsidR="00163F1F">
        <w:rPr>
          <w:rFonts w:cs="Arial"/>
          <w:b/>
          <w:bCs/>
          <w:sz w:val="22"/>
          <w:szCs w:val="22"/>
        </w:rPr>
        <w:t xml:space="preserve"> </w:t>
      </w:r>
      <w:proofErr w:type="gramStart"/>
      <w:r w:rsidR="001B0DBD">
        <w:rPr>
          <w:rFonts w:cs="Arial"/>
          <w:b/>
          <w:bCs/>
          <w:sz w:val="22"/>
          <w:szCs w:val="22"/>
        </w:rPr>
        <w:t>part</w:t>
      </w:r>
      <w:proofErr w:type="gramEnd"/>
      <w:r w:rsidR="00456CCE" w:rsidRPr="001D3650">
        <w:rPr>
          <w:rFonts w:cs="Arial"/>
          <w:b/>
          <w:bCs/>
          <w:sz w:val="22"/>
          <w:szCs w:val="22"/>
        </w:rPr>
        <w:t xml:space="preserve"> 74</w:t>
      </w:r>
      <w:r w:rsidR="00621A36">
        <w:rPr>
          <w:rFonts w:cs="Arial"/>
          <w:b/>
          <w:bCs/>
          <w:sz w:val="22"/>
          <w:szCs w:val="22"/>
        </w:rPr>
        <w:t xml:space="preserve"> </w:t>
      </w:r>
    </w:p>
    <w:p w:rsidR="00EF3AD1" w:rsidRDefault="00EF3AD1">
      <w:pPr>
        <w:numPr>
          <w:ilvl w:val="12"/>
          <w:numId w:val="0"/>
        </w:numPr>
        <w:tabs>
          <w:tab w:val="left" w:pos="720"/>
          <w:tab w:val="left" w:pos="1440"/>
        </w:tabs>
        <w:ind w:left="1440" w:hanging="1440"/>
        <w:rPr>
          <w:rFonts w:cs="Arial"/>
          <w:b/>
          <w:bCs/>
          <w:sz w:val="22"/>
          <w:szCs w:val="22"/>
        </w:rPr>
      </w:pPr>
    </w:p>
    <w:p w:rsidR="002405FA" w:rsidRDefault="00E73BF4" w:rsidP="007E67F7">
      <w:pPr>
        <w:numPr>
          <w:ilvl w:val="12"/>
          <w:numId w:val="0"/>
        </w:numPr>
        <w:tabs>
          <w:tab w:val="left" w:pos="0"/>
        </w:tabs>
        <w:rPr>
          <w:rFonts w:cs="Arial"/>
          <w:bCs/>
          <w:sz w:val="22"/>
          <w:szCs w:val="22"/>
        </w:rPr>
      </w:pPr>
      <w:r>
        <w:rPr>
          <w:rFonts w:cs="Arial"/>
          <w:bCs/>
          <w:sz w:val="22"/>
          <w:szCs w:val="22"/>
        </w:rPr>
        <w:t>Sites l</w:t>
      </w:r>
      <w:r w:rsidR="00EF3AD1">
        <w:rPr>
          <w:rFonts w:cs="Arial"/>
          <w:bCs/>
          <w:sz w:val="22"/>
          <w:szCs w:val="22"/>
        </w:rPr>
        <w:t>icense</w:t>
      </w:r>
      <w:r>
        <w:rPr>
          <w:rFonts w:cs="Arial"/>
          <w:bCs/>
          <w:sz w:val="22"/>
          <w:szCs w:val="22"/>
        </w:rPr>
        <w:t>d</w:t>
      </w:r>
      <w:r w:rsidR="00EF3AD1">
        <w:rPr>
          <w:rFonts w:cs="Arial"/>
          <w:bCs/>
          <w:sz w:val="22"/>
          <w:szCs w:val="22"/>
        </w:rPr>
        <w:t xml:space="preserve"> </w:t>
      </w:r>
      <w:r w:rsidR="00383A80">
        <w:rPr>
          <w:rFonts w:cs="Arial"/>
          <w:bCs/>
          <w:sz w:val="22"/>
          <w:szCs w:val="22"/>
        </w:rPr>
        <w:t xml:space="preserve">under 10 CFR part 50 </w:t>
      </w:r>
      <w:r w:rsidR="002405FA">
        <w:rPr>
          <w:rFonts w:cs="Arial"/>
          <w:bCs/>
          <w:sz w:val="22"/>
          <w:szCs w:val="22"/>
        </w:rPr>
        <w:t>currently</w:t>
      </w:r>
      <w:r w:rsidR="00B24380">
        <w:rPr>
          <w:rFonts w:cs="Arial"/>
          <w:bCs/>
          <w:sz w:val="22"/>
          <w:szCs w:val="22"/>
        </w:rPr>
        <w:t xml:space="preserve"> perform</w:t>
      </w:r>
      <w:r w:rsidR="00EF3AD1">
        <w:rPr>
          <w:rFonts w:cs="Arial"/>
          <w:bCs/>
          <w:sz w:val="22"/>
          <w:szCs w:val="22"/>
        </w:rPr>
        <w:t xml:space="preserve"> MC&amp;A activities</w:t>
      </w:r>
      <w:r w:rsidR="002405FA">
        <w:rPr>
          <w:rFonts w:cs="Arial"/>
          <w:bCs/>
          <w:sz w:val="22"/>
          <w:szCs w:val="22"/>
        </w:rPr>
        <w:t>,</w:t>
      </w:r>
      <w:r w:rsidR="00383A80">
        <w:rPr>
          <w:rFonts w:cs="Arial"/>
          <w:bCs/>
          <w:sz w:val="22"/>
          <w:szCs w:val="22"/>
        </w:rPr>
        <w:t xml:space="preserve"> which include item controls</w:t>
      </w:r>
      <w:r w:rsidR="002405FA">
        <w:rPr>
          <w:rFonts w:cs="Arial"/>
          <w:bCs/>
          <w:sz w:val="22"/>
          <w:szCs w:val="22"/>
        </w:rPr>
        <w:t>,</w:t>
      </w:r>
      <w:r w:rsidR="00383A80">
        <w:rPr>
          <w:rFonts w:cs="Arial"/>
          <w:bCs/>
          <w:sz w:val="22"/>
          <w:szCs w:val="22"/>
        </w:rPr>
        <w:t xml:space="preserve"> that </w:t>
      </w:r>
      <w:r w:rsidR="002405FA">
        <w:rPr>
          <w:rFonts w:cs="Arial"/>
          <w:bCs/>
          <w:sz w:val="22"/>
          <w:szCs w:val="22"/>
        </w:rPr>
        <w:t xml:space="preserve">may be </w:t>
      </w:r>
      <w:r w:rsidR="00383A80">
        <w:rPr>
          <w:rFonts w:cs="Arial"/>
          <w:bCs/>
          <w:sz w:val="22"/>
          <w:szCs w:val="22"/>
        </w:rPr>
        <w:t>routinely inspected</w:t>
      </w:r>
      <w:r w:rsidR="00EF3AD1">
        <w:rPr>
          <w:rFonts w:cs="Arial"/>
          <w:bCs/>
          <w:sz w:val="22"/>
          <w:szCs w:val="22"/>
        </w:rPr>
        <w:t xml:space="preserve"> under the Reactor Oversight Program (ROP)</w:t>
      </w:r>
      <w:r w:rsidR="00383A80">
        <w:rPr>
          <w:rFonts w:cs="Arial"/>
          <w:bCs/>
          <w:sz w:val="22"/>
          <w:szCs w:val="22"/>
        </w:rPr>
        <w:t xml:space="preserve"> that is conducted by the NRC, Office of Nuclear Reactor Regulations (NRR)</w:t>
      </w:r>
      <w:r w:rsidR="00EF3AD1">
        <w:rPr>
          <w:rFonts w:cs="Arial"/>
          <w:bCs/>
          <w:sz w:val="22"/>
          <w:szCs w:val="22"/>
        </w:rPr>
        <w:t xml:space="preserve">. </w:t>
      </w:r>
      <w:r w:rsidR="002405FA">
        <w:rPr>
          <w:rFonts w:cs="Arial"/>
          <w:bCs/>
          <w:sz w:val="22"/>
          <w:szCs w:val="22"/>
        </w:rPr>
        <w:t xml:space="preserve"> </w:t>
      </w:r>
      <w:r w:rsidR="002405FA" w:rsidRPr="002405FA">
        <w:rPr>
          <w:rFonts w:cs="Arial"/>
          <w:bCs/>
          <w:sz w:val="22"/>
          <w:szCs w:val="22"/>
        </w:rPr>
        <w:t xml:space="preserve">It is unclear </w:t>
      </w:r>
      <w:r w:rsidR="002405FA">
        <w:rPr>
          <w:rFonts w:cs="Arial"/>
          <w:bCs/>
          <w:sz w:val="22"/>
          <w:szCs w:val="22"/>
        </w:rPr>
        <w:t xml:space="preserve">to what extent </w:t>
      </w:r>
      <w:r w:rsidR="002405FA" w:rsidRPr="002405FA">
        <w:rPr>
          <w:rFonts w:cs="Arial"/>
          <w:bCs/>
          <w:sz w:val="22"/>
          <w:szCs w:val="22"/>
        </w:rPr>
        <w:t xml:space="preserve">the </w:t>
      </w:r>
      <w:r w:rsidR="002405FA">
        <w:rPr>
          <w:rFonts w:cs="Arial"/>
          <w:bCs/>
          <w:sz w:val="22"/>
          <w:szCs w:val="22"/>
        </w:rPr>
        <w:t xml:space="preserve">10 CFR part 50 </w:t>
      </w:r>
      <w:r w:rsidR="002405FA" w:rsidRPr="002405FA">
        <w:rPr>
          <w:rFonts w:cs="Arial"/>
          <w:bCs/>
          <w:sz w:val="22"/>
          <w:szCs w:val="22"/>
        </w:rPr>
        <w:t xml:space="preserve">licensees have implemented item control systems </w:t>
      </w:r>
      <w:r w:rsidR="002405FA">
        <w:rPr>
          <w:rFonts w:cs="Arial"/>
          <w:bCs/>
          <w:sz w:val="22"/>
          <w:szCs w:val="22"/>
        </w:rPr>
        <w:t xml:space="preserve">similar to those </w:t>
      </w:r>
      <w:r w:rsidR="002405FA" w:rsidRPr="002405FA">
        <w:rPr>
          <w:rFonts w:cs="Arial"/>
          <w:bCs/>
          <w:sz w:val="22"/>
          <w:szCs w:val="22"/>
        </w:rPr>
        <w:t xml:space="preserve">proposed in </w:t>
      </w:r>
      <w:r w:rsidR="002405FA">
        <w:rPr>
          <w:rFonts w:cs="Arial"/>
          <w:bCs/>
          <w:sz w:val="22"/>
          <w:szCs w:val="22"/>
        </w:rPr>
        <w:t xml:space="preserve">the </w:t>
      </w:r>
      <w:r w:rsidR="002405FA" w:rsidRPr="002405FA">
        <w:rPr>
          <w:rFonts w:cs="Arial"/>
          <w:bCs/>
          <w:sz w:val="22"/>
          <w:szCs w:val="22"/>
        </w:rPr>
        <w:t xml:space="preserve">new 10 CFR 74.19(d) and are capable of quickly resolving indications of missing SNM.  For example, a licensee may be capable of quickly and accurately listing all items and associated information.  A licensee may be capable of securing their record system to guard against destruction or falsification of data.  A licensee may be capable of demonstrating how it would investigate the evidence of missing or compromised items or item records and would quickly determine the status of an item.  Because of uncertainty </w:t>
      </w:r>
      <w:r>
        <w:rPr>
          <w:rFonts w:cs="Arial"/>
          <w:bCs/>
          <w:sz w:val="22"/>
          <w:szCs w:val="22"/>
        </w:rPr>
        <w:t>regarding</w:t>
      </w:r>
      <w:r w:rsidR="002405FA" w:rsidRPr="002405FA">
        <w:rPr>
          <w:rFonts w:cs="Arial"/>
          <w:bCs/>
          <w:sz w:val="22"/>
          <w:szCs w:val="22"/>
        </w:rPr>
        <w:t xml:space="preserve"> </w:t>
      </w:r>
      <w:r w:rsidR="002405FA">
        <w:rPr>
          <w:rFonts w:cs="Arial"/>
          <w:bCs/>
          <w:sz w:val="22"/>
          <w:szCs w:val="22"/>
        </w:rPr>
        <w:t xml:space="preserve">the extent to </w:t>
      </w:r>
      <w:r w:rsidR="002405FA" w:rsidRPr="002405FA">
        <w:rPr>
          <w:rFonts w:cs="Arial"/>
          <w:bCs/>
          <w:sz w:val="22"/>
          <w:szCs w:val="22"/>
        </w:rPr>
        <w:t xml:space="preserve">which </w:t>
      </w:r>
      <w:r w:rsidR="002405FA">
        <w:rPr>
          <w:rFonts w:cs="Arial"/>
          <w:bCs/>
          <w:sz w:val="22"/>
          <w:szCs w:val="22"/>
        </w:rPr>
        <w:t>10 CFR part 50 licensee</w:t>
      </w:r>
      <w:r w:rsidR="002405FA" w:rsidRPr="002405FA">
        <w:rPr>
          <w:rFonts w:cs="Arial"/>
          <w:bCs/>
          <w:sz w:val="22"/>
          <w:szCs w:val="22"/>
        </w:rPr>
        <w:t xml:space="preserve">s have developed </w:t>
      </w:r>
      <w:r w:rsidR="002405FA">
        <w:rPr>
          <w:rFonts w:cs="Arial"/>
          <w:bCs/>
          <w:sz w:val="22"/>
          <w:szCs w:val="22"/>
        </w:rPr>
        <w:t>an</w:t>
      </w:r>
      <w:r w:rsidR="005F5084">
        <w:rPr>
          <w:rFonts w:cs="Arial"/>
          <w:bCs/>
          <w:sz w:val="22"/>
          <w:szCs w:val="22"/>
        </w:rPr>
        <w:t xml:space="preserve"> </w:t>
      </w:r>
      <w:r w:rsidR="002405FA">
        <w:rPr>
          <w:rFonts w:cs="Arial"/>
          <w:bCs/>
          <w:sz w:val="22"/>
          <w:szCs w:val="22"/>
        </w:rPr>
        <w:t>item control system</w:t>
      </w:r>
      <w:r w:rsidR="002405FA" w:rsidRPr="002405FA">
        <w:rPr>
          <w:rFonts w:cs="Arial"/>
          <w:bCs/>
          <w:sz w:val="22"/>
          <w:szCs w:val="22"/>
        </w:rPr>
        <w:t>,</w:t>
      </w:r>
      <w:r>
        <w:rPr>
          <w:rFonts w:cs="Arial"/>
          <w:bCs/>
          <w:sz w:val="22"/>
          <w:szCs w:val="22"/>
        </w:rPr>
        <w:t xml:space="preserve"> similar to that required by the proposed rule,</w:t>
      </w:r>
      <w:r w:rsidR="002405FA" w:rsidRPr="002405FA">
        <w:rPr>
          <w:rFonts w:cs="Arial"/>
          <w:bCs/>
          <w:sz w:val="22"/>
          <w:szCs w:val="22"/>
        </w:rPr>
        <w:t xml:space="preserve"> the NRC is using </w:t>
      </w:r>
      <w:r>
        <w:rPr>
          <w:rFonts w:cs="Arial"/>
          <w:bCs/>
          <w:sz w:val="22"/>
          <w:szCs w:val="22"/>
        </w:rPr>
        <w:t>a</w:t>
      </w:r>
      <w:r w:rsidR="002405FA" w:rsidRPr="002405FA">
        <w:rPr>
          <w:rFonts w:cs="Arial"/>
          <w:bCs/>
          <w:sz w:val="22"/>
          <w:szCs w:val="22"/>
        </w:rPr>
        <w:t xml:space="preserve"> full credit and no credit scenario to bound the regulatory analysis of impacts.</w:t>
      </w:r>
    </w:p>
    <w:p w:rsidR="001E6CE6" w:rsidRDefault="001E6CE6" w:rsidP="007E67F7">
      <w:pPr>
        <w:numPr>
          <w:ilvl w:val="12"/>
          <w:numId w:val="0"/>
        </w:numPr>
        <w:tabs>
          <w:tab w:val="left" w:pos="0"/>
        </w:tabs>
        <w:rPr>
          <w:rFonts w:cs="Arial"/>
          <w:bCs/>
          <w:sz w:val="22"/>
          <w:szCs w:val="22"/>
        </w:rPr>
      </w:pPr>
    </w:p>
    <w:p w:rsidR="00E73BF4" w:rsidRDefault="00E73BF4" w:rsidP="00E73BF4">
      <w:pPr>
        <w:numPr>
          <w:ilvl w:val="12"/>
          <w:numId w:val="0"/>
        </w:numPr>
        <w:tabs>
          <w:tab w:val="left" w:pos="0"/>
        </w:tabs>
        <w:rPr>
          <w:rFonts w:cs="Arial"/>
          <w:bCs/>
          <w:sz w:val="22"/>
          <w:szCs w:val="22"/>
        </w:rPr>
      </w:pPr>
      <w:r>
        <w:rPr>
          <w:rFonts w:cs="Arial"/>
          <w:bCs/>
          <w:sz w:val="22"/>
          <w:szCs w:val="22"/>
        </w:rPr>
        <w:t>Consistent</w:t>
      </w:r>
      <w:r w:rsidRPr="007E67F7">
        <w:rPr>
          <w:rFonts w:cs="Arial"/>
          <w:bCs/>
          <w:sz w:val="22"/>
          <w:szCs w:val="22"/>
        </w:rPr>
        <w:t xml:space="preserve"> with NUREG/BR-0058</w:t>
      </w:r>
      <w:r>
        <w:rPr>
          <w:rFonts w:cs="Arial"/>
          <w:bCs/>
          <w:sz w:val="22"/>
          <w:szCs w:val="22"/>
        </w:rPr>
        <w:t>,</w:t>
      </w:r>
      <w:r w:rsidRPr="007E67F7">
        <w:rPr>
          <w:rFonts w:cs="Arial"/>
          <w:bCs/>
          <w:sz w:val="22"/>
          <w:szCs w:val="22"/>
        </w:rPr>
        <w:t xml:space="preserve"> two sets of value-impact estimates are presented</w:t>
      </w:r>
      <w:r>
        <w:rPr>
          <w:rFonts w:cs="Arial"/>
          <w:bCs/>
          <w:sz w:val="22"/>
          <w:szCs w:val="22"/>
        </w:rPr>
        <w:t xml:space="preserve"> for Option 2.  Option 2A</w:t>
      </w:r>
      <w:r w:rsidR="00275878">
        <w:rPr>
          <w:rFonts w:cs="Arial"/>
          <w:bCs/>
          <w:sz w:val="22"/>
          <w:szCs w:val="22"/>
        </w:rPr>
        <w:t xml:space="preserve"> </w:t>
      </w:r>
      <w:r>
        <w:rPr>
          <w:rFonts w:cs="Arial"/>
          <w:bCs/>
          <w:sz w:val="22"/>
          <w:szCs w:val="22"/>
        </w:rPr>
        <w:t xml:space="preserve">is </w:t>
      </w:r>
      <w:r w:rsidRPr="007E67F7">
        <w:rPr>
          <w:rFonts w:cs="Arial"/>
          <w:bCs/>
          <w:sz w:val="22"/>
          <w:szCs w:val="22"/>
        </w:rPr>
        <w:t>based on full credit</w:t>
      </w:r>
      <w:r>
        <w:rPr>
          <w:rFonts w:cs="Arial"/>
          <w:bCs/>
          <w:sz w:val="22"/>
          <w:szCs w:val="22"/>
        </w:rPr>
        <w:t>,</w:t>
      </w:r>
      <w:r w:rsidRPr="007E67F7">
        <w:rPr>
          <w:rFonts w:cs="Arial"/>
          <w:bCs/>
          <w:sz w:val="22"/>
          <w:szCs w:val="22"/>
        </w:rPr>
        <w:t xml:space="preserve"> and </w:t>
      </w:r>
      <w:r>
        <w:rPr>
          <w:rFonts w:cs="Arial"/>
          <w:bCs/>
          <w:sz w:val="22"/>
          <w:szCs w:val="22"/>
        </w:rPr>
        <w:t>Option 2B is</w:t>
      </w:r>
      <w:r w:rsidRPr="007E67F7">
        <w:rPr>
          <w:rFonts w:cs="Arial"/>
          <w:bCs/>
          <w:sz w:val="22"/>
          <w:szCs w:val="22"/>
        </w:rPr>
        <w:t xml:space="preserve"> based on no credit</w:t>
      </w:r>
      <w:r>
        <w:rPr>
          <w:rFonts w:cs="Arial"/>
          <w:bCs/>
          <w:sz w:val="22"/>
          <w:szCs w:val="22"/>
        </w:rPr>
        <w:t>,</w:t>
      </w:r>
      <w:r w:rsidRPr="007E67F7">
        <w:rPr>
          <w:rFonts w:cs="Arial"/>
          <w:bCs/>
          <w:sz w:val="22"/>
          <w:szCs w:val="22"/>
        </w:rPr>
        <w:t xml:space="preserve"> </w:t>
      </w:r>
      <w:r>
        <w:rPr>
          <w:rFonts w:cs="Arial"/>
          <w:bCs/>
          <w:sz w:val="22"/>
          <w:szCs w:val="22"/>
        </w:rPr>
        <w:t xml:space="preserve">being given for current industry actions related to one of the newly proposed requirements (implementing an item control system).  </w:t>
      </w:r>
    </w:p>
    <w:p w:rsidR="00E73BF4" w:rsidRDefault="00E73BF4" w:rsidP="007E67F7">
      <w:pPr>
        <w:numPr>
          <w:ilvl w:val="12"/>
          <w:numId w:val="0"/>
        </w:numPr>
        <w:tabs>
          <w:tab w:val="left" w:pos="0"/>
        </w:tabs>
        <w:rPr>
          <w:rFonts w:cs="Arial"/>
          <w:bCs/>
          <w:sz w:val="22"/>
          <w:szCs w:val="22"/>
        </w:rPr>
      </w:pPr>
    </w:p>
    <w:p w:rsidR="001E6CE6" w:rsidRDefault="001E6CE6" w:rsidP="007E67F7">
      <w:pPr>
        <w:numPr>
          <w:ilvl w:val="12"/>
          <w:numId w:val="0"/>
        </w:numPr>
        <w:tabs>
          <w:tab w:val="left" w:pos="0"/>
        </w:tabs>
        <w:rPr>
          <w:rFonts w:cs="Arial"/>
          <w:bCs/>
          <w:sz w:val="22"/>
          <w:szCs w:val="22"/>
        </w:rPr>
      </w:pPr>
      <w:r>
        <w:rPr>
          <w:rFonts w:cs="Arial"/>
          <w:bCs/>
          <w:sz w:val="22"/>
          <w:szCs w:val="22"/>
        </w:rPr>
        <w:t>Option 2A:  Full Credit Given for Current Industry Actions</w:t>
      </w:r>
    </w:p>
    <w:p w:rsidR="00205BA5" w:rsidRDefault="00205BA5" w:rsidP="00456CCE">
      <w:pPr>
        <w:numPr>
          <w:ilvl w:val="12"/>
          <w:numId w:val="0"/>
        </w:numPr>
        <w:tabs>
          <w:tab w:val="left" w:pos="720"/>
          <w:tab w:val="left" w:pos="1440"/>
        </w:tabs>
        <w:ind w:left="1440" w:hanging="1440"/>
        <w:rPr>
          <w:rFonts w:cs="Arial"/>
          <w:b/>
          <w:bCs/>
          <w:sz w:val="22"/>
          <w:szCs w:val="22"/>
        </w:rPr>
      </w:pPr>
    </w:p>
    <w:p w:rsidR="00B6757D" w:rsidRPr="009B5E75" w:rsidRDefault="00A347F5" w:rsidP="00456CCE">
      <w:pPr>
        <w:numPr>
          <w:ilvl w:val="12"/>
          <w:numId w:val="0"/>
        </w:numPr>
        <w:rPr>
          <w:rFonts w:cs="Arial"/>
          <w:sz w:val="22"/>
          <w:szCs w:val="22"/>
        </w:rPr>
      </w:pPr>
      <w:r>
        <w:rPr>
          <w:rFonts w:cs="Arial"/>
          <w:sz w:val="22"/>
          <w:szCs w:val="22"/>
          <w:u w:val="single"/>
        </w:rPr>
        <w:t>I</w:t>
      </w:r>
      <w:r w:rsidR="00B6757D" w:rsidRPr="009B5E75">
        <w:rPr>
          <w:rFonts w:cs="Arial"/>
          <w:sz w:val="22"/>
          <w:szCs w:val="22"/>
          <w:u w:val="single"/>
        </w:rPr>
        <w:t>ndustry Implementation</w:t>
      </w:r>
    </w:p>
    <w:p w:rsidR="00067C9F" w:rsidRPr="009B5E75" w:rsidRDefault="00067C9F" w:rsidP="00B6757D">
      <w:pPr>
        <w:numPr>
          <w:ilvl w:val="12"/>
          <w:numId w:val="0"/>
        </w:numPr>
        <w:rPr>
          <w:rFonts w:cs="Arial"/>
          <w:sz w:val="22"/>
          <w:szCs w:val="22"/>
        </w:rPr>
      </w:pPr>
    </w:p>
    <w:p w:rsidR="00131CEC" w:rsidRPr="00131CEC" w:rsidRDefault="00B6757D" w:rsidP="00131CEC">
      <w:pPr>
        <w:numPr>
          <w:ilvl w:val="12"/>
          <w:numId w:val="0"/>
        </w:numPr>
        <w:ind w:left="1440" w:hanging="1440"/>
        <w:rPr>
          <w:rFonts w:cs="Arial"/>
          <w:sz w:val="22"/>
          <w:szCs w:val="22"/>
        </w:rPr>
      </w:pPr>
      <w:r w:rsidRPr="009B5E75">
        <w:rPr>
          <w:rFonts w:cs="Arial"/>
          <w:sz w:val="22"/>
          <w:szCs w:val="22"/>
        </w:rPr>
        <w:t>Impact:</w:t>
      </w:r>
      <w:r w:rsidR="003B05BB">
        <w:rPr>
          <w:rFonts w:cs="Arial"/>
          <w:sz w:val="22"/>
          <w:szCs w:val="22"/>
        </w:rPr>
        <w:t xml:space="preserve">  </w:t>
      </w:r>
      <w:r w:rsidR="00131CEC">
        <w:rPr>
          <w:rFonts w:cs="Arial"/>
          <w:sz w:val="22"/>
          <w:szCs w:val="22"/>
        </w:rPr>
        <w:t>E</w:t>
      </w:r>
      <w:r w:rsidR="00131CEC" w:rsidRPr="00131CEC">
        <w:rPr>
          <w:rFonts w:cs="Arial"/>
          <w:sz w:val="22"/>
          <w:szCs w:val="22"/>
        </w:rPr>
        <w:t xml:space="preserve">stablish, </w:t>
      </w:r>
      <w:r w:rsidR="009A2FFD" w:rsidRPr="00131CEC">
        <w:rPr>
          <w:rFonts w:cs="Arial"/>
          <w:sz w:val="22"/>
          <w:szCs w:val="22"/>
        </w:rPr>
        <w:t xml:space="preserve">Maintain Written </w:t>
      </w:r>
      <w:r w:rsidR="00131CEC" w:rsidRPr="00131CEC">
        <w:rPr>
          <w:rFonts w:cs="Arial"/>
          <w:sz w:val="22"/>
          <w:szCs w:val="22"/>
        </w:rPr>
        <w:t>MC</w:t>
      </w:r>
      <w:r w:rsidR="009A2FFD" w:rsidRPr="00131CEC">
        <w:rPr>
          <w:rFonts w:cs="Arial"/>
          <w:sz w:val="22"/>
          <w:szCs w:val="22"/>
        </w:rPr>
        <w:t>&amp;</w:t>
      </w:r>
      <w:r w:rsidR="00131CEC" w:rsidRPr="00131CEC">
        <w:rPr>
          <w:rFonts w:cs="Arial"/>
          <w:sz w:val="22"/>
          <w:szCs w:val="22"/>
        </w:rPr>
        <w:t xml:space="preserve">A </w:t>
      </w:r>
      <w:r w:rsidR="009A2FFD" w:rsidRPr="00131CEC">
        <w:rPr>
          <w:rFonts w:cs="Arial"/>
          <w:sz w:val="22"/>
          <w:szCs w:val="22"/>
        </w:rPr>
        <w:t>Procedures</w:t>
      </w:r>
    </w:p>
    <w:p w:rsidR="00B6757D" w:rsidRPr="009B5E75" w:rsidRDefault="00B6757D" w:rsidP="00131CEC">
      <w:pPr>
        <w:numPr>
          <w:ilvl w:val="12"/>
          <w:numId w:val="0"/>
        </w:numPr>
        <w:ind w:left="1440" w:hanging="1440"/>
        <w:rPr>
          <w:rFonts w:cs="Arial"/>
          <w:sz w:val="22"/>
          <w:szCs w:val="22"/>
        </w:rPr>
      </w:pPr>
    </w:p>
    <w:p w:rsidR="00583363" w:rsidRPr="00FE316F" w:rsidRDefault="00FD4BAD" w:rsidP="00FE316F">
      <w:pPr>
        <w:rPr>
          <w:rFonts w:cs="Arial"/>
          <w:color w:val="000000"/>
          <w:sz w:val="22"/>
          <w:szCs w:val="22"/>
        </w:rPr>
      </w:pPr>
      <w:r>
        <w:rPr>
          <w:rFonts w:cs="Arial"/>
          <w:sz w:val="22"/>
          <w:szCs w:val="22"/>
        </w:rPr>
        <w:t xml:space="preserve">The </w:t>
      </w:r>
      <w:r w:rsidR="00131CEC">
        <w:rPr>
          <w:rFonts w:cs="Arial"/>
          <w:sz w:val="22"/>
          <w:szCs w:val="22"/>
        </w:rPr>
        <w:t xml:space="preserve">proposed </w:t>
      </w:r>
      <w:r w:rsidR="00FE316F">
        <w:rPr>
          <w:rFonts w:cs="Arial"/>
          <w:sz w:val="22"/>
          <w:szCs w:val="22"/>
        </w:rPr>
        <w:t xml:space="preserve">changes to </w:t>
      </w:r>
      <w:r w:rsidR="00E35EEB">
        <w:rPr>
          <w:rFonts w:cs="Arial"/>
          <w:sz w:val="22"/>
          <w:szCs w:val="22"/>
        </w:rPr>
        <w:t xml:space="preserve">10 CFR </w:t>
      </w:r>
      <w:r w:rsidR="00131CEC" w:rsidRPr="00131CEC">
        <w:rPr>
          <w:rFonts w:cs="Arial"/>
          <w:sz w:val="22"/>
          <w:szCs w:val="22"/>
        </w:rPr>
        <w:t>74.19(b)</w:t>
      </w:r>
      <w:r w:rsidR="00FE316F" w:rsidRPr="00FE316F">
        <w:rPr>
          <w:rFonts w:cs="Arial"/>
          <w:color w:val="000000"/>
          <w:sz w:val="22"/>
          <w:szCs w:val="22"/>
        </w:rPr>
        <w:t xml:space="preserve"> </w:t>
      </w:r>
      <w:r w:rsidR="00FE316F">
        <w:rPr>
          <w:rFonts w:cs="Arial"/>
          <w:color w:val="000000"/>
          <w:sz w:val="22"/>
          <w:szCs w:val="22"/>
        </w:rPr>
        <w:t>would require e</w:t>
      </w:r>
      <w:r w:rsidR="00FE316F" w:rsidRPr="00FE316F">
        <w:rPr>
          <w:rFonts w:cs="Arial"/>
          <w:color w:val="000000"/>
          <w:sz w:val="22"/>
          <w:szCs w:val="22"/>
        </w:rPr>
        <w:t xml:space="preserve">ach licensee authorized to possess </w:t>
      </w:r>
      <w:r w:rsidR="008F7FB7">
        <w:rPr>
          <w:rFonts w:cs="Arial"/>
          <w:color w:val="000000"/>
          <w:sz w:val="22"/>
          <w:szCs w:val="22"/>
        </w:rPr>
        <w:t>SNM</w:t>
      </w:r>
      <w:r w:rsidR="00FE316F" w:rsidRPr="00FE316F">
        <w:rPr>
          <w:rFonts w:cs="Arial"/>
          <w:color w:val="000000"/>
          <w:sz w:val="22"/>
          <w:szCs w:val="22"/>
        </w:rPr>
        <w:t xml:space="preserve">, at any one time and site location, in a quantity </w:t>
      </w:r>
      <w:r w:rsidR="00382FE7">
        <w:rPr>
          <w:rFonts w:cs="Arial"/>
          <w:color w:val="000000"/>
          <w:sz w:val="22"/>
          <w:szCs w:val="22"/>
        </w:rPr>
        <w:t>greater than</w:t>
      </w:r>
      <w:r w:rsidR="00382FE7" w:rsidRPr="00FE316F">
        <w:rPr>
          <w:rFonts w:cs="Arial"/>
          <w:color w:val="000000"/>
          <w:sz w:val="22"/>
          <w:szCs w:val="22"/>
        </w:rPr>
        <w:t xml:space="preserve"> </w:t>
      </w:r>
      <w:r w:rsidR="00FE316F" w:rsidRPr="00FE316F">
        <w:rPr>
          <w:rFonts w:cs="Arial"/>
          <w:color w:val="000000"/>
          <w:sz w:val="22"/>
          <w:szCs w:val="22"/>
        </w:rPr>
        <w:t xml:space="preserve">350 grams of contained uranium-235, uranium-233, or plutonium, or any combination thereof, </w:t>
      </w:r>
      <w:r w:rsidR="00FE316F">
        <w:rPr>
          <w:rFonts w:cs="Arial"/>
          <w:color w:val="000000"/>
          <w:sz w:val="22"/>
          <w:szCs w:val="22"/>
        </w:rPr>
        <w:t>to e</w:t>
      </w:r>
      <w:r w:rsidR="00FE316F" w:rsidRPr="00FE316F">
        <w:rPr>
          <w:rFonts w:cs="Arial"/>
          <w:color w:val="000000"/>
          <w:sz w:val="22"/>
          <w:szCs w:val="22"/>
        </w:rPr>
        <w:t xml:space="preserve">stablish, maintain, and follow written </w:t>
      </w:r>
      <w:r w:rsidR="00675723">
        <w:rPr>
          <w:rFonts w:cs="Arial"/>
          <w:color w:val="000000"/>
          <w:sz w:val="22"/>
          <w:szCs w:val="22"/>
        </w:rPr>
        <w:t xml:space="preserve">MC&amp;A </w:t>
      </w:r>
      <w:r w:rsidR="00FE316F" w:rsidRPr="00FE316F">
        <w:rPr>
          <w:rFonts w:cs="Arial"/>
          <w:color w:val="000000"/>
          <w:sz w:val="22"/>
          <w:szCs w:val="22"/>
        </w:rPr>
        <w:t xml:space="preserve">procedures that are sufficient to enable the licensee to account for the </w:t>
      </w:r>
      <w:r w:rsidR="00675723">
        <w:rPr>
          <w:rFonts w:cs="Arial"/>
          <w:color w:val="000000"/>
          <w:sz w:val="22"/>
          <w:szCs w:val="22"/>
        </w:rPr>
        <w:t xml:space="preserve">SNM </w:t>
      </w:r>
      <w:r w:rsidR="00FE316F" w:rsidRPr="00FE316F">
        <w:rPr>
          <w:rFonts w:cs="Arial"/>
          <w:color w:val="000000"/>
          <w:sz w:val="22"/>
          <w:szCs w:val="22"/>
        </w:rPr>
        <w:t>in its possession under the license</w:t>
      </w:r>
      <w:r w:rsidR="00FE316F">
        <w:rPr>
          <w:rFonts w:cs="Arial"/>
          <w:color w:val="000000"/>
          <w:sz w:val="22"/>
          <w:szCs w:val="22"/>
        </w:rPr>
        <w:t xml:space="preserve">.  It is estimated by the NRC that the changes would </w:t>
      </w:r>
      <w:r w:rsidR="009F46A4">
        <w:rPr>
          <w:rFonts w:cs="Arial"/>
          <w:color w:val="000000"/>
          <w:sz w:val="22"/>
          <w:szCs w:val="22"/>
        </w:rPr>
        <w:t xml:space="preserve">not </w:t>
      </w:r>
      <w:r w:rsidR="00FE316F">
        <w:rPr>
          <w:rFonts w:cs="Arial"/>
          <w:color w:val="000000"/>
          <w:sz w:val="22"/>
          <w:szCs w:val="22"/>
        </w:rPr>
        <w:t xml:space="preserve">impact </w:t>
      </w:r>
      <w:r w:rsidR="009F46A4">
        <w:rPr>
          <w:rFonts w:cs="Arial"/>
          <w:color w:val="000000"/>
          <w:sz w:val="22"/>
          <w:szCs w:val="22"/>
        </w:rPr>
        <w:t>any additional</w:t>
      </w:r>
      <w:r w:rsidR="00FE316F">
        <w:rPr>
          <w:rFonts w:cs="Arial"/>
          <w:color w:val="000000"/>
          <w:sz w:val="22"/>
          <w:szCs w:val="22"/>
        </w:rPr>
        <w:t xml:space="preserve"> licensees. </w:t>
      </w:r>
      <w:r w:rsidR="00E35EEB">
        <w:rPr>
          <w:rFonts w:cs="Arial"/>
          <w:color w:val="000000"/>
          <w:sz w:val="22"/>
          <w:szCs w:val="22"/>
        </w:rPr>
        <w:t xml:space="preserve"> The NRC staff </w:t>
      </w:r>
      <w:r w:rsidR="00364418">
        <w:rPr>
          <w:rFonts w:cs="Arial"/>
          <w:color w:val="000000"/>
          <w:sz w:val="22"/>
          <w:szCs w:val="22"/>
        </w:rPr>
        <w:t>compared</w:t>
      </w:r>
      <w:r w:rsidR="00E35EEB">
        <w:rPr>
          <w:rFonts w:cs="Arial"/>
          <w:color w:val="000000"/>
          <w:sz w:val="22"/>
          <w:szCs w:val="22"/>
        </w:rPr>
        <w:t xml:space="preserve"> the </w:t>
      </w:r>
      <w:r w:rsidR="00364418">
        <w:rPr>
          <w:rFonts w:cs="Arial"/>
          <w:color w:val="000000"/>
          <w:sz w:val="22"/>
          <w:szCs w:val="22"/>
        </w:rPr>
        <w:t xml:space="preserve">current </w:t>
      </w:r>
      <w:r w:rsidR="00E35EEB">
        <w:rPr>
          <w:rFonts w:cs="Arial"/>
          <w:color w:val="000000"/>
          <w:sz w:val="22"/>
          <w:szCs w:val="22"/>
        </w:rPr>
        <w:t xml:space="preserve">number of licensees subject to the current requirement </w:t>
      </w:r>
      <w:r w:rsidR="00364418">
        <w:rPr>
          <w:rFonts w:cs="Arial"/>
          <w:color w:val="000000"/>
          <w:sz w:val="22"/>
          <w:szCs w:val="22"/>
        </w:rPr>
        <w:t xml:space="preserve">with the number of </w:t>
      </w:r>
      <w:r w:rsidR="006C58CB">
        <w:rPr>
          <w:rFonts w:cs="Arial"/>
          <w:color w:val="000000"/>
          <w:sz w:val="22"/>
          <w:szCs w:val="22"/>
        </w:rPr>
        <w:t>licensees</w:t>
      </w:r>
      <w:r w:rsidR="00E35EEB">
        <w:rPr>
          <w:rFonts w:cs="Arial"/>
          <w:color w:val="000000"/>
          <w:sz w:val="22"/>
          <w:szCs w:val="22"/>
        </w:rPr>
        <w:t xml:space="preserve"> that would be subject to the proposed requirement </w:t>
      </w:r>
      <w:r w:rsidR="00F044E3">
        <w:rPr>
          <w:rFonts w:cs="Arial"/>
          <w:color w:val="000000"/>
          <w:sz w:val="22"/>
          <w:szCs w:val="22"/>
        </w:rPr>
        <w:t>which</w:t>
      </w:r>
      <w:r w:rsidR="00E35EEB">
        <w:rPr>
          <w:rFonts w:cs="Arial"/>
          <w:color w:val="000000"/>
          <w:sz w:val="22"/>
          <w:szCs w:val="22"/>
        </w:rPr>
        <w:t xml:space="preserve"> would reduce the threshold possession limit </w:t>
      </w:r>
      <w:r w:rsidR="00364418">
        <w:rPr>
          <w:rFonts w:cs="Arial"/>
          <w:color w:val="000000"/>
          <w:sz w:val="22"/>
          <w:szCs w:val="22"/>
        </w:rPr>
        <w:t xml:space="preserve">from one effective </w:t>
      </w:r>
      <w:r w:rsidR="00364418">
        <w:rPr>
          <w:rFonts w:cs="Arial"/>
          <w:color w:val="000000"/>
          <w:sz w:val="22"/>
          <w:szCs w:val="22"/>
        </w:rPr>
        <w:lastRenderedPageBreak/>
        <w:t xml:space="preserve">kilogram of SNM </w:t>
      </w:r>
      <w:r w:rsidR="00E35EEB">
        <w:rPr>
          <w:rFonts w:cs="Arial"/>
          <w:color w:val="000000"/>
          <w:sz w:val="22"/>
          <w:szCs w:val="22"/>
        </w:rPr>
        <w:t>to</w:t>
      </w:r>
      <w:r w:rsidR="00382FE7">
        <w:rPr>
          <w:rFonts w:cs="Arial"/>
          <w:color w:val="000000"/>
          <w:sz w:val="22"/>
          <w:szCs w:val="22"/>
        </w:rPr>
        <w:t xml:space="preserve"> a </w:t>
      </w:r>
      <w:r w:rsidR="00AD5B69">
        <w:rPr>
          <w:rFonts w:cs="Arial"/>
          <w:color w:val="000000"/>
          <w:sz w:val="22"/>
          <w:szCs w:val="22"/>
        </w:rPr>
        <w:t>quantity</w:t>
      </w:r>
      <w:r w:rsidR="00382FE7">
        <w:rPr>
          <w:rFonts w:cs="Arial"/>
          <w:color w:val="000000"/>
          <w:sz w:val="22"/>
          <w:szCs w:val="22"/>
        </w:rPr>
        <w:t xml:space="preserve"> greater than</w:t>
      </w:r>
      <w:r w:rsidR="00E35EEB">
        <w:rPr>
          <w:rFonts w:cs="Arial"/>
          <w:color w:val="000000"/>
          <w:sz w:val="22"/>
          <w:szCs w:val="22"/>
        </w:rPr>
        <w:t xml:space="preserve"> 350 grams of contained uranium-235, uranium-233, or plutonium, or any combination thereof and determined that no additional licensees would be </w:t>
      </w:r>
      <w:r w:rsidR="005A2194">
        <w:rPr>
          <w:rFonts w:cs="Arial"/>
          <w:color w:val="000000"/>
          <w:sz w:val="22"/>
          <w:szCs w:val="22"/>
        </w:rPr>
        <w:t>a</w:t>
      </w:r>
      <w:r w:rsidR="00F721B7">
        <w:rPr>
          <w:rFonts w:cs="Arial"/>
          <w:color w:val="000000"/>
          <w:sz w:val="22"/>
          <w:szCs w:val="22"/>
        </w:rPr>
        <w:t>ffected by proposed</w:t>
      </w:r>
      <w:r w:rsidR="00E35EEB">
        <w:rPr>
          <w:rFonts w:cs="Arial"/>
          <w:color w:val="000000"/>
          <w:sz w:val="22"/>
          <w:szCs w:val="22"/>
        </w:rPr>
        <w:t xml:space="preserve"> 10 CFR 74.19(b).</w:t>
      </w:r>
    </w:p>
    <w:p w:rsidR="002347D8" w:rsidRDefault="002347D8">
      <w:pPr>
        <w:keepNext/>
        <w:numPr>
          <w:ilvl w:val="12"/>
          <w:numId w:val="0"/>
        </w:numPr>
        <w:ind w:left="1440" w:hanging="1440"/>
        <w:rPr>
          <w:rFonts w:cs="Arial"/>
          <w:sz w:val="22"/>
          <w:szCs w:val="22"/>
        </w:rPr>
      </w:pPr>
    </w:p>
    <w:p w:rsidR="00B1243E" w:rsidRDefault="00B6757D">
      <w:pPr>
        <w:keepNext/>
        <w:numPr>
          <w:ilvl w:val="12"/>
          <w:numId w:val="0"/>
        </w:numPr>
        <w:ind w:left="1440" w:hanging="1440"/>
        <w:rPr>
          <w:rFonts w:cs="Arial"/>
          <w:sz w:val="22"/>
          <w:szCs w:val="22"/>
        </w:rPr>
      </w:pPr>
      <w:r w:rsidRPr="009B5E75">
        <w:rPr>
          <w:rFonts w:cs="Arial"/>
          <w:sz w:val="22"/>
          <w:szCs w:val="22"/>
        </w:rPr>
        <w:t>I</w:t>
      </w:r>
      <w:r w:rsidR="002A6E72" w:rsidRPr="009B5E75">
        <w:rPr>
          <w:rFonts w:cs="Arial"/>
          <w:sz w:val="22"/>
          <w:szCs w:val="22"/>
        </w:rPr>
        <w:t>mpact:</w:t>
      </w:r>
      <w:r w:rsidR="003B05BB">
        <w:rPr>
          <w:rFonts w:cs="Arial"/>
          <w:sz w:val="22"/>
          <w:szCs w:val="22"/>
        </w:rPr>
        <w:t xml:space="preserve">  </w:t>
      </w:r>
      <w:r w:rsidR="00FE316F">
        <w:rPr>
          <w:rFonts w:cs="Arial"/>
          <w:sz w:val="22"/>
          <w:szCs w:val="22"/>
        </w:rPr>
        <w:t>Item Control System</w:t>
      </w:r>
      <w:r w:rsidR="00794BF5" w:rsidRPr="009B5E75">
        <w:rPr>
          <w:rFonts w:cs="Arial"/>
          <w:sz w:val="22"/>
          <w:szCs w:val="22"/>
        </w:rPr>
        <w:t xml:space="preserve">  </w:t>
      </w:r>
    </w:p>
    <w:p w:rsidR="00B1243E" w:rsidRDefault="00B1243E" w:rsidP="001146EA">
      <w:pPr>
        <w:numPr>
          <w:ilvl w:val="12"/>
          <w:numId w:val="0"/>
        </w:numPr>
        <w:rPr>
          <w:rFonts w:cs="Arial"/>
          <w:sz w:val="22"/>
          <w:szCs w:val="22"/>
        </w:rPr>
      </w:pPr>
    </w:p>
    <w:p w:rsidR="001336D7" w:rsidRDefault="00FE316F" w:rsidP="00391BF3">
      <w:pPr>
        <w:rPr>
          <w:rFonts w:cs="Arial"/>
          <w:sz w:val="22"/>
          <w:szCs w:val="22"/>
        </w:rPr>
      </w:pPr>
      <w:r w:rsidRPr="00001116">
        <w:rPr>
          <w:rFonts w:cs="Arial"/>
          <w:sz w:val="22"/>
          <w:szCs w:val="22"/>
        </w:rPr>
        <w:t xml:space="preserve">The </w:t>
      </w:r>
      <w:r w:rsidR="00425540" w:rsidRPr="00001116">
        <w:rPr>
          <w:rFonts w:cs="Arial"/>
          <w:sz w:val="22"/>
          <w:szCs w:val="22"/>
        </w:rPr>
        <w:t xml:space="preserve">new </w:t>
      </w:r>
      <w:r w:rsidR="00E35EEB" w:rsidRPr="00001116">
        <w:rPr>
          <w:rFonts w:cs="Arial"/>
          <w:sz w:val="22"/>
          <w:szCs w:val="22"/>
        </w:rPr>
        <w:t xml:space="preserve">10 CFR </w:t>
      </w:r>
      <w:r w:rsidRPr="00001116">
        <w:rPr>
          <w:rFonts w:cs="Arial"/>
          <w:sz w:val="22"/>
          <w:szCs w:val="22"/>
        </w:rPr>
        <w:t>74.19(</w:t>
      </w:r>
      <w:r w:rsidR="00F36E57" w:rsidRPr="00001116">
        <w:rPr>
          <w:rFonts w:cs="Arial"/>
          <w:sz w:val="22"/>
          <w:szCs w:val="22"/>
        </w:rPr>
        <w:t>d</w:t>
      </w:r>
      <w:r w:rsidRPr="00001116">
        <w:rPr>
          <w:rFonts w:cs="Arial"/>
          <w:sz w:val="22"/>
          <w:szCs w:val="22"/>
        </w:rPr>
        <w:t xml:space="preserve">) would require </w:t>
      </w:r>
      <w:r w:rsidR="00F36E57" w:rsidRPr="00001116">
        <w:rPr>
          <w:rFonts w:cs="Arial"/>
          <w:sz w:val="22"/>
          <w:szCs w:val="22"/>
        </w:rPr>
        <w:t xml:space="preserve">licensees </w:t>
      </w:r>
      <w:r w:rsidR="00001116" w:rsidRPr="00001116">
        <w:rPr>
          <w:rFonts w:cs="Arial"/>
          <w:sz w:val="22"/>
          <w:szCs w:val="22"/>
        </w:rPr>
        <w:t xml:space="preserve">under 10 CFR part 50 or 52 </w:t>
      </w:r>
      <w:r w:rsidR="00F36E57" w:rsidRPr="00001116">
        <w:rPr>
          <w:rFonts w:cs="Arial"/>
          <w:sz w:val="22"/>
          <w:szCs w:val="22"/>
        </w:rPr>
        <w:t>and ISFSI licensees</w:t>
      </w:r>
      <w:r w:rsidR="00001116" w:rsidRPr="00001116">
        <w:rPr>
          <w:rFonts w:cs="Arial"/>
          <w:sz w:val="22"/>
          <w:szCs w:val="22"/>
        </w:rPr>
        <w:t xml:space="preserve"> under 10 CFR part 72</w:t>
      </w:r>
      <w:r w:rsidR="00391BF3" w:rsidRPr="00001116">
        <w:rPr>
          <w:rFonts w:cs="Arial"/>
          <w:sz w:val="22"/>
          <w:szCs w:val="22"/>
        </w:rPr>
        <w:t xml:space="preserve"> to e</w:t>
      </w:r>
      <w:r w:rsidRPr="00001116">
        <w:rPr>
          <w:rFonts w:cs="Arial"/>
          <w:sz w:val="22"/>
          <w:szCs w:val="22"/>
        </w:rPr>
        <w:t xml:space="preserve">stablish, document, implement, and maintain an item control system as defined in § 74.4.  </w:t>
      </w:r>
      <w:r w:rsidR="006D13DA" w:rsidRPr="00001116">
        <w:rPr>
          <w:rFonts w:cs="Arial"/>
          <w:sz w:val="22"/>
          <w:szCs w:val="22"/>
        </w:rPr>
        <w:t>The</w:t>
      </w:r>
      <w:r w:rsidR="001953C2">
        <w:rPr>
          <w:rFonts w:cs="Arial"/>
          <w:sz w:val="22"/>
          <w:szCs w:val="22"/>
        </w:rPr>
        <w:t xml:space="preserve">re are </w:t>
      </w:r>
      <w:r w:rsidR="00C53054">
        <w:rPr>
          <w:rFonts w:cs="Arial"/>
          <w:sz w:val="22"/>
          <w:szCs w:val="22"/>
        </w:rPr>
        <w:t>65 reactor sites</w:t>
      </w:r>
      <w:r w:rsidR="001953C2">
        <w:rPr>
          <w:rFonts w:cs="Arial"/>
          <w:sz w:val="22"/>
          <w:szCs w:val="22"/>
        </w:rPr>
        <w:t xml:space="preserve"> with one or more reactor units that are</w:t>
      </w:r>
      <w:r w:rsidR="006D13DA" w:rsidRPr="00001116">
        <w:rPr>
          <w:rFonts w:cs="Arial"/>
          <w:sz w:val="22"/>
          <w:szCs w:val="22"/>
        </w:rPr>
        <w:t xml:space="preserve"> license</w:t>
      </w:r>
      <w:r w:rsidR="001953C2">
        <w:rPr>
          <w:rFonts w:cs="Arial"/>
          <w:sz w:val="22"/>
          <w:szCs w:val="22"/>
        </w:rPr>
        <w:t>d</w:t>
      </w:r>
      <w:r w:rsidR="003D339B">
        <w:rPr>
          <w:rFonts w:cs="Arial"/>
          <w:sz w:val="22"/>
          <w:szCs w:val="22"/>
        </w:rPr>
        <w:t xml:space="preserve"> under 10 CFR </w:t>
      </w:r>
      <w:proofErr w:type="gramStart"/>
      <w:r w:rsidR="003D339B">
        <w:rPr>
          <w:rFonts w:cs="Arial"/>
          <w:sz w:val="22"/>
          <w:szCs w:val="22"/>
        </w:rPr>
        <w:t>part</w:t>
      </w:r>
      <w:proofErr w:type="gramEnd"/>
      <w:r w:rsidR="003D339B">
        <w:rPr>
          <w:rFonts w:cs="Arial"/>
          <w:sz w:val="22"/>
          <w:szCs w:val="22"/>
        </w:rPr>
        <w:t xml:space="preserve"> 50</w:t>
      </w:r>
      <w:r w:rsidR="001953C2">
        <w:rPr>
          <w:rFonts w:cs="Arial"/>
          <w:sz w:val="22"/>
          <w:szCs w:val="22"/>
        </w:rPr>
        <w:t xml:space="preserve">.  The </w:t>
      </w:r>
      <w:r w:rsidR="00C53054">
        <w:rPr>
          <w:rFonts w:cs="Arial"/>
          <w:sz w:val="22"/>
          <w:szCs w:val="22"/>
        </w:rPr>
        <w:t>65 reactor sites</w:t>
      </w:r>
      <w:r w:rsidR="006D13DA" w:rsidRPr="00001116">
        <w:rPr>
          <w:rFonts w:cs="Arial"/>
          <w:sz w:val="22"/>
          <w:szCs w:val="22"/>
        </w:rPr>
        <w:t xml:space="preserve"> have already implemented </w:t>
      </w:r>
      <w:r w:rsidR="00307EB0">
        <w:rPr>
          <w:rFonts w:cs="Arial"/>
          <w:sz w:val="22"/>
          <w:szCs w:val="22"/>
        </w:rPr>
        <w:t xml:space="preserve">their programs </w:t>
      </w:r>
      <w:r w:rsidR="00271C6E">
        <w:rPr>
          <w:rFonts w:cs="Arial"/>
          <w:sz w:val="22"/>
          <w:szCs w:val="22"/>
        </w:rPr>
        <w:t xml:space="preserve">under existing requirements in 10 CFR part 74 </w:t>
      </w:r>
      <w:r w:rsidR="00307EB0">
        <w:rPr>
          <w:rFonts w:cs="Arial"/>
          <w:sz w:val="22"/>
          <w:szCs w:val="22"/>
        </w:rPr>
        <w:t>to (1) establish MC&amp;A procedures, (2) conduct physical inventories of the SNM at the site, (3) maintain records, and (4) make reports.  L</w:t>
      </w:r>
      <w:r w:rsidR="00D9477A">
        <w:rPr>
          <w:rFonts w:cs="Arial"/>
          <w:sz w:val="22"/>
          <w:szCs w:val="22"/>
        </w:rPr>
        <w:t xml:space="preserve">icensee performance is evaluated </w:t>
      </w:r>
      <w:r w:rsidR="00383A80">
        <w:rPr>
          <w:rFonts w:cs="Arial"/>
          <w:sz w:val="22"/>
          <w:szCs w:val="22"/>
        </w:rPr>
        <w:t xml:space="preserve">during routine inspections conducted </w:t>
      </w:r>
      <w:r w:rsidR="00D9477A">
        <w:rPr>
          <w:rFonts w:cs="Arial"/>
          <w:sz w:val="22"/>
          <w:szCs w:val="22"/>
        </w:rPr>
        <w:t>under</w:t>
      </w:r>
      <w:r w:rsidR="00803570">
        <w:rPr>
          <w:rFonts w:cs="Arial"/>
          <w:sz w:val="22"/>
          <w:szCs w:val="22"/>
        </w:rPr>
        <w:t xml:space="preserve"> the R</w:t>
      </w:r>
      <w:r w:rsidR="00BD3E58">
        <w:rPr>
          <w:rFonts w:cs="Arial"/>
          <w:sz w:val="22"/>
          <w:szCs w:val="22"/>
        </w:rPr>
        <w:t>OP</w:t>
      </w:r>
      <w:r w:rsidR="001953C2">
        <w:rPr>
          <w:rFonts w:cs="Arial"/>
          <w:sz w:val="22"/>
          <w:szCs w:val="22"/>
        </w:rPr>
        <w:t xml:space="preserve">.  </w:t>
      </w:r>
      <w:r w:rsidR="005F5084">
        <w:rPr>
          <w:rFonts w:cs="Arial"/>
          <w:sz w:val="22"/>
          <w:szCs w:val="22"/>
        </w:rPr>
        <w:t xml:space="preserve">Under </w:t>
      </w:r>
      <w:r w:rsidR="0099193C">
        <w:rPr>
          <w:rFonts w:cs="Arial"/>
          <w:sz w:val="22"/>
          <w:szCs w:val="22"/>
        </w:rPr>
        <w:t xml:space="preserve">this </w:t>
      </w:r>
      <w:r w:rsidR="005F5084">
        <w:rPr>
          <w:rFonts w:cs="Arial"/>
          <w:sz w:val="22"/>
          <w:szCs w:val="22"/>
        </w:rPr>
        <w:t xml:space="preserve">Option 2A full credit is given to these </w:t>
      </w:r>
      <w:r w:rsidR="00C53054">
        <w:rPr>
          <w:rFonts w:cs="Arial"/>
          <w:sz w:val="22"/>
          <w:szCs w:val="22"/>
        </w:rPr>
        <w:t>65 reactor sites</w:t>
      </w:r>
      <w:r w:rsidR="005F5084">
        <w:rPr>
          <w:rFonts w:cs="Arial"/>
          <w:sz w:val="22"/>
          <w:szCs w:val="22"/>
        </w:rPr>
        <w:t xml:space="preserve"> for having an item control system that would satisfy proposed 10 CFR 74.19(d).  </w:t>
      </w:r>
      <w:r w:rsidR="0099193C">
        <w:rPr>
          <w:rFonts w:cs="Arial"/>
          <w:sz w:val="22"/>
          <w:szCs w:val="22"/>
        </w:rPr>
        <w:t>Thus, there</w:t>
      </w:r>
      <w:r w:rsidR="00905D06">
        <w:rPr>
          <w:rFonts w:cs="Arial"/>
          <w:sz w:val="22"/>
          <w:szCs w:val="22"/>
        </w:rPr>
        <w:t xml:space="preserve"> would be no additional cost</w:t>
      </w:r>
      <w:r w:rsidR="00B202B1">
        <w:rPr>
          <w:rFonts w:cs="Arial"/>
          <w:sz w:val="22"/>
          <w:szCs w:val="22"/>
        </w:rPr>
        <w:t xml:space="preserve"> im</w:t>
      </w:r>
      <w:r w:rsidR="005F7B89">
        <w:rPr>
          <w:rFonts w:cs="Arial"/>
          <w:sz w:val="22"/>
          <w:szCs w:val="22"/>
        </w:rPr>
        <w:t>p</w:t>
      </w:r>
      <w:r w:rsidR="00B202B1">
        <w:rPr>
          <w:rFonts w:cs="Arial"/>
          <w:sz w:val="22"/>
          <w:szCs w:val="22"/>
        </w:rPr>
        <w:t>act</w:t>
      </w:r>
      <w:r w:rsidR="00905D06">
        <w:rPr>
          <w:rFonts w:cs="Arial"/>
          <w:sz w:val="22"/>
          <w:szCs w:val="22"/>
        </w:rPr>
        <w:t xml:space="preserve"> </w:t>
      </w:r>
      <w:r w:rsidR="0099193C">
        <w:rPr>
          <w:rFonts w:cs="Arial"/>
          <w:sz w:val="22"/>
          <w:szCs w:val="22"/>
        </w:rPr>
        <w:t xml:space="preserve">on these sites as a result of the </w:t>
      </w:r>
      <w:r w:rsidR="00905D06">
        <w:rPr>
          <w:rFonts w:cs="Arial"/>
          <w:sz w:val="22"/>
          <w:szCs w:val="22"/>
        </w:rPr>
        <w:t xml:space="preserve">proposed 10 CFR 74.19(d).  </w:t>
      </w:r>
    </w:p>
    <w:p w:rsidR="001336D7" w:rsidRDefault="001336D7" w:rsidP="00391BF3">
      <w:pPr>
        <w:rPr>
          <w:rFonts w:cs="Arial"/>
          <w:sz w:val="22"/>
          <w:szCs w:val="22"/>
        </w:rPr>
      </w:pPr>
    </w:p>
    <w:p w:rsidR="00391BF3" w:rsidRPr="00001116" w:rsidRDefault="00453DAF" w:rsidP="00391BF3">
      <w:pPr>
        <w:rPr>
          <w:rFonts w:cs="Arial"/>
          <w:sz w:val="22"/>
          <w:szCs w:val="22"/>
        </w:rPr>
      </w:pPr>
      <w:r w:rsidRPr="00001116">
        <w:rPr>
          <w:rFonts w:cs="Arial"/>
          <w:sz w:val="22"/>
          <w:szCs w:val="22"/>
        </w:rPr>
        <w:t>The</w:t>
      </w:r>
      <w:r w:rsidR="001336D7">
        <w:rPr>
          <w:rFonts w:cs="Arial"/>
          <w:sz w:val="22"/>
          <w:szCs w:val="22"/>
        </w:rPr>
        <w:t>re are 63 stand-alone</w:t>
      </w:r>
      <w:r w:rsidRPr="00001116">
        <w:rPr>
          <w:rFonts w:cs="Arial"/>
          <w:sz w:val="22"/>
          <w:szCs w:val="22"/>
        </w:rPr>
        <w:t xml:space="preserve"> </w:t>
      </w:r>
      <w:r w:rsidR="009B07D7" w:rsidRPr="00001116">
        <w:rPr>
          <w:rFonts w:cs="Arial"/>
          <w:sz w:val="22"/>
          <w:szCs w:val="22"/>
        </w:rPr>
        <w:t>ISFSI licensees</w:t>
      </w:r>
      <w:r w:rsidRPr="00001116">
        <w:rPr>
          <w:rFonts w:cs="Arial"/>
          <w:sz w:val="22"/>
          <w:szCs w:val="22"/>
        </w:rPr>
        <w:t xml:space="preserve"> </w:t>
      </w:r>
      <w:r w:rsidR="003943EF">
        <w:rPr>
          <w:rFonts w:cs="Arial"/>
          <w:sz w:val="22"/>
          <w:szCs w:val="22"/>
        </w:rPr>
        <w:t>under 10 CFR p</w:t>
      </w:r>
      <w:r w:rsidR="00E6065A">
        <w:rPr>
          <w:rFonts w:cs="Arial"/>
          <w:sz w:val="22"/>
          <w:szCs w:val="22"/>
        </w:rPr>
        <w:t>a</w:t>
      </w:r>
      <w:r w:rsidR="003943EF">
        <w:rPr>
          <w:rFonts w:cs="Arial"/>
          <w:sz w:val="22"/>
          <w:szCs w:val="22"/>
        </w:rPr>
        <w:t xml:space="preserve">rt 72 </w:t>
      </w:r>
      <w:r w:rsidR="001336D7">
        <w:rPr>
          <w:rFonts w:cs="Arial"/>
          <w:sz w:val="22"/>
          <w:szCs w:val="22"/>
        </w:rPr>
        <w:t xml:space="preserve">that </w:t>
      </w:r>
      <w:r w:rsidRPr="00001116">
        <w:rPr>
          <w:rFonts w:cs="Arial"/>
          <w:sz w:val="22"/>
          <w:szCs w:val="22"/>
        </w:rPr>
        <w:t>would be impacted by the proposed requirement</w:t>
      </w:r>
      <w:r w:rsidR="00DB6716" w:rsidRPr="00001116">
        <w:rPr>
          <w:rFonts w:cs="Arial"/>
          <w:sz w:val="22"/>
          <w:szCs w:val="22"/>
        </w:rPr>
        <w:t>.</w:t>
      </w:r>
      <w:r w:rsidR="003E1566" w:rsidRPr="00001116">
        <w:rPr>
          <w:rFonts w:cs="Arial"/>
          <w:sz w:val="22"/>
          <w:szCs w:val="22"/>
        </w:rPr>
        <w:t xml:space="preserve"> </w:t>
      </w:r>
      <w:r w:rsidR="00DB6716" w:rsidRPr="00001116">
        <w:rPr>
          <w:rFonts w:cs="Arial"/>
          <w:sz w:val="22"/>
          <w:szCs w:val="22"/>
        </w:rPr>
        <w:t xml:space="preserve"> </w:t>
      </w:r>
      <w:r w:rsidR="00352E68" w:rsidRPr="00001116">
        <w:rPr>
          <w:rFonts w:cs="Arial"/>
          <w:sz w:val="22"/>
          <w:szCs w:val="22"/>
        </w:rPr>
        <w:t>T</w:t>
      </w:r>
      <w:r w:rsidR="00364418" w:rsidRPr="00001116">
        <w:rPr>
          <w:rFonts w:cs="Arial"/>
          <w:sz w:val="22"/>
          <w:szCs w:val="22"/>
        </w:rPr>
        <w:t>he staff estimated about</w:t>
      </w:r>
      <w:r w:rsidR="00391BF3" w:rsidRPr="00001116">
        <w:rPr>
          <w:rFonts w:cs="Arial"/>
          <w:sz w:val="22"/>
          <w:szCs w:val="22"/>
        </w:rPr>
        <w:t xml:space="preserve"> </w:t>
      </w:r>
      <w:r w:rsidR="001572B2" w:rsidRPr="00001116">
        <w:rPr>
          <w:rFonts w:cs="Arial"/>
          <w:sz w:val="22"/>
          <w:szCs w:val="22"/>
        </w:rPr>
        <w:t>5</w:t>
      </w:r>
      <w:r w:rsidR="00391BF3" w:rsidRPr="00001116">
        <w:rPr>
          <w:rFonts w:cs="Arial"/>
          <w:sz w:val="22"/>
          <w:szCs w:val="22"/>
        </w:rPr>
        <w:t xml:space="preserve"> labor hours </w:t>
      </w:r>
      <w:r w:rsidR="00364418" w:rsidRPr="00001116">
        <w:rPr>
          <w:rFonts w:cs="Arial"/>
          <w:sz w:val="22"/>
          <w:szCs w:val="22"/>
        </w:rPr>
        <w:t>would be needed</w:t>
      </w:r>
      <w:r w:rsidR="00DB6716" w:rsidRPr="00001116">
        <w:rPr>
          <w:rFonts w:cs="Arial"/>
          <w:sz w:val="22"/>
          <w:szCs w:val="22"/>
        </w:rPr>
        <w:t xml:space="preserve"> for each of the</w:t>
      </w:r>
      <w:r w:rsidR="009B07D7" w:rsidRPr="00001116">
        <w:rPr>
          <w:rFonts w:cs="Arial"/>
          <w:sz w:val="22"/>
          <w:szCs w:val="22"/>
        </w:rPr>
        <w:t xml:space="preserve"> 6</w:t>
      </w:r>
      <w:r w:rsidR="001D3619" w:rsidRPr="00001116">
        <w:rPr>
          <w:rFonts w:cs="Arial"/>
          <w:sz w:val="22"/>
          <w:szCs w:val="22"/>
        </w:rPr>
        <w:t>3</w:t>
      </w:r>
      <w:r w:rsidR="00DB6716" w:rsidRPr="00001116">
        <w:rPr>
          <w:rFonts w:cs="Arial"/>
          <w:sz w:val="22"/>
          <w:szCs w:val="22"/>
        </w:rPr>
        <w:t xml:space="preserve"> </w:t>
      </w:r>
      <w:r w:rsidR="009B07D7" w:rsidRPr="00001116">
        <w:rPr>
          <w:rFonts w:cs="Arial"/>
          <w:sz w:val="22"/>
          <w:szCs w:val="22"/>
        </w:rPr>
        <w:t>ISFSI</w:t>
      </w:r>
      <w:r w:rsidR="00DB6716" w:rsidRPr="00001116">
        <w:rPr>
          <w:rFonts w:cs="Arial"/>
          <w:sz w:val="22"/>
          <w:szCs w:val="22"/>
        </w:rPr>
        <w:t xml:space="preserve"> licensees to establish an item control system</w:t>
      </w:r>
      <w:r w:rsidR="00364418" w:rsidRPr="00001116">
        <w:rPr>
          <w:rFonts w:cs="Arial"/>
          <w:sz w:val="22"/>
          <w:szCs w:val="22"/>
        </w:rPr>
        <w:t>.  The labor rate is $</w:t>
      </w:r>
      <w:r w:rsidR="000E4182" w:rsidRPr="00001116">
        <w:rPr>
          <w:rFonts w:cs="Arial"/>
          <w:sz w:val="22"/>
          <w:szCs w:val="22"/>
        </w:rPr>
        <w:t>73.2</w:t>
      </w:r>
      <w:r w:rsidR="001207DF" w:rsidRPr="00001116">
        <w:rPr>
          <w:rFonts w:cs="Arial"/>
          <w:sz w:val="22"/>
          <w:szCs w:val="22"/>
        </w:rPr>
        <w:t>0</w:t>
      </w:r>
      <w:r w:rsidR="00364418" w:rsidRPr="00001116">
        <w:rPr>
          <w:rFonts w:cs="Arial"/>
          <w:sz w:val="22"/>
          <w:szCs w:val="22"/>
        </w:rPr>
        <w:t xml:space="preserve"> per hour.  The </w:t>
      </w:r>
      <w:r w:rsidR="007512CA" w:rsidRPr="00001116">
        <w:rPr>
          <w:rFonts w:cs="Arial"/>
          <w:sz w:val="22"/>
          <w:szCs w:val="22"/>
        </w:rPr>
        <w:t>one</w:t>
      </w:r>
      <w:r w:rsidR="00010254" w:rsidRPr="00001116">
        <w:rPr>
          <w:rFonts w:cs="Arial"/>
          <w:sz w:val="22"/>
          <w:szCs w:val="22"/>
        </w:rPr>
        <w:t>-</w:t>
      </w:r>
      <w:r w:rsidR="007512CA" w:rsidRPr="00001116">
        <w:rPr>
          <w:rFonts w:cs="Arial"/>
          <w:sz w:val="22"/>
          <w:szCs w:val="22"/>
        </w:rPr>
        <w:t>time</w:t>
      </w:r>
      <w:r w:rsidR="00364418" w:rsidRPr="00001116">
        <w:rPr>
          <w:rFonts w:cs="Arial"/>
          <w:sz w:val="22"/>
          <w:szCs w:val="22"/>
        </w:rPr>
        <w:t xml:space="preserve"> cost per licensee would be $</w:t>
      </w:r>
      <w:r w:rsidR="000E4182" w:rsidRPr="00001116">
        <w:rPr>
          <w:rFonts w:cs="Arial"/>
          <w:sz w:val="22"/>
          <w:szCs w:val="22"/>
        </w:rPr>
        <w:t>366</w:t>
      </w:r>
      <w:r w:rsidR="00364418" w:rsidRPr="00001116">
        <w:rPr>
          <w:rFonts w:cs="Arial"/>
          <w:sz w:val="22"/>
          <w:szCs w:val="22"/>
        </w:rPr>
        <w:t xml:space="preserve"> and the total </w:t>
      </w:r>
      <w:r w:rsidR="007512CA" w:rsidRPr="00001116">
        <w:rPr>
          <w:rFonts w:cs="Arial"/>
          <w:sz w:val="22"/>
          <w:szCs w:val="22"/>
        </w:rPr>
        <w:t>one</w:t>
      </w:r>
      <w:r w:rsidR="000E4182" w:rsidRPr="00001116">
        <w:rPr>
          <w:rFonts w:cs="Arial"/>
          <w:sz w:val="22"/>
          <w:szCs w:val="22"/>
        </w:rPr>
        <w:t>-</w:t>
      </w:r>
      <w:r w:rsidR="007512CA" w:rsidRPr="00001116">
        <w:rPr>
          <w:rFonts w:cs="Arial"/>
          <w:sz w:val="22"/>
          <w:szCs w:val="22"/>
        </w:rPr>
        <w:t>time</w:t>
      </w:r>
      <w:r w:rsidR="00364418" w:rsidRPr="00001116">
        <w:rPr>
          <w:rFonts w:cs="Arial"/>
          <w:sz w:val="22"/>
          <w:szCs w:val="22"/>
        </w:rPr>
        <w:t xml:space="preserve"> cost to the industry would be </w:t>
      </w:r>
      <w:r w:rsidR="00A127E1" w:rsidRPr="00001116">
        <w:rPr>
          <w:rFonts w:cs="Arial"/>
          <w:sz w:val="22"/>
          <w:szCs w:val="22"/>
        </w:rPr>
        <w:t>$</w:t>
      </w:r>
      <w:r w:rsidR="00DD03B2" w:rsidRPr="00001116">
        <w:rPr>
          <w:rFonts w:cs="Arial"/>
          <w:sz w:val="22"/>
          <w:szCs w:val="22"/>
        </w:rPr>
        <w:t>23</w:t>
      </w:r>
      <w:r w:rsidR="00284E5F" w:rsidRPr="00001116">
        <w:rPr>
          <w:rFonts w:cs="Arial"/>
          <w:sz w:val="22"/>
          <w:szCs w:val="22"/>
        </w:rPr>
        <w:t>,</w:t>
      </w:r>
      <w:r w:rsidR="00DD03B2" w:rsidRPr="00001116">
        <w:rPr>
          <w:rFonts w:cs="Arial"/>
          <w:sz w:val="22"/>
          <w:szCs w:val="22"/>
        </w:rPr>
        <w:t>0</w:t>
      </w:r>
      <w:r w:rsidR="0099193C">
        <w:rPr>
          <w:rFonts w:cs="Arial"/>
          <w:sz w:val="22"/>
          <w:szCs w:val="22"/>
        </w:rPr>
        <w:t>58</w:t>
      </w:r>
      <w:r w:rsidR="00391BF3" w:rsidRPr="00001116">
        <w:rPr>
          <w:rFonts w:cs="Arial"/>
          <w:sz w:val="22"/>
          <w:szCs w:val="22"/>
        </w:rPr>
        <w:t xml:space="preserve">. </w:t>
      </w:r>
    </w:p>
    <w:p w:rsidR="000D22D1" w:rsidRDefault="000D22D1" w:rsidP="00391BF3">
      <w:pPr>
        <w:rPr>
          <w:rFonts w:cs="Arial"/>
          <w:color w:val="000000"/>
          <w:sz w:val="22"/>
          <w:szCs w:val="22"/>
        </w:rPr>
      </w:pPr>
    </w:p>
    <w:p w:rsidR="00391BF3" w:rsidRPr="00391BF3" w:rsidRDefault="00DE7CF5" w:rsidP="00391BF3">
      <w:pPr>
        <w:numPr>
          <w:ilvl w:val="12"/>
          <w:numId w:val="0"/>
        </w:numPr>
        <w:ind w:left="837" w:hanging="837"/>
        <w:rPr>
          <w:rFonts w:cs="Arial"/>
          <w:sz w:val="22"/>
          <w:szCs w:val="22"/>
        </w:rPr>
      </w:pPr>
      <w:r w:rsidRPr="009B5E75">
        <w:rPr>
          <w:rFonts w:cs="Arial"/>
          <w:sz w:val="22"/>
          <w:szCs w:val="22"/>
        </w:rPr>
        <w:t>Impact:</w:t>
      </w:r>
      <w:r w:rsidR="00796287">
        <w:rPr>
          <w:rFonts w:cs="Arial"/>
          <w:sz w:val="22"/>
          <w:szCs w:val="22"/>
        </w:rPr>
        <w:t xml:space="preserve">  </w:t>
      </w:r>
      <w:r w:rsidR="00391BF3">
        <w:rPr>
          <w:rFonts w:cs="Arial"/>
          <w:sz w:val="22"/>
          <w:szCs w:val="22"/>
        </w:rPr>
        <w:t>I</w:t>
      </w:r>
      <w:r w:rsidR="00391BF3" w:rsidRPr="00391BF3">
        <w:rPr>
          <w:rFonts w:cs="Arial"/>
          <w:sz w:val="22"/>
          <w:szCs w:val="22"/>
        </w:rPr>
        <w:t xml:space="preserve">tem </w:t>
      </w:r>
      <w:r w:rsidR="009A2FFD" w:rsidRPr="00391BF3">
        <w:rPr>
          <w:rFonts w:cs="Arial"/>
          <w:sz w:val="22"/>
          <w:szCs w:val="22"/>
        </w:rPr>
        <w:t>Cont</w:t>
      </w:r>
      <w:r w:rsidR="009A2FFD">
        <w:rPr>
          <w:rFonts w:cs="Arial"/>
          <w:sz w:val="22"/>
          <w:szCs w:val="22"/>
        </w:rPr>
        <w:t xml:space="preserve">rol Exemptions </w:t>
      </w:r>
      <w:r w:rsidR="00921BB1">
        <w:rPr>
          <w:rFonts w:cs="Arial"/>
          <w:sz w:val="22"/>
          <w:szCs w:val="22"/>
        </w:rPr>
        <w:t>for</w:t>
      </w:r>
      <w:r w:rsidR="009A2FFD" w:rsidRPr="00391BF3">
        <w:rPr>
          <w:rFonts w:cs="Arial"/>
          <w:sz w:val="22"/>
          <w:szCs w:val="22"/>
        </w:rPr>
        <w:t xml:space="preserve"> </w:t>
      </w:r>
      <w:r w:rsidR="00391BF3" w:rsidRPr="00391BF3">
        <w:rPr>
          <w:rFonts w:cs="Arial"/>
          <w:sz w:val="22"/>
          <w:szCs w:val="22"/>
        </w:rPr>
        <w:t>Cat</w:t>
      </w:r>
      <w:r w:rsidR="00391BF3">
        <w:rPr>
          <w:rFonts w:cs="Arial"/>
          <w:sz w:val="22"/>
          <w:szCs w:val="22"/>
        </w:rPr>
        <w:t>egory</w:t>
      </w:r>
      <w:r w:rsidR="00B326D0">
        <w:rPr>
          <w:rFonts w:cs="Arial"/>
          <w:sz w:val="22"/>
          <w:szCs w:val="22"/>
        </w:rPr>
        <w:t xml:space="preserve"> </w:t>
      </w:r>
      <w:r w:rsidR="00391BF3" w:rsidRPr="00391BF3">
        <w:rPr>
          <w:rFonts w:cs="Arial"/>
          <w:sz w:val="22"/>
          <w:szCs w:val="22"/>
        </w:rPr>
        <w:t xml:space="preserve">III </w:t>
      </w:r>
      <w:r w:rsidR="009A2FFD">
        <w:rPr>
          <w:rFonts w:cs="Arial"/>
          <w:sz w:val="22"/>
          <w:szCs w:val="22"/>
        </w:rPr>
        <w:t>and</w:t>
      </w:r>
      <w:r w:rsidR="009A2FFD" w:rsidRPr="00391BF3">
        <w:rPr>
          <w:rFonts w:cs="Arial"/>
          <w:sz w:val="22"/>
          <w:szCs w:val="22"/>
        </w:rPr>
        <w:t xml:space="preserve"> </w:t>
      </w:r>
      <w:r w:rsidR="00BD644A">
        <w:rPr>
          <w:rFonts w:cs="Arial"/>
          <w:sz w:val="22"/>
          <w:szCs w:val="22"/>
        </w:rPr>
        <w:t xml:space="preserve">II </w:t>
      </w:r>
      <w:r w:rsidR="009A2FFD">
        <w:rPr>
          <w:rFonts w:cs="Arial"/>
          <w:sz w:val="22"/>
          <w:szCs w:val="22"/>
        </w:rPr>
        <w:t>Facilities</w:t>
      </w:r>
    </w:p>
    <w:p w:rsidR="00DE7CF5" w:rsidRPr="009B5E75" w:rsidRDefault="00DE7CF5" w:rsidP="00391BF3">
      <w:pPr>
        <w:numPr>
          <w:ilvl w:val="12"/>
          <w:numId w:val="0"/>
        </w:numPr>
        <w:ind w:left="837" w:hanging="837"/>
        <w:rPr>
          <w:rFonts w:cs="Arial"/>
          <w:sz w:val="22"/>
          <w:szCs w:val="22"/>
        </w:rPr>
      </w:pPr>
    </w:p>
    <w:p w:rsidR="00391BF3" w:rsidRDefault="00391BF3" w:rsidP="00391BF3">
      <w:pPr>
        <w:rPr>
          <w:rFonts w:cs="Arial"/>
          <w:color w:val="000000"/>
          <w:sz w:val="22"/>
          <w:szCs w:val="22"/>
        </w:rPr>
      </w:pPr>
      <w:r w:rsidRPr="009F46A4">
        <w:rPr>
          <w:rFonts w:cs="Arial"/>
          <w:sz w:val="22"/>
          <w:szCs w:val="22"/>
        </w:rPr>
        <w:t xml:space="preserve">The proposed changes to </w:t>
      </w:r>
      <w:r w:rsidR="006C330B">
        <w:rPr>
          <w:rFonts w:cs="Arial"/>
          <w:sz w:val="22"/>
          <w:szCs w:val="22"/>
        </w:rPr>
        <w:t>10 CFR</w:t>
      </w:r>
      <w:r w:rsidR="006C330B" w:rsidRPr="009F46A4">
        <w:rPr>
          <w:rFonts w:cs="Arial"/>
          <w:sz w:val="22"/>
          <w:szCs w:val="22"/>
        </w:rPr>
        <w:t xml:space="preserve"> </w:t>
      </w:r>
      <w:r w:rsidRPr="009F46A4">
        <w:rPr>
          <w:rFonts w:cs="Arial"/>
          <w:sz w:val="22"/>
          <w:szCs w:val="22"/>
        </w:rPr>
        <w:t>74.31(c</w:t>
      </w:r>
      <w:proofErr w:type="gramStart"/>
      <w:r w:rsidRPr="009F46A4">
        <w:rPr>
          <w:rFonts w:cs="Arial"/>
          <w:sz w:val="22"/>
          <w:szCs w:val="22"/>
        </w:rPr>
        <w:t>)(</w:t>
      </w:r>
      <w:proofErr w:type="gramEnd"/>
      <w:r w:rsidRPr="009F46A4">
        <w:rPr>
          <w:rFonts w:cs="Arial"/>
          <w:sz w:val="22"/>
          <w:szCs w:val="22"/>
        </w:rPr>
        <w:t>6)</w:t>
      </w:r>
      <w:r w:rsidRPr="009F46A4">
        <w:rPr>
          <w:rFonts w:cs="Arial"/>
          <w:color w:val="000000"/>
          <w:sz w:val="22"/>
          <w:szCs w:val="22"/>
        </w:rPr>
        <w:t xml:space="preserve"> would require each </w:t>
      </w:r>
      <w:r w:rsidR="00BD644A">
        <w:rPr>
          <w:rFonts w:cs="Arial"/>
          <w:color w:val="000000"/>
          <w:sz w:val="22"/>
          <w:szCs w:val="22"/>
        </w:rPr>
        <w:t>Category III fuel fabrication facility to include currently exempted items in their item control system</w:t>
      </w:r>
      <w:r w:rsidRPr="009F46A4">
        <w:rPr>
          <w:rFonts w:cs="Arial"/>
          <w:color w:val="000000"/>
          <w:sz w:val="22"/>
          <w:szCs w:val="22"/>
        </w:rPr>
        <w:t>.</w:t>
      </w:r>
      <w:r w:rsidR="006C330B">
        <w:rPr>
          <w:rFonts w:cs="Arial"/>
          <w:color w:val="000000"/>
          <w:sz w:val="22"/>
          <w:szCs w:val="22"/>
        </w:rPr>
        <w:t xml:space="preserve">  The currently exempted items that a licensee would be required to track include items that exist for 14 days </w:t>
      </w:r>
      <w:r w:rsidR="00F044E3">
        <w:rPr>
          <w:rFonts w:cs="Arial"/>
          <w:color w:val="000000"/>
          <w:sz w:val="22"/>
          <w:szCs w:val="22"/>
        </w:rPr>
        <w:t>or</w:t>
      </w:r>
      <w:r w:rsidR="006C330B">
        <w:rPr>
          <w:rFonts w:cs="Arial"/>
          <w:color w:val="000000"/>
          <w:sz w:val="22"/>
          <w:szCs w:val="22"/>
        </w:rPr>
        <w:t xml:space="preserve"> less and individual items containing less than 500 grams of uranium-235 up to a total of 50 kilograms of uranium-235.</w:t>
      </w:r>
      <w:r w:rsidRPr="009F46A4">
        <w:rPr>
          <w:rFonts w:cs="Arial"/>
          <w:color w:val="000000"/>
          <w:sz w:val="22"/>
          <w:szCs w:val="22"/>
        </w:rPr>
        <w:t xml:space="preserve">  It is estimated by the NRC that the changes would impact </w:t>
      </w:r>
      <w:r w:rsidR="00BD7CDF">
        <w:rPr>
          <w:rFonts w:cs="Arial"/>
          <w:color w:val="000000"/>
          <w:sz w:val="22"/>
          <w:szCs w:val="22"/>
        </w:rPr>
        <w:t xml:space="preserve">the </w:t>
      </w:r>
      <w:r w:rsidR="00A44E27">
        <w:rPr>
          <w:rFonts w:cs="Arial"/>
          <w:color w:val="000000"/>
          <w:sz w:val="22"/>
          <w:szCs w:val="22"/>
        </w:rPr>
        <w:t xml:space="preserve">three </w:t>
      </w:r>
      <w:r w:rsidRPr="009F46A4">
        <w:rPr>
          <w:rFonts w:cs="Arial"/>
          <w:color w:val="000000"/>
          <w:sz w:val="22"/>
          <w:szCs w:val="22"/>
        </w:rPr>
        <w:t>licensees</w:t>
      </w:r>
      <w:r w:rsidR="00BD7CDF">
        <w:rPr>
          <w:rFonts w:cs="Arial"/>
          <w:color w:val="000000"/>
          <w:sz w:val="22"/>
          <w:szCs w:val="22"/>
        </w:rPr>
        <w:t xml:space="preserve"> that are currently operating Category III </w:t>
      </w:r>
      <w:r w:rsidR="007107F6">
        <w:rPr>
          <w:rFonts w:cs="Arial"/>
          <w:color w:val="000000"/>
          <w:sz w:val="22"/>
          <w:szCs w:val="22"/>
        </w:rPr>
        <w:t xml:space="preserve">fuel fabrication </w:t>
      </w:r>
      <w:r w:rsidR="00BD7CDF">
        <w:rPr>
          <w:rFonts w:cs="Arial"/>
          <w:color w:val="000000"/>
          <w:sz w:val="22"/>
          <w:szCs w:val="22"/>
        </w:rPr>
        <w:t>facilities.  T</w:t>
      </w:r>
      <w:r w:rsidR="00AB2B74">
        <w:rPr>
          <w:rFonts w:cs="Arial"/>
          <w:color w:val="000000"/>
          <w:sz w:val="22"/>
          <w:szCs w:val="22"/>
        </w:rPr>
        <w:t>he implementation time would be 250 hours at $</w:t>
      </w:r>
      <w:r w:rsidR="000E4182">
        <w:rPr>
          <w:rFonts w:cs="Arial"/>
          <w:color w:val="000000"/>
          <w:sz w:val="22"/>
          <w:szCs w:val="22"/>
        </w:rPr>
        <w:t>73.2</w:t>
      </w:r>
      <w:r w:rsidR="001207DF">
        <w:rPr>
          <w:rFonts w:cs="Arial"/>
          <w:color w:val="000000"/>
          <w:sz w:val="22"/>
          <w:szCs w:val="22"/>
        </w:rPr>
        <w:t>0</w:t>
      </w:r>
      <w:r w:rsidR="00AB2B74">
        <w:rPr>
          <w:rFonts w:cs="Arial"/>
          <w:color w:val="000000"/>
          <w:sz w:val="22"/>
          <w:szCs w:val="22"/>
        </w:rPr>
        <w:t xml:space="preserve"> per hour.  The </w:t>
      </w:r>
      <w:r w:rsidR="005E7E67">
        <w:rPr>
          <w:rFonts w:cs="Arial"/>
          <w:color w:val="000000"/>
          <w:sz w:val="22"/>
          <w:szCs w:val="22"/>
        </w:rPr>
        <w:t xml:space="preserve">one-time </w:t>
      </w:r>
      <w:r w:rsidR="00AB2B74">
        <w:rPr>
          <w:rFonts w:cs="Arial"/>
          <w:color w:val="000000"/>
          <w:sz w:val="22"/>
          <w:szCs w:val="22"/>
        </w:rPr>
        <w:t>cost per licensee would be</w:t>
      </w:r>
      <w:r w:rsidRPr="009F46A4">
        <w:rPr>
          <w:rFonts w:cs="Arial"/>
          <w:color w:val="000000"/>
          <w:sz w:val="22"/>
          <w:szCs w:val="22"/>
        </w:rPr>
        <w:t xml:space="preserve"> $</w:t>
      </w:r>
      <w:r w:rsidR="000E4182">
        <w:rPr>
          <w:rFonts w:cs="Arial"/>
          <w:color w:val="000000"/>
          <w:sz w:val="22"/>
          <w:szCs w:val="22"/>
        </w:rPr>
        <w:t>18,300</w:t>
      </w:r>
      <w:r w:rsidRPr="009F46A4">
        <w:rPr>
          <w:rFonts w:cs="Arial"/>
          <w:color w:val="000000"/>
          <w:sz w:val="22"/>
          <w:szCs w:val="22"/>
        </w:rPr>
        <w:t xml:space="preserve"> </w:t>
      </w:r>
      <w:r w:rsidR="00AB2B74">
        <w:rPr>
          <w:rFonts w:cs="Arial"/>
          <w:color w:val="000000"/>
          <w:sz w:val="22"/>
          <w:szCs w:val="22"/>
        </w:rPr>
        <w:t xml:space="preserve">and the total </w:t>
      </w:r>
      <w:r w:rsidR="005E7E67">
        <w:rPr>
          <w:rFonts w:cs="Arial"/>
          <w:color w:val="000000"/>
          <w:sz w:val="22"/>
          <w:szCs w:val="22"/>
        </w:rPr>
        <w:t>one</w:t>
      </w:r>
      <w:r w:rsidR="00921BB1">
        <w:rPr>
          <w:rFonts w:cs="Arial"/>
          <w:color w:val="000000"/>
          <w:sz w:val="22"/>
          <w:szCs w:val="22"/>
        </w:rPr>
        <w:noBreakHyphen/>
      </w:r>
      <w:r w:rsidR="005E7E67">
        <w:rPr>
          <w:rFonts w:cs="Arial"/>
          <w:color w:val="000000"/>
          <w:sz w:val="22"/>
          <w:szCs w:val="22"/>
        </w:rPr>
        <w:t xml:space="preserve">time </w:t>
      </w:r>
      <w:r w:rsidR="00AB2B74">
        <w:rPr>
          <w:rFonts w:cs="Arial"/>
          <w:color w:val="000000"/>
          <w:sz w:val="22"/>
          <w:szCs w:val="22"/>
        </w:rPr>
        <w:t xml:space="preserve">cost </w:t>
      </w:r>
      <w:r w:rsidR="00AD5B69">
        <w:rPr>
          <w:rFonts w:cs="Arial"/>
          <w:color w:val="000000"/>
          <w:sz w:val="22"/>
          <w:szCs w:val="22"/>
        </w:rPr>
        <w:t>to the</w:t>
      </w:r>
      <w:r w:rsidR="00AB2B74">
        <w:rPr>
          <w:rFonts w:cs="Arial"/>
          <w:color w:val="000000"/>
          <w:sz w:val="22"/>
          <w:szCs w:val="22"/>
        </w:rPr>
        <w:t xml:space="preserve"> industry would be $</w:t>
      </w:r>
      <w:r w:rsidR="000E4182">
        <w:rPr>
          <w:rFonts w:cs="Arial"/>
          <w:color w:val="000000"/>
          <w:sz w:val="22"/>
          <w:szCs w:val="22"/>
        </w:rPr>
        <w:t>54,900</w:t>
      </w:r>
      <w:r w:rsidRPr="009F46A4">
        <w:rPr>
          <w:rFonts w:cs="Arial"/>
          <w:color w:val="000000"/>
          <w:sz w:val="22"/>
          <w:szCs w:val="22"/>
        </w:rPr>
        <w:t>.</w:t>
      </w:r>
    </w:p>
    <w:p w:rsidR="00BD644A" w:rsidRDefault="00BD644A" w:rsidP="00391BF3">
      <w:pPr>
        <w:rPr>
          <w:rFonts w:cs="Arial"/>
          <w:color w:val="000000"/>
          <w:sz w:val="22"/>
          <w:szCs w:val="22"/>
        </w:rPr>
      </w:pPr>
    </w:p>
    <w:p w:rsidR="00BD644A" w:rsidRDefault="00BD644A" w:rsidP="00391BF3">
      <w:pPr>
        <w:rPr>
          <w:rFonts w:cs="Arial"/>
          <w:color w:val="000000"/>
          <w:sz w:val="22"/>
          <w:szCs w:val="22"/>
        </w:rPr>
      </w:pPr>
      <w:r>
        <w:rPr>
          <w:rFonts w:cs="Arial"/>
          <w:color w:val="000000"/>
          <w:sz w:val="22"/>
          <w:szCs w:val="22"/>
        </w:rPr>
        <w:t>The proposed cha</w:t>
      </w:r>
      <w:r w:rsidR="006C330B">
        <w:rPr>
          <w:rFonts w:cs="Arial"/>
          <w:color w:val="000000"/>
          <w:sz w:val="22"/>
          <w:szCs w:val="22"/>
        </w:rPr>
        <w:t>n</w:t>
      </w:r>
      <w:r>
        <w:rPr>
          <w:rFonts w:cs="Arial"/>
          <w:color w:val="000000"/>
          <w:sz w:val="22"/>
          <w:szCs w:val="22"/>
        </w:rPr>
        <w:t xml:space="preserve">ges to </w:t>
      </w:r>
      <w:r w:rsidR="006C330B">
        <w:rPr>
          <w:rFonts w:cs="Arial"/>
          <w:color w:val="000000"/>
          <w:sz w:val="22"/>
          <w:szCs w:val="22"/>
        </w:rPr>
        <w:t>10 CFR</w:t>
      </w:r>
      <w:r>
        <w:rPr>
          <w:rFonts w:cs="Arial"/>
          <w:color w:val="000000"/>
          <w:sz w:val="22"/>
          <w:szCs w:val="22"/>
        </w:rPr>
        <w:t xml:space="preserve"> 74.33</w:t>
      </w:r>
      <w:r w:rsidR="00372897">
        <w:rPr>
          <w:rFonts w:cs="Arial"/>
          <w:color w:val="000000"/>
          <w:sz w:val="22"/>
          <w:szCs w:val="22"/>
        </w:rPr>
        <w:t>(c</w:t>
      </w:r>
      <w:proofErr w:type="gramStart"/>
      <w:r w:rsidR="00372897">
        <w:rPr>
          <w:rFonts w:cs="Arial"/>
          <w:color w:val="000000"/>
          <w:sz w:val="22"/>
          <w:szCs w:val="22"/>
        </w:rPr>
        <w:t>)(</w:t>
      </w:r>
      <w:proofErr w:type="gramEnd"/>
      <w:r w:rsidR="00372897">
        <w:rPr>
          <w:rFonts w:cs="Arial"/>
          <w:color w:val="000000"/>
          <w:sz w:val="22"/>
          <w:szCs w:val="22"/>
        </w:rPr>
        <w:t>6)(ii) would require each Category III enrichment facility to include currently exempted items in their item control system.</w:t>
      </w:r>
      <w:r w:rsidR="00AB2B74">
        <w:rPr>
          <w:rFonts w:cs="Arial"/>
          <w:color w:val="000000"/>
          <w:sz w:val="22"/>
          <w:szCs w:val="22"/>
        </w:rPr>
        <w:t xml:space="preserve">  The currently exempted items that a licensee would be required to track include items that exist for less than 14 days and individual items containing less than 500 grams uranium-235 up to a cumulative total of 50</w:t>
      </w:r>
      <w:r w:rsidR="00921BB1">
        <w:rPr>
          <w:rFonts w:cs="Arial"/>
          <w:color w:val="000000"/>
          <w:sz w:val="22"/>
          <w:szCs w:val="22"/>
        </w:rPr>
        <w:t> </w:t>
      </w:r>
      <w:r w:rsidR="00AB2B74">
        <w:rPr>
          <w:rFonts w:cs="Arial"/>
          <w:color w:val="000000"/>
          <w:sz w:val="22"/>
          <w:szCs w:val="22"/>
        </w:rPr>
        <w:t>kilograms of uranium-235</w:t>
      </w:r>
      <w:r w:rsidR="00583363">
        <w:rPr>
          <w:rFonts w:cs="Arial"/>
          <w:color w:val="000000"/>
          <w:sz w:val="22"/>
          <w:szCs w:val="22"/>
        </w:rPr>
        <w:t xml:space="preserve">. </w:t>
      </w:r>
      <w:r w:rsidR="00BD7CDF" w:rsidRPr="00BD7CDF">
        <w:rPr>
          <w:rFonts w:cs="Arial"/>
          <w:color w:val="000000"/>
          <w:sz w:val="22"/>
          <w:szCs w:val="22"/>
        </w:rPr>
        <w:t xml:space="preserve"> </w:t>
      </w:r>
      <w:r w:rsidR="00BD7CDF">
        <w:rPr>
          <w:rFonts w:cs="Arial"/>
          <w:color w:val="000000"/>
          <w:sz w:val="22"/>
          <w:szCs w:val="22"/>
        </w:rPr>
        <w:t>It is estimated by the NRC</w:t>
      </w:r>
      <w:r w:rsidR="00A44E27">
        <w:rPr>
          <w:rFonts w:cs="Arial"/>
          <w:color w:val="000000"/>
          <w:sz w:val="22"/>
          <w:szCs w:val="22"/>
        </w:rPr>
        <w:t xml:space="preserve"> that the changes would impact two </w:t>
      </w:r>
      <w:r w:rsidR="00BD7CDF">
        <w:rPr>
          <w:rFonts w:cs="Arial"/>
          <w:color w:val="000000"/>
          <w:sz w:val="22"/>
          <w:szCs w:val="22"/>
        </w:rPr>
        <w:t xml:space="preserve">licensees that are operating enrichment facilities and </w:t>
      </w:r>
      <w:r w:rsidR="00A44E27">
        <w:rPr>
          <w:rFonts w:cs="Arial"/>
          <w:color w:val="000000"/>
          <w:sz w:val="22"/>
          <w:szCs w:val="22"/>
        </w:rPr>
        <w:t xml:space="preserve">two </w:t>
      </w:r>
      <w:r w:rsidR="00BD7CDF">
        <w:rPr>
          <w:rFonts w:cs="Arial"/>
          <w:color w:val="000000"/>
          <w:sz w:val="22"/>
          <w:szCs w:val="22"/>
        </w:rPr>
        <w:t>potential licensees that are constructing enrichment facilities that will be licensed to operate in the future.  T</w:t>
      </w:r>
      <w:r w:rsidR="00AB2B74">
        <w:rPr>
          <w:rFonts w:cs="Arial"/>
          <w:color w:val="000000"/>
          <w:sz w:val="22"/>
          <w:szCs w:val="22"/>
        </w:rPr>
        <w:t xml:space="preserve">he </w:t>
      </w:r>
      <w:r w:rsidR="006C58CB">
        <w:rPr>
          <w:rFonts w:cs="Arial"/>
          <w:color w:val="000000"/>
          <w:sz w:val="22"/>
          <w:szCs w:val="22"/>
        </w:rPr>
        <w:t>implementation</w:t>
      </w:r>
      <w:r w:rsidR="00AB2B74">
        <w:rPr>
          <w:rFonts w:cs="Arial"/>
          <w:color w:val="000000"/>
          <w:sz w:val="22"/>
          <w:szCs w:val="22"/>
        </w:rPr>
        <w:t xml:space="preserve"> time would be 250 hours at $</w:t>
      </w:r>
      <w:r w:rsidR="000E4182">
        <w:rPr>
          <w:rFonts w:cs="Arial"/>
          <w:color w:val="000000"/>
          <w:sz w:val="22"/>
          <w:szCs w:val="22"/>
        </w:rPr>
        <w:t>73.2</w:t>
      </w:r>
      <w:r w:rsidR="001207DF">
        <w:rPr>
          <w:rFonts w:cs="Arial"/>
          <w:color w:val="000000"/>
          <w:sz w:val="22"/>
          <w:szCs w:val="22"/>
        </w:rPr>
        <w:t>0</w:t>
      </w:r>
      <w:r w:rsidR="00AB2B74">
        <w:rPr>
          <w:rFonts w:cs="Arial"/>
          <w:color w:val="000000"/>
          <w:sz w:val="22"/>
          <w:szCs w:val="22"/>
        </w:rPr>
        <w:t xml:space="preserve"> per hour.  The</w:t>
      </w:r>
      <w:r w:rsidR="005E7E67">
        <w:rPr>
          <w:rFonts w:cs="Arial"/>
          <w:color w:val="000000"/>
          <w:sz w:val="22"/>
          <w:szCs w:val="22"/>
        </w:rPr>
        <w:t xml:space="preserve"> one-time</w:t>
      </w:r>
      <w:r w:rsidR="00AB2B74">
        <w:rPr>
          <w:rFonts w:cs="Arial"/>
          <w:color w:val="000000"/>
          <w:sz w:val="22"/>
          <w:szCs w:val="22"/>
        </w:rPr>
        <w:t xml:space="preserve"> cost per licensee would be</w:t>
      </w:r>
      <w:r w:rsidR="00372897">
        <w:rPr>
          <w:rFonts w:cs="Arial"/>
          <w:color w:val="000000"/>
          <w:sz w:val="22"/>
          <w:szCs w:val="22"/>
        </w:rPr>
        <w:t xml:space="preserve"> $</w:t>
      </w:r>
      <w:r w:rsidR="000E4182">
        <w:rPr>
          <w:rFonts w:cs="Arial"/>
          <w:color w:val="000000"/>
          <w:sz w:val="22"/>
          <w:szCs w:val="22"/>
        </w:rPr>
        <w:t>18,300</w:t>
      </w:r>
      <w:r w:rsidR="00AB2B74">
        <w:rPr>
          <w:rFonts w:cs="Arial"/>
          <w:color w:val="000000"/>
          <w:sz w:val="22"/>
          <w:szCs w:val="22"/>
        </w:rPr>
        <w:t xml:space="preserve"> and the total </w:t>
      </w:r>
      <w:r w:rsidR="005E7E67">
        <w:rPr>
          <w:rFonts w:cs="Arial"/>
          <w:color w:val="000000"/>
          <w:sz w:val="22"/>
          <w:szCs w:val="22"/>
        </w:rPr>
        <w:t xml:space="preserve">one-time </w:t>
      </w:r>
      <w:r w:rsidR="00AB2B74">
        <w:rPr>
          <w:rFonts w:cs="Arial"/>
          <w:color w:val="000000"/>
          <w:sz w:val="22"/>
          <w:szCs w:val="22"/>
        </w:rPr>
        <w:t>cost to the industry would be</w:t>
      </w:r>
      <w:r w:rsidR="005E7E67">
        <w:rPr>
          <w:rFonts w:cs="Arial"/>
          <w:color w:val="000000"/>
          <w:sz w:val="22"/>
          <w:szCs w:val="22"/>
        </w:rPr>
        <w:t xml:space="preserve"> </w:t>
      </w:r>
      <w:r w:rsidR="00AB2B74">
        <w:rPr>
          <w:rFonts w:cs="Arial"/>
          <w:color w:val="000000"/>
          <w:sz w:val="22"/>
          <w:szCs w:val="22"/>
        </w:rPr>
        <w:t>$</w:t>
      </w:r>
      <w:r w:rsidR="000E4182">
        <w:rPr>
          <w:rFonts w:cs="Arial"/>
          <w:color w:val="000000"/>
          <w:sz w:val="22"/>
          <w:szCs w:val="22"/>
        </w:rPr>
        <w:t>73,200</w:t>
      </w:r>
      <w:r w:rsidR="00372897">
        <w:rPr>
          <w:rFonts w:cs="Arial"/>
          <w:color w:val="000000"/>
          <w:sz w:val="22"/>
          <w:szCs w:val="22"/>
        </w:rPr>
        <w:t>.</w:t>
      </w:r>
    </w:p>
    <w:p w:rsidR="00372897" w:rsidRDefault="00372897" w:rsidP="00391BF3">
      <w:pPr>
        <w:rPr>
          <w:rFonts w:cs="Arial"/>
          <w:color w:val="000000"/>
          <w:sz w:val="22"/>
          <w:szCs w:val="22"/>
        </w:rPr>
      </w:pPr>
    </w:p>
    <w:p w:rsidR="007C06F3" w:rsidRDefault="00372897">
      <w:pPr>
        <w:rPr>
          <w:rFonts w:cs="Arial"/>
          <w:sz w:val="22"/>
          <w:szCs w:val="22"/>
        </w:rPr>
      </w:pPr>
      <w:r>
        <w:rPr>
          <w:rFonts w:cs="Arial"/>
          <w:color w:val="000000"/>
          <w:sz w:val="22"/>
          <w:szCs w:val="22"/>
        </w:rPr>
        <w:t xml:space="preserve">The proposed </w:t>
      </w:r>
      <w:r w:rsidR="006C58CB">
        <w:rPr>
          <w:rFonts w:cs="Arial"/>
          <w:color w:val="000000"/>
          <w:sz w:val="22"/>
          <w:szCs w:val="22"/>
        </w:rPr>
        <w:t>changes</w:t>
      </w:r>
      <w:r>
        <w:rPr>
          <w:rFonts w:cs="Arial"/>
          <w:color w:val="000000"/>
          <w:sz w:val="22"/>
          <w:szCs w:val="22"/>
        </w:rPr>
        <w:t xml:space="preserve"> to </w:t>
      </w:r>
      <w:r w:rsidR="006C330B">
        <w:rPr>
          <w:rFonts w:cs="Arial"/>
          <w:color w:val="000000"/>
          <w:sz w:val="22"/>
          <w:szCs w:val="22"/>
        </w:rPr>
        <w:t>10 CFR</w:t>
      </w:r>
      <w:r>
        <w:rPr>
          <w:rFonts w:cs="Arial"/>
          <w:color w:val="000000"/>
          <w:sz w:val="22"/>
          <w:szCs w:val="22"/>
        </w:rPr>
        <w:t xml:space="preserve"> 74.43(b</w:t>
      </w:r>
      <w:proofErr w:type="gramStart"/>
      <w:r>
        <w:rPr>
          <w:rFonts w:cs="Arial"/>
          <w:color w:val="000000"/>
          <w:sz w:val="22"/>
          <w:szCs w:val="22"/>
        </w:rPr>
        <w:t>)(</w:t>
      </w:r>
      <w:proofErr w:type="gramEnd"/>
      <w:r>
        <w:rPr>
          <w:rFonts w:cs="Arial"/>
          <w:color w:val="000000"/>
          <w:sz w:val="22"/>
          <w:szCs w:val="22"/>
        </w:rPr>
        <w:t xml:space="preserve">6) would require </w:t>
      </w:r>
      <w:r w:rsidR="009E2F7A">
        <w:rPr>
          <w:rFonts w:cs="Arial"/>
          <w:color w:val="000000"/>
          <w:sz w:val="22"/>
          <w:szCs w:val="22"/>
        </w:rPr>
        <w:t>any future</w:t>
      </w:r>
      <w:r>
        <w:rPr>
          <w:rFonts w:cs="Arial"/>
          <w:color w:val="000000"/>
          <w:sz w:val="22"/>
          <w:szCs w:val="22"/>
        </w:rPr>
        <w:t xml:space="preserve"> Category II facility to include currently exempted items in their item control system. </w:t>
      </w:r>
      <w:r w:rsidR="006036C0">
        <w:rPr>
          <w:rFonts w:cs="Arial"/>
          <w:color w:val="000000"/>
          <w:sz w:val="22"/>
          <w:szCs w:val="22"/>
        </w:rPr>
        <w:t xml:space="preserve"> The currently exempted items include items that exist for less than 14 calendar days and individual items containing less than 200 grams of plutonium or uranium-233 or 300 grams or more of uranium-235 up to a total of </w:t>
      </w:r>
      <w:r w:rsidR="006036C0">
        <w:rPr>
          <w:rFonts w:cs="Arial"/>
          <w:color w:val="000000"/>
          <w:sz w:val="22"/>
          <w:szCs w:val="22"/>
        </w:rPr>
        <w:lastRenderedPageBreak/>
        <w:t>one formula kilogram of strategic SNM or 17 kilograms of uranium-235 contained in uranium enriched to 10.00 percent or more but less than 20.00 percent in the uranium-235 isotope.</w:t>
      </w:r>
      <w:r>
        <w:rPr>
          <w:rFonts w:cs="Arial"/>
          <w:color w:val="000000"/>
          <w:sz w:val="22"/>
          <w:szCs w:val="22"/>
        </w:rPr>
        <w:t xml:space="preserve"> </w:t>
      </w:r>
      <w:r w:rsidR="00793231">
        <w:rPr>
          <w:rFonts w:cs="Arial"/>
          <w:color w:val="000000"/>
          <w:sz w:val="22"/>
          <w:szCs w:val="22"/>
        </w:rPr>
        <w:t xml:space="preserve"> </w:t>
      </w:r>
      <w:r>
        <w:rPr>
          <w:rFonts w:cs="Arial"/>
          <w:color w:val="000000"/>
          <w:sz w:val="22"/>
          <w:szCs w:val="22"/>
        </w:rPr>
        <w:t>It is estimated by the NRC</w:t>
      </w:r>
      <w:r w:rsidR="00A44E27">
        <w:rPr>
          <w:rFonts w:cs="Arial"/>
          <w:color w:val="000000"/>
          <w:sz w:val="22"/>
          <w:szCs w:val="22"/>
        </w:rPr>
        <w:t xml:space="preserve"> that the changes would impact one</w:t>
      </w:r>
      <w:r>
        <w:rPr>
          <w:rFonts w:cs="Arial"/>
          <w:color w:val="000000"/>
          <w:sz w:val="22"/>
          <w:szCs w:val="22"/>
        </w:rPr>
        <w:t xml:space="preserve"> potential licensee</w:t>
      </w:r>
      <w:r w:rsidR="009E2F7A">
        <w:rPr>
          <w:rFonts w:cs="Arial"/>
          <w:color w:val="000000"/>
          <w:sz w:val="22"/>
          <w:szCs w:val="22"/>
        </w:rPr>
        <w:t xml:space="preserve"> (e.g., a medical isotope production facility could be operating within 10 years)</w:t>
      </w:r>
      <w:r w:rsidR="005E7E67">
        <w:rPr>
          <w:rFonts w:cs="Arial"/>
          <w:color w:val="000000"/>
          <w:sz w:val="22"/>
          <w:szCs w:val="22"/>
        </w:rPr>
        <w:t xml:space="preserve"> and the implementation time</w:t>
      </w:r>
      <w:r w:rsidR="00D0695A">
        <w:rPr>
          <w:rFonts w:cs="Arial"/>
          <w:color w:val="000000"/>
          <w:sz w:val="22"/>
          <w:szCs w:val="22"/>
        </w:rPr>
        <w:t xml:space="preserve"> would be</w:t>
      </w:r>
      <w:r w:rsidR="005E7E67">
        <w:rPr>
          <w:rFonts w:cs="Arial"/>
          <w:color w:val="000000"/>
          <w:sz w:val="22"/>
          <w:szCs w:val="22"/>
        </w:rPr>
        <w:t xml:space="preserve"> 250 hours at $</w:t>
      </w:r>
      <w:r w:rsidR="000E4182">
        <w:rPr>
          <w:rFonts w:cs="Arial"/>
          <w:color w:val="000000"/>
          <w:sz w:val="22"/>
          <w:szCs w:val="22"/>
        </w:rPr>
        <w:t>73.2</w:t>
      </w:r>
      <w:r w:rsidR="001207DF">
        <w:rPr>
          <w:rFonts w:cs="Arial"/>
          <w:color w:val="000000"/>
          <w:sz w:val="22"/>
          <w:szCs w:val="22"/>
        </w:rPr>
        <w:t>0</w:t>
      </w:r>
      <w:r w:rsidR="005E7E67">
        <w:rPr>
          <w:rFonts w:cs="Arial"/>
          <w:color w:val="000000"/>
          <w:sz w:val="22"/>
          <w:szCs w:val="22"/>
        </w:rPr>
        <w:t xml:space="preserve"> per hour.  The total one-time cost to the licensee and the industry would be</w:t>
      </w:r>
      <w:r>
        <w:rPr>
          <w:rFonts w:cs="Arial"/>
          <w:color w:val="000000"/>
          <w:sz w:val="22"/>
          <w:szCs w:val="22"/>
        </w:rPr>
        <w:t xml:space="preserve"> at $</w:t>
      </w:r>
      <w:r w:rsidR="00333F13">
        <w:rPr>
          <w:rFonts w:cs="Arial"/>
          <w:color w:val="000000"/>
          <w:sz w:val="22"/>
          <w:szCs w:val="22"/>
        </w:rPr>
        <w:t>18,300</w:t>
      </w:r>
      <w:r>
        <w:rPr>
          <w:rFonts w:cs="Arial"/>
          <w:color w:val="000000"/>
          <w:sz w:val="22"/>
          <w:szCs w:val="22"/>
        </w:rPr>
        <w:t>.</w:t>
      </w:r>
    </w:p>
    <w:p w:rsidR="002347D8" w:rsidRDefault="002347D8" w:rsidP="00D34379">
      <w:pPr>
        <w:numPr>
          <w:ilvl w:val="12"/>
          <w:numId w:val="0"/>
        </w:numPr>
        <w:tabs>
          <w:tab w:val="left" w:pos="720"/>
          <w:tab w:val="left" w:pos="1440"/>
        </w:tabs>
        <w:ind w:left="1440" w:hanging="1440"/>
        <w:rPr>
          <w:rFonts w:cs="Arial"/>
          <w:sz w:val="22"/>
          <w:szCs w:val="22"/>
        </w:rPr>
      </w:pPr>
    </w:p>
    <w:p w:rsidR="00380900" w:rsidRDefault="00380900" w:rsidP="00F91F12">
      <w:pPr>
        <w:pStyle w:val="Level1"/>
        <w:tabs>
          <w:tab w:val="left" w:pos="720"/>
          <w:tab w:val="left" w:pos="2160"/>
        </w:tabs>
        <w:ind w:left="90"/>
        <w:rPr>
          <w:rFonts w:cs="Arial"/>
          <w:sz w:val="22"/>
          <w:szCs w:val="22"/>
          <w:u w:val="single"/>
        </w:rPr>
      </w:pPr>
    </w:p>
    <w:p w:rsidR="00C1459C" w:rsidRPr="009B5E75" w:rsidRDefault="0012430A" w:rsidP="00FF5522">
      <w:pPr>
        <w:pStyle w:val="Level1"/>
        <w:tabs>
          <w:tab w:val="left" w:pos="720"/>
          <w:tab w:val="left" w:pos="2160"/>
        </w:tabs>
        <w:ind w:left="0"/>
        <w:rPr>
          <w:rFonts w:cs="Arial"/>
          <w:sz w:val="22"/>
          <w:szCs w:val="22"/>
        </w:rPr>
      </w:pPr>
      <w:r w:rsidRPr="009B5E75">
        <w:rPr>
          <w:rFonts w:cs="Arial"/>
          <w:sz w:val="22"/>
          <w:szCs w:val="22"/>
          <w:u w:val="single"/>
        </w:rPr>
        <w:t>NRC</w:t>
      </w:r>
      <w:r w:rsidR="00C1459C" w:rsidRPr="009B5E75">
        <w:rPr>
          <w:rFonts w:cs="Arial"/>
          <w:sz w:val="22"/>
          <w:szCs w:val="22"/>
          <w:u w:val="single"/>
        </w:rPr>
        <w:t xml:space="preserve"> Implementation</w:t>
      </w:r>
    </w:p>
    <w:p w:rsidR="00C1459C" w:rsidRPr="009B5E75" w:rsidRDefault="00C1459C" w:rsidP="00FF5522">
      <w:pPr>
        <w:numPr>
          <w:ilvl w:val="12"/>
          <w:numId w:val="0"/>
        </w:numPr>
        <w:rPr>
          <w:rFonts w:cs="Arial"/>
          <w:sz w:val="22"/>
          <w:szCs w:val="22"/>
        </w:rPr>
      </w:pPr>
    </w:p>
    <w:p w:rsidR="0012430A" w:rsidRDefault="0012430A" w:rsidP="00FF5522">
      <w:pPr>
        <w:rPr>
          <w:rFonts w:cs="Arial"/>
          <w:sz w:val="22"/>
          <w:szCs w:val="22"/>
        </w:rPr>
      </w:pPr>
      <w:r w:rsidRPr="009B5E75">
        <w:rPr>
          <w:rFonts w:cs="Arial"/>
          <w:sz w:val="22"/>
          <w:szCs w:val="22"/>
        </w:rPr>
        <w:t>Impact:</w:t>
      </w:r>
      <w:r w:rsidR="00E81B9B">
        <w:rPr>
          <w:rFonts w:cs="Arial"/>
          <w:sz w:val="22"/>
          <w:szCs w:val="22"/>
        </w:rPr>
        <w:t xml:space="preserve">  </w:t>
      </w:r>
      <w:r w:rsidR="007E5D55">
        <w:rPr>
          <w:rFonts w:cs="Arial"/>
          <w:sz w:val="22"/>
          <w:szCs w:val="22"/>
        </w:rPr>
        <w:t xml:space="preserve">Develop Rule </w:t>
      </w:r>
      <w:r w:rsidR="00583363">
        <w:rPr>
          <w:rFonts w:cs="Arial"/>
          <w:sz w:val="22"/>
          <w:szCs w:val="22"/>
        </w:rPr>
        <w:t xml:space="preserve">Package </w:t>
      </w:r>
      <w:r w:rsidR="007E5D55">
        <w:rPr>
          <w:rFonts w:cs="Arial"/>
          <w:sz w:val="22"/>
          <w:szCs w:val="22"/>
        </w:rPr>
        <w:t xml:space="preserve">and </w:t>
      </w:r>
      <w:r w:rsidRPr="00E81B9B">
        <w:rPr>
          <w:rFonts w:cs="Arial"/>
          <w:sz w:val="22"/>
          <w:szCs w:val="22"/>
        </w:rPr>
        <w:t>Revi</w:t>
      </w:r>
      <w:r w:rsidR="007E5D55">
        <w:rPr>
          <w:rFonts w:cs="Arial"/>
          <w:sz w:val="22"/>
          <w:szCs w:val="22"/>
        </w:rPr>
        <w:t>se Guidance Documents</w:t>
      </w:r>
    </w:p>
    <w:p w:rsidR="00793231" w:rsidRPr="009B5E75" w:rsidRDefault="00793231" w:rsidP="00FF5522">
      <w:pPr>
        <w:rPr>
          <w:rFonts w:cs="Arial"/>
          <w:sz w:val="22"/>
          <w:szCs w:val="22"/>
        </w:rPr>
      </w:pPr>
    </w:p>
    <w:p w:rsidR="00211229" w:rsidRPr="00211229" w:rsidRDefault="007E5D55" w:rsidP="00FF5522">
      <w:pPr>
        <w:pStyle w:val="ListParagraph"/>
        <w:ind w:left="0"/>
        <w:rPr>
          <w:rFonts w:cs="Arial"/>
          <w:sz w:val="22"/>
          <w:szCs w:val="22"/>
        </w:rPr>
      </w:pPr>
      <w:r>
        <w:rPr>
          <w:rFonts w:cs="Arial"/>
          <w:sz w:val="22"/>
          <w:szCs w:val="22"/>
        </w:rPr>
        <w:t>T</w:t>
      </w:r>
      <w:r w:rsidRPr="007E5D55">
        <w:rPr>
          <w:rFonts w:cs="Arial"/>
          <w:sz w:val="22"/>
          <w:szCs w:val="22"/>
        </w:rPr>
        <w:t xml:space="preserve">he NRC </w:t>
      </w:r>
      <w:r>
        <w:rPr>
          <w:rFonts w:cs="Arial"/>
          <w:sz w:val="22"/>
          <w:szCs w:val="22"/>
        </w:rPr>
        <w:t xml:space="preserve">staff </w:t>
      </w:r>
      <w:r w:rsidRPr="007E5D55">
        <w:rPr>
          <w:rFonts w:cs="Arial"/>
          <w:sz w:val="22"/>
          <w:szCs w:val="22"/>
        </w:rPr>
        <w:t>would develop the rule package and revise guidance and </w:t>
      </w:r>
      <w:r w:rsidRPr="007E5D55">
        <w:rPr>
          <w:rFonts w:cs="Arial"/>
          <w:iCs/>
          <w:sz w:val="22"/>
          <w:szCs w:val="22"/>
        </w:rPr>
        <w:t>inspection procedures to accommodate the requirements that would be added or modified by the rulemaking process</w:t>
      </w:r>
      <w:r w:rsidR="007512CA" w:rsidRPr="007E5D55">
        <w:rPr>
          <w:rFonts w:cs="Arial"/>
          <w:iCs/>
          <w:sz w:val="22"/>
          <w:szCs w:val="22"/>
        </w:rPr>
        <w:t>.</w:t>
      </w:r>
      <w:r w:rsidR="007512CA">
        <w:rPr>
          <w:rFonts w:cs="Arial"/>
          <w:iCs/>
          <w:sz w:val="22"/>
          <w:szCs w:val="22"/>
        </w:rPr>
        <w:t xml:space="preserve">  </w:t>
      </w:r>
      <w:r w:rsidR="00211229" w:rsidRPr="00211229">
        <w:rPr>
          <w:rFonts w:cs="Arial"/>
          <w:sz w:val="22"/>
          <w:szCs w:val="22"/>
        </w:rPr>
        <w:t>This is a</w:t>
      </w:r>
      <w:r>
        <w:rPr>
          <w:rFonts w:cs="Arial"/>
          <w:sz w:val="22"/>
          <w:szCs w:val="22"/>
        </w:rPr>
        <w:t>n estimated</w:t>
      </w:r>
      <w:r w:rsidR="00211229" w:rsidRPr="00211229">
        <w:rPr>
          <w:rFonts w:cs="Arial"/>
          <w:sz w:val="22"/>
          <w:szCs w:val="22"/>
        </w:rPr>
        <w:t xml:space="preserve"> $</w:t>
      </w:r>
      <w:r>
        <w:rPr>
          <w:rFonts w:cs="Arial"/>
          <w:sz w:val="22"/>
          <w:szCs w:val="22"/>
        </w:rPr>
        <w:t>25</w:t>
      </w:r>
      <w:r w:rsidR="00285655">
        <w:rPr>
          <w:rFonts w:cs="Arial"/>
          <w:sz w:val="22"/>
          <w:szCs w:val="22"/>
        </w:rPr>
        <w:t>9,</w:t>
      </w:r>
      <w:r w:rsidR="002C5BD0">
        <w:rPr>
          <w:rFonts w:cs="Arial"/>
          <w:sz w:val="22"/>
          <w:szCs w:val="22"/>
        </w:rPr>
        <w:t>000</w:t>
      </w:r>
      <w:r w:rsidR="001B49FA" w:rsidRPr="00211229">
        <w:rPr>
          <w:rFonts w:cs="Arial"/>
          <w:sz w:val="22"/>
          <w:szCs w:val="22"/>
        </w:rPr>
        <w:t xml:space="preserve"> </w:t>
      </w:r>
      <w:r w:rsidR="00211229" w:rsidRPr="00211229">
        <w:rPr>
          <w:rFonts w:cs="Arial"/>
          <w:sz w:val="22"/>
          <w:szCs w:val="22"/>
        </w:rPr>
        <w:t>one-time cost to the NRC</w:t>
      </w:r>
      <w:r>
        <w:rPr>
          <w:rFonts w:cs="Arial"/>
          <w:sz w:val="22"/>
          <w:szCs w:val="22"/>
        </w:rPr>
        <w:t xml:space="preserve">. </w:t>
      </w:r>
      <w:r w:rsidR="00994D08">
        <w:rPr>
          <w:rFonts w:cs="Arial"/>
          <w:sz w:val="22"/>
          <w:szCs w:val="22"/>
        </w:rPr>
        <w:t xml:space="preserve"> </w:t>
      </w:r>
      <w:r w:rsidR="00802731">
        <w:rPr>
          <w:rFonts w:cs="Arial"/>
          <w:sz w:val="22"/>
          <w:szCs w:val="22"/>
        </w:rPr>
        <w:t>T</w:t>
      </w:r>
      <w:r w:rsidR="00211229" w:rsidRPr="00211229">
        <w:rPr>
          <w:rFonts w:cs="Arial"/>
          <w:sz w:val="22"/>
          <w:szCs w:val="22"/>
        </w:rPr>
        <w:t>h</w:t>
      </w:r>
      <w:r w:rsidR="00802731">
        <w:rPr>
          <w:rFonts w:cs="Arial"/>
          <w:sz w:val="22"/>
          <w:szCs w:val="22"/>
        </w:rPr>
        <w:t>is</w:t>
      </w:r>
      <w:r w:rsidR="00211229" w:rsidRPr="00211229">
        <w:rPr>
          <w:rFonts w:cs="Arial"/>
          <w:sz w:val="22"/>
          <w:szCs w:val="22"/>
        </w:rPr>
        <w:t xml:space="preserve"> effort will require </w:t>
      </w:r>
      <w:r>
        <w:rPr>
          <w:rFonts w:cs="Arial"/>
          <w:sz w:val="22"/>
          <w:szCs w:val="22"/>
        </w:rPr>
        <w:t>one-half</w:t>
      </w:r>
      <w:r w:rsidR="008554CF">
        <w:rPr>
          <w:rFonts w:cs="Arial"/>
          <w:sz w:val="22"/>
          <w:szCs w:val="22"/>
        </w:rPr>
        <w:t xml:space="preserve"> </w:t>
      </w:r>
      <w:r w:rsidR="00C23623">
        <w:rPr>
          <w:rFonts w:cs="Arial"/>
          <w:sz w:val="22"/>
          <w:szCs w:val="22"/>
        </w:rPr>
        <w:t xml:space="preserve">FTE </w:t>
      </w:r>
      <w:r w:rsidR="008554CF">
        <w:rPr>
          <w:rFonts w:cs="Arial"/>
          <w:sz w:val="22"/>
          <w:szCs w:val="22"/>
        </w:rPr>
        <w:t>(1040 hours)</w:t>
      </w:r>
      <w:r w:rsidR="009A2FFD">
        <w:rPr>
          <w:rFonts w:cs="Arial"/>
          <w:sz w:val="22"/>
          <w:szCs w:val="22"/>
        </w:rPr>
        <w:t xml:space="preserve"> </w:t>
      </w:r>
      <w:r>
        <w:rPr>
          <w:rFonts w:cs="Arial"/>
          <w:sz w:val="22"/>
          <w:szCs w:val="22"/>
        </w:rPr>
        <w:t>for</w:t>
      </w:r>
      <w:r w:rsidR="00D8504D">
        <w:rPr>
          <w:rFonts w:cs="Arial"/>
          <w:sz w:val="22"/>
          <w:szCs w:val="22"/>
        </w:rPr>
        <w:t xml:space="preserve"> </w:t>
      </w:r>
      <w:r w:rsidR="003B30DC">
        <w:rPr>
          <w:rFonts w:cs="Arial"/>
          <w:sz w:val="22"/>
          <w:szCs w:val="22"/>
        </w:rPr>
        <w:t>part</w:t>
      </w:r>
      <w:r w:rsidR="00D8504D">
        <w:rPr>
          <w:rFonts w:cs="Arial"/>
          <w:sz w:val="22"/>
          <w:szCs w:val="22"/>
        </w:rPr>
        <w:t xml:space="preserve">icipating in the rulemaking activities and one-half </w:t>
      </w:r>
      <w:r w:rsidR="00C23623">
        <w:rPr>
          <w:rFonts w:cs="Arial"/>
          <w:sz w:val="22"/>
          <w:szCs w:val="22"/>
        </w:rPr>
        <w:t xml:space="preserve">FTE </w:t>
      </w:r>
      <w:r w:rsidR="008554CF">
        <w:rPr>
          <w:rFonts w:cs="Arial"/>
          <w:sz w:val="22"/>
          <w:szCs w:val="22"/>
        </w:rPr>
        <w:t xml:space="preserve">(1040 hours) </w:t>
      </w:r>
      <w:r w:rsidR="00D8504D">
        <w:rPr>
          <w:rFonts w:cs="Arial"/>
          <w:sz w:val="22"/>
          <w:szCs w:val="22"/>
        </w:rPr>
        <w:t>to revise and update the guidance documents</w:t>
      </w:r>
      <w:r>
        <w:rPr>
          <w:rFonts w:cs="Arial"/>
          <w:sz w:val="22"/>
          <w:szCs w:val="22"/>
        </w:rPr>
        <w:t>.</w:t>
      </w:r>
      <w:r w:rsidR="00994D08">
        <w:rPr>
          <w:rFonts w:cs="Arial"/>
          <w:sz w:val="22"/>
          <w:szCs w:val="22"/>
        </w:rPr>
        <w:t xml:space="preserve"> </w:t>
      </w:r>
      <w:r>
        <w:rPr>
          <w:rFonts w:cs="Arial"/>
          <w:sz w:val="22"/>
          <w:szCs w:val="22"/>
        </w:rPr>
        <w:t xml:space="preserve"> </w:t>
      </w:r>
    </w:p>
    <w:p w:rsidR="00380900" w:rsidRPr="009B5E75" w:rsidRDefault="00380900" w:rsidP="00FF5522">
      <w:pPr>
        <w:pStyle w:val="ListParagraph"/>
        <w:ind w:left="0"/>
        <w:rPr>
          <w:rFonts w:cs="Arial"/>
          <w:sz w:val="22"/>
          <w:szCs w:val="22"/>
        </w:rPr>
      </w:pPr>
    </w:p>
    <w:p w:rsidR="00C1459C" w:rsidRPr="009B5E75" w:rsidRDefault="00C1459C" w:rsidP="00FF5522">
      <w:pPr>
        <w:rPr>
          <w:rFonts w:cs="Arial"/>
          <w:sz w:val="22"/>
          <w:szCs w:val="22"/>
        </w:rPr>
      </w:pPr>
      <w:r w:rsidRPr="009B5E75">
        <w:rPr>
          <w:rFonts w:cs="Arial"/>
          <w:sz w:val="22"/>
          <w:szCs w:val="22"/>
          <w:u w:val="single"/>
        </w:rPr>
        <w:t>Industry Operation</w:t>
      </w:r>
    </w:p>
    <w:p w:rsidR="00C1459C" w:rsidRPr="009B5E75" w:rsidRDefault="00C1459C" w:rsidP="00FF5522">
      <w:pPr>
        <w:rPr>
          <w:rFonts w:cs="Arial"/>
          <w:sz w:val="22"/>
          <w:szCs w:val="22"/>
        </w:rPr>
      </w:pPr>
    </w:p>
    <w:p w:rsidR="00A40371" w:rsidRPr="009B5E75" w:rsidRDefault="00A40371" w:rsidP="00FF5522">
      <w:pPr>
        <w:rPr>
          <w:rFonts w:cs="Arial"/>
          <w:sz w:val="22"/>
          <w:szCs w:val="22"/>
        </w:rPr>
      </w:pPr>
      <w:r w:rsidRPr="009B5E75">
        <w:rPr>
          <w:rFonts w:cs="Arial"/>
          <w:sz w:val="22"/>
          <w:szCs w:val="22"/>
        </w:rPr>
        <w:t>Impact:</w:t>
      </w:r>
      <w:r w:rsidR="00717D08">
        <w:rPr>
          <w:rFonts w:cs="Arial"/>
          <w:sz w:val="22"/>
          <w:szCs w:val="22"/>
        </w:rPr>
        <w:t xml:space="preserve">  </w:t>
      </w:r>
      <w:r w:rsidR="00250D11">
        <w:rPr>
          <w:rFonts w:cs="Arial"/>
          <w:sz w:val="22"/>
          <w:szCs w:val="22"/>
        </w:rPr>
        <w:t>Item Control System</w:t>
      </w:r>
    </w:p>
    <w:p w:rsidR="00A40371" w:rsidRPr="009B5E75" w:rsidRDefault="00A40371" w:rsidP="00FF5522">
      <w:pPr>
        <w:rPr>
          <w:rFonts w:cs="Arial"/>
          <w:sz w:val="22"/>
          <w:szCs w:val="22"/>
        </w:rPr>
      </w:pPr>
    </w:p>
    <w:p w:rsidR="00250D11" w:rsidRDefault="00250D11" w:rsidP="00FF5522">
      <w:pPr>
        <w:rPr>
          <w:rFonts w:cs="Arial"/>
          <w:sz w:val="22"/>
          <w:szCs w:val="22"/>
        </w:rPr>
      </w:pPr>
      <w:r w:rsidRPr="00250D11">
        <w:rPr>
          <w:rFonts w:cs="Arial"/>
          <w:sz w:val="22"/>
          <w:szCs w:val="22"/>
        </w:rPr>
        <w:t xml:space="preserve">The </w:t>
      </w:r>
      <w:r w:rsidR="0088221F">
        <w:rPr>
          <w:rFonts w:cs="Arial"/>
          <w:sz w:val="22"/>
          <w:szCs w:val="22"/>
        </w:rPr>
        <w:t xml:space="preserve">new </w:t>
      </w:r>
      <w:r w:rsidR="006D35B9">
        <w:rPr>
          <w:rFonts w:cs="Arial"/>
          <w:sz w:val="22"/>
          <w:szCs w:val="22"/>
        </w:rPr>
        <w:t>10 CFR</w:t>
      </w:r>
      <w:r w:rsidR="006D35B9" w:rsidRPr="00250D11">
        <w:rPr>
          <w:rFonts w:cs="Arial"/>
          <w:sz w:val="22"/>
          <w:szCs w:val="22"/>
        </w:rPr>
        <w:t xml:space="preserve"> </w:t>
      </w:r>
      <w:r w:rsidRPr="00250D11">
        <w:rPr>
          <w:rFonts w:cs="Arial"/>
          <w:sz w:val="22"/>
          <w:szCs w:val="22"/>
        </w:rPr>
        <w:t>74.19(</w:t>
      </w:r>
      <w:r w:rsidR="009B07D7">
        <w:rPr>
          <w:rFonts w:cs="Arial"/>
          <w:sz w:val="22"/>
          <w:szCs w:val="22"/>
        </w:rPr>
        <w:t>d</w:t>
      </w:r>
      <w:r w:rsidRPr="00250D11">
        <w:rPr>
          <w:rFonts w:cs="Arial"/>
          <w:sz w:val="22"/>
          <w:szCs w:val="22"/>
        </w:rPr>
        <w:t xml:space="preserve">) would require </w:t>
      </w:r>
      <w:r w:rsidR="009B07D7">
        <w:rPr>
          <w:rFonts w:cs="Arial"/>
          <w:sz w:val="22"/>
          <w:szCs w:val="22"/>
        </w:rPr>
        <w:t xml:space="preserve">licensees </w:t>
      </w:r>
      <w:r w:rsidR="00572A14">
        <w:rPr>
          <w:rFonts w:cs="Arial"/>
          <w:sz w:val="22"/>
          <w:szCs w:val="22"/>
        </w:rPr>
        <w:t xml:space="preserve">under 10 CFR part 50 or 52 </w:t>
      </w:r>
      <w:r w:rsidR="009B07D7">
        <w:rPr>
          <w:rFonts w:cs="Arial"/>
          <w:sz w:val="22"/>
          <w:szCs w:val="22"/>
        </w:rPr>
        <w:t>and ISFSI licensees</w:t>
      </w:r>
      <w:r w:rsidR="00572A14">
        <w:rPr>
          <w:rFonts w:cs="Arial"/>
          <w:sz w:val="22"/>
          <w:szCs w:val="22"/>
        </w:rPr>
        <w:t xml:space="preserve"> under 10 CFR part 72</w:t>
      </w:r>
      <w:r w:rsidRPr="00250D11">
        <w:rPr>
          <w:rFonts w:cs="Arial"/>
          <w:sz w:val="22"/>
          <w:szCs w:val="22"/>
        </w:rPr>
        <w:t xml:space="preserve"> to establish, document, implement, and maintain an item control system as defined in § 74.4.  </w:t>
      </w:r>
      <w:r w:rsidR="00166E03">
        <w:rPr>
          <w:rFonts w:cs="Arial"/>
          <w:sz w:val="22"/>
          <w:szCs w:val="22"/>
        </w:rPr>
        <w:t xml:space="preserve">Assuming sites with 10 CFR part 50 licenses </w:t>
      </w:r>
      <w:r w:rsidR="006D13DA" w:rsidRPr="00572A14">
        <w:rPr>
          <w:rFonts w:cs="Arial"/>
          <w:sz w:val="22"/>
          <w:szCs w:val="22"/>
        </w:rPr>
        <w:t xml:space="preserve">have already implemented </w:t>
      </w:r>
      <w:r w:rsidR="00307EB0">
        <w:rPr>
          <w:rFonts w:cs="Arial"/>
          <w:sz w:val="22"/>
          <w:szCs w:val="22"/>
        </w:rPr>
        <w:t>their programs to control and account for SNM at the sites</w:t>
      </w:r>
      <w:r w:rsidR="00166E03">
        <w:rPr>
          <w:rFonts w:cs="Arial"/>
          <w:sz w:val="22"/>
          <w:szCs w:val="22"/>
        </w:rPr>
        <w:t>, these licensees</w:t>
      </w:r>
      <w:r w:rsidR="006D13DA" w:rsidRPr="00572A14">
        <w:rPr>
          <w:rFonts w:cs="Arial"/>
          <w:sz w:val="22"/>
          <w:szCs w:val="22"/>
        </w:rPr>
        <w:t xml:space="preserve"> would not be impacted by the proposed requirement.</w:t>
      </w:r>
      <w:r w:rsidR="008D34A0">
        <w:rPr>
          <w:rFonts w:cs="Arial"/>
          <w:sz w:val="22"/>
          <w:szCs w:val="22"/>
        </w:rPr>
        <w:t xml:space="preserve">  The </w:t>
      </w:r>
      <w:r w:rsidR="009B07D7">
        <w:rPr>
          <w:rFonts w:cs="Arial"/>
          <w:sz w:val="22"/>
          <w:szCs w:val="22"/>
        </w:rPr>
        <w:t>6</w:t>
      </w:r>
      <w:r w:rsidR="001D3619">
        <w:rPr>
          <w:rFonts w:cs="Arial"/>
          <w:sz w:val="22"/>
          <w:szCs w:val="22"/>
        </w:rPr>
        <w:t>3</w:t>
      </w:r>
      <w:r w:rsidR="009B07D7">
        <w:rPr>
          <w:rFonts w:cs="Arial"/>
          <w:sz w:val="22"/>
          <w:szCs w:val="22"/>
        </w:rPr>
        <w:t xml:space="preserve"> ISFSI licensees</w:t>
      </w:r>
      <w:r w:rsidR="00166E03">
        <w:rPr>
          <w:rFonts w:cs="Arial"/>
          <w:sz w:val="22"/>
          <w:szCs w:val="22"/>
        </w:rPr>
        <w:t>,</w:t>
      </w:r>
      <w:r w:rsidR="008D34A0">
        <w:rPr>
          <w:rFonts w:cs="Arial"/>
          <w:sz w:val="22"/>
          <w:szCs w:val="22"/>
        </w:rPr>
        <w:t xml:space="preserve"> would be impacted by the proposed requirement</w:t>
      </w:r>
      <w:r w:rsidR="00DB6716">
        <w:rPr>
          <w:rFonts w:cs="Arial"/>
          <w:color w:val="000000"/>
          <w:sz w:val="22"/>
          <w:szCs w:val="22"/>
        </w:rPr>
        <w:t>, t</w:t>
      </w:r>
      <w:r w:rsidR="009249C6">
        <w:rPr>
          <w:rFonts w:cs="Arial"/>
          <w:color w:val="000000"/>
          <w:sz w:val="22"/>
          <w:szCs w:val="22"/>
        </w:rPr>
        <w:t xml:space="preserve">he </w:t>
      </w:r>
      <w:r w:rsidR="00C81410">
        <w:rPr>
          <w:rFonts w:cs="Arial"/>
          <w:color w:val="000000"/>
          <w:sz w:val="22"/>
          <w:szCs w:val="22"/>
        </w:rPr>
        <w:t>annual</w:t>
      </w:r>
      <w:r w:rsidR="009249C6">
        <w:rPr>
          <w:rFonts w:cs="Arial"/>
          <w:color w:val="000000"/>
          <w:sz w:val="22"/>
          <w:szCs w:val="22"/>
        </w:rPr>
        <w:t xml:space="preserve"> time </w:t>
      </w:r>
      <w:r w:rsidR="00E10CB2">
        <w:rPr>
          <w:rFonts w:cs="Arial"/>
          <w:color w:val="000000"/>
          <w:sz w:val="22"/>
          <w:szCs w:val="22"/>
        </w:rPr>
        <w:t xml:space="preserve">to perform these actions </w:t>
      </w:r>
      <w:r w:rsidR="009249C6">
        <w:rPr>
          <w:rFonts w:cs="Arial"/>
          <w:color w:val="000000"/>
          <w:sz w:val="22"/>
          <w:szCs w:val="22"/>
        </w:rPr>
        <w:t>would be 3 hours per</w:t>
      </w:r>
      <w:r w:rsidR="0010319A">
        <w:rPr>
          <w:rFonts w:cs="Arial"/>
          <w:color w:val="000000"/>
          <w:sz w:val="22"/>
          <w:szCs w:val="22"/>
        </w:rPr>
        <w:t xml:space="preserve"> </w:t>
      </w:r>
      <w:r w:rsidR="009B07D7">
        <w:rPr>
          <w:rFonts w:cs="Arial"/>
          <w:color w:val="000000"/>
          <w:sz w:val="22"/>
          <w:szCs w:val="22"/>
        </w:rPr>
        <w:t>ISFSI</w:t>
      </w:r>
      <w:r w:rsidR="009249C6">
        <w:rPr>
          <w:rFonts w:cs="Arial"/>
          <w:color w:val="000000"/>
          <w:sz w:val="22"/>
          <w:szCs w:val="22"/>
        </w:rPr>
        <w:t>.  The annual cost at $</w:t>
      </w:r>
      <w:r w:rsidR="00796458">
        <w:rPr>
          <w:rFonts w:cs="Arial"/>
          <w:color w:val="000000"/>
          <w:sz w:val="22"/>
          <w:szCs w:val="22"/>
        </w:rPr>
        <w:t>73.2</w:t>
      </w:r>
      <w:r w:rsidR="001207DF">
        <w:rPr>
          <w:rFonts w:cs="Arial"/>
          <w:color w:val="000000"/>
          <w:sz w:val="22"/>
          <w:szCs w:val="22"/>
        </w:rPr>
        <w:t>0</w:t>
      </w:r>
      <w:r w:rsidR="009249C6">
        <w:rPr>
          <w:rFonts w:cs="Arial"/>
          <w:color w:val="000000"/>
          <w:sz w:val="22"/>
          <w:szCs w:val="22"/>
        </w:rPr>
        <w:t xml:space="preserve"> per hour would be $</w:t>
      </w:r>
      <w:r w:rsidR="00796458">
        <w:rPr>
          <w:rFonts w:cs="Arial"/>
          <w:color w:val="000000"/>
          <w:sz w:val="22"/>
          <w:szCs w:val="22"/>
        </w:rPr>
        <w:t>220</w:t>
      </w:r>
      <w:r w:rsidR="009249C6">
        <w:rPr>
          <w:rFonts w:cs="Arial"/>
          <w:color w:val="000000"/>
          <w:sz w:val="22"/>
          <w:szCs w:val="22"/>
        </w:rPr>
        <w:t xml:space="preserve"> per licensee and the total annual cost to the industry would be </w:t>
      </w:r>
      <w:r w:rsidR="00A127E1">
        <w:rPr>
          <w:rFonts w:cs="Arial"/>
          <w:color w:val="000000"/>
          <w:sz w:val="22"/>
          <w:szCs w:val="22"/>
        </w:rPr>
        <w:t>$</w:t>
      </w:r>
      <w:r w:rsidR="00284E5F">
        <w:rPr>
          <w:rFonts w:cs="Arial"/>
          <w:color w:val="000000"/>
          <w:sz w:val="22"/>
          <w:szCs w:val="22"/>
        </w:rPr>
        <w:t>13</w:t>
      </w:r>
      <w:r w:rsidR="001207DF">
        <w:rPr>
          <w:rFonts w:cs="Arial"/>
          <w:color w:val="000000"/>
          <w:sz w:val="22"/>
          <w:szCs w:val="22"/>
        </w:rPr>
        <w:t>,</w:t>
      </w:r>
      <w:r w:rsidR="00284E5F">
        <w:rPr>
          <w:rFonts w:cs="Arial"/>
          <w:color w:val="000000"/>
          <w:sz w:val="22"/>
          <w:szCs w:val="22"/>
        </w:rPr>
        <w:t>8</w:t>
      </w:r>
      <w:r w:rsidR="00166E03">
        <w:rPr>
          <w:rFonts w:cs="Arial"/>
          <w:color w:val="000000"/>
          <w:sz w:val="22"/>
          <w:szCs w:val="22"/>
        </w:rPr>
        <w:t>35</w:t>
      </w:r>
      <w:r w:rsidRPr="00250D11">
        <w:rPr>
          <w:rFonts w:cs="Arial"/>
          <w:sz w:val="22"/>
          <w:szCs w:val="22"/>
        </w:rPr>
        <w:t xml:space="preserve">. </w:t>
      </w:r>
    </w:p>
    <w:p w:rsidR="00250D11" w:rsidRDefault="00250D11" w:rsidP="00FF5522">
      <w:pPr>
        <w:rPr>
          <w:rFonts w:cs="Arial"/>
          <w:sz w:val="22"/>
          <w:szCs w:val="22"/>
        </w:rPr>
      </w:pPr>
    </w:p>
    <w:p w:rsidR="00250D11" w:rsidRPr="00250D11" w:rsidRDefault="00A40371" w:rsidP="00FF5522">
      <w:pPr>
        <w:rPr>
          <w:rFonts w:cs="Arial"/>
          <w:sz w:val="22"/>
          <w:szCs w:val="22"/>
        </w:rPr>
      </w:pPr>
      <w:r w:rsidRPr="009B5E75">
        <w:rPr>
          <w:rFonts w:cs="Arial"/>
          <w:sz w:val="22"/>
          <w:szCs w:val="22"/>
        </w:rPr>
        <w:t>Impact:</w:t>
      </w:r>
      <w:r w:rsidR="008048C0">
        <w:rPr>
          <w:rFonts w:cs="Arial"/>
          <w:sz w:val="22"/>
          <w:szCs w:val="22"/>
        </w:rPr>
        <w:t xml:space="preserve">  </w:t>
      </w:r>
      <w:r w:rsidR="00250D11" w:rsidRPr="00250D11">
        <w:rPr>
          <w:rFonts w:cs="Arial"/>
          <w:sz w:val="22"/>
          <w:szCs w:val="22"/>
        </w:rPr>
        <w:t xml:space="preserve">Item </w:t>
      </w:r>
      <w:r w:rsidR="009A2FFD" w:rsidRPr="00250D11">
        <w:rPr>
          <w:rFonts w:cs="Arial"/>
          <w:sz w:val="22"/>
          <w:szCs w:val="22"/>
        </w:rPr>
        <w:t xml:space="preserve">Control Exemptions for </w:t>
      </w:r>
      <w:r w:rsidR="00250D11" w:rsidRPr="00250D11">
        <w:rPr>
          <w:rFonts w:cs="Arial"/>
          <w:sz w:val="22"/>
          <w:szCs w:val="22"/>
        </w:rPr>
        <w:t xml:space="preserve">Category III </w:t>
      </w:r>
      <w:r w:rsidR="009A2FFD">
        <w:rPr>
          <w:rFonts w:cs="Arial"/>
          <w:sz w:val="22"/>
          <w:szCs w:val="22"/>
        </w:rPr>
        <w:t xml:space="preserve">and </w:t>
      </w:r>
      <w:r w:rsidR="002225DA">
        <w:rPr>
          <w:rFonts w:cs="Arial"/>
          <w:sz w:val="22"/>
          <w:szCs w:val="22"/>
        </w:rPr>
        <w:t xml:space="preserve">II </w:t>
      </w:r>
      <w:r w:rsidR="009A2FFD">
        <w:rPr>
          <w:rFonts w:cs="Arial"/>
          <w:sz w:val="22"/>
          <w:szCs w:val="22"/>
        </w:rPr>
        <w:t>Facilities</w:t>
      </w:r>
    </w:p>
    <w:p w:rsidR="00250D11" w:rsidRPr="00250D11" w:rsidRDefault="00250D11" w:rsidP="00FF5522">
      <w:pPr>
        <w:rPr>
          <w:rFonts w:cs="Arial"/>
          <w:sz w:val="22"/>
          <w:szCs w:val="22"/>
        </w:rPr>
      </w:pPr>
    </w:p>
    <w:p w:rsidR="004E674B" w:rsidRDefault="00250D11" w:rsidP="004E674B">
      <w:pPr>
        <w:rPr>
          <w:rFonts w:cs="Arial"/>
          <w:color w:val="000000"/>
          <w:sz w:val="22"/>
          <w:szCs w:val="22"/>
        </w:rPr>
      </w:pPr>
      <w:r w:rsidRPr="00CD2579">
        <w:rPr>
          <w:rFonts w:cs="Arial"/>
          <w:sz w:val="22"/>
          <w:szCs w:val="22"/>
        </w:rPr>
        <w:t xml:space="preserve">The proposed changes to </w:t>
      </w:r>
      <w:r w:rsidR="004E674B">
        <w:rPr>
          <w:rFonts w:cs="Arial"/>
          <w:sz w:val="22"/>
          <w:szCs w:val="22"/>
        </w:rPr>
        <w:t>10 CFR</w:t>
      </w:r>
      <w:r w:rsidR="004E674B" w:rsidRPr="00CD2579">
        <w:rPr>
          <w:rFonts w:cs="Arial"/>
          <w:sz w:val="22"/>
          <w:szCs w:val="22"/>
        </w:rPr>
        <w:t xml:space="preserve"> </w:t>
      </w:r>
      <w:r w:rsidRPr="00CD2579">
        <w:rPr>
          <w:rFonts w:cs="Arial"/>
          <w:sz w:val="22"/>
          <w:szCs w:val="22"/>
        </w:rPr>
        <w:t>74.31(c</w:t>
      </w:r>
      <w:proofErr w:type="gramStart"/>
      <w:r w:rsidRPr="00CD2579">
        <w:rPr>
          <w:rFonts w:cs="Arial"/>
          <w:sz w:val="22"/>
          <w:szCs w:val="22"/>
        </w:rPr>
        <w:t>)(</w:t>
      </w:r>
      <w:proofErr w:type="gramEnd"/>
      <w:r w:rsidRPr="00CD2579">
        <w:rPr>
          <w:rFonts w:cs="Arial"/>
          <w:sz w:val="22"/>
          <w:szCs w:val="22"/>
        </w:rPr>
        <w:t xml:space="preserve">6) would require each </w:t>
      </w:r>
      <w:r w:rsidR="002225DA">
        <w:rPr>
          <w:rFonts w:cs="Arial"/>
          <w:sz w:val="22"/>
          <w:szCs w:val="22"/>
        </w:rPr>
        <w:t>Category III fuel fabrication facility to include currently exempted items in their item control system</w:t>
      </w:r>
      <w:r w:rsidRPr="00CD2579">
        <w:rPr>
          <w:rFonts w:cs="Arial"/>
          <w:sz w:val="22"/>
          <w:szCs w:val="22"/>
        </w:rPr>
        <w:t xml:space="preserve">.  </w:t>
      </w:r>
      <w:r w:rsidR="004E674B">
        <w:rPr>
          <w:rFonts w:cs="Arial"/>
          <w:color w:val="000000"/>
          <w:sz w:val="22"/>
          <w:szCs w:val="22"/>
        </w:rPr>
        <w:t>The currently exempted items that a licensee would be required to track include items that exist for 14 days or less and individual items containing less than 500 grams of uranium-235 up to a total of 50 kilograms of uranium-235.</w:t>
      </w:r>
      <w:r w:rsidR="004E674B" w:rsidRPr="009F46A4">
        <w:rPr>
          <w:rFonts w:cs="Arial"/>
          <w:color w:val="000000"/>
          <w:sz w:val="22"/>
          <w:szCs w:val="22"/>
        </w:rPr>
        <w:t xml:space="preserve">  </w:t>
      </w:r>
      <w:r w:rsidR="00D1065C" w:rsidRPr="009F46A4">
        <w:rPr>
          <w:rFonts w:cs="Arial"/>
          <w:color w:val="000000"/>
          <w:sz w:val="22"/>
          <w:szCs w:val="22"/>
        </w:rPr>
        <w:t xml:space="preserve">It is estimated by the NRC that the changes would impact </w:t>
      </w:r>
      <w:r w:rsidR="00D1065C">
        <w:rPr>
          <w:rFonts w:cs="Arial"/>
          <w:color w:val="000000"/>
          <w:sz w:val="22"/>
          <w:szCs w:val="22"/>
        </w:rPr>
        <w:t>the</w:t>
      </w:r>
      <w:r w:rsidR="009A157C">
        <w:rPr>
          <w:rFonts w:cs="Arial"/>
          <w:color w:val="000000"/>
          <w:sz w:val="22"/>
          <w:szCs w:val="22"/>
        </w:rPr>
        <w:t>se</w:t>
      </w:r>
      <w:r w:rsidR="00D1065C">
        <w:rPr>
          <w:rFonts w:cs="Arial"/>
          <w:color w:val="000000"/>
          <w:sz w:val="22"/>
          <w:szCs w:val="22"/>
        </w:rPr>
        <w:t xml:space="preserve"> </w:t>
      </w:r>
      <w:r w:rsidR="00A44E27">
        <w:rPr>
          <w:rFonts w:cs="Arial"/>
          <w:color w:val="000000"/>
          <w:sz w:val="22"/>
          <w:szCs w:val="22"/>
        </w:rPr>
        <w:t xml:space="preserve">three </w:t>
      </w:r>
      <w:r w:rsidR="00D1065C" w:rsidRPr="009F46A4">
        <w:rPr>
          <w:rFonts w:cs="Arial"/>
          <w:color w:val="000000"/>
          <w:sz w:val="22"/>
          <w:szCs w:val="22"/>
        </w:rPr>
        <w:t>licensees</w:t>
      </w:r>
      <w:r w:rsidR="00D1065C">
        <w:rPr>
          <w:rFonts w:cs="Arial"/>
          <w:color w:val="000000"/>
          <w:sz w:val="22"/>
          <w:szCs w:val="22"/>
        </w:rPr>
        <w:t xml:space="preserve"> that are currently operating the Category III facilities.  </w:t>
      </w:r>
      <w:r w:rsidR="00586A68">
        <w:rPr>
          <w:rFonts w:cs="Arial"/>
          <w:color w:val="000000"/>
          <w:sz w:val="22"/>
          <w:szCs w:val="22"/>
        </w:rPr>
        <w:t>T</w:t>
      </w:r>
      <w:r w:rsidR="004E674B">
        <w:rPr>
          <w:rFonts w:cs="Arial"/>
          <w:color w:val="000000"/>
          <w:sz w:val="22"/>
          <w:szCs w:val="22"/>
        </w:rPr>
        <w:t xml:space="preserve">he annual time would be 100 hours.  The annual cost </w:t>
      </w:r>
      <w:r w:rsidR="00586A68">
        <w:rPr>
          <w:rFonts w:cs="Arial"/>
          <w:color w:val="000000"/>
          <w:sz w:val="22"/>
          <w:szCs w:val="22"/>
        </w:rPr>
        <w:t>at $</w:t>
      </w:r>
      <w:r w:rsidR="00796458">
        <w:rPr>
          <w:rFonts w:cs="Arial"/>
          <w:color w:val="000000"/>
          <w:sz w:val="22"/>
          <w:szCs w:val="22"/>
        </w:rPr>
        <w:t>73.2</w:t>
      </w:r>
      <w:r w:rsidR="001207DF">
        <w:rPr>
          <w:rFonts w:cs="Arial"/>
          <w:color w:val="000000"/>
          <w:sz w:val="22"/>
          <w:szCs w:val="22"/>
        </w:rPr>
        <w:t>0</w:t>
      </w:r>
      <w:r w:rsidR="00586A68">
        <w:rPr>
          <w:rFonts w:cs="Arial"/>
          <w:color w:val="000000"/>
          <w:sz w:val="22"/>
          <w:szCs w:val="22"/>
        </w:rPr>
        <w:t xml:space="preserve"> per hour </w:t>
      </w:r>
      <w:r w:rsidR="006C58CB">
        <w:rPr>
          <w:rFonts w:cs="Arial"/>
          <w:color w:val="000000"/>
          <w:sz w:val="22"/>
          <w:szCs w:val="22"/>
        </w:rPr>
        <w:t>would</w:t>
      </w:r>
      <w:r w:rsidR="00586A68">
        <w:rPr>
          <w:rFonts w:cs="Arial"/>
          <w:color w:val="000000"/>
          <w:sz w:val="22"/>
          <w:szCs w:val="22"/>
        </w:rPr>
        <w:t xml:space="preserve"> be</w:t>
      </w:r>
      <w:r w:rsidR="004E674B" w:rsidRPr="009F46A4">
        <w:rPr>
          <w:rFonts w:cs="Arial"/>
          <w:color w:val="000000"/>
          <w:sz w:val="22"/>
          <w:szCs w:val="22"/>
        </w:rPr>
        <w:t xml:space="preserve"> $</w:t>
      </w:r>
      <w:r w:rsidR="00796458">
        <w:rPr>
          <w:rFonts w:cs="Arial"/>
          <w:color w:val="000000"/>
          <w:sz w:val="22"/>
          <w:szCs w:val="22"/>
        </w:rPr>
        <w:t>7,320</w:t>
      </w:r>
      <w:r w:rsidR="00586A68">
        <w:rPr>
          <w:rFonts w:cs="Arial"/>
          <w:color w:val="000000"/>
          <w:sz w:val="22"/>
          <w:szCs w:val="22"/>
        </w:rPr>
        <w:t xml:space="preserve"> per licensee</w:t>
      </w:r>
      <w:r w:rsidR="004E674B" w:rsidRPr="009F46A4">
        <w:rPr>
          <w:rFonts w:cs="Arial"/>
          <w:color w:val="000000"/>
          <w:sz w:val="22"/>
          <w:szCs w:val="22"/>
        </w:rPr>
        <w:t xml:space="preserve"> </w:t>
      </w:r>
      <w:r w:rsidR="004E674B">
        <w:rPr>
          <w:rFonts w:cs="Arial"/>
          <w:color w:val="000000"/>
          <w:sz w:val="22"/>
          <w:szCs w:val="22"/>
        </w:rPr>
        <w:t>and the total annual cost to the industry would be $</w:t>
      </w:r>
      <w:r w:rsidR="00796458">
        <w:rPr>
          <w:rFonts w:cs="Arial"/>
          <w:color w:val="000000"/>
          <w:sz w:val="22"/>
          <w:szCs w:val="22"/>
        </w:rPr>
        <w:t>21,960</w:t>
      </w:r>
      <w:r w:rsidR="004E674B" w:rsidRPr="009F46A4">
        <w:rPr>
          <w:rFonts w:cs="Arial"/>
          <w:color w:val="000000"/>
          <w:sz w:val="22"/>
          <w:szCs w:val="22"/>
        </w:rPr>
        <w:t>.</w:t>
      </w:r>
    </w:p>
    <w:p w:rsidR="004E674B" w:rsidRDefault="004E674B" w:rsidP="004E674B">
      <w:pPr>
        <w:rPr>
          <w:rFonts w:cs="Arial"/>
          <w:color w:val="000000"/>
          <w:sz w:val="22"/>
          <w:szCs w:val="22"/>
        </w:rPr>
      </w:pPr>
    </w:p>
    <w:p w:rsidR="004E674B" w:rsidRDefault="004E674B" w:rsidP="004E674B">
      <w:pPr>
        <w:rPr>
          <w:rFonts w:cs="Arial"/>
          <w:color w:val="000000"/>
          <w:sz w:val="22"/>
          <w:szCs w:val="22"/>
        </w:rPr>
      </w:pPr>
      <w:r>
        <w:rPr>
          <w:rFonts w:cs="Arial"/>
          <w:color w:val="000000"/>
          <w:sz w:val="22"/>
          <w:szCs w:val="22"/>
        </w:rPr>
        <w:t>The proposed changes to 10 CFR 74.33(c</w:t>
      </w:r>
      <w:proofErr w:type="gramStart"/>
      <w:r>
        <w:rPr>
          <w:rFonts w:cs="Arial"/>
          <w:color w:val="000000"/>
          <w:sz w:val="22"/>
          <w:szCs w:val="22"/>
        </w:rPr>
        <w:t>)(</w:t>
      </w:r>
      <w:proofErr w:type="gramEnd"/>
      <w:r>
        <w:rPr>
          <w:rFonts w:cs="Arial"/>
          <w:color w:val="000000"/>
          <w:sz w:val="22"/>
          <w:szCs w:val="22"/>
        </w:rPr>
        <w:t>6)(ii) would require each Category III enrichment facility to include currently exempted items in their item control system.  The currently exempted items that a licensee would be required to track include items that exist for less than 14 days and individual items con</w:t>
      </w:r>
      <w:r w:rsidR="00C81410">
        <w:rPr>
          <w:rFonts w:cs="Arial"/>
          <w:color w:val="000000"/>
          <w:sz w:val="22"/>
          <w:szCs w:val="22"/>
        </w:rPr>
        <w:t>taining less than 500 grams ura</w:t>
      </w:r>
      <w:r>
        <w:rPr>
          <w:rFonts w:cs="Arial"/>
          <w:color w:val="000000"/>
          <w:sz w:val="22"/>
          <w:szCs w:val="22"/>
        </w:rPr>
        <w:t>nium-235 up to a cumulative total of 50</w:t>
      </w:r>
      <w:r w:rsidR="003722E6">
        <w:rPr>
          <w:rFonts w:cs="Arial"/>
          <w:color w:val="000000"/>
          <w:sz w:val="22"/>
          <w:szCs w:val="22"/>
        </w:rPr>
        <w:t> </w:t>
      </w:r>
      <w:r>
        <w:rPr>
          <w:rFonts w:cs="Arial"/>
          <w:color w:val="000000"/>
          <w:sz w:val="22"/>
          <w:szCs w:val="22"/>
        </w:rPr>
        <w:t xml:space="preserve">kilograms of uranium-235.  </w:t>
      </w:r>
      <w:r w:rsidR="006F3B02">
        <w:rPr>
          <w:rFonts w:cs="Arial"/>
          <w:color w:val="000000"/>
          <w:sz w:val="22"/>
          <w:szCs w:val="22"/>
        </w:rPr>
        <w:t xml:space="preserve">It is estimated by the NRC </w:t>
      </w:r>
      <w:r w:rsidR="00A44E27">
        <w:rPr>
          <w:rFonts w:cs="Arial"/>
          <w:color w:val="000000"/>
          <w:sz w:val="22"/>
          <w:szCs w:val="22"/>
        </w:rPr>
        <w:t xml:space="preserve">that the changes would impact two </w:t>
      </w:r>
      <w:r w:rsidR="006F3B02">
        <w:rPr>
          <w:rFonts w:cs="Arial"/>
          <w:color w:val="000000"/>
          <w:sz w:val="22"/>
          <w:szCs w:val="22"/>
        </w:rPr>
        <w:t>licensees that are opera</w:t>
      </w:r>
      <w:r w:rsidR="00A44E27">
        <w:rPr>
          <w:rFonts w:cs="Arial"/>
          <w:color w:val="000000"/>
          <w:sz w:val="22"/>
          <w:szCs w:val="22"/>
        </w:rPr>
        <w:t>ting enrichment facilities and two</w:t>
      </w:r>
      <w:r w:rsidR="006F3B02">
        <w:rPr>
          <w:rFonts w:cs="Arial"/>
          <w:color w:val="000000"/>
          <w:sz w:val="22"/>
          <w:szCs w:val="22"/>
        </w:rPr>
        <w:t xml:space="preserve"> potential licensees that are </w:t>
      </w:r>
      <w:r w:rsidR="006F3B02">
        <w:rPr>
          <w:rFonts w:cs="Arial"/>
          <w:color w:val="000000"/>
          <w:sz w:val="22"/>
          <w:szCs w:val="22"/>
        </w:rPr>
        <w:lastRenderedPageBreak/>
        <w:t>constructing enrichment facilities that will be licensed to operate in the future.  T</w:t>
      </w:r>
      <w:r>
        <w:rPr>
          <w:rFonts w:cs="Arial"/>
          <w:color w:val="000000"/>
          <w:sz w:val="22"/>
          <w:szCs w:val="22"/>
        </w:rPr>
        <w:t>he annual time would be 100 hours at $</w:t>
      </w:r>
      <w:r w:rsidR="00796458">
        <w:rPr>
          <w:rFonts w:cs="Arial"/>
          <w:color w:val="000000"/>
          <w:sz w:val="22"/>
          <w:szCs w:val="22"/>
        </w:rPr>
        <w:t>73.2</w:t>
      </w:r>
      <w:r w:rsidR="001207DF">
        <w:rPr>
          <w:rFonts w:cs="Arial"/>
          <w:color w:val="000000"/>
          <w:sz w:val="22"/>
          <w:szCs w:val="22"/>
        </w:rPr>
        <w:t>0</w:t>
      </w:r>
      <w:r>
        <w:rPr>
          <w:rFonts w:cs="Arial"/>
          <w:color w:val="000000"/>
          <w:sz w:val="22"/>
          <w:szCs w:val="22"/>
        </w:rPr>
        <w:t xml:space="preserve"> per hour.  The annual cost per licensee would be $</w:t>
      </w:r>
      <w:r w:rsidR="00796458">
        <w:rPr>
          <w:rFonts w:cs="Arial"/>
          <w:color w:val="000000"/>
          <w:sz w:val="22"/>
          <w:szCs w:val="22"/>
        </w:rPr>
        <w:t>7,320</w:t>
      </w:r>
      <w:r>
        <w:rPr>
          <w:rFonts w:cs="Arial"/>
          <w:color w:val="000000"/>
          <w:sz w:val="22"/>
          <w:szCs w:val="22"/>
        </w:rPr>
        <w:t xml:space="preserve"> and the total ann</w:t>
      </w:r>
      <w:r w:rsidR="00C81410">
        <w:rPr>
          <w:rFonts w:cs="Arial"/>
          <w:color w:val="000000"/>
          <w:sz w:val="22"/>
          <w:szCs w:val="22"/>
        </w:rPr>
        <w:t>u</w:t>
      </w:r>
      <w:r>
        <w:rPr>
          <w:rFonts w:cs="Arial"/>
          <w:color w:val="000000"/>
          <w:sz w:val="22"/>
          <w:szCs w:val="22"/>
        </w:rPr>
        <w:t>al cost to the industry would be $</w:t>
      </w:r>
      <w:r w:rsidR="00796458">
        <w:rPr>
          <w:rFonts w:cs="Arial"/>
          <w:color w:val="000000"/>
          <w:sz w:val="22"/>
          <w:szCs w:val="22"/>
        </w:rPr>
        <w:t>29,280</w:t>
      </w:r>
      <w:r>
        <w:rPr>
          <w:rFonts w:cs="Arial"/>
          <w:color w:val="000000"/>
          <w:sz w:val="22"/>
          <w:szCs w:val="22"/>
        </w:rPr>
        <w:t>.</w:t>
      </w:r>
    </w:p>
    <w:p w:rsidR="004E674B" w:rsidRDefault="004E674B" w:rsidP="004E674B">
      <w:pPr>
        <w:rPr>
          <w:rFonts w:cs="Arial"/>
          <w:color w:val="000000"/>
          <w:sz w:val="22"/>
          <w:szCs w:val="22"/>
        </w:rPr>
      </w:pPr>
    </w:p>
    <w:p w:rsidR="004E674B" w:rsidRDefault="004E674B" w:rsidP="004E674B">
      <w:pPr>
        <w:rPr>
          <w:rFonts w:cs="Arial"/>
          <w:color w:val="000000"/>
          <w:sz w:val="22"/>
          <w:szCs w:val="22"/>
        </w:rPr>
      </w:pPr>
      <w:r>
        <w:rPr>
          <w:rFonts w:cs="Arial"/>
          <w:color w:val="000000"/>
          <w:sz w:val="22"/>
          <w:szCs w:val="22"/>
        </w:rPr>
        <w:t xml:space="preserve">The proposed </w:t>
      </w:r>
      <w:r w:rsidR="006C58CB">
        <w:rPr>
          <w:rFonts w:cs="Arial"/>
          <w:color w:val="000000"/>
          <w:sz w:val="22"/>
          <w:szCs w:val="22"/>
        </w:rPr>
        <w:t>changes</w:t>
      </w:r>
      <w:r>
        <w:rPr>
          <w:rFonts w:cs="Arial"/>
          <w:color w:val="000000"/>
          <w:sz w:val="22"/>
          <w:szCs w:val="22"/>
        </w:rPr>
        <w:t xml:space="preserve"> to 10 CFR 74.43(b</w:t>
      </w:r>
      <w:proofErr w:type="gramStart"/>
      <w:r>
        <w:rPr>
          <w:rFonts w:cs="Arial"/>
          <w:color w:val="000000"/>
          <w:sz w:val="22"/>
          <w:szCs w:val="22"/>
        </w:rPr>
        <w:t>)(</w:t>
      </w:r>
      <w:proofErr w:type="gramEnd"/>
      <w:r>
        <w:rPr>
          <w:rFonts w:cs="Arial"/>
          <w:color w:val="000000"/>
          <w:sz w:val="22"/>
          <w:szCs w:val="22"/>
        </w:rPr>
        <w:t xml:space="preserve">6) would require </w:t>
      </w:r>
      <w:r w:rsidR="009A157C">
        <w:rPr>
          <w:rFonts w:cs="Arial"/>
          <w:color w:val="000000"/>
          <w:sz w:val="22"/>
          <w:szCs w:val="22"/>
        </w:rPr>
        <w:t>any future</w:t>
      </w:r>
      <w:r>
        <w:rPr>
          <w:rFonts w:cs="Arial"/>
          <w:color w:val="000000"/>
          <w:sz w:val="22"/>
          <w:szCs w:val="22"/>
        </w:rPr>
        <w:t xml:space="preserve"> Category II facility to include currently exempted items in their item control system.  The currently exempted items include items that exist for less than 14 calendar days and individual items containing less than 200 grams of plutonium or uranium-233 or 300 grams or more of uranium-235 up to a total of one formula kilogram of strategic SNM or 17 kilograms of uranium-235 contained in uranium enriched to 10 percent or more but less than 20 percent in the uranium-235 isotope. </w:t>
      </w:r>
      <w:r w:rsidR="00D9651C">
        <w:rPr>
          <w:rFonts w:cs="Arial"/>
          <w:color w:val="000000"/>
          <w:sz w:val="22"/>
          <w:szCs w:val="22"/>
        </w:rPr>
        <w:t xml:space="preserve"> </w:t>
      </w:r>
      <w:r>
        <w:rPr>
          <w:rFonts w:cs="Arial"/>
          <w:color w:val="000000"/>
          <w:sz w:val="22"/>
          <w:szCs w:val="22"/>
        </w:rPr>
        <w:t>It is estimated by the NRC</w:t>
      </w:r>
      <w:r w:rsidR="00A44E27">
        <w:rPr>
          <w:rFonts w:cs="Arial"/>
          <w:color w:val="000000"/>
          <w:sz w:val="22"/>
          <w:szCs w:val="22"/>
        </w:rPr>
        <w:t xml:space="preserve"> that the changes would impact one</w:t>
      </w:r>
      <w:r>
        <w:rPr>
          <w:rFonts w:cs="Arial"/>
          <w:color w:val="000000"/>
          <w:sz w:val="22"/>
          <w:szCs w:val="22"/>
        </w:rPr>
        <w:t xml:space="preserve"> potential licensee and the annual time would be 100 hours at $</w:t>
      </w:r>
      <w:r w:rsidR="00796458">
        <w:rPr>
          <w:rFonts w:cs="Arial"/>
          <w:color w:val="000000"/>
          <w:sz w:val="22"/>
          <w:szCs w:val="22"/>
        </w:rPr>
        <w:t>73.2</w:t>
      </w:r>
      <w:r w:rsidR="001207DF">
        <w:rPr>
          <w:rFonts w:cs="Arial"/>
          <w:color w:val="000000"/>
          <w:sz w:val="22"/>
          <w:szCs w:val="22"/>
        </w:rPr>
        <w:t>0</w:t>
      </w:r>
      <w:r>
        <w:rPr>
          <w:rFonts w:cs="Arial"/>
          <w:color w:val="000000"/>
          <w:sz w:val="22"/>
          <w:szCs w:val="22"/>
        </w:rPr>
        <w:t xml:space="preserve"> per hour.  The annual cost to the licensee and the industry would be $</w:t>
      </w:r>
      <w:r w:rsidR="00796458">
        <w:rPr>
          <w:rFonts w:cs="Arial"/>
          <w:color w:val="000000"/>
          <w:sz w:val="22"/>
          <w:szCs w:val="22"/>
        </w:rPr>
        <w:t>7,320</w:t>
      </w:r>
      <w:r>
        <w:rPr>
          <w:rFonts w:cs="Arial"/>
          <w:color w:val="000000"/>
          <w:sz w:val="22"/>
          <w:szCs w:val="22"/>
        </w:rPr>
        <w:t>.</w:t>
      </w:r>
    </w:p>
    <w:p w:rsidR="002347D8" w:rsidRDefault="002347D8" w:rsidP="00FF5522">
      <w:pPr>
        <w:rPr>
          <w:rFonts w:cs="Arial"/>
          <w:sz w:val="22"/>
          <w:szCs w:val="22"/>
        </w:rPr>
      </w:pPr>
    </w:p>
    <w:p w:rsidR="003B76B6" w:rsidRDefault="003B76B6" w:rsidP="0048470A">
      <w:pPr>
        <w:rPr>
          <w:rFonts w:cs="Arial"/>
          <w:sz w:val="22"/>
          <w:szCs w:val="22"/>
        </w:rPr>
      </w:pPr>
      <w:r>
        <w:rPr>
          <w:rFonts w:cs="Arial"/>
          <w:sz w:val="22"/>
          <w:szCs w:val="22"/>
        </w:rPr>
        <w:t xml:space="preserve">Impact:  Removal of </w:t>
      </w:r>
      <w:r w:rsidR="001207DF">
        <w:rPr>
          <w:rFonts w:cs="Arial"/>
          <w:sz w:val="22"/>
          <w:szCs w:val="22"/>
        </w:rPr>
        <w:t xml:space="preserve">Exemption </w:t>
      </w:r>
      <w:r>
        <w:rPr>
          <w:rFonts w:cs="Arial"/>
          <w:sz w:val="22"/>
          <w:szCs w:val="22"/>
        </w:rPr>
        <w:t xml:space="preserve">in 10 CFR 74.51(a) for an </w:t>
      </w:r>
      <w:r w:rsidR="001207DF">
        <w:rPr>
          <w:rFonts w:cs="Arial"/>
          <w:sz w:val="22"/>
          <w:szCs w:val="22"/>
        </w:rPr>
        <w:t>Irradiated Fuel Reprocessing Plant</w:t>
      </w:r>
    </w:p>
    <w:p w:rsidR="003B76B6" w:rsidRDefault="003B76B6" w:rsidP="0048470A">
      <w:pPr>
        <w:rPr>
          <w:rFonts w:cs="Arial"/>
          <w:sz w:val="22"/>
          <w:szCs w:val="22"/>
        </w:rPr>
      </w:pPr>
    </w:p>
    <w:p w:rsidR="003B76B6" w:rsidRDefault="007E1597" w:rsidP="0048470A">
      <w:pPr>
        <w:rPr>
          <w:rFonts w:cs="Arial"/>
          <w:sz w:val="22"/>
          <w:szCs w:val="22"/>
        </w:rPr>
      </w:pPr>
      <w:r>
        <w:rPr>
          <w:rFonts w:cs="Arial"/>
          <w:sz w:val="22"/>
          <w:szCs w:val="22"/>
        </w:rPr>
        <w:t xml:space="preserve">This proposed change </w:t>
      </w:r>
      <w:r w:rsidR="003B76B6">
        <w:rPr>
          <w:rFonts w:cs="Arial"/>
          <w:sz w:val="22"/>
          <w:szCs w:val="22"/>
        </w:rPr>
        <w:t>would impact no licensees</w:t>
      </w:r>
      <w:r>
        <w:rPr>
          <w:rFonts w:cs="Arial"/>
          <w:sz w:val="22"/>
          <w:szCs w:val="22"/>
        </w:rPr>
        <w:t>,</w:t>
      </w:r>
      <w:r w:rsidR="003B76B6">
        <w:rPr>
          <w:rFonts w:cs="Arial"/>
          <w:sz w:val="22"/>
          <w:szCs w:val="22"/>
        </w:rPr>
        <w:t xml:space="preserve"> because </w:t>
      </w:r>
      <w:r>
        <w:rPr>
          <w:rFonts w:cs="Arial"/>
          <w:sz w:val="22"/>
          <w:szCs w:val="22"/>
        </w:rPr>
        <w:t xml:space="preserve">there </w:t>
      </w:r>
      <w:proofErr w:type="gramStart"/>
      <w:r>
        <w:rPr>
          <w:rFonts w:cs="Arial"/>
          <w:sz w:val="22"/>
          <w:szCs w:val="22"/>
        </w:rPr>
        <w:t xml:space="preserve">are currently </w:t>
      </w:r>
      <w:r w:rsidR="003B76B6">
        <w:rPr>
          <w:rFonts w:cs="Arial"/>
          <w:sz w:val="22"/>
          <w:szCs w:val="22"/>
        </w:rPr>
        <w:t xml:space="preserve">no </w:t>
      </w:r>
      <w:r>
        <w:rPr>
          <w:rFonts w:cs="Arial"/>
          <w:sz w:val="22"/>
          <w:szCs w:val="22"/>
        </w:rPr>
        <w:t xml:space="preserve">operating </w:t>
      </w:r>
      <w:r w:rsidR="003B76B6">
        <w:rPr>
          <w:rFonts w:cs="Arial"/>
          <w:sz w:val="22"/>
          <w:szCs w:val="22"/>
        </w:rPr>
        <w:t>irradiated fuel</w:t>
      </w:r>
      <w:proofErr w:type="gramEnd"/>
      <w:r w:rsidR="003B76B6">
        <w:rPr>
          <w:rFonts w:cs="Arial"/>
          <w:sz w:val="22"/>
          <w:szCs w:val="22"/>
        </w:rPr>
        <w:t xml:space="preserve"> reprocessing plants.</w:t>
      </w:r>
    </w:p>
    <w:p w:rsidR="0081796B" w:rsidRDefault="0081796B" w:rsidP="0048470A">
      <w:pPr>
        <w:rPr>
          <w:rFonts w:cs="Arial"/>
          <w:sz w:val="22"/>
          <w:szCs w:val="22"/>
        </w:rPr>
      </w:pPr>
    </w:p>
    <w:p w:rsidR="00C1459C" w:rsidRPr="009B5E75" w:rsidRDefault="00C1459C" w:rsidP="0048470A">
      <w:pPr>
        <w:rPr>
          <w:rFonts w:cs="Arial"/>
          <w:sz w:val="22"/>
          <w:szCs w:val="22"/>
        </w:rPr>
      </w:pPr>
      <w:r w:rsidRPr="009B5E75">
        <w:rPr>
          <w:rFonts w:cs="Arial"/>
          <w:sz w:val="22"/>
          <w:szCs w:val="22"/>
          <w:u w:val="single"/>
        </w:rPr>
        <w:t>NRC Operation</w:t>
      </w:r>
    </w:p>
    <w:p w:rsidR="00C1459C" w:rsidRPr="009B5E75" w:rsidRDefault="00C1459C" w:rsidP="0048470A">
      <w:pPr>
        <w:rPr>
          <w:rFonts w:cs="Arial"/>
          <w:sz w:val="22"/>
          <w:szCs w:val="22"/>
        </w:rPr>
      </w:pPr>
    </w:p>
    <w:p w:rsidR="007056B5" w:rsidRDefault="00316E96" w:rsidP="0048470A">
      <w:pPr>
        <w:rPr>
          <w:rFonts w:cs="Arial"/>
          <w:sz w:val="22"/>
          <w:szCs w:val="22"/>
        </w:rPr>
      </w:pPr>
      <w:r w:rsidRPr="009B5E75">
        <w:rPr>
          <w:rFonts w:cs="Arial"/>
          <w:sz w:val="22"/>
          <w:szCs w:val="22"/>
        </w:rPr>
        <w:t>Impact:</w:t>
      </w:r>
      <w:r w:rsidR="00070C69">
        <w:rPr>
          <w:rFonts w:cs="Arial"/>
          <w:sz w:val="22"/>
          <w:szCs w:val="22"/>
        </w:rPr>
        <w:t xml:space="preserve">  </w:t>
      </w:r>
      <w:r w:rsidR="00E62A18">
        <w:rPr>
          <w:rFonts w:cs="Arial"/>
          <w:sz w:val="22"/>
          <w:szCs w:val="22"/>
        </w:rPr>
        <w:t>The amount of NRC inspection effort would not change.  Inspectors would evaluate licensee implementation of the changes within the scope of the routine inspection program elements.  The inspection procedures would be updated within the normal review and revision cycle</w:t>
      </w:r>
      <w:r w:rsidR="006B5072">
        <w:rPr>
          <w:rFonts w:cs="Arial"/>
          <w:sz w:val="22"/>
          <w:szCs w:val="22"/>
        </w:rPr>
        <w:t>.</w:t>
      </w:r>
    </w:p>
    <w:p w:rsidR="00380900" w:rsidRDefault="00380900" w:rsidP="0048470A">
      <w:pPr>
        <w:rPr>
          <w:rFonts w:cs="Arial"/>
          <w:sz w:val="22"/>
          <w:szCs w:val="22"/>
        </w:rPr>
      </w:pPr>
    </w:p>
    <w:p w:rsidR="006F17E9" w:rsidRPr="009A346E" w:rsidRDefault="00090A5F" w:rsidP="0048470A">
      <w:pPr>
        <w:rPr>
          <w:rFonts w:cs="Arial"/>
          <w:sz w:val="22"/>
          <w:szCs w:val="22"/>
          <w:u w:val="single"/>
        </w:rPr>
      </w:pPr>
      <w:r w:rsidRPr="00090A5F">
        <w:rPr>
          <w:rFonts w:cs="Arial"/>
          <w:sz w:val="22"/>
          <w:szCs w:val="22"/>
          <w:u w:val="single"/>
        </w:rPr>
        <w:t>Security and Safeguards Considerations</w:t>
      </w:r>
    </w:p>
    <w:p w:rsidR="002851C6" w:rsidRDefault="002851C6" w:rsidP="0048470A">
      <w:pPr>
        <w:rPr>
          <w:rFonts w:cs="Arial"/>
          <w:sz w:val="22"/>
          <w:szCs w:val="22"/>
        </w:rPr>
      </w:pPr>
    </w:p>
    <w:p w:rsidR="00523D61" w:rsidRDefault="00151FA9" w:rsidP="002A1D4B">
      <w:pPr>
        <w:rPr>
          <w:sz w:val="22"/>
          <w:szCs w:val="22"/>
        </w:rPr>
      </w:pPr>
      <w:r>
        <w:rPr>
          <w:rFonts w:cs="Arial"/>
          <w:sz w:val="22"/>
          <w:szCs w:val="22"/>
        </w:rPr>
        <w:t xml:space="preserve">The NRC believes that the proposed regulatory initiatives would promote common defense and security by enhancing protection of SNM.  </w:t>
      </w:r>
      <w:r w:rsidR="009A346E" w:rsidRPr="000D2279">
        <w:rPr>
          <w:rFonts w:cs="Arial"/>
          <w:sz w:val="22"/>
          <w:szCs w:val="22"/>
        </w:rPr>
        <w:t>The qualitative values</w:t>
      </w:r>
      <w:r w:rsidR="002A1D4B">
        <w:rPr>
          <w:rFonts w:cs="Arial"/>
          <w:sz w:val="22"/>
          <w:szCs w:val="22"/>
        </w:rPr>
        <w:t xml:space="preserve"> or benefits</w:t>
      </w:r>
      <w:r w:rsidR="009A346E" w:rsidRPr="000D2279">
        <w:rPr>
          <w:rFonts w:cs="Arial"/>
          <w:sz w:val="22"/>
          <w:szCs w:val="22"/>
        </w:rPr>
        <w:t xml:space="preserve"> of the </w:t>
      </w:r>
      <w:r w:rsidR="00B24380">
        <w:rPr>
          <w:rFonts w:cs="Arial"/>
          <w:sz w:val="22"/>
          <w:szCs w:val="22"/>
        </w:rPr>
        <w:t>proposed</w:t>
      </w:r>
      <w:r w:rsidR="009A346E">
        <w:rPr>
          <w:rFonts w:cs="Arial"/>
          <w:sz w:val="22"/>
          <w:szCs w:val="22"/>
        </w:rPr>
        <w:t xml:space="preserve"> </w:t>
      </w:r>
      <w:r w:rsidR="009A346E" w:rsidRPr="000D2279">
        <w:rPr>
          <w:rFonts w:cs="Arial"/>
          <w:sz w:val="22"/>
          <w:szCs w:val="22"/>
        </w:rPr>
        <w:t xml:space="preserve">rule </w:t>
      </w:r>
      <w:r w:rsidR="002A1D4B">
        <w:rPr>
          <w:rFonts w:cs="Arial"/>
          <w:sz w:val="22"/>
          <w:szCs w:val="22"/>
        </w:rPr>
        <w:t xml:space="preserve">relate to the reduced </w:t>
      </w:r>
      <w:r w:rsidR="00A10FAB">
        <w:rPr>
          <w:rFonts w:cs="Arial"/>
          <w:sz w:val="22"/>
          <w:szCs w:val="22"/>
        </w:rPr>
        <w:t>risk of malevolent use of SNM</w:t>
      </w:r>
      <w:r w:rsidR="002A1D4B">
        <w:rPr>
          <w:rFonts w:cs="Arial"/>
          <w:sz w:val="22"/>
          <w:szCs w:val="22"/>
        </w:rPr>
        <w:t xml:space="preserve"> that the NRC believes would be achieved as a result of </w:t>
      </w:r>
      <w:r w:rsidR="004F47E6">
        <w:rPr>
          <w:rFonts w:cs="Arial"/>
          <w:sz w:val="22"/>
          <w:szCs w:val="22"/>
        </w:rPr>
        <w:t>i</w:t>
      </w:r>
      <w:r w:rsidR="002A1D4B">
        <w:rPr>
          <w:rFonts w:cs="Arial"/>
          <w:sz w:val="22"/>
          <w:szCs w:val="22"/>
        </w:rPr>
        <w:t>mplementing proposed requirements for item controls</w:t>
      </w:r>
      <w:r w:rsidR="00A10FAB">
        <w:rPr>
          <w:rFonts w:cs="Arial"/>
          <w:sz w:val="22"/>
          <w:szCs w:val="22"/>
        </w:rPr>
        <w:t xml:space="preserve">.  </w:t>
      </w:r>
      <w:r w:rsidR="002A1D4B">
        <w:rPr>
          <w:rFonts w:cs="Arial"/>
          <w:sz w:val="22"/>
          <w:szCs w:val="22"/>
        </w:rPr>
        <w:t xml:space="preserve">The NRC is unable to quantify this reduction in risk due to </w:t>
      </w:r>
      <w:r w:rsidR="00A10FAB" w:rsidRPr="002851C6">
        <w:rPr>
          <w:rFonts w:cs="Arial"/>
          <w:sz w:val="22"/>
          <w:szCs w:val="22"/>
        </w:rPr>
        <w:t xml:space="preserve">factors such as:  (1) the frequency of attempted theft </w:t>
      </w:r>
      <w:r w:rsidR="00A10FAB">
        <w:rPr>
          <w:rFonts w:cs="Arial"/>
          <w:sz w:val="22"/>
          <w:szCs w:val="22"/>
        </w:rPr>
        <w:t xml:space="preserve">or diversion; </w:t>
      </w:r>
      <w:r w:rsidR="00A10FAB" w:rsidRPr="002851C6">
        <w:rPr>
          <w:rFonts w:cs="Arial"/>
          <w:sz w:val="22"/>
          <w:szCs w:val="22"/>
        </w:rPr>
        <w:t xml:space="preserve">(2) the frequency with which theft </w:t>
      </w:r>
      <w:r w:rsidR="00A10FAB">
        <w:rPr>
          <w:rFonts w:cs="Arial"/>
          <w:sz w:val="22"/>
          <w:szCs w:val="22"/>
        </w:rPr>
        <w:t>or diversion a</w:t>
      </w:r>
      <w:r w:rsidR="00A10FAB" w:rsidRPr="002851C6">
        <w:rPr>
          <w:rFonts w:cs="Arial"/>
          <w:sz w:val="22"/>
          <w:szCs w:val="22"/>
        </w:rPr>
        <w:t>ttempts are and will be successful</w:t>
      </w:r>
      <w:r w:rsidR="00A10FAB">
        <w:rPr>
          <w:rFonts w:cs="Arial"/>
          <w:sz w:val="22"/>
          <w:szCs w:val="22"/>
        </w:rPr>
        <w:t>; and (3) the impact associated with successful theft or diversion.</w:t>
      </w:r>
      <w:r w:rsidR="00AC5DA6">
        <w:rPr>
          <w:rFonts w:cs="Arial"/>
          <w:sz w:val="22"/>
          <w:szCs w:val="22"/>
        </w:rPr>
        <w:t xml:space="preserve"> </w:t>
      </w:r>
      <w:r w:rsidR="00A10FAB">
        <w:rPr>
          <w:rFonts w:cs="Arial"/>
          <w:sz w:val="22"/>
          <w:szCs w:val="22"/>
        </w:rPr>
        <w:t xml:space="preserve"> </w:t>
      </w:r>
      <w:r w:rsidR="002A1D4B">
        <w:rPr>
          <w:sz w:val="22"/>
          <w:szCs w:val="22"/>
        </w:rPr>
        <w:t>T</w:t>
      </w:r>
      <w:r w:rsidR="00523D61">
        <w:rPr>
          <w:sz w:val="22"/>
          <w:szCs w:val="22"/>
        </w:rPr>
        <w:t xml:space="preserve">he </w:t>
      </w:r>
      <w:r w:rsidR="00A10FAB">
        <w:rPr>
          <w:sz w:val="22"/>
          <w:szCs w:val="22"/>
        </w:rPr>
        <w:t xml:space="preserve">benefits of the proposed requirements for item controls </w:t>
      </w:r>
      <w:r w:rsidR="002A1D4B">
        <w:rPr>
          <w:sz w:val="22"/>
          <w:szCs w:val="22"/>
        </w:rPr>
        <w:t xml:space="preserve">are discussed below in qualitative </w:t>
      </w:r>
      <w:r w:rsidR="00B24380">
        <w:rPr>
          <w:sz w:val="22"/>
          <w:szCs w:val="22"/>
        </w:rPr>
        <w:t>terms. The</w:t>
      </w:r>
      <w:r w:rsidR="00F1271C">
        <w:rPr>
          <w:sz w:val="22"/>
          <w:szCs w:val="22"/>
        </w:rPr>
        <w:t xml:space="preserve"> NRC realizes that the incremental increase in benefits is reduced to the extent that licensees are </w:t>
      </w:r>
      <w:r w:rsidR="00D67283">
        <w:rPr>
          <w:sz w:val="22"/>
          <w:szCs w:val="22"/>
        </w:rPr>
        <w:t>currently performing</w:t>
      </w:r>
      <w:r w:rsidR="00F1271C">
        <w:rPr>
          <w:sz w:val="22"/>
          <w:szCs w:val="22"/>
        </w:rPr>
        <w:t xml:space="preserve"> MC&amp;A activities satisfactorily under the R</w:t>
      </w:r>
      <w:r w:rsidR="00BD3E58">
        <w:rPr>
          <w:sz w:val="22"/>
          <w:szCs w:val="22"/>
        </w:rPr>
        <w:t>OP</w:t>
      </w:r>
      <w:r w:rsidR="00F1271C">
        <w:rPr>
          <w:sz w:val="22"/>
          <w:szCs w:val="22"/>
        </w:rPr>
        <w:t xml:space="preserve">.  </w:t>
      </w:r>
      <w:r w:rsidR="00D67283">
        <w:rPr>
          <w:sz w:val="22"/>
          <w:szCs w:val="22"/>
        </w:rPr>
        <w:t xml:space="preserve">However, </w:t>
      </w:r>
      <w:r w:rsidR="00F1271C">
        <w:rPr>
          <w:sz w:val="22"/>
          <w:szCs w:val="22"/>
        </w:rPr>
        <w:t>the NRC believes the net overall value realized would warrant the cost of the proposed rule to enhance regulatory effectiveness.</w:t>
      </w:r>
    </w:p>
    <w:p w:rsidR="00523D61" w:rsidRDefault="00523D61" w:rsidP="00C54E27">
      <w:pPr>
        <w:rPr>
          <w:sz w:val="22"/>
          <w:szCs w:val="22"/>
        </w:rPr>
      </w:pPr>
    </w:p>
    <w:p w:rsidR="00943D40" w:rsidRDefault="00C54E27" w:rsidP="00C54E27">
      <w:pPr>
        <w:rPr>
          <w:sz w:val="22"/>
          <w:szCs w:val="22"/>
        </w:rPr>
      </w:pPr>
      <w:r w:rsidRPr="00ED4BB1">
        <w:rPr>
          <w:sz w:val="22"/>
          <w:szCs w:val="22"/>
        </w:rPr>
        <w:t xml:space="preserve">The NRC’s regulations specify requirements for collecting and reporting information about SNM that is held by a licensee.  The MC&amp;A regulations ensure that the information about SNM is accurate, authentic, and sufficiently detailed to enable a licensee to maintain current knowledge of </w:t>
      </w:r>
      <w:r w:rsidR="001060F7" w:rsidRPr="00ED4BB1">
        <w:rPr>
          <w:sz w:val="22"/>
          <w:szCs w:val="22"/>
        </w:rPr>
        <w:t>its SNM</w:t>
      </w:r>
      <w:r w:rsidRPr="00ED4BB1">
        <w:rPr>
          <w:sz w:val="22"/>
          <w:szCs w:val="22"/>
        </w:rPr>
        <w:t xml:space="preserve"> and manage its program for securing and protecting SNM.  MC&amp;A, together with physical protection of facilities and information security requirements, make up the primary elements of the NRC’s SNM safeguards program.  </w:t>
      </w:r>
    </w:p>
    <w:p w:rsidR="00C14D73" w:rsidRDefault="00C14D73" w:rsidP="00C54E27">
      <w:pPr>
        <w:rPr>
          <w:sz w:val="22"/>
          <w:szCs w:val="22"/>
        </w:rPr>
      </w:pPr>
    </w:p>
    <w:p w:rsidR="00C14D73" w:rsidRDefault="00C14D73" w:rsidP="00C54E27">
      <w:pPr>
        <w:rPr>
          <w:sz w:val="22"/>
          <w:szCs w:val="22"/>
        </w:rPr>
      </w:pPr>
      <w:r>
        <w:rPr>
          <w:sz w:val="22"/>
          <w:szCs w:val="22"/>
        </w:rPr>
        <w:lastRenderedPageBreak/>
        <w:t xml:space="preserve">For this regulatory analysis the NRC assumes security benefits for </w:t>
      </w:r>
      <w:r w:rsidR="00621615">
        <w:rPr>
          <w:sz w:val="22"/>
          <w:szCs w:val="22"/>
        </w:rPr>
        <w:t xml:space="preserve">2 </w:t>
      </w:r>
      <w:r>
        <w:rPr>
          <w:sz w:val="22"/>
          <w:szCs w:val="22"/>
        </w:rPr>
        <w:t xml:space="preserve">of the proposed changes: the item control system </w:t>
      </w:r>
      <w:r w:rsidR="00621615">
        <w:rPr>
          <w:sz w:val="22"/>
          <w:szCs w:val="22"/>
        </w:rPr>
        <w:t xml:space="preserve">and </w:t>
      </w:r>
      <w:r>
        <w:rPr>
          <w:sz w:val="22"/>
          <w:szCs w:val="22"/>
        </w:rPr>
        <w:t>the removal of existing item exemptions.</w:t>
      </w:r>
    </w:p>
    <w:p w:rsidR="00943D40" w:rsidRDefault="00943D40" w:rsidP="00C54E27">
      <w:pPr>
        <w:rPr>
          <w:sz w:val="22"/>
          <w:szCs w:val="22"/>
        </w:rPr>
      </w:pPr>
    </w:p>
    <w:p w:rsidR="004D34AC" w:rsidRDefault="00943D40" w:rsidP="00C54E27">
      <w:pPr>
        <w:rPr>
          <w:sz w:val="22"/>
          <w:szCs w:val="18"/>
        </w:rPr>
      </w:pPr>
      <w:r>
        <w:rPr>
          <w:sz w:val="22"/>
          <w:szCs w:val="18"/>
        </w:rPr>
        <w:t>With regard to the new item control system requirement</w:t>
      </w:r>
      <w:r w:rsidR="00B81F18">
        <w:rPr>
          <w:sz w:val="22"/>
          <w:szCs w:val="18"/>
        </w:rPr>
        <w:t xml:space="preserve"> in 10 CFR 74.19(d)</w:t>
      </w:r>
      <w:r w:rsidR="00C0265F">
        <w:rPr>
          <w:sz w:val="22"/>
          <w:szCs w:val="18"/>
        </w:rPr>
        <w:t>, security</w:t>
      </w:r>
      <w:r w:rsidR="00B24231">
        <w:rPr>
          <w:sz w:val="22"/>
          <w:szCs w:val="18"/>
        </w:rPr>
        <w:t xml:space="preserve"> and safeguards would be enhanced by licensee efforts </w:t>
      </w:r>
      <w:r w:rsidR="004B0FEA">
        <w:rPr>
          <w:sz w:val="22"/>
          <w:szCs w:val="18"/>
        </w:rPr>
        <w:t xml:space="preserve">to </w:t>
      </w:r>
      <w:r w:rsidR="00B81F18">
        <w:rPr>
          <w:rFonts w:cs="Arial"/>
          <w:sz w:val="22"/>
          <w:szCs w:val="22"/>
        </w:rPr>
        <w:t>maintain current knowledge of items</w:t>
      </w:r>
      <w:r w:rsidR="00B24231">
        <w:rPr>
          <w:rFonts w:cs="Arial"/>
          <w:sz w:val="22"/>
          <w:szCs w:val="22"/>
        </w:rPr>
        <w:t>.  The new requirement would increase and maintain (1) the accuracy of inventory information that supports the resolution of discrepancies, (2) the protection against unauthorized removal or unrecorded removal of items or removal of SNM from an item, and (3) the capability of rapidly locating selected items</w:t>
      </w:r>
      <w:r w:rsidR="00B81F18">
        <w:rPr>
          <w:rFonts w:cs="Arial"/>
          <w:sz w:val="22"/>
          <w:szCs w:val="22"/>
        </w:rPr>
        <w:t xml:space="preserve">.  </w:t>
      </w:r>
    </w:p>
    <w:p w:rsidR="004D34AC" w:rsidRDefault="004D34AC" w:rsidP="00C54E27">
      <w:pPr>
        <w:rPr>
          <w:sz w:val="22"/>
          <w:szCs w:val="18"/>
        </w:rPr>
      </w:pPr>
    </w:p>
    <w:p w:rsidR="00943D40" w:rsidRDefault="004D34AC" w:rsidP="00C54E27">
      <w:pPr>
        <w:rPr>
          <w:sz w:val="22"/>
          <w:szCs w:val="18"/>
        </w:rPr>
      </w:pPr>
      <w:r>
        <w:rPr>
          <w:sz w:val="22"/>
          <w:szCs w:val="18"/>
        </w:rPr>
        <w:t>Under Option 2A, full credit is given to 10 CFR part 50 licensees</w:t>
      </w:r>
      <w:r w:rsidR="008B5FBC">
        <w:rPr>
          <w:sz w:val="22"/>
          <w:szCs w:val="18"/>
        </w:rPr>
        <w:t xml:space="preserve"> at the </w:t>
      </w:r>
      <w:r w:rsidR="00C53054">
        <w:rPr>
          <w:sz w:val="22"/>
          <w:szCs w:val="18"/>
        </w:rPr>
        <w:t>65 reactor sites</w:t>
      </w:r>
      <w:r>
        <w:rPr>
          <w:sz w:val="22"/>
          <w:szCs w:val="18"/>
        </w:rPr>
        <w:t xml:space="preserve"> for having an adequate item control system in place</w:t>
      </w:r>
      <w:r w:rsidR="001758CF">
        <w:rPr>
          <w:sz w:val="22"/>
          <w:szCs w:val="18"/>
        </w:rPr>
        <w:t xml:space="preserve"> </w:t>
      </w:r>
      <w:r w:rsidR="00143AF2">
        <w:rPr>
          <w:sz w:val="22"/>
          <w:szCs w:val="18"/>
        </w:rPr>
        <w:t>to</w:t>
      </w:r>
      <w:r w:rsidR="001758CF">
        <w:rPr>
          <w:sz w:val="22"/>
          <w:szCs w:val="18"/>
        </w:rPr>
        <w:t xml:space="preserve"> </w:t>
      </w:r>
      <w:r w:rsidR="00143AF2">
        <w:rPr>
          <w:sz w:val="22"/>
          <w:szCs w:val="18"/>
        </w:rPr>
        <w:t xml:space="preserve">enhance their </w:t>
      </w:r>
      <w:r w:rsidR="00F01386">
        <w:rPr>
          <w:sz w:val="22"/>
          <w:szCs w:val="18"/>
        </w:rPr>
        <w:t xml:space="preserve">capabilities for </w:t>
      </w:r>
      <w:r w:rsidR="00143AF2">
        <w:rPr>
          <w:sz w:val="22"/>
          <w:szCs w:val="18"/>
        </w:rPr>
        <w:t xml:space="preserve">security and safeguards </w:t>
      </w:r>
      <w:r w:rsidR="0031470C">
        <w:rPr>
          <w:sz w:val="22"/>
          <w:szCs w:val="18"/>
        </w:rPr>
        <w:t>as indicated</w:t>
      </w:r>
      <w:r w:rsidR="001758CF">
        <w:rPr>
          <w:sz w:val="22"/>
          <w:szCs w:val="18"/>
        </w:rPr>
        <w:t xml:space="preserve"> in the previous paragraph</w:t>
      </w:r>
      <w:r>
        <w:rPr>
          <w:sz w:val="22"/>
          <w:szCs w:val="18"/>
        </w:rPr>
        <w:t>, and therefore no benefit is assumed</w:t>
      </w:r>
      <w:r w:rsidR="00151FA9">
        <w:rPr>
          <w:sz w:val="22"/>
          <w:szCs w:val="18"/>
        </w:rPr>
        <w:t xml:space="preserve"> for the licensees</w:t>
      </w:r>
      <w:r>
        <w:rPr>
          <w:sz w:val="22"/>
          <w:szCs w:val="18"/>
        </w:rPr>
        <w:t>.  Benefit is assumed however for the 63 stand-alone</w:t>
      </w:r>
      <w:r w:rsidR="00B81F18">
        <w:rPr>
          <w:sz w:val="22"/>
          <w:szCs w:val="18"/>
        </w:rPr>
        <w:t xml:space="preserve"> </w:t>
      </w:r>
      <w:r w:rsidR="00943D40" w:rsidRPr="00943D40">
        <w:rPr>
          <w:sz w:val="22"/>
          <w:szCs w:val="18"/>
        </w:rPr>
        <w:t xml:space="preserve">ISFSI </w:t>
      </w:r>
      <w:r w:rsidR="00C0265F" w:rsidRPr="00943D40">
        <w:rPr>
          <w:sz w:val="22"/>
          <w:szCs w:val="18"/>
        </w:rPr>
        <w:t>licensees</w:t>
      </w:r>
      <w:r w:rsidR="00B81F18">
        <w:rPr>
          <w:sz w:val="22"/>
          <w:szCs w:val="18"/>
        </w:rPr>
        <w:t xml:space="preserve"> under 10 CFR </w:t>
      </w:r>
      <w:proofErr w:type="gramStart"/>
      <w:r w:rsidR="00B81F18">
        <w:rPr>
          <w:sz w:val="22"/>
          <w:szCs w:val="18"/>
        </w:rPr>
        <w:t>part</w:t>
      </w:r>
      <w:proofErr w:type="gramEnd"/>
      <w:r w:rsidR="00B81F18">
        <w:rPr>
          <w:sz w:val="22"/>
          <w:szCs w:val="18"/>
        </w:rPr>
        <w:t xml:space="preserve"> 72</w:t>
      </w:r>
      <w:r w:rsidR="00943D40" w:rsidRPr="00943D40">
        <w:rPr>
          <w:sz w:val="22"/>
          <w:szCs w:val="18"/>
        </w:rPr>
        <w:t xml:space="preserve"> </w:t>
      </w:r>
      <w:r>
        <w:rPr>
          <w:sz w:val="22"/>
          <w:szCs w:val="18"/>
        </w:rPr>
        <w:t xml:space="preserve">that </w:t>
      </w:r>
      <w:r w:rsidR="00943D40" w:rsidRPr="00943D40">
        <w:rPr>
          <w:sz w:val="22"/>
          <w:szCs w:val="18"/>
        </w:rPr>
        <w:t xml:space="preserve">would be required to periodically collect and verify the MC&amp;A information recorded </w:t>
      </w:r>
      <w:r w:rsidR="00B81F18">
        <w:rPr>
          <w:sz w:val="22"/>
          <w:szCs w:val="18"/>
        </w:rPr>
        <w:t>for the installation</w:t>
      </w:r>
      <w:r w:rsidR="00943D40" w:rsidRPr="00943D40">
        <w:rPr>
          <w:sz w:val="22"/>
          <w:szCs w:val="18"/>
        </w:rPr>
        <w:t xml:space="preserve">.  </w:t>
      </w:r>
    </w:p>
    <w:p w:rsidR="00943D40" w:rsidRDefault="00943D40" w:rsidP="00C54E27">
      <w:pPr>
        <w:rPr>
          <w:sz w:val="22"/>
          <w:szCs w:val="18"/>
        </w:rPr>
      </w:pPr>
    </w:p>
    <w:p w:rsidR="00943D40" w:rsidRDefault="00943D40" w:rsidP="00C54E27">
      <w:pPr>
        <w:rPr>
          <w:sz w:val="22"/>
          <w:szCs w:val="18"/>
        </w:rPr>
      </w:pPr>
      <w:r>
        <w:rPr>
          <w:sz w:val="22"/>
          <w:szCs w:val="18"/>
        </w:rPr>
        <w:t>With regard to removing existing item control exemptions, t</w:t>
      </w:r>
      <w:r w:rsidRPr="00ED4BB1">
        <w:rPr>
          <w:sz w:val="22"/>
          <w:szCs w:val="22"/>
        </w:rPr>
        <w:t>he MC&amp;A component of the larger safeguards program helps ensure that SNM within a fuel cycle facility is not stolen or otherwise diverted from the facility and promotes the NRC’s strategic goal of maintaining adequate protection over the use and management of radioactive materials.</w:t>
      </w:r>
      <w:r>
        <w:rPr>
          <w:sz w:val="22"/>
          <w:szCs w:val="22"/>
        </w:rPr>
        <w:t xml:space="preserve">  </w:t>
      </w:r>
      <w:r w:rsidRPr="00943D40">
        <w:rPr>
          <w:sz w:val="22"/>
          <w:szCs w:val="18"/>
        </w:rPr>
        <w:t xml:space="preserve">Removing some of the currently allowed exemptions for item control for Category III licensees would require these licensees to collect and maintain additional MC&amp;A information on these types of items and verify the information periodically.  </w:t>
      </w:r>
    </w:p>
    <w:p w:rsidR="00943D40" w:rsidRDefault="00943D40" w:rsidP="00C54E27">
      <w:pPr>
        <w:rPr>
          <w:sz w:val="22"/>
          <w:szCs w:val="18"/>
        </w:rPr>
      </w:pPr>
    </w:p>
    <w:p w:rsidR="00C54E27" w:rsidRDefault="00C54E27" w:rsidP="0048470A">
      <w:pPr>
        <w:rPr>
          <w:rFonts w:cs="Arial"/>
          <w:sz w:val="22"/>
          <w:szCs w:val="22"/>
        </w:rPr>
      </w:pPr>
    </w:p>
    <w:p w:rsidR="00C1459C" w:rsidRPr="009B5E75" w:rsidRDefault="007056B5" w:rsidP="000C6D34">
      <w:pPr>
        <w:jc w:val="center"/>
        <w:rPr>
          <w:rFonts w:cs="Arial"/>
          <w:sz w:val="22"/>
          <w:szCs w:val="22"/>
        </w:rPr>
      </w:pPr>
      <w:r>
        <w:rPr>
          <w:rFonts w:cs="Arial"/>
          <w:sz w:val="22"/>
          <w:szCs w:val="22"/>
        </w:rPr>
        <w:br w:type="page"/>
      </w:r>
      <w:r w:rsidR="00C1459C" w:rsidRPr="009B5E75">
        <w:rPr>
          <w:rFonts w:cs="Arial"/>
          <w:b/>
          <w:bCs/>
          <w:sz w:val="22"/>
          <w:szCs w:val="22"/>
        </w:rPr>
        <w:lastRenderedPageBreak/>
        <w:t>Exhibit 3-1</w:t>
      </w:r>
    </w:p>
    <w:p w:rsidR="001B25DF" w:rsidRDefault="00C1459C" w:rsidP="00C1459C">
      <w:pPr>
        <w:numPr>
          <w:ilvl w:val="12"/>
          <w:numId w:val="0"/>
        </w:numPr>
        <w:jc w:val="center"/>
        <w:rPr>
          <w:rFonts w:cs="Arial"/>
          <w:b/>
          <w:bCs/>
          <w:sz w:val="22"/>
          <w:szCs w:val="22"/>
        </w:rPr>
      </w:pPr>
      <w:r w:rsidRPr="009B5E75">
        <w:rPr>
          <w:rFonts w:cs="Arial"/>
          <w:b/>
          <w:bCs/>
          <w:sz w:val="22"/>
          <w:szCs w:val="22"/>
        </w:rPr>
        <w:t>Quantitative Results</w:t>
      </w:r>
    </w:p>
    <w:p w:rsidR="00C1459C" w:rsidRDefault="00C1459C" w:rsidP="009E5549">
      <w:pPr>
        <w:numPr>
          <w:ilvl w:val="12"/>
          <w:numId w:val="0"/>
        </w:numPr>
        <w:jc w:val="center"/>
        <w:rPr>
          <w:rFonts w:cs="Arial"/>
          <w:b/>
          <w:bCs/>
          <w:sz w:val="22"/>
          <w:szCs w:val="22"/>
        </w:rPr>
      </w:pPr>
      <w:r w:rsidRPr="009B5E75">
        <w:rPr>
          <w:rFonts w:cs="Arial"/>
          <w:b/>
          <w:bCs/>
          <w:sz w:val="22"/>
          <w:szCs w:val="22"/>
        </w:rPr>
        <w:t xml:space="preserve">Total Present Value </w:t>
      </w:r>
      <w:r w:rsidR="001F5F57" w:rsidRPr="009B5E75">
        <w:rPr>
          <w:rFonts w:cs="Arial"/>
          <w:b/>
          <w:bCs/>
          <w:sz w:val="22"/>
          <w:szCs w:val="22"/>
        </w:rPr>
        <w:t xml:space="preserve">for </w:t>
      </w:r>
      <w:r w:rsidR="006F12E1">
        <w:rPr>
          <w:rFonts w:cs="Arial"/>
          <w:b/>
          <w:bCs/>
          <w:sz w:val="22"/>
          <w:szCs w:val="22"/>
        </w:rPr>
        <w:t xml:space="preserve">the </w:t>
      </w:r>
      <w:r w:rsidR="0041405C">
        <w:rPr>
          <w:rFonts w:cs="Arial"/>
          <w:b/>
          <w:bCs/>
          <w:sz w:val="22"/>
          <w:szCs w:val="22"/>
        </w:rPr>
        <w:t>C</w:t>
      </w:r>
      <w:r w:rsidR="001F5F57" w:rsidRPr="009B5E75">
        <w:rPr>
          <w:rFonts w:cs="Arial"/>
          <w:b/>
          <w:bCs/>
          <w:sz w:val="22"/>
          <w:szCs w:val="22"/>
        </w:rPr>
        <w:t xml:space="preserve">ost </w:t>
      </w:r>
      <w:r w:rsidR="001F17A3">
        <w:rPr>
          <w:rFonts w:cs="Arial"/>
          <w:b/>
          <w:bCs/>
          <w:sz w:val="22"/>
          <w:szCs w:val="22"/>
        </w:rPr>
        <w:t>of Option 2A</w:t>
      </w:r>
    </w:p>
    <w:p w:rsidR="00756DB4" w:rsidRPr="00DE4F32" w:rsidRDefault="0080575D" w:rsidP="009E5549">
      <w:pPr>
        <w:numPr>
          <w:ilvl w:val="12"/>
          <w:numId w:val="0"/>
        </w:numPr>
        <w:jc w:val="center"/>
        <w:rPr>
          <w:rFonts w:cs="Arial"/>
          <w:b/>
          <w:sz w:val="22"/>
          <w:szCs w:val="22"/>
        </w:rPr>
      </w:pPr>
      <w:r>
        <w:rPr>
          <w:rFonts w:cs="Arial"/>
          <w:b/>
          <w:sz w:val="22"/>
          <w:szCs w:val="22"/>
        </w:rPr>
        <w:t xml:space="preserve">With </w:t>
      </w:r>
      <w:r w:rsidR="00756DB4">
        <w:rPr>
          <w:rFonts w:cs="Arial"/>
          <w:b/>
          <w:sz w:val="22"/>
          <w:szCs w:val="22"/>
        </w:rPr>
        <w:t xml:space="preserve">Full </w:t>
      </w:r>
      <w:r w:rsidR="00B202B1">
        <w:rPr>
          <w:rFonts w:cs="Arial"/>
          <w:b/>
          <w:sz w:val="22"/>
          <w:szCs w:val="22"/>
        </w:rPr>
        <w:t>C</w:t>
      </w:r>
      <w:r w:rsidR="00756DB4">
        <w:rPr>
          <w:rFonts w:cs="Arial"/>
          <w:b/>
          <w:sz w:val="22"/>
          <w:szCs w:val="22"/>
        </w:rPr>
        <w:t xml:space="preserve">redit </w:t>
      </w:r>
      <w:r w:rsidR="00B202B1">
        <w:rPr>
          <w:rFonts w:cs="Arial"/>
          <w:b/>
          <w:sz w:val="22"/>
          <w:szCs w:val="22"/>
        </w:rPr>
        <w:t>G</w:t>
      </w:r>
      <w:r w:rsidR="00756DB4">
        <w:rPr>
          <w:rFonts w:cs="Arial"/>
          <w:b/>
          <w:sz w:val="22"/>
          <w:szCs w:val="22"/>
        </w:rPr>
        <w:t>iven</w:t>
      </w:r>
      <w:r>
        <w:rPr>
          <w:rFonts w:cs="Arial"/>
          <w:b/>
          <w:sz w:val="22"/>
          <w:szCs w:val="22"/>
        </w:rPr>
        <w:t xml:space="preserve"> for Current Industry Actions</w:t>
      </w:r>
      <w:r w:rsidR="00756DB4">
        <w:rPr>
          <w:rFonts w:cs="Arial"/>
          <w:b/>
          <w:sz w:val="22"/>
          <w:szCs w:val="22"/>
        </w:rPr>
        <w:t xml:space="preserve">  </w:t>
      </w:r>
    </w:p>
    <w:tbl>
      <w:tblPr>
        <w:tblW w:w="8480" w:type="dxa"/>
        <w:tblInd w:w="103" w:type="dxa"/>
        <w:tblLook w:val="04A0" w:firstRow="1" w:lastRow="0" w:firstColumn="1" w:lastColumn="0" w:noHBand="0" w:noVBand="1"/>
      </w:tblPr>
      <w:tblGrid>
        <w:gridCol w:w="1740"/>
        <w:gridCol w:w="1600"/>
        <w:gridCol w:w="1300"/>
        <w:gridCol w:w="1940"/>
        <w:gridCol w:w="1900"/>
      </w:tblGrid>
      <w:tr w:rsidR="008F4F05" w:rsidRPr="008F4F05" w:rsidTr="008F4F05">
        <w:trPr>
          <w:trHeight w:val="159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F05" w:rsidRPr="007405A8" w:rsidRDefault="008F4F05" w:rsidP="008F4F05">
            <w:pPr>
              <w:autoSpaceDE/>
              <w:autoSpaceDN/>
              <w:adjustRightInd/>
              <w:jc w:val="center"/>
              <w:rPr>
                <w:rFonts w:cs="Arial"/>
                <w:color w:val="000000"/>
              </w:rPr>
            </w:pPr>
            <w:r w:rsidRPr="007405A8">
              <w:rPr>
                <w:rFonts w:cs="Arial"/>
                <w:color w:val="000000"/>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F4F05" w:rsidRPr="007405A8" w:rsidRDefault="008F4F05" w:rsidP="00F90BF6">
            <w:pPr>
              <w:autoSpaceDE/>
              <w:autoSpaceDN/>
              <w:adjustRightInd/>
              <w:jc w:val="center"/>
              <w:rPr>
                <w:rFonts w:cs="Arial"/>
                <w:color w:val="000000"/>
                <w:sz w:val="18"/>
                <w:szCs w:val="18"/>
              </w:rPr>
            </w:pPr>
            <w:r w:rsidRPr="007405A8">
              <w:rPr>
                <w:rFonts w:cs="Arial"/>
                <w:color w:val="000000"/>
                <w:sz w:val="18"/>
                <w:szCs w:val="18"/>
              </w:rPr>
              <w:t>One-</w:t>
            </w:r>
            <w:r w:rsidR="00F90BF6">
              <w:rPr>
                <w:rFonts w:cs="Arial"/>
                <w:color w:val="000000"/>
                <w:sz w:val="18"/>
                <w:szCs w:val="18"/>
              </w:rPr>
              <w:t>T</w:t>
            </w:r>
            <w:r w:rsidR="00F90BF6" w:rsidRPr="007405A8">
              <w:rPr>
                <w:rFonts w:cs="Arial"/>
                <w:color w:val="000000"/>
                <w:sz w:val="18"/>
                <w:szCs w:val="18"/>
              </w:rPr>
              <w:t xml:space="preserve">ime </w:t>
            </w:r>
            <w:r w:rsidRPr="007405A8">
              <w:rPr>
                <w:rFonts w:cs="Arial"/>
                <w:color w:val="000000"/>
                <w:sz w:val="18"/>
                <w:szCs w:val="18"/>
              </w:rPr>
              <w:t>Implementation Costs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F4F05" w:rsidRPr="007405A8" w:rsidRDefault="008F4F05" w:rsidP="008F4F05">
            <w:pPr>
              <w:autoSpaceDE/>
              <w:autoSpaceDN/>
              <w:adjustRightInd/>
              <w:jc w:val="center"/>
              <w:rPr>
                <w:rFonts w:cs="Arial"/>
                <w:color w:val="000000"/>
                <w:sz w:val="18"/>
                <w:szCs w:val="18"/>
              </w:rPr>
            </w:pPr>
            <w:r w:rsidRPr="007405A8">
              <w:rPr>
                <w:rFonts w:cs="Arial"/>
                <w:color w:val="000000"/>
                <w:sz w:val="18"/>
                <w:szCs w:val="18"/>
              </w:rPr>
              <w:t>Annual Operating Costs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8F4F05" w:rsidRPr="007405A8" w:rsidRDefault="008F4F05" w:rsidP="00F90BF6">
            <w:pPr>
              <w:autoSpaceDE/>
              <w:autoSpaceDN/>
              <w:adjustRightInd/>
              <w:jc w:val="center"/>
              <w:rPr>
                <w:rFonts w:cs="Arial"/>
                <w:color w:val="000000"/>
                <w:sz w:val="18"/>
                <w:szCs w:val="18"/>
              </w:rPr>
            </w:pPr>
            <w:r w:rsidRPr="007405A8">
              <w:rPr>
                <w:rFonts w:cs="Arial"/>
                <w:color w:val="000000"/>
                <w:sz w:val="18"/>
                <w:szCs w:val="18"/>
              </w:rPr>
              <w:t xml:space="preserve">Total </w:t>
            </w:r>
            <w:r w:rsidR="00F90BF6">
              <w:rPr>
                <w:rFonts w:cs="Arial"/>
                <w:color w:val="000000"/>
                <w:sz w:val="18"/>
                <w:szCs w:val="18"/>
              </w:rPr>
              <w:t>C</w:t>
            </w:r>
            <w:r w:rsidR="00F90BF6" w:rsidRPr="007405A8">
              <w:rPr>
                <w:rFonts w:cs="Arial"/>
                <w:color w:val="000000"/>
                <w:sz w:val="18"/>
                <w:szCs w:val="18"/>
              </w:rPr>
              <w:t xml:space="preserve">ombined </w:t>
            </w:r>
            <w:r w:rsidRPr="007405A8">
              <w:rPr>
                <w:rFonts w:cs="Arial"/>
                <w:color w:val="000000"/>
                <w:sz w:val="18"/>
                <w:szCs w:val="18"/>
              </w:rPr>
              <w:t>Implementation and Annual Cost for 10-</w:t>
            </w:r>
            <w:r w:rsidR="00F90BF6">
              <w:rPr>
                <w:rFonts w:cs="Arial"/>
                <w:color w:val="000000"/>
                <w:sz w:val="18"/>
                <w:szCs w:val="18"/>
              </w:rPr>
              <w:t>Y</w:t>
            </w:r>
            <w:r w:rsidR="00F90BF6" w:rsidRPr="007405A8">
              <w:rPr>
                <w:rFonts w:cs="Arial"/>
                <w:color w:val="000000"/>
                <w:sz w:val="18"/>
                <w:szCs w:val="18"/>
              </w:rPr>
              <w:t xml:space="preserve">ear </w:t>
            </w:r>
            <w:r w:rsidR="00F90BF6">
              <w:rPr>
                <w:rFonts w:cs="Arial"/>
                <w:color w:val="000000"/>
                <w:sz w:val="18"/>
                <w:szCs w:val="18"/>
              </w:rPr>
              <w:t>P</w:t>
            </w:r>
            <w:r w:rsidR="00F90BF6" w:rsidRPr="007405A8">
              <w:rPr>
                <w:rFonts w:cs="Arial"/>
                <w:color w:val="000000"/>
                <w:sz w:val="18"/>
                <w:szCs w:val="18"/>
              </w:rPr>
              <w:t xml:space="preserve">eriod </w:t>
            </w:r>
            <w:r w:rsidRPr="007405A8">
              <w:rPr>
                <w:rFonts w:cs="Arial"/>
                <w:color w:val="000000"/>
                <w:sz w:val="18"/>
                <w:szCs w:val="18"/>
              </w:rPr>
              <w:t xml:space="preserve">at 3% </w:t>
            </w:r>
            <w:r w:rsidR="00F90BF6">
              <w:rPr>
                <w:rFonts w:cs="Arial"/>
                <w:color w:val="000000"/>
                <w:sz w:val="18"/>
                <w:szCs w:val="18"/>
              </w:rPr>
              <w:t>D</w:t>
            </w:r>
            <w:r w:rsidR="00F90BF6" w:rsidRPr="007405A8">
              <w:rPr>
                <w:rFonts w:cs="Arial"/>
                <w:color w:val="000000"/>
                <w:sz w:val="18"/>
                <w:szCs w:val="18"/>
              </w:rPr>
              <w:t xml:space="preserve">iscount </w:t>
            </w:r>
            <w:r w:rsidR="00F90BF6">
              <w:rPr>
                <w:rFonts w:cs="Arial"/>
                <w:color w:val="000000"/>
                <w:sz w:val="18"/>
                <w:szCs w:val="18"/>
              </w:rPr>
              <w:t>R</w:t>
            </w:r>
            <w:r w:rsidR="00F90BF6" w:rsidRPr="007405A8">
              <w:rPr>
                <w:rFonts w:cs="Arial"/>
                <w:color w:val="000000"/>
                <w:sz w:val="18"/>
                <w:szCs w:val="18"/>
              </w:rPr>
              <w:t>ate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8F4F05" w:rsidRPr="007405A8" w:rsidRDefault="008F4F05" w:rsidP="00F90BF6">
            <w:pPr>
              <w:autoSpaceDE/>
              <w:autoSpaceDN/>
              <w:adjustRightInd/>
              <w:jc w:val="center"/>
              <w:rPr>
                <w:rFonts w:cs="Arial"/>
                <w:color w:val="000000"/>
                <w:sz w:val="18"/>
                <w:szCs w:val="18"/>
              </w:rPr>
            </w:pPr>
            <w:r w:rsidRPr="007405A8">
              <w:rPr>
                <w:rFonts w:cs="Arial"/>
                <w:color w:val="000000"/>
                <w:sz w:val="18"/>
                <w:szCs w:val="18"/>
              </w:rPr>
              <w:t xml:space="preserve">Total </w:t>
            </w:r>
            <w:r w:rsidR="00F90BF6">
              <w:rPr>
                <w:rFonts w:cs="Arial"/>
                <w:color w:val="000000"/>
                <w:sz w:val="18"/>
                <w:szCs w:val="18"/>
              </w:rPr>
              <w:t>C</w:t>
            </w:r>
            <w:r w:rsidR="00F90BF6" w:rsidRPr="007405A8">
              <w:rPr>
                <w:rFonts w:cs="Arial"/>
                <w:color w:val="000000"/>
                <w:sz w:val="18"/>
                <w:szCs w:val="18"/>
              </w:rPr>
              <w:t xml:space="preserve">ombined </w:t>
            </w:r>
            <w:r w:rsidRPr="007405A8">
              <w:rPr>
                <w:rFonts w:cs="Arial"/>
                <w:color w:val="000000"/>
                <w:sz w:val="18"/>
                <w:szCs w:val="18"/>
              </w:rPr>
              <w:t>Implementation and Annual Cost for 10-</w:t>
            </w:r>
            <w:r w:rsidR="00F90BF6">
              <w:rPr>
                <w:rFonts w:cs="Arial"/>
                <w:color w:val="000000"/>
                <w:sz w:val="18"/>
                <w:szCs w:val="18"/>
              </w:rPr>
              <w:t>Y</w:t>
            </w:r>
            <w:r w:rsidR="00F90BF6" w:rsidRPr="007405A8">
              <w:rPr>
                <w:rFonts w:cs="Arial"/>
                <w:color w:val="000000"/>
                <w:sz w:val="18"/>
                <w:szCs w:val="18"/>
              </w:rPr>
              <w:t xml:space="preserve">ear </w:t>
            </w:r>
            <w:r w:rsidR="00F90BF6">
              <w:rPr>
                <w:rFonts w:cs="Arial"/>
                <w:color w:val="000000"/>
                <w:sz w:val="18"/>
                <w:szCs w:val="18"/>
              </w:rPr>
              <w:t>P</w:t>
            </w:r>
            <w:r w:rsidR="00F90BF6" w:rsidRPr="007405A8">
              <w:rPr>
                <w:rFonts w:cs="Arial"/>
                <w:color w:val="000000"/>
                <w:sz w:val="18"/>
                <w:szCs w:val="18"/>
              </w:rPr>
              <w:t xml:space="preserve">eriod </w:t>
            </w:r>
            <w:r w:rsidRPr="007405A8">
              <w:rPr>
                <w:rFonts w:cs="Arial"/>
                <w:color w:val="000000"/>
                <w:sz w:val="18"/>
                <w:szCs w:val="18"/>
              </w:rPr>
              <w:t xml:space="preserve">at 7% </w:t>
            </w:r>
            <w:r w:rsidR="00F90BF6">
              <w:rPr>
                <w:rFonts w:cs="Arial"/>
                <w:color w:val="000000"/>
                <w:sz w:val="18"/>
                <w:szCs w:val="18"/>
              </w:rPr>
              <w:t>D</w:t>
            </w:r>
            <w:r w:rsidR="00F90BF6" w:rsidRPr="007405A8">
              <w:rPr>
                <w:rFonts w:cs="Arial"/>
                <w:color w:val="000000"/>
                <w:sz w:val="18"/>
                <w:szCs w:val="18"/>
              </w:rPr>
              <w:t xml:space="preserve">iscount </w:t>
            </w:r>
            <w:r w:rsidR="00F90BF6">
              <w:rPr>
                <w:rFonts w:cs="Arial"/>
                <w:color w:val="000000"/>
                <w:sz w:val="18"/>
                <w:szCs w:val="18"/>
              </w:rPr>
              <w:t>R</w:t>
            </w:r>
            <w:r w:rsidR="00F90BF6" w:rsidRPr="007405A8">
              <w:rPr>
                <w:rFonts w:cs="Arial"/>
                <w:color w:val="000000"/>
                <w:sz w:val="18"/>
                <w:szCs w:val="18"/>
              </w:rPr>
              <w:t>ate</w:t>
            </w:r>
          </w:p>
        </w:tc>
      </w:tr>
      <w:tr w:rsidR="008F4F05" w:rsidRPr="008F4F05" w:rsidTr="008F4F05">
        <w:trPr>
          <w:trHeight w:val="499"/>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8F4F05" w:rsidRPr="007405A8" w:rsidRDefault="008F4F05" w:rsidP="008F4F05">
            <w:pPr>
              <w:autoSpaceDE/>
              <w:autoSpaceDN/>
              <w:adjustRightInd/>
              <w:jc w:val="center"/>
              <w:rPr>
                <w:rFonts w:cs="Arial"/>
                <w:color w:val="000000"/>
                <w:sz w:val="18"/>
                <w:szCs w:val="18"/>
              </w:rPr>
            </w:pPr>
            <w:r w:rsidRPr="007405A8">
              <w:rPr>
                <w:rFonts w:cs="Arial"/>
                <w:color w:val="000000"/>
                <w:sz w:val="18"/>
                <w:szCs w:val="18"/>
              </w:rPr>
              <w:t>Industry Costs</w:t>
            </w:r>
          </w:p>
        </w:tc>
        <w:tc>
          <w:tcPr>
            <w:tcW w:w="160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7241DB">
            <w:pPr>
              <w:autoSpaceDE/>
              <w:autoSpaceDN/>
              <w:adjustRightInd/>
              <w:jc w:val="center"/>
              <w:rPr>
                <w:rFonts w:cs="Arial"/>
                <w:color w:val="000000"/>
                <w:sz w:val="18"/>
                <w:szCs w:val="18"/>
              </w:rPr>
            </w:pPr>
            <w:r w:rsidRPr="007405A8">
              <w:rPr>
                <w:rFonts w:cs="Arial"/>
                <w:color w:val="000000"/>
                <w:sz w:val="18"/>
                <w:szCs w:val="18"/>
              </w:rPr>
              <w:t>$</w:t>
            </w:r>
            <w:r w:rsidR="00BE206C">
              <w:rPr>
                <w:rFonts w:cs="Arial"/>
                <w:color w:val="000000"/>
                <w:sz w:val="18"/>
                <w:szCs w:val="18"/>
              </w:rPr>
              <w:t>169,458</w:t>
            </w:r>
          </w:p>
        </w:tc>
        <w:tc>
          <w:tcPr>
            <w:tcW w:w="130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16552B">
            <w:pPr>
              <w:autoSpaceDE/>
              <w:autoSpaceDN/>
              <w:adjustRightInd/>
              <w:jc w:val="center"/>
              <w:rPr>
                <w:rFonts w:cs="Arial"/>
                <w:color w:val="000000"/>
                <w:sz w:val="18"/>
                <w:szCs w:val="18"/>
              </w:rPr>
            </w:pPr>
            <w:r w:rsidRPr="007405A8">
              <w:rPr>
                <w:rFonts w:cs="Arial"/>
                <w:color w:val="000000"/>
                <w:sz w:val="18"/>
                <w:szCs w:val="18"/>
              </w:rPr>
              <w:t>$</w:t>
            </w:r>
            <w:r w:rsidR="0062002A">
              <w:rPr>
                <w:rFonts w:cs="Arial"/>
                <w:color w:val="000000"/>
                <w:sz w:val="18"/>
                <w:szCs w:val="18"/>
              </w:rPr>
              <w:t>72,395</w:t>
            </w:r>
          </w:p>
        </w:tc>
        <w:tc>
          <w:tcPr>
            <w:tcW w:w="194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7241DB">
            <w:pPr>
              <w:autoSpaceDE/>
              <w:autoSpaceDN/>
              <w:adjustRightInd/>
              <w:jc w:val="center"/>
              <w:rPr>
                <w:rFonts w:cs="Arial"/>
                <w:color w:val="000000"/>
                <w:sz w:val="18"/>
                <w:szCs w:val="18"/>
              </w:rPr>
            </w:pPr>
            <w:r w:rsidRPr="007405A8">
              <w:rPr>
                <w:rFonts w:cs="Arial"/>
                <w:color w:val="000000"/>
                <w:sz w:val="18"/>
                <w:szCs w:val="18"/>
              </w:rPr>
              <w:t>$</w:t>
            </w:r>
            <w:r w:rsidR="00BE206C">
              <w:rPr>
                <w:rFonts w:cs="Arial"/>
                <w:color w:val="000000"/>
                <w:sz w:val="18"/>
                <w:szCs w:val="18"/>
              </w:rPr>
              <w:t>787,000</w:t>
            </w:r>
          </w:p>
        </w:tc>
        <w:tc>
          <w:tcPr>
            <w:tcW w:w="190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7241DB">
            <w:pPr>
              <w:autoSpaceDE/>
              <w:autoSpaceDN/>
              <w:adjustRightInd/>
              <w:jc w:val="center"/>
              <w:rPr>
                <w:rFonts w:cs="Arial"/>
                <w:color w:val="000000"/>
                <w:sz w:val="18"/>
                <w:szCs w:val="18"/>
              </w:rPr>
            </w:pPr>
            <w:r w:rsidRPr="007405A8">
              <w:rPr>
                <w:rFonts w:cs="Arial"/>
                <w:color w:val="000000"/>
                <w:sz w:val="18"/>
                <w:szCs w:val="18"/>
              </w:rPr>
              <w:t>$</w:t>
            </w:r>
            <w:r w:rsidR="00BE206C">
              <w:rPr>
                <w:rFonts w:cs="Arial"/>
                <w:color w:val="000000"/>
                <w:sz w:val="18"/>
                <w:szCs w:val="18"/>
              </w:rPr>
              <w:t>677,929</w:t>
            </w:r>
          </w:p>
        </w:tc>
      </w:tr>
      <w:tr w:rsidR="008F4F05" w:rsidRPr="008F4F05" w:rsidTr="008F4F05">
        <w:trPr>
          <w:trHeight w:val="499"/>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8F4F05" w:rsidRPr="007405A8" w:rsidRDefault="008F4F05" w:rsidP="008F4F05">
            <w:pPr>
              <w:autoSpaceDE/>
              <w:autoSpaceDN/>
              <w:adjustRightInd/>
              <w:jc w:val="center"/>
              <w:rPr>
                <w:rFonts w:cs="Arial"/>
                <w:color w:val="000000"/>
                <w:sz w:val="18"/>
                <w:szCs w:val="18"/>
              </w:rPr>
            </w:pPr>
            <w:r w:rsidRPr="007405A8">
              <w:rPr>
                <w:rFonts w:cs="Arial"/>
                <w:color w:val="000000"/>
                <w:sz w:val="18"/>
                <w:szCs w:val="18"/>
              </w:rPr>
              <w:t>NRC Costs</w:t>
            </w:r>
          </w:p>
        </w:tc>
        <w:tc>
          <w:tcPr>
            <w:tcW w:w="160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8F4F05">
            <w:pPr>
              <w:autoSpaceDE/>
              <w:autoSpaceDN/>
              <w:adjustRightInd/>
              <w:jc w:val="center"/>
              <w:rPr>
                <w:rFonts w:cs="Arial"/>
                <w:color w:val="000000"/>
                <w:sz w:val="18"/>
                <w:szCs w:val="18"/>
              </w:rPr>
            </w:pPr>
            <w:r w:rsidRPr="007405A8">
              <w:rPr>
                <w:rFonts w:cs="Arial"/>
                <w:color w:val="000000"/>
                <w:sz w:val="18"/>
                <w:szCs w:val="18"/>
              </w:rPr>
              <w:t>$259,420</w:t>
            </w:r>
          </w:p>
        </w:tc>
        <w:tc>
          <w:tcPr>
            <w:tcW w:w="130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8F4F05">
            <w:pPr>
              <w:autoSpaceDE/>
              <w:autoSpaceDN/>
              <w:adjustRightInd/>
              <w:jc w:val="center"/>
              <w:rPr>
                <w:rFonts w:cs="Arial"/>
                <w:color w:val="000000"/>
                <w:sz w:val="18"/>
                <w:szCs w:val="18"/>
              </w:rPr>
            </w:pPr>
            <w:r w:rsidRPr="007405A8">
              <w:rPr>
                <w:rFonts w:cs="Arial"/>
                <w:color w:val="000000"/>
                <w:sz w:val="18"/>
                <w:szCs w:val="18"/>
              </w:rPr>
              <w:t>$0</w:t>
            </w:r>
          </w:p>
        </w:tc>
        <w:tc>
          <w:tcPr>
            <w:tcW w:w="194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8F4F05">
            <w:pPr>
              <w:autoSpaceDE/>
              <w:autoSpaceDN/>
              <w:adjustRightInd/>
              <w:jc w:val="center"/>
              <w:rPr>
                <w:rFonts w:cs="Arial"/>
                <w:color w:val="000000"/>
                <w:sz w:val="18"/>
                <w:szCs w:val="18"/>
              </w:rPr>
            </w:pPr>
            <w:r w:rsidRPr="007405A8">
              <w:rPr>
                <w:rFonts w:cs="Arial"/>
                <w:color w:val="000000"/>
                <w:sz w:val="18"/>
                <w:szCs w:val="18"/>
              </w:rPr>
              <w:t>$259,420</w:t>
            </w:r>
          </w:p>
        </w:tc>
        <w:tc>
          <w:tcPr>
            <w:tcW w:w="190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8F4F05">
            <w:pPr>
              <w:autoSpaceDE/>
              <w:autoSpaceDN/>
              <w:adjustRightInd/>
              <w:jc w:val="center"/>
              <w:rPr>
                <w:rFonts w:cs="Arial"/>
                <w:color w:val="000000"/>
                <w:sz w:val="18"/>
                <w:szCs w:val="18"/>
              </w:rPr>
            </w:pPr>
            <w:r w:rsidRPr="007405A8">
              <w:rPr>
                <w:rFonts w:cs="Arial"/>
                <w:color w:val="000000"/>
                <w:sz w:val="18"/>
                <w:szCs w:val="18"/>
              </w:rPr>
              <w:t>$259,420</w:t>
            </w:r>
          </w:p>
        </w:tc>
      </w:tr>
      <w:tr w:rsidR="008F4F05" w:rsidRPr="008F4F05" w:rsidTr="008F4F05">
        <w:trPr>
          <w:trHeight w:val="499"/>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8F4F05" w:rsidRPr="007405A8" w:rsidRDefault="008F4F05" w:rsidP="008F4F05">
            <w:pPr>
              <w:autoSpaceDE/>
              <w:autoSpaceDN/>
              <w:adjustRightInd/>
              <w:jc w:val="center"/>
              <w:rPr>
                <w:rFonts w:cs="Arial"/>
                <w:color w:val="000000"/>
                <w:sz w:val="18"/>
                <w:szCs w:val="18"/>
              </w:rPr>
            </w:pPr>
            <w:r w:rsidRPr="007405A8">
              <w:rPr>
                <w:rFonts w:cs="Arial"/>
                <w:color w:val="000000"/>
                <w:sz w:val="18"/>
                <w:szCs w:val="18"/>
              </w:rPr>
              <w:t>Total</w:t>
            </w:r>
          </w:p>
        </w:tc>
        <w:tc>
          <w:tcPr>
            <w:tcW w:w="160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16552B">
            <w:pPr>
              <w:autoSpaceDE/>
              <w:autoSpaceDN/>
              <w:adjustRightInd/>
              <w:jc w:val="center"/>
              <w:rPr>
                <w:rFonts w:cs="Arial"/>
                <w:color w:val="000000"/>
                <w:sz w:val="18"/>
                <w:szCs w:val="18"/>
              </w:rPr>
            </w:pPr>
            <w:r w:rsidRPr="007405A8">
              <w:rPr>
                <w:rFonts w:cs="Arial"/>
                <w:color w:val="000000"/>
                <w:sz w:val="18"/>
                <w:szCs w:val="18"/>
              </w:rPr>
              <w:t>$</w:t>
            </w:r>
            <w:r w:rsidR="00BE206C">
              <w:rPr>
                <w:rFonts w:cs="Arial"/>
                <w:color w:val="000000"/>
                <w:sz w:val="18"/>
                <w:szCs w:val="18"/>
              </w:rPr>
              <w:t>428,878</w:t>
            </w:r>
          </w:p>
        </w:tc>
        <w:tc>
          <w:tcPr>
            <w:tcW w:w="130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16552B">
            <w:pPr>
              <w:autoSpaceDE/>
              <w:autoSpaceDN/>
              <w:adjustRightInd/>
              <w:jc w:val="center"/>
              <w:rPr>
                <w:rFonts w:cs="Arial"/>
                <w:color w:val="000000"/>
                <w:sz w:val="18"/>
                <w:szCs w:val="18"/>
              </w:rPr>
            </w:pPr>
            <w:r w:rsidRPr="007405A8">
              <w:rPr>
                <w:rFonts w:cs="Arial"/>
                <w:color w:val="000000"/>
                <w:sz w:val="18"/>
                <w:szCs w:val="18"/>
              </w:rPr>
              <w:t>$</w:t>
            </w:r>
            <w:r w:rsidR="0062002A">
              <w:rPr>
                <w:rFonts w:cs="Arial"/>
                <w:color w:val="000000"/>
                <w:sz w:val="18"/>
                <w:szCs w:val="18"/>
              </w:rPr>
              <w:t>72,395</w:t>
            </w:r>
          </w:p>
        </w:tc>
        <w:tc>
          <w:tcPr>
            <w:tcW w:w="194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7241DB">
            <w:pPr>
              <w:autoSpaceDE/>
              <w:autoSpaceDN/>
              <w:adjustRightInd/>
              <w:jc w:val="center"/>
              <w:rPr>
                <w:rFonts w:cs="Arial"/>
                <w:color w:val="000000"/>
                <w:sz w:val="18"/>
                <w:szCs w:val="18"/>
              </w:rPr>
            </w:pPr>
            <w:r w:rsidRPr="007405A8">
              <w:rPr>
                <w:rFonts w:cs="Arial"/>
                <w:color w:val="000000"/>
                <w:sz w:val="18"/>
                <w:szCs w:val="18"/>
              </w:rPr>
              <w:t>$</w:t>
            </w:r>
            <w:r w:rsidR="00BE206C">
              <w:rPr>
                <w:rFonts w:cs="Arial"/>
                <w:color w:val="000000"/>
                <w:sz w:val="18"/>
                <w:szCs w:val="18"/>
              </w:rPr>
              <w:t>1,046,420</w:t>
            </w:r>
          </w:p>
        </w:tc>
        <w:tc>
          <w:tcPr>
            <w:tcW w:w="1900" w:type="dxa"/>
            <w:tcBorders>
              <w:top w:val="nil"/>
              <w:left w:val="nil"/>
              <w:bottom w:val="single" w:sz="4" w:space="0" w:color="auto"/>
              <w:right w:val="single" w:sz="4" w:space="0" w:color="auto"/>
            </w:tcBorders>
            <w:shd w:val="clear" w:color="auto" w:fill="auto"/>
            <w:noWrap/>
            <w:vAlign w:val="center"/>
            <w:hideMark/>
          </w:tcPr>
          <w:p w:rsidR="008F4F05" w:rsidRPr="007405A8" w:rsidRDefault="008F4F05" w:rsidP="007241DB">
            <w:pPr>
              <w:autoSpaceDE/>
              <w:autoSpaceDN/>
              <w:adjustRightInd/>
              <w:jc w:val="center"/>
              <w:rPr>
                <w:rFonts w:cs="Arial"/>
                <w:color w:val="000000"/>
                <w:sz w:val="18"/>
                <w:szCs w:val="18"/>
              </w:rPr>
            </w:pPr>
            <w:r w:rsidRPr="007405A8">
              <w:rPr>
                <w:rFonts w:cs="Arial"/>
                <w:color w:val="000000"/>
                <w:sz w:val="18"/>
                <w:szCs w:val="18"/>
              </w:rPr>
              <w:t>$</w:t>
            </w:r>
            <w:r w:rsidR="00BE206C">
              <w:rPr>
                <w:rFonts w:cs="Arial"/>
                <w:color w:val="000000"/>
                <w:sz w:val="18"/>
                <w:szCs w:val="18"/>
              </w:rPr>
              <w:t>937,349</w:t>
            </w:r>
          </w:p>
        </w:tc>
      </w:tr>
    </w:tbl>
    <w:p w:rsidR="00581D1A" w:rsidRPr="009B5E75" w:rsidRDefault="00581D1A" w:rsidP="00ED0FC8">
      <w:pPr>
        <w:numPr>
          <w:ilvl w:val="12"/>
          <w:numId w:val="0"/>
        </w:numPr>
        <w:rPr>
          <w:rFonts w:cs="Arial"/>
          <w:sz w:val="22"/>
          <w:szCs w:val="22"/>
        </w:rPr>
      </w:pPr>
    </w:p>
    <w:p w:rsidR="00CB1839" w:rsidRDefault="00CB1839" w:rsidP="00355EC5">
      <w:pPr>
        <w:jc w:val="center"/>
        <w:rPr>
          <w:rFonts w:cs="Arial"/>
          <w:b/>
          <w:bCs/>
          <w:sz w:val="22"/>
          <w:szCs w:val="22"/>
        </w:rPr>
      </w:pPr>
    </w:p>
    <w:p w:rsidR="00355EC5" w:rsidRPr="009B5E75" w:rsidRDefault="00355EC5" w:rsidP="00355EC5">
      <w:pPr>
        <w:jc w:val="center"/>
        <w:rPr>
          <w:rFonts w:cs="Arial"/>
          <w:sz w:val="22"/>
          <w:szCs w:val="22"/>
        </w:rPr>
      </w:pPr>
      <w:r w:rsidRPr="009B5E75">
        <w:rPr>
          <w:rFonts w:cs="Arial"/>
          <w:b/>
          <w:bCs/>
          <w:sz w:val="22"/>
          <w:szCs w:val="22"/>
        </w:rPr>
        <w:t>Exhibit 3-</w:t>
      </w:r>
      <w:r>
        <w:rPr>
          <w:rFonts w:cs="Arial"/>
          <w:b/>
          <w:bCs/>
          <w:sz w:val="22"/>
          <w:szCs w:val="22"/>
        </w:rPr>
        <w:t>2</w:t>
      </w:r>
    </w:p>
    <w:p w:rsidR="00355EC5" w:rsidRDefault="00285655" w:rsidP="00355EC5">
      <w:pPr>
        <w:numPr>
          <w:ilvl w:val="12"/>
          <w:numId w:val="0"/>
        </w:numPr>
        <w:jc w:val="center"/>
        <w:rPr>
          <w:rFonts w:cs="Arial"/>
          <w:b/>
          <w:bCs/>
          <w:sz w:val="22"/>
          <w:szCs w:val="22"/>
        </w:rPr>
      </w:pPr>
      <w:r>
        <w:rPr>
          <w:rFonts w:cs="Arial"/>
          <w:b/>
          <w:bCs/>
          <w:sz w:val="22"/>
          <w:szCs w:val="22"/>
        </w:rPr>
        <w:t xml:space="preserve">Detailed </w:t>
      </w:r>
      <w:r w:rsidR="00355EC5" w:rsidRPr="009B5E75">
        <w:rPr>
          <w:rFonts w:cs="Arial"/>
          <w:b/>
          <w:bCs/>
          <w:sz w:val="22"/>
          <w:szCs w:val="22"/>
        </w:rPr>
        <w:t>Quantitative Results</w:t>
      </w:r>
      <w:r w:rsidR="009E5549">
        <w:rPr>
          <w:rFonts w:cs="Arial"/>
          <w:b/>
          <w:bCs/>
          <w:sz w:val="22"/>
          <w:szCs w:val="22"/>
        </w:rPr>
        <w:t>:  Licensee Costs</w:t>
      </w:r>
      <w:r w:rsidR="001F17A3">
        <w:rPr>
          <w:rFonts w:cs="Arial"/>
          <w:b/>
          <w:bCs/>
          <w:sz w:val="22"/>
          <w:szCs w:val="22"/>
        </w:rPr>
        <w:t xml:space="preserve"> of Option 2A</w:t>
      </w:r>
    </w:p>
    <w:p w:rsidR="00FF5522" w:rsidRDefault="0080575D" w:rsidP="00355EC5">
      <w:pPr>
        <w:numPr>
          <w:ilvl w:val="12"/>
          <w:numId w:val="0"/>
        </w:numPr>
        <w:jc w:val="center"/>
        <w:rPr>
          <w:rFonts w:cs="Arial"/>
          <w:sz w:val="22"/>
          <w:szCs w:val="22"/>
        </w:rPr>
      </w:pPr>
      <w:r>
        <w:rPr>
          <w:rFonts w:cs="Arial"/>
          <w:b/>
          <w:sz w:val="22"/>
          <w:szCs w:val="22"/>
        </w:rPr>
        <w:t xml:space="preserve">With </w:t>
      </w:r>
      <w:r w:rsidR="00756DB4">
        <w:rPr>
          <w:rFonts w:cs="Arial"/>
          <w:b/>
          <w:sz w:val="22"/>
          <w:szCs w:val="22"/>
        </w:rPr>
        <w:t xml:space="preserve">Full </w:t>
      </w:r>
      <w:r w:rsidR="00B202B1">
        <w:rPr>
          <w:rFonts w:cs="Arial"/>
          <w:b/>
          <w:sz w:val="22"/>
          <w:szCs w:val="22"/>
        </w:rPr>
        <w:t>C</w:t>
      </w:r>
      <w:r w:rsidR="00756DB4">
        <w:rPr>
          <w:rFonts w:cs="Arial"/>
          <w:b/>
          <w:sz w:val="22"/>
          <w:szCs w:val="22"/>
        </w:rPr>
        <w:t xml:space="preserve">redit </w:t>
      </w:r>
      <w:r w:rsidR="00B202B1">
        <w:rPr>
          <w:rFonts w:cs="Arial"/>
          <w:b/>
          <w:sz w:val="22"/>
          <w:szCs w:val="22"/>
        </w:rPr>
        <w:t>G</w:t>
      </w:r>
      <w:r w:rsidR="00756DB4">
        <w:rPr>
          <w:rFonts w:cs="Arial"/>
          <w:b/>
          <w:sz w:val="22"/>
          <w:szCs w:val="22"/>
        </w:rPr>
        <w:t>iven</w:t>
      </w:r>
      <w:r>
        <w:rPr>
          <w:rFonts w:cs="Arial"/>
          <w:b/>
          <w:sz w:val="22"/>
          <w:szCs w:val="22"/>
        </w:rPr>
        <w:t xml:space="preserve"> for Current Industry Actions</w:t>
      </w:r>
      <w:r w:rsidR="00756DB4">
        <w:rPr>
          <w:rFonts w:cs="Arial"/>
          <w:b/>
          <w:sz w:val="22"/>
          <w:szCs w:val="22"/>
        </w:rPr>
        <w:t xml:space="preserve">  </w:t>
      </w:r>
    </w:p>
    <w:tbl>
      <w:tblPr>
        <w:tblW w:w="10355" w:type="dxa"/>
        <w:tblInd w:w="-478" w:type="dxa"/>
        <w:tblLayout w:type="fixed"/>
        <w:tblLook w:val="04A0" w:firstRow="1" w:lastRow="0" w:firstColumn="1" w:lastColumn="0" w:noHBand="0" w:noVBand="1"/>
      </w:tblPr>
      <w:tblGrid>
        <w:gridCol w:w="1306"/>
        <w:gridCol w:w="1260"/>
        <w:gridCol w:w="1080"/>
        <w:gridCol w:w="810"/>
        <w:gridCol w:w="990"/>
        <w:gridCol w:w="990"/>
        <w:gridCol w:w="990"/>
        <w:gridCol w:w="1440"/>
        <w:gridCol w:w="1489"/>
      </w:tblGrid>
      <w:tr w:rsidR="00A009E2" w:rsidRPr="00A009E2" w:rsidTr="00A009E2">
        <w:trPr>
          <w:trHeight w:val="787"/>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6AF" w:rsidRPr="00A009E2" w:rsidRDefault="00B100B7">
            <w:pPr>
              <w:tabs>
                <w:tab w:val="left" w:pos="660"/>
                <w:tab w:val="right" w:leader="dot" w:pos="9350"/>
              </w:tabs>
              <w:autoSpaceDE/>
              <w:autoSpaceDN/>
              <w:adjustRightInd/>
              <w:spacing w:after="160"/>
              <w:jc w:val="center"/>
              <w:rPr>
                <w:rFonts w:cs="Arial"/>
                <w:sz w:val="18"/>
                <w:szCs w:val="18"/>
              </w:rPr>
            </w:pPr>
            <w:r w:rsidRPr="00B100B7">
              <w:rPr>
                <w:rFonts w:cs="Arial"/>
                <w:sz w:val="18"/>
                <w:szCs w:val="18"/>
              </w:rPr>
              <w:t>CFR Citation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026AF" w:rsidRPr="00A009E2" w:rsidRDefault="00B100B7">
            <w:pPr>
              <w:tabs>
                <w:tab w:val="left" w:pos="660"/>
                <w:tab w:val="right" w:leader="dot" w:pos="9350"/>
              </w:tabs>
              <w:autoSpaceDE/>
              <w:autoSpaceDN/>
              <w:adjustRightInd/>
              <w:spacing w:after="160"/>
              <w:jc w:val="center"/>
              <w:rPr>
                <w:rFonts w:cs="Arial"/>
                <w:sz w:val="18"/>
                <w:szCs w:val="18"/>
              </w:rPr>
            </w:pPr>
            <w:r w:rsidRPr="00B100B7">
              <w:rPr>
                <w:rFonts w:cs="Arial"/>
                <w:sz w:val="18"/>
                <w:szCs w:val="18"/>
              </w:rPr>
              <w:t>Description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026AF" w:rsidRPr="00A009E2" w:rsidRDefault="00B100B7">
            <w:pPr>
              <w:tabs>
                <w:tab w:val="right" w:leader="dot" w:pos="9350"/>
              </w:tabs>
              <w:autoSpaceDE/>
              <w:autoSpaceDN/>
              <w:adjustRightInd/>
              <w:spacing w:after="160"/>
              <w:ind w:left="-18"/>
              <w:jc w:val="center"/>
              <w:rPr>
                <w:rFonts w:cs="Arial"/>
                <w:sz w:val="18"/>
                <w:szCs w:val="18"/>
              </w:rPr>
            </w:pPr>
            <w:r w:rsidRPr="00B100B7">
              <w:rPr>
                <w:rFonts w:cs="Arial"/>
                <w:sz w:val="18"/>
                <w:szCs w:val="18"/>
              </w:rPr>
              <w:t>Number of Licensees Affected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F4F05" w:rsidRPr="00A009E2" w:rsidRDefault="00B100B7" w:rsidP="000C4F5A">
            <w:pPr>
              <w:tabs>
                <w:tab w:val="right" w:leader="dot" w:pos="9350"/>
              </w:tabs>
              <w:autoSpaceDE/>
              <w:autoSpaceDN/>
              <w:adjustRightInd/>
              <w:spacing w:after="160"/>
              <w:ind w:left="-18"/>
              <w:jc w:val="center"/>
              <w:rPr>
                <w:rFonts w:cs="Arial"/>
                <w:sz w:val="18"/>
                <w:szCs w:val="18"/>
              </w:rPr>
            </w:pPr>
            <w:r w:rsidRPr="00B100B7">
              <w:rPr>
                <w:rFonts w:cs="Arial"/>
                <w:sz w:val="18"/>
                <w:szCs w:val="18"/>
              </w:rPr>
              <w:t>Labor Rate $/</w:t>
            </w:r>
            <w:proofErr w:type="spellStart"/>
            <w:r w:rsidRPr="00B100B7">
              <w:rPr>
                <w:rFonts w:cs="Arial"/>
                <w:sz w:val="18"/>
                <w:szCs w:val="18"/>
              </w:rPr>
              <w:t>hr</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026AF" w:rsidRPr="00A009E2" w:rsidRDefault="00B100B7">
            <w:pPr>
              <w:tabs>
                <w:tab w:val="right" w:leader="dot" w:pos="9350"/>
              </w:tabs>
              <w:autoSpaceDE/>
              <w:autoSpaceDN/>
              <w:adjustRightInd/>
              <w:spacing w:after="160"/>
              <w:ind w:left="-18"/>
              <w:jc w:val="center"/>
              <w:rPr>
                <w:rFonts w:cs="Arial"/>
                <w:sz w:val="18"/>
                <w:szCs w:val="18"/>
              </w:rPr>
            </w:pPr>
            <w:r w:rsidRPr="00B100B7">
              <w:rPr>
                <w:rFonts w:cs="Arial"/>
                <w:sz w:val="18"/>
                <w:szCs w:val="18"/>
              </w:rPr>
              <w:t>Annual Hours per Licensee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B5FAD" w:rsidRPr="00A009E2" w:rsidRDefault="00B100B7" w:rsidP="008F4F05">
            <w:pPr>
              <w:autoSpaceDE/>
              <w:autoSpaceDN/>
              <w:adjustRightInd/>
              <w:jc w:val="center"/>
              <w:rPr>
                <w:rFonts w:cs="Arial"/>
                <w:sz w:val="18"/>
                <w:szCs w:val="18"/>
              </w:rPr>
            </w:pPr>
            <w:r w:rsidRPr="00B100B7">
              <w:rPr>
                <w:rFonts w:cs="Arial"/>
                <w:sz w:val="18"/>
                <w:szCs w:val="18"/>
              </w:rPr>
              <w:t xml:space="preserve">Annual Cost </w:t>
            </w:r>
          </w:p>
          <w:p w:rsidR="001026AF" w:rsidRPr="00A009E2" w:rsidRDefault="00B100B7">
            <w:pPr>
              <w:tabs>
                <w:tab w:val="left" w:pos="660"/>
                <w:tab w:val="right" w:leader="dot" w:pos="9350"/>
              </w:tabs>
              <w:autoSpaceDE/>
              <w:autoSpaceDN/>
              <w:adjustRightInd/>
              <w:spacing w:after="160"/>
              <w:ind w:left="-18"/>
              <w:jc w:val="center"/>
              <w:rPr>
                <w:rFonts w:cs="Arial"/>
                <w:sz w:val="18"/>
                <w:szCs w:val="18"/>
              </w:rPr>
            </w:pPr>
            <w:r w:rsidRPr="00B100B7">
              <w:rPr>
                <w:rFonts w:cs="Arial"/>
                <w:sz w:val="18"/>
                <w:szCs w:val="18"/>
              </w:rPr>
              <w:t>per Licensee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026AF" w:rsidRPr="00A009E2" w:rsidRDefault="00B100B7">
            <w:pPr>
              <w:tabs>
                <w:tab w:val="right" w:leader="dot" w:pos="9350"/>
              </w:tabs>
              <w:autoSpaceDE/>
              <w:autoSpaceDN/>
              <w:adjustRightInd/>
              <w:spacing w:after="160"/>
              <w:ind w:left="-18"/>
              <w:jc w:val="center"/>
              <w:rPr>
                <w:rFonts w:cs="Arial"/>
                <w:sz w:val="18"/>
                <w:szCs w:val="18"/>
              </w:rPr>
            </w:pPr>
            <w:r w:rsidRPr="00B100B7">
              <w:rPr>
                <w:rFonts w:cs="Arial"/>
                <w:sz w:val="18"/>
                <w:szCs w:val="18"/>
              </w:rPr>
              <w:t>Total Annual Cost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026AF" w:rsidRPr="00A009E2" w:rsidRDefault="00B100B7">
            <w:pPr>
              <w:tabs>
                <w:tab w:val="right" w:leader="dot" w:pos="9350"/>
              </w:tabs>
              <w:autoSpaceDE/>
              <w:autoSpaceDN/>
              <w:adjustRightInd/>
              <w:spacing w:after="160"/>
              <w:ind w:left="-18"/>
              <w:jc w:val="center"/>
              <w:rPr>
                <w:rFonts w:cs="Arial"/>
                <w:sz w:val="18"/>
                <w:szCs w:val="18"/>
              </w:rPr>
            </w:pPr>
            <w:r w:rsidRPr="00B100B7">
              <w:rPr>
                <w:rFonts w:cs="Arial"/>
                <w:sz w:val="18"/>
                <w:szCs w:val="18"/>
              </w:rPr>
              <w:t>One-Time Implementation Cost per Licensee</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DA03D5" w:rsidRPr="00A009E2" w:rsidRDefault="00B100B7" w:rsidP="008F4F05">
            <w:pPr>
              <w:autoSpaceDE/>
              <w:autoSpaceDN/>
              <w:adjustRightInd/>
              <w:jc w:val="center"/>
              <w:rPr>
                <w:rFonts w:cs="Arial"/>
                <w:sz w:val="18"/>
                <w:szCs w:val="18"/>
              </w:rPr>
            </w:pPr>
            <w:r w:rsidRPr="00B100B7">
              <w:rPr>
                <w:rFonts w:cs="Arial"/>
                <w:sz w:val="18"/>
                <w:szCs w:val="18"/>
              </w:rPr>
              <w:t xml:space="preserve">Total </w:t>
            </w:r>
          </w:p>
          <w:p w:rsidR="001026AF" w:rsidRPr="00A009E2" w:rsidRDefault="00B100B7">
            <w:pPr>
              <w:tabs>
                <w:tab w:val="left" w:pos="1134"/>
              </w:tabs>
              <w:autoSpaceDE/>
              <w:autoSpaceDN/>
              <w:adjustRightInd/>
              <w:jc w:val="center"/>
              <w:rPr>
                <w:rFonts w:cs="Arial"/>
                <w:sz w:val="18"/>
                <w:szCs w:val="18"/>
              </w:rPr>
            </w:pPr>
            <w:r w:rsidRPr="00B100B7">
              <w:rPr>
                <w:rFonts w:cs="Arial"/>
                <w:sz w:val="18"/>
                <w:szCs w:val="18"/>
              </w:rPr>
              <w:t xml:space="preserve">One-Time Implementation </w:t>
            </w:r>
          </w:p>
          <w:p w:rsidR="008F4F05" w:rsidRPr="00A009E2" w:rsidRDefault="00B100B7" w:rsidP="008F4F05">
            <w:pPr>
              <w:tabs>
                <w:tab w:val="left" w:pos="660"/>
                <w:tab w:val="right" w:leader="dot" w:pos="9350"/>
              </w:tabs>
              <w:autoSpaceDE/>
              <w:autoSpaceDN/>
              <w:adjustRightInd/>
              <w:spacing w:after="160"/>
              <w:ind w:left="202"/>
              <w:jc w:val="center"/>
              <w:rPr>
                <w:rFonts w:cs="Arial"/>
                <w:sz w:val="18"/>
                <w:szCs w:val="18"/>
              </w:rPr>
            </w:pPr>
            <w:r w:rsidRPr="00B100B7">
              <w:rPr>
                <w:rFonts w:cs="Arial"/>
                <w:sz w:val="18"/>
                <w:szCs w:val="18"/>
              </w:rPr>
              <w:t>Cost</w:t>
            </w:r>
          </w:p>
        </w:tc>
      </w:tr>
      <w:tr w:rsidR="00A009E2" w:rsidRPr="001F17A3" w:rsidTr="00460063">
        <w:trPr>
          <w:trHeight w:val="508"/>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F17A3" w:rsidRPr="001F17A3" w:rsidRDefault="00B100B7" w:rsidP="001F17A3">
            <w:pPr>
              <w:autoSpaceDE/>
              <w:autoSpaceDN/>
              <w:adjustRightInd/>
              <w:rPr>
                <w:rFonts w:cs="Arial"/>
                <w:color w:val="000000"/>
                <w:sz w:val="18"/>
                <w:szCs w:val="18"/>
              </w:rPr>
            </w:pPr>
            <w:r w:rsidRPr="00B100B7">
              <w:rPr>
                <w:rFonts w:cs="Arial"/>
                <w:color w:val="000000"/>
                <w:sz w:val="18"/>
                <w:szCs w:val="18"/>
              </w:rPr>
              <w:t>74.19(b)</w:t>
            </w:r>
          </w:p>
        </w:tc>
        <w:tc>
          <w:tcPr>
            <w:tcW w:w="1260" w:type="dxa"/>
            <w:tcBorders>
              <w:top w:val="nil"/>
              <w:left w:val="nil"/>
              <w:bottom w:val="single" w:sz="4" w:space="0" w:color="auto"/>
              <w:right w:val="single" w:sz="4" w:space="0" w:color="auto"/>
            </w:tcBorders>
            <w:shd w:val="clear" w:color="auto" w:fill="auto"/>
            <w:vAlign w:val="center"/>
            <w:hideMark/>
          </w:tcPr>
          <w:p w:rsidR="001F17A3" w:rsidRPr="001F17A3" w:rsidRDefault="00B100B7">
            <w:pPr>
              <w:autoSpaceDE/>
              <w:autoSpaceDN/>
              <w:adjustRightInd/>
              <w:rPr>
                <w:rFonts w:cs="Arial"/>
                <w:color w:val="000000"/>
                <w:sz w:val="18"/>
                <w:szCs w:val="18"/>
              </w:rPr>
            </w:pPr>
            <w:r w:rsidRPr="00B100B7">
              <w:rPr>
                <w:rFonts w:cs="Arial"/>
                <w:color w:val="000000"/>
                <w:sz w:val="18"/>
                <w:szCs w:val="18"/>
              </w:rPr>
              <w:t>Written MC&amp;A Procedures</w:t>
            </w:r>
          </w:p>
        </w:tc>
        <w:tc>
          <w:tcPr>
            <w:tcW w:w="1080" w:type="dxa"/>
            <w:tcBorders>
              <w:top w:val="nil"/>
              <w:left w:val="nil"/>
              <w:bottom w:val="single" w:sz="4" w:space="0" w:color="auto"/>
              <w:right w:val="single" w:sz="4" w:space="0" w:color="auto"/>
            </w:tcBorders>
            <w:shd w:val="clear" w:color="auto" w:fill="auto"/>
            <w:vAlign w:val="center"/>
            <w:hideMark/>
          </w:tcPr>
          <w:p w:rsidR="001F17A3" w:rsidRPr="001F17A3" w:rsidRDefault="001F17A3" w:rsidP="00510D15">
            <w:pPr>
              <w:autoSpaceDE/>
              <w:autoSpaceDN/>
              <w:adjustRightInd/>
              <w:jc w:val="center"/>
              <w:rPr>
                <w:rFonts w:cs="Arial"/>
                <w:color w:val="000000"/>
                <w:sz w:val="18"/>
                <w:szCs w:val="18"/>
              </w:rPr>
            </w:pPr>
            <w:r w:rsidRPr="001F17A3">
              <w:rPr>
                <w:rFonts w:cs="Arial"/>
                <w:color w:val="000000"/>
                <w:sz w:val="18"/>
                <w:szCs w:val="18"/>
              </w:rPr>
              <w:t>0</w:t>
            </w:r>
          </w:p>
        </w:tc>
        <w:tc>
          <w:tcPr>
            <w:tcW w:w="810" w:type="dxa"/>
            <w:tcBorders>
              <w:top w:val="nil"/>
              <w:left w:val="nil"/>
              <w:bottom w:val="single" w:sz="4" w:space="0" w:color="auto"/>
              <w:right w:val="single" w:sz="4" w:space="0" w:color="auto"/>
            </w:tcBorders>
            <w:shd w:val="clear" w:color="auto" w:fill="auto"/>
            <w:vAlign w:val="center"/>
            <w:hideMark/>
          </w:tcPr>
          <w:p w:rsidR="001F17A3" w:rsidRPr="001F17A3" w:rsidRDefault="001F17A3" w:rsidP="00510D15">
            <w:pPr>
              <w:autoSpaceDE/>
              <w:autoSpaceDN/>
              <w:adjustRightInd/>
              <w:jc w:val="center"/>
              <w:rPr>
                <w:rFonts w:cs="Arial"/>
                <w:color w:val="000000"/>
                <w:sz w:val="18"/>
                <w:szCs w:val="18"/>
              </w:rPr>
            </w:pPr>
            <w:r w:rsidRPr="001F17A3">
              <w:rPr>
                <w:rFonts w:cs="Arial"/>
                <w:color w:val="000000"/>
                <w:sz w:val="18"/>
                <w:szCs w:val="18"/>
              </w:rPr>
              <w:t>$73.20</w:t>
            </w:r>
          </w:p>
        </w:tc>
        <w:tc>
          <w:tcPr>
            <w:tcW w:w="990" w:type="dxa"/>
            <w:tcBorders>
              <w:top w:val="nil"/>
              <w:left w:val="nil"/>
              <w:bottom w:val="single" w:sz="4" w:space="0" w:color="auto"/>
              <w:right w:val="single" w:sz="4" w:space="0" w:color="auto"/>
            </w:tcBorders>
            <w:shd w:val="clear" w:color="auto" w:fill="auto"/>
            <w:vAlign w:val="center"/>
            <w:hideMark/>
          </w:tcPr>
          <w:p w:rsidR="001F17A3" w:rsidRPr="001F17A3" w:rsidRDefault="001F17A3" w:rsidP="00510D15">
            <w:pPr>
              <w:autoSpaceDE/>
              <w:autoSpaceDN/>
              <w:adjustRightInd/>
              <w:jc w:val="center"/>
              <w:rPr>
                <w:rFonts w:cs="Arial"/>
                <w:color w:val="000000"/>
                <w:sz w:val="18"/>
                <w:szCs w:val="18"/>
              </w:rPr>
            </w:pPr>
            <w:r>
              <w:rPr>
                <w:rFonts w:cs="Arial"/>
                <w:color w:val="000000"/>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rsidR="001F17A3" w:rsidRPr="001F17A3" w:rsidRDefault="005F3FA1" w:rsidP="00510D15">
            <w:pPr>
              <w:autoSpaceDE/>
              <w:autoSpaceDN/>
              <w:adjustRightInd/>
              <w:jc w:val="center"/>
              <w:rPr>
                <w:rFonts w:cs="Arial"/>
                <w:color w:val="000000"/>
                <w:sz w:val="18"/>
                <w:szCs w:val="18"/>
              </w:rPr>
            </w:pPr>
            <w:r>
              <w:rPr>
                <w:rFonts w:cs="Arial"/>
                <w:color w:val="000000"/>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rsidR="001F17A3" w:rsidRPr="001F17A3" w:rsidRDefault="005F3FA1" w:rsidP="00510D15">
            <w:pPr>
              <w:autoSpaceDE/>
              <w:autoSpaceDN/>
              <w:adjustRightInd/>
              <w:jc w:val="center"/>
              <w:rPr>
                <w:rFonts w:cs="Arial"/>
                <w:color w:val="000000"/>
                <w:sz w:val="18"/>
                <w:szCs w:val="18"/>
              </w:rPr>
            </w:pPr>
            <w:r>
              <w:rPr>
                <w:rFonts w:cs="Arial"/>
                <w:color w:val="000000"/>
                <w:sz w:val="18"/>
                <w:szCs w:val="18"/>
              </w:rPr>
              <w:t>$0</w:t>
            </w:r>
          </w:p>
        </w:tc>
        <w:tc>
          <w:tcPr>
            <w:tcW w:w="1440" w:type="dxa"/>
            <w:tcBorders>
              <w:top w:val="nil"/>
              <w:left w:val="nil"/>
              <w:bottom w:val="single" w:sz="4" w:space="0" w:color="auto"/>
              <w:right w:val="single" w:sz="4" w:space="0" w:color="auto"/>
            </w:tcBorders>
            <w:shd w:val="clear" w:color="auto" w:fill="auto"/>
            <w:vAlign w:val="center"/>
            <w:hideMark/>
          </w:tcPr>
          <w:p w:rsidR="001F17A3" w:rsidRPr="001F17A3" w:rsidRDefault="005F3FA1" w:rsidP="00510D15">
            <w:pPr>
              <w:autoSpaceDE/>
              <w:autoSpaceDN/>
              <w:adjustRightInd/>
              <w:jc w:val="center"/>
              <w:rPr>
                <w:rFonts w:cs="Arial"/>
                <w:color w:val="000000"/>
                <w:sz w:val="18"/>
                <w:szCs w:val="18"/>
              </w:rPr>
            </w:pPr>
            <w:r>
              <w:rPr>
                <w:rFonts w:cs="Arial"/>
                <w:color w:val="000000"/>
                <w:sz w:val="18"/>
                <w:szCs w:val="18"/>
              </w:rPr>
              <w:t>$0</w:t>
            </w:r>
          </w:p>
        </w:tc>
        <w:tc>
          <w:tcPr>
            <w:tcW w:w="1489" w:type="dxa"/>
            <w:tcBorders>
              <w:top w:val="nil"/>
              <w:left w:val="nil"/>
              <w:bottom w:val="single" w:sz="4" w:space="0" w:color="auto"/>
              <w:right w:val="single" w:sz="4" w:space="0" w:color="auto"/>
            </w:tcBorders>
            <w:shd w:val="clear" w:color="auto" w:fill="auto"/>
            <w:vAlign w:val="center"/>
            <w:hideMark/>
          </w:tcPr>
          <w:p w:rsidR="001F17A3" w:rsidRPr="001F17A3" w:rsidRDefault="005F3FA1" w:rsidP="00510D15">
            <w:pPr>
              <w:autoSpaceDE/>
              <w:autoSpaceDN/>
              <w:adjustRightInd/>
              <w:jc w:val="center"/>
              <w:rPr>
                <w:rFonts w:cs="Arial"/>
                <w:color w:val="000000"/>
                <w:sz w:val="18"/>
                <w:szCs w:val="18"/>
              </w:rPr>
            </w:pPr>
            <w:r>
              <w:rPr>
                <w:rFonts w:cs="Arial"/>
                <w:color w:val="000000"/>
                <w:sz w:val="18"/>
                <w:szCs w:val="18"/>
              </w:rPr>
              <w:t>$0</w:t>
            </w:r>
          </w:p>
        </w:tc>
      </w:tr>
      <w:tr w:rsidR="00A009E2" w:rsidRPr="001F17A3" w:rsidTr="00460063">
        <w:trPr>
          <w:trHeight w:val="480"/>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1026AF" w:rsidRPr="001F17A3" w:rsidRDefault="00B100B7">
            <w:pPr>
              <w:autoSpaceDE/>
              <w:autoSpaceDN/>
              <w:adjustRightInd/>
              <w:rPr>
                <w:rFonts w:cs="Arial"/>
                <w:color w:val="000000"/>
                <w:sz w:val="18"/>
                <w:szCs w:val="18"/>
              </w:rPr>
            </w:pPr>
            <w:r w:rsidRPr="00B100B7">
              <w:rPr>
                <w:rFonts w:cs="Arial"/>
                <w:color w:val="000000"/>
                <w:sz w:val="18"/>
                <w:szCs w:val="18"/>
              </w:rPr>
              <w:t>74.19(d)</w:t>
            </w:r>
          </w:p>
        </w:tc>
        <w:tc>
          <w:tcPr>
            <w:tcW w:w="1260" w:type="dxa"/>
            <w:tcBorders>
              <w:top w:val="nil"/>
              <w:left w:val="nil"/>
              <w:bottom w:val="single" w:sz="4" w:space="0" w:color="auto"/>
              <w:right w:val="single" w:sz="4" w:space="0" w:color="auto"/>
            </w:tcBorders>
            <w:shd w:val="clear" w:color="auto" w:fill="auto"/>
            <w:vAlign w:val="center"/>
            <w:hideMark/>
          </w:tcPr>
          <w:p w:rsidR="001026AF" w:rsidRPr="001F17A3" w:rsidRDefault="00B100B7">
            <w:pPr>
              <w:autoSpaceDE/>
              <w:autoSpaceDN/>
              <w:adjustRightInd/>
              <w:rPr>
                <w:rFonts w:cs="Arial"/>
                <w:color w:val="000000"/>
                <w:sz w:val="18"/>
                <w:szCs w:val="18"/>
              </w:rPr>
            </w:pPr>
            <w:r w:rsidRPr="00B100B7">
              <w:rPr>
                <w:rFonts w:cs="Arial"/>
                <w:color w:val="000000"/>
                <w:sz w:val="18"/>
                <w:szCs w:val="18"/>
              </w:rPr>
              <w:t>Item Control System</w:t>
            </w:r>
          </w:p>
        </w:tc>
        <w:tc>
          <w:tcPr>
            <w:tcW w:w="1080" w:type="dxa"/>
            <w:tcBorders>
              <w:top w:val="nil"/>
              <w:left w:val="nil"/>
              <w:bottom w:val="single" w:sz="4" w:space="0" w:color="auto"/>
              <w:right w:val="single" w:sz="4" w:space="0" w:color="auto"/>
            </w:tcBorders>
            <w:shd w:val="clear" w:color="auto" w:fill="auto"/>
            <w:vAlign w:val="center"/>
            <w:hideMark/>
          </w:tcPr>
          <w:p w:rsidR="008F4F05" w:rsidRPr="001F17A3" w:rsidRDefault="009B07D7" w:rsidP="00510D15">
            <w:pPr>
              <w:autoSpaceDE/>
              <w:autoSpaceDN/>
              <w:adjustRightInd/>
              <w:jc w:val="center"/>
              <w:rPr>
                <w:rFonts w:cs="Arial"/>
                <w:color w:val="000000"/>
                <w:sz w:val="18"/>
                <w:szCs w:val="18"/>
              </w:rPr>
            </w:pPr>
            <w:r w:rsidRPr="001F17A3">
              <w:rPr>
                <w:rFonts w:cs="Arial"/>
                <w:color w:val="000000"/>
                <w:sz w:val="18"/>
                <w:szCs w:val="18"/>
              </w:rPr>
              <w:t>6</w:t>
            </w:r>
            <w:r w:rsidR="001D3619" w:rsidRPr="001F17A3">
              <w:rPr>
                <w:rFonts w:cs="Arial"/>
                <w:color w:val="000000"/>
                <w:sz w:val="18"/>
                <w:szCs w:val="18"/>
              </w:rPr>
              <w:t>3</w:t>
            </w:r>
          </w:p>
        </w:tc>
        <w:tc>
          <w:tcPr>
            <w:tcW w:w="810" w:type="dxa"/>
            <w:tcBorders>
              <w:top w:val="nil"/>
              <w:left w:val="nil"/>
              <w:bottom w:val="single" w:sz="4" w:space="0" w:color="auto"/>
              <w:right w:val="single" w:sz="4" w:space="0" w:color="auto"/>
            </w:tcBorders>
            <w:shd w:val="clear" w:color="auto" w:fill="auto"/>
            <w:vAlign w:val="center"/>
            <w:hideMark/>
          </w:tcPr>
          <w:p w:rsidR="008F4F05" w:rsidRPr="001F17A3" w:rsidRDefault="00900E47" w:rsidP="00510D15">
            <w:pPr>
              <w:autoSpaceDE/>
              <w:autoSpaceDN/>
              <w:adjustRightInd/>
              <w:jc w:val="center"/>
              <w:rPr>
                <w:rFonts w:cs="Arial"/>
                <w:color w:val="000000"/>
                <w:sz w:val="18"/>
                <w:szCs w:val="18"/>
              </w:rPr>
            </w:pPr>
            <w:r w:rsidRPr="001F17A3">
              <w:rPr>
                <w:rFonts w:cs="Arial"/>
                <w:color w:val="000000"/>
                <w:sz w:val="18"/>
                <w:szCs w:val="18"/>
              </w:rPr>
              <w:t>$73</w:t>
            </w:r>
            <w:r w:rsidR="00EF3F0F" w:rsidRPr="001F17A3">
              <w:rPr>
                <w:rFonts w:cs="Arial"/>
                <w:color w:val="000000"/>
                <w:sz w:val="18"/>
                <w:szCs w:val="18"/>
              </w:rPr>
              <w:t>.20</w:t>
            </w:r>
          </w:p>
        </w:tc>
        <w:tc>
          <w:tcPr>
            <w:tcW w:w="990" w:type="dxa"/>
            <w:tcBorders>
              <w:top w:val="nil"/>
              <w:left w:val="nil"/>
              <w:bottom w:val="single" w:sz="4" w:space="0" w:color="auto"/>
              <w:right w:val="single" w:sz="4" w:space="0" w:color="auto"/>
            </w:tcBorders>
            <w:shd w:val="clear" w:color="auto" w:fill="auto"/>
            <w:vAlign w:val="center"/>
            <w:hideMark/>
          </w:tcPr>
          <w:p w:rsidR="008F4F05" w:rsidRPr="001F17A3" w:rsidRDefault="00900E47" w:rsidP="00510D15">
            <w:pPr>
              <w:autoSpaceDE/>
              <w:autoSpaceDN/>
              <w:adjustRightInd/>
              <w:jc w:val="center"/>
              <w:rPr>
                <w:rFonts w:cs="Arial"/>
                <w:color w:val="000000"/>
                <w:sz w:val="18"/>
                <w:szCs w:val="18"/>
              </w:rPr>
            </w:pPr>
            <w:r w:rsidRPr="001F17A3">
              <w:rPr>
                <w:rFonts w:cs="Arial"/>
                <w:color w:val="000000"/>
                <w:sz w:val="18"/>
                <w:szCs w:val="18"/>
              </w:rPr>
              <w:t>3</w:t>
            </w:r>
          </w:p>
        </w:tc>
        <w:tc>
          <w:tcPr>
            <w:tcW w:w="990" w:type="dxa"/>
            <w:tcBorders>
              <w:top w:val="nil"/>
              <w:left w:val="nil"/>
              <w:bottom w:val="single" w:sz="4" w:space="0" w:color="auto"/>
              <w:right w:val="single" w:sz="4" w:space="0" w:color="auto"/>
            </w:tcBorders>
            <w:shd w:val="clear" w:color="auto" w:fill="auto"/>
            <w:vAlign w:val="center"/>
            <w:hideMark/>
          </w:tcPr>
          <w:p w:rsidR="008F4F05" w:rsidRPr="001F17A3" w:rsidRDefault="00B100B7" w:rsidP="00510D15">
            <w:pPr>
              <w:autoSpaceDE/>
              <w:autoSpaceDN/>
              <w:adjustRightInd/>
              <w:jc w:val="center"/>
              <w:rPr>
                <w:rFonts w:cs="Arial"/>
                <w:color w:val="000000"/>
                <w:sz w:val="18"/>
                <w:szCs w:val="18"/>
              </w:rPr>
            </w:pPr>
            <w:r>
              <w:rPr>
                <w:rFonts w:cs="Arial"/>
                <w:color w:val="000000"/>
                <w:sz w:val="18"/>
                <w:szCs w:val="18"/>
              </w:rPr>
              <w:t>$220</w:t>
            </w:r>
          </w:p>
        </w:tc>
        <w:tc>
          <w:tcPr>
            <w:tcW w:w="990" w:type="dxa"/>
            <w:tcBorders>
              <w:top w:val="nil"/>
              <w:left w:val="nil"/>
              <w:bottom w:val="single" w:sz="4" w:space="0" w:color="auto"/>
              <w:right w:val="single" w:sz="4" w:space="0" w:color="auto"/>
            </w:tcBorders>
            <w:shd w:val="clear" w:color="auto" w:fill="auto"/>
            <w:vAlign w:val="center"/>
            <w:hideMark/>
          </w:tcPr>
          <w:p w:rsidR="00BF2B1C" w:rsidRPr="001F17A3" w:rsidRDefault="00B100B7" w:rsidP="00510D15">
            <w:pPr>
              <w:autoSpaceDE/>
              <w:autoSpaceDN/>
              <w:adjustRightInd/>
              <w:jc w:val="center"/>
              <w:rPr>
                <w:rFonts w:cs="Arial"/>
                <w:color w:val="000000"/>
                <w:sz w:val="18"/>
                <w:szCs w:val="18"/>
              </w:rPr>
            </w:pPr>
            <w:r>
              <w:rPr>
                <w:rFonts w:cs="Arial"/>
                <w:color w:val="000000"/>
                <w:sz w:val="18"/>
                <w:szCs w:val="18"/>
              </w:rPr>
              <w:t>$13,835</w:t>
            </w:r>
          </w:p>
        </w:tc>
        <w:tc>
          <w:tcPr>
            <w:tcW w:w="1440" w:type="dxa"/>
            <w:tcBorders>
              <w:top w:val="nil"/>
              <w:left w:val="nil"/>
              <w:bottom w:val="single" w:sz="4" w:space="0" w:color="auto"/>
              <w:right w:val="single" w:sz="4" w:space="0" w:color="auto"/>
            </w:tcBorders>
            <w:shd w:val="clear" w:color="auto" w:fill="auto"/>
            <w:vAlign w:val="center"/>
            <w:hideMark/>
          </w:tcPr>
          <w:p w:rsidR="008F4F05" w:rsidRPr="001F17A3" w:rsidRDefault="00B100B7" w:rsidP="00510D15">
            <w:pPr>
              <w:autoSpaceDE/>
              <w:autoSpaceDN/>
              <w:adjustRightInd/>
              <w:jc w:val="center"/>
              <w:rPr>
                <w:rFonts w:cs="Arial"/>
                <w:color w:val="000000"/>
                <w:sz w:val="18"/>
                <w:szCs w:val="18"/>
              </w:rPr>
            </w:pPr>
            <w:r>
              <w:rPr>
                <w:rFonts w:cs="Arial"/>
                <w:color w:val="000000"/>
                <w:sz w:val="18"/>
                <w:szCs w:val="18"/>
              </w:rPr>
              <w:t>$366</w:t>
            </w:r>
          </w:p>
        </w:tc>
        <w:tc>
          <w:tcPr>
            <w:tcW w:w="1489" w:type="dxa"/>
            <w:tcBorders>
              <w:top w:val="nil"/>
              <w:left w:val="nil"/>
              <w:bottom w:val="single" w:sz="4" w:space="0" w:color="auto"/>
              <w:right w:val="single" w:sz="4" w:space="0" w:color="auto"/>
            </w:tcBorders>
            <w:shd w:val="clear" w:color="auto" w:fill="auto"/>
            <w:vAlign w:val="center"/>
            <w:hideMark/>
          </w:tcPr>
          <w:p w:rsidR="00BF2B1C" w:rsidRPr="001F17A3" w:rsidRDefault="00B100B7" w:rsidP="00510D15">
            <w:pPr>
              <w:autoSpaceDE/>
              <w:autoSpaceDN/>
              <w:adjustRightInd/>
              <w:jc w:val="center"/>
              <w:rPr>
                <w:rFonts w:cs="Arial"/>
                <w:color w:val="000000"/>
                <w:sz w:val="18"/>
                <w:szCs w:val="18"/>
              </w:rPr>
            </w:pPr>
            <w:r>
              <w:rPr>
                <w:rFonts w:cs="Arial"/>
                <w:color w:val="000000"/>
                <w:sz w:val="18"/>
                <w:szCs w:val="18"/>
              </w:rPr>
              <w:t>$23,058</w:t>
            </w:r>
          </w:p>
        </w:tc>
      </w:tr>
      <w:tr w:rsidR="00A009E2" w:rsidRPr="001F17A3" w:rsidTr="00460063">
        <w:trPr>
          <w:trHeight w:val="480"/>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EF3F0F" w:rsidRPr="001F17A3" w:rsidRDefault="00B100B7">
            <w:pPr>
              <w:autoSpaceDE/>
              <w:autoSpaceDN/>
              <w:adjustRightInd/>
              <w:rPr>
                <w:rFonts w:cs="Arial"/>
                <w:color w:val="000000"/>
                <w:sz w:val="18"/>
                <w:szCs w:val="18"/>
              </w:rPr>
            </w:pPr>
            <w:r w:rsidRPr="00B100B7">
              <w:rPr>
                <w:rFonts w:cs="Arial"/>
                <w:color w:val="000000"/>
                <w:sz w:val="18"/>
                <w:szCs w:val="18"/>
              </w:rPr>
              <w:t>74.31(c)(6)</w:t>
            </w:r>
          </w:p>
        </w:tc>
        <w:tc>
          <w:tcPr>
            <w:tcW w:w="1260" w:type="dxa"/>
            <w:tcBorders>
              <w:top w:val="nil"/>
              <w:left w:val="nil"/>
              <w:bottom w:val="single" w:sz="4" w:space="0" w:color="auto"/>
              <w:right w:val="single" w:sz="4" w:space="0" w:color="auto"/>
            </w:tcBorders>
            <w:shd w:val="clear" w:color="auto" w:fill="auto"/>
            <w:vAlign w:val="center"/>
            <w:hideMark/>
          </w:tcPr>
          <w:p w:rsidR="00EF3F0F" w:rsidRPr="001F17A3" w:rsidRDefault="00B100B7">
            <w:pPr>
              <w:autoSpaceDE/>
              <w:autoSpaceDN/>
              <w:adjustRightInd/>
              <w:rPr>
                <w:rFonts w:cs="Arial"/>
                <w:color w:val="000000"/>
                <w:sz w:val="18"/>
                <w:szCs w:val="18"/>
              </w:rPr>
            </w:pPr>
            <w:r w:rsidRPr="00B100B7">
              <w:rPr>
                <w:rFonts w:cs="Arial"/>
                <w:color w:val="000000"/>
                <w:sz w:val="18"/>
                <w:szCs w:val="18"/>
              </w:rPr>
              <w:t>Item Control Exemptions</w:t>
            </w:r>
          </w:p>
        </w:tc>
        <w:tc>
          <w:tcPr>
            <w:tcW w:w="1080" w:type="dxa"/>
            <w:tcBorders>
              <w:top w:val="nil"/>
              <w:left w:val="nil"/>
              <w:bottom w:val="single" w:sz="4" w:space="0" w:color="auto"/>
              <w:right w:val="single" w:sz="4" w:space="0" w:color="auto"/>
            </w:tcBorders>
            <w:shd w:val="clear" w:color="auto" w:fill="auto"/>
            <w:vAlign w:val="center"/>
            <w:hideMark/>
          </w:tcPr>
          <w:p w:rsidR="00EF3F0F" w:rsidRPr="001F17A3" w:rsidRDefault="00EF3F0F" w:rsidP="00510D15">
            <w:pPr>
              <w:autoSpaceDE/>
              <w:autoSpaceDN/>
              <w:adjustRightInd/>
              <w:jc w:val="center"/>
              <w:rPr>
                <w:rFonts w:cs="Arial"/>
                <w:color w:val="000000"/>
                <w:sz w:val="18"/>
                <w:szCs w:val="18"/>
              </w:rPr>
            </w:pPr>
            <w:r w:rsidRPr="001F17A3">
              <w:rPr>
                <w:rFonts w:cs="Arial"/>
                <w:color w:val="000000"/>
                <w:sz w:val="18"/>
                <w:szCs w:val="18"/>
              </w:rPr>
              <w:t>3</w:t>
            </w:r>
          </w:p>
        </w:tc>
        <w:tc>
          <w:tcPr>
            <w:tcW w:w="810" w:type="dxa"/>
            <w:tcBorders>
              <w:top w:val="nil"/>
              <w:left w:val="nil"/>
              <w:bottom w:val="single" w:sz="4" w:space="0" w:color="auto"/>
              <w:right w:val="single" w:sz="4" w:space="0" w:color="auto"/>
            </w:tcBorders>
            <w:shd w:val="clear" w:color="auto" w:fill="auto"/>
            <w:vAlign w:val="center"/>
            <w:hideMark/>
          </w:tcPr>
          <w:p w:rsidR="00EF3F0F" w:rsidRPr="001F17A3" w:rsidRDefault="00EF3F0F" w:rsidP="00510D15">
            <w:pPr>
              <w:autoSpaceDE/>
              <w:autoSpaceDN/>
              <w:adjustRightInd/>
              <w:jc w:val="center"/>
              <w:rPr>
                <w:rFonts w:cs="Arial"/>
                <w:color w:val="000000"/>
                <w:sz w:val="18"/>
                <w:szCs w:val="18"/>
              </w:rPr>
            </w:pPr>
            <w:r w:rsidRPr="001F17A3">
              <w:rPr>
                <w:rFonts w:cs="Arial"/>
                <w:color w:val="000000"/>
                <w:sz w:val="18"/>
                <w:szCs w:val="18"/>
              </w:rPr>
              <w:t>$73.20</w:t>
            </w:r>
          </w:p>
        </w:tc>
        <w:tc>
          <w:tcPr>
            <w:tcW w:w="990" w:type="dxa"/>
            <w:tcBorders>
              <w:top w:val="nil"/>
              <w:left w:val="nil"/>
              <w:bottom w:val="single" w:sz="4" w:space="0" w:color="auto"/>
              <w:right w:val="single" w:sz="4" w:space="0" w:color="auto"/>
            </w:tcBorders>
            <w:shd w:val="clear" w:color="auto" w:fill="auto"/>
            <w:vAlign w:val="center"/>
            <w:hideMark/>
          </w:tcPr>
          <w:p w:rsidR="00EF3F0F" w:rsidRPr="001F17A3" w:rsidRDefault="00EF3F0F" w:rsidP="00510D15">
            <w:pPr>
              <w:autoSpaceDE/>
              <w:autoSpaceDN/>
              <w:adjustRightInd/>
              <w:jc w:val="center"/>
              <w:rPr>
                <w:rFonts w:cs="Arial"/>
                <w:color w:val="000000"/>
                <w:sz w:val="18"/>
                <w:szCs w:val="18"/>
              </w:rPr>
            </w:pPr>
            <w:r w:rsidRPr="001F17A3">
              <w:rPr>
                <w:rFonts w:cs="Arial"/>
                <w:color w:val="000000"/>
                <w:sz w:val="18"/>
                <w:szCs w:val="18"/>
              </w:rPr>
              <w:t>100</w:t>
            </w:r>
          </w:p>
        </w:tc>
        <w:tc>
          <w:tcPr>
            <w:tcW w:w="990"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$7,320</w:t>
            </w:r>
          </w:p>
        </w:tc>
        <w:tc>
          <w:tcPr>
            <w:tcW w:w="990"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$21,960</w:t>
            </w:r>
          </w:p>
        </w:tc>
        <w:tc>
          <w:tcPr>
            <w:tcW w:w="1440"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$18,300</w:t>
            </w:r>
          </w:p>
        </w:tc>
        <w:tc>
          <w:tcPr>
            <w:tcW w:w="1489"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$54,900</w:t>
            </w:r>
          </w:p>
        </w:tc>
      </w:tr>
      <w:tr w:rsidR="00A009E2" w:rsidRPr="001F17A3" w:rsidTr="00460063">
        <w:trPr>
          <w:trHeight w:val="571"/>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C64AC7" w:rsidRDefault="00B100B7" w:rsidP="00460063">
            <w:pPr>
              <w:autoSpaceDE/>
              <w:autoSpaceDN/>
              <w:adjustRightInd/>
              <w:jc w:val="center"/>
              <w:rPr>
                <w:rFonts w:cs="Arial"/>
                <w:color w:val="000000"/>
                <w:sz w:val="18"/>
                <w:szCs w:val="18"/>
              </w:rPr>
            </w:pPr>
            <w:r w:rsidRPr="00B100B7">
              <w:rPr>
                <w:rFonts w:cs="Arial"/>
                <w:color w:val="000000"/>
                <w:sz w:val="18"/>
                <w:szCs w:val="18"/>
              </w:rPr>
              <w:t>74.33(c)(6)(ii)</w:t>
            </w:r>
          </w:p>
        </w:tc>
        <w:tc>
          <w:tcPr>
            <w:tcW w:w="1260" w:type="dxa"/>
            <w:tcBorders>
              <w:top w:val="nil"/>
              <w:left w:val="nil"/>
              <w:bottom w:val="single" w:sz="4" w:space="0" w:color="auto"/>
              <w:right w:val="single" w:sz="4" w:space="0" w:color="auto"/>
            </w:tcBorders>
            <w:shd w:val="clear" w:color="auto" w:fill="auto"/>
            <w:vAlign w:val="center"/>
            <w:hideMark/>
          </w:tcPr>
          <w:p w:rsidR="00EF3F0F" w:rsidRPr="001F17A3" w:rsidRDefault="00B100B7">
            <w:pPr>
              <w:autoSpaceDE/>
              <w:autoSpaceDN/>
              <w:adjustRightInd/>
              <w:rPr>
                <w:rFonts w:cs="Arial"/>
                <w:color w:val="000000"/>
                <w:sz w:val="18"/>
                <w:szCs w:val="18"/>
              </w:rPr>
            </w:pPr>
            <w:r w:rsidRPr="00B100B7">
              <w:rPr>
                <w:rFonts w:cs="Arial"/>
                <w:color w:val="000000"/>
                <w:sz w:val="18"/>
                <w:szCs w:val="18"/>
              </w:rPr>
              <w:t>Item Control Exemptions</w:t>
            </w:r>
          </w:p>
        </w:tc>
        <w:tc>
          <w:tcPr>
            <w:tcW w:w="1080" w:type="dxa"/>
            <w:tcBorders>
              <w:top w:val="nil"/>
              <w:left w:val="nil"/>
              <w:bottom w:val="single" w:sz="4" w:space="0" w:color="auto"/>
              <w:right w:val="single" w:sz="4" w:space="0" w:color="auto"/>
            </w:tcBorders>
            <w:shd w:val="clear" w:color="auto" w:fill="auto"/>
            <w:vAlign w:val="center"/>
            <w:hideMark/>
          </w:tcPr>
          <w:p w:rsidR="00EF3F0F" w:rsidRPr="001F17A3" w:rsidRDefault="00EF3F0F" w:rsidP="00510D15">
            <w:pPr>
              <w:autoSpaceDE/>
              <w:autoSpaceDN/>
              <w:adjustRightInd/>
              <w:jc w:val="center"/>
              <w:rPr>
                <w:rFonts w:cs="Arial"/>
                <w:color w:val="000000"/>
                <w:sz w:val="18"/>
                <w:szCs w:val="18"/>
              </w:rPr>
            </w:pPr>
            <w:r w:rsidRPr="001F17A3">
              <w:rPr>
                <w:rFonts w:cs="Arial"/>
                <w:color w:val="000000"/>
                <w:sz w:val="18"/>
                <w:szCs w:val="18"/>
              </w:rPr>
              <w:t>4</w:t>
            </w:r>
          </w:p>
        </w:tc>
        <w:tc>
          <w:tcPr>
            <w:tcW w:w="810" w:type="dxa"/>
            <w:tcBorders>
              <w:top w:val="nil"/>
              <w:left w:val="nil"/>
              <w:bottom w:val="single" w:sz="4" w:space="0" w:color="auto"/>
              <w:right w:val="single" w:sz="4" w:space="0" w:color="auto"/>
            </w:tcBorders>
            <w:shd w:val="clear" w:color="auto" w:fill="auto"/>
            <w:vAlign w:val="center"/>
            <w:hideMark/>
          </w:tcPr>
          <w:p w:rsidR="00EF3F0F" w:rsidRPr="001F17A3" w:rsidRDefault="00EF3F0F" w:rsidP="00510D15">
            <w:pPr>
              <w:autoSpaceDE/>
              <w:autoSpaceDN/>
              <w:adjustRightInd/>
              <w:jc w:val="center"/>
              <w:rPr>
                <w:rFonts w:cs="Arial"/>
                <w:color w:val="000000"/>
                <w:sz w:val="18"/>
                <w:szCs w:val="18"/>
              </w:rPr>
            </w:pPr>
            <w:r w:rsidRPr="001F17A3">
              <w:rPr>
                <w:rFonts w:cs="Arial"/>
                <w:color w:val="000000"/>
                <w:sz w:val="18"/>
                <w:szCs w:val="18"/>
              </w:rPr>
              <w:t>$73.20</w:t>
            </w:r>
          </w:p>
        </w:tc>
        <w:tc>
          <w:tcPr>
            <w:tcW w:w="990" w:type="dxa"/>
            <w:tcBorders>
              <w:top w:val="nil"/>
              <w:left w:val="nil"/>
              <w:bottom w:val="single" w:sz="4" w:space="0" w:color="auto"/>
              <w:right w:val="single" w:sz="4" w:space="0" w:color="auto"/>
            </w:tcBorders>
            <w:shd w:val="clear" w:color="auto" w:fill="auto"/>
            <w:vAlign w:val="center"/>
            <w:hideMark/>
          </w:tcPr>
          <w:p w:rsidR="00EF3F0F" w:rsidRPr="001F17A3" w:rsidRDefault="00EF3F0F" w:rsidP="00510D15">
            <w:pPr>
              <w:autoSpaceDE/>
              <w:autoSpaceDN/>
              <w:adjustRightInd/>
              <w:jc w:val="center"/>
              <w:rPr>
                <w:rFonts w:cs="Arial"/>
                <w:color w:val="000000"/>
                <w:sz w:val="18"/>
                <w:szCs w:val="18"/>
              </w:rPr>
            </w:pPr>
            <w:r w:rsidRPr="001F17A3">
              <w:rPr>
                <w:rFonts w:cs="Arial"/>
                <w:color w:val="000000"/>
                <w:sz w:val="18"/>
                <w:szCs w:val="18"/>
              </w:rPr>
              <w:t>100</w:t>
            </w:r>
          </w:p>
        </w:tc>
        <w:tc>
          <w:tcPr>
            <w:tcW w:w="990"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$7,320</w:t>
            </w:r>
          </w:p>
        </w:tc>
        <w:tc>
          <w:tcPr>
            <w:tcW w:w="990"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$29,280</w:t>
            </w:r>
          </w:p>
        </w:tc>
        <w:tc>
          <w:tcPr>
            <w:tcW w:w="1440"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$18,300</w:t>
            </w:r>
          </w:p>
        </w:tc>
        <w:tc>
          <w:tcPr>
            <w:tcW w:w="1489"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$73,200</w:t>
            </w:r>
          </w:p>
        </w:tc>
      </w:tr>
      <w:tr w:rsidR="00A009E2" w:rsidRPr="001F17A3" w:rsidTr="00460063">
        <w:trPr>
          <w:trHeight w:val="499"/>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EF3F0F" w:rsidRPr="001F17A3" w:rsidRDefault="00B100B7" w:rsidP="00F978DE">
            <w:pPr>
              <w:autoSpaceDE/>
              <w:autoSpaceDN/>
              <w:adjustRightInd/>
              <w:rPr>
                <w:rFonts w:cs="Arial"/>
                <w:color w:val="000000"/>
                <w:sz w:val="18"/>
                <w:szCs w:val="18"/>
              </w:rPr>
            </w:pPr>
            <w:r w:rsidRPr="00B100B7">
              <w:rPr>
                <w:rFonts w:cs="Arial"/>
                <w:color w:val="000000"/>
                <w:sz w:val="18"/>
                <w:szCs w:val="18"/>
              </w:rPr>
              <w:t>74.43(b)(6)</w:t>
            </w:r>
          </w:p>
        </w:tc>
        <w:tc>
          <w:tcPr>
            <w:tcW w:w="1260" w:type="dxa"/>
            <w:tcBorders>
              <w:top w:val="nil"/>
              <w:left w:val="nil"/>
              <w:bottom w:val="single" w:sz="4" w:space="0" w:color="auto"/>
              <w:right w:val="single" w:sz="4" w:space="0" w:color="auto"/>
            </w:tcBorders>
            <w:shd w:val="clear" w:color="auto" w:fill="auto"/>
            <w:vAlign w:val="center"/>
            <w:hideMark/>
          </w:tcPr>
          <w:p w:rsidR="00EF3F0F" w:rsidRPr="001F17A3" w:rsidRDefault="00B100B7">
            <w:pPr>
              <w:autoSpaceDE/>
              <w:autoSpaceDN/>
              <w:adjustRightInd/>
              <w:rPr>
                <w:rFonts w:cs="Arial"/>
                <w:color w:val="000000"/>
                <w:sz w:val="18"/>
                <w:szCs w:val="18"/>
              </w:rPr>
            </w:pPr>
            <w:r w:rsidRPr="00B100B7">
              <w:rPr>
                <w:rFonts w:cs="Arial"/>
                <w:color w:val="000000"/>
                <w:sz w:val="18"/>
                <w:szCs w:val="18"/>
              </w:rPr>
              <w:t>Item Control Exemptions</w:t>
            </w:r>
          </w:p>
        </w:tc>
        <w:tc>
          <w:tcPr>
            <w:tcW w:w="1080" w:type="dxa"/>
            <w:tcBorders>
              <w:top w:val="nil"/>
              <w:left w:val="nil"/>
              <w:bottom w:val="single" w:sz="4" w:space="0" w:color="auto"/>
              <w:right w:val="single" w:sz="4" w:space="0" w:color="auto"/>
            </w:tcBorders>
            <w:shd w:val="clear" w:color="auto" w:fill="auto"/>
            <w:vAlign w:val="center"/>
            <w:hideMark/>
          </w:tcPr>
          <w:p w:rsidR="00EF3F0F" w:rsidRPr="001F17A3" w:rsidRDefault="00EF3F0F" w:rsidP="00510D15">
            <w:pPr>
              <w:autoSpaceDE/>
              <w:autoSpaceDN/>
              <w:adjustRightInd/>
              <w:jc w:val="center"/>
              <w:rPr>
                <w:rFonts w:cs="Arial"/>
                <w:color w:val="000000"/>
                <w:sz w:val="18"/>
                <w:szCs w:val="18"/>
              </w:rPr>
            </w:pPr>
            <w:r w:rsidRPr="001F17A3">
              <w:rPr>
                <w:rFonts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rsidR="00EF3F0F" w:rsidRPr="001F17A3" w:rsidRDefault="00EF3F0F" w:rsidP="00510D15">
            <w:pPr>
              <w:autoSpaceDE/>
              <w:autoSpaceDN/>
              <w:adjustRightInd/>
              <w:jc w:val="center"/>
              <w:rPr>
                <w:rFonts w:cs="Arial"/>
                <w:color w:val="000000"/>
                <w:sz w:val="18"/>
                <w:szCs w:val="18"/>
              </w:rPr>
            </w:pPr>
            <w:r w:rsidRPr="001F17A3">
              <w:rPr>
                <w:rFonts w:cs="Arial"/>
                <w:color w:val="000000"/>
                <w:sz w:val="18"/>
                <w:szCs w:val="18"/>
              </w:rPr>
              <w:t>$73.20</w:t>
            </w:r>
          </w:p>
        </w:tc>
        <w:tc>
          <w:tcPr>
            <w:tcW w:w="990" w:type="dxa"/>
            <w:tcBorders>
              <w:top w:val="nil"/>
              <w:left w:val="nil"/>
              <w:bottom w:val="single" w:sz="4" w:space="0" w:color="auto"/>
              <w:right w:val="single" w:sz="4" w:space="0" w:color="auto"/>
            </w:tcBorders>
            <w:shd w:val="clear" w:color="auto" w:fill="auto"/>
            <w:vAlign w:val="center"/>
            <w:hideMark/>
          </w:tcPr>
          <w:p w:rsidR="00EF3F0F" w:rsidRPr="001F17A3" w:rsidRDefault="00EF3F0F" w:rsidP="00510D15">
            <w:pPr>
              <w:autoSpaceDE/>
              <w:autoSpaceDN/>
              <w:adjustRightInd/>
              <w:jc w:val="center"/>
              <w:rPr>
                <w:rFonts w:cs="Arial"/>
                <w:color w:val="000000"/>
                <w:sz w:val="18"/>
                <w:szCs w:val="18"/>
              </w:rPr>
            </w:pPr>
            <w:r w:rsidRPr="001F17A3">
              <w:rPr>
                <w:rFonts w:cs="Arial"/>
                <w:color w:val="000000"/>
                <w:sz w:val="18"/>
                <w:szCs w:val="18"/>
              </w:rPr>
              <w:t>100</w:t>
            </w:r>
          </w:p>
        </w:tc>
        <w:tc>
          <w:tcPr>
            <w:tcW w:w="990"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$7,320</w:t>
            </w:r>
          </w:p>
        </w:tc>
        <w:tc>
          <w:tcPr>
            <w:tcW w:w="990"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$7,320</w:t>
            </w:r>
          </w:p>
        </w:tc>
        <w:tc>
          <w:tcPr>
            <w:tcW w:w="1440"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$18,300</w:t>
            </w:r>
          </w:p>
        </w:tc>
        <w:tc>
          <w:tcPr>
            <w:tcW w:w="1489" w:type="dxa"/>
            <w:tcBorders>
              <w:top w:val="nil"/>
              <w:left w:val="nil"/>
              <w:bottom w:val="single" w:sz="4" w:space="0" w:color="auto"/>
              <w:right w:val="single" w:sz="4" w:space="0" w:color="auto"/>
            </w:tcBorders>
            <w:shd w:val="clear" w:color="auto" w:fill="auto"/>
            <w:vAlign w:val="center"/>
            <w:hideMark/>
          </w:tcPr>
          <w:p w:rsidR="00EF3F0F" w:rsidRPr="001F17A3" w:rsidRDefault="00B100B7" w:rsidP="00510D15">
            <w:pPr>
              <w:autoSpaceDE/>
              <w:autoSpaceDN/>
              <w:adjustRightInd/>
              <w:jc w:val="center"/>
              <w:rPr>
                <w:rFonts w:cs="Arial"/>
                <w:color w:val="000000"/>
                <w:sz w:val="18"/>
                <w:szCs w:val="18"/>
              </w:rPr>
            </w:pPr>
            <w:r>
              <w:rPr>
                <w:rFonts w:cs="Arial"/>
                <w:color w:val="000000"/>
                <w:sz w:val="18"/>
                <w:szCs w:val="18"/>
              </w:rPr>
              <w:t>$18,300</w:t>
            </w:r>
          </w:p>
        </w:tc>
      </w:tr>
      <w:tr w:rsidR="00A009E2" w:rsidRPr="001F17A3" w:rsidTr="00460063">
        <w:trPr>
          <w:trHeight w:val="427"/>
        </w:trPr>
        <w:tc>
          <w:tcPr>
            <w:tcW w:w="1306" w:type="dxa"/>
            <w:tcBorders>
              <w:top w:val="nil"/>
              <w:left w:val="single" w:sz="4" w:space="0" w:color="auto"/>
              <w:bottom w:val="single" w:sz="4" w:space="0" w:color="auto"/>
              <w:right w:val="single" w:sz="4" w:space="0" w:color="auto"/>
            </w:tcBorders>
            <w:shd w:val="clear" w:color="auto" w:fill="auto"/>
            <w:vAlign w:val="center"/>
            <w:hideMark/>
          </w:tcPr>
          <w:p w:rsidR="008F4F05" w:rsidRPr="001F17A3" w:rsidRDefault="00900E47" w:rsidP="00510D15">
            <w:pPr>
              <w:autoSpaceDE/>
              <w:autoSpaceDN/>
              <w:adjustRightInd/>
              <w:jc w:val="center"/>
              <w:rPr>
                <w:rFonts w:cs="Arial"/>
                <w:color w:val="000000"/>
                <w:sz w:val="18"/>
                <w:szCs w:val="18"/>
              </w:rPr>
            </w:pPr>
            <w:r w:rsidRPr="001F17A3">
              <w:rPr>
                <w:rFonts w:cs="Arial"/>
                <w:color w:val="000000"/>
                <w:sz w:val="18"/>
                <w:szCs w:val="18"/>
              </w:rPr>
              <w:t>Total</w:t>
            </w:r>
          </w:p>
        </w:tc>
        <w:tc>
          <w:tcPr>
            <w:tcW w:w="1260" w:type="dxa"/>
            <w:tcBorders>
              <w:top w:val="nil"/>
              <w:left w:val="nil"/>
              <w:bottom w:val="single" w:sz="4" w:space="0" w:color="auto"/>
              <w:right w:val="single" w:sz="4" w:space="0" w:color="auto"/>
            </w:tcBorders>
            <w:shd w:val="clear" w:color="auto" w:fill="auto"/>
            <w:vAlign w:val="center"/>
            <w:hideMark/>
          </w:tcPr>
          <w:p w:rsidR="008F4F05" w:rsidRPr="001F17A3" w:rsidRDefault="00900E47" w:rsidP="008F4F05">
            <w:pPr>
              <w:autoSpaceDE/>
              <w:autoSpaceDN/>
              <w:adjustRightInd/>
              <w:jc w:val="center"/>
              <w:rPr>
                <w:rFonts w:ascii="Calibri" w:hAnsi="Calibri"/>
                <w:color w:val="000000"/>
                <w:sz w:val="18"/>
                <w:szCs w:val="18"/>
              </w:rPr>
            </w:pPr>
            <w:r w:rsidRPr="001F17A3">
              <w:rPr>
                <w:rFonts w:ascii="Calibri" w:hAnsi="Calibri"/>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F4F05" w:rsidRPr="001F17A3" w:rsidRDefault="008F4F05" w:rsidP="00510D15">
            <w:pPr>
              <w:autoSpaceDE/>
              <w:autoSpaceDN/>
              <w:adjustRightInd/>
              <w:jc w:val="center"/>
              <w:rPr>
                <w:rFonts w:cs="Arial"/>
                <w:color w:val="000000"/>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8F4F05" w:rsidRPr="001F17A3" w:rsidRDefault="008F4F05" w:rsidP="00510D15">
            <w:pPr>
              <w:autoSpaceDE/>
              <w:autoSpaceDN/>
              <w:adjustRightInd/>
              <w:jc w:val="center"/>
              <w:rPr>
                <w:rFonts w:ascii="Calibri" w:hAnsi="Calibri"/>
                <w:color w:val="000000"/>
                <w:sz w:val="18"/>
                <w:szCs w:val="18"/>
              </w:rPr>
            </w:pPr>
          </w:p>
        </w:tc>
        <w:tc>
          <w:tcPr>
            <w:tcW w:w="990" w:type="dxa"/>
            <w:tcBorders>
              <w:top w:val="nil"/>
              <w:left w:val="nil"/>
              <w:bottom w:val="single" w:sz="4" w:space="0" w:color="auto"/>
              <w:right w:val="single" w:sz="4" w:space="0" w:color="auto"/>
            </w:tcBorders>
            <w:shd w:val="clear" w:color="auto" w:fill="auto"/>
            <w:vAlign w:val="center"/>
            <w:hideMark/>
          </w:tcPr>
          <w:p w:rsidR="008F4F05" w:rsidRPr="001F17A3" w:rsidRDefault="008F4F05" w:rsidP="00510D15">
            <w:pPr>
              <w:autoSpaceDE/>
              <w:autoSpaceDN/>
              <w:adjustRightInd/>
              <w:jc w:val="center"/>
              <w:rPr>
                <w:rFonts w:ascii="Calibri" w:hAnsi="Calibri"/>
                <w:color w:val="000000"/>
                <w:sz w:val="18"/>
                <w:szCs w:val="18"/>
              </w:rPr>
            </w:pPr>
          </w:p>
        </w:tc>
        <w:tc>
          <w:tcPr>
            <w:tcW w:w="990" w:type="dxa"/>
            <w:tcBorders>
              <w:top w:val="nil"/>
              <w:left w:val="nil"/>
              <w:bottom w:val="single" w:sz="4" w:space="0" w:color="auto"/>
              <w:right w:val="single" w:sz="4" w:space="0" w:color="auto"/>
            </w:tcBorders>
            <w:shd w:val="clear" w:color="auto" w:fill="auto"/>
            <w:vAlign w:val="center"/>
            <w:hideMark/>
          </w:tcPr>
          <w:p w:rsidR="008F4F05" w:rsidRPr="001F17A3" w:rsidRDefault="008F4F05" w:rsidP="00510D15">
            <w:pPr>
              <w:autoSpaceDE/>
              <w:autoSpaceDN/>
              <w:adjustRightInd/>
              <w:jc w:val="center"/>
              <w:rPr>
                <w:rFonts w:cs="Arial"/>
                <w:color w:val="000000"/>
                <w:sz w:val="18"/>
                <w:szCs w:val="18"/>
              </w:rPr>
            </w:pPr>
          </w:p>
        </w:tc>
        <w:tc>
          <w:tcPr>
            <w:tcW w:w="990" w:type="dxa"/>
            <w:tcBorders>
              <w:top w:val="nil"/>
              <w:left w:val="nil"/>
              <w:bottom w:val="single" w:sz="4" w:space="0" w:color="auto"/>
              <w:right w:val="single" w:sz="4" w:space="0" w:color="auto"/>
            </w:tcBorders>
            <w:shd w:val="clear" w:color="auto" w:fill="auto"/>
            <w:vAlign w:val="center"/>
            <w:hideMark/>
          </w:tcPr>
          <w:p w:rsidR="008F4F05" w:rsidRPr="001F17A3" w:rsidRDefault="00B100B7" w:rsidP="00510D15">
            <w:pPr>
              <w:autoSpaceDE/>
              <w:autoSpaceDN/>
              <w:adjustRightInd/>
              <w:jc w:val="center"/>
              <w:rPr>
                <w:rFonts w:cs="Arial"/>
                <w:color w:val="000000"/>
                <w:sz w:val="18"/>
                <w:szCs w:val="18"/>
              </w:rPr>
            </w:pPr>
            <w:r>
              <w:rPr>
                <w:rFonts w:cs="Arial"/>
                <w:color w:val="000000"/>
                <w:sz w:val="18"/>
                <w:szCs w:val="18"/>
              </w:rPr>
              <w:t>$</w:t>
            </w:r>
            <w:r w:rsidR="00940860">
              <w:rPr>
                <w:rFonts w:cs="Arial"/>
                <w:color w:val="000000"/>
                <w:sz w:val="18"/>
                <w:szCs w:val="18"/>
              </w:rPr>
              <w:t>72,395</w:t>
            </w:r>
          </w:p>
        </w:tc>
        <w:tc>
          <w:tcPr>
            <w:tcW w:w="1440" w:type="dxa"/>
            <w:tcBorders>
              <w:top w:val="nil"/>
              <w:left w:val="nil"/>
              <w:bottom w:val="single" w:sz="4" w:space="0" w:color="auto"/>
              <w:right w:val="single" w:sz="4" w:space="0" w:color="auto"/>
            </w:tcBorders>
            <w:shd w:val="clear" w:color="auto" w:fill="auto"/>
            <w:vAlign w:val="center"/>
            <w:hideMark/>
          </w:tcPr>
          <w:p w:rsidR="008F4F05" w:rsidRPr="001F17A3" w:rsidRDefault="008F4F05" w:rsidP="00510D15">
            <w:pPr>
              <w:autoSpaceDE/>
              <w:autoSpaceDN/>
              <w:adjustRightInd/>
              <w:jc w:val="center"/>
              <w:rPr>
                <w:rFonts w:cs="Arial"/>
                <w:color w:val="000000"/>
                <w:sz w:val="18"/>
                <w:szCs w:val="18"/>
              </w:rPr>
            </w:pPr>
          </w:p>
        </w:tc>
        <w:tc>
          <w:tcPr>
            <w:tcW w:w="1489" w:type="dxa"/>
            <w:tcBorders>
              <w:top w:val="nil"/>
              <w:left w:val="nil"/>
              <w:bottom w:val="single" w:sz="4" w:space="0" w:color="auto"/>
              <w:right w:val="single" w:sz="4" w:space="0" w:color="auto"/>
            </w:tcBorders>
            <w:shd w:val="clear" w:color="auto" w:fill="auto"/>
            <w:vAlign w:val="center"/>
            <w:hideMark/>
          </w:tcPr>
          <w:p w:rsidR="008F4F05" w:rsidRPr="001F17A3" w:rsidRDefault="00B100B7" w:rsidP="00510D15">
            <w:pPr>
              <w:autoSpaceDE/>
              <w:autoSpaceDN/>
              <w:adjustRightInd/>
              <w:jc w:val="center"/>
              <w:rPr>
                <w:rFonts w:cs="Arial"/>
                <w:color w:val="000000"/>
                <w:sz w:val="18"/>
                <w:szCs w:val="18"/>
              </w:rPr>
            </w:pPr>
            <w:r>
              <w:rPr>
                <w:rFonts w:cs="Arial"/>
                <w:color w:val="000000"/>
                <w:sz w:val="18"/>
                <w:szCs w:val="18"/>
              </w:rPr>
              <w:t>$</w:t>
            </w:r>
            <w:r w:rsidR="00BE206C">
              <w:rPr>
                <w:rFonts w:cs="Arial"/>
                <w:color w:val="000000"/>
                <w:sz w:val="18"/>
                <w:szCs w:val="18"/>
              </w:rPr>
              <w:t>169,458</w:t>
            </w:r>
          </w:p>
        </w:tc>
      </w:tr>
    </w:tbl>
    <w:p w:rsidR="00621A36" w:rsidRDefault="00621A36" w:rsidP="00ED0FC8">
      <w:pPr>
        <w:numPr>
          <w:ilvl w:val="12"/>
          <w:numId w:val="0"/>
        </w:numPr>
        <w:rPr>
          <w:rFonts w:cs="Arial"/>
          <w:b/>
          <w:bCs/>
          <w:sz w:val="22"/>
          <w:szCs w:val="22"/>
        </w:rPr>
      </w:pPr>
    </w:p>
    <w:p w:rsidR="00A009E2" w:rsidRDefault="00A009E2" w:rsidP="00621A36">
      <w:pPr>
        <w:numPr>
          <w:ilvl w:val="12"/>
          <w:numId w:val="0"/>
        </w:numPr>
        <w:rPr>
          <w:rFonts w:cs="Arial"/>
          <w:bCs/>
          <w:sz w:val="22"/>
          <w:szCs w:val="22"/>
        </w:rPr>
      </w:pPr>
    </w:p>
    <w:p w:rsidR="001E6CE6" w:rsidRDefault="001E6CE6" w:rsidP="00621A36">
      <w:pPr>
        <w:numPr>
          <w:ilvl w:val="12"/>
          <w:numId w:val="0"/>
        </w:numPr>
        <w:rPr>
          <w:rFonts w:cs="Arial"/>
          <w:bCs/>
          <w:sz w:val="22"/>
          <w:szCs w:val="22"/>
        </w:rPr>
      </w:pPr>
      <w:r>
        <w:rPr>
          <w:rFonts w:cs="Arial"/>
          <w:bCs/>
          <w:sz w:val="22"/>
          <w:szCs w:val="22"/>
        </w:rPr>
        <w:t>Option 2B:  No Credit Given for Current Industry Actions</w:t>
      </w:r>
    </w:p>
    <w:p w:rsidR="00380900" w:rsidRDefault="00380900" w:rsidP="00621A36">
      <w:pPr>
        <w:numPr>
          <w:ilvl w:val="12"/>
          <w:numId w:val="0"/>
        </w:numPr>
        <w:rPr>
          <w:rFonts w:cs="Arial"/>
          <w:bCs/>
          <w:sz w:val="22"/>
          <w:szCs w:val="22"/>
        </w:rPr>
      </w:pPr>
    </w:p>
    <w:p w:rsidR="00C14D73" w:rsidRDefault="005F7B89" w:rsidP="00621A36">
      <w:pPr>
        <w:numPr>
          <w:ilvl w:val="12"/>
          <w:numId w:val="0"/>
        </w:numPr>
        <w:rPr>
          <w:rFonts w:cs="Arial"/>
          <w:bCs/>
          <w:sz w:val="22"/>
          <w:szCs w:val="22"/>
        </w:rPr>
      </w:pPr>
      <w:r>
        <w:rPr>
          <w:rFonts w:cs="Arial"/>
          <w:bCs/>
          <w:sz w:val="22"/>
          <w:szCs w:val="22"/>
        </w:rPr>
        <w:t>This value-impact estimate addresses the attributes that would change when no credit is given to industry</w:t>
      </w:r>
      <w:r w:rsidR="00307EB0">
        <w:rPr>
          <w:rFonts w:cs="Arial"/>
          <w:bCs/>
          <w:sz w:val="22"/>
          <w:szCs w:val="22"/>
        </w:rPr>
        <w:t xml:space="preserve"> for MC&amp;A activities that are currently being performed</w:t>
      </w:r>
      <w:r w:rsidR="00067034" w:rsidRPr="00067034">
        <w:rPr>
          <w:rFonts w:cs="Arial"/>
          <w:bCs/>
          <w:sz w:val="22"/>
          <w:szCs w:val="22"/>
        </w:rPr>
        <w:t xml:space="preserve"> </w:t>
      </w:r>
      <w:r w:rsidR="00067034">
        <w:rPr>
          <w:rFonts w:cs="Arial"/>
          <w:bCs/>
          <w:sz w:val="22"/>
          <w:szCs w:val="22"/>
        </w:rPr>
        <w:t>to establish, implement, and maintain an item control system</w:t>
      </w:r>
      <w:r>
        <w:rPr>
          <w:rFonts w:cs="Arial"/>
          <w:bCs/>
          <w:sz w:val="22"/>
          <w:szCs w:val="22"/>
        </w:rPr>
        <w:t xml:space="preserve">.  </w:t>
      </w:r>
      <w:r w:rsidR="00067034" w:rsidRPr="00001116">
        <w:rPr>
          <w:rFonts w:cs="Arial"/>
          <w:sz w:val="22"/>
          <w:szCs w:val="22"/>
        </w:rPr>
        <w:t>The</w:t>
      </w:r>
      <w:r w:rsidR="00067034">
        <w:rPr>
          <w:rFonts w:cs="Arial"/>
          <w:sz w:val="22"/>
          <w:szCs w:val="22"/>
        </w:rPr>
        <w:t xml:space="preserve">re are </w:t>
      </w:r>
      <w:r w:rsidR="00C53054">
        <w:rPr>
          <w:rFonts w:cs="Arial"/>
          <w:sz w:val="22"/>
          <w:szCs w:val="22"/>
        </w:rPr>
        <w:t>65 reactor sites</w:t>
      </w:r>
      <w:r w:rsidR="00067034">
        <w:rPr>
          <w:rFonts w:cs="Arial"/>
          <w:sz w:val="22"/>
          <w:szCs w:val="22"/>
        </w:rPr>
        <w:t xml:space="preserve"> with one or more reactor units that are</w:t>
      </w:r>
      <w:r w:rsidR="00067034" w:rsidRPr="00001116">
        <w:rPr>
          <w:rFonts w:cs="Arial"/>
          <w:sz w:val="22"/>
          <w:szCs w:val="22"/>
        </w:rPr>
        <w:t xml:space="preserve"> license</w:t>
      </w:r>
      <w:r w:rsidR="00067034">
        <w:rPr>
          <w:rFonts w:cs="Arial"/>
          <w:sz w:val="22"/>
          <w:szCs w:val="22"/>
        </w:rPr>
        <w:t xml:space="preserve">d under 10 CFR </w:t>
      </w:r>
      <w:proofErr w:type="gramStart"/>
      <w:r w:rsidR="00067034">
        <w:rPr>
          <w:rFonts w:cs="Arial"/>
          <w:sz w:val="22"/>
          <w:szCs w:val="22"/>
        </w:rPr>
        <w:t>part</w:t>
      </w:r>
      <w:proofErr w:type="gramEnd"/>
      <w:r w:rsidR="00067034">
        <w:rPr>
          <w:rFonts w:cs="Arial"/>
          <w:sz w:val="22"/>
          <w:szCs w:val="22"/>
        </w:rPr>
        <w:t xml:space="preserve"> 50.</w:t>
      </w:r>
      <w:r w:rsidR="00C14D73">
        <w:rPr>
          <w:rFonts w:cs="Arial"/>
          <w:sz w:val="22"/>
          <w:szCs w:val="22"/>
        </w:rPr>
        <w:t xml:space="preserve">  Option 2A </w:t>
      </w:r>
      <w:r w:rsidR="00151FA9">
        <w:rPr>
          <w:rFonts w:cs="Arial"/>
          <w:sz w:val="22"/>
          <w:szCs w:val="22"/>
        </w:rPr>
        <w:t>gives</w:t>
      </w:r>
      <w:r w:rsidR="00C14D73">
        <w:rPr>
          <w:rFonts w:cs="Arial"/>
          <w:sz w:val="22"/>
          <w:szCs w:val="22"/>
        </w:rPr>
        <w:t xml:space="preserve"> full credit for these licensees having an adequate item control system in place.</w:t>
      </w:r>
      <w:r w:rsidR="00067034">
        <w:rPr>
          <w:rFonts w:cs="Arial"/>
          <w:sz w:val="22"/>
          <w:szCs w:val="22"/>
        </w:rPr>
        <w:t xml:space="preserve">  </w:t>
      </w:r>
      <w:r w:rsidR="00C14D73" w:rsidRPr="002405FA">
        <w:rPr>
          <w:rFonts w:cs="Arial"/>
          <w:bCs/>
          <w:sz w:val="22"/>
          <w:szCs w:val="22"/>
        </w:rPr>
        <w:t xml:space="preserve">Because of the uncertainty of knowing </w:t>
      </w:r>
      <w:r w:rsidR="00C14D73">
        <w:rPr>
          <w:rFonts w:cs="Arial"/>
          <w:bCs/>
          <w:sz w:val="22"/>
          <w:szCs w:val="22"/>
        </w:rPr>
        <w:t xml:space="preserve">the extent to </w:t>
      </w:r>
      <w:r w:rsidR="00C14D73" w:rsidRPr="002405FA">
        <w:rPr>
          <w:rFonts w:cs="Arial"/>
          <w:bCs/>
          <w:sz w:val="22"/>
          <w:szCs w:val="22"/>
        </w:rPr>
        <w:lastRenderedPageBreak/>
        <w:t xml:space="preserve">which </w:t>
      </w:r>
      <w:r w:rsidR="00C14D73">
        <w:rPr>
          <w:rFonts w:cs="Arial"/>
          <w:bCs/>
          <w:sz w:val="22"/>
          <w:szCs w:val="22"/>
        </w:rPr>
        <w:t>10 CFR part 50 licensee</w:t>
      </w:r>
      <w:r w:rsidR="00C14D73" w:rsidRPr="002405FA">
        <w:rPr>
          <w:rFonts w:cs="Arial"/>
          <w:bCs/>
          <w:sz w:val="22"/>
          <w:szCs w:val="22"/>
        </w:rPr>
        <w:t xml:space="preserve">s have developed </w:t>
      </w:r>
      <w:r w:rsidR="00C14D73">
        <w:rPr>
          <w:rFonts w:cs="Arial"/>
          <w:bCs/>
          <w:sz w:val="22"/>
          <w:szCs w:val="22"/>
        </w:rPr>
        <w:t>an adequate item control system</w:t>
      </w:r>
      <w:r w:rsidR="00C14D73" w:rsidRPr="002405FA">
        <w:rPr>
          <w:rFonts w:cs="Arial"/>
          <w:bCs/>
          <w:sz w:val="22"/>
          <w:szCs w:val="22"/>
        </w:rPr>
        <w:t xml:space="preserve">, </w:t>
      </w:r>
      <w:r w:rsidR="00C14D73">
        <w:rPr>
          <w:rFonts w:cs="Arial"/>
          <w:bCs/>
          <w:sz w:val="22"/>
          <w:szCs w:val="22"/>
        </w:rPr>
        <w:t xml:space="preserve">Option 2B assumes no credit for these licensees having an item control system in place.  </w:t>
      </w:r>
    </w:p>
    <w:p w:rsidR="004D7373" w:rsidRDefault="004D7373" w:rsidP="00621A36">
      <w:pPr>
        <w:numPr>
          <w:ilvl w:val="12"/>
          <w:numId w:val="0"/>
        </w:numPr>
        <w:rPr>
          <w:rFonts w:cs="Arial"/>
          <w:bCs/>
          <w:sz w:val="22"/>
          <w:szCs w:val="22"/>
        </w:rPr>
      </w:pPr>
    </w:p>
    <w:p w:rsidR="004D7373" w:rsidRDefault="004D7373" w:rsidP="00621A36">
      <w:pPr>
        <w:numPr>
          <w:ilvl w:val="12"/>
          <w:numId w:val="0"/>
        </w:numPr>
        <w:rPr>
          <w:rFonts w:cs="Arial"/>
          <w:bCs/>
          <w:sz w:val="22"/>
          <w:szCs w:val="22"/>
        </w:rPr>
      </w:pPr>
      <w:r>
        <w:rPr>
          <w:rFonts w:cs="Arial"/>
          <w:bCs/>
          <w:sz w:val="22"/>
          <w:szCs w:val="22"/>
        </w:rPr>
        <w:t>As with Option 2A, Option 2B also assumes no credit for the</w:t>
      </w:r>
      <w:r>
        <w:rPr>
          <w:rFonts w:cs="Arial"/>
          <w:sz w:val="22"/>
          <w:szCs w:val="22"/>
        </w:rPr>
        <w:t xml:space="preserve"> 63 stand-alone</w:t>
      </w:r>
      <w:r w:rsidRPr="00001116">
        <w:rPr>
          <w:rFonts w:cs="Arial"/>
          <w:sz w:val="22"/>
          <w:szCs w:val="22"/>
        </w:rPr>
        <w:t xml:space="preserve"> ISFSI licensees </w:t>
      </w:r>
      <w:r>
        <w:rPr>
          <w:rFonts w:cs="Arial"/>
          <w:sz w:val="22"/>
          <w:szCs w:val="22"/>
        </w:rPr>
        <w:t xml:space="preserve">under 10 CFR part 72 that </w:t>
      </w:r>
      <w:r w:rsidRPr="00001116">
        <w:rPr>
          <w:rFonts w:cs="Arial"/>
          <w:sz w:val="22"/>
          <w:szCs w:val="22"/>
        </w:rPr>
        <w:t xml:space="preserve">would be impacted by the proposed requirement.  </w:t>
      </w:r>
    </w:p>
    <w:p w:rsidR="00C14D73" w:rsidRDefault="00C14D73" w:rsidP="00621A36">
      <w:pPr>
        <w:numPr>
          <w:ilvl w:val="12"/>
          <w:numId w:val="0"/>
        </w:numPr>
        <w:rPr>
          <w:rFonts w:cs="Arial"/>
          <w:bCs/>
          <w:sz w:val="22"/>
          <w:szCs w:val="22"/>
        </w:rPr>
      </w:pPr>
    </w:p>
    <w:p w:rsidR="00ED0D44" w:rsidRDefault="005D3460" w:rsidP="00621A36">
      <w:pPr>
        <w:numPr>
          <w:ilvl w:val="12"/>
          <w:numId w:val="0"/>
        </w:numPr>
        <w:rPr>
          <w:rFonts w:cs="Arial"/>
          <w:bCs/>
          <w:sz w:val="22"/>
          <w:szCs w:val="22"/>
        </w:rPr>
      </w:pPr>
      <w:r>
        <w:rPr>
          <w:rFonts w:cs="Arial"/>
          <w:sz w:val="22"/>
          <w:szCs w:val="22"/>
        </w:rPr>
        <w:t>With no credit given for the current actions taken by the licensees to track and control SNM at the site, it</w:t>
      </w:r>
      <w:r w:rsidR="005F7B89">
        <w:rPr>
          <w:rFonts w:cs="Arial"/>
          <w:bCs/>
          <w:sz w:val="22"/>
          <w:szCs w:val="22"/>
        </w:rPr>
        <w:t xml:space="preserve"> is assumed that the only attribute</w:t>
      </w:r>
      <w:r w:rsidR="00ED0D44">
        <w:rPr>
          <w:rFonts w:cs="Arial"/>
          <w:bCs/>
          <w:sz w:val="22"/>
          <w:szCs w:val="22"/>
        </w:rPr>
        <w:t>s that would change</w:t>
      </w:r>
      <w:r w:rsidR="000F4A96">
        <w:rPr>
          <w:rFonts w:cs="Arial"/>
          <w:bCs/>
          <w:sz w:val="22"/>
          <w:szCs w:val="22"/>
        </w:rPr>
        <w:t xml:space="preserve"> under Option 2B</w:t>
      </w:r>
      <w:r w:rsidR="00ED0D44">
        <w:rPr>
          <w:rFonts w:cs="Arial"/>
          <w:bCs/>
          <w:sz w:val="22"/>
          <w:szCs w:val="22"/>
        </w:rPr>
        <w:t xml:space="preserve"> are the </w:t>
      </w:r>
      <w:r w:rsidR="00307EB0">
        <w:rPr>
          <w:rFonts w:cs="Arial"/>
          <w:bCs/>
          <w:sz w:val="22"/>
          <w:szCs w:val="22"/>
        </w:rPr>
        <w:t xml:space="preserve">industry </w:t>
      </w:r>
      <w:r w:rsidR="00ED0D44">
        <w:rPr>
          <w:rFonts w:cs="Arial"/>
          <w:bCs/>
          <w:sz w:val="22"/>
          <w:szCs w:val="22"/>
        </w:rPr>
        <w:t>implementation</w:t>
      </w:r>
      <w:r w:rsidR="000F4A96">
        <w:rPr>
          <w:rFonts w:cs="Arial"/>
          <w:bCs/>
          <w:sz w:val="22"/>
          <w:szCs w:val="22"/>
        </w:rPr>
        <w:t>,</w:t>
      </w:r>
      <w:r w:rsidR="00ED0D44">
        <w:rPr>
          <w:rFonts w:cs="Arial"/>
          <w:bCs/>
          <w:sz w:val="22"/>
          <w:szCs w:val="22"/>
        </w:rPr>
        <w:t xml:space="preserve"> </w:t>
      </w:r>
      <w:r w:rsidR="00543C60">
        <w:rPr>
          <w:rFonts w:cs="Arial"/>
          <w:bCs/>
          <w:sz w:val="22"/>
          <w:szCs w:val="22"/>
        </w:rPr>
        <w:t xml:space="preserve">the </w:t>
      </w:r>
      <w:r w:rsidR="00307EB0">
        <w:rPr>
          <w:rFonts w:cs="Arial"/>
          <w:bCs/>
          <w:sz w:val="22"/>
          <w:szCs w:val="22"/>
        </w:rPr>
        <w:t xml:space="preserve">industry </w:t>
      </w:r>
      <w:r w:rsidR="00ED0D44">
        <w:rPr>
          <w:rFonts w:cs="Arial"/>
          <w:bCs/>
          <w:sz w:val="22"/>
          <w:szCs w:val="22"/>
        </w:rPr>
        <w:t>operations</w:t>
      </w:r>
      <w:r w:rsidR="000F4A96">
        <w:rPr>
          <w:rFonts w:cs="Arial"/>
          <w:bCs/>
          <w:sz w:val="22"/>
          <w:szCs w:val="22"/>
        </w:rPr>
        <w:t>, and the security and safeguards considerations.</w:t>
      </w:r>
    </w:p>
    <w:p w:rsidR="00ED0D44" w:rsidRDefault="00ED0D44" w:rsidP="00621A36">
      <w:pPr>
        <w:numPr>
          <w:ilvl w:val="12"/>
          <w:numId w:val="0"/>
        </w:numPr>
        <w:rPr>
          <w:rFonts w:cs="Arial"/>
          <w:bCs/>
          <w:sz w:val="22"/>
          <w:szCs w:val="22"/>
        </w:rPr>
      </w:pPr>
    </w:p>
    <w:p w:rsidR="00621A36" w:rsidRPr="007E67F7" w:rsidRDefault="00621A36" w:rsidP="00621A36">
      <w:pPr>
        <w:numPr>
          <w:ilvl w:val="12"/>
          <w:numId w:val="0"/>
        </w:numPr>
        <w:rPr>
          <w:rFonts w:cs="Arial"/>
          <w:bCs/>
          <w:sz w:val="22"/>
          <w:szCs w:val="22"/>
        </w:rPr>
      </w:pPr>
      <w:r w:rsidRPr="007E67F7">
        <w:rPr>
          <w:rFonts w:cs="Arial"/>
          <w:bCs/>
          <w:sz w:val="22"/>
          <w:szCs w:val="22"/>
          <w:u w:val="single"/>
        </w:rPr>
        <w:t>Industry Implementation</w:t>
      </w:r>
    </w:p>
    <w:p w:rsidR="00621A36" w:rsidRPr="007E67F7" w:rsidRDefault="00621A36" w:rsidP="00621A36">
      <w:pPr>
        <w:numPr>
          <w:ilvl w:val="12"/>
          <w:numId w:val="0"/>
        </w:numPr>
        <w:rPr>
          <w:rFonts w:cs="Arial"/>
          <w:bCs/>
          <w:sz w:val="22"/>
          <w:szCs w:val="22"/>
        </w:rPr>
      </w:pPr>
    </w:p>
    <w:p w:rsidR="00621A36" w:rsidRPr="007E67F7" w:rsidRDefault="00621A36" w:rsidP="00621A36">
      <w:pPr>
        <w:numPr>
          <w:ilvl w:val="12"/>
          <w:numId w:val="0"/>
        </w:numPr>
        <w:rPr>
          <w:rFonts w:cs="Arial"/>
          <w:bCs/>
          <w:sz w:val="22"/>
          <w:szCs w:val="22"/>
        </w:rPr>
      </w:pPr>
      <w:r w:rsidRPr="007E67F7">
        <w:rPr>
          <w:rFonts w:cs="Arial"/>
          <w:bCs/>
          <w:sz w:val="22"/>
          <w:szCs w:val="22"/>
        </w:rPr>
        <w:t xml:space="preserve">Impact:  Item Control System  </w:t>
      </w:r>
    </w:p>
    <w:p w:rsidR="00621A36" w:rsidRPr="007E67F7" w:rsidRDefault="00621A36" w:rsidP="00621A36">
      <w:pPr>
        <w:numPr>
          <w:ilvl w:val="12"/>
          <w:numId w:val="0"/>
        </w:numPr>
        <w:rPr>
          <w:rFonts w:cs="Arial"/>
          <w:bCs/>
          <w:sz w:val="22"/>
          <w:szCs w:val="22"/>
        </w:rPr>
      </w:pPr>
    </w:p>
    <w:p w:rsidR="00621A36" w:rsidRPr="007E67F7" w:rsidRDefault="000F4A96" w:rsidP="00621A36">
      <w:pPr>
        <w:numPr>
          <w:ilvl w:val="12"/>
          <w:numId w:val="0"/>
        </w:numPr>
        <w:rPr>
          <w:rFonts w:cs="Arial"/>
          <w:bCs/>
          <w:sz w:val="22"/>
          <w:szCs w:val="22"/>
        </w:rPr>
      </w:pPr>
      <w:r>
        <w:rPr>
          <w:rFonts w:cs="Arial"/>
          <w:bCs/>
          <w:sz w:val="22"/>
          <w:szCs w:val="22"/>
        </w:rPr>
        <w:t>Under Option 2B</w:t>
      </w:r>
      <w:r w:rsidR="00151FA9">
        <w:rPr>
          <w:rFonts w:cs="Arial"/>
          <w:bCs/>
          <w:sz w:val="22"/>
          <w:szCs w:val="22"/>
        </w:rPr>
        <w:t>,</w:t>
      </w:r>
      <w:r>
        <w:rPr>
          <w:rFonts w:cs="Arial"/>
          <w:bCs/>
          <w:sz w:val="22"/>
          <w:szCs w:val="22"/>
        </w:rPr>
        <w:t xml:space="preserve"> t</w:t>
      </w:r>
      <w:r w:rsidR="00621A36" w:rsidRPr="007E67F7">
        <w:rPr>
          <w:rFonts w:cs="Arial"/>
          <w:bCs/>
          <w:sz w:val="22"/>
          <w:szCs w:val="22"/>
        </w:rPr>
        <w:t>he new 10 CFR 74.19(d) would require licensees under 10 CFR part 50 or 52 and ISFSI licensees under 10 CFR part 72 to establish, document, implement, and maintain an item control system as defined in § 74.4.</w:t>
      </w:r>
      <w:r w:rsidR="001B1AC8">
        <w:rPr>
          <w:rFonts w:cs="Arial"/>
          <w:bCs/>
          <w:sz w:val="22"/>
          <w:szCs w:val="22"/>
        </w:rPr>
        <w:t xml:space="preserve">  </w:t>
      </w:r>
      <w:r w:rsidR="00621A36" w:rsidRPr="007E67F7">
        <w:rPr>
          <w:rFonts w:cs="Arial"/>
          <w:bCs/>
          <w:sz w:val="22"/>
          <w:szCs w:val="22"/>
        </w:rPr>
        <w:t>The staff estimated about 5 labor hours would be needed for each of the 12</w:t>
      </w:r>
      <w:r w:rsidR="00BD3E58">
        <w:rPr>
          <w:rFonts w:cs="Arial"/>
          <w:bCs/>
          <w:sz w:val="22"/>
          <w:szCs w:val="22"/>
        </w:rPr>
        <w:t>8</w:t>
      </w:r>
      <w:r w:rsidR="00621A36" w:rsidRPr="007E67F7">
        <w:rPr>
          <w:rFonts w:cs="Arial"/>
          <w:bCs/>
          <w:sz w:val="22"/>
          <w:szCs w:val="22"/>
        </w:rPr>
        <w:t xml:space="preserve"> </w:t>
      </w:r>
      <w:r w:rsidR="00BD3E58">
        <w:rPr>
          <w:rFonts w:cs="Arial"/>
          <w:bCs/>
          <w:sz w:val="22"/>
          <w:szCs w:val="22"/>
        </w:rPr>
        <w:t xml:space="preserve">(65 reactor sites and 63 ISFSIs) </w:t>
      </w:r>
      <w:r w:rsidR="00621A36" w:rsidRPr="007E67F7">
        <w:rPr>
          <w:rFonts w:cs="Arial"/>
          <w:bCs/>
          <w:sz w:val="22"/>
          <w:szCs w:val="22"/>
        </w:rPr>
        <w:t>licensees to establish an item control system.  The labor rate is $73.20 per hour.  The one-time cost per licensee would be $366 and the total one-time cost to the industry would be $46,848</w:t>
      </w:r>
      <w:r w:rsidR="00C941CF">
        <w:rPr>
          <w:rFonts w:cs="Arial"/>
          <w:bCs/>
          <w:sz w:val="22"/>
          <w:szCs w:val="22"/>
        </w:rPr>
        <w:t xml:space="preserve"> and</w:t>
      </w:r>
      <w:r w:rsidR="001B1AC8">
        <w:rPr>
          <w:rFonts w:cs="Arial"/>
          <w:sz w:val="22"/>
          <w:szCs w:val="22"/>
        </w:rPr>
        <w:t xml:space="preserve"> no credit </w:t>
      </w:r>
      <w:r w:rsidR="00C941CF">
        <w:rPr>
          <w:rFonts w:cs="Arial"/>
          <w:sz w:val="22"/>
          <w:szCs w:val="22"/>
        </w:rPr>
        <w:t xml:space="preserve">would </w:t>
      </w:r>
      <w:r w:rsidR="001B1AC8">
        <w:rPr>
          <w:rFonts w:cs="Arial"/>
          <w:sz w:val="22"/>
          <w:szCs w:val="22"/>
        </w:rPr>
        <w:t xml:space="preserve">be given for the actions </w:t>
      </w:r>
      <w:r w:rsidR="00C941CF">
        <w:rPr>
          <w:rFonts w:cs="Arial"/>
          <w:sz w:val="22"/>
          <w:szCs w:val="22"/>
        </w:rPr>
        <w:t xml:space="preserve">currently being </w:t>
      </w:r>
      <w:r w:rsidR="001B1AC8">
        <w:rPr>
          <w:rFonts w:cs="Arial"/>
          <w:sz w:val="22"/>
          <w:szCs w:val="22"/>
        </w:rPr>
        <w:t xml:space="preserve">taken by the licensees to track and control SNM at the site.  </w:t>
      </w:r>
    </w:p>
    <w:p w:rsidR="00621A36" w:rsidRPr="007E67F7" w:rsidRDefault="00621A36" w:rsidP="00621A36">
      <w:pPr>
        <w:numPr>
          <w:ilvl w:val="12"/>
          <w:numId w:val="0"/>
        </w:numPr>
        <w:rPr>
          <w:rFonts w:cs="Arial"/>
          <w:bCs/>
          <w:sz w:val="22"/>
          <w:szCs w:val="22"/>
        </w:rPr>
      </w:pPr>
    </w:p>
    <w:p w:rsidR="00621A36" w:rsidRPr="007E67F7" w:rsidRDefault="00621A36" w:rsidP="00621A36">
      <w:pPr>
        <w:numPr>
          <w:ilvl w:val="12"/>
          <w:numId w:val="0"/>
        </w:numPr>
        <w:rPr>
          <w:rFonts w:cs="Arial"/>
          <w:bCs/>
          <w:sz w:val="22"/>
          <w:szCs w:val="22"/>
        </w:rPr>
      </w:pPr>
      <w:r w:rsidRPr="007E67F7">
        <w:rPr>
          <w:rFonts w:cs="Arial"/>
          <w:bCs/>
          <w:sz w:val="22"/>
          <w:szCs w:val="22"/>
          <w:u w:val="single"/>
        </w:rPr>
        <w:t>Industry Operation</w:t>
      </w:r>
    </w:p>
    <w:p w:rsidR="00621A36" w:rsidRPr="007E67F7" w:rsidRDefault="00621A36" w:rsidP="00621A36">
      <w:pPr>
        <w:numPr>
          <w:ilvl w:val="12"/>
          <w:numId w:val="0"/>
        </w:numPr>
        <w:rPr>
          <w:rFonts w:cs="Arial"/>
          <w:bCs/>
          <w:sz w:val="22"/>
          <w:szCs w:val="22"/>
        </w:rPr>
      </w:pPr>
    </w:p>
    <w:p w:rsidR="00621A36" w:rsidRPr="007E67F7" w:rsidRDefault="00621A36" w:rsidP="00621A36">
      <w:pPr>
        <w:numPr>
          <w:ilvl w:val="12"/>
          <w:numId w:val="0"/>
        </w:numPr>
        <w:rPr>
          <w:rFonts w:cs="Arial"/>
          <w:bCs/>
          <w:sz w:val="22"/>
          <w:szCs w:val="22"/>
        </w:rPr>
      </w:pPr>
      <w:r w:rsidRPr="007E67F7">
        <w:rPr>
          <w:rFonts w:cs="Arial"/>
          <w:bCs/>
          <w:sz w:val="22"/>
          <w:szCs w:val="22"/>
        </w:rPr>
        <w:t>Impact:  Item Control System</w:t>
      </w:r>
    </w:p>
    <w:p w:rsidR="00621A36" w:rsidRPr="007E67F7" w:rsidRDefault="00621A36" w:rsidP="00621A36">
      <w:pPr>
        <w:numPr>
          <w:ilvl w:val="12"/>
          <w:numId w:val="0"/>
        </w:numPr>
        <w:rPr>
          <w:rFonts w:cs="Arial"/>
          <w:bCs/>
          <w:sz w:val="22"/>
          <w:szCs w:val="22"/>
        </w:rPr>
      </w:pPr>
    </w:p>
    <w:p w:rsidR="00621A36" w:rsidRPr="007E67F7" w:rsidRDefault="00511D30" w:rsidP="00621A36">
      <w:pPr>
        <w:numPr>
          <w:ilvl w:val="12"/>
          <w:numId w:val="0"/>
        </w:numPr>
        <w:rPr>
          <w:rFonts w:cs="Arial"/>
          <w:bCs/>
          <w:sz w:val="22"/>
          <w:szCs w:val="22"/>
        </w:rPr>
      </w:pPr>
      <w:r>
        <w:rPr>
          <w:rFonts w:cs="Arial"/>
          <w:bCs/>
          <w:sz w:val="22"/>
          <w:szCs w:val="22"/>
        </w:rPr>
        <w:t>Under Option 2B</w:t>
      </w:r>
      <w:r w:rsidR="00151FA9">
        <w:rPr>
          <w:rFonts w:cs="Arial"/>
          <w:bCs/>
          <w:sz w:val="22"/>
          <w:szCs w:val="22"/>
        </w:rPr>
        <w:t>,</w:t>
      </w:r>
      <w:r>
        <w:rPr>
          <w:rFonts w:cs="Arial"/>
          <w:bCs/>
          <w:sz w:val="22"/>
          <w:szCs w:val="22"/>
        </w:rPr>
        <w:t xml:space="preserve"> t</w:t>
      </w:r>
      <w:r w:rsidR="00621A36" w:rsidRPr="007E67F7">
        <w:rPr>
          <w:rFonts w:cs="Arial"/>
          <w:bCs/>
          <w:sz w:val="22"/>
          <w:szCs w:val="22"/>
        </w:rPr>
        <w:t>he new 10 CFR 74.19(d) would require licensees under 10 CFR part 50 or 52 and ISFSI licensees under 10 CFR part 72 to establish, document, implement, and maintain an item control system as defined in § 74.4.  The 12</w:t>
      </w:r>
      <w:r w:rsidR="00BD3E58">
        <w:rPr>
          <w:rFonts w:cs="Arial"/>
          <w:bCs/>
          <w:sz w:val="22"/>
          <w:szCs w:val="22"/>
        </w:rPr>
        <w:t>8</w:t>
      </w:r>
      <w:r w:rsidR="00621A36" w:rsidRPr="007E67F7">
        <w:rPr>
          <w:rFonts w:cs="Arial"/>
          <w:bCs/>
          <w:sz w:val="22"/>
          <w:szCs w:val="22"/>
        </w:rPr>
        <w:t xml:space="preserve"> licensees would be impacted by the proposed </w:t>
      </w:r>
      <w:proofErr w:type="gramStart"/>
      <w:r w:rsidR="00621A36" w:rsidRPr="007E67F7">
        <w:rPr>
          <w:rFonts w:cs="Arial"/>
          <w:bCs/>
          <w:sz w:val="22"/>
          <w:szCs w:val="22"/>
        </w:rPr>
        <w:t>requirement,</w:t>
      </w:r>
      <w:proofErr w:type="gramEnd"/>
      <w:r w:rsidR="00621A36" w:rsidRPr="007E67F7">
        <w:rPr>
          <w:rFonts w:cs="Arial"/>
          <w:bCs/>
          <w:sz w:val="22"/>
          <w:szCs w:val="22"/>
        </w:rPr>
        <w:t xml:space="preserve"> the annual time to perform these actions would be 3 hours per </w:t>
      </w:r>
      <w:r w:rsidR="00756DB4" w:rsidRPr="007E67F7">
        <w:rPr>
          <w:rFonts w:cs="Arial"/>
          <w:bCs/>
          <w:sz w:val="22"/>
          <w:szCs w:val="22"/>
        </w:rPr>
        <w:t>licensee</w:t>
      </w:r>
      <w:r w:rsidR="00621A36" w:rsidRPr="007E67F7">
        <w:rPr>
          <w:rFonts w:cs="Arial"/>
          <w:bCs/>
          <w:sz w:val="22"/>
          <w:szCs w:val="22"/>
        </w:rPr>
        <w:t>.  The annual cost at $73.20 per hour would be $220 per licensee and the total annual cost to the industry would be $</w:t>
      </w:r>
      <w:r w:rsidR="00756DB4" w:rsidRPr="007E67F7">
        <w:rPr>
          <w:rFonts w:cs="Arial"/>
          <w:bCs/>
          <w:sz w:val="22"/>
          <w:szCs w:val="22"/>
        </w:rPr>
        <w:t>28,109</w:t>
      </w:r>
      <w:r w:rsidR="00C941CF">
        <w:rPr>
          <w:rFonts w:cs="Arial"/>
          <w:bCs/>
          <w:sz w:val="22"/>
          <w:szCs w:val="22"/>
        </w:rPr>
        <w:t xml:space="preserve"> and</w:t>
      </w:r>
      <w:r w:rsidR="00C941CF">
        <w:rPr>
          <w:rFonts w:cs="Arial"/>
          <w:sz w:val="22"/>
          <w:szCs w:val="22"/>
        </w:rPr>
        <w:t xml:space="preserve"> no credit would be given for the actions currently being taken by the licensees to track and control SNM at the site</w:t>
      </w:r>
      <w:r w:rsidR="00621A36" w:rsidRPr="007E67F7">
        <w:rPr>
          <w:rFonts w:cs="Arial"/>
          <w:bCs/>
          <w:sz w:val="22"/>
          <w:szCs w:val="22"/>
        </w:rPr>
        <w:t xml:space="preserve">. </w:t>
      </w:r>
    </w:p>
    <w:p w:rsidR="00621A36" w:rsidRPr="007E67F7" w:rsidRDefault="00621A36" w:rsidP="00621A36">
      <w:pPr>
        <w:numPr>
          <w:ilvl w:val="12"/>
          <w:numId w:val="0"/>
        </w:numPr>
        <w:rPr>
          <w:rFonts w:cs="Arial"/>
          <w:bCs/>
          <w:sz w:val="22"/>
          <w:szCs w:val="22"/>
        </w:rPr>
      </w:pPr>
    </w:p>
    <w:p w:rsidR="001E6CE6" w:rsidRPr="009A346E" w:rsidRDefault="001E6CE6" w:rsidP="001E6CE6">
      <w:pPr>
        <w:rPr>
          <w:rFonts w:cs="Arial"/>
          <w:sz w:val="22"/>
          <w:szCs w:val="22"/>
          <w:u w:val="single"/>
        </w:rPr>
      </w:pPr>
      <w:r w:rsidRPr="00090A5F">
        <w:rPr>
          <w:rFonts w:cs="Arial"/>
          <w:sz w:val="22"/>
          <w:szCs w:val="22"/>
          <w:u w:val="single"/>
        </w:rPr>
        <w:t>Security and Safeguards Considerations</w:t>
      </w:r>
    </w:p>
    <w:p w:rsidR="001E6CE6" w:rsidRDefault="001E6CE6" w:rsidP="001E6CE6">
      <w:pPr>
        <w:rPr>
          <w:rFonts w:cs="Arial"/>
          <w:sz w:val="22"/>
          <w:szCs w:val="22"/>
        </w:rPr>
      </w:pPr>
    </w:p>
    <w:p w:rsidR="00511D30" w:rsidRDefault="00151FA9" w:rsidP="00511D30">
      <w:pPr>
        <w:rPr>
          <w:sz w:val="22"/>
          <w:szCs w:val="22"/>
        </w:rPr>
      </w:pPr>
      <w:r>
        <w:rPr>
          <w:rFonts w:cs="Arial"/>
          <w:sz w:val="22"/>
          <w:szCs w:val="22"/>
        </w:rPr>
        <w:t xml:space="preserve">The NRC believes that the proposed regulatory initiatives would promote common defense and security by enhancing protection of SNM.  </w:t>
      </w:r>
      <w:r w:rsidR="00511D30" w:rsidRPr="000D2279">
        <w:rPr>
          <w:rFonts w:cs="Arial"/>
          <w:sz w:val="22"/>
          <w:szCs w:val="22"/>
        </w:rPr>
        <w:t>The qualitative values</w:t>
      </w:r>
      <w:r w:rsidR="00511D30">
        <w:rPr>
          <w:rFonts w:cs="Arial"/>
          <w:sz w:val="22"/>
          <w:szCs w:val="22"/>
        </w:rPr>
        <w:t xml:space="preserve"> or benefits</w:t>
      </w:r>
      <w:r w:rsidR="00511D30" w:rsidRPr="000D2279">
        <w:rPr>
          <w:rFonts w:cs="Arial"/>
          <w:sz w:val="22"/>
          <w:szCs w:val="22"/>
        </w:rPr>
        <w:t xml:space="preserve"> of the </w:t>
      </w:r>
      <w:r w:rsidR="00511D30">
        <w:rPr>
          <w:rFonts w:cs="Arial"/>
          <w:sz w:val="22"/>
          <w:szCs w:val="22"/>
        </w:rPr>
        <w:t xml:space="preserve">proposed </w:t>
      </w:r>
      <w:r w:rsidR="00511D30" w:rsidRPr="000D2279">
        <w:rPr>
          <w:rFonts w:cs="Arial"/>
          <w:sz w:val="22"/>
          <w:szCs w:val="22"/>
        </w:rPr>
        <w:t xml:space="preserve">rule </w:t>
      </w:r>
      <w:r w:rsidR="00511D30">
        <w:rPr>
          <w:rFonts w:cs="Arial"/>
          <w:sz w:val="22"/>
          <w:szCs w:val="22"/>
        </w:rPr>
        <w:t xml:space="preserve">relate to the reduced risk of malevolent use of SNM that the NRC believes would be achieved as a result of implementing proposed requirements for item controls.  The NRC is unable to quantify this reduction in risk due to </w:t>
      </w:r>
      <w:r w:rsidR="00511D30" w:rsidRPr="002851C6">
        <w:rPr>
          <w:rFonts w:cs="Arial"/>
          <w:sz w:val="22"/>
          <w:szCs w:val="22"/>
        </w:rPr>
        <w:t xml:space="preserve">factors such as:  (1) the frequency of attempted theft </w:t>
      </w:r>
      <w:r w:rsidR="00511D30">
        <w:rPr>
          <w:rFonts w:cs="Arial"/>
          <w:sz w:val="22"/>
          <w:szCs w:val="22"/>
        </w:rPr>
        <w:t xml:space="preserve">or diversion; </w:t>
      </w:r>
      <w:r w:rsidR="00511D30" w:rsidRPr="002851C6">
        <w:rPr>
          <w:rFonts w:cs="Arial"/>
          <w:sz w:val="22"/>
          <w:szCs w:val="22"/>
        </w:rPr>
        <w:t xml:space="preserve">(2) the frequency with which theft </w:t>
      </w:r>
      <w:r w:rsidR="00511D30">
        <w:rPr>
          <w:rFonts w:cs="Arial"/>
          <w:sz w:val="22"/>
          <w:szCs w:val="22"/>
        </w:rPr>
        <w:t>or diversion a</w:t>
      </w:r>
      <w:r w:rsidR="00511D30" w:rsidRPr="002851C6">
        <w:rPr>
          <w:rFonts w:cs="Arial"/>
          <w:sz w:val="22"/>
          <w:szCs w:val="22"/>
        </w:rPr>
        <w:t>ttempts are and will be successful</w:t>
      </w:r>
      <w:r w:rsidR="00511D30">
        <w:rPr>
          <w:rFonts w:cs="Arial"/>
          <w:sz w:val="22"/>
          <w:szCs w:val="22"/>
        </w:rPr>
        <w:t xml:space="preserve">; and (3) the impact associated with successful theft or diversion.  </w:t>
      </w:r>
      <w:r w:rsidR="00511D30">
        <w:rPr>
          <w:sz w:val="22"/>
          <w:szCs w:val="22"/>
        </w:rPr>
        <w:t xml:space="preserve">The benefits of the proposed requirements for item controls are discussed below in qualitative terms. The NRC realizes that the incremental increase in benefits is reduced to the extent that licensees are currently performing MC&amp;A activities satisfactorily under the ROP.  However, the NRC believes </w:t>
      </w:r>
      <w:r w:rsidR="00511D30">
        <w:rPr>
          <w:sz w:val="22"/>
          <w:szCs w:val="22"/>
        </w:rPr>
        <w:lastRenderedPageBreak/>
        <w:t>the net overall value realized would warrant the cost of the proposed rule to enhance regulatory effectiveness.</w:t>
      </w:r>
    </w:p>
    <w:p w:rsidR="00511D30" w:rsidRDefault="00511D30" w:rsidP="00511D30">
      <w:pPr>
        <w:rPr>
          <w:sz w:val="22"/>
          <w:szCs w:val="22"/>
        </w:rPr>
      </w:pPr>
    </w:p>
    <w:p w:rsidR="00511D30" w:rsidRDefault="00511D30" w:rsidP="00511D30">
      <w:pPr>
        <w:rPr>
          <w:sz w:val="22"/>
          <w:szCs w:val="22"/>
        </w:rPr>
      </w:pPr>
      <w:r w:rsidRPr="00ED4BB1">
        <w:rPr>
          <w:sz w:val="22"/>
          <w:szCs w:val="22"/>
        </w:rPr>
        <w:t xml:space="preserve">The NRC’s regulations specify requirements for collecting and reporting information about SNM that is held by a licensee.  The MC&amp;A regulations ensure that the information about SNM is accurate, authentic, and sufficiently detailed to enable a licensee to maintain current knowledge of its SNM and manage its program for securing and protecting SNM.  MC&amp;A, together with physical protection of facilities and information security requirements, make up the primary elements of the NRC’s SNM safeguards program.  </w:t>
      </w:r>
    </w:p>
    <w:p w:rsidR="00511D30" w:rsidRDefault="00511D30" w:rsidP="00511D30">
      <w:pPr>
        <w:rPr>
          <w:sz w:val="22"/>
          <w:szCs w:val="22"/>
        </w:rPr>
      </w:pPr>
    </w:p>
    <w:p w:rsidR="00511D30" w:rsidRDefault="00511D30" w:rsidP="00511D30">
      <w:pPr>
        <w:rPr>
          <w:sz w:val="22"/>
          <w:szCs w:val="22"/>
        </w:rPr>
      </w:pPr>
      <w:r>
        <w:rPr>
          <w:sz w:val="22"/>
          <w:szCs w:val="22"/>
        </w:rPr>
        <w:t xml:space="preserve">For this regulatory analysis the NRC assumes security benefits for </w:t>
      </w:r>
      <w:r w:rsidR="009A2E6A">
        <w:rPr>
          <w:sz w:val="22"/>
          <w:szCs w:val="22"/>
        </w:rPr>
        <w:t xml:space="preserve">2 </w:t>
      </w:r>
      <w:r>
        <w:rPr>
          <w:sz w:val="22"/>
          <w:szCs w:val="22"/>
        </w:rPr>
        <w:t>of the proposed changes: the item control system</w:t>
      </w:r>
      <w:r w:rsidR="009A2E6A" w:rsidRPr="009A2E6A">
        <w:rPr>
          <w:sz w:val="22"/>
          <w:szCs w:val="22"/>
        </w:rPr>
        <w:t xml:space="preserve"> </w:t>
      </w:r>
      <w:r w:rsidR="009A2E6A">
        <w:rPr>
          <w:sz w:val="22"/>
          <w:szCs w:val="22"/>
        </w:rPr>
        <w:t>and</w:t>
      </w:r>
      <w:r>
        <w:rPr>
          <w:sz w:val="22"/>
          <w:szCs w:val="22"/>
        </w:rPr>
        <w:t xml:space="preserve"> the removal of existing item exemptions.  With respect to security benefits, the only difference between Option 2A and Option 2B is the benefit assumed to be gained under the proposed item control system requirement.</w:t>
      </w:r>
    </w:p>
    <w:p w:rsidR="00511D30" w:rsidRDefault="00511D30" w:rsidP="00511D30">
      <w:pPr>
        <w:rPr>
          <w:sz w:val="22"/>
          <w:szCs w:val="22"/>
        </w:rPr>
      </w:pPr>
    </w:p>
    <w:p w:rsidR="00511D30" w:rsidRDefault="00E01E48" w:rsidP="00511D30">
      <w:pPr>
        <w:rPr>
          <w:sz w:val="22"/>
          <w:szCs w:val="18"/>
        </w:rPr>
      </w:pPr>
      <w:r>
        <w:rPr>
          <w:sz w:val="22"/>
          <w:szCs w:val="18"/>
        </w:rPr>
        <w:t xml:space="preserve">The primary qualitative benefit of </w:t>
      </w:r>
      <w:r w:rsidR="00511D30">
        <w:rPr>
          <w:sz w:val="22"/>
          <w:szCs w:val="18"/>
        </w:rPr>
        <w:t>the new item control system requirement in 10 CFR 74.19(d</w:t>
      </w:r>
      <w:r w:rsidR="00900E67">
        <w:rPr>
          <w:sz w:val="22"/>
          <w:szCs w:val="18"/>
        </w:rPr>
        <w:t>)</w:t>
      </w:r>
      <w:r>
        <w:rPr>
          <w:sz w:val="22"/>
          <w:szCs w:val="18"/>
        </w:rPr>
        <w:t xml:space="preserve"> is </w:t>
      </w:r>
      <w:r w:rsidR="00C0265F">
        <w:rPr>
          <w:sz w:val="22"/>
          <w:szCs w:val="18"/>
        </w:rPr>
        <w:t>that security</w:t>
      </w:r>
      <w:r w:rsidR="00511D30">
        <w:rPr>
          <w:sz w:val="22"/>
          <w:szCs w:val="18"/>
        </w:rPr>
        <w:t xml:space="preserve"> and safeguards would be enhanced </w:t>
      </w:r>
      <w:r w:rsidR="00015451">
        <w:rPr>
          <w:sz w:val="22"/>
          <w:szCs w:val="18"/>
        </w:rPr>
        <w:t xml:space="preserve">at 128 sites that are licensed by the NRC (the 65 reactor sites and the 63 stand-alone ISFSIs).  </w:t>
      </w:r>
      <w:r w:rsidR="00C0265F">
        <w:rPr>
          <w:sz w:val="22"/>
          <w:szCs w:val="18"/>
        </w:rPr>
        <w:t>The licensees</w:t>
      </w:r>
      <w:r w:rsidR="00015451">
        <w:rPr>
          <w:sz w:val="22"/>
          <w:szCs w:val="18"/>
        </w:rPr>
        <w:t xml:space="preserve"> would be required to </w:t>
      </w:r>
      <w:r w:rsidR="00511D30">
        <w:rPr>
          <w:rFonts w:cs="Arial"/>
          <w:sz w:val="22"/>
          <w:szCs w:val="22"/>
        </w:rPr>
        <w:t xml:space="preserve">increase and maintain (1) the accuracy of inventory information that supports the resolution of discrepancies, (2) the protection against unauthorized removal or unrecorded removal of items or removal of SNM from an item, and (3) the capability of rapidly locating selected items.  </w:t>
      </w:r>
    </w:p>
    <w:p w:rsidR="00511D30" w:rsidRDefault="00511D30" w:rsidP="00511D30">
      <w:pPr>
        <w:rPr>
          <w:sz w:val="22"/>
          <w:szCs w:val="18"/>
        </w:rPr>
      </w:pPr>
    </w:p>
    <w:p w:rsidR="00511D30" w:rsidRDefault="00511D30" w:rsidP="00511D30">
      <w:pPr>
        <w:rPr>
          <w:sz w:val="22"/>
          <w:szCs w:val="18"/>
        </w:rPr>
      </w:pPr>
      <w:r>
        <w:rPr>
          <w:sz w:val="22"/>
          <w:szCs w:val="18"/>
        </w:rPr>
        <w:t xml:space="preserve">Under Option 2B, </w:t>
      </w:r>
      <w:r w:rsidR="00C53054">
        <w:rPr>
          <w:sz w:val="22"/>
          <w:szCs w:val="18"/>
        </w:rPr>
        <w:t>no credit</w:t>
      </w:r>
      <w:r>
        <w:rPr>
          <w:sz w:val="22"/>
          <w:szCs w:val="18"/>
        </w:rPr>
        <w:t xml:space="preserve"> is given to 10 CFR part 50 licensees</w:t>
      </w:r>
      <w:r w:rsidR="00CF196A">
        <w:rPr>
          <w:sz w:val="22"/>
          <w:szCs w:val="18"/>
        </w:rPr>
        <w:t xml:space="preserve"> at the </w:t>
      </w:r>
      <w:r w:rsidR="00C53054">
        <w:rPr>
          <w:sz w:val="22"/>
          <w:szCs w:val="18"/>
        </w:rPr>
        <w:t>65 reactor sites</w:t>
      </w:r>
      <w:r>
        <w:rPr>
          <w:sz w:val="22"/>
          <w:szCs w:val="18"/>
        </w:rPr>
        <w:t xml:space="preserve"> for having an adequate item control system in place</w:t>
      </w:r>
      <w:r w:rsidR="006F292F">
        <w:rPr>
          <w:sz w:val="22"/>
          <w:szCs w:val="18"/>
        </w:rPr>
        <w:t xml:space="preserve"> to enhance their capabilities</w:t>
      </w:r>
      <w:r w:rsidR="00F01386">
        <w:rPr>
          <w:sz w:val="22"/>
          <w:szCs w:val="18"/>
        </w:rPr>
        <w:t xml:space="preserve"> for security and safeguards</w:t>
      </w:r>
      <w:r w:rsidR="006F292F">
        <w:rPr>
          <w:sz w:val="22"/>
          <w:szCs w:val="18"/>
        </w:rPr>
        <w:t xml:space="preserve"> as indicated in the previous paragraph</w:t>
      </w:r>
      <w:r>
        <w:rPr>
          <w:sz w:val="22"/>
          <w:szCs w:val="18"/>
        </w:rPr>
        <w:t>, and therefore full benefit is assumed</w:t>
      </w:r>
      <w:r w:rsidR="00CF196A">
        <w:rPr>
          <w:sz w:val="22"/>
          <w:szCs w:val="18"/>
        </w:rPr>
        <w:t xml:space="preserve"> for the licensees</w:t>
      </w:r>
      <w:r>
        <w:rPr>
          <w:sz w:val="22"/>
          <w:szCs w:val="18"/>
        </w:rPr>
        <w:t xml:space="preserve">.  Option 2A </w:t>
      </w:r>
      <w:r w:rsidR="002E688B">
        <w:rPr>
          <w:sz w:val="22"/>
          <w:szCs w:val="18"/>
        </w:rPr>
        <w:t>assumes full</w:t>
      </w:r>
      <w:r>
        <w:rPr>
          <w:sz w:val="22"/>
          <w:szCs w:val="18"/>
        </w:rPr>
        <w:t xml:space="preserve"> benefit </w:t>
      </w:r>
      <w:r w:rsidR="00015451">
        <w:rPr>
          <w:sz w:val="22"/>
          <w:szCs w:val="18"/>
        </w:rPr>
        <w:t>only</w:t>
      </w:r>
      <w:r w:rsidR="002E688B">
        <w:rPr>
          <w:sz w:val="22"/>
          <w:szCs w:val="18"/>
        </w:rPr>
        <w:t xml:space="preserve"> for</w:t>
      </w:r>
      <w:r>
        <w:rPr>
          <w:sz w:val="22"/>
          <w:szCs w:val="18"/>
        </w:rPr>
        <w:t xml:space="preserve"> the 63 stand-alone </w:t>
      </w:r>
      <w:r w:rsidRPr="00943D40">
        <w:rPr>
          <w:sz w:val="22"/>
          <w:szCs w:val="18"/>
        </w:rPr>
        <w:t>ISFSI licensee</w:t>
      </w:r>
      <w:r w:rsidR="00015451">
        <w:rPr>
          <w:sz w:val="22"/>
          <w:szCs w:val="18"/>
        </w:rPr>
        <w:t>s</w:t>
      </w:r>
      <w:r>
        <w:rPr>
          <w:sz w:val="22"/>
          <w:szCs w:val="18"/>
        </w:rPr>
        <w:t xml:space="preserve"> under 10 CFR part 72</w:t>
      </w:r>
      <w:r w:rsidRPr="00943D40">
        <w:rPr>
          <w:sz w:val="22"/>
          <w:szCs w:val="18"/>
        </w:rPr>
        <w:t xml:space="preserve"> </w:t>
      </w:r>
      <w:r>
        <w:rPr>
          <w:sz w:val="22"/>
          <w:szCs w:val="18"/>
        </w:rPr>
        <w:t xml:space="preserve">that </w:t>
      </w:r>
      <w:r w:rsidRPr="00943D40">
        <w:rPr>
          <w:sz w:val="22"/>
          <w:szCs w:val="18"/>
        </w:rPr>
        <w:t xml:space="preserve">would be required to </w:t>
      </w:r>
      <w:r w:rsidR="00015451">
        <w:rPr>
          <w:sz w:val="22"/>
          <w:szCs w:val="18"/>
        </w:rPr>
        <w:t>implement and maintain an item control system to</w:t>
      </w:r>
      <w:r w:rsidRPr="00943D40">
        <w:rPr>
          <w:sz w:val="22"/>
          <w:szCs w:val="18"/>
        </w:rPr>
        <w:t xml:space="preserve"> collect and verify the MC&amp;A information recorded </w:t>
      </w:r>
      <w:r>
        <w:rPr>
          <w:sz w:val="22"/>
          <w:szCs w:val="18"/>
        </w:rPr>
        <w:t>for the installation</w:t>
      </w:r>
      <w:r w:rsidRPr="00943D40">
        <w:rPr>
          <w:sz w:val="22"/>
          <w:szCs w:val="18"/>
        </w:rPr>
        <w:t xml:space="preserve">.  </w:t>
      </w:r>
      <w:r w:rsidR="00F140DC">
        <w:rPr>
          <w:sz w:val="22"/>
          <w:szCs w:val="18"/>
        </w:rPr>
        <w:t>Thus, the additional benefits under Option 2B are associated with the 65 reactor sites that would be required to implement and maintain item control systems for SNM at the sites.</w:t>
      </w:r>
    </w:p>
    <w:p w:rsidR="001E6CE6" w:rsidRDefault="001E6CE6" w:rsidP="001E6CE6">
      <w:pPr>
        <w:rPr>
          <w:rFonts w:cs="Arial"/>
          <w:sz w:val="22"/>
          <w:szCs w:val="22"/>
        </w:rPr>
      </w:pPr>
    </w:p>
    <w:p w:rsidR="00621A36" w:rsidRPr="007E67F7" w:rsidRDefault="00621A36" w:rsidP="00621A36">
      <w:pPr>
        <w:numPr>
          <w:ilvl w:val="12"/>
          <w:numId w:val="0"/>
        </w:numPr>
        <w:rPr>
          <w:rFonts w:cs="Arial"/>
          <w:bCs/>
          <w:sz w:val="22"/>
          <w:szCs w:val="22"/>
        </w:rPr>
      </w:pPr>
    </w:p>
    <w:p w:rsidR="00621A36" w:rsidRPr="007E67F7" w:rsidRDefault="00621A36" w:rsidP="00621A36">
      <w:pPr>
        <w:numPr>
          <w:ilvl w:val="12"/>
          <w:numId w:val="0"/>
        </w:numPr>
        <w:rPr>
          <w:rFonts w:cs="Arial"/>
          <w:bCs/>
          <w:sz w:val="22"/>
          <w:szCs w:val="22"/>
        </w:rPr>
      </w:pPr>
    </w:p>
    <w:p w:rsidR="00756DB4" w:rsidRPr="009B5E75" w:rsidRDefault="00621A36" w:rsidP="00756DB4">
      <w:pPr>
        <w:jc w:val="center"/>
        <w:rPr>
          <w:rFonts w:cs="Arial"/>
          <w:sz w:val="22"/>
          <w:szCs w:val="22"/>
        </w:rPr>
      </w:pPr>
      <w:r w:rsidRPr="007E67F7">
        <w:rPr>
          <w:rFonts w:cs="Arial"/>
          <w:bCs/>
          <w:sz w:val="22"/>
          <w:szCs w:val="22"/>
        </w:rPr>
        <w:br w:type="page"/>
      </w:r>
      <w:r w:rsidR="00756DB4" w:rsidRPr="009B5E75">
        <w:rPr>
          <w:rFonts w:cs="Arial"/>
          <w:b/>
          <w:bCs/>
          <w:sz w:val="22"/>
          <w:szCs w:val="22"/>
        </w:rPr>
        <w:lastRenderedPageBreak/>
        <w:t>Exhibit 3-</w:t>
      </w:r>
      <w:r w:rsidR="00756DB4">
        <w:rPr>
          <w:rFonts w:cs="Arial"/>
          <w:b/>
          <w:bCs/>
          <w:sz w:val="22"/>
          <w:szCs w:val="22"/>
        </w:rPr>
        <w:t>3</w:t>
      </w:r>
    </w:p>
    <w:p w:rsidR="00756DB4" w:rsidRDefault="00756DB4" w:rsidP="00756DB4">
      <w:pPr>
        <w:numPr>
          <w:ilvl w:val="12"/>
          <w:numId w:val="0"/>
        </w:numPr>
        <w:jc w:val="center"/>
        <w:rPr>
          <w:rFonts w:cs="Arial"/>
          <w:b/>
          <w:bCs/>
          <w:sz w:val="22"/>
          <w:szCs w:val="22"/>
        </w:rPr>
      </w:pPr>
      <w:r w:rsidRPr="009B5E75">
        <w:rPr>
          <w:rFonts w:cs="Arial"/>
          <w:b/>
          <w:bCs/>
          <w:sz w:val="22"/>
          <w:szCs w:val="22"/>
        </w:rPr>
        <w:t>Quantitative Results</w:t>
      </w:r>
    </w:p>
    <w:p w:rsidR="00756DB4" w:rsidRDefault="00756DB4" w:rsidP="00756DB4">
      <w:pPr>
        <w:numPr>
          <w:ilvl w:val="12"/>
          <w:numId w:val="0"/>
        </w:numPr>
        <w:jc w:val="center"/>
        <w:rPr>
          <w:rFonts w:cs="Arial"/>
          <w:b/>
          <w:bCs/>
          <w:sz w:val="22"/>
          <w:szCs w:val="22"/>
        </w:rPr>
      </w:pPr>
      <w:r w:rsidRPr="009B5E75">
        <w:rPr>
          <w:rFonts w:cs="Arial"/>
          <w:b/>
          <w:bCs/>
          <w:sz w:val="22"/>
          <w:szCs w:val="22"/>
        </w:rPr>
        <w:t xml:space="preserve">Total Present Value for </w:t>
      </w:r>
      <w:r>
        <w:rPr>
          <w:rFonts w:cs="Arial"/>
          <w:b/>
          <w:bCs/>
          <w:sz w:val="22"/>
          <w:szCs w:val="22"/>
        </w:rPr>
        <w:t>the C</w:t>
      </w:r>
      <w:r w:rsidRPr="009B5E75">
        <w:rPr>
          <w:rFonts w:cs="Arial"/>
          <w:b/>
          <w:bCs/>
          <w:sz w:val="22"/>
          <w:szCs w:val="22"/>
        </w:rPr>
        <w:t xml:space="preserve">ost </w:t>
      </w:r>
      <w:r w:rsidR="00A009E2">
        <w:rPr>
          <w:rFonts w:cs="Arial"/>
          <w:b/>
          <w:bCs/>
          <w:sz w:val="22"/>
          <w:szCs w:val="22"/>
        </w:rPr>
        <w:t>of Option 2B</w:t>
      </w:r>
    </w:p>
    <w:p w:rsidR="00756DB4" w:rsidRDefault="00307EB0" w:rsidP="00756DB4">
      <w:pPr>
        <w:numPr>
          <w:ilvl w:val="12"/>
          <w:numId w:val="0"/>
        </w:numPr>
        <w:jc w:val="center"/>
        <w:rPr>
          <w:rFonts w:cs="Arial"/>
          <w:b/>
          <w:bCs/>
          <w:sz w:val="22"/>
          <w:szCs w:val="22"/>
        </w:rPr>
      </w:pPr>
      <w:r>
        <w:rPr>
          <w:rFonts w:cs="Arial"/>
          <w:b/>
          <w:bCs/>
          <w:sz w:val="22"/>
          <w:szCs w:val="22"/>
        </w:rPr>
        <w:t xml:space="preserve">With </w:t>
      </w:r>
      <w:r w:rsidR="00756DB4">
        <w:rPr>
          <w:rFonts w:cs="Arial"/>
          <w:b/>
          <w:bCs/>
          <w:sz w:val="22"/>
          <w:szCs w:val="22"/>
        </w:rPr>
        <w:t xml:space="preserve">No Credit </w:t>
      </w:r>
      <w:r w:rsidR="001B1AC8">
        <w:rPr>
          <w:rFonts w:cs="Arial"/>
          <w:b/>
          <w:bCs/>
          <w:sz w:val="22"/>
          <w:szCs w:val="22"/>
        </w:rPr>
        <w:t>G</w:t>
      </w:r>
      <w:r w:rsidR="00756DB4">
        <w:rPr>
          <w:rFonts w:cs="Arial"/>
          <w:b/>
          <w:bCs/>
          <w:sz w:val="22"/>
          <w:szCs w:val="22"/>
        </w:rPr>
        <w:t xml:space="preserve">iven for </w:t>
      </w:r>
      <w:r>
        <w:rPr>
          <w:rFonts w:cs="Arial"/>
          <w:b/>
          <w:bCs/>
          <w:sz w:val="22"/>
          <w:szCs w:val="22"/>
        </w:rPr>
        <w:t xml:space="preserve">Current </w:t>
      </w:r>
      <w:r w:rsidR="00756DB4">
        <w:rPr>
          <w:rFonts w:cs="Arial"/>
          <w:b/>
          <w:bCs/>
          <w:sz w:val="22"/>
          <w:szCs w:val="22"/>
        </w:rPr>
        <w:t>Industry</w:t>
      </w:r>
      <w:r>
        <w:rPr>
          <w:rFonts w:cs="Arial"/>
          <w:b/>
          <w:bCs/>
          <w:sz w:val="22"/>
          <w:szCs w:val="22"/>
        </w:rPr>
        <w:t xml:space="preserve"> Actions</w:t>
      </w:r>
      <w:r w:rsidR="00756DB4">
        <w:rPr>
          <w:rFonts w:cs="Arial"/>
          <w:b/>
          <w:bCs/>
          <w:sz w:val="22"/>
          <w:szCs w:val="22"/>
        </w:rPr>
        <w:t xml:space="preserve"> </w:t>
      </w:r>
    </w:p>
    <w:tbl>
      <w:tblPr>
        <w:tblW w:w="8480" w:type="dxa"/>
        <w:tblInd w:w="103" w:type="dxa"/>
        <w:tblLook w:val="04A0" w:firstRow="1" w:lastRow="0" w:firstColumn="1" w:lastColumn="0" w:noHBand="0" w:noVBand="1"/>
      </w:tblPr>
      <w:tblGrid>
        <w:gridCol w:w="1740"/>
        <w:gridCol w:w="1600"/>
        <w:gridCol w:w="1300"/>
        <w:gridCol w:w="1940"/>
        <w:gridCol w:w="1900"/>
      </w:tblGrid>
      <w:tr w:rsidR="00756DB4" w:rsidRPr="00BE206C" w:rsidTr="00460063">
        <w:trPr>
          <w:trHeight w:val="15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DB4" w:rsidRPr="00460063" w:rsidRDefault="001C7681" w:rsidP="00756DB4">
            <w:pPr>
              <w:autoSpaceDE/>
              <w:autoSpaceDN/>
              <w:adjustRightInd/>
              <w:jc w:val="center"/>
              <w:rPr>
                <w:color w:val="000000"/>
                <w:sz w:val="18"/>
              </w:rPr>
            </w:pPr>
            <w:r w:rsidRPr="00460063">
              <w:rPr>
                <w:color w:val="000000"/>
                <w:sz w:val="18"/>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56DB4" w:rsidRPr="00460063" w:rsidRDefault="001C7681" w:rsidP="00756DB4">
            <w:pPr>
              <w:autoSpaceDE/>
              <w:autoSpaceDN/>
              <w:adjustRightInd/>
              <w:jc w:val="center"/>
              <w:rPr>
                <w:color w:val="000000"/>
                <w:sz w:val="18"/>
              </w:rPr>
            </w:pPr>
            <w:r w:rsidRPr="00460063">
              <w:rPr>
                <w:color w:val="000000"/>
                <w:sz w:val="18"/>
              </w:rPr>
              <w:t>One-time Implementation Costs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56DB4" w:rsidRPr="00460063" w:rsidRDefault="001C7681" w:rsidP="00756DB4">
            <w:pPr>
              <w:autoSpaceDE/>
              <w:autoSpaceDN/>
              <w:adjustRightInd/>
              <w:jc w:val="center"/>
              <w:rPr>
                <w:color w:val="000000"/>
                <w:sz w:val="18"/>
              </w:rPr>
            </w:pPr>
            <w:r w:rsidRPr="00460063">
              <w:rPr>
                <w:color w:val="000000"/>
                <w:sz w:val="18"/>
              </w:rPr>
              <w:t>Annual Operating Costs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756DB4" w:rsidRPr="00460063" w:rsidRDefault="001C7681" w:rsidP="00756DB4">
            <w:pPr>
              <w:autoSpaceDE/>
              <w:autoSpaceDN/>
              <w:adjustRightInd/>
              <w:jc w:val="center"/>
              <w:rPr>
                <w:color w:val="000000"/>
                <w:sz w:val="18"/>
              </w:rPr>
            </w:pPr>
            <w:r w:rsidRPr="00460063">
              <w:rPr>
                <w:color w:val="000000"/>
                <w:sz w:val="18"/>
              </w:rPr>
              <w:t>Total combined Implementation and Annual Cost for 10-year period at 3% discount rate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56DB4" w:rsidRPr="00460063" w:rsidRDefault="001C7681" w:rsidP="00756DB4">
            <w:pPr>
              <w:autoSpaceDE/>
              <w:autoSpaceDN/>
              <w:adjustRightInd/>
              <w:jc w:val="center"/>
              <w:rPr>
                <w:color w:val="000000"/>
                <w:sz w:val="18"/>
              </w:rPr>
            </w:pPr>
            <w:r w:rsidRPr="00460063">
              <w:rPr>
                <w:color w:val="000000"/>
                <w:sz w:val="18"/>
              </w:rPr>
              <w:t>Total combined Implementation and Annual Cost for 10-year period at 7% discount rate</w:t>
            </w:r>
          </w:p>
        </w:tc>
      </w:tr>
      <w:tr w:rsidR="00756DB4" w:rsidRPr="00BE206C" w:rsidTr="00756DB4">
        <w:trPr>
          <w:trHeight w:val="499"/>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756DB4" w:rsidRPr="00460063" w:rsidRDefault="001C7681" w:rsidP="00756DB4">
            <w:pPr>
              <w:autoSpaceDE/>
              <w:autoSpaceDN/>
              <w:adjustRightInd/>
              <w:jc w:val="center"/>
              <w:rPr>
                <w:color w:val="000000"/>
                <w:sz w:val="18"/>
              </w:rPr>
            </w:pPr>
            <w:r w:rsidRPr="00460063">
              <w:rPr>
                <w:color w:val="000000"/>
                <w:sz w:val="18"/>
              </w:rPr>
              <w:t>Industry Costs</w:t>
            </w:r>
          </w:p>
        </w:tc>
        <w:tc>
          <w:tcPr>
            <w:tcW w:w="160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w:t>
            </w:r>
            <w:r w:rsidR="00BE206C">
              <w:rPr>
                <w:rFonts w:cs="Arial"/>
                <w:color w:val="000000"/>
                <w:sz w:val="18"/>
                <w:szCs w:val="18"/>
              </w:rPr>
              <w:t>193,248</w:t>
            </w:r>
          </w:p>
        </w:tc>
        <w:tc>
          <w:tcPr>
            <w:tcW w:w="130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w:t>
            </w:r>
            <w:r w:rsidR="00BE206C">
              <w:rPr>
                <w:rFonts w:cs="Arial"/>
                <w:color w:val="000000"/>
                <w:sz w:val="18"/>
                <w:szCs w:val="18"/>
              </w:rPr>
              <w:t>86,669</w:t>
            </w:r>
          </w:p>
        </w:tc>
        <w:tc>
          <w:tcPr>
            <w:tcW w:w="194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w:t>
            </w:r>
            <w:r w:rsidR="00BE206C">
              <w:rPr>
                <w:rFonts w:cs="Arial"/>
                <w:color w:val="000000"/>
                <w:sz w:val="18"/>
                <w:szCs w:val="18"/>
              </w:rPr>
              <w:t>932,550</w:t>
            </w:r>
          </w:p>
        </w:tc>
        <w:tc>
          <w:tcPr>
            <w:tcW w:w="190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w:t>
            </w:r>
            <w:r w:rsidR="00BE206C">
              <w:rPr>
                <w:rFonts w:cs="Arial"/>
                <w:color w:val="000000"/>
                <w:sz w:val="18"/>
                <w:szCs w:val="18"/>
              </w:rPr>
              <w:t>801,973</w:t>
            </w:r>
          </w:p>
        </w:tc>
      </w:tr>
      <w:tr w:rsidR="00756DB4" w:rsidRPr="00BE206C" w:rsidTr="00460063">
        <w:trPr>
          <w:trHeight w:val="499"/>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756DB4" w:rsidRPr="00460063" w:rsidRDefault="001C7681" w:rsidP="00756DB4">
            <w:pPr>
              <w:autoSpaceDE/>
              <w:autoSpaceDN/>
              <w:adjustRightInd/>
              <w:jc w:val="center"/>
              <w:rPr>
                <w:color w:val="000000"/>
                <w:sz w:val="18"/>
              </w:rPr>
            </w:pPr>
            <w:r w:rsidRPr="00460063">
              <w:rPr>
                <w:color w:val="000000"/>
                <w:sz w:val="18"/>
              </w:rPr>
              <w:t>NRC Costs</w:t>
            </w:r>
          </w:p>
        </w:tc>
        <w:tc>
          <w:tcPr>
            <w:tcW w:w="160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$259,420</w:t>
            </w:r>
          </w:p>
        </w:tc>
        <w:tc>
          <w:tcPr>
            <w:tcW w:w="130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$0</w:t>
            </w:r>
          </w:p>
        </w:tc>
        <w:tc>
          <w:tcPr>
            <w:tcW w:w="194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$259,420</w:t>
            </w:r>
          </w:p>
        </w:tc>
        <w:tc>
          <w:tcPr>
            <w:tcW w:w="190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$259,420</w:t>
            </w:r>
          </w:p>
        </w:tc>
      </w:tr>
      <w:tr w:rsidR="00756DB4" w:rsidRPr="00BE206C" w:rsidTr="00756DB4">
        <w:trPr>
          <w:trHeight w:val="499"/>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756DB4" w:rsidRPr="00460063" w:rsidRDefault="001C7681" w:rsidP="00756DB4">
            <w:pPr>
              <w:autoSpaceDE/>
              <w:autoSpaceDN/>
              <w:adjustRightInd/>
              <w:jc w:val="center"/>
              <w:rPr>
                <w:color w:val="000000"/>
                <w:sz w:val="18"/>
              </w:rPr>
            </w:pPr>
            <w:r w:rsidRPr="00460063">
              <w:rPr>
                <w:color w:val="000000"/>
                <w:sz w:val="18"/>
              </w:rPr>
              <w:t>Total</w:t>
            </w:r>
          </w:p>
        </w:tc>
        <w:tc>
          <w:tcPr>
            <w:tcW w:w="160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w:t>
            </w:r>
            <w:r w:rsidR="00BE206C">
              <w:rPr>
                <w:rFonts w:cs="Arial"/>
                <w:color w:val="000000"/>
                <w:sz w:val="18"/>
                <w:szCs w:val="18"/>
              </w:rPr>
              <w:t>452,668</w:t>
            </w:r>
          </w:p>
        </w:tc>
        <w:tc>
          <w:tcPr>
            <w:tcW w:w="130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w:t>
            </w:r>
            <w:r w:rsidR="00BE206C">
              <w:rPr>
                <w:rFonts w:cs="Arial"/>
                <w:color w:val="000000"/>
                <w:sz w:val="18"/>
                <w:szCs w:val="18"/>
              </w:rPr>
              <w:t>86,669</w:t>
            </w:r>
          </w:p>
        </w:tc>
        <w:tc>
          <w:tcPr>
            <w:tcW w:w="194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w:t>
            </w:r>
            <w:r w:rsidR="00940860">
              <w:rPr>
                <w:rFonts w:cs="Arial"/>
                <w:color w:val="000000"/>
                <w:sz w:val="18"/>
                <w:szCs w:val="18"/>
              </w:rPr>
              <w:t>1,191,970</w:t>
            </w:r>
          </w:p>
        </w:tc>
        <w:tc>
          <w:tcPr>
            <w:tcW w:w="1900" w:type="dxa"/>
            <w:tcBorders>
              <w:top w:val="nil"/>
              <w:left w:val="nil"/>
              <w:bottom w:val="single" w:sz="4" w:space="0" w:color="auto"/>
              <w:right w:val="single" w:sz="4" w:space="0" w:color="auto"/>
            </w:tcBorders>
            <w:shd w:val="clear" w:color="auto" w:fill="auto"/>
            <w:noWrap/>
            <w:vAlign w:val="center"/>
            <w:hideMark/>
          </w:tcPr>
          <w:p w:rsidR="00756DB4" w:rsidRPr="00460063" w:rsidRDefault="001C7681" w:rsidP="00756DB4">
            <w:pPr>
              <w:autoSpaceDE/>
              <w:autoSpaceDN/>
              <w:adjustRightInd/>
              <w:jc w:val="center"/>
              <w:rPr>
                <w:color w:val="000000"/>
                <w:sz w:val="18"/>
              </w:rPr>
            </w:pPr>
            <w:r w:rsidRPr="00460063">
              <w:rPr>
                <w:color w:val="000000"/>
                <w:sz w:val="18"/>
              </w:rPr>
              <w:t>$</w:t>
            </w:r>
            <w:r w:rsidR="00940860">
              <w:rPr>
                <w:rFonts w:cs="Arial"/>
                <w:color w:val="000000"/>
                <w:sz w:val="18"/>
                <w:szCs w:val="18"/>
              </w:rPr>
              <w:t>1,061,393</w:t>
            </w:r>
          </w:p>
        </w:tc>
      </w:tr>
    </w:tbl>
    <w:p w:rsidR="00756DB4" w:rsidRDefault="00756DB4" w:rsidP="00756DB4">
      <w:pPr>
        <w:numPr>
          <w:ilvl w:val="12"/>
          <w:numId w:val="0"/>
        </w:numPr>
        <w:jc w:val="center"/>
        <w:rPr>
          <w:rFonts w:cs="Arial"/>
          <w:b/>
          <w:bCs/>
          <w:sz w:val="22"/>
          <w:szCs w:val="22"/>
        </w:rPr>
      </w:pPr>
    </w:p>
    <w:p w:rsidR="00621A36" w:rsidRDefault="00621A36" w:rsidP="00621A36">
      <w:pPr>
        <w:numPr>
          <w:ilvl w:val="12"/>
          <w:numId w:val="0"/>
        </w:numPr>
        <w:rPr>
          <w:rFonts w:cs="Arial"/>
          <w:b/>
          <w:bCs/>
          <w:sz w:val="22"/>
          <w:szCs w:val="22"/>
        </w:rPr>
      </w:pPr>
    </w:p>
    <w:p w:rsidR="00756DB4" w:rsidRPr="009B5E75" w:rsidRDefault="00756DB4" w:rsidP="00756DB4">
      <w:pPr>
        <w:jc w:val="center"/>
        <w:rPr>
          <w:rFonts w:cs="Arial"/>
          <w:sz w:val="22"/>
          <w:szCs w:val="22"/>
        </w:rPr>
      </w:pPr>
      <w:r w:rsidRPr="009B5E75">
        <w:rPr>
          <w:rFonts w:cs="Arial"/>
          <w:b/>
          <w:bCs/>
          <w:sz w:val="22"/>
          <w:szCs w:val="22"/>
        </w:rPr>
        <w:t>Exhibit 3-</w:t>
      </w:r>
      <w:r>
        <w:rPr>
          <w:rFonts w:cs="Arial"/>
          <w:b/>
          <w:bCs/>
          <w:sz w:val="22"/>
          <w:szCs w:val="22"/>
        </w:rPr>
        <w:t>4</w:t>
      </w:r>
    </w:p>
    <w:p w:rsidR="00756DB4" w:rsidRDefault="00756DB4" w:rsidP="00756DB4">
      <w:pPr>
        <w:numPr>
          <w:ilvl w:val="12"/>
          <w:numId w:val="0"/>
        </w:numPr>
        <w:jc w:val="center"/>
        <w:rPr>
          <w:rFonts w:cs="Arial"/>
          <w:b/>
          <w:bCs/>
          <w:sz w:val="22"/>
          <w:szCs w:val="22"/>
        </w:rPr>
      </w:pPr>
      <w:r>
        <w:rPr>
          <w:rFonts w:cs="Arial"/>
          <w:b/>
          <w:bCs/>
          <w:sz w:val="22"/>
          <w:szCs w:val="22"/>
        </w:rPr>
        <w:t xml:space="preserve">Detailed </w:t>
      </w:r>
      <w:r w:rsidRPr="009B5E75">
        <w:rPr>
          <w:rFonts w:cs="Arial"/>
          <w:b/>
          <w:bCs/>
          <w:sz w:val="22"/>
          <w:szCs w:val="22"/>
        </w:rPr>
        <w:t>Quantitative Results</w:t>
      </w:r>
      <w:r>
        <w:rPr>
          <w:rFonts w:cs="Arial"/>
          <w:b/>
          <w:bCs/>
          <w:sz w:val="22"/>
          <w:szCs w:val="22"/>
        </w:rPr>
        <w:t>:  Licensee Costs</w:t>
      </w:r>
      <w:r w:rsidR="00A009E2">
        <w:rPr>
          <w:rFonts w:cs="Arial"/>
          <w:b/>
          <w:bCs/>
          <w:sz w:val="22"/>
          <w:szCs w:val="22"/>
        </w:rPr>
        <w:t xml:space="preserve"> of Option 2B</w:t>
      </w:r>
    </w:p>
    <w:p w:rsidR="00756DB4" w:rsidRDefault="00307EB0" w:rsidP="00756DB4">
      <w:pPr>
        <w:numPr>
          <w:ilvl w:val="12"/>
          <w:numId w:val="0"/>
        </w:numPr>
        <w:jc w:val="center"/>
        <w:rPr>
          <w:rFonts w:cs="Arial"/>
          <w:b/>
          <w:sz w:val="22"/>
          <w:szCs w:val="22"/>
        </w:rPr>
      </w:pPr>
      <w:r>
        <w:rPr>
          <w:rFonts w:cs="Arial"/>
          <w:b/>
          <w:sz w:val="22"/>
          <w:szCs w:val="22"/>
        </w:rPr>
        <w:t xml:space="preserve">With </w:t>
      </w:r>
      <w:r w:rsidR="00756DB4">
        <w:rPr>
          <w:rFonts w:cs="Arial"/>
          <w:b/>
          <w:sz w:val="22"/>
          <w:szCs w:val="22"/>
        </w:rPr>
        <w:t xml:space="preserve">No </w:t>
      </w:r>
      <w:r w:rsidR="001B1AC8">
        <w:rPr>
          <w:rFonts w:cs="Arial"/>
          <w:b/>
          <w:sz w:val="22"/>
          <w:szCs w:val="22"/>
        </w:rPr>
        <w:t>C</w:t>
      </w:r>
      <w:r w:rsidR="00756DB4">
        <w:rPr>
          <w:rFonts w:cs="Arial"/>
          <w:b/>
          <w:sz w:val="22"/>
          <w:szCs w:val="22"/>
        </w:rPr>
        <w:t xml:space="preserve">redit </w:t>
      </w:r>
      <w:r w:rsidR="001B1AC8">
        <w:rPr>
          <w:rFonts w:cs="Arial"/>
          <w:b/>
          <w:sz w:val="22"/>
          <w:szCs w:val="22"/>
        </w:rPr>
        <w:t>G</w:t>
      </w:r>
      <w:r w:rsidR="00756DB4">
        <w:rPr>
          <w:rFonts w:cs="Arial"/>
          <w:b/>
          <w:sz w:val="22"/>
          <w:szCs w:val="22"/>
        </w:rPr>
        <w:t xml:space="preserve">iven for </w:t>
      </w:r>
      <w:r>
        <w:rPr>
          <w:rFonts w:cs="Arial"/>
          <w:b/>
          <w:sz w:val="22"/>
          <w:szCs w:val="22"/>
        </w:rPr>
        <w:t xml:space="preserve">Current </w:t>
      </w:r>
      <w:r w:rsidR="00756DB4">
        <w:rPr>
          <w:rFonts w:cs="Arial"/>
          <w:b/>
          <w:sz w:val="22"/>
          <w:szCs w:val="22"/>
        </w:rPr>
        <w:t xml:space="preserve">Industry </w:t>
      </w:r>
      <w:r>
        <w:rPr>
          <w:rFonts w:cs="Arial"/>
          <w:b/>
          <w:sz w:val="22"/>
          <w:szCs w:val="22"/>
        </w:rPr>
        <w:t>Actions</w:t>
      </w:r>
    </w:p>
    <w:tbl>
      <w:tblPr>
        <w:tblW w:w="10385" w:type="dxa"/>
        <w:tblInd w:w="-557" w:type="dxa"/>
        <w:tblLayout w:type="fixed"/>
        <w:tblLook w:val="04A0" w:firstRow="1" w:lastRow="0" w:firstColumn="1" w:lastColumn="0" w:noHBand="0" w:noVBand="1"/>
      </w:tblPr>
      <w:tblGrid>
        <w:gridCol w:w="1385"/>
        <w:gridCol w:w="1170"/>
        <w:gridCol w:w="1080"/>
        <w:gridCol w:w="810"/>
        <w:gridCol w:w="1080"/>
        <w:gridCol w:w="990"/>
        <w:gridCol w:w="894"/>
        <w:gridCol w:w="1447"/>
        <w:gridCol w:w="1529"/>
      </w:tblGrid>
      <w:tr w:rsidR="00926F23" w:rsidRPr="00756DB4" w:rsidTr="00152246">
        <w:trPr>
          <w:trHeight w:val="975"/>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DB4" w:rsidRPr="00756DB4" w:rsidRDefault="00F978DE" w:rsidP="00756DB4">
            <w:pPr>
              <w:autoSpaceDE/>
              <w:autoSpaceDN/>
              <w:adjustRightInd/>
              <w:jc w:val="center"/>
              <w:rPr>
                <w:rFonts w:cs="Arial"/>
                <w:sz w:val="18"/>
                <w:szCs w:val="18"/>
              </w:rPr>
            </w:pPr>
            <w:r>
              <w:rPr>
                <w:rFonts w:cs="Arial"/>
                <w:sz w:val="18"/>
                <w:szCs w:val="18"/>
              </w:rPr>
              <w:t xml:space="preserve">CFR </w:t>
            </w:r>
            <w:r w:rsidR="00756DB4" w:rsidRPr="00756DB4">
              <w:rPr>
                <w:rFonts w:cs="Arial"/>
                <w:sz w:val="18"/>
                <w:szCs w:val="18"/>
              </w:rPr>
              <w:t>Citation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cs="Arial"/>
                <w:sz w:val="18"/>
                <w:szCs w:val="18"/>
              </w:rPr>
            </w:pPr>
            <w:r w:rsidRPr="00756DB4">
              <w:rPr>
                <w:rFonts w:cs="Arial"/>
                <w:sz w:val="18"/>
                <w:szCs w:val="18"/>
              </w:rPr>
              <w:t>Description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cs="Arial"/>
                <w:sz w:val="18"/>
                <w:szCs w:val="18"/>
              </w:rPr>
            </w:pPr>
            <w:r w:rsidRPr="00756DB4">
              <w:rPr>
                <w:rFonts w:cs="Arial"/>
                <w:sz w:val="18"/>
                <w:szCs w:val="18"/>
              </w:rPr>
              <w:t>Number of Licensees Affected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A71B6A">
            <w:pPr>
              <w:autoSpaceDE/>
              <w:autoSpaceDN/>
              <w:adjustRightInd/>
              <w:jc w:val="center"/>
              <w:rPr>
                <w:rFonts w:cs="Arial"/>
                <w:sz w:val="18"/>
                <w:szCs w:val="18"/>
              </w:rPr>
            </w:pPr>
            <w:r w:rsidRPr="00756DB4">
              <w:rPr>
                <w:rFonts w:cs="Arial"/>
                <w:sz w:val="18"/>
                <w:szCs w:val="18"/>
              </w:rPr>
              <w:t>Labor Rate</w:t>
            </w:r>
            <w:r w:rsidR="00A71B6A">
              <w:rPr>
                <w:rFonts w:cs="Arial"/>
                <w:sz w:val="18"/>
                <w:szCs w:val="18"/>
              </w:rPr>
              <w:t xml:space="preserve"> </w:t>
            </w:r>
            <w:r w:rsidRPr="00756DB4">
              <w:rPr>
                <w:rFonts w:cs="Arial"/>
                <w:sz w:val="18"/>
                <w:szCs w:val="18"/>
              </w:rPr>
              <w:t>S/</w:t>
            </w:r>
            <w:proofErr w:type="spellStart"/>
            <w:r w:rsidRPr="00756DB4">
              <w:rPr>
                <w:rFonts w:cs="Arial"/>
                <w:sz w:val="18"/>
                <w:szCs w:val="18"/>
              </w:rPr>
              <w:t>hr</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cs="Arial"/>
                <w:sz w:val="18"/>
                <w:szCs w:val="18"/>
              </w:rPr>
            </w:pPr>
            <w:r w:rsidRPr="00756DB4">
              <w:rPr>
                <w:rFonts w:cs="Arial"/>
                <w:sz w:val="18"/>
                <w:szCs w:val="18"/>
              </w:rPr>
              <w:t>Annual Hours per Licensee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A71B6A">
            <w:pPr>
              <w:autoSpaceDE/>
              <w:autoSpaceDN/>
              <w:adjustRightInd/>
              <w:jc w:val="center"/>
              <w:rPr>
                <w:rFonts w:cs="Arial"/>
                <w:sz w:val="18"/>
                <w:szCs w:val="18"/>
              </w:rPr>
            </w:pPr>
            <w:r w:rsidRPr="00756DB4">
              <w:rPr>
                <w:rFonts w:cs="Arial"/>
                <w:sz w:val="18"/>
                <w:szCs w:val="18"/>
              </w:rPr>
              <w:t xml:space="preserve">Annual Cost </w:t>
            </w:r>
            <w:r w:rsidR="00A71B6A">
              <w:rPr>
                <w:rFonts w:cs="Arial"/>
                <w:sz w:val="18"/>
                <w:szCs w:val="18"/>
              </w:rPr>
              <w:t>p</w:t>
            </w:r>
            <w:r w:rsidRPr="00756DB4">
              <w:rPr>
                <w:rFonts w:cs="Arial"/>
                <w:sz w:val="18"/>
                <w:szCs w:val="18"/>
              </w:rPr>
              <w:t>er Licensee</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cs="Arial"/>
                <w:sz w:val="18"/>
                <w:szCs w:val="18"/>
              </w:rPr>
            </w:pPr>
            <w:r w:rsidRPr="00756DB4">
              <w:rPr>
                <w:rFonts w:cs="Arial"/>
                <w:sz w:val="18"/>
                <w:szCs w:val="18"/>
              </w:rPr>
              <w:t>Total Annual Costs</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cs="Arial"/>
                <w:sz w:val="18"/>
                <w:szCs w:val="18"/>
              </w:rPr>
            </w:pPr>
            <w:r w:rsidRPr="00756DB4">
              <w:rPr>
                <w:rFonts w:cs="Arial"/>
                <w:sz w:val="18"/>
                <w:szCs w:val="18"/>
              </w:rPr>
              <w:t xml:space="preserve">One-Time Implementation </w:t>
            </w:r>
            <w:r w:rsidR="00A71B6A">
              <w:rPr>
                <w:rFonts w:cs="Arial"/>
                <w:sz w:val="18"/>
                <w:szCs w:val="18"/>
              </w:rPr>
              <w:t>C</w:t>
            </w:r>
            <w:r w:rsidRPr="00756DB4">
              <w:rPr>
                <w:rFonts w:cs="Arial"/>
                <w:sz w:val="18"/>
                <w:szCs w:val="18"/>
              </w:rPr>
              <w:t>ost per Licensee</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cs="Arial"/>
                <w:sz w:val="18"/>
                <w:szCs w:val="18"/>
              </w:rPr>
            </w:pPr>
            <w:r w:rsidRPr="00756DB4">
              <w:rPr>
                <w:rFonts w:cs="Arial"/>
                <w:sz w:val="18"/>
                <w:szCs w:val="18"/>
              </w:rPr>
              <w:t xml:space="preserve">Total One-Time </w:t>
            </w:r>
            <w:r w:rsidR="00B24380" w:rsidRPr="00756DB4">
              <w:rPr>
                <w:rFonts w:cs="Arial"/>
                <w:sz w:val="18"/>
                <w:szCs w:val="18"/>
              </w:rPr>
              <w:t>Implementation</w:t>
            </w:r>
            <w:r w:rsidRPr="00756DB4">
              <w:rPr>
                <w:rFonts w:cs="Arial"/>
                <w:sz w:val="18"/>
                <w:szCs w:val="18"/>
              </w:rPr>
              <w:t xml:space="preserve"> Cost</w:t>
            </w:r>
          </w:p>
        </w:tc>
      </w:tr>
      <w:tr w:rsidR="00926F23" w:rsidRPr="00756DB4" w:rsidTr="00152246">
        <w:trPr>
          <w:trHeight w:val="508"/>
        </w:trPr>
        <w:tc>
          <w:tcPr>
            <w:tcW w:w="1385" w:type="dxa"/>
            <w:tcBorders>
              <w:top w:val="nil"/>
              <w:left w:val="single" w:sz="4" w:space="0" w:color="auto"/>
              <w:bottom w:val="single" w:sz="4" w:space="0" w:color="auto"/>
              <w:right w:val="single" w:sz="4" w:space="0" w:color="auto"/>
            </w:tcBorders>
            <w:shd w:val="clear" w:color="auto" w:fill="auto"/>
            <w:vAlign w:val="center"/>
            <w:hideMark/>
          </w:tcPr>
          <w:p w:rsidR="00C64AC7" w:rsidRDefault="00756DB4" w:rsidP="00460063">
            <w:pPr>
              <w:autoSpaceDE/>
              <w:autoSpaceDN/>
              <w:adjustRightInd/>
              <w:rPr>
                <w:rFonts w:cs="Arial"/>
                <w:color w:val="000000"/>
                <w:sz w:val="18"/>
                <w:szCs w:val="18"/>
              </w:rPr>
            </w:pPr>
            <w:r w:rsidRPr="00756DB4">
              <w:rPr>
                <w:rFonts w:cs="Arial"/>
                <w:color w:val="000000"/>
                <w:sz w:val="18"/>
                <w:szCs w:val="18"/>
              </w:rPr>
              <w:t>74.19(b)</w:t>
            </w:r>
          </w:p>
        </w:tc>
        <w:tc>
          <w:tcPr>
            <w:tcW w:w="1170" w:type="dxa"/>
            <w:tcBorders>
              <w:top w:val="nil"/>
              <w:left w:val="nil"/>
              <w:bottom w:val="single" w:sz="4" w:space="0" w:color="auto"/>
              <w:right w:val="single" w:sz="4" w:space="0" w:color="auto"/>
            </w:tcBorders>
            <w:shd w:val="clear" w:color="auto" w:fill="auto"/>
            <w:vAlign w:val="center"/>
            <w:hideMark/>
          </w:tcPr>
          <w:p w:rsidR="00C64AC7" w:rsidRDefault="00BE206C" w:rsidP="00460063">
            <w:pPr>
              <w:autoSpaceDE/>
              <w:autoSpaceDN/>
              <w:adjustRightInd/>
              <w:rPr>
                <w:rFonts w:cs="Arial"/>
                <w:color w:val="000000"/>
                <w:sz w:val="18"/>
                <w:szCs w:val="18"/>
              </w:rPr>
            </w:pPr>
            <w:r>
              <w:rPr>
                <w:rFonts w:cs="Arial"/>
                <w:color w:val="000000"/>
                <w:sz w:val="18"/>
                <w:szCs w:val="18"/>
              </w:rPr>
              <w:t>W</w:t>
            </w:r>
            <w:r w:rsidR="00756DB4" w:rsidRPr="00756DB4">
              <w:rPr>
                <w:rFonts w:cs="Arial"/>
                <w:color w:val="000000"/>
                <w:sz w:val="18"/>
                <w:szCs w:val="18"/>
              </w:rPr>
              <w:t xml:space="preserve">ritten MC&amp;A </w:t>
            </w:r>
            <w:r>
              <w:rPr>
                <w:rFonts w:cs="Arial"/>
                <w:color w:val="000000"/>
                <w:sz w:val="18"/>
                <w:szCs w:val="18"/>
              </w:rPr>
              <w:t>P</w:t>
            </w:r>
            <w:r w:rsidR="00756DB4" w:rsidRPr="00756DB4">
              <w:rPr>
                <w:rFonts w:cs="Arial"/>
                <w:color w:val="000000"/>
                <w:sz w:val="18"/>
                <w:szCs w:val="18"/>
              </w:rPr>
              <w:t>rocedures</w:t>
            </w:r>
          </w:p>
        </w:tc>
        <w:tc>
          <w:tcPr>
            <w:tcW w:w="108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r w:rsidRPr="00756DB4">
              <w:rPr>
                <w:rFonts w:cs="Arial"/>
                <w:color w:val="000000"/>
                <w:sz w:val="18"/>
                <w:szCs w:val="18"/>
              </w:rPr>
              <w:t>0</w:t>
            </w:r>
          </w:p>
        </w:tc>
        <w:tc>
          <w:tcPr>
            <w:tcW w:w="81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r w:rsidRPr="00756DB4">
              <w:rPr>
                <w:rFonts w:cs="Arial"/>
                <w:color w:val="000000"/>
                <w:sz w:val="18"/>
                <w:szCs w:val="18"/>
              </w:rPr>
              <w:t>$73</w:t>
            </w:r>
            <w:r w:rsidR="00D62899">
              <w:rPr>
                <w:rFonts w:cs="Arial"/>
                <w:color w:val="000000"/>
                <w:sz w:val="18"/>
                <w:szCs w:val="18"/>
              </w:rPr>
              <w:t>.20</w:t>
            </w:r>
          </w:p>
        </w:tc>
        <w:tc>
          <w:tcPr>
            <w:tcW w:w="108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r w:rsidRPr="00756DB4">
              <w:rPr>
                <w:rFonts w:cs="Arial"/>
                <w:color w:val="000000"/>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r w:rsidRPr="00756DB4">
              <w:rPr>
                <w:rFonts w:cs="Arial"/>
                <w:color w:val="000000"/>
                <w:sz w:val="18"/>
                <w:szCs w:val="18"/>
              </w:rPr>
              <w:t>$</w:t>
            </w:r>
            <w:r w:rsidR="00C31CAE">
              <w:rPr>
                <w:rFonts w:cs="Arial"/>
                <w:color w:val="000000"/>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r w:rsidRPr="00756DB4">
              <w:rPr>
                <w:rFonts w:cs="Arial"/>
                <w:color w:val="000000"/>
                <w:sz w:val="18"/>
                <w:szCs w:val="18"/>
              </w:rPr>
              <w:t>$</w:t>
            </w:r>
            <w:r w:rsidR="00C31CAE">
              <w:rPr>
                <w:rFonts w:cs="Arial"/>
                <w:color w:val="000000"/>
                <w:sz w:val="18"/>
                <w:szCs w:val="18"/>
              </w:rPr>
              <w:t>0</w:t>
            </w:r>
          </w:p>
        </w:tc>
        <w:tc>
          <w:tcPr>
            <w:tcW w:w="1447" w:type="dxa"/>
            <w:tcBorders>
              <w:top w:val="nil"/>
              <w:left w:val="nil"/>
              <w:bottom w:val="single" w:sz="4" w:space="0" w:color="auto"/>
              <w:right w:val="single" w:sz="4" w:space="0" w:color="auto"/>
            </w:tcBorders>
            <w:shd w:val="clear" w:color="auto" w:fill="auto"/>
            <w:vAlign w:val="center"/>
            <w:hideMark/>
          </w:tcPr>
          <w:p w:rsidR="00756DB4" w:rsidRPr="00756DB4" w:rsidRDefault="00A009E2" w:rsidP="00722D29">
            <w:pPr>
              <w:autoSpaceDE/>
              <w:autoSpaceDN/>
              <w:adjustRightInd/>
              <w:jc w:val="center"/>
              <w:rPr>
                <w:rFonts w:cs="Arial"/>
                <w:color w:val="000000"/>
                <w:sz w:val="18"/>
                <w:szCs w:val="18"/>
              </w:rPr>
            </w:pPr>
            <w:r>
              <w:rPr>
                <w:rFonts w:cs="Arial"/>
                <w:color w:val="000000"/>
                <w:sz w:val="18"/>
                <w:szCs w:val="18"/>
              </w:rPr>
              <w:t>$0</w:t>
            </w:r>
          </w:p>
        </w:tc>
        <w:tc>
          <w:tcPr>
            <w:tcW w:w="1529"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r w:rsidRPr="00756DB4">
              <w:rPr>
                <w:rFonts w:cs="Arial"/>
                <w:color w:val="000000"/>
                <w:sz w:val="18"/>
                <w:szCs w:val="18"/>
              </w:rPr>
              <w:t>$</w:t>
            </w:r>
            <w:r w:rsidR="00C31CAE">
              <w:rPr>
                <w:rFonts w:cs="Arial"/>
                <w:color w:val="000000"/>
                <w:sz w:val="18"/>
                <w:szCs w:val="18"/>
              </w:rPr>
              <w:t>0</w:t>
            </w:r>
          </w:p>
        </w:tc>
      </w:tr>
      <w:tr w:rsidR="00926F23" w:rsidRPr="00756DB4" w:rsidTr="00152246">
        <w:trPr>
          <w:trHeight w:val="480"/>
        </w:trPr>
        <w:tc>
          <w:tcPr>
            <w:tcW w:w="1385" w:type="dxa"/>
            <w:tcBorders>
              <w:top w:val="nil"/>
              <w:left w:val="single" w:sz="4" w:space="0" w:color="auto"/>
              <w:bottom w:val="single" w:sz="4" w:space="0" w:color="auto"/>
              <w:right w:val="single" w:sz="4" w:space="0" w:color="auto"/>
            </w:tcBorders>
            <w:shd w:val="clear" w:color="auto" w:fill="auto"/>
            <w:vAlign w:val="center"/>
            <w:hideMark/>
          </w:tcPr>
          <w:p w:rsidR="00C64AC7" w:rsidRDefault="00D62899" w:rsidP="00460063">
            <w:pPr>
              <w:autoSpaceDE/>
              <w:autoSpaceDN/>
              <w:adjustRightInd/>
              <w:rPr>
                <w:rFonts w:cs="Arial"/>
                <w:color w:val="000000"/>
                <w:sz w:val="18"/>
                <w:szCs w:val="18"/>
              </w:rPr>
            </w:pPr>
            <w:r w:rsidRPr="00756DB4">
              <w:rPr>
                <w:rFonts w:cs="Arial"/>
                <w:color w:val="000000"/>
                <w:sz w:val="18"/>
                <w:szCs w:val="18"/>
              </w:rPr>
              <w:t>74.19 (d)</w:t>
            </w:r>
          </w:p>
        </w:tc>
        <w:tc>
          <w:tcPr>
            <w:tcW w:w="1170" w:type="dxa"/>
            <w:tcBorders>
              <w:top w:val="nil"/>
              <w:left w:val="nil"/>
              <w:bottom w:val="single" w:sz="4" w:space="0" w:color="auto"/>
              <w:right w:val="single" w:sz="4" w:space="0" w:color="auto"/>
            </w:tcBorders>
            <w:shd w:val="clear" w:color="auto" w:fill="auto"/>
            <w:vAlign w:val="center"/>
            <w:hideMark/>
          </w:tcPr>
          <w:p w:rsidR="00C64AC7" w:rsidRDefault="00D62899" w:rsidP="00460063">
            <w:pPr>
              <w:autoSpaceDE/>
              <w:autoSpaceDN/>
              <w:adjustRightInd/>
              <w:rPr>
                <w:rFonts w:cs="Arial"/>
                <w:color w:val="000000"/>
                <w:sz w:val="18"/>
                <w:szCs w:val="18"/>
              </w:rPr>
            </w:pPr>
            <w:r w:rsidRPr="00756DB4">
              <w:rPr>
                <w:rFonts w:cs="Arial"/>
                <w:color w:val="000000"/>
                <w:sz w:val="18"/>
                <w:szCs w:val="18"/>
              </w:rPr>
              <w:t>Item Control System</w:t>
            </w:r>
          </w:p>
        </w:tc>
        <w:tc>
          <w:tcPr>
            <w:tcW w:w="108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128</w:t>
            </w:r>
          </w:p>
        </w:tc>
        <w:tc>
          <w:tcPr>
            <w:tcW w:w="81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$73</w:t>
            </w:r>
            <w:r>
              <w:rPr>
                <w:rFonts w:cs="Arial"/>
                <w:color w:val="000000"/>
                <w:sz w:val="18"/>
                <w:szCs w:val="18"/>
              </w:rPr>
              <w:t>.20</w:t>
            </w:r>
          </w:p>
        </w:tc>
        <w:tc>
          <w:tcPr>
            <w:tcW w:w="108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3</w:t>
            </w:r>
          </w:p>
        </w:tc>
        <w:tc>
          <w:tcPr>
            <w:tcW w:w="99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$220</w:t>
            </w:r>
          </w:p>
        </w:tc>
        <w:tc>
          <w:tcPr>
            <w:tcW w:w="894"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$28,109</w:t>
            </w:r>
          </w:p>
        </w:tc>
        <w:tc>
          <w:tcPr>
            <w:tcW w:w="1447"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$366</w:t>
            </w:r>
          </w:p>
        </w:tc>
        <w:tc>
          <w:tcPr>
            <w:tcW w:w="1529"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$46,848</w:t>
            </w:r>
          </w:p>
        </w:tc>
      </w:tr>
      <w:tr w:rsidR="00926F23" w:rsidRPr="00756DB4" w:rsidTr="00152246">
        <w:trPr>
          <w:trHeight w:val="480"/>
        </w:trPr>
        <w:tc>
          <w:tcPr>
            <w:tcW w:w="1385" w:type="dxa"/>
            <w:tcBorders>
              <w:top w:val="nil"/>
              <w:left w:val="single" w:sz="4" w:space="0" w:color="auto"/>
              <w:bottom w:val="single" w:sz="4" w:space="0" w:color="auto"/>
              <w:right w:val="single" w:sz="4" w:space="0" w:color="auto"/>
            </w:tcBorders>
            <w:shd w:val="clear" w:color="auto" w:fill="auto"/>
            <w:vAlign w:val="center"/>
            <w:hideMark/>
          </w:tcPr>
          <w:p w:rsidR="00C64AC7" w:rsidRDefault="00D62899" w:rsidP="00460063">
            <w:pPr>
              <w:autoSpaceDE/>
              <w:autoSpaceDN/>
              <w:adjustRightInd/>
              <w:rPr>
                <w:rFonts w:cs="Arial"/>
                <w:color w:val="000000"/>
                <w:sz w:val="18"/>
                <w:szCs w:val="18"/>
              </w:rPr>
            </w:pPr>
            <w:r w:rsidRPr="00756DB4">
              <w:rPr>
                <w:rFonts w:cs="Arial"/>
                <w:color w:val="000000"/>
                <w:sz w:val="18"/>
                <w:szCs w:val="18"/>
              </w:rPr>
              <w:t>74.31(c)(6)</w:t>
            </w:r>
          </w:p>
        </w:tc>
        <w:tc>
          <w:tcPr>
            <w:tcW w:w="1170" w:type="dxa"/>
            <w:tcBorders>
              <w:top w:val="nil"/>
              <w:left w:val="nil"/>
              <w:bottom w:val="single" w:sz="4" w:space="0" w:color="auto"/>
              <w:right w:val="single" w:sz="4" w:space="0" w:color="auto"/>
            </w:tcBorders>
            <w:shd w:val="clear" w:color="auto" w:fill="auto"/>
            <w:vAlign w:val="center"/>
            <w:hideMark/>
          </w:tcPr>
          <w:p w:rsidR="00C64AC7" w:rsidRDefault="00D62899" w:rsidP="00460063">
            <w:pPr>
              <w:autoSpaceDE/>
              <w:autoSpaceDN/>
              <w:adjustRightInd/>
              <w:rPr>
                <w:rFonts w:cs="Arial"/>
                <w:color w:val="000000"/>
                <w:sz w:val="18"/>
                <w:szCs w:val="18"/>
              </w:rPr>
            </w:pPr>
            <w:r w:rsidRPr="00756DB4">
              <w:rPr>
                <w:rFonts w:cs="Arial"/>
                <w:color w:val="000000"/>
                <w:sz w:val="18"/>
                <w:szCs w:val="18"/>
              </w:rPr>
              <w:t>Item Control Exemptions</w:t>
            </w:r>
          </w:p>
        </w:tc>
        <w:tc>
          <w:tcPr>
            <w:tcW w:w="108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3</w:t>
            </w:r>
          </w:p>
        </w:tc>
        <w:tc>
          <w:tcPr>
            <w:tcW w:w="81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$73</w:t>
            </w:r>
            <w:r>
              <w:rPr>
                <w:rFonts w:cs="Arial"/>
                <w:color w:val="000000"/>
                <w:sz w:val="18"/>
                <w:szCs w:val="18"/>
              </w:rPr>
              <w:t>.20</w:t>
            </w:r>
          </w:p>
        </w:tc>
        <w:tc>
          <w:tcPr>
            <w:tcW w:w="108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100</w:t>
            </w:r>
          </w:p>
        </w:tc>
        <w:tc>
          <w:tcPr>
            <w:tcW w:w="99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$7,320</w:t>
            </w:r>
          </w:p>
        </w:tc>
        <w:tc>
          <w:tcPr>
            <w:tcW w:w="894"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$21,960</w:t>
            </w:r>
          </w:p>
        </w:tc>
        <w:tc>
          <w:tcPr>
            <w:tcW w:w="1447"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$18,300</w:t>
            </w:r>
          </w:p>
        </w:tc>
        <w:tc>
          <w:tcPr>
            <w:tcW w:w="1529"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$54,900</w:t>
            </w:r>
          </w:p>
        </w:tc>
      </w:tr>
      <w:tr w:rsidR="00926F23" w:rsidRPr="00756DB4" w:rsidTr="00152246">
        <w:trPr>
          <w:trHeight w:val="472"/>
        </w:trPr>
        <w:tc>
          <w:tcPr>
            <w:tcW w:w="1385" w:type="dxa"/>
            <w:tcBorders>
              <w:top w:val="nil"/>
              <w:left w:val="single" w:sz="4" w:space="0" w:color="auto"/>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74.33 (c)(6)(ii)</w:t>
            </w:r>
          </w:p>
        </w:tc>
        <w:tc>
          <w:tcPr>
            <w:tcW w:w="1170" w:type="dxa"/>
            <w:tcBorders>
              <w:top w:val="nil"/>
              <w:left w:val="nil"/>
              <w:bottom w:val="single" w:sz="4" w:space="0" w:color="auto"/>
              <w:right w:val="single" w:sz="4" w:space="0" w:color="auto"/>
            </w:tcBorders>
            <w:shd w:val="clear" w:color="auto" w:fill="auto"/>
            <w:vAlign w:val="center"/>
            <w:hideMark/>
          </w:tcPr>
          <w:p w:rsidR="00C64AC7" w:rsidRDefault="00D62899" w:rsidP="00460063">
            <w:pPr>
              <w:autoSpaceDE/>
              <w:autoSpaceDN/>
              <w:adjustRightInd/>
              <w:rPr>
                <w:rFonts w:cs="Arial"/>
                <w:color w:val="000000"/>
                <w:sz w:val="18"/>
                <w:szCs w:val="18"/>
              </w:rPr>
            </w:pPr>
            <w:r w:rsidRPr="00756DB4">
              <w:rPr>
                <w:rFonts w:cs="Arial"/>
                <w:color w:val="000000"/>
                <w:sz w:val="18"/>
                <w:szCs w:val="18"/>
              </w:rPr>
              <w:t>Item Control Exemptions</w:t>
            </w:r>
          </w:p>
        </w:tc>
        <w:tc>
          <w:tcPr>
            <w:tcW w:w="108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4</w:t>
            </w:r>
          </w:p>
        </w:tc>
        <w:tc>
          <w:tcPr>
            <w:tcW w:w="81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$73</w:t>
            </w:r>
            <w:r>
              <w:rPr>
                <w:rFonts w:cs="Arial"/>
                <w:color w:val="000000"/>
                <w:sz w:val="18"/>
                <w:szCs w:val="18"/>
              </w:rPr>
              <w:t>.20</w:t>
            </w:r>
          </w:p>
        </w:tc>
        <w:tc>
          <w:tcPr>
            <w:tcW w:w="108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100</w:t>
            </w:r>
          </w:p>
        </w:tc>
        <w:tc>
          <w:tcPr>
            <w:tcW w:w="99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$7,320</w:t>
            </w:r>
          </w:p>
        </w:tc>
        <w:tc>
          <w:tcPr>
            <w:tcW w:w="894"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$29,280</w:t>
            </w:r>
          </w:p>
        </w:tc>
        <w:tc>
          <w:tcPr>
            <w:tcW w:w="1447"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$18,300</w:t>
            </w:r>
          </w:p>
        </w:tc>
        <w:tc>
          <w:tcPr>
            <w:tcW w:w="1529"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$73,200</w:t>
            </w:r>
          </w:p>
        </w:tc>
      </w:tr>
      <w:tr w:rsidR="00926F23" w:rsidRPr="00756DB4" w:rsidTr="00152246">
        <w:trPr>
          <w:trHeight w:val="445"/>
        </w:trPr>
        <w:tc>
          <w:tcPr>
            <w:tcW w:w="1385" w:type="dxa"/>
            <w:tcBorders>
              <w:top w:val="nil"/>
              <w:left w:val="single" w:sz="4" w:space="0" w:color="auto"/>
              <w:bottom w:val="single" w:sz="4" w:space="0" w:color="auto"/>
              <w:right w:val="single" w:sz="4" w:space="0" w:color="auto"/>
            </w:tcBorders>
            <w:shd w:val="clear" w:color="auto" w:fill="auto"/>
            <w:vAlign w:val="center"/>
            <w:hideMark/>
          </w:tcPr>
          <w:p w:rsidR="00C64AC7" w:rsidRDefault="00D62899" w:rsidP="00460063">
            <w:pPr>
              <w:autoSpaceDE/>
              <w:autoSpaceDN/>
              <w:adjustRightInd/>
              <w:rPr>
                <w:rFonts w:cs="Arial"/>
                <w:color w:val="000000"/>
                <w:sz w:val="18"/>
                <w:szCs w:val="18"/>
              </w:rPr>
            </w:pPr>
            <w:r w:rsidRPr="00756DB4">
              <w:rPr>
                <w:rFonts w:cs="Arial"/>
                <w:color w:val="000000"/>
                <w:sz w:val="18"/>
                <w:szCs w:val="18"/>
              </w:rPr>
              <w:t>74.43(b)(6)</w:t>
            </w:r>
          </w:p>
        </w:tc>
        <w:tc>
          <w:tcPr>
            <w:tcW w:w="1170" w:type="dxa"/>
            <w:tcBorders>
              <w:top w:val="nil"/>
              <w:left w:val="nil"/>
              <w:bottom w:val="single" w:sz="4" w:space="0" w:color="auto"/>
              <w:right w:val="single" w:sz="4" w:space="0" w:color="auto"/>
            </w:tcBorders>
            <w:shd w:val="clear" w:color="auto" w:fill="auto"/>
            <w:vAlign w:val="center"/>
            <w:hideMark/>
          </w:tcPr>
          <w:p w:rsidR="00C64AC7" w:rsidRDefault="00D62899" w:rsidP="00460063">
            <w:pPr>
              <w:autoSpaceDE/>
              <w:autoSpaceDN/>
              <w:adjustRightInd/>
              <w:rPr>
                <w:rFonts w:cs="Arial"/>
                <w:color w:val="000000"/>
                <w:sz w:val="18"/>
                <w:szCs w:val="18"/>
              </w:rPr>
            </w:pPr>
            <w:r w:rsidRPr="00756DB4">
              <w:rPr>
                <w:rFonts w:cs="Arial"/>
                <w:color w:val="000000"/>
                <w:sz w:val="18"/>
                <w:szCs w:val="18"/>
              </w:rPr>
              <w:t>Item Control Exemptions</w:t>
            </w:r>
          </w:p>
        </w:tc>
        <w:tc>
          <w:tcPr>
            <w:tcW w:w="108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1</w:t>
            </w:r>
          </w:p>
        </w:tc>
        <w:tc>
          <w:tcPr>
            <w:tcW w:w="81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$73</w:t>
            </w:r>
            <w:r>
              <w:rPr>
                <w:rFonts w:cs="Arial"/>
                <w:color w:val="000000"/>
                <w:sz w:val="18"/>
                <w:szCs w:val="18"/>
              </w:rPr>
              <w:t>.20</w:t>
            </w:r>
          </w:p>
        </w:tc>
        <w:tc>
          <w:tcPr>
            <w:tcW w:w="108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100</w:t>
            </w:r>
          </w:p>
        </w:tc>
        <w:tc>
          <w:tcPr>
            <w:tcW w:w="990"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$7,320</w:t>
            </w:r>
          </w:p>
        </w:tc>
        <w:tc>
          <w:tcPr>
            <w:tcW w:w="894"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$7,320</w:t>
            </w:r>
          </w:p>
        </w:tc>
        <w:tc>
          <w:tcPr>
            <w:tcW w:w="1447"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$18,300</w:t>
            </w:r>
          </w:p>
        </w:tc>
        <w:tc>
          <w:tcPr>
            <w:tcW w:w="1529" w:type="dxa"/>
            <w:tcBorders>
              <w:top w:val="nil"/>
              <w:left w:val="nil"/>
              <w:bottom w:val="single" w:sz="4" w:space="0" w:color="auto"/>
              <w:right w:val="single" w:sz="4" w:space="0" w:color="auto"/>
            </w:tcBorders>
            <w:shd w:val="clear" w:color="auto" w:fill="auto"/>
            <w:vAlign w:val="center"/>
            <w:hideMark/>
          </w:tcPr>
          <w:p w:rsidR="00D62899" w:rsidRPr="00756DB4" w:rsidRDefault="00D62899" w:rsidP="00722D29">
            <w:pPr>
              <w:autoSpaceDE/>
              <w:autoSpaceDN/>
              <w:adjustRightInd/>
              <w:jc w:val="center"/>
              <w:rPr>
                <w:rFonts w:cs="Arial"/>
                <w:color w:val="000000"/>
                <w:sz w:val="18"/>
                <w:szCs w:val="18"/>
              </w:rPr>
            </w:pPr>
            <w:r w:rsidRPr="00756DB4">
              <w:rPr>
                <w:rFonts w:cs="Arial"/>
                <w:color w:val="000000"/>
                <w:sz w:val="18"/>
                <w:szCs w:val="18"/>
              </w:rPr>
              <w:t>$18,300</w:t>
            </w:r>
          </w:p>
        </w:tc>
      </w:tr>
      <w:tr w:rsidR="00926F23" w:rsidRPr="00756DB4" w:rsidTr="00152246">
        <w:trPr>
          <w:trHeight w:val="300"/>
        </w:trPr>
        <w:tc>
          <w:tcPr>
            <w:tcW w:w="1385" w:type="dxa"/>
            <w:tcBorders>
              <w:top w:val="nil"/>
              <w:left w:val="single" w:sz="4" w:space="0" w:color="auto"/>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r w:rsidRPr="00756DB4">
              <w:rPr>
                <w:rFonts w:cs="Arial"/>
                <w:color w:val="000000"/>
                <w:sz w:val="18"/>
                <w:szCs w:val="18"/>
              </w:rPr>
              <w:t>Total</w:t>
            </w:r>
          </w:p>
        </w:tc>
        <w:tc>
          <w:tcPr>
            <w:tcW w:w="117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18"/>
                <w:szCs w:val="18"/>
              </w:rPr>
            </w:pPr>
            <w:r w:rsidRPr="00756DB4">
              <w:rPr>
                <w:rFonts w:ascii="Calibri" w:hAnsi="Calibri"/>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ascii="Calibri" w:hAnsi="Calibri"/>
                <w:color w:val="000000"/>
                <w:sz w:val="18"/>
                <w:szCs w:val="18"/>
              </w:rPr>
            </w:pPr>
          </w:p>
        </w:tc>
        <w:tc>
          <w:tcPr>
            <w:tcW w:w="99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p>
        </w:tc>
        <w:tc>
          <w:tcPr>
            <w:tcW w:w="894"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r w:rsidRPr="00756DB4">
              <w:rPr>
                <w:rFonts w:cs="Arial"/>
                <w:color w:val="000000"/>
                <w:sz w:val="18"/>
                <w:szCs w:val="18"/>
              </w:rPr>
              <w:t>$</w:t>
            </w:r>
            <w:r w:rsidR="00BE206C">
              <w:rPr>
                <w:rFonts w:cs="Arial"/>
                <w:color w:val="000000"/>
                <w:sz w:val="18"/>
                <w:szCs w:val="18"/>
              </w:rPr>
              <w:t>86,669</w:t>
            </w:r>
          </w:p>
        </w:tc>
        <w:tc>
          <w:tcPr>
            <w:tcW w:w="1447"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p>
        </w:tc>
        <w:tc>
          <w:tcPr>
            <w:tcW w:w="1529"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22D29">
            <w:pPr>
              <w:autoSpaceDE/>
              <w:autoSpaceDN/>
              <w:adjustRightInd/>
              <w:jc w:val="center"/>
              <w:rPr>
                <w:rFonts w:cs="Arial"/>
                <w:color w:val="000000"/>
                <w:sz w:val="18"/>
                <w:szCs w:val="18"/>
              </w:rPr>
            </w:pPr>
            <w:r w:rsidRPr="00756DB4">
              <w:rPr>
                <w:rFonts w:cs="Arial"/>
                <w:color w:val="000000"/>
                <w:sz w:val="18"/>
                <w:szCs w:val="18"/>
              </w:rPr>
              <w:t>$</w:t>
            </w:r>
            <w:r w:rsidR="00BE206C">
              <w:rPr>
                <w:rFonts w:cs="Arial"/>
                <w:color w:val="000000"/>
                <w:sz w:val="18"/>
                <w:szCs w:val="18"/>
              </w:rPr>
              <w:t>193,248</w:t>
            </w:r>
          </w:p>
        </w:tc>
      </w:tr>
    </w:tbl>
    <w:p w:rsidR="00756DB4" w:rsidRDefault="00756DB4" w:rsidP="00756DB4">
      <w:pPr>
        <w:numPr>
          <w:ilvl w:val="12"/>
          <w:numId w:val="0"/>
        </w:numPr>
        <w:jc w:val="center"/>
        <w:rPr>
          <w:rFonts w:cs="Arial"/>
          <w:b/>
          <w:sz w:val="22"/>
          <w:szCs w:val="22"/>
        </w:rPr>
      </w:pPr>
    </w:p>
    <w:p w:rsidR="00756DB4" w:rsidRDefault="00756DB4" w:rsidP="00756DB4">
      <w:pPr>
        <w:numPr>
          <w:ilvl w:val="12"/>
          <w:numId w:val="0"/>
        </w:numPr>
        <w:jc w:val="center"/>
        <w:rPr>
          <w:rFonts w:cs="Arial"/>
          <w:sz w:val="22"/>
          <w:szCs w:val="22"/>
        </w:rPr>
      </w:pPr>
    </w:p>
    <w:p w:rsidR="001A06B0" w:rsidRDefault="001A06B0" w:rsidP="00756DB4">
      <w:pPr>
        <w:numPr>
          <w:ilvl w:val="12"/>
          <w:numId w:val="0"/>
        </w:numPr>
        <w:jc w:val="center"/>
        <w:rPr>
          <w:rFonts w:cs="Arial"/>
          <w:sz w:val="22"/>
          <w:szCs w:val="22"/>
        </w:rPr>
      </w:pPr>
    </w:p>
    <w:p w:rsidR="00756DB4" w:rsidRDefault="00756DB4" w:rsidP="00621A36">
      <w:pPr>
        <w:numPr>
          <w:ilvl w:val="12"/>
          <w:numId w:val="0"/>
        </w:numPr>
        <w:rPr>
          <w:rFonts w:cs="Arial"/>
          <w:b/>
          <w:bCs/>
          <w:sz w:val="22"/>
          <w:szCs w:val="22"/>
        </w:rPr>
      </w:pPr>
    </w:p>
    <w:p w:rsidR="00C1459C" w:rsidRPr="009B5E75" w:rsidRDefault="004503EF" w:rsidP="00ED0FC8">
      <w:pPr>
        <w:numPr>
          <w:ilvl w:val="12"/>
          <w:numId w:val="0"/>
        </w:numPr>
        <w:rPr>
          <w:rFonts w:cs="Arial"/>
          <w:b/>
          <w:bCs/>
          <w:sz w:val="22"/>
          <w:szCs w:val="22"/>
        </w:rPr>
      </w:pPr>
      <w:r>
        <w:rPr>
          <w:rFonts w:cs="Arial"/>
          <w:b/>
          <w:bCs/>
          <w:sz w:val="22"/>
          <w:szCs w:val="22"/>
        </w:rPr>
        <w:t>4.</w:t>
      </w:r>
      <w:r w:rsidRPr="004503EF">
        <w:rPr>
          <w:rFonts w:cs="Arial"/>
          <w:b/>
          <w:bCs/>
          <w:sz w:val="22"/>
          <w:szCs w:val="22"/>
        </w:rPr>
        <w:t xml:space="preserve"> </w:t>
      </w:r>
      <w:r>
        <w:rPr>
          <w:rFonts w:cs="Arial"/>
          <w:b/>
          <w:bCs/>
          <w:sz w:val="22"/>
          <w:szCs w:val="22"/>
        </w:rPr>
        <w:tab/>
      </w:r>
      <w:r w:rsidR="00C1459C" w:rsidRPr="0048470A">
        <w:rPr>
          <w:rFonts w:cs="Arial"/>
          <w:b/>
          <w:bCs/>
          <w:sz w:val="22"/>
          <w:szCs w:val="22"/>
          <w:u w:val="single"/>
        </w:rPr>
        <w:t>Presentation of Results</w:t>
      </w:r>
      <w:r w:rsidR="00C1459C" w:rsidRPr="009B5E75">
        <w:rPr>
          <w:rFonts w:cs="Arial"/>
          <w:b/>
          <w:bCs/>
          <w:sz w:val="22"/>
          <w:szCs w:val="22"/>
        </w:rPr>
        <w:t xml:space="preserve"> </w:t>
      </w:r>
      <w:r w:rsidR="001C7681" w:rsidRPr="009B5E75">
        <w:rPr>
          <w:rFonts w:cs="Arial"/>
          <w:b/>
          <w:bCs/>
          <w:sz w:val="22"/>
          <w:szCs w:val="22"/>
        </w:rPr>
        <w:fldChar w:fldCharType="begin"/>
      </w:r>
      <w:proofErr w:type="spellStart"/>
      <w:proofErr w:type="gramStart"/>
      <w:r w:rsidR="00C1459C" w:rsidRPr="009B5E75">
        <w:rPr>
          <w:rFonts w:cs="Arial"/>
          <w:b/>
          <w:bCs/>
          <w:sz w:val="22"/>
          <w:szCs w:val="22"/>
        </w:rPr>
        <w:instrText>tc</w:instrText>
      </w:r>
      <w:proofErr w:type="spellEnd"/>
      <w:proofErr w:type="gramEnd"/>
      <w:r w:rsidR="00C1459C" w:rsidRPr="009B5E75">
        <w:rPr>
          <w:rFonts w:cs="Arial"/>
          <w:b/>
          <w:bCs/>
          <w:sz w:val="22"/>
          <w:szCs w:val="22"/>
        </w:rPr>
        <w:instrText xml:space="preserve"> "</w:instrText>
      </w:r>
      <w:bookmarkStart w:id="24" w:name="_Toc293403062"/>
      <w:bookmarkStart w:id="25" w:name="_Toc336939802"/>
      <w:r w:rsidR="00C1459C" w:rsidRPr="009B5E75">
        <w:rPr>
          <w:rFonts w:cs="Arial"/>
          <w:b/>
          <w:bCs/>
          <w:sz w:val="22"/>
          <w:szCs w:val="22"/>
        </w:rPr>
        <w:instrText>4.</w:instrText>
      </w:r>
      <w:r w:rsidR="00C1459C" w:rsidRPr="009B5E75">
        <w:rPr>
          <w:rFonts w:cs="Arial"/>
          <w:b/>
          <w:bCs/>
          <w:sz w:val="22"/>
          <w:szCs w:val="22"/>
        </w:rPr>
        <w:tab/>
        <w:instrText>Presentation of Results</w:instrText>
      </w:r>
      <w:bookmarkEnd w:id="24"/>
      <w:bookmarkEnd w:id="25"/>
      <w:r w:rsidR="00C1459C" w:rsidRPr="009B5E75">
        <w:rPr>
          <w:rFonts w:cs="Arial"/>
          <w:b/>
          <w:bCs/>
          <w:sz w:val="22"/>
          <w:szCs w:val="22"/>
        </w:rPr>
        <w:instrText xml:space="preserve"> </w:instrText>
      </w:r>
      <w:proofErr w:type="gramStart"/>
      <w:r w:rsidR="00C1459C" w:rsidRPr="009B5E75">
        <w:rPr>
          <w:rFonts w:cs="Arial"/>
          <w:b/>
          <w:bCs/>
          <w:sz w:val="22"/>
          <w:szCs w:val="22"/>
        </w:rPr>
        <w:instrText>" \</w:instrText>
      </w:r>
      <w:proofErr w:type="gramEnd"/>
      <w:r w:rsidR="00C1459C" w:rsidRPr="009B5E75">
        <w:rPr>
          <w:rFonts w:cs="Arial"/>
          <w:b/>
          <w:bCs/>
          <w:sz w:val="22"/>
          <w:szCs w:val="22"/>
        </w:rPr>
        <w:instrText>l 2</w:instrText>
      </w:r>
      <w:r w:rsidR="001C7681" w:rsidRPr="009B5E75">
        <w:rPr>
          <w:rFonts w:cs="Arial"/>
          <w:b/>
          <w:bCs/>
          <w:sz w:val="22"/>
          <w:szCs w:val="22"/>
        </w:rPr>
        <w:fldChar w:fldCharType="end"/>
      </w:r>
    </w:p>
    <w:p w:rsidR="00C1459C" w:rsidRPr="009B5E75" w:rsidRDefault="00C1459C" w:rsidP="00C1459C">
      <w:pPr>
        <w:numPr>
          <w:ilvl w:val="12"/>
          <w:numId w:val="0"/>
        </w:numPr>
        <w:rPr>
          <w:rFonts w:cs="Arial"/>
          <w:sz w:val="22"/>
          <w:szCs w:val="22"/>
        </w:rPr>
      </w:pPr>
    </w:p>
    <w:p w:rsidR="00C1459C" w:rsidRPr="009B5E75" w:rsidRDefault="00C1459C" w:rsidP="00C1459C">
      <w:pPr>
        <w:numPr>
          <w:ilvl w:val="12"/>
          <w:numId w:val="0"/>
        </w:numPr>
        <w:ind w:left="720" w:hanging="720"/>
        <w:rPr>
          <w:rFonts w:cs="Arial"/>
          <w:b/>
          <w:bCs/>
          <w:sz w:val="22"/>
          <w:szCs w:val="22"/>
        </w:rPr>
      </w:pPr>
      <w:r w:rsidRPr="009B5E75">
        <w:rPr>
          <w:rFonts w:cs="Arial"/>
          <w:b/>
          <w:bCs/>
          <w:sz w:val="22"/>
          <w:szCs w:val="22"/>
        </w:rPr>
        <w:t>4.1</w:t>
      </w:r>
      <w:r w:rsidRPr="009B5E75">
        <w:rPr>
          <w:rFonts w:cs="Arial"/>
          <w:b/>
          <w:bCs/>
          <w:sz w:val="22"/>
          <w:szCs w:val="22"/>
        </w:rPr>
        <w:tab/>
        <w:t xml:space="preserve">Values and Impacts </w:t>
      </w:r>
      <w:r w:rsidR="001C7681" w:rsidRPr="009B5E75">
        <w:rPr>
          <w:rFonts w:cs="Arial"/>
          <w:b/>
          <w:bCs/>
          <w:sz w:val="22"/>
          <w:szCs w:val="22"/>
        </w:rPr>
        <w:fldChar w:fldCharType="begin"/>
      </w:r>
      <w:proofErr w:type="spellStart"/>
      <w:r w:rsidRPr="009B5E75">
        <w:rPr>
          <w:rFonts w:cs="Arial"/>
          <w:b/>
          <w:bCs/>
          <w:sz w:val="22"/>
          <w:szCs w:val="22"/>
        </w:rPr>
        <w:instrText>tc</w:instrText>
      </w:r>
      <w:proofErr w:type="spellEnd"/>
      <w:r w:rsidRPr="009B5E75">
        <w:rPr>
          <w:rFonts w:cs="Arial"/>
          <w:b/>
          <w:bCs/>
          <w:sz w:val="22"/>
          <w:szCs w:val="22"/>
        </w:rPr>
        <w:instrText xml:space="preserve"> "</w:instrText>
      </w:r>
      <w:bookmarkStart w:id="26" w:name="_Toc293403063"/>
      <w:bookmarkStart w:id="27" w:name="_Toc336939803"/>
      <w:r w:rsidRPr="009B5E75">
        <w:rPr>
          <w:rFonts w:cs="Arial"/>
          <w:b/>
          <w:bCs/>
          <w:sz w:val="22"/>
          <w:szCs w:val="22"/>
        </w:rPr>
        <w:instrText>4.1</w:instrText>
      </w:r>
      <w:r w:rsidRPr="009B5E75">
        <w:rPr>
          <w:rFonts w:cs="Arial"/>
          <w:b/>
          <w:bCs/>
          <w:sz w:val="22"/>
          <w:szCs w:val="22"/>
        </w:rPr>
        <w:tab/>
        <w:instrText xml:space="preserve">Values and </w:instrText>
      </w:r>
      <w:proofErr w:type="gramStart"/>
      <w:r w:rsidRPr="009B5E75">
        <w:rPr>
          <w:rFonts w:cs="Arial"/>
          <w:b/>
          <w:bCs/>
          <w:sz w:val="22"/>
          <w:szCs w:val="22"/>
        </w:rPr>
        <w:instrText>Impacts</w:instrText>
      </w:r>
      <w:bookmarkEnd w:id="26"/>
      <w:bookmarkEnd w:id="27"/>
      <w:r w:rsidRPr="009B5E75">
        <w:rPr>
          <w:rFonts w:cs="Arial"/>
          <w:b/>
          <w:bCs/>
          <w:sz w:val="22"/>
          <w:szCs w:val="22"/>
        </w:rPr>
        <w:instrText xml:space="preserve"> "</w:instrText>
      </w:r>
      <w:proofErr w:type="gramEnd"/>
      <w:r w:rsidRPr="009B5E75">
        <w:rPr>
          <w:rFonts w:cs="Arial"/>
          <w:b/>
          <w:bCs/>
          <w:sz w:val="22"/>
          <w:szCs w:val="22"/>
        </w:rPr>
        <w:instrText xml:space="preserve"> \l 3</w:instrText>
      </w:r>
      <w:r w:rsidR="001C7681" w:rsidRPr="009B5E75">
        <w:rPr>
          <w:rFonts w:cs="Arial"/>
          <w:b/>
          <w:bCs/>
          <w:sz w:val="22"/>
          <w:szCs w:val="22"/>
        </w:rPr>
        <w:fldChar w:fldCharType="end"/>
      </w:r>
    </w:p>
    <w:p w:rsidR="00C1459C" w:rsidRPr="009B5E75" w:rsidRDefault="00C1459C" w:rsidP="00C1459C">
      <w:pPr>
        <w:numPr>
          <w:ilvl w:val="12"/>
          <w:numId w:val="0"/>
        </w:numPr>
        <w:rPr>
          <w:rFonts w:cs="Arial"/>
          <w:sz w:val="22"/>
          <w:szCs w:val="22"/>
        </w:rPr>
      </w:pPr>
    </w:p>
    <w:p w:rsidR="00791883" w:rsidRDefault="00C1459C" w:rsidP="0083215E">
      <w:pPr>
        <w:numPr>
          <w:ilvl w:val="12"/>
          <w:numId w:val="0"/>
        </w:numPr>
        <w:rPr>
          <w:rFonts w:cs="Arial"/>
          <w:sz w:val="22"/>
          <w:szCs w:val="22"/>
        </w:rPr>
      </w:pPr>
      <w:r w:rsidRPr="009B5E75">
        <w:rPr>
          <w:rFonts w:cs="Arial"/>
          <w:sz w:val="22"/>
          <w:szCs w:val="22"/>
        </w:rPr>
        <w:lastRenderedPageBreak/>
        <w:t>This section summarizes the values (benefits) and impacts (costs) estimated for the</w:t>
      </w:r>
      <w:r w:rsidR="00205CFB">
        <w:rPr>
          <w:rFonts w:cs="Arial"/>
          <w:sz w:val="22"/>
          <w:szCs w:val="22"/>
        </w:rPr>
        <w:t>se</w:t>
      </w:r>
      <w:r w:rsidRPr="009B5E75">
        <w:rPr>
          <w:rFonts w:cs="Arial"/>
          <w:sz w:val="22"/>
          <w:szCs w:val="22"/>
        </w:rPr>
        <w:t xml:space="preserve"> regulatory options.  (</w:t>
      </w:r>
      <w:r w:rsidR="00534D82" w:rsidRPr="009B5E75">
        <w:rPr>
          <w:rFonts w:cs="Arial"/>
          <w:sz w:val="22"/>
          <w:szCs w:val="22"/>
        </w:rPr>
        <w:t>Section 3.3</w:t>
      </w:r>
      <w:r w:rsidR="00534D82">
        <w:rPr>
          <w:rFonts w:cs="Arial"/>
          <w:sz w:val="22"/>
          <w:szCs w:val="22"/>
        </w:rPr>
        <w:t xml:space="preserve"> presents a</w:t>
      </w:r>
      <w:r w:rsidRPr="009B5E75">
        <w:rPr>
          <w:rFonts w:cs="Arial"/>
          <w:sz w:val="22"/>
          <w:szCs w:val="22"/>
        </w:rPr>
        <w:t xml:space="preserve"> more detailed analysis)  To the extent that the affected attributes could be analyzed quantitatively, the net effect of each option has been calculated and is presented </w:t>
      </w:r>
      <w:r w:rsidR="00874625">
        <w:rPr>
          <w:rFonts w:cs="Arial"/>
          <w:sz w:val="22"/>
          <w:szCs w:val="22"/>
        </w:rPr>
        <w:t>in Exhibit</w:t>
      </w:r>
      <w:r w:rsidR="00DC3900">
        <w:rPr>
          <w:rFonts w:cs="Arial"/>
          <w:sz w:val="22"/>
          <w:szCs w:val="22"/>
        </w:rPr>
        <w:t>s</w:t>
      </w:r>
      <w:r w:rsidR="00874625">
        <w:rPr>
          <w:rFonts w:cs="Arial"/>
          <w:sz w:val="22"/>
          <w:szCs w:val="22"/>
        </w:rPr>
        <w:t xml:space="preserve"> 4.1</w:t>
      </w:r>
      <w:r w:rsidR="00DC3900">
        <w:rPr>
          <w:rFonts w:cs="Arial"/>
          <w:sz w:val="22"/>
          <w:szCs w:val="22"/>
        </w:rPr>
        <w:t xml:space="preserve"> and 4.2</w:t>
      </w:r>
      <w:r w:rsidRPr="009B5E75">
        <w:rPr>
          <w:rFonts w:cs="Arial"/>
          <w:sz w:val="22"/>
          <w:szCs w:val="22"/>
        </w:rPr>
        <w:t>.  However, some values and impacts could be evaluated only on a qualitative basis.</w:t>
      </w:r>
      <w:r w:rsidR="005D4FBC">
        <w:rPr>
          <w:rFonts w:cs="Arial"/>
          <w:sz w:val="22"/>
          <w:szCs w:val="22"/>
        </w:rPr>
        <w:t xml:space="preserve">  </w:t>
      </w:r>
    </w:p>
    <w:p w:rsidR="00791883" w:rsidRDefault="00791883" w:rsidP="0083215E">
      <w:pPr>
        <w:numPr>
          <w:ilvl w:val="12"/>
          <w:numId w:val="0"/>
        </w:numPr>
        <w:rPr>
          <w:rFonts w:cs="Arial"/>
          <w:sz w:val="22"/>
          <w:szCs w:val="22"/>
        </w:rPr>
      </w:pPr>
    </w:p>
    <w:p w:rsidR="00C1459C" w:rsidRPr="009B5E75" w:rsidRDefault="007E73F0" w:rsidP="0083215E">
      <w:pPr>
        <w:numPr>
          <w:ilvl w:val="12"/>
          <w:numId w:val="0"/>
        </w:numPr>
        <w:rPr>
          <w:rFonts w:cs="Arial"/>
          <w:sz w:val="22"/>
          <w:szCs w:val="22"/>
        </w:rPr>
      </w:pPr>
      <w:r>
        <w:rPr>
          <w:rFonts w:cs="Arial"/>
          <w:sz w:val="22"/>
          <w:szCs w:val="22"/>
        </w:rPr>
        <w:t>The NRC has not quantified the</w:t>
      </w:r>
      <w:r w:rsidR="009A346E" w:rsidRPr="000D2279">
        <w:rPr>
          <w:rFonts w:cs="Arial"/>
          <w:sz w:val="22"/>
          <w:szCs w:val="22"/>
        </w:rPr>
        <w:t xml:space="preserve"> values (</w:t>
      </w:r>
      <w:r w:rsidR="00511D30">
        <w:rPr>
          <w:rFonts w:cs="Arial"/>
          <w:sz w:val="22"/>
          <w:szCs w:val="22"/>
        </w:rPr>
        <w:t>b</w:t>
      </w:r>
      <w:r w:rsidR="009A346E" w:rsidRPr="000D2279">
        <w:rPr>
          <w:rFonts w:cs="Arial"/>
          <w:sz w:val="22"/>
          <w:szCs w:val="22"/>
        </w:rPr>
        <w:t xml:space="preserve">enefits) associated with the </w:t>
      </w:r>
      <w:r w:rsidR="009A346E">
        <w:rPr>
          <w:rFonts w:cs="Arial"/>
          <w:sz w:val="22"/>
          <w:szCs w:val="22"/>
        </w:rPr>
        <w:t xml:space="preserve">proposed </w:t>
      </w:r>
      <w:r w:rsidR="009A346E" w:rsidRPr="000D2279">
        <w:rPr>
          <w:rFonts w:cs="Arial"/>
          <w:sz w:val="22"/>
          <w:szCs w:val="22"/>
        </w:rPr>
        <w:t xml:space="preserve">rule.  The qualitative values of the </w:t>
      </w:r>
      <w:r w:rsidR="009A346E">
        <w:rPr>
          <w:rFonts w:cs="Arial"/>
          <w:sz w:val="22"/>
          <w:szCs w:val="22"/>
        </w:rPr>
        <w:t xml:space="preserve">proposed </w:t>
      </w:r>
      <w:r w:rsidR="009A346E" w:rsidRPr="000D2279">
        <w:rPr>
          <w:rFonts w:cs="Arial"/>
          <w:sz w:val="22"/>
          <w:szCs w:val="22"/>
        </w:rPr>
        <w:t xml:space="preserve">rule </w:t>
      </w:r>
      <w:r>
        <w:rPr>
          <w:rFonts w:cs="Arial"/>
          <w:sz w:val="22"/>
          <w:szCs w:val="22"/>
        </w:rPr>
        <w:t>relate to</w:t>
      </w:r>
      <w:r w:rsidR="009A346E" w:rsidRPr="000D2279">
        <w:rPr>
          <w:rFonts w:cs="Arial"/>
          <w:sz w:val="22"/>
          <w:szCs w:val="22"/>
        </w:rPr>
        <w:t xml:space="preserve"> </w:t>
      </w:r>
      <w:r w:rsidR="009C6B0C">
        <w:rPr>
          <w:rFonts w:cs="Arial"/>
          <w:sz w:val="22"/>
          <w:szCs w:val="22"/>
        </w:rPr>
        <w:t xml:space="preserve">security and </w:t>
      </w:r>
      <w:r w:rsidR="009A346E" w:rsidRPr="000D2279">
        <w:rPr>
          <w:rFonts w:cs="Arial"/>
          <w:sz w:val="22"/>
          <w:szCs w:val="22"/>
        </w:rPr>
        <w:t>safeguar</w:t>
      </w:r>
      <w:r w:rsidR="009A346E">
        <w:rPr>
          <w:rFonts w:cs="Arial"/>
          <w:sz w:val="22"/>
          <w:szCs w:val="22"/>
        </w:rPr>
        <w:t>d</w:t>
      </w:r>
      <w:r w:rsidR="00AC5DA6">
        <w:rPr>
          <w:rFonts w:cs="Arial"/>
          <w:sz w:val="22"/>
          <w:szCs w:val="22"/>
        </w:rPr>
        <w:t>s</w:t>
      </w:r>
      <w:r w:rsidR="009A346E">
        <w:rPr>
          <w:rFonts w:cs="Arial"/>
          <w:sz w:val="22"/>
          <w:szCs w:val="22"/>
        </w:rPr>
        <w:t xml:space="preserve"> considerations </w:t>
      </w:r>
      <w:r>
        <w:rPr>
          <w:rFonts w:cs="Arial"/>
          <w:sz w:val="22"/>
          <w:szCs w:val="22"/>
        </w:rPr>
        <w:t>regarding an expected decrease in the</w:t>
      </w:r>
      <w:r w:rsidR="009A346E" w:rsidRPr="000D2279">
        <w:rPr>
          <w:rFonts w:cs="Arial"/>
          <w:sz w:val="22"/>
          <w:szCs w:val="22"/>
        </w:rPr>
        <w:t xml:space="preserve"> risk of a security-related event, such as theft or diversion of </w:t>
      </w:r>
      <w:r w:rsidR="009A346E">
        <w:rPr>
          <w:rFonts w:cs="Arial"/>
          <w:sz w:val="22"/>
          <w:szCs w:val="22"/>
        </w:rPr>
        <w:t>SN</w:t>
      </w:r>
      <w:r w:rsidR="00AC5DA6">
        <w:rPr>
          <w:rFonts w:cs="Arial"/>
          <w:sz w:val="22"/>
          <w:szCs w:val="22"/>
        </w:rPr>
        <w:t>M</w:t>
      </w:r>
      <w:r w:rsidR="009A346E" w:rsidRPr="000D2279">
        <w:rPr>
          <w:rFonts w:cs="Arial"/>
          <w:sz w:val="22"/>
          <w:szCs w:val="22"/>
        </w:rPr>
        <w:t xml:space="preserve"> and </w:t>
      </w:r>
      <w:r>
        <w:rPr>
          <w:rFonts w:cs="Arial"/>
          <w:sz w:val="22"/>
          <w:szCs w:val="22"/>
        </w:rPr>
        <w:t xml:space="preserve">the </w:t>
      </w:r>
      <w:r w:rsidR="009A346E" w:rsidRPr="000D2279">
        <w:rPr>
          <w:rFonts w:cs="Arial"/>
          <w:sz w:val="22"/>
          <w:szCs w:val="22"/>
        </w:rPr>
        <w:t xml:space="preserve">subsequent use </w:t>
      </w:r>
      <w:r>
        <w:rPr>
          <w:rFonts w:cs="Arial"/>
          <w:sz w:val="22"/>
          <w:szCs w:val="22"/>
        </w:rPr>
        <w:t xml:space="preserve">of SNM </w:t>
      </w:r>
      <w:r w:rsidR="009A346E" w:rsidRPr="000D2279">
        <w:rPr>
          <w:rFonts w:cs="Arial"/>
          <w:sz w:val="22"/>
          <w:szCs w:val="22"/>
        </w:rPr>
        <w:t xml:space="preserve">for </w:t>
      </w:r>
      <w:r w:rsidR="009A346E">
        <w:rPr>
          <w:rFonts w:cs="Arial"/>
          <w:sz w:val="22"/>
          <w:szCs w:val="22"/>
        </w:rPr>
        <w:t>unauthorized</w:t>
      </w:r>
      <w:r w:rsidR="009A346E" w:rsidRPr="000D2279">
        <w:rPr>
          <w:rFonts w:cs="Arial"/>
          <w:sz w:val="22"/>
          <w:szCs w:val="22"/>
        </w:rPr>
        <w:t xml:space="preserve"> purposes.  Increasing the security of </w:t>
      </w:r>
      <w:r w:rsidR="009A346E">
        <w:rPr>
          <w:rFonts w:cs="Arial"/>
          <w:sz w:val="22"/>
          <w:szCs w:val="22"/>
        </w:rPr>
        <w:t>SN</w:t>
      </w:r>
      <w:r w:rsidR="00AC5DA6">
        <w:rPr>
          <w:rFonts w:cs="Arial"/>
          <w:sz w:val="22"/>
          <w:szCs w:val="22"/>
        </w:rPr>
        <w:t>M</w:t>
      </w:r>
      <w:r w:rsidR="009A346E" w:rsidRPr="000D2279">
        <w:rPr>
          <w:rFonts w:cs="Arial"/>
          <w:sz w:val="22"/>
          <w:szCs w:val="22"/>
        </w:rPr>
        <w:t xml:space="preserve"> decrease</w:t>
      </w:r>
      <w:r w:rsidR="009A346E">
        <w:rPr>
          <w:rFonts w:cs="Arial"/>
          <w:sz w:val="22"/>
          <w:szCs w:val="22"/>
        </w:rPr>
        <w:t>s</w:t>
      </w:r>
      <w:r w:rsidR="009A346E" w:rsidRPr="000D2279">
        <w:rPr>
          <w:rFonts w:cs="Arial"/>
          <w:sz w:val="22"/>
          <w:szCs w:val="22"/>
        </w:rPr>
        <w:t xml:space="preserve"> this risk and increases the common defense and security of the nation.</w:t>
      </w:r>
      <w:r w:rsidR="00874625">
        <w:rPr>
          <w:rFonts w:cs="Arial"/>
          <w:sz w:val="22"/>
          <w:szCs w:val="22"/>
        </w:rPr>
        <w:t xml:space="preserve">  </w:t>
      </w:r>
      <w:r w:rsidR="00874625">
        <w:rPr>
          <w:sz w:val="22"/>
          <w:szCs w:val="22"/>
        </w:rPr>
        <w:t xml:space="preserve">The NRC realizes that the incremental increase in benefits is reduced to the extent that licensees are currently performing MC&amp;A activities </w:t>
      </w:r>
      <w:r w:rsidR="00787F6F">
        <w:rPr>
          <w:sz w:val="22"/>
          <w:szCs w:val="22"/>
        </w:rPr>
        <w:t xml:space="preserve">which are routinely inspected by the NRC </w:t>
      </w:r>
      <w:r w:rsidR="00874625">
        <w:rPr>
          <w:sz w:val="22"/>
          <w:szCs w:val="22"/>
        </w:rPr>
        <w:t xml:space="preserve">under the </w:t>
      </w:r>
      <w:r w:rsidR="00E847B1">
        <w:rPr>
          <w:sz w:val="22"/>
          <w:szCs w:val="22"/>
        </w:rPr>
        <w:t>ROP</w:t>
      </w:r>
      <w:r w:rsidR="0097207B">
        <w:rPr>
          <w:sz w:val="22"/>
          <w:szCs w:val="22"/>
        </w:rPr>
        <w:t xml:space="preserve"> and which may already include an item control system to track and control SNM</w:t>
      </w:r>
      <w:r w:rsidR="00874625">
        <w:rPr>
          <w:sz w:val="22"/>
          <w:szCs w:val="22"/>
        </w:rPr>
        <w:t>.  However, the NRC believes the net overall value realized would warrant the cost of the proposed rule to enhance regulatory effectiveness</w:t>
      </w:r>
      <w:r w:rsidR="0097207B">
        <w:rPr>
          <w:sz w:val="22"/>
          <w:szCs w:val="22"/>
        </w:rPr>
        <w:t xml:space="preserve"> by providing a baseline requirement for </w:t>
      </w:r>
      <w:r w:rsidR="00B04DD6">
        <w:rPr>
          <w:sz w:val="22"/>
          <w:szCs w:val="22"/>
        </w:rPr>
        <w:t xml:space="preserve">the expectation that </w:t>
      </w:r>
      <w:r w:rsidR="0097207B">
        <w:rPr>
          <w:sz w:val="22"/>
          <w:szCs w:val="22"/>
        </w:rPr>
        <w:t xml:space="preserve">a licensee </w:t>
      </w:r>
      <w:r w:rsidR="00B04DD6">
        <w:rPr>
          <w:sz w:val="22"/>
          <w:szCs w:val="22"/>
        </w:rPr>
        <w:t>would</w:t>
      </w:r>
      <w:r w:rsidR="0097207B">
        <w:rPr>
          <w:sz w:val="22"/>
          <w:szCs w:val="22"/>
        </w:rPr>
        <w:t xml:space="preserve"> establish, implement, and maintain an item control system for purposes of information collection and reporting about items containing SNM</w:t>
      </w:r>
      <w:r w:rsidR="00874625">
        <w:rPr>
          <w:sz w:val="22"/>
          <w:szCs w:val="22"/>
        </w:rPr>
        <w:t>.</w:t>
      </w:r>
    </w:p>
    <w:p w:rsidR="00C1459C" w:rsidRPr="009B5E75" w:rsidRDefault="00C1459C" w:rsidP="00C1459C">
      <w:pPr>
        <w:numPr>
          <w:ilvl w:val="12"/>
          <w:numId w:val="0"/>
        </w:numPr>
        <w:rPr>
          <w:rFonts w:cs="Arial"/>
          <w:sz w:val="22"/>
          <w:szCs w:val="22"/>
        </w:rPr>
      </w:pPr>
    </w:p>
    <w:p w:rsidR="00DC3900" w:rsidRDefault="00711BAE" w:rsidP="0083215E">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9B5E75">
        <w:rPr>
          <w:rFonts w:cs="Arial"/>
          <w:sz w:val="22"/>
          <w:szCs w:val="22"/>
        </w:rPr>
        <w:t>Exhibit 4-1</w:t>
      </w:r>
      <w:r>
        <w:rPr>
          <w:rFonts w:cs="Arial"/>
          <w:sz w:val="22"/>
          <w:szCs w:val="22"/>
        </w:rPr>
        <w:t xml:space="preserve"> summarizes t</w:t>
      </w:r>
      <w:r w:rsidR="00C1459C" w:rsidRPr="009B5E75">
        <w:rPr>
          <w:rFonts w:cs="Arial"/>
          <w:sz w:val="22"/>
          <w:szCs w:val="22"/>
        </w:rPr>
        <w:t>he results of the value-impact analysis</w:t>
      </w:r>
      <w:r w:rsidR="00DC3900">
        <w:rPr>
          <w:rFonts w:cs="Arial"/>
          <w:sz w:val="22"/>
          <w:szCs w:val="22"/>
        </w:rPr>
        <w:t xml:space="preserve"> with full credit given for </w:t>
      </w:r>
      <w:r w:rsidR="00307EB0">
        <w:rPr>
          <w:rFonts w:cs="Arial"/>
          <w:sz w:val="22"/>
          <w:szCs w:val="22"/>
        </w:rPr>
        <w:t xml:space="preserve">current </w:t>
      </w:r>
      <w:r w:rsidR="00DC3900">
        <w:rPr>
          <w:rFonts w:cs="Arial"/>
          <w:sz w:val="22"/>
          <w:szCs w:val="22"/>
        </w:rPr>
        <w:t>industry</w:t>
      </w:r>
      <w:r w:rsidR="00307EB0">
        <w:rPr>
          <w:rFonts w:cs="Arial"/>
          <w:sz w:val="22"/>
          <w:szCs w:val="22"/>
        </w:rPr>
        <w:t xml:space="preserve"> actions</w:t>
      </w:r>
      <w:r w:rsidR="0084621A">
        <w:rPr>
          <w:rFonts w:cs="Arial"/>
          <w:sz w:val="22"/>
          <w:szCs w:val="22"/>
        </w:rPr>
        <w:t xml:space="preserve"> (Option 2A) r</w:t>
      </w:r>
      <w:r w:rsidR="00C1459C" w:rsidRPr="009B5E75">
        <w:rPr>
          <w:rFonts w:cs="Arial"/>
          <w:sz w:val="22"/>
          <w:szCs w:val="22"/>
        </w:rPr>
        <w:t>elative to the no-action alternative (Option 1)</w:t>
      </w:r>
      <w:r w:rsidR="0084621A">
        <w:rPr>
          <w:rFonts w:cs="Arial"/>
          <w:sz w:val="22"/>
          <w:szCs w:val="22"/>
        </w:rPr>
        <w:t xml:space="preserve">.  </w:t>
      </w:r>
      <w:r w:rsidR="00C1459C" w:rsidRPr="009B5E75">
        <w:rPr>
          <w:rFonts w:cs="Arial"/>
          <w:sz w:val="22"/>
          <w:szCs w:val="22"/>
        </w:rPr>
        <w:t>Option 2</w:t>
      </w:r>
      <w:r w:rsidR="0084621A">
        <w:rPr>
          <w:rFonts w:cs="Arial"/>
          <w:sz w:val="22"/>
          <w:szCs w:val="22"/>
        </w:rPr>
        <w:t>A</w:t>
      </w:r>
      <w:r w:rsidR="00C1459C" w:rsidRPr="009B5E75">
        <w:rPr>
          <w:rFonts w:cs="Arial"/>
          <w:sz w:val="22"/>
          <w:szCs w:val="22"/>
        </w:rPr>
        <w:t xml:space="preserve"> would result in a net quantitative impact estimat</w:t>
      </w:r>
      <w:r w:rsidR="00874BE8">
        <w:rPr>
          <w:rFonts w:cs="Arial"/>
          <w:sz w:val="22"/>
          <w:szCs w:val="22"/>
        </w:rPr>
        <w:t>ion</w:t>
      </w:r>
      <w:r w:rsidR="00C1459C" w:rsidRPr="009B5E75">
        <w:rPr>
          <w:rFonts w:cs="Arial"/>
          <w:sz w:val="22"/>
          <w:szCs w:val="22"/>
        </w:rPr>
        <w:t xml:space="preserve"> </w:t>
      </w:r>
      <w:r w:rsidR="006D7C0A" w:rsidRPr="009B5E75">
        <w:rPr>
          <w:rFonts w:cs="Arial"/>
          <w:sz w:val="22"/>
          <w:szCs w:val="22"/>
        </w:rPr>
        <w:t xml:space="preserve">of </w:t>
      </w:r>
      <w:r w:rsidR="00B77EDF">
        <w:rPr>
          <w:rFonts w:cs="Arial"/>
          <w:sz w:val="22"/>
          <w:szCs w:val="22"/>
        </w:rPr>
        <w:t xml:space="preserve">approximately </w:t>
      </w:r>
      <w:r w:rsidR="00410560" w:rsidRPr="002C5BD0">
        <w:rPr>
          <w:rFonts w:cs="Arial"/>
          <w:color w:val="000000"/>
          <w:sz w:val="22"/>
          <w:szCs w:val="22"/>
        </w:rPr>
        <w:t>$</w:t>
      </w:r>
      <w:r w:rsidR="00940860">
        <w:rPr>
          <w:rFonts w:cs="Arial"/>
          <w:color w:val="000000"/>
          <w:sz w:val="22"/>
          <w:szCs w:val="22"/>
        </w:rPr>
        <w:t>1.05</w:t>
      </w:r>
      <w:r w:rsidR="00284E5F">
        <w:rPr>
          <w:rFonts w:cs="Arial"/>
          <w:color w:val="000000"/>
          <w:sz w:val="22"/>
          <w:szCs w:val="22"/>
        </w:rPr>
        <w:t xml:space="preserve"> million</w:t>
      </w:r>
      <w:r w:rsidR="004B4424" w:rsidRPr="002C5BD0">
        <w:rPr>
          <w:rFonts w:cs="Arial"/>
          <w:color w:val="FF0000"/>
          <w:sz w:val="22"/>
          <w:szCs w:val="22"/>
        </w:rPr>
        <w:t xml:space="preserve"> </w:t>
      </w:r>
      <w:r w:rsidR="003A4350" w:rsidRPr="002C5BD0">
        <w:rPr>
          <w:rFonts w:cs="Arial"/>
          <w:sz w:val="22"/>
          <w:szCs w:val="22"/>
        </w:rPr>
        <w:t>at a 3</w:t>
      </w:r>
      <w:r w:rsidR="00874BE8" w:rsidRPr="002C5BD0">
        <w:rPr>
          <w:rFonts w:cs="Arial"/>
          <w:sz w:val="22"/>
          <w:szCs w:val="22"/>
        </w:rPr>
        <w:t>-</w:t>
      </w:r>
      <w:r w:rsidR="003A4350" w:rsidRPr="002C5BD0">
        <w:rPr>
          <w:rFonts w:cs="Arial"/>
          <w:sz w:val="22"/>
          <w:szCs w:val="22"/>
        </w:rPr>
        <w:t xml:space="preserve">percent discount </w:t>
      </w:r>
      <w:r w:rsidR="003A4350" w:rsidRPr="002C5BD0">
        <w:rPr>
          <w:rFonts w:cs="Arial"/>
          <w:color w:val="000000"/>
          <w:sz w:val="22"/>
          <w:szCs w:val="22"/>
        </w:rPr>
        <w:t>rate</w:t>
      </w:r>
      <w:r w:rsidR="00232B84" w:rsidRPr="002C5BD0">
        <w:rPr>
          <w:rFonts w:cs="Arial"/>
          <w:color w:val="000000"/>
          <w:sz w:val="22"/>
          <w:szCs w:val="22"/>
        </w:rPr>
        <w:t xml:space="preserve"> and $</w:t>
      </w:r>
      <w:r w:rsidR="00940860">
        <w:rPr>
          <w:rFonts w:cs="Arial"/>
          <w:color w:val="000000"/>
          <w:sz w:val="22"/>
          <w:szCs w:val="22"/>
        </w:rPr>
        <w:t>937,000</w:t>
      </w:r>
      <w:r w:rsidR="00FB2C35" w:rsidRPr="002C5BD0">
        <w:rPr>
          <w:rFonts w:cs="Arial"/>
          <w:color w:val="000000"/>
          <w:sz w:val="22"/>
          <w:szCs w:val="22"/>
        </w:rPr>
        <w:t xml:space="preserve"> at</w:t>
      </w:r>
      <w:r w:rsidR="00232B84" w:rsidRPr="002C5BD0">
        <w:rPr>
          <w:rFonts w:cs="Arial"/>
          <w:color w:val="000000"/>
          <w:sz w:val="22"/>
          <w:szCs w:val="22"/>
        </w:rPr>
        <w:t xml:space="preserve"> a</w:t>
      </w:r>
      <w:r w:rsidR="00232B84" w:rsidRPr="002C5BD0">
        <w:rPr>
          <w:rFonts w:cs="Arial"/>
          <w:sz w:val="22"/>
          <w:szCs w:val="22"/>
        </w:rPr>
        <w:t xml:space="preserve"> </w:t>
      </w:r>
      <w:r w:rsidR="00F2358F" w:rsidRPr="002C5BD0">
        <w:rPr>
          <w:rFonts w:cs="Arial"/>
          <w:sz w:val="22"/>
          <w:szCs w:val="22"/>
        </w:rPr>
        <w:t>7</w:t>
      </w:r>
      <w:r w:rsidR="00E21C4E">
        <w:rPr>
          <w:rFonts w:cs="Arial"/>
          <w:sz w:val="22"/>
          <w:szCs w:val="22"/>
        </w:rPr>
        <w:t>-percent discount rate.</w:t>
      </w:r>
      <w:r w:rsidR="00DC3900">
        <w:rPr>
          <w:rFonts w:cs="Arial"/>
          <w:sz w:val="22"/>
          <w:szCs w:val="22"/>
        </w:rPr>
        <w:t xml:space="preserve">  </w:t>
      </w:r>
      <w:r w:rsidR="0084621A">
        <w:rPr>
          <w:rFonts w:cs="Arial"/>
          <w:sz w:val="22"/>
          <w:szCs w:val="22"/>
        </w:rPr>
        <w:t>The qualitative benefits would include the enhancements to security and safeguards that are described in Section 3.3.</w:t>
      </w:r>
      <w:r w:rsidR="0084621A" w:rsidDel="0084621A">
        <w:rPr>
          <w:rFonts w:cs="Arial"/>
          <w:sz w:val="22"/>
          <w:szCs w:val="22"/>
        </w:rPr>
        <w:t xml:space="preserve"> </w:t>
      </w:r>
      <w:r w:rsidR="00002301">
        <w:rPr>
          <w:rFonts w:cs="Arial"/>
          <w:sz w:val="22"/>
          <w:szCs w:val="22"/>
        </w:rPr>
        <w:t xml:space="preserve"> </w:t>
      </w:r>
      <w:r w:rsidR="0080575D">
        <w:rPr>
          <w:rFonts w:cs="Arial"/>
          <w:sz w:val="22"/>
          <w:szCs w:val="22"/>
        </w:rPr>
        <w:t>It is assumed that there would be reduced</w:t>
      </w:r>
      <w:r w:rsidR="00787F6F">
        <w:rPr>
          <w:rFonts w:cs="Arial"/>
          <w:sz w:val="22"/>
          <w:szCs w:val="22"/>
        </w:rPr>
        <w:t xml:space="preserve"> </w:t>
      </w:r>
      <w:r w:rsidR="0080575D">
        <w:rPr>
          <w:rFonts w:cs="Arial"/>
          <w:sz w:val="22"/>
          <w:szCs w:val="22"/>
        </w:rPr>
        <w:t xml:space="preserve">qualitative </w:t>
      </w:r>
      <w:r w:rsidR="00FE7842">
        <w:rPr>
          <w:rFonts w:cs="Arial"/>
          <w:sz w:val="22"/>
          <w:szCs w:val="22"/>
        </w:rPr>
        <w:t>benefit</w:t>
      </w:r>
      <w:r w:rsidR="00787F6F">
        <w:rPr>
          <w:rFonts w:cs="Arial"/>
          <w:sz w:val="22"/>
          <w:szCs w:val="22"/>
        </w:rPr>
        <w:t xml:space="preserve"> because licensee</w:t>
      </w:r>
      <w:r w:rsidR="00FE7842">
        <w:rPr>
          <w:rFonts w:cs="Arial"/>
          <w:sz w:val="22"/>
          <w:szCs w:val="22"/>
        </w:rPr>
        <w:t>s</w:t>
      </w:r>
      <w:r w:rsidR="00787F6F">
        <w:rPr>
          <w:rFonts w:cs="Arial"/>
          <w:sz w:val="22"/>
          <w:szCs w:val="22"/>
        </w:rPr>
        <w:t xml:space="preserve"> under 10 CFR part 50 </w:t>
      </w:r>
      <w:r w:rsidR="00002301">
        <w:rPr>
          <w:rFonts w:cs="Arial"/>
          <w:sz w:val="22"/>
          <w:szCs w:val="22"/>
        </w:rPr>
        <w:t xml:space="preserve">at the </w:t>
      </w:r>
      <w:r w:rsidR="00C53054">
        <w:rPr>
          <w:rFonts w:cs="Arial"/>
          <w:sz w:val="22"/>
          <w:szCs w:val="22"/>
        </w:rPr>
        <w:t>65 reactor sites</w:t>
      </w:r>
      <w:r w:rsidR="00002301">
        <w:rPr>
          <w:rFonts w:cs="Arial"/>
          <w:sz w:val="22"/>
          <w:szCs w:val="22"/>
        </w:rPr>
        <w:t xml:space="preserve"> </w:t>
      </w:r>
      <w:r w:rsidR="00FE7842">
        <w:rPr>
          <w:rFonts w:cs="Arial"/>
          <w:sz w:val="22"/>
          <w:szCs w:val="22"/>
        </w:rPr>
        <w:t>are</w:t>
      </w:r>
      <w:r w:rsidR="00787F6F">
        <w:rPr>
          <w:rFonts w:cs="Arial"/>
          <w:sz w:val="22"/>
          <w:szCs w:val="22"/>
        </w:rPr>
        <w:t xml:space="preserve"> </w:t>
      </w:r>
      <w:r w:rsidR="0084621A">
        <w:rPr>
          <w:rFonts w:cs="Arial"/>
          <w:sz w:val="22"/>
          <w:szCs w:val="22"/>
        </w:rPr>
        <w:t xml:space="preserve">assumed to be </w:t>
      </w:r>
      <w:r w:rsidR="00787F6F">
        <w:rPr>
          <w:rFonts w:cs="Arial"/>
          <w:sz w:val="22"/>
          <w:szCs w:val="22"/>
        </w:rPr>
        <w:t>currently performing MC&amp;A activities which include tracking SNM at the site</w:t>
      </w:r>
      <w:r w:rsidR="00FE7842">
        <w:rPr>
          <w:rFonts w:cs="Arial"/>
          <w:sz w:val="22"/>
          <w:szCs w:val="22"/>
        </w:rPr>
        <w:t xml:space="preserve">, which would constitute an adequate item control system.  </w:t>
      </w:r>
    </w:p>
    <w:p w:rsidR="00DC3900" w:rsidRDefault="00DC3900" w:rsidP="0083215E">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C1459C" w:rsidRPr="009B5E75" w:rsidRDefault="00DC3900" w:rsidP="00460063">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cs="Arial"/>
          <w:sz w:val="22"/>
          <w:szCs w:val="22"/>
        </w:rPr>
      </w:pPr>
      <w:r w:rsidRPr="009B5E75">
        <w:rPr>
          <w:rFonts w:cs="Arial"/>
          <w:sz w:val="22"/>
          <w:szCs w:val="22"/>
        </w:rPr>
        <w:t>Exhibit 4-</w:t>
      </w:r>
      <w:r>
        <w:rPr>
          <w:rFonts w:cs="Arial"/>
          <w:sz w:val="22"/>
          <w:szCs w:val="22"/>
        </w:rPr>
        <w:t>2 summarizes t</w:t>
      </w:r>
      <w:r w:rsidRPr="009B5E75">
        <w:rPr>
          <w:rFonts w:cs="Arial"/>
          <w:sz w:val="22"/>
          <w:szCs w:val="22"/>
        </w:rPr>
        <w:t>he results of the value-impact analysis</w:t>
      </w:r>
      <w:r>
        <w:rPr>
          <w:rFonts w:cs="Arial"/>
          <w:sz w:val="22"/>
          <w:szCs w:val="22"/>
        </w:rPr>
        <w:t xml:space="preserve"> with no credit given </w:t>
      </w:r>
      <w:r w:rsidR="00307EB0">
        <w:rPr>
          <w:rFonts w:cs="Arial"/>
          <w:sz w:val="22"/>
          <w:szCs w:val="22"/>
        </w:rPr>
        <w:t>for current industry actions</w:t>
      </w:r>
      <w:r w:rsidR="00FE7842">
        <w:rPr>
          <w:rFonts w:cs="Arial"/>
          <w:sz w:val="22"/>
          <w:szCs w:val="22"/>
        </w:rPr>
        <w:t xml:space="preserve"> (Option 2B)</w:t>
      </w:r>
      <w:proofErr w:type="gramStart"/>
      <w:r w:rsidR="00FE7842">
        <w:rPr>
          <w:rFonts w:cs="Arial"/>
          <w:sz w:val="22"/>
          <w:szCs w:val="22"/>
        </w:rPr>
        <w:t>,</w:t>
      </w:r>
      <w:proofErr w:type="gramEnd"/>
      <w:r w:rsidR="00FE7842">
        <w:rPr>
          <w:rFonts w:cs="Arial"/>
          <w:sz w:val="22"/>
          <w:szCs w:val="22"/>
        </w:rPr>
        <w:t xml:space="preserve"> r</w:t>
      </w:r>
      <w:r w:rsidRPr="009B5E75">
        <w:rPr>
          <w:rFonts w:cs="Arial"/>
          <w:sz w:val="22"/>
          <w:szCs w:val="22"/>
        </w:rPr>
        <w:t>elative to the no-action alternative (Option 1)</w:t>
      </w:r>
      <w:r w:rsidR="00FE7842">
        <w:rPr>
          <w:rFonts w:cs="Arial"/>
          <w:sz w:val="22"/>
          <w:szCs w:val="22"/>
        </w:rPr>
        <w:t>.</w:t>
      </w:r>
      <w:r w:rsidRPr="009B5E75">
        <w:rPr>
          <w:rFonts w:cs="Arial"/>
          <w:sz w:val="22"/>
          <w:szCs w:val="22"/>
        </w:rPr>
        <w:t>Option 2</w:t>
      </w:r>
      <w:r w:rsidR="00FE7842">
        <w:rPr>
          <w:rFonts w:cs="Arial"/>
          <w:sz w:val="22"/>
          <w:szCs w:val="22"/>
        </w:rPr>
        <w:t>B</w:t>
      </w:r>
      <w:r w:rsidRPr="009B5E75">
        <w:rPr>
          <w:rFonts w:cs="Arial"/>
          <w:sz w:val="22"/>
          <w:szCs w:val="22"/>
        </w:rPr>
        <w:t xml:space="preserve"> would result in a net quantitative impact estimat</w:t>
      </w:r>
      <w:r>
        <w:rPr>
          <w:rFonts w:cs="Arial"/>
          <w:sz w:val="22"/>
          <w:szCs w:val="22"/>
        </w:rPr>
        <w:t>ion</w:t>
      </w:r>
      <w:r w:rsidRPr="009B5E75">
        <w:rPr>
          <w:rFonts w:cs="Arial"/>
          <w:sz w:val="22"/>
          <w:szCs w:val="22"/>
        </w:rPr>
        <w:t xml:space="preserve"> of </w:t>
      </w:r>
      <w:r>
        <w:rPr>
          <w:rFonts w:cs="Arial"/>
          <w:sz w:val="22"/>
          <w:szCs w:val="22"/>
        </w:rPr>
        <w:t xml:space="preserve">approximately </w:t>
      </w:r>
      <w:r w:rsidRPr="002C5BD0">
        <w:rPr>
          <w:rFonts w:cs="Arial"/>
          <w:color w:val="000000"/>
          <w:sz w:val="22"/>
          <w:szCs w:val="22"/>
        </w:rPr>
        <w:t>$</w:t>
      </w:r>
      <w:r w:rsidR="00940860">
        <w:rPr>
          <w:rFonts w:cs="Arial"/>
          <w:color w:val="000000"/>
          <w:sz w:val="22"/>
          <w:szCs w:val="22"/>
        </w:rPr>
        <w:t>1.2</w:t>
      </w:r>
      <w:r>
        <w:rPr>
          <w:rFonts w:cs="Arial"/>
          <w:color w:val="000000"/>
          <w:sz w:val="22"/>
          <w:szCs w:val="22"/>
        </w:rPr>
        <w:t xml:space="preserve"> million</w:t>
      </w:r>
      <w:r w:rsidRPr="002C5BD0">
        <w:rPr>
          <w:rFonts w:cs="Arial"/>
          <w:color w:val="FF0000"/>
          <w:sz w:val="22"/>
          <w:szCs w:val="22"/>
        </w:rPr>
        <w:t xml:space="preserve"> </w:t>
      </w:r>
      <w:r w:rsidRPr="002C5BD0">
        <w:rPr>
          <w:rFonts w:cs="Arial"/>
          <w:sz w:val="22"/>
          <w:szCs w:val="22"/>
        </w:rPr>
        <w:t xml:space="preserve">at a 3-percent discount </w:t>
      </w:r>
      <w:r w:rsidRPr="002C5BD0">
        <w:rPr>
          <w:rFonts w:cs="Arial"/>
          <w:color w:val="000000"/>
          <w:sz w:val="22"/>
          <w:szCs w:val="22"/>
        </w:rPr>
        <w:t>rate and $</w:t>
      </w:r>
      <w:r w:rsidR="00940860">
        <w:rPr>
          <w:rFonts w:cs="Arial"/>
          <w:color w:val="000000"/>
          <w:sz w:val="22"/>
          <w:szCs w:val="22"/>
        </w:rPr>
        <w:t>1.1</w:t>
      </w:r>
      <w:r>
        <w:rPr>
          <w:rFonts w:cs="Arial"/>
          <w:color w:val="000000"/>
          <w:sz w:val="22"/>
          <w:szCs w:val="22"/>
        </w:rPr>
        <w:t xml:space="preserve"> million</w:t>
      </w:r>
      <w:r w:rsidRPr="002C5BD0">
        <w:rPr>
          <w:rFonts w:cs="Arial"/>
          <w:color w:val="000000"/>
          <w:sz w:val="22"/>
          <w:szCs w:val="22"/>
        </w:rPr>
        <w:t xml:space="preserve"> at a</w:t>
      </w:r>
      <w:r w:rsidRPr="002C5BD0">
        <w:rPr>
          <w:rFonts w:cs="Arial"/>
          <w:sz w:val="22"/>
          <w:szCs w:val="22"/>
        </w:rPr>
        <w:t xml:space="preserve"> 7</w:t>
      </w:r>
      <w:r>
        <w:rPr>
          <w:rFonts w:cs="Arial"/>
          <w:sz w:val="22"/>
          <w:szCs w:val="22"/>
        </w:rPr>
        <w:t>-percent discount rate</w:t>
      </w:r>
      <w:r w:rsidR="00BD3E58">
        <w:rPr>
          <w:rFonts w:cs="Arial"/>
          <w:sz w:val="22"/>
          <w:szCs w:val="22"/>
        </w:rPr>
        <w:t>.</w:t>
      </w:r>
      <w:r w:rsidR="004C50C7">
        <w:rPr>
          <w:rFonts w:cs="Arial"/>
          <w:sz w:val="22"/>
          <w:szCs w:val="22"/>
        </w:rPr>
        <w:t xml:space="preserve">  </w:t>
      </w:r>
      <w:r w:rsidR="00FE7842">
        <w:rPr>
          <w:rFonts w:cs="Arial"/>
          <w:sz w:val="22"/>
          <w:szCs w:val="22"/>
        </w:rPr>
        <w:t>The qualitative benefits would include the enhancements to security and safeguards that are described in Section 3.3.   Under Option 2B</w:t>
      </w:r>
      <w:r w:rsidR="00253EA2">
        <w:rPr>
          <w:rFonts w:cs="Arial"/>
          <w:sz w:val="22"/>
          <w:szCs w:val="22"/>
        </w:rPr>
        <w:t>,</w:t>
      </w:r>
      <w:r w:rsidR="004C50C7">
        <w:rPr>
          <w:rFonts w:cs="Arial"/>
          <w:sz w:val="22"/>
          <w:szCs w:val="22"/>
        </w:rPr>
        <w:t xml:space="preserve"> the</w:t>
      </w:r>
      <w:r w:rsidR="00FE7842">
        <w:rPr>
          <w:rFonts w:cs="Arial"/>
          <w:sz w:val="22"/>
          <w:szCs w:val="22"/>
        </w:rPr>
        <w:t xml:space="preserve"> full</w:t>
      </w:r>
      <w:r w:rsidR="004C50C7">
        <w:rPr>
          <w:rFonts w:cs="Arial"/>
          <w:sz w:val="22"/>
          <w:szCs w:val="22"/>
        </w:rPr>
        <w:t xml:space="preserve"> </w:t>
      </w:r>
      <w:r w:rsidR="00052A66">
        <w:rPr>
          <w:rFonts w:cs="Arial"/>
          <w:sz w:val="22"/>
          <w:szCs w:val="22"/>
        </w:rPr>
        <w:t xml:space="preserve">qualitative </w:t>
      </w:r>
      <w:r w:rsidR="004C50C7">
        <w:rPr>
          <w:rFonts w:cs="Arial"/>
          <w:sz w:val="22"/>
          <w:szCs w:val="22"/>
        </w:rPr>
        <w:t xml:space="preserve">benefit would be </w:t>
      </w:r>
      <w:r w:rsidR="00B24380">
        <w:rPr>
          <w:rFonts w:cs="Arial"/>
          <w:sz w:val="22"/>
          <w:szCs w:val="22"/>
        </w:rPr>
        <w:t>realized</w:t>
      </w:r>
      <w:r w:rsidR="004C50C7">
        <w:rPr>
          <w:rFonts w:cs="Arial"/>
          <w:sz w:val="22"/>
          <w:szCs w:val="22"/>
        </w:rPr>
        <w:t xml:space="preserve"> </w:t>
      </w:r>
      <w:r w:rsidR="00FE7842">
        <w:rPr>
          <w:rFonts w:cs="Arial"/>
          <w:sz w:val="22"/>
          <w:szCs w:val="22"/>
        </w:rPr>
        <w:t>for</w:t>
      </w:r>
      <w:r w:rsidR="004C50C7">
        <w:rPr>
          <w:rFonts w:cs="Arial"/>
          <w:sz w:val="22"/>
          <w:szCs w:val="22"/>
        </w:rPr>
        <w:t xml:space="preserve"> licensee</w:t>
      </w:r>
      <w:r w:rsidR="00FE7842">
        <w:rPr>
          <w:rFonts w:cs="Arial"/>
          <w:sz w:val="22"/>
          <w:szCs w:val="22"/>
        </w:rPr>
        <w:t>s</w:t>
      </w:r>
      <w:r w:rsidR="004C50C7">
        <w:rPr>
          <w:rFonts w:cs="Arial"/>
          <w:sz w:val="22"/>
          <w:szCs w:val="22"/>
        </w:rPr>
        <w:t xml:space="preserve"> under 10 CFR part 50 </w:t>
      </w:r>
      <w:r w:rsidR="00002301">
        <w:rPr>
          <w:rFonts w:cs="Arial"/>
          <w:sz w:val="22"/>
          <w:szCs w:val="22"/>
        </w:rPr>
        <w:t xml:space="preserve">at the </w:t>
      </w:r>
      <w:r w:rsidR="00C53054">
        <w:rPr>
          <w:rFonts w:cs="Arial"/>
          <w:sz w:val="22"/>
          <w:szCs w:val="22"/>
        </w:rPr>
        <w:t>65 reactor sites</w:t>
      </w:r>
      <w:r w:rsidR="00002301">
        <w:rPr>
          <w:rFonts w:cs="Arial"/>
          <w:sz w:val="22"/>
          <w:szCs w:val="22"/>
        </w:rPr>
        <w:t xml:space="preserve"> </w:t>
      </w:r>
      <w:r w:rsidR="004C50C7">
        <w:rPr>
          <w:rFonts w:cs="Arial"/>
          <w:sz w:val="22"/>
          <w:szCs w:val="22"/>
        </w:rPr>
        <w:t>implement</w:t>
      </w:r>
      <w:r w:rsidR="00FE7842">
        <w:rPr>
          <w:rFonts w:cs="Arial"/>
          <w:sz w:val="22"/>
          <w:szCs w:val="22"/>
        </w:rPr>
        <w:t>ing</w:t>
      </w:r>
      <w:r w:rsidR="004C50C7">
        <w:rPr>
          <w:rFonts w:cs="Arial"/>
          <w:sz w:val="22"/>
          <w:szCs w:val="22"/>
        </w:rPr>
        <w:t xml:space="preserve"> the item control system</w:t>
      </w:r>
      <w:r w:rsidR="00002301">
        <w:rPr>
          <w:rFonts w:cs="Arial"/>
          <w:sz w:val="22"/>
          <w:szCs w:val="22"/>
        </w:rPr>
        <w:t xml:space="preserve"> that would be</w:t>
      </w:r>
      <w:r w:rsidR="004C50C7">
        <w:rPr>
          <w:rFonts w:cs="Arial"/>
          <w:sz w:val="22"/>
          <w:szCs w:val="22"/>
        </w:rPr>
        <w:t xml:space="preserve"> required by 10 CFR 74.19(d)</w:t>
      </w:r>
      <w:r w:rsidR="00FE7842">
        <w:rPr>
          <w:rFonts w:cs="Arial"/>
          <w:sz w:val="22"/>
          <w:szCs w:val="22"/>
        </w:rPr>
        <w:t>.</w:t>
      </w:r>
    </w:p>
    <w:p w:rsidR="00210EA3" w:rsidRPr="009B5E75" w:rsidRDefault="00210EA3"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C1459C" w:rsidRPr="009B5E75" w:rsidRDefault="00CB1839"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bCs/>
          <w:sz w:val="22"/>
          <w:szCs w:val="22"/>
        </w:rPr>
      </w:pPr>
      <w:r>
        <w:rPr>
          <w:rFonts w:cs="Arial"/>
          <w:b/>
          <w:bCs/>
          <w:sz w:val="22"/>
          <w:szCs w:val="22"/>
        </w:rPr>
        <w:br w:type="page"/>
      </w:r>
      <w:r w:rsidR="00C1459C" w:rsidRPr="009B5E75">
        <w:rPr>
          <w:rFonts w:cs="Arial"/>
          <w:b/>
          <w:bCs/>
          <w:sz w:val="22"/>
          <w:szCs w:val="22"/>
        </w:rPr>
        <w:lastRenderedPageBreak/>
        <w:t>Exhibit 4-1</w:t>
      </w:r>
    </w:p>
    <w:p w:rsidR="00C1459C" w:rsidRDefault="00C1459C"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bCs/>
          <w:sz w:val="22"/>
          <w:szCs w:val="22"/>
        </w:rPr>
      </w:pPr>
      <w:r w:rsidRPr="009B5E75">
        <w:rPr>
          <w:rFonts w:cs="Arial"/>
          <w:b/>
          <w:bCs/>
          <w:sz w:val="22"/>
          <w:szCs w:val="22"/>
        </w:rPr>
        <w:t>Summary of Impacts</w:t>
      </w:r>
      <w:r w:rsidR="00643D1E" w:rsidRPr="009B5E75">
        <w:rPr>
          <w:rFonts w:cs="Arial"/>
          <w:b/>
          <w:bCs/>
          <w:sz w:val="22"/>
          <w:szCs w:val="22"/>
        </w:rPr>
        <w:t xml:space="preserve"> at Discount Rate</w:t>
      </w:r>
      <w:r w:rsidR="0009432C">
        <w:rPr>
          <w:rFonts w:cs="Arial"/>
          <w:b/>
          <w:bCs/>
          <w:sz w:val="22"/>
          <w:szCs w:val="22"/>
        </w:rPr>
        <w:t>s</w:t>
      </w:r>
      <w:r w:rsidR="00874BE8">
        <w:rPr>
          <w:rFonts w:cs="Arial"/>
          <w:b/>
          <w:bCs/>
          <w:sz w:val="22"/>
          <w:szCs w:val="22"/>
        </w:rPr>
        <w:t xml:space="preserve"> of 3 Percent</w:t>
      </w:r>
      <w:r w:rsidR="0093233D">
        <w:rPr>
          <w:rFonts w:cs="Arial"/>
          <w:b/>
          <w:bCs/>
          <w:sz w:val="22"/>
          <w:szCs w:val="22"/>
        </w:rPr>
        <w:t xml:space="preserve"> and 10 Percent for </w:t>
      </w:r>
      <w:r w:rsidR="0009432C">
        <w:rPr>
          <w:rFonts w:cs="Arial"/>
          <w:b/>
          <w:bCs/>
          <w:sz w:val="22"/>
          <w:szCs w:val="22"/>
        </w:rPr>
        <w:t xml:space="preserve">a </w:t>
      </w:r>
      <w:r w:rsidR="0093233D">
        <w:rPr>
          <w:rFonts w:cs="Arial"/>
          <w:b/>
          <w:bCs/>
          <w:sz w:val="22"/>
          <w:szCs w:val="22"/>
        </w:rPr>
        <w:t>10-Year Period</w:t>
      </w:r>
    </w:p>
    <w:p w:rsidR="00756DB4" w:rsidRDefault="00307EB0"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bCs/>
          <w:sz w:val="22"/>
          <w:szCs w:val="22"/>
        </w:rPr>
      </w:pPr>
      <w:r>
        <w:rPr>
          <w:rFonts w:cs="Arial"/>
          <w:b/>
          <w:bCs/>
          <w:sz w:val="22"/>
          <w:szCs w:val="22"/>
        </w:rPr>
        <w:t xml:space="preserve">With </w:t>
      </w:r>
      <w:r w:rsidR="00756DB4">
        <w:rPr>
          <w:rFonts w:cs="Arial"/>
          <w:b/>
          <w:bCs/>
          <w:sz w:val="22"/>
          <w:szCs w:val="22"/>
        </w:rPr>
        <w:t xml:space="preserve">Full Credit </w:t>
      </w:r>
      <w:r>
        <w:rPr>
          <w:rFonts w:cs="Arial"/>
          <w:b/>
          <w:bCs/>
          <w:sz w:val="22"/>
          <w:szCs w:val="22"/>
        </w:rPr>
        <w:t>G</w:t>
      </w:r>
      <w:r w:rsidR="00756DB4">
        <w:rPr>
          <w:rFonts w:cs="Arial"/>
          <w:b/>
          <w:bCs/>
          <w:sz w:val="22"/>
          <w:szCs w:val="22"/>
        </w:rPr>
        <w:t>iven for</w:t>
      </w:r>
      <w:r>
        <w:rPr>
          <w:rFonts w:cs="Arial"/>
          <w:b/>
          <w:bCs/>
          <w:sz w:val="22"/>
          <w:szCs w:val="22"/>
        </w:rPr>
        <w:t xml:space="preserve"> Current</w:t>
      </w:r>
      <w:r w:rsidR="00756DB4">
        <w:rPr>
          <w:rFonts w:cs="Arial"/>
          <w:b/>
          <w:bCs/>
          <w:sz w:val="22"/>
          <w:szCs w:val="22"/>
        </w:rPr>
        <w:t xml:space="preserve"> Industry </w:t>
      </w:r>
      <w:r>
        <w:rPr>
          <w:rFonts w:cs="Arial"/>
          <w:b/>
          <w:bCs/>
          <w:sz w:val="22"/>
          <w:szCs w:val="22"/>
        </w:rPr>
        <w:t>Actions</w:t>
      </w:r>
      <w:r w:rsidR="00002301">
        <w:rPr>
          <w:rFonts w:cs="Arial"/>
          <w:b/>
          <w:bCs/>
          <w:sz w:val="22"/>
          <w:szCs w:val="22"/>
        </w:rPr>
        <w:t xml:space="preserve"> (Option 2A)</w:t>
      </w:r>
    </w:p>
    <w:p w:rsidR="004B4424" w:rsidRDefault="004B4424"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bCs/>
          <w:sz w:val="22"/>
          <w:szCs w:val="22"/>
        </w:rPr>
      </w:pPr>
    </w:p>
    <w:tbl>
      <w:tblPr>
        <w:tblW w:w="9160" w:type="dxa"/>
        <w:tblInd w:w="103" w:type="dxa"/>
        <w:tblLook w:val="04A0" w:firstRow="1" w:lastRow="0" w:firstColumn="1" w:lastColumn="0" w:noHBand="0" w:noVBand="1"/>
      </w:tblPr>
      <w:tblGrid>
        <w:gridCol w:w="1680"/>
        <w:gridCol w:w="1620"/>
        <w:gridCol w:w="1180"/>
        <w:gridCol w:w="2260"/>
        <w:gridCol w:w="2420"/>
      </w:tblGrid>
      <w:tr w:rsidR="002C5BD0" w:rsidRPr="002C5BD0" w:rsidTr="002C5BD0">
        <w:trPr>
          <w:trHeight w:val="1470"/>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Attribute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C5BD0" w:rsidRPr="002C5BD0" w:rsidRDefault="002C5BD0" w:rsidP="0016552B">
            <w:pPr>
              <w:autoSpaceDE/>
              <w:autoSpaceDN/>
              <w:adjustRightInd/>
              <w:jc w:val="center"/>
              <w:rPr>
                <w:rFonts w:cs="Arial"/>
                <w:color w:val="000000"/>
              </w:rPr>
            </w:pPr>
            <w:r w:rsidRPr="002C5BD0">
              <w:rPr>
                <w:rFonts w:cs="Arial"/>
                <w:color w:val="000000"/>
              </w:rPr>
              <w:t>One-</w:t>
            </w:r>
            <w:r w:rsidR="0016552B">
              <w:rPr>
                <w:rFonts w:cs="Arial"/>
                <w:color w:val="000000"/>
              </w:rPr>
              <w:t>T</w:t>
            </w:r>
            <w:r w:rsidR="0016552B" w:rsidRPr="002C5BD0">
              <w:rPr>
                <w:rFonts w:cs="Arial"/>
                <w:color w:val="000000"/>
              </w:rPr>
              <w:t xml:space="preserve">ime </w:t>
            </w:r>
            <w:r w:rsidRPr="002C5BD0">
              <w:rPr>
                <w:rFonts w:cs="Arial"/>
                <w:color w:val="000000"/>
              </w:rPr>
              <w:t>Implementation Costs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Annual Operating Costs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2C5BD0" w:rsidRPr="002C5BD0" w:rsidRDefault="002C5BD0" w:rsidP="0016552B">
            <w:pPr>
              <w:autoSpaceDE/>
              <w:autoSpaceDN/>
              <w:adjustRightInd/>
              <w:jc w:val="center"/>
              <w:rPr>
                <w:rFonts w:cs="Arial"/>
                <w:color w:val="000000"/>
              </w:rPr>
            </w:pPr>
            <w:r w:rsidRPr="002C5BD0">
              <w:rPr>
                <w:rFonts w:cs="Arial"/>
                <w:color w:val="000000"/>
              </w:rPr>
              <w:t>Total Combined Implementation and Annual Cost for 10-</w:t>
            </w:r>
            <w:r w:rsidR="0016552B">
              <w:rPr>
                <w:rFonts w:cs="Arial"/>
                <w:color w:val="000000"/>
              </w:rPr>
              <w:t>Y</w:t>
            </w:r>
            <w:r w:rsidR="0016552B" w:rsidRPr="002C5BD0">
              <w:rPr>
                <w:rFonts w:cs="Arial"/>
                <w:color w:val="000000"/>
              </w:rPr>
              <w:t xml:space="preserve">ear </w:t>
            </w:r>
            <w:r w:rsidR="0016552B">
              <w:rPr>
                <w:rFonts w:cs="Arial"/>
                <w:color w:val="000000"/>
              </w:rPr>
              <w:t>P</w:t>
            </w:r>
            <w:r w:rsidR="0016552B" w:rsidRPr="002C5BD0">
              <w:rPr>
                <w:rFonts w:cs="Arial"/>
                <w:color w:val="000000"/>
              </w:rPr>
              <w:t xml:space="preserve">eriod </w:t>
            </w:r>
            <w:r w:rsidRPr="002C5BD0">
              <w:rPr>
                <w:rFonts w:cs="Arial"/>
                <w:color w:val="000000"/>
              </w:rPr>
              <w:t>at 3% Discount Rate</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2C5BD0" w:rsidRPr="002C5BD0" w:rsidRDefault="002C5BD0" w:rsidP="00F90BF6">
            <w:pPr>
              <w:autoSpaceDE/>
              <w:autoSpaceDN/>
              <w:adjustRightInd/>
              <w:jc w:val="center"/>
              <w:rPr>
                <w:rFonts w:cs="Arial"/>
                <w:color w:val="000000"/>
              </w:rPr>
            </w:pPr>
            <w:r w:rsidRPr="002C5BD0">
              <w:rPr>
                <w:rFonts w:cs="Arial"/>
                <w:color w:val="000000"/>
              </w:rPr>
              <w:t xml:space="preserve">Total </w:t>
            </w:r>
            <w:r w:rsidR="00F90BF6">
              <w:rPr>
                <w:rFonts w:cs="Arial"/>
                <w:color w:val="000000"/>
              </w:rPr>
              <w:t>C</w:t>
            </w:r>
            <w:r w:rsidR="00F90BF6" w:rsidRPr="002C5BD0">
              <w:rPr>
                <w:rFonts w:cs="Arial"/>
                <w:color w:val="000000"/>
              </w:rPr>
              <w:t xml:space="preserve">ombined </w:t>
            </w:r>
            <w:r w:rsidRPr="002C5BD0">
              <w:rPr>
                <w:rFonts w:cs="Arial"/>
                <w:color w:val="000000"/>
              </w:rPr>
              <w:t>Implementation and Annual Cost for 10-</w:t>
            </w:r>
            <w:r w:rsidR="00F90BF6">
              <w:rPr>
                <w:rFonts w:cs="Arial"/>
                <w:color w:val="000000"/>
              </w:rPr>
              <w:t>Y</w:t>
            </w:r>
            <w:r w:rsidR="00F90BF6" w:rsidRPr="002C5BD0">
              <w:rPr>
                <w:rFonts w:cs="Arial"/>
                <w:color w:val="000000"/>
              </w:rPr>
              <w:t xml:space="preserve">ear </w:t>
            </w:r>
            <w:r w:rsidR="00F90BF6">
              <w:rPr>
                <w:rFonts w:cs="Arial"/>
                <w:color w:val="000000"/>
              </w:rPr>
              <w:t>P</w:t>
            </w:r>
            <w:r w:rsidR="00F90BF6" w:rsidRPr="002C5BD0">
              <w:rPr>
                <w:rFonts w:cs="Arial"/>
                <w:color w:val="000000"/>
              </w:rPr>
              <w:t xml:space="preserve">eriod </w:t>
            </w:r>
            <w:r w:rsidRPr="002C5BD0">
              <w:rPr>
                <w:rFonts w:cs="Arial"/>
                <w:color w:val="000000"/>
              </w:rPr>
              <w:t>at 7% Discount Rate</w:t>
            </w:r>
          </w:p>
        </w:tc>
      </w:tr>
      <w:tr w:rsidR="002C5BD0" w:rsidRPr="002C5BD0" w:rsidTr="002C5BD0">
        <w:trPr>
          <w:trHeight w:val="90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Industry Implementation </w:t>
            </w:r>
          </w:p>
        </w:tc>
        <w:tc>
          <w:tcPr>
            <w:tcW w:w="1620" w:type="dxa"/>
            <w:tcBorders>
              <w:top w:val="nil"/>
              <w:left w:val="nil"/>
              <w:bottom w:val="single" w:sz="4" w:space="0" w:color="auto"/>
              <w:right w:val="single" w:sz="4" w:space="0" w:color="auto"/>
            </w:tcBorders>
            <w:shd w:val="clear" w:color="auto" w:fill="auto"/>
            <w:noWrap/>
            <w:vAlign w:val="center"/>
            <w:hideMark/>
          </w:tcPr>
          <w:p w:rsidR="001026AF" w:rsidRDefault="002C5BD0">
            <w:pPr>
              <w:autoSpaceDE/>
              <w:autoSpaceDN/>
              <w:adjustRightInd/>
              <w:jc w:val="center"/>
              <w:rPr>
                <w:rFonts w:cs="Arial"/>
                <w:b/>
                <w:bCs/>
                <w:color w:val="000000"/>
                <w:kern w:val="32"/>
                <w:sz w:val="32"/>
                <w:szCs w:val="32"/>
              </w:rPr>
            </w:pPr>
            <w:r w:rsidRPr="002C5BD0">
              <w:rPr>
                <w:rFonts w:cs="Arial"/>
                <w:color w:val="000000"/>
              </w:rPr>
              <w:t>$</w:t>
            </w:r>
            <w:r w:rsidR="00BE206C">
              <w:rPr>
                <w:rFonts w:cs="Arial"/>
                <w:color w:val="000000"/>
              </w:rPr>
              <w:t>169,458</w:t>
            </w:r>
            <w:r w:rsidRPr="002C5BD0">
              <w:rPr>
                <w:rFonts w:cs="Arial"/>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w:t>
            </w:r>
            <w:r w:rsidR="00BE206C">
              <w:rPr>
                <w:rFonts w:cs="Arial"/>
                <w:color w:val="000000"/>
              </w:rPr>
              <w:t>169,458</w:t>
            </w:r>
          </w:p>
        </w:tc>
        <w:tc>
          <w:tcPr>
            <w:tcW w:w="242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w:t>
            </w:r>
            <w:r w:rsidR="00BE206C">
              <w:rPr>
                <w:rFonts w:cs="Arial"/>
                <w:color w:val="000000"/>
              </w:rPr>
              <w:t>169,458</w:t>
            </w:r>
          </w:p>
        </w:tc>
      </w:tr>
      <w:tr w:rsidR="002C5BD0" w:rsidRPr="002C5BD0" w:rsidTr="002C5BD0">
        <w:trPr>
          <w:trHeight w:val="90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Industry Operation</w:t>
            </w:r>
          </w:p>
        </w:tc>
        <w:tc>
          <w:tcPr>
            <w:tcW w:w="1620" w:type="dxa"/>
            <w:tcBorders>
              <w:top w:val="nil"/>
              <w:left w:val="nil"/>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1026AF" w:rsidRDefault="002C5BD0">
            <w:pPr>
              <w:autoSpaceDE/>
              <w:autoSpaceDN/>
              <w:adjustRightInd/>
              <w:jc w:val="center"/>
              <w:rPr>
                <w:rFonts w:cs="Arial"/>
                <w:b/>
                <w:bCs/>
                <w:color w:val="000000"/>
                <w:kern w:val="32"/>
                <w:sz w:val="32"/>
                <w:szCs w:val="32"/>
              </w:rPr>
            </w:pPr>
            <w:r w:rsidRPr="002C5BD0">
              <w:rPr>
                <w:rFonts w:cs="Arial"/>
                <w:color w:val="000000"/>
              </w:rPr>
              <w:t>$</w:t>
            </w:r>
            <w:r w:rsidR="00940860">
              <w:rPr>
                <w:rFonts w:cs="Arial"/>
                <w:color w:val="000000"/>
              </w:rPr>
              <w:t>72,395</w:t>
            </w:r>
          </w:p>
        </w:tc>
        <w:tc>
          <w:tcPr>
            <w:tcW w:w="2260" w:type="dxa"/>
            <w:tcBorders>
              <w:top w:val="nil"/>
              <w:left w:val="nil"/>
              <w:bottom w:val="single" w:sz="4" w:space="0" w:color="auto"/>
              <w:right w:val="single" w:sz="4" w:space="0" w:color="auto"/>
            </w:tcBorders>
            <w:shd w:val="clear" w:color="auto" w:fill="auto"/>
            <w:noWrap/>
            <w:vAlign w:val="center"/>
            <w:hideMark/>
          </w:tcPr>
          <w:p w:rsidR="001026AF" w:rsidRDefault="002C5BD0" w:rsidP="00805ACA">
            <w:pPr>
              <w:autoSpaceDE/>
              <w:autoSpaceDN/>
              <w:adjustRightInd/>
              <w:jc w:val="center"/>
              <w:rPr>
                <w:rFonts w:cs="Arial"/>
                <w:b/>
                <w:bCs/>
                <w:color w:val="000000"/>
                <w:kern w:val="32"/>
                <w:sz w:val="32"/>
                <w:szCs w:val="32"/>
              </w:rPr>
            </w:pPr>
            <w:r w:rsidRPr="002C5BD0">
              <w:rPr>
                <w:rFonts w:cs="Arial"/>
                <w:color w:val="000000"/>
              </w:rPr>
              <w:t>$</w:t>
            </w:r>
            <w:r w:rsidR="00940860">
              <w:rPr>
                <w:rFonts w:cs="Arial"/>
                <w:color w:val="000000"/>
              </w:rPr>
              <w:t>617,542</w:t>
            </w:r>
          </w:p>
        </w:tc>
        <w:tc>
          <w:tcPr>
            <w:tcW w:w="2420" w:type="dxa"/>
            <w:tcBorders>
              <w:top w:val="nil"/>
              <w:left w:val="nil"/>
              <w:bottom w:val="single" w:sz="4" w:space="0" w:color="auto"/>
              <w:right w:val="single" w:sz="4" w:space="0" w:color="auto"/>
            </w:tcBorders>
            <w:shd w:val="clear" w:color="auto" w:fill="auto"/>
            <w:noWrap/>
            <w:vAlign w:val="center"/>
            <w:hideMark/>
          </w:tcPr>
          <w:p w:rsidR="001026AF" w:rsidRDefault="002C5BD0" w:rsidP="00805ACA">
            <w:pPr>
              <w:autoSpaceDE/>
              <w:autoSpaceDN/>
              <w:adjustRightInd/>
              <w:jc w:val="center"/>
              <w:rPr>
                <w:rFonts w:cs="Arial"/>
                <w:b/>
                <w:bCs/>
                <w:color w:val="000000"/>
                <w:kern w:val="32"/>
                <w:sz w:val="32"/>
                <w:szCs w:val="32"/>
              </w:rPr>
            </w:pPr>
            <w:r w:rsidRPr="002C5BD0">
              <w:rPr>
                <w:rFonts w:cs="Arial"/>
                <w:color w:val="000000"/>
              </w:rPr>
              <w:t>$</w:t>
            </w:r>
            <w:r w:rsidR="00940860">
              <w:rPr>
                <w:rFonts w:cs="Arial"/>
                <w:color w:val="000000"/>
              </w:rPr>
              <w:t>508,471</w:t>
            </w:r>
          </w:p>
        </w:tc>
      </w:tr>
      <w:tr w:rsidR="002C5BD0" w:rsidRPr="002C5BD0" w:rsidTr="002C5BD0">
        <w:trPr>
          <w:trHeight w:val="90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Industry Total Costs</w:t>
            </w:r>
          </w:p>
        </w:tc>
        <w:tc>
          <w:tcPr>
            <w:tcW w:w="162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1026AF" w:rsidRDefault="002C5BD0" w:rsidP="00805ACA">
            <w:pPr>
              <w:autoSpaceDE/>
              <w:autoSpaceDN/>
              <w:adjustRightInd/>
              <w:jc w:val="center"/>
              <w:rPr>
                <w:rFonts w:cs="Arial"/>
                <w:b/>
                <w:bCs/>
                <w:color w:val="000000"/>
                <w:kern w:val="32"/>
                <w:sz w:val="32"/>
                <w:szCs w:val="32"/>
              </w:rPr>
            </w:pPr>
            <w:r w:rsidRPr="002C5BD0">
              <w:rPr>
                <w:rFonts w:cs="Arial"/>
                <w:color w:val="000000"/>
              </w:rPr>
              <w:t>$</w:t>
            </w:r>
            <w:r w:rsidR="00BE206C">
              <w:rPr>
                <w:rFonts w:cs="Arial"/>
                <w:color w:val="000000"/>
              </w:rPr>
              <w:t>787,000</w:t>
            </w:r>
            <w:r w:rsidRPr="002C5BD0">
              <w:rPr>
                <w:rFonts w:cs="Arial"/>
                <w:color w:val="00000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1026AF" w:rsidRDefault="002C5BD0" w:rsidP="00805ACA">
            <w:pPr>
              <w:autoSpaceDE/>
              <w:autoSpaceDN/>
              <w:adjustRightInd/>
              <w:jc w:val="center"/>
              <w:rPr>
                <w:rFonts w:cs="Arial"/>
                <w:b/>
                <w:bCs/>
                <w:color w:val="000000"/>
                <w:kern w:val="32"/>
                <w:sz w:val="32"/>
                <w:szCs w:val="32"/>
              </w:rPr>
            </w:pPr>
            <w:r w:rsidRPr="002C5BD0">
              <w:rPr>
                <w:rFonts w:cs="Arial"/>
                <w:color w:val="000000"/>
              </w:rPr>
              <w:t>$</w:t>
            </w:r>
            <w:r w:rsidR="00BE206C">
              <w:rPr>
                <w:rFonts w:cs="Arial"/>
                <w:color w:val="000000"/>
              </w:rPr>
              <w:t>677,929</w:t>
            </w:r>
          </w:p>
        </w:tc>
      </w:tr>
      <w:tr w:rsidR="002C5BD0" w:rsidRPr="002C5BD0" w:rsidTr="002C5BD0">
        <w:trPr>
          <w:trHeight w:val="90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NRC Implementation</w:t>
            </w:r>
          </w:p>
        </w:tc>
        <w:tc>
          <w:tcPr>
            <w:tcW w:w="1620" w:type="dxa"/>
            <w:tcBorders>
              <w:top w:val="nil"/>
              <w:left w:val="nil"/>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$259,420 </w:t>
            </w:r>
          </w:p>
        </w:tc>
        <w:tc>
          <w:tcPr>
            <w:tcW w:w="118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w:t>
            </w:r>
          </w:p>
        </w:tc>
        <w:tc>
          <w:tcPr>
            <w:tcW w:w="226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$259,420 </w:t>
            </w:r>
          </w:p>
        </w:tc>
        <w:tc>
          <w:tcPr>
            <w:tcW w:w="242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$259,420 </w:t>
            </w:r>
          </w:p>
        </w:tc>
      </w:tr>
      <w:tr w:rsidR="002C5BD0" w:rsidRPr="002C5BD0" w:rsidTr="002C5BD0">
        <w:trPr>
          <w:trHeight w:val="90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NRC Total Costs</w:t>
            </w:r>
          </w:p>
        </w:tc>
        <w:tc>
          <w:tcPr>
            <w:tcW w:w="162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$259,420 </w:t>
            </w:r>
          </w:p>
        </w:tc>
        <w:tc>
          <w:tcPr>
            <w:tcW w:w="2420" w:type="dxa"/>
            <w:tcBorders>
              <w:top w:val="nil"/>
              <w:left w:val="nil"/>
              <w:bottom w:val="single" w:sz="4" w:space="0" w:color="auto"/>
              <w:right w:val="single" w:sz="4" w:space="0" w:color="auto"/>
            </w:tcBorders>
            <w:shd w:val="clear" w:color="auto" w:fill="auto"/>
            <w:noWrap/>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 xml:space="preserve">$259,420 </w:t>
            </w:r>
          </w:p>
        </w:tc>
      </w:tr>
      <w:tr w:rsidR="002C5BD0" w:rsidRPr="002C5BD0" w:rsidTr="002C5BD0">
        <w:trPr>
          <w:trHeight w:val="900"/>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2C5BD0" w:rsidRPr="002C5BD0" w:rsidRDefault="002C5BD0" w:rsidP="002C5BD0">
            <w:pPr>
              <w:autoSpaceDE/>
              <w:autoSpaceDN/>
              <w:adjustRightInd/>
              <w:jc w:val="center"/>
              <w:rPr>
                <w:rFonts w:cs="Arial"/>
                <w:color w:val="000000"/>
              </w:rPr>
            </w:pPr>
            <w:r w:rsidRPr="002C5BD0">
              <w:rPr>
                <w:rFonts w:cs="Arial"/>
                <w:color w:val="000000"/>
              </w:rPr>
              <w:t>Total</w:t>
            </w:r>
          </w:p>
        </w:tc>
        <w:tc>
          <w:tcPr>
            <w:tcW w:w="1620" w:type="dxa"/>
            <w:tcBorders>
              <w:top w:val="nil"/>
              <w:left w:val="nil"/>
              <w:bottom w:val="single" w:sz="4" w:space="0" w:color="auto"/>
              <w:right w:val="single" w:sz="4" w:space="0" w:color="auto"/>
            </w:tcBorders>
            <w:shd w:val="clear" w:color="auto" w:fill="auto"/>
            <w:noWrap/>
            <w:vAlign w:val="center"/>
            <w:hideMark/>
          </w:tcPr>
          <w:p w:rsidR="001026AF" w:rsidRDefault="002C5BD0">
            <w:pPr>
              <w:autoSpaceDE/>
              <w:autoSpaceDN/>
              <w:adjustRightInd/>
              <w:jc w:val="center"/>
              <w:rPr>
                <w:rFonts w:cs="Arial"/>
                <w:color w:val="000000"/>
              </w:rPr>
            </w:pPr>
            <w:r w:rsidRPr="002C5BD0">
              <w:rPr>
                <w:rFonts w:cs="Arial"/>
                <w:color w:val="000000"/>
              </w:rPr>
              <w:t>$</w:t>
            </w:r>
            <w:r w:rsidR="00BE206C">
              <w:rPr>
                <w:rFonts w:cs="Arial"/>
                <w:color w:val="000000"/>
              </w:rPr>
              <w:t>428,878</w:t>
            </w:r>
            <w:r w:rsidRPr="002C5BD0">
              <w:rPr>
                <w:rFonts w:cs="Arial"/>
                <w:color w:val="00000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1026AF" w:rsidRDefault="002C5BD0">
            <w:pPr>
              <w:autoSpaceDE/>
              <w:autoSpaceDN/>
              <w:adjustRightInd/>
              <w:jc w:val="center"/>
              <w:rPr>
                <w:rFonts w:cs="Arial"/>
                <w:color w:val="000000"/>
              </w:rPr>
            </w:pPr>
            <w:r w:rsidRPr="002C5BD0">
              <w:rPr>
                <w:rFonts w:cs="Arial"/>
                <w:color w:val="000000"/>
              </w:rPr>
              <w:t>$</w:t>
            </w:r>
            <w:r w:rsidR="00940860">
              <w:rPr>
                <w:rFonts w:cs="Arial"/>
                <w:color w:val="000000"/>
              </w:rPr>
              <w:t>72,395</w:t>
            </w:r>
          </w:p>
        </w:tc>
        <w:tc>
          <w:tcPr>
            <w:tcW w:w="2260" w:type="dxa"/>
            <w:tcBorders>
              <w:top w:val="nil"/>
              <w:left w:val="nil"/>
              <w:bottom w:val="single" w:sz="4" w:space="0" w:color="auto"/>
              <w:right w:val="single" w:sz="4" w:space="0" w:color="auto"/>
            </w:tcBorders>
            <w:shd w:val="clear" w:color="auto" w:fill="auto"/>
            <w:noWrap/>
            <w:vAlign w:val="center"/>
            <w:hideMark/>
          </w:tcPr>
          <w:p w:rsidR="001026AF" w:rsidRDefault="002C5BD0" w:rsidP="00805ACA">
            <w:pPr>
              <w:autoSpaceDE/>
              <w:autoSpaceDN/>
              <w:adjustRightInd/>
              <w:jc w:val="center"/>
              <w:rPr>
                <w:rFonts w:cs="Arial"/>
                <w:color w:val="000000"/>
              </w:rPr>
            </w:pPr>
            <w:r w:rsidRPr="002C5BD0">
              <w:rPr>
                <w:rFonts w:cs="Arial"/>
                <w:color w:val="000000"/>
              </w:rPr>
              <w:t>$</w:t>
            </w:r>
            <w:r w:rsidR="00BE206C">
              <w:rPr>
                <w:rFonts w:cs="Arial"/>
                <w:color w:val="000000"/>
              </w:rPr>
              <w:t>1,046,420</w:t>
            </w:r>
            <w:r w:rsidRPr="002C5BD0">
              <w:rPr>
                <w:rFonts w:cs="Arial"/>
                <w:color w:val="00000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1026AF" w:rsidRDefault="002C5BD0" w:rsidP="00805ACA">
            <w:pPr>
              <w:autoSpaceDE/>
              <w:autoSpaceDN/>
              <w:adjustRightInd/>
              <w:jc w:val="center"/>
              <w:rPr>
                <w:rFonts w:cs="Arial"/>
                <w:color w:val="000000"/>
              </w:rPr>
            </w:pPr>
            <w:r w:rsidRPr="002C5BD0">
              <w:rPr>
                <w:rFonts w:cs="Arial"/>
                <w:color w:val="000000"/>
              </w:rPr>
              <w:t>$</w:t>
            </w:r>
            <w:r w:rsidR="00BE206C">
              <w:rPr>
                <w:rFonts w:cs="Arial"/>
                <w:color w:val="000000"/>
              </w:rPr>
              <w:t>937,349</w:t>
            </w:r>
            <w:r w:rsidRPr="002C5BD0">
              <w:rPr>
                <w:rFonts w:cs="Arial"/>
                <w:color w:val="000000"/>
              </w:rPr>
              <w:t xml:space="preserve"> </w:t>
            </w:r>
          </w:p>
        </w:tc>
      </w:tr>
    </w:tbl>
    <w:p w:rsidR="00211229" w:rsidRPr="002C5BD0" w:rsidRDefault="00211229" w:rsidP="00211229">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rsidR="00756DB4" w:rsidRPr="009B5E75" w:rsidRDefault="00CB1839" w:rsidP="00756DB4">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bCs/>
          <w:sz w:val="22"/>
          <w:szCs w:val="22"/>
        </w:rPr>
      </w:pPr>
      <w:r w:rsidRPr="002C5BD0">
        <w:rPr>
          <w:rFonts w:cs="Arial"/>
        </w:rPr>
        <w:br w:type="page"/>
      </w:r>
      <w:r w:rsidR="00756DB4" w:rsidRPr="009B5E75">
        <w:rPr>
          <w:rFonts w:cs="Arial"/>
          <w:b/>
          <w:bCs/>
          <w:sz w:val="22"/>
          <w:szCs w:val="22"/>
        </w:rPr>
        <w:lastRenderedPageBreak/>
        <w:t>Exhibit 4-</w:t>
      </w:r>
      <w:r w:rsidR="00756DB4">
        <w:rPr>
          <w:rFonts w:cs="Arial"/>
          <w:b/>
          <w:bCs/>
          <w:sz w:val="22"/>
          <w:szCs w:val="22"/>
        </w:rPr>
        <w:t>2</w:t>
      </w:r>
    </w:p>
    <w:p w:rsidR="00756DB4" w:rsidRDefault="00756DB4" w:rsidP="00756DB4">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bCs/>
          <w:sz w:val="22"/>
          <w:szCs w:val="22"/>
        </w:rPr>
      </w:pPr>
      <w:r w:rsidRPr="009B5E75">
        <w:rPr>
          <w:rFonts w:cs="Arial"/>
          <w:b/>
          <w:bCs/>
          <w:sz w:val="22"/>
          <w:szCs w:val="22"/>
        </w:rPr>
        <w:t>Summary of Impacts at Discount Rate</w:t>
      </w:r>
      <w:r>
        <w:rPr>
          <w:rFonts w:cs="Arial"/>
          <w:b/>
          <w:bCs/>
          <w:sz w:val="22"/>
          <w:szCs w:val="22"/>
        </w:rPr>
        <w:t>s of 3 Percent and 10 Percent for a 10-Year Period</w:t>
      </w:r>
    </w:p>
    <w:p w:rsidR="00756DB4" w:rsidRDefault="00307EB0" w:rsidP="00756DB4">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bCs/>
          <w:sz w:val="22"/>
          <w:szCs w:val="22"/>
        </w:rPr>
      </w:pPr>
      <w:r>
        <w:rPr>
          <w:rFonts w:cs="Arial"/>
          <w:b/>
          <w:bCs/>
          <w:sz w:val="22"/>
          <w:szCs w:val="22"/>
        </w:rPr>
        <w:t xml:space="preserve">With </w:t>
      </w:r>
      <w:r w:rsidR="00756DB4">
        <w:rPr>
          <w:rFonts w:cs="Arial"/>
          <w:b/>
          <w:bCs/>
          <w:sz w:val="22"/>
          <w:szCs w:val="22"/>
        </w:rPr>
        <w:t xml:space="preserve">No Credit </w:t>
      </w:r>
      <w:r>
        <w:rPr>
          <w:rFonts w:cs="Arial"/>
          <w:b/>
          <w:bCs/>
          <w:sz w:val="22"/>
          <w:szCs w:val="22"/>
        </w:rPr>
        <w:t>G</w:t>
      </w:r>
      <w:r w:rsidR="00756DB4">
        <w:rPr>
          <w:rFonts w:cs="Arial"/>
          <w:b/>
          <w:bCs/>
          <w:sz w:val="22"/>
          <w:szCs w:val="22"/>
        </w:rPr>
        <w:t xml:space="preserve">iven for </w:t>
      </w:r>
      <w:r>
        <w:rPr>
          <w:rFonts w:cs="Arial"/>
          <w:b/>
          <w:bCs/>
          <w:sz w:val="22"/>
          <w:szCs w:val="22"/>
        </w:rPr>
        <w:t xml:space="preserve">Current </w:t>
      </w:r>
      <w:r w:rsidR="00756DB4">
        <w:rPr>
          <w:rFonts w:cs="Arial"/>
          <w:b/>
          <w:bCs/>
          <w:sz w:val="22"/>
          <w:szCs w:val="22"/>
        </w:rPr>
        <w:t xml:space="preserve">Industry </w:t>
      </w:r>
      <w:r>
        <w:rPr>
          <w:rFonts w:cs="Arial"/>
          <w:b/>
          <w:bCs/>
          <w:sz w:val="22"/>
          <w:szCs w:val="22"/>
        </w:rPr>
        <w:t>Actions</w:t>
      </w:r>
      <w:r w:rsidR="00002301">
        <w:rPr>
          <w:rFonts w:cs="Arial"/>
          <w:b/>
          <w:bCs/>
          <w:sz w:val="22"/>
          <w:szCs w:val="22"/>
        </w:rPr>
        <w:t xml:space="preserve"> (Option 2B)</w:t>
      </w:r>
    </w:p>
    <w:p w:rsidR="00756DB4" w:rsidRDefault="00756DB4"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bl>
      <w:tblPr>
        <w:tblW w:w="9473" w:type="dxa"/>
        <w:tblInd w:w="103" w:type="dxa"/>
        <w:tblLayout w:type="fixed"/>
        <w:tblLook w:val="04A0" w:firstRow="1" w:lastRow="0" w:firstColumn="1" w:lastColumn="0" w:noHBand="0" w:noVBand="1"/>
      </w:tblPr>
      <w:tblGrid>
        <w:gridCol w:w="1895"/>
        <w:gridCol w:w="1710"/>
        <w:gridCol w:w="1488"/>
        <w:gridCol w:w="2115"/>
        <w:gridCol w:w="2265"/>
      </w:tblGrid>
      <w:tr w:rsidR="006763A0" w:rsidRPr="00756DB4" w:rsidTr="00460063">
        <w:trPr>
          <w:trHeight w:val="1500"/>
        </w:trPr>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Attribute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One-time Implementation Costs</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Annual Operating Costs</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Total Combined Implementation and Annual Cost for 10-year period at 3% Discount Rate</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Total combined Implementation and Annual Cost for 10-year period at 7% Discount Rate</w:t>
            </w:r>
          </w:p>
        </w:tc>
      </w:tr>
      <w:tr w:rsidR="006763A0" w:rsidRPr="00756DB4" w:rsidTr="00460063">
        <w:trPr>
          <w:trHeight w:val="9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Industry Implementation </w:t>
            </w:r>
          </w:p>
        </w:tc>
        <w:tc>
          <w:tcPr>
            <w:tcW w:w="1710"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BE206C">
              <w:rPr>
                <w:rFonts w:ascii="Calibri" w:hAnsi="Calibri"/>
                <w:color w:val="000000"/>
                <w:sz w:val="22"/>
                <w:szCs w:val="22"/>
              </w:rPr>
              <w:t>193,248</w:t>
            </w:r>
            <w:r w:rsidRPr="00756DB4">
              <w:rPr>
                <w:rFonts w:ascii="Calibri" w:hAnsi="Calibri"/>
                <w:color w:val="000000"/>
                <w:sz w:val="22"/>
                <w:szCs w:val="22"/>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 </w:t>
            </w:r>
          </w:p>
        </w:tc>
        <w:tc>
          <w:tcPr>
            <w:tcW w:w="211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BE206C">
              <w:rPr>
                <w:rFonts w:ascii="Calibri" w:hAnsi="Calibri"/>
                <w:color w:val="000000"/>
                <w:sz w:val="22"/>
                <w:szCs w:val="22"/>
              </w:rPr>
              <w:t>193,248</w:t>
            </w:r>
            <w:r w:rsidRPr="00756DB4">
              <w:rPr>
                <w:rFonts w:ascii="Calibri" w:hAnsi="Calibri"/>
                <w:color w:val="000000"/>
                <w:sz w:val="22"/>
                <w:szCs w:val="22"/>
              </w:rPr>
              <w:t xml:space="preserve"> </w:t>
            </w:r>
          </w:p>
        </w:tc>
        <w:tc>
          <w:tcPr>
            <w:tcW w:w="226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BE206C">
              <w:rPr>
                <w:rFonts w:ascii="Calibri" w:hAnsi="Calibri"/>
                <w:color w:val="000000"/>
                <w:sz w:val="22"/>
                <w:szCs w:val="22"/>
              </w:rPr>
              <w:t>193,248</w:t>
            </w:r>
            <w:r w:rsidRPr="00756DB4">
              <w:rPr>
                <w:rFonts w:ascii="Calibri" w:hAnsi="Calibri"/>
                <w:color w:val="000000"/>
                <w:sz w:val="22"/>
                <w:szCs w:val="22"/>
              </w:rPr>
              <w:t xml:space="preserve"> </w:t>
            </w:r>
          </w:p>
        </w:tc>
      </w:tr>
      <w:tr w:rsidR="006763A0" w:rsidRPr="00756DB4" w:rsidTr="00460063">
        <w:trPr>
          <w:trHeight w:val="9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Industry Operation</w:t>
            </w:r>
          </w:p>
        </w:tc>
        <w:tc>
          <w:tcPr>
            <w:tcW w:w="171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w:t>
            </w:r>
          </w:p>
        </w:tc>
        <w:tc>
          <w:tcPr>
            <w:tcW w:w="1488"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BE206C">
              <w:rPr>
                <w:rFonts w:ascii="Calibri" w:hAnsi="Calibri"/>
                <w:color w:val="000000"/>
                <w:sz w:val="22"/>
                <w:szCs w:val="22"/>
              </w:rPr>
              <w:t>86,669</w:t>
            </w:r>
            <w:r w:rsidRPr="00756DB4">
              <w:rPr>
                <w:rFonts w:ascii="Calibri" w:hAnsi="Calibri"/>
                <w:color w:val="000000"/>
                <w:sz w:val="22"/>
                <w:szCs w:val="22"/>
              </w:rPr>
              <w:t xml:space="preserve"> </w:t>
            </w:r>
          </w:p>
        </w:tc>
        <w:tc>
          <w:tcPr>
            <w:tcW w:w="211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9E5EDE">
              <w:rPr>
                <w:rFonts w:ascii="Calibri" w:hAnsi="Calibri"/>
                <w:color w:val="000000"/>
                <w:sz w:val="22"/>
                <w:szCs w:val="22"/>
              </w:rPr>
              <w:t>739,302</w:t>
            </w:r>
          </w:p>
        </w:tc>
        <w:tc>
          <w:tcPr>
            <w:tcW w:w="226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9E5EDE">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9E5EDE">
              <w:rPr>
                <w:rFonts w:ascii="Calibri" w:hAnsi="Calibri"/>
                <w:color w:val="000000"/>
                <w:sz w:val="22"/>
                <w:szCs w:val="22"/>
              </w:rPr>
              <w:t xml:space="preserve">  608,725</w:t>
            </w:r>
          </w:p>
        </w:tc>
      </w:tr>
      <w:tr w:rsidR="006763A0" w:rsidRPr="00756DB4" w:rsidTr="00460063">
        <w:trPr>
          <w:trHeight w:val="9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Industry Total Costs</w:t>
            </w:r>
          </w:p>
        </w:tc>
        <w:tc>
          <w:tcPr>
            <w:tcW w:w="1710"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 </w:t>
            </w:r>
          </w:p>
        </w:tc>
        <w:tc>
          <w:tcPr>
            <w:tcW w:w="211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BE206C">
              <w:rPr>
                <w:rFonts w:ascii="Calibri" w:hAnsi="Calibri"/>
                <w:color w:val="000000"/>
                <w:sz w:val="22"/>
                <w:szCs w:val="22"/>
              </w:rPr>
              <w:t>932,550</w:t>
            </w:r>
            <w:r w:rsidRPr="00756DB4">
              <w:rPr>
                <w:rFonts w:ascii="Calibri" w:hAnsi="Calibri"/>
                <w:color w:val="000000"/>
                <w:sz w:val="22"/>
                <w:szCs w:val="22"/>
              </w:rPr>
              <w:t xml:space="preserve"> </w:t>
            </w:r>
          </w:p>
        </w:tc>
        <w:tc>
          <w:tcPr>
            <w:tcW w:w="226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BE206C">
              <w:rPr>
                <w:rFonts w:ascii="Calibri" w:hAnsi="Calibri"/>
                <w:color w:val="000000"/>
                <w:sz w:val="22"/>
                <w:szCs w:val="22"/>
              </w:rPr>
              <w:t>801,973</w:t>
            </w:r>
            <w:r w:rsidRPr="00756DB4">
              <w:rPr>
                <w:rFonts w:ascii="Calibri" w:hAnsi="Calibri"/>
                <w:color w:val="000000"/>
                <w:sz w:val="22"/>
                <w:szCs w:val="22"/>
              </w:rPr>
              <w:t xml:space="preserve"> </w:t>
            </w:r>
          </w:p>
        </w:tc>
      </w:tr>
      <w:tr w:rsidR="006763A0" w:rsidRPr="00756DB4" w:rsidTr="00460063">
        <w:trPr>
          <w:trHeight w:val="9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NRC Implementation</w:t>
            </w:r>
          </w:p>
        </w:tc>
        <w:tc>
          <w:tcPr>
            <w:tcW w:w="1710" w:type="dxa"/>
            <w:tcBorders>
              <w:top w:val="nil"/>
              <w:left w:val="nil"/>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$259,420 </w:t>
            </w:r>
          </w:p>
        </w:tc>
        <w:tc>
          <w:tcPr>
            <w:tcW w:w="1488"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w:t>
            </w:r>
          </w:p>
        </w:tc>
        <w:tc>
          <w:tcPr>
            <w:tcW w:w="211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$259,420 </w:t>
            </w:r>
          </w:p>
        </w:tc>
        <w:tc>
          <w:tcPr>
            <w:tcW w:w="226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$259,420 </w:t>
            </w:r>
          </w:p>
        </w:tc>
      </w:tr>
      <w:tr w:rsidR="006763A0" w:rsidRPr="00756DB4" w:rsidTr="00460063">
        <w:trPr>
          <w:trHeight w:val="9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NRC Total Costs</w:t>
            </w:r>
          </w:p>
        </w:tc>
        <w:tc>
          <w:tcPr>
            <w:tcW w:w="1710"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 </w:t>
            </w:r>
          </w:p>
        </w:tc>
        <w:tc>
          <w:tcPr>
            <w:tcW w:w="211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$259,420 </w:t>
            </w:r>
          </w:p>
        </w:tc>
        <w:tc>
          <w:tcPr>
            <w:tcW w:w="226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 xml:space="preserve">$259,420 </w:t>
            </w:r>
          </w:p>
        </w:tc>
      </w:tr>
      <w:tr w:rsidR="006763A0" w:rsidRPr="00756DB4" w:rsidTr="00460063">
        <w:trPr>
          <w:trHeight w:val="9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Total</w:t>
            </w:r>
          </w:p>
        </w:tc>
        <w:tc>
          <w:tcPr>
            <w:tcW w:w="1710"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BE206C">
              <w:rPr>
                <w:rFonts w:ascii="Calibri" w:hAnsi="Calibri"/>
                <w:color w:val="000000"/>
                <w:sz w:val="22"/>
                <w:szCs w:val="22"/>
              </w:rPr>
              <w:t>452,668</w:t>
            </w:r>
            <w:r w:rsidRPr="00756DB4">
              <w:rPr>
                <w:rFonts w:ascii="Calibri" w:hAnsi="Calibri"/>
                <w:color w:val="000000"/>
                <w:sz w:val="22"/>
                <w:szCs w:val="22"/>
              </w:rPr>
              <w:t xml:space="preserve"> </w:t>
            </w:r>
          </w:p>
        </w:tc>
        <w:tc>
          <w:tcPr>
            <w:tcW w:w="1488"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BE206C">
              <w:rPr>
                <w:rFonts w:ascii="Calibri" w:hAnsi="Calibri"/>
                <w:color w:val="000000"/>
                <w:sz w:val="22"/>
                <w:szCs w:val="22"/>
              </w:rPr>
              <w:t>86,669</w:t>
            </w:r>
            <w:r w:rsidRPr="00756DB4">
              <w:rPr>
                <w:rFonts w:ascii="Calibri" w:hAnsi="Calibri"/>
                <w:color w:val="000000"/>
                <w:sz w:val="22"/>
                <w:szCs w:val="22"/>
              </w:rPr>
              <w:t xml:space="preserve"> </w:t>
            </w:r>
          </w:p>
        </w:tc>
        <w:tc>
          <w:tcPr>
            <w:tcW w:w="211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940860">
              <w:rPr>
                <w:rFonts w:ascii="Calibri" w:hAnsi="Calibri"/>
                <w:color w:val="000000"/>
                <w:sz w:val="22"/>
                <w:szCs w:val="22"/>
              </w:rPr>
              <w:t>1,191,970</w:t>
            </w:r>
            <w:r w:rsidRPr="00756DB4">
              <w:rPr>
                <w:rFonts w:ascii="Calibri" w:hAnsi="Calibri"/>
                <w:color w:val="000000"/>
                <w:sz w:val="22"/>
                <w:szCs w:val="22"/>
              </w:rPr>
              <w:t xml:space="preserve"> </w:t>
            </w:r>
          </w:p>
        </w:tc>
        <w:tc>
          <w:tcPr>
            <w:tcW w:w="2265" w:type="dxa"/>
            <w:tcBorders>
              <w:top w:val="nil"/>
              <w:left w:val="nil"/>
              <w:bottom w:val="single" w:sz="4" w:space="0" w:color="auto"/>
              <w:right w:val="single" w:sz="4" w:space="0" w:color="auto"/>
            </w:tcBorders>
            <w:shd w:val="clear" w:color="auto" w:fill="auto"/>
            <w:noWrap/>
            <w:vAlign w:val="center"/>
            <w:hideMark/>
          </w:tcPr>
          <w:p w:rsidR="00756DB4" w:rsidRPr="00756DB4" w:rsidRDefault="00756DB4" w:rsidP="00756DB4">
            <w:pPr>
              <w:autoSpaceDE/>
              <w:autoSpaceDN/>
              <w:adjustRightInd/>
              <w:jc w:val="center"/>
              <w:rPr>
                <w:rFonts w:ascii="Calibri" w:hAnsi="Calibri"/>
                <w:color w:val="000000"/>
                <w:sz w:val="22"/>
                <w:szCs w:val="22"/>
              </w:rPr>
            </w:pPr>
            <w:r w:rsidRPr="00756DB4">
              <w:rPr>
                <w:rFonts w:ascii="Calibri" w:hAnsi="Calibri"/>
                <w:color w:val="000000"/>
                <w:sz w:val="22"/>
                <w:szCs w:val="22"/>
              </w:rPr>
              <w:t>$</w:t>
            </w:r>
            <w:r w:rsidR="00940860">
              <w:rPr>
                <w:rFonts w:ascii="Calibri" w:hAnsi="Calibri"/>
                <w:color w:val="000000"/>
                <w:sz w:val="22"/>
                <w:szCs w:val="22"/>
              </w:rPr>
              <w:t>1,061,393</w:t>
            </w:r>
            <w:r w:rsidRPr="00756DB4">
              <w:rPr>
                <w:rFonts w:ascii="Calibri" w:hAnsi="Calibri"/>
                <w:color w:val="000000"/>
                <w:sz w:val="22"/>
                <w:szCs w:val="22"/>
              </w:rPr>
              <w:t xml:space="preserve"> </w:t>
            </w:r>
          </w:p>
        </w:tc>
      </w:tr>
    </w:tbl>
    <w:p w:rsidR="00756DB4" w:rsidRDefault="00756DB4"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rsidR="002347D8" w:rsidRDefault="002347D8"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sz w:val="22"/>
          <w:szCs w:val="22"/>
        </w:rPr>
      </w:pPr>
    </w:p>
    <w:p w:rsidR="00C1459C" w:rsidRPr="009B5E75" w:rsidRDefault="00C1459C"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sz w:val="22"/>
          <w:szCs w:val="22"/>
        </w:rPr>
      </w:pPr>
      <w:r w:rsidRPr="009B5E75">
        <w:rPr>
          <w:rFonts w:cs="Arial"/>
          <w:b/>
          <w:bCs/>
          <w:sz w:val="22"/>
          <w:szCs w:val="22"/>
        </w:rPr>
        <w:t>5.</w:t>
      </w:r>
      <w:r w:rsidRPr="009B5E75">
        <w:rPr>
          <w:rFonts w:cs="Arial"/>
          <w:b/>
          <w:bCs/>
          <w:sz w:val="22"/>
          <w:szCs w:val="22"/>
        </w:rPr>
        <w:tab/>
      </w:r>
      <w:r w:rsidRPr="0048470A">
        <w:rPr>
          <w:rFonts w:cs="Arial"/>
          <w:b/>
          <w:bCs/>
          <w:sz w:val="22"/>
          <w:szCs w:val="22"/>
          <w:u w:val="single"/>
        </w:rPr>
        <w:t>Decision Rationale</w:t>
      </w:r>
      <w:r w:rsidRPr="009B5E75">
        <w:rPr>
          <w:rFonts w:cs="Arial"/>
          <w:b/>
          <w:bCs/>
          <w:sz w:val="22"/>
          <w:szCs w:val="22"/>
        </w:rPr>
        <w:t xml:space="preserve"> </w:t>
      </w:r>
      <w:r w:rsidR="001C7681" w:rsidRPr="009B5E75">
        <w:rPr>
          <w:rFonts w:cs="Arial"/>
          <w:b/>
          <w:bCs/>
          <w:sz w:val="22"/>
          <w:szCs w:val="22"/>
        </w:rPr>
        <w:fldChar w:fldCharType="begin"/>
      </w:r>
      <w:proofErr w:type="spellStart"/>
      <w:proofErr w:type="gramStart"/>
      <w:r w:rsidRPr="009B5E75">
        <w:rPr>
          <w:rFonts w:cs="Arial"/>
          <w:b/>
          <w:bCs/>
          <w:sz w:val="22"/>
          <w:szCs w:val="22"/>
        </w:rPr>
        <w:instrText>tc</w:instrText>
      </w:r>
      <w:proofErr w:type="spellEnd"/>
      <w:proofErr w:type="gramEnd"/>
      <w:r w:rsidRPr="009B5E75">
        <w:rPr>
          <w:rFonts w:cs="Arial"/>
          <w:b/>
          <w:bCs/>
          <w:sz w:val="22"/>
          <w:szCs w:val="22"/>
        </w:rPr>
        <w:instrText xml:space="preserve"> "</w:instrText>
      </w:r>
      <w:bookmarkStart w:id="28" w:name="_Toc293403064"/>
      <w:bookmarkStart w:id="29" w:name="_Toc336939804"/>
      <w:r w:rsidRPr="009B5E75">
        <w:rPr>
          <w:rFonts w:cs="Arial"/>
          <w:b/>
          <w:bCs/>
          <w:sz w:val="22"/>
          <w:szCs w:val="22"/>
        </w:rPr>
        <w:instrText>5.</w:instrText>
      </w:r>
      <w:r w:rsidRPr="009B5E75">
        <w:rPr>
          <w:rFonts w:cs="Arial"/>
          <w:b/>
          <w:bCs/>
          <w:sz w:val="22"/>
          <w:szCs w:val="22"/>
        </w:rPr>
        <w:tab/>
        <w:instrText>Decision Rationale</w:instrText>
      </w:r>
      <w:bookmarkEnd w:id="28"/>
      <w:bookmarkEnd w:id="29"/>
      <w:r w:rsidRPr="009B5E75">
        <w:rPr>
          <w:rFonts w:cs="Arial"/>
          <w:b/>
          <w:bCs/>
          <w:sz w:val="22"/>
          <w:szCs w:val="22"/>
        </w:rPr>
        <w:instrText xml:space="preserve"> </w:instrText>
      </w:r>
      <w:proofErr w:type="gramStart"/>
      <w:r w:rsidRPr="009B5E75">
        <w:rPr>
          <w:rFonts w:cs="Arial"/>
          <w:b/>
          <w:bCs/>
          <w:sz w:val="22"/>
          <w:szCs w:val="22"/>
        </w:rPr>
        <w:instrText>" \</w:instrText>
      </w:r>
      <w:proofErr w:type="gramEnd"/>
      <w:r w:rsidRPr="009B5E75">
        <w:rPr>
          <w:rFonts w:cs="Arial"/>
          <w:b/>
          <w:bCs/>
          <w:sz w:val="22"/>
          <w:szCs w:val="22"/>
        </w:rPr>
        <w:instrText>l 2</w:instrText>
      </w:r>
      <w:r w:rsidR="001C7681" w:rsidRPr="009B5E75">
        <w:rPr>
          <w:rFonts w:cs="Arial"/>
          <w:b/>
          <w:bCs/>
          <w:sz w:val="22"/>
          <w:szCs w:val="22"/>
        </w:rPr>
        <w:fldChar w:fldCharType="end"/>
      </w:r>
    </w:p>
    <w:p w:rsidR="00C1459C" w:rsidRPr="009B5E75" w:rsidRDefault="00C1459C"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C1459C" w:rsidRPr="009B5E75" w:rsidRDefault="00C1459C" w:rsidP="00C1459C">
      <w:pPr>
        <w:spacing w:line="2" w:lineRule="exact"/>
        <w:rPr>
          <w:rFonts w:cs="Arial"/>
          <w:sz w:val="22"/>
          <w:szCs w:val="22"/>
        </w:rPr>
      </w:pPr>
    </w:p>
    <w:p w:rsidR="00DF0008" w:rsidRPr="00ED4BB1" w:rsidRDefault="006D13DA" w:rsidP="00CB1839">
      <w:pPr>
        <w:pStyle w:val="StyleBulleted"/>
        <w:numPr>
          <w:ilvl w:val="0"/>
          <w:numId w:val="0"/>
        </w:numPr>
        <w:spacing w:after="220"/>
        <w:rPr>
          <w:color w:val="000000"/>
        </w:rPr>
      </w:pPr>
      <w:r w:rsidRPr="00ED4BB1">
        <w:rPr>
          <w:color w:val="000000"/>
        </w:rPr>
        <w:t xml:space="preserve">The changes in this rulemaking are intended to consolidate MC&amp;A requirements in 10 CFR </w:t>
      </w:r>
      <w:proofErr w:type="gramStart"/>
      <w:r w:rsidRPr="00ED4BB1">
        <w:rPr>
          <w:color w:val="000000"/>
        </w:rPr>
        <w:t>part</w:t>
      </w:r>
      <w:proofErr w:type="gramEnd"/>
      <w:r w:rsidRPr="00ED4BB1">
        <w:rPr>
          <w:color w:val="000000"/>
        </w:rPr>
        <w:t xml:space="preserve"> 74 and to clarify, revise, modify, and strengthen the existing requirements.  </w:t>
      </w:r>
      <w:r w:rsidRPr="00ED4BB1">
        <w:t>The decision rationale is based on how the values and impacts have been analyzed.  Relative to the</w:t>
      </w:r>
      <w:r w:rsidR="001B474B" w:rsidRPr="00ED4BB1">
        <w:t xml:space="preserve"> </w:t>
      </w:r>
      <w:r w:rsidRPr="00ED4BB1">
        <w:t>no-action alternative, Option 2 would result in a one-time implementation cost to the industry of approximately $</w:t>
      </w:r>
      <w:r w:rsidR="006F052C">
        <w:t>169,000</w:t>
      </w:r>
      <w:r w:rsidR="009E5EDE">
        <w:t xml:space="preserve"> </w:t>
      </w:r>
      <w:r w:rsidR="002E467A">
        <w:t>to $</w:t>
      </w:r>
      <w:r w:rsidR="006F052C">
        <w:t>193,000</w:t>
      </w:r>
      <w:r w:rsidR="009E5EDE">
        <w:t xml:space="preserve"> </w:t>
      </w:r>
      <w:r w:rsidRPr="00ED4BB1">
        <w:t>and a net annual cost to the industry of approximately $</w:t>
      </w:r>
      <w:r w:rsidR="006F052C">
        <w:t>72,000</w:t>
      </w:r>
      <w:r w:rsidR="009E5EDE">
        <w:t xml:space="preserve"> </w:t>
      </w:r>
      <w:r w:rsidR="00C0265F">
        <w:t>to</w:t>
      </w:r>
      <w:r w:rsidR="002E467A">
        <w:t xml:space="preserve"> $</w:t>
      </w:r>
      <w:r w:rsidR="006F052C">
        <w:t>87,000</w:t>
      </w:r>
      <w:r w:rsidR="004C32A4">
        <w:t xml:space="preserve">.  </w:t>
      </w:r>
      <w:r w:rsidR="00090A5F" w:rsidRPr="00AC5DA6">
        <w:t xml:space="preserve">Offsetting the net cost, the NRC believes that Option 2 would result in substantial </w:t>
      </w:r>
      <w:r w:rsidR="007E73F0">
        <w:t>qualitative</w:t>
      </w:r>
      <w:r w:rsidR="00090A5F" w:rsidRPr="00AC5DA6">
        <w:t xml:space="preserve"> </w:t>
      </w:r>
      <w:r w:rsidR="00B24380" w:rsidRPr="00745F1C">
        <w:t>benefits,</w:t>
      </w:r>
      <w:r w:rsidR="007E73F0">
        <w:t xml:space="preserve"> as discussed previously in Section 3.3</w:t>
      </w:r>
      <w:r w:rsidR="00090A5F" w:rsidRPr="00AC5DA6">
        <w:t>.</w:t>
      </w:r>
      <w:r w:rsidRPr="00ED4BB1">
        <w:t xml:space="preserve">  </w:t>
      </w:r>
      <w:r w:rsidRPr="00ED4BB1">
        <w:rPr>
          <w:color w:val="000000"/>
        </w:rPr>
        <w:t>Although costs are incurred as a result of the rule, the qualitative benefits associated with the rule outweigh its cost.</w:t>
      </w:r>
      <w:r w:rsidRPr="00ED4BB1">
        <w:t xml:space="preserve">  </w:t>
      </w:r>
      <w:r w:rsidRPr="00ED4BB1">
        <w:rPr>
          <w:color w:val="000000"/>
        </w:rPr>
        <w:t>The NRC believes that the rule is cost-justified because the proposed regulatory initiatives would promote the common defense and security of SNM.</w:t>
      </w:r>
    </w:p>
    <w:p w:rsidR="00BD3E58" w:rsidRDefault="00BD3E58"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sz w:val="22"/>
          <w:szCs w:val="22"/>
        </w:rPr>
      </w:pPr>
    </w:p>
    <w:p w:rsidR="00C1459C" w:rsidRPr="009B5E75" w:rsidRDefault="00C1459C"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sz w:val="22"/>
          <w:szCs w:val="22"/>
        </w:rPr>
      </w:pPr>
      <w:r w:rsidRPr="009B5E75">
        <w:rPr>
          <w:rFonts w:cs="Arial"/>
          <w:b/>
          <w:bCs/>
          <w:sz w:val="22"/>
          <w:szCs w:val="22"/>
        </w:rPr>
        <w:lastRenderedPageBreak/>
        <w:t>6.</w:t>
      </w:r>
      <w:r w:rsidRPr="009B5E75">
        <w:rPr>
          <w:rFonts w:cs="Arial"/>
          <w:b/>
          <w:bCs/>
          <w:sz w:val="22"/>
          <w:szCs w:val="22"/>
        </w:rPr>
        <w:tab/>
      </w:r>
      <w:r w:rsidRPr="0048470A">
        <w:rPr>
          <w:rFonts w:cs="Arial"/>
          <w:b/>
          <w:bCs/>
          <w:sz w:val="22"/>
          <w:szCs w:val="22"/>
          <w:u w:val="single"/>
        </w:rPr>
        <w:t>Implementation</w:t>
      </w:r>
      <w:r w:rsidRPr="009B5E75">
        <w:rPr>
          <w:rFonts w:cs="Arial"/>
          <w:b/>
          <w:bCs/>
          <w:sz w:val="22"/>
          <w:szCs w:val="22"/>
        </w:rPr>
        <w:t xml:space="preserve"> </w:t>
      </w:r>
      <w:r w:rsidR="001C7681" w:rsidRPr="009B5E75">
        <w:rPr>
          <w:rFonts w:cs="Arial"/>
          <w:b/>
          <w:bCs/>
          <w:sz w:val="22"/>
          <w:szCs w:val="22"/>
        </w:rPr>
        <w:fldChar w:fldCharType="begin"/>
      </w:r>
      <w:proofErr w:type="spellStart"/>
      <w:proofErr w:type="gramStart"/>
      <w:r w:rsidRPr="009B5E75">
        <w:rPr>
          <w:rFonts w:cs="Arial"/>
          <w:b/>
          <w:bCs/>
          <w:sz w:val="22"/>
          <w:szCs w:val="22"/>
        </w:rPr>
        <w:instrText>tc</w:instrText>
      </w:r>
      <w:proofErr w:type="spellEnd"/>
      <w:proofErr w:type="gramEnd"/>
      <w:r w:rsidRPr="009B5E75">
        <w:rPr>
          <w:rFonts w:cs="Arial"/>
          <w:b/>
          <w:bCs/>
          <w:sz w:val="22"/>
          <w:szCs w:val="22"/>
        </w:rPr>
        <w:instrText xml:space="preserve"> "</w:instrText>
      </w:r>
      <w:bookmarkStart w:id="30" w:name="_Toc261854924"/>
      <w:bookmarkStart w:id="31" w:name="_Toc293403065"/>
      <w:bookmarkStart w:id="32" w:name="_Toc336939805"/>
      <w:r w:rsidRPr="009B5E75">
        <w:rPr>
          <w:rFonts w:cs="Arial"/>
          <w:b/>
          <w:bCs/>
          <w:sz w:val="22"/>
          <w:szCs w:val="22"/>
        </w:rPr>
        <w:instrText>6.</w:instrText>
      </w:r>
      <w:r w:rsidRPr="009B5E75">
        <w:rPr>
          <w:rFonts w:cs="Arial"/>
          <w:b/>
          <w:bCs/>
          <w:sz w:val="22"/>
          <w:szCs w:val="22"/>
        </w:rPr>
        <w:tab/>
        <w:instrText>Implementation</w:instrText>
      </w:r>
      <w:bookmarkEnd w:id="30"/>
      <w:bookmarkEnd w:id="31"/>
      <w:bookmarkEnd w:id="32"/>
      <w:r w:rsidRPr="009B5E75">
        <w:rPr>
          <w:rFonts w:cs="Arial"/>
          <w:b/>
          <w:bCs/>
          <w:sz w:val="22"/>
          <w:szCs w:val="22"/>
        </w:rPr>
        <w:instrText xml:space="preserve"> </w:instrText>
      </w:r>
      <w:proofErr w:type="gramStart"/>
      <w:r w:rsidRPr="009B5E75">
        <w:rPr>
          <w:rFonts w:cs="Arial"/>
          <w:b/>
          <w:bCs/>
          <w:sz w:val="22"/>
          <w:szCs w:val="22"/>
        </w:rPr>
        <w:instrText>" \</w:instrText>
      </w:r>
      <w:proofErr w:type="gramEnd"/>
      <w:r w:rsidRPr="009B5E75">
        <w:rPr>
          <w:rFonts w:cs="Arial"/>
          <w:b/>
          <w:bCs/>
          <w:sz w:val="22"/>
          <w:szCs w:val="22"/>
        </w:rPr>
        <w:instrText>l 2</w:instrText>
      </w:r>
      <w:r w:rsidR="001C7681" w:rsidRPr="009B5E75">
        <w:rPr>
          <w:rFonts w:cs="Arial"/>
          <w:b/>
          <w:bCs/>
          <w:sz w:val="22"/>
          <w:szCs w:val="22"/>
        </w:rPr>
        <w:fldChar w:fldCharType="end"/>
      </w:r>
    </w:p>
    <w:p w:rsidR="00C1459C" w:rsidRPr="009B5E75" w:rsidRDefault="00C1459C" w:rsidP="00C1459C">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235570" w:rsidRDefault="000760B4" w:rsidP="000760B4">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sz w:val="22"/>
          <w:szCs w:val="22"/>
        </w:rPr>
      </w:pPr>
      <w:r w:rsidRPr="009B5E75">
        <w:rPr>
          <w:rFonts w:cs="Arial"/>
          <w:bCs/>
          <w:sz w:val="22"/>
          <w:szCs w:val="22"/>
        </w:rPr>
        <w:t xml:space="preserve">The staff </w:t>
      </w:r>
      <w:r w:rsidR="008533E6" w:rsidRPr="009B5E75">
        <w:rPr>
          <w:rFonts w:cs="Arial"/>
          <w:bCs/>
          <w:sz w:val="22"/>
          <w:szCs w:val="22"/>
        </w:rPr>
        <w:t>propose</w:t>
      </w:r>
      <w:r w:rsidR="00376E8F" w:rsidRPr="009B5E75">
        <w:rPr>
          <w:rFonts w:cs="Arial"/>
          <w:bCs/>
          <w:sz w:val="22"/>
          <w:szCs w:val="22"/>
        </w:rPr>
        <w:t>s</w:t>
      </w:r>
      <w:r w:rsidR="008533E6" w:rsidRPr="009B5E75">
        <w:rPr>
          <w:rFonts w:cs="Arial"/>
          <w:bCs/>
          <w:sz w:val="22"/>
          <w:szCs w:val="22"/>
        </w:rPr>
        <w:t xml:space="preserve"> to make</w:t>
      </w:r>
      <w:r w:rsidRPr="009B5E75">
        <w:rPr>
          <w:rFonts w:cs="Arial"/>
          <w:bCs/>
          <w:sz w:val="22"/>
          <w:szCs w:val="22"/>
        </w:rPr>
        <w:t xml:space="preserve"> the final rule effective </w:t>
      </w:r>
      <w:r w:rsidR="001B4AEF">
        <w:rPr>
          <w:rFonts w:cs="Arial"/>
          <w:bCs/>
          <w:sz w:val="22"/>
          <w:szCs w:val="22"/>
        </w:rPr>
        <w:t>90 </w:t>
      </w:r>
      <w:r w:rsidR="008533E6" w:rsidRPr="009B5E75">
        <w:rPr>
          <w:rFonts w:cs="Arial"/>
          <w:bCs/>
          <w:sz w:val="22"/>
          <w:szCs w:val="22"/>
        </w:rPr>
        <w:t xml:space="preserve">days </w:t>
      </w:r>
      <w:r w:rsidRPr="009B5E75">
        <w:rPr>
          <w:rFonts w:cs="Arial"/>
          <w:bCs/>
          <w:sz w:val="22"/>
          <w:szCs w:val="22"/>
        </w:rPr>
        <w:t xml:space="preserve">after </w:t>
      </w:r>
      <w:r w:rsidR="008533E6" w:rsidRPr="009B5E75">
        <w:rPr>
          <w:rFonts w:cs="Arial"/>
          <w:bCs/>
          <w:sz w:val="22"/>
          <w:szCs w:val="22"/>
        </w:rPr>
        <w:t xml:space="preserve">its </w:t>
      </w:r>
      <w:r w:rsidRPr="009B5E75">
        <w:rPr>
          <w:rFonts w:cs="Arial"/>
          <w:bCs/>
          <w:sz w:val="22"/>
          <w:szCs w:val="22"/>
        </w:rPr>
        <w:t xml:space="preserve">publication in the </w:t>
      </w:r>
      <w:r w:rsidR="005B6365" w:rsidRPr="005B6365">
        <w:rPr>
          <w:rFonts w:cs="Arial"/>
          <w:bCs/>
          <w:i/>
          <w:sz w:val="22"/>
          <w:szCs w:val="22"/>
        </w:rPr>
        <w:t>Federal Register</w:t>
      </w:r>
      <w:r w:rsidRPr="009B5E75">
        <w:rPr>
          <w:rFonts w:cs="Arial"/>
          <w:bCs/>
          <w:sz w:val="22"/>
          <w:szCs w:val="22"/>
        </w:rPr>
        <w:t>.</w:t>
      </w:r>
      <w:r w:rsidR="0071637C" w:rsidRPr="009B5E75">
        <w:rPr>
          <w:rFonts w:cs="Arial"/>
          <w:bCs/>
          <w:sz w:val="22"/>
          <w:szCs w:val="22"/>
        </w:rPr>
        <w:t xml:space="preserve">  For this analysis</w:t>
      </w:r>
      <w:r w:rsidR="006B3C1F">
        <w:rPr>
          <w:rFonts w:cs="Arial"/>
          <w:bCs/>
          <w:sz w:val="22"/>
          <w:szCs w:val="22"/>
        </w:rPr>
        <w:t>,</w:t>
      </w:r>
      <w:r w:rsidR="0071637C" w:rsidRPr="009B5E75">
        <w:rPr>
          <w:rFonts w:cs="Arial"/>
          <w:bCs/>
          <w:sz w:val="22"/>
          <w:szCs w:val="22"/>
        </w:rPr>
        <w:t xml:space="preserve"> the final rule effective date is</w:t>
      </w:r>
      <w:r w:rsidR="001B4AEF">
        <w:rPr>
          <w:rFonts w:cs="Arial"/>
          <w:bCs/>
          <w:sz w:val="22"/>
          <w:szCs w:val="22"/>
        </w:rPr>
        <w:t xml:space="preserve"> </w:t>
      </w:r>
      <w:r w:rsidR="00886DDA">
        <w:rPr>
          <w:rFonts w:cs="Arial"/>
          <w:bCs/>
          <w:sz w:val="22"/>
          <w:szCs w:val="22"/>
        </w:rPr>
        <w:t xml:space="preserve">late </w:t>
      </w:r>
      <w:r w:rsidR="00E417F9">
        <w:rPr>
          <w:rFonts w:cs="Arial"/>
          <w:bCs/>
          <w:sz w:val="22"/>
          <w:szCs w:val="22"/>
        </w:rPr>
        <w:t>2014</w:t>
      </w:r>
      <w:r w:rsidR="0071637C" w:rsidRPr="009B5E75">
        <w:rPr>
          <w:rFonts w:cs="Arial"/>
          <w:bCs/>
          <w:sz w:val="22"/>
          <w:szCs w:val="22"/>
        </w:rPr>
        <w:t xml:space="preserve">.  </w:t>
      </w:r>
    </w:p>
    <w:p w:rsidR="00FF5522" w:rsidRPr="009B5E75" w:rsidRDefault="00FF5522" w:rsidP="000760B4">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p w:rsidR="00944E92" w:rsidRPr="00E44C0B" w:rsidRDefault="00944E92" w:rsidP="003265EF">
      <w:pPr>
        <w:numPr>
          <w:ilvl w:val="0"/>
          <w:numId w:val="7"/>
        </w:numPr>
        <w:tabs>
          <w:tab w:val="clear" w:pos="1080"/>
          <w:tab w:val="left" w:pos="-1152"/>
          <w:tab w:val="left" w:pos="-72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cs="Arial"/>
          <w:b/>
          <w:bCs/>
          <w:sz w:val="22"/>
          <w:szCs w:val="22"/>
          <w:u w:val="single"/>
        </w:rPr>
      </w:pPr>
      <w:r w:rsidRPr="00E44C0B">
        <w:rPr>
          <w:rFonts w:cs="Arial"/>
          <w:b/>
          <w:bCs/>
          <w:sz w:val="22"/>
          <w:szCs w:val="22"/>
          <w:u w:val="single"/>
        </w:rPr>
        <w:t>References</w:t>
      </w:r>
      <w:r w:rsidR="009D717B" w:rsidRPr="00E44C0B">
        <w:rPr>
          <w:rFonts w:cs="Arial"/>
          <w:b/>
          <w:bCs/>
          <w:sz w:val="22"/>
          <w:szCs w:val="22"/>
          <w:u w:val="single"/>
        </w:rPr>
        <w:t xml:space="preserve"> </w:t>
      </w:r>
      <w:r w:rsidR="001C7681" w:rsidRPr="00E44C0B">
        <w:rPr>
          <w:rFonts w:cs="Arial"/>
          <w:b/>
          <w:bCs/>
          <w:sz w:val="22"/>
          <w:szCs w:val="22"/>
          <w:u w:val="single"/>
        </w:rPr>
        <w:fldChar w:fldCharType="begin"/>
      </w:r>
      <w:proofErr w:type="spellStart"/>
      <w:proofErr w:type="gramStart"/>
      <w:r w:rsidR="009D717B" w:rsidRPr="00E44C0B">
        <w:rPr>
          <w:rFonts w:cs="Arial"/>
          <w:b/>
          <w:bCs/>
          <w:sz w:val="22"/>
          <w:szCs w:val="22"/>
          <w:u w:val="single"/>
        </w:rPr>
        <w:instrText>tc</w:instrText>
      </w:r>
      <w:proofErr w:type="spellEnd"/>
      <w:proofErr w:type="gramEnd"/>
      <w:r w:rsidR="009D717B" w:rsidRPr="00E44C0B">
        <w:rPr>
          <w:rFonts w:cs="Arial"/>
          <w:b/>
          <w:bCs/>
          <w:sz w:val="22"/>
          <w:szCs w:val="22"/>
          <w:u w:val="single"/>
        </w:rPr>
        <w:instrText xml:space="preserve"> "</w:instrText>
      </w:r>
      <w:bookmarkStart w:id="33" w:name="_Toc261854925"/>
      <w:bookmarkStart w:id="34" w:name="_Toc293403066"/>
      <w:bookmarkStart w:id="35" w:name="_Toc336939806"/>
      <w:r w:rsidR="009D717B" w:rsidRPr="00E44C0B">
        <w:rPr>
          <w:rFonts w:cs="Arial"/>
          <w:b/>
          <w:bCs/>
          <w:sz w:val="22"/>
          <w:szCs w:val="22"/>
          <w:u w:val="single"/>
        </w:rPr>
        <w:instrText>7.</w:instrText>
      </w:r>
      <w:r w:rsidR="009D717B" w:rsidRPr="00E44C0B">
        <w:rPr>
          <w:rFonts w:cs="Arial"/>
          <w:b/>
          <w:bCs/>
          <w:sz w:val="22"/>
          <w:szCs w:val="22"/>
          <w:u w:val="single"/>
        </w:rPr>
        <w:tab/>
        <w:instrText>References</w:instrText>
      </w:r>
      <w:bookmarkEnd w:id="33"/>
      <w:bookmarkEnd w:id="34"/>
      <w:bookmarkEnd w:id="35"/>
      <w:r w:rsidR="009D717B" w:rsidRPr="00E44C0B">
        <w:rPr>
          <w:rFonts w:cs="Arial"/>
          <w:b/>
          <w:bCs/>
          <w:sz w:val="22"/>
          <w:szCs w:val="22"/>
          <w:u w:val="single"/>
        </w:rPr>
        <w:instrText xml:space="preserve"> " \l 2</w:instrText>
      </w:r>
      <w:r w:rsidR="001C7681" w:rsidRPr="00E44C0B">
        <w:rPr>
          <w:rFonts w:cs="Arial"/>
          <w:b/>
          <w:bCs/>
          <w:sz w:val="22"/>
          <w:szCs w:val="22"/>
          <w:u w:val="single"/>
        </w:rPr>
        <w:fldChar w:fldCharType="end"/>
      </w:r>
    </w:p>
    <w:p w:rsidR="00944E92" w:rsidRPr="009B5E75" w:rsidRDefault="00944E92" w:rsidP="00944E92">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sz w:val="22"/>
          <w:szCs w:val="22"/>
        </w:rPr>
      </w:pPr>
    </w:p>
    <w:p w:rsidR="00211229" w:rsidRDefault="00391FE3" w:rsidP="00A61136">
      <w:pPr>
        <w:numPr>
          <w:ilvl w:val="0"/>
          <w:numId w:val="46"/>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sz w:val="22"/>
          <w:szCs w:val="22"/>
        </w:rPr>
      </w:pPr>
      <w:r w:rsidRPr="009B5E75">
        <w:rPr>
          <w:rFonts w:cs="Arial"/>
          <w:sz w:val="22"/>
          <w:szCs w:val="22"/>
        </w:rPr>
        <w:t>NUREG/BR-0184</w:t>
      </w:r>
      <w:r w:rsidR="00944E92" w:rsidRPr="009B5E75">
        <w:rPr>
          <w:rFonts w:cs="Arial"/>
          <w:sz w:val="22"/>
          <w:szCs w:val="22"/>
        </w:rPr>
        <w:t xml:space="preserve">, </w:t>
      </w:r>
      <w:r>
        <w:rPr>
          <w:rFonts w:cs="Arial"/>
          <w:sz w:val="22"/>
          <w:szCs w:val="22"/>
        </w:rPr>
        <w:t>“</w:t>
      </w:r>
      <w:r w:rsidR="00944E92" w:rsidRPr="009B5E75">
        <w:rPr>
          <w:rFonts w:cs="Arial"/>
          <w:sz w:val="22"/>
          <w:szCs w:val="22"/>
        </w:rPr>
        <w:t>Regulatory Analysis Technical Evaluation Handbook, Final Report,</w:t>
      </w:r>
      <w:r>
        <w:rPr>
          <w:rFonts w:cs="Arial"/>
          <w:sz w:val="22"/>
          <w:szCs w:val="22"/>
        </w:rPr>
        <w:t>”</w:t>
      </w:r>
      <w:r w:rsidR="00944E92" w:rsidRPr="009B5E75">
        <w:rPr>
          <w:rFonts w:cs="Arial"/>
          <w:sz w:val="22"/>
          <w:szCs w:val="22"/>
        </w:rPr>
        <w:t xml:space="preserve"> </w:t>
      </w:r>
      <w:r w:rsidR="00BB597A">
        <w:rPr>
          <w:rFonts w:cs="Arial"/>
          <w:sz w:val="22"/>
          <w:szCs w:val="22"/>
        </w:rPr>
        <w:br/>
      </w:r>
      <w:r w:rsidR="00495502">
        <w:rPr>
          <w:rFonts w:cs="Arial"/>
          <w:sz w:val="22"/>
          <w:szCs w:val="22"/>
        </w:rPr>
        <w:t xml:space="preserve">U.S. Nuclear Regulatory Commission, Washington, DC, </w:t>
      </w:r>
      <w:r w:rsidR="00944E92" w:rsidRPr="009B5E75">
        <w:rPr>
          <w:rFonts w:cs="Arial"/>
          <w:sz w:val="22"/>
          <w:szCs w:val="22"/>
        </w:rPr>
        <w:t>January 1997</w:t>
      </w:r>
      <w:r w:rsidR="00775F70">
        <w:rPr>
          <w:rFonts w:cs="Arial"/>
          <w:sz w:val="22"/>
          <w:szCs w:val="22"/>
        </w:rPr>
        <w:t>.</w:t>
      </w:r>
    </w:p>
    <w:p w:rsidR="00211229" w:rsidRDefault="00211229" w:rsidP="00A61136">
      <w:pPr>
        <w:tabs>
          <w:tab w:val="left" w:pos="-1152"/>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Arial"/>
          <w:sz w:val="22"/>
          <w:szCs w:val="22"/>
        </w:rPr>
      </w:pPr>
    </w:p>
    <w:p w:rsidR="00211229" w:rsidRDefault="00CE18DC" w:rsidP="00A61136">
      <w:pPr>
        <w:numPr>
          <w:ilvl w:val="0"/>
          <w:numId w:val="45"/>
        </w:numPr>
        <w:tabs>
          <w:tab w:val="left" w:pos="-1152"/>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sz w:val="22"/>
          <w:szCs w:val="22"/>
        </w:rPr>
      </w:pPr>
      <w:r w:rsidRPr="009B5E75">
        <w:rPr>
          <w:rFonts w:cs="Arial"/>
          <w:sz w:val="22"/>
          <w:szCs w:val="22"/>
        </w:rPr>
        <w:t xml:space="preserve">NUREG/BR-0058, </w:t>
      </w:r>
      <w:r w:rsidR="00391FE3">
        <w:rPr>
          <w:rFonts w:cs="Arial"/>
          <w:sz w:val="22"/>
          <w:szCs w:val="22"/>
        </w:rPr>
        <w:t>“</w:t>
      </w:r>
      <w:r w:rsidRPr="009B5E75">
        <w:rPr>
          <w:rFonts w:cs="Arial"/>
          <w:sz w:val="22"/>
          <w:szCs w:val="22"/>
        </w:rPr>
        <w:t>Regulatory Analysis Guidelines of the U.S. Nuclear Regulatory Commission,</w:t>
      </w:r>
      <w:r w:rsidR="00391FE3">
        <w:rPr>
          <w:rFonts w:cs="Arial"/>
          <w:sz w:val="22"/>
          <w:szCs w:val="22"/>
        </w:rPr>
        <w:t xml:space="preserve">” Revision 4, </w:t>
      </w:r>
      <w:r w:rsidR="00495502">
        <w:rPr>
          <w:rFonts w:cs="Arial"/>
          <w:sz w:val="22"/>
          <w:szCs w:val="22"/>
        </w:rPr>
        <w:t xml:space="preserve">U.S. Nuclear Regulatory Commission, Washington, DC, </w:t>
      </w:r>
      <w:r w:rsidRPr="009B5E75">
        <w:rPr>
          <w:rFonts w:cs="Arial"/>
          <w:sz w:val="22"/>
          <w:szCs w:val="22"/>
        </w:rPr>
        <w:t>September 2004.</w:t>
      </w:r>
    </w:p>
    <w:p w:rsidR="00B67411" w:rsidRDefault="00B67411" w:rsidP="00A61136">
      <w:pPr>
        <w:tabs>
          <w:tab w:val="left" w:pos="-1152"/>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Arial"/>
          <w:sz w:val="22"/>
          <w:szCs w:val="22"/>
        </w:rPr>
      </w:pPr>
    </w:p>
    <w:p w:rsidR="006C2209" w:rsidRDefault="006C2209" w:rsidP="00A61136">
      <w:pPr>
        <w:numPr>
          <w:ilvl w:val="0"/>
          <w:numId w:val="45"/>
        </w:numPr>
        <w:tabs>
          <w:tab w:val="left" w:pos="-1152"/>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sz w:val="22"/>
          <w:szCs w:val="22"/>
        </w:rPr>
      </w:pPr>
      <w:r w:rsidRPr="001E246A">
        <w:rPr>
          <w:rFonts w:cs="Arial"/>
          <w:color w:val="000000"/>
          <w:sz w:val="22"/>
          <w:szCs w:val="22"/>
        </w:rPr>
        <w:t xml:space="preserve">SECY-08-0059, </w:t>
      </w:r>
      <w:r w:rsidR="001E246A" w:rsidRPr="001E246A">
        <w:rPr>
          <w:rFonts w:cs="Arial"/>
          <w:sz w:val="22"/>
          <w:szCs w:val="22"/>
        </w:rPr>
        <w:t>Rulemaking Pl</w:t>
      </w:r>
      <w:r w:rsidR="001E246A">
        <w:rPr>
          <w:rFonts w:cs="Arial"/>
          <w:sz w:val="22"/>
          <w:szCs w:val="22"/>
        </w:rPr>
        <w:t xml:space="preserve">an: </w:t>
      </w:r>
      <w:r w:rsidR="004718D1">
        <w:rPr>
          <w:rFonts w:cs="Arial"/>
          <w:sz w:val="22"/>
          <w:szCs w:val="22"/>
        </w:rPr>
        <w:t xml:space="preserve"> </w:t>
      </w:r>
      <w:r w:rsidR="001B0DBD">
        <w:rPr>
          <w:rFonts w:cs="Arial"/>
          <w:sz w:val="22"/>
          <w:szCs w:val="22"/>
        </w:rPr>
        <w:t>part</w:t>
      </w:r>
      <w:r w:rsidR="001E246A">
        <w:rPr>
          <w:rFonts w:cs="Arial"/>
          <w:sz w:val="22"/>
          <w:szCs w:val="22"/>
        </w:rPr>
        <w:t xml:space="preserve"> 74 - Material Control a</w:t>
      </w:r>
      <w:r w:rsidR="001E246A" w:rsidRPr="001E246A">
        <w:rPr>
          <w:rFonts w:cs="Arial"/>
          <w:sz w:val="22"/>
          <w:szCs w:val="22"/>
        </w:rPr>
        <w:t xml:space="preserve">nd Accounting </w:t>
      </w:r>
      <w:r w:rsidR="001E246A">
        <w:rPr>
          <w:rFonts w:cs="Arial"/>
          <w:sz w:val="22"/>
          <w:szCs w:val="22"/>
        </w:rPr>
        <w:t>o</w:t>
      </w:r>
      <w:r w:rsidR="001E246A" w:rsidRPr="001E246A">
        <w:rPr>
          <w:rFonts w:cs="Arial"/>
          <w:sz w:val="22"/>
          <w:szCs w:val="22"/>
        </w:rPr>
        <w:t>f Special Nuclear Material</w:t>
      </w:r>
      <w:r w:rsidR="001E246A">
        <w:rPr>
          <w:rFonts w:cs="Arial"/>
          <w:sz w:val="22"/>
          <w:szCs w:val="22"/>
        </w:rPr>
        <w:t>, April 25, 2008.</w:t>
      </w:r>
    </w:p>
    <w:p w:rsidR="00844BBB" w:rsidRDefault="00844BBB" w:rsidP="00844BBB">
      <w:pPr>
        <w:pStyle w:val="ListParagraph"/>
        <w:rPr>
          <w:rFonts w:cs="Arial"/>
          <w:sz w:val="22"/>
          <w:szCs w:val="22"/>
        </w:rPr>
      </w:pPr>
    </w:p>
    <w:p w:rsidR="00844BBB" w:rsidRDefault="00844BBB" w:rsidP="00A61136">
      <w:pPr>
        <w:numPr>
          <w:ilvl w:val="0"/>
          <w:numId w:val="45"/>
        </w:numPr>
        <w:tabs>
          <w:tab w:val="left" w:pos="-1152"/>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sz w:val="22"/>
          <w:szCs w:val="22"/>
        </w:rPr>
      </w:pPr>
      <w:r w:rsidRPr="00AF156B">
        <w:rPr>
          <w:rFonts w:cs="Arial"/>
          <w:sz w:val="22"/>
          <w:szCs w:val="22"/>
        </w:rPr>
        <w:t xml:space="preserve">NUREG/CR-4627, </w:t>
      </w:r>
      <w:r w:rsidR="004C39A4">
        <w:rPr>
          <w:rFonts w:cs="Arial"/>
          <w:sz w:val="22"/>
          <w:szCs w:val="22"/>
        </w:rPr>
        <w:t>“</w:t>
      </w:r>
      <w:r w:rsidRPr="00AF156B">
        <w:rPr>
          <w:rFonts w:cs="Arial"/>
          <w:sz w:val="22"/>
          <w:szCs w:val="22"/>
        </w:rPr>
        <w:t>Generic Cost Estimates</w:t>
      </w:r>
      <w:r>
        <w:rPr>
          <w:rFonts w:cs="Arial"/>
          <w:sz w:val="22"/>
          <w:szCs w:val="22"/>
        </w:rPr>
        <w:t>, Abstracts from Generic Studies for Use in Preparing Regulatory Impact Analyses</w:t>
      </w:r>
      <w:r w:rsidRPr="00AF156B">
        <w:rPr>
          <w:rFonts w:cs="Arial"/>
          <w:sz w:val="22"/>
          <w:szCs w:val="22"/>
        </w:rPr>
        <w:t>.</w:t>
      </w:r>
      <w:r w:rsidR="004C39A4">
        <w:rPr>
          <w:rFonts w:cs="Arial"/>
          <w:sz w:val="22"/>
          <w:szCs w:val="22"/>
        </w:rPr>
        <w:t>”</w:t>
      </w:r>
    </w:p>
    <w:p w:rsidR="00844BBB" w:rsidRDefault="00844BBB" w:rsidP="00844BBB">
      <w:pPr>
        <w:pStyle w:val="ListParagraph"/>
        <w:rPr>
          <w:rFonts w:cs="Arial"/>
          <w:sz w:val="22"/>
          <w:szCs w:val="22"/>
        </w:rPr>
      </w:pPr>
    </w:p>
    <w:p w:rsidR="00844BBB" w:rsidRPr="00844BBB" w:rsidRDefault="00844BBB" w:rsidP="00844BBB">
      <w:pPr>
        <w:pStyle w:val="ListParagraph"/>
        <w:widowControl w:val="0"/>
        <w:numPr>
          <w:ilvl w:val="0"/>
          <w:numId w:val="48"/>
        </w:numPr>
        <w:ind w:left="360"/>
        <w:contextualSpacing/>
      </w:pPr>
      <w:r w:rsidRPr="00B65C39">
        <w:rPr>
          <w:rFonts w:cs="Arial"/>
          <w:sz w:val="22"/>
          <w:szCs w:val="22"/>
        </w:rPr>
        <w:t>OMB Circular No. A-4, September, 17, 2003</w:t>
      </w:r>
      <w:r>
        <w:rPr>
          <w:rFonts w:cs="Arial"/>
          <w:sz w:val="22"/>
          <w:szCs w:val="22"/>
        </w:rPr>
        <w:t>.</w:t>
      </w:r>
    </w:p>
    <w:p w:rsidR="00844BBB" w:rsidRPr="00844BBB" w:rsidRDefault="00844BBB" w:rsidP="00844BBB">
      <w:pPr>
        <w:pStyle w:val="ListParagraph"/>
        <w:widowControl w:val="0"/>
        <w:ind w:left="360"/>
        <w:contextualSpacing/>
      </w:pPr>
    </w:p>
    <w:p w:rsidR="00844BBB" w:rsidRPr="00844BBB" w:rsidRDefault="00844BBB" w:rsidP="00844BBB">
      <w:pPr>
        <w:pStyle w:val="ListParagraph"/>
        <w:widowControl w:val="0"/>
        <w:numPr>
          <w:ilvl w:val="0"/>
          <w:numId w:val="48"/>
        </w:numPr>
        <w:ind w:left="360"/>
        <w:contextualSpacing/>
      </w:pPr>
      <w:r w:rsidRPr="009D5761">
        <w:rPr>
          <w:rFonts w:cs="Arial"/>
          <w:sz w:val="22"/>
          <w:szCs w:val="22"/>
        </w:rPr>
        <w:t>De</w:t>
      </w:r>
      <w:r w:rsidR="003B30DC">
        <w:rPr>
          <w:rFonts w:cs="Arial"/>
          <w:sz w:val="22"/>
          <w:szCs w:val="22"/>
        </w:rPr>
        <w:t>part</w:t>
      </w:r>
      <w:r w:rsidRPr="009D5761">
        <w:rPr>
          <w:rFonts w:cs="Arial"/>
          <w:sz w:val="22"/>
          <w:szCs w:val="22"/>
        </w:rPr>
        <w:t xml:space="preserve">ment of Labor (U.S.), Bureau of Labor Statistics.  Occupational Employment Statistics, </w:t>
      </w:r>
      <w:r w:rsidRPr="009D5761">
        <w:rPr>
          <w:rFonts w:cs="Arial"/>
          <w:kern w:val="36"/>
          <w:sz w:val="22"/>
          <w:szCs w:val="22"/>
        </w:rPr>
        <w:t>Occupationa</w:t>
      </w:r>
      <w:r w:rsidRPr="009D5761">
        <w:rPr>
          <w:kern w:val="36"/>
        </w:rPr>
        <w:t xml:space="preserve">l </w:t>
      </w:r>
      <w:r w:rsidRPr="00847B92">
        <w:rPr>
          <w:rFonts w:cs="Arial"/>
          <w:kern w:val="36"/>
          <w:sz w:val="22"/>
          <w:szCs w:val="22"/>
        </w:rPr>
        <w:t>Employment and Wages</w:t>
      </w:r>
      <w:r w:rsidRPr="009D5761">
        <w:rPr>
          <w:kern w:val="36"/>
        </w:rPr>
        <w:t>.</w:t>
      </w:r>
    </w:p>
    <w:p w:rsidR="00211229" w:rsidRDefault="00211229" w:rsidP="00A61136">
      <w:pPr>
        <w:ind w:left="-720"/>
        <w:rPr>
          <w:rFonts w:cs="Arial"/>
          <w:sz w:val="22"/>
          <w:szCs w:val="22"/>
        </w:rPr>
      </w:pPr>
    </w:p>
    <w:sectPr w:rsidR="00211229" w:rsidSect="004D6B1C">
      <w:headerReference w:type="default" r:id="rId28"/>
      <w:pgSz w:w="12240" w:h="15840"/>
      <w:pgMar w:top="2074"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36" w:rsidRDefault="00CE3F36">
      <w:r>
        <w:separator/>
      </w:r>
    </w:p>
  </w:endnote>
  <w:endnote w:type="continuationSeparator" w:id="0">
    <w:p w:rsidR="00CE3F36" w:rsidRDefault="00CE3F36">
      <w:r>
        <w:continuationSeparator/>
      </w:r>
    </w:p>
  </w:endnote>
  <w:endnote w:type="continuationNotice" w:id="1">
    <w:p w:rsidR="00CE3F36" w:rsidRDefault="00CE3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36" w:rsidRDefault="00CE3F36">
    <w:pPr>
      <w:jc w:val="center"/>
      <w:rPr>
        <w:i/>
        <w:iCs/>
        <w:sz w:val="24"/>
        <w:szCs w:val="24"/>
      </w:rPr>
    </w:pPr>
    <w:r>
      <w:rPr>
        <w:i/>
        <w:iCs/>
        <w:sz w:val="24"/>
        <w:szCs w:val="24"/>
      </w:rPr>
      <w:t xml:space="preserve">Page </w:t>
    </w:r>
    <w:r>
      <w:rPr>
        <w:i/>
        <w:iCs/>
        <w:sz w:val="24"/>
        <w:szCs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36" w:rsidRDefault="00CE3F36">
    <w:pPr>
      <w:spacing w:line="12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36" w:rsidRDefault="00CE3F36">
    <w:pPr>
      <w:spacing w:line="12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36" w:rsidRDefault="00CE3F36">
      <w:r>
        <w:separator/>
      </w:r>
    </w:p>
  </w:footnote>
  <w:footnote w:type="continuationSeparator" w:id="0">
    <w:p w:rsidR="00CE3F36" w:rsidRDefault="00CE3F36">
      <w:r>
        <w:continuationSeparator/>
      </w:r>
    </w:p>
  </w:footnote>
  <w:footnote w:type="continuationNotice" w:id="1">
    <w:p w:rsidR="00CE3F36" w:rsidRDefault="00CE3F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36" w:rsidRDefault="00CE3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36" w:rsidRDefault="00CE3F36">
    <w:pPr>
      <w:tabs>
        <w:tab w:val="right" w:pos="9360"/>
      </w:tabs>
    </w:pPr>
    <w:r>
      <w:rPr>
        <w:i/>
        <w:iCs/>
      </w:rPr>
      <w:t>Draft Regulatory Analysis</w:t>
    </w:r>
    <w:r>
      <w:rPr>
        <w:i/>
        <w:iCs/>
      </w:rPr>
      <w:tab/>
      <w:t xml:space="preserve">Page </w:t>
    </w:r>
    <w:r>
      <w:rPr>
        <w:i/>
        <w:iCs/>
      </w:rPr>
      <w:pgNum/>
    </w:r>
  </w:p>
  <w:p w:rsidR="00CE3F36" w:rsidRDefault="00E417F9">
    <w:pPr>
      <w:spacing w:line="2" w:lineRule="exact"/>
      <w:rPr>
        <w:sz w:val="22"/>
        <w:szCs w:val="22"/>
      </w:rPr>
    </w:pPr>
    <w:r>
      <w:rPr>
        <w:noProof/>
      </w:rPr>
      <mc:AlternateContent>
        <mc:Choice Requires="wps">
          <w:drawing>
            <wp:anchor distT="4294967295" distB="4294967295" distL="114299" distR="114299" simplePos="0" relativeHeight="251655168" behindDoc="0" locked="0" layoutInCell="0" allowOverlap="1" wp14:anchorId="39EA3E68" wp14:editId="6A68DE17">
              <wp:simplePos x="0" y="0"/>
              <wp:positionH relativeFrom="margin">
                <wp:posOffset>-1</wp:posOffset>
              </wp:positionH>
              <wp:positionV relativeFrom="paragraph">
                <wp:posOffset>-1</wp:posOffset>
              </wp:positionV>
              <wp:extent cx="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516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iFQ3wQ4CAAAj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56192" behindDoc="0" locked="0" layoutInCell="0" allowOverlap="1" wp14:anchorId="541D0F0A" wp14:editId="79D6E80B">
              <wp:simplePos x="0" y="0"/>
              <wp:positionH relativeFrom="margin">
                <wp:posOffset>0</wp:posOffset>
              </wp:positionH>
              <wp:positionV relativeFrom="paragraph">
                <wp:posOffset>5714</wp:posOffset>
              </wp:positionV>
              <wp:extent cx="59436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lYFQ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2HOpWBUC&#10;AAAp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rsidR="00CE3F36" w:rsidRDefault="00CE3F36">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36" w:rsidRDefault="00CE3F36">
    <w:pPr>
      <w:tabs>
        <w:tab w:val="right" w:pos="9360"/>
      </w:tabs>
    </w:pPr>
    <w:r>
      <w:rPr>
        <w:i/>
        <w:iCs/>
      </w:rPr>
      <w:t>Draft Regulatory Analysis</w:t>
    </w:r>
    <w:r>
      <w:rPr>
        <w:i/>
        <w:iCs/>
      </w:rPr>
      <w:tab/>
      <w:t xml:space="preserve">Page </w:t>
    </w:r>
    <w:r>
      <w:rPr>
        <w:i/>
        <w:iCs/>
      </w:rPr>
      <w:pgNum/>
    </w:r>
  </w:p>
  <w:p w:rsidR="00CE3F36" w:rsidRDefault="00E417F9">
    <w:pPr>
      <w:spacing w:line="2" w:lineRule="exact"/>
      <w:rPr>
        <w:sz w:val="22"/>
        <w:szCs w:val="22"/>
      </w:rPr>
    </w:pPr>
    <w:r>
      <w:rPr>
        <w:noProof/>
      </w:rPr>
      <mc:AlternateContent>
        <mc:Choice Requires="wps">
          <w:drawing>
            <wp:anchor distT="4294967295" distB="4294967295" distL="114299" distR="114299" simplePos="0" relativeHeight="251657216" behindDoc="0" locked="0" layoutInCell="0" allowOverlap="1" wp14:anchorId="13C5C0D1" wp14:editId="2482C541">
              <wp:simplePos x="0" y="0"/>
              <wp:positionH relativeFrom="margin">
                <wp:posOffset>-1</wp:posOffset>
              </wp:positionH>
              <wp:positionV relativeFrom="paragraph">
                <wp:posOffset>-1</wp:posOffset>
              </wp:positionV>
              <wp:extent cx="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LrCVCc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58240" behindDoc="0" locked="0" layoutInCell="0" allowOverlap="1" wp14:anchorId="47D61259" wp14:editId="7A8AC1F6">
              <wp:simplePos x="0" y="0"/>
              <wp:positionH relativeFrom="margin">
                <wp:posOffset>0</wp:posOffset>
              </wp:positionH>
              <wp:positionV relativeFrom="paragraph">
                <wp:posOffset>5714</wp:posOffset>
              </wp:positionV>
              <wp:extent cx="59436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FWYFAIAACk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D89FWYFAIA&#10;ACk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rsidR="00CE3F36" w:rsidRDefault="00CE3F36">
    <w:pPr>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36" w:rsidRDefault="00CE3F36">
    <w:pPr>
      <w:tabs>
        <w:tab w:val="right" w:pos="9360"/>
      </w:tabs>
    </w:pPr>
    <w:r>
      <w:rPr>
        <w:i/>
        <w:iCs/>
      </w:rPr>
      <w:t>Draft Regulatory Analysis</w:t>
    </w:r>
    <w:r>
      <w:rPr>
        <w:i/>
        <w:iCs/>
      </w:rPr>
      <w:tab/>
      <w:t xml:space="preserve">Page </w:t>
    </w:r>
    <w:r>
      <w:rPr>
        <w:i/>
        <w:iCs/>
      </w:rPr>
      <w:pgNum/>
    </w:r>
  </w:p>
  <w:p w:rsidR="00CE3F36" w:rsidRDefault="00E417F9">
    <w:pPr>
      <w:spacing w:line="2" w:lineRule="exact"/>
      <w:rPr>
        <w:sz w:val="22"/>
        <w:szCs w:val="22"/>
      </w:rPr>
    </w:pPr>
    <w:r>
      <w:rPr>
        <w:noProof/>
      </w:rPr>
      <mc:AlternateContent>
        <mc:Choice Requires="wps">
          <w:drawing>
            <wp:anchor distT="4294967295" distB="4294967295" distL="114299" distR="114299" simplePos="0" relativeHeight="251659264" behindDoc="0" locked="0" layoutInCell="0" allowOverlap="1">
              <wp:simplePos x="0" y="0"/>
              <wp:positionH relativeFrom="margin">
                <wp:posOffset>-1</wp:posOffset>
              </wp:positionH>
              <wp:positionV relativeFrom="paragraph">
                <wp:posOffset>-1</wp:posOffset>
              </wp:positionV>
              <wp:extent cx="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zjDQIAACMEAAAOAAAAZHJzL2Uyb0RvYy54bWysU02P2yAQvVfqf0DcE380my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5tkyjxVOS8HCbchz9rCvpEUnEpwC1kqjOQDtLs3qo2IRreWEba6xJ0IOMeRLFfCgC+BzjQYr/Fim&#10;y81is5hNZvl8M5mldT35tK1mk/k2+/hQf6irqs5+BmrZrGgFY1wFdqMts9nfyX59IIOhbsa8zSG5&#10;R48DA7LjN5KOMgblBg/sNbvs7CgvODEmX19NsPrbPcRv3/b6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yXuzj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60288" behindDoc="0" locked="0" layoutInCell="0" allowOverlap="1">
              <wp:simplePos x="0" y="0"/>
              <wp:positionH relativeFrom="margin">
                <wp:posOffset>0</wp:posOffset>
              </wp:positionH>
              <wp:positionV relativeFrom="paragraph">
                <wp:posOffset>5714</wp:posOffset>
              </wp:positionV>
              <wp:extent cx="59436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40FAIAACk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BT9540FAIA&#10;ACk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rsidR="00CE3F36" w:rsidRDefault="00CE3F36">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2AD91E"/>
    <w:lvl w:ilvl="0">
      <w:numFmt w:val="bullet"/>
      <w:lvlText w:val="*"/>
      <w:lvlJc w:val="left"/>
    </w:lvl>
  </w:abstractNum>
  <w:abstractNum w:abstractNumId="1">
    <w:nsid w:val="001B4A62"/>
    <w:multiLevelType w:val="hybridMultilevel"/>
    <w:tmpl w:val="8F60DE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026923A8"/>
    <w:multiLevelType w:val="hybridMultilevel"/>
    <w:tmpl w:val="08A8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E0378"/>
    <w:multiLevelType w:val="hybridMultilevel"/>
    <w:tmpl w:val="89E23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E17DF1"/>
    <w:multiLevelType w:val="hybridMultilevel"/>
    <w:tmpl w:val="B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21CF5"/>
    <w:multiLevelType w:val="hybridMultilevel"/>
    <w:tmpl w:val="3110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314F3"/>
    <w:multiLevelType w:val="multilevel"/>
    <w:tmpl w:val="83CA72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DD36908"/>
    <w:multiLevelType w:val="hybridMultilevel"/>
    <w:tmpl w:val="FC9CAC2E"/>
    <w:lvl w:ilvl="0" w:tplc="60EE1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011F2"/>
    <w:multiLevelType w:val="hybridMultilevel"/>
    <w:tmpl w:val="6C3E28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14D0ABB"/>
    <w:multiLevelType w:val="hybridMultilevel"/>
    <w:tmpl w:val="D0CCAF36"/>
    <w:lvl w:ilvl="0" w:tplc="F6A83F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791593"/>
    <w:multiLevelType w:val="hybridMultilevel"/>
    <w:tmpl w:val="CA6C311C"/>
    <w:lvl w:ilvl="0" w:tplc="75082DD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C66693"/>
    <w:multiLevelType w:val="hybridMultilevel"/>
    <w:tmpl w:val="AABC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2B68D7"/>
    <w:multiLevelType w:val="hybridMultilevel"/>
    <w:tmpl w:val="849272B2"/>
    <w:lvl w:ilvl="0" w:tplc="532AD91E">
      <w:start w:val="1"/>
      <w:numFmt w:val="bullet"/>
      <w:lvlText w:val="•"/>
      <w:legacy w:legacy="1" w:legacySpace="0" w:legacyIndent="1"/>
      <w:lvlJc w:val="left"/>
      <w:pPr>
        <w:ind w:left="1" w:hanging="1"/>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C1191"/>
    <w:multiLevelType w:val="hybridMultilevel"/>
    <w:tmpl w:val="AEF8E690"/>
    <w:lvl w:ilvl="0" w:tplc="9F2E1302">
      <w:start w:val="1"/>
      <w:numFmt w:val="bullet"/>
      <w:pStyle w:val="StyleBulle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nsid w:val="37475AD5"/>
    <w:multiLevelType w:val="hybridMultilevel"/>
    <w:tmpl w:val="8BB0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824A8"/>
    <w:multiLevelType w:val="hybridMultilevel"/>
    <w:tmpl w:val="F5D4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90611"/>
    <w:multiLevelType w:val="hybridMultilevel"/>
    <w:tmpl w:val="9C0275A8"/>
    <w:lvl w:ilvl="0" w:tplc="D626124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A501EC"/>
    <w:multiLevelType w:val="hybridMultilevel"/>
    <w:tmpl w:val="E13E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2173B8"/>
    <w:multiLevelType w:val="hybridMultilevel"/>
    <w:tmpl w:val="83CA72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0E379A3"/>
    <w:multiLevelType w:val="hybridMultilevel"/>
    <w:tmpl w:val="D82C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B07485"/>
    <w:multiLevelType w:val="hybridMultilevel"/>
    <w:tmpl w:val="B98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56EA9"/>
    <w:multiLevelType w:val="multilevel"/>
    <w:tmpl w:val="B1C6A91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nsid w:val="458E1972"/>
    <w:multiLevelType w:val="hybridMultilevel"/>
    <w:tmpl w:val="2750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872ED"/>
    <w:multiLevelType w:val="hybridMultilevel"/>
    <w:tmpl w:val="5D8C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982CFE"/>
    <w:multiLevelType w:val="hybridMultilevel"/>
    <w:tmpl w:val="B08A5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657DD9"/>
    <w:multiLevelType w:val="hybridMultilevel"/>
    <w:tmpl w:val="6E8A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74919"/>
    <w:multiLevelType w:val="hybridMultilevel"/>
    <w:tmpl w:val="1AFEEDC0"/>
    <w:lvl w:ilvl="0" w:tplc="4836A3BE">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A0227C"/>
    <w:multiLevelType w:val="multilevel"/>
    <w:tmpl w:val="83CA72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2486743"/>
    <w:multiLevelType w:val="hybridMultilevel"/>
    <w:tmpl w:val="80360224"/>
    <w:lvl w:ilvl="0" w:tplc="532AD91E">
      <w:start w:val="1"/>
      <w:numFmt w:val="bullet"/>
      <w:lvlText w:val="•"/>
      <w:legacy w:legacy="1" w:legacySpace="0" w:legacyIndent="1"/>
      <w:lvlJc w:val="left"/>
      <w:pPr>
        <w:ind w:left="721" w:hanging="1"/>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F972F9"/>
    <w:multiLevelType w:val="hybridMultilevel"/>
    <w:tmpl w:val="32625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3C91560"/>
    <w:multiLevelType w:val="hybridMultilevel"/>
    <w:tmpl w:val="8D7A03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6A9555A"/>
    <w:multiLevelType w:val="hybridMultilevel"/>
    <w:tmpl w:val="5DDC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416B4A"/>
    <w:multiLevelType w:val="hybridMultilevel"/>
    <w:tmpl w:val="86C4A90E"/>
    <w:lvl w:ilvl="0" w:tplc="9F2E130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3">
    <w:nsid w:val="5D6A6C2E"/>
    <w:multiLevelType w:val="hybridMultilevel"/>
    <w:tmpl w:val="ED7EB8E6"/>
    <w:lvl w:ilvl="0" w:tplc="532AD91E">
      <w:start w:val="1"/>
      <w:numFmt w:val="bullet"/>
      <w:lvlText w:val="•"/>
      <w:legacy w:legacy="1" w:legacySpace="0" w:legacyIndent="1"/>
      <w:lvlJc w:val="left"/>
      <w:pPr>
        <w:ind w:left="1" w:hanging="1"/>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E229A0"/>
    <w:multiLevelType w:val="hybridMultilevel"/>
    <w:tmpl w:val="690459F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64A130B9"/>
    <w:multiLevelType w:val="hybridMultilevel"/>
    <w:tmpl w:val="E80EEE22"/>
    <w:lvl w:ilvl="0" w:tplc="A9BAED5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nsid w:val="67893E50"/>
    <w:multiLevelType w:val="multilevel"/>
    <w:tmpl w:val="E27ADCB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6981348B"/>
    <w:multiLevelType w:val="hybridMultilevel"/>
    <w:tmpl w:val="D864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C7232E"/>
    <w:multiLevelType w:val="multilevel"/>
    <w:tmpl w:val="B1C6A91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9">
    <w:nsid w:val="6B0A3CFE"/>
    <w:multiLevelType w:val="hybridMultilevel"/>
    <w:tmpl w:val="A2B0E76E"/>
    <w:lvl w:ilvl="0" w:tplc="B8E6D8B4">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nsid w:val="6B573C86"/>
    <w:multiLevelType w:val="hybridMultilevel"/>
    <w:tmpl w:val="4C188AFE"/>
    <w:lvl w:ilvl="0" w:tplc="9F2E130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1">
    <w:nsid w:val="708F5FE3"/>
    <w:multiLevelType w:val="hybridMultilevel"/>
    <w:tmpl w:val="C3BA650E"/>
    <w:lvl w:ilvl="0" w:tplc="A9BAED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1D7093"/>
    <w:multiLevelType w:val="hybridMultilevel"/>
    <w:tmpl w:val="23E6B3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4524C5B"/>
    <w:multiLevelType w:val="hybridMultilevel"/>
    <w:tmpl w:val="EF52C0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6A017F"/>
    <w:multiLevelType w:val="hybridMultilevel"/>
    <w:tmpl w:val="238867DE"/>
    <w:lvl w:ilvl="0" w:tplc="4836A3B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684C54"/>
    <w:multiLevelType w:val="hybridMultilevel"/>
    <w:tmpl w:val="C9DC8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38"/>
  </w:num>
  <w:num w:numId="3">
    <w:abstractNumId w:val="21"/>
  </w:num>
  <w:num w:numId="4">
    <w:abstractNumId w:val="34"/>
  </w:num>
  <w:num w:numId="5">
    <w:abstractNumId w:val="45"/>
  </w:num>
  <w:num w:numId="6">
    <w:abstractNumId w:val="18"/>
  </w:num>
  <w:num w:numId="7">
    <w:abstractNumId w:val="16"/>
  </w:num>
  <w:num w:numId="8">
    <w:abstractNumId w:val="6"/>
  </w:num>
  <w:num w:numId="9">
    <w:abstractNumId w:val="27"/>
  </w:num>
  <w:num w:numId="10">
    <w:abstractNumId w:val="10"/>
  </w:num>
  <w:num w:numId="11">
    <w:abstractNumId w:val="3"/>
  </w:num>
  <w:num w:numId="12">
    <w:abstractNumId w:val="8"/>
  </w:num>
  <w:num w:numId="13">
    <w:abstractNumId w:val="36"/>
  </w:num>
  <w:num w:numId="14">
    <w:abstractNumId w:val="35"/>
  </w:num>
  <w:num w:numId="15">
    <w:abstractNumId w:val="41"/>
  </w:num>
  <w:num w:numId="16">
    <w:abstractNumId w:val="39"/>
  </w:num>
  <w:num w:numId="17">
    <w:abstractNumId w:val="30"/>
  </w:num>
  <w:num w:numId="18">
    <w:abstractNumId w:val="42"/>
  </w:num>
  <w:num w:numId="19">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0">
    <w:abstractNumId w:val="33"/>
  </w:num>
  <w:num w:numId="21">
    <w:abstractNumId w:val="28"/>
  </w:num>
  <w:num w:numId="22">
    <w:abstractNumId w:val="12"/>
  </w:num>
  <w:num w:numId="23">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4">
    <w:abstractNumId w:val="20"/>
  </w:num>
  <w:num w:numId="25">
    <w:abstractNumId w:val="22"/>
  </w:num>
  <w:num w:numId="26">
    <w:abstractNumId w:val="13"/>
  </w:num>
  <w:num w:numId="27">
    <w:abstractNumId w:val="7"/>
  </w:num>
  <w:num w:numId="28">
    <w:abstractNumId w:val="9"/>
  </w:num>
  <w:num w:numId="29">
    <w:abstractNumId w:val="5"/>
  </w:num>
  <w:num w:numId="30">
    <w:abstractNumId w:val="44"/>
  </w:num>
  <w:num w:numId="31">
    <w:abstractNumId w:val="26"/>
  </w:num>
  <w:num w:numId="32">
    <w:abstractNumId w:val="1"/>
  </w:num>
  <w:num w:numId="33">
    <w:abstractNumId w:val="29"/>
  </w:num>
  <w:num w:numId="34">
    <w:abstractNumId w:val="2"/>
  </w:num>
  <w:num w:numId="35">
    <w:abstractNumId w:val="17"/>
  </w:num>
  <w:num w:numId="36">
    <w:abstractNumId w:val="11"/>
  </w:num>
  <w:num w:numId="37">
    <w:abstractNumId w:val="23"/>
  </w:num>
  <w:num w:numId="38">
    <w:abstractNumId w:val="14"/>
  </w:num>
  <w:num w:numId="39">
    <w:abstractNumId w:val="43"/>
  </w:num>
  <w:num w:numId="40">
    <w:abstractNumId w:val="15"/>
  </w:num>
  <w:num w:numId="41">
    <w:abstractNumId w:val="32"/>
  </w:num>
  <w:num w:numId="42">
    <w:abstractNumId w:val="40"/>
  </w:num>
  <w:num w:numId="43">
    <w:abstractNumId w:val="19"/>
  </w:num>
  <w:num w:numId="44">
    <w:abstractNumId w:val="4"/>
  </w:num>
  <w:num w:numId="45">
    <w:abstractNumId w:val="31"/>
  </w:num>
  <w:num w:numId="46">
    <w:abstractNumId w:val="25"/>
  </w:num>
  <w:num w:numId="47">
    <w:abstractNumId w:val="2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9C"/>
    <w:rsid w:val="00001116"/>
    <w:rsid w:val="00002301"/>
    <w:rsid w:val="000024A6"/>
    <w:rsid w:val="00003AF9"/>
    <w:rsid w:val="0000504C"/>
    <w:rsid w:val="00005183"/>
    <w:rsid w:val="000062D5"/>
    <w:rsid w:val="00010254"/>
    <w:rsid w:val="0001064C"/>
    <w:rsid w:val="000118FC"/>
    <w:rsid w:val="00012408"/>
    <w:rsid w:val="00013B8C"/>
    <w:rsid w:val="00013B91"/>
    <w:rsid w:val="000141A8"/>
    <w:rsid w:val="000147A7"/>
    <w:rsid w:val="00015451"/>
    <w:rsid w:val="00017F05"/>
    <w:rsid w:val="00020080"/>
    <w:rsid w:val="000202E0"/>
    <w:rsid w:val="00021C1D"/>
    <w:rsid w:val="00023C61"/>
    <w:rsid w:val="00024F10"/>
    <w:rsid w:val="00025065"/>
    <w:rsid w:val="00026771"/>
    <w:rsid w:val="00027828"/>
    <w:rsid w:val="00032787"/>
    <w:rsid w:val="000331AB"/>
    <w:rsid w:val="0003507A"/>
    <w:rsid w:val="00035809"/>
    <w:rsid w:val="00036CE4"/>
    <w:rsid w:val="00037EC6"/>
    <w:rsid w:val="0004021F"/>
    <w:rsid w:val="000417F8"/>
    <w:rsid w:val="00042049"/>
    <w:rsid w:val="00043B88"/>
    <w:rsid w:val="00043DA7"/>
    <w:rsid w:val="000450F2"/>
    <w:rsid w:val="00047091"/>
    <w:rsid w:val="000473E9"/>
    <w:rsid w:val="00047568"/>
    <w:rsid w:val="000477B6"/>
    <w:rsid w:val="00047877"/>
    <w:rsid w:val="00047B6A"/>
    <w:rsid w:val="00052A66"/>
    <w:rsid w:val="00054EDE"/>
    <w:rsid w:val="00054FA1"/>
    <w:rsid w:val="00056C3D"/>
    <w:rsid w:val="0006062F"/>
    <w:rsid w:val="000626D2"/>
    <w:rsid w:val="00062995"/>
    <w:rsid w:val="00062C69"/>
    <w:rsid w:val="0006302D"/>
    <w:rsid w:val="000642AF"/>
    <w:rsid w:val="00065FFB"/>
    <w:rsid w:val="00067034"/>
    <w:rsid w:val="00067C9F"/>
    <w:rsid w:val="00070C69"/>
    <w:rsid w:val="00074B6C"/>
    <w:rsid w:val="000755C9"/>
    <w:rsid w:val="000760B4"/>
    <w:rsid w:val="00080B74"/>
    <w:rsid w:val="00081FE6"/>
    <w:rsid w:val="00086E36"/>
    <w:rsid w:val="00087BB5"/>
    <w:rsid w:val="00090A5F"/>
    <w:rsid w:val="00090AFC"/>
    <w:rsid w:val="000914B3"/>
    <w:rsid w:val="00091830"/>
    <w:rsid w:val="00091B24"/>
    <w:rsid w:val="00092CC9"/>
    <w:rsid w:val="0009432C"/>
    <w:rsid w:val="00094FA9"/>
    <w:rsid w:val="00095F3A"/>
    <w:rsid w:val="00096C17"/>
    <w:rsid w:val="000A334E"/>
    <w:rsid w:val="000A731E"/>
    <w:rsid w:val="000B2253"/>
    <w:rsid w:val="000B23F1"/>
    <w:rsid w:val="000B35E2"/>
    <w:rsid w:val="000B3977"/>
    <w:rsid w:val="000B4388"/>
    <w:rsid w:val="000B45E5"/>
    <w:rsid w:val="000B4EA3"/>
    <w:rsid w:val="000B58B6"/>
    <w:rsid w:val="000B7CA2"/>
    <w:rsid w:val="000C13F1"/>
    <w:rsid w:val="000C184D"/>
    <w:rsid w:val="000C2CD7"/>
    <w:rsid w:val="000C3561"/>
    <w:rsid w:val="000C434A"/>
    <w:rsid w:val="000C4F5A"/>
    <w:rsid w:val="000C655A"/>
    <w:rsid w:val="000C6D34"/>
    <w:rsid w:val="000C7313"/>
    <w:rsid w:val="000D22D1"/>
    <w:rsid w:val="000D4162"/>
    <w:rsid w:val="000D6534"/>
    <w:rsid w:val="000E1B93"/>
    <w:rsid w:val="000E29F9"/>
    <w:rsid w:val="000E4182"/>
    <w:rsid w:val="000E5C7E"/>
    <w:rsid w:val="000E6305"/>
    <w:rsid w:val="000E6FF9"/>
    <w:rsid w:val="000F08BE"/>
    <w:rsid w:val="000F1707"/>
    <w:rsid w:val="000F4381"/>
    <w:rsid w:val="000F4A96"/>
    <w:rsid w:val="000F5719"/>
    <w:rsid w:val="000F5ED4"/>
    <w:rsid w:val="0010199D"/>
    <w:rsid w:val="001026AF"/>
    <w:rsid w:val="0010308B"/>
    <w:rsid w:val="0010319A"/>
    <w:rsid w:val="001034D4"/>
    <w:rsid w:val="00103FD5"/>
    <w:rsid w:val="001054DC"/>
    <w:rsid w:val="001060F7"/>
    <w:rsid w:val="001103AF"/>
    <w:rsid w:val="00110449"/>
    <w:rsid w:val="00111649"/>
    <w:rsid w:val="00111C0A"/>
    <w:rsid w:val="00111C8E"/>
    <w:rsid w:val="0011408A"/>
    <w:rsid w:val="001146EA"/>
    <w:rsid w:val="00116DA6"/>
    <w:rsid w:val="001207DF"/>
    <w:rsid w:val="00122DBB"/>
    <w:rsid w:val="00123D2B"/>
    <w:rsid w:val="0012430A"/>
    <w:rsid w:val="00126E9C"/>
    <w:rsid w:val="001275F1"/>
    <w:rsid w:val="0012783F"/>
    <w:rsid w:val="00130706"/>
    <w:rsid w:val="00131804"/>
    <w:rsid w:val="00131AE8"/>
    <w:rsid w:val="00131CEC"/>
    <w:rsid w:val="001336D7"/>
    <w:rsid w:val="00134414"/>
    <w:rsid w:val="00136AC0"/>
    <w:rsid w:val="0014028B"/>
    <w:rsid w:val="00140623"/>
    <w:rsid w:val="0014090F"/>
    <w:rsid w:val="00141728"/>
    <w:rsid w:val="00143AF2"/>
    <w:rsid w:val="00143F30"/>
    <w:rsid w:val="0015064E"/>
    <w:rsid w:val="00151546"/>
    <w:rsid w:val="00151FA9"/>
    <w:rsid w:val="00152246"/>
    <w:rsid w:val="00153036"/>
    <w:rsid w:val="001532A7"/>
    <w:rsid w:val="00155487"/>
    <w:rsid w:val="00155922"/>
    <w:rsid w:val="00156C78"/>
    <w:rsid w:val="001572B2"/>
    <w:rsid w:val="001616B7"/>
    <w:rsid w:val="001625DB"/>
    <w:rsid w:val="00163F1F"/>
    <w:rsid w:val="00164BB4"/>
    <w:rsid w:val="001654F1"/>
    <w:rsid w:val="0016552B"/>
    <w:rsid w:val="00166E03"/>
    <w:rsid w:val="001710F4"/>
    <w:rsid w:val="001721AC"/>
    <w:rsid w:val="00173AA1"/>
    <w:rsid w:val="0017477B"/>
    <w:rsid w:val="001758CF"/>
    <w:rsid w:val="00182525"/>
    <w:rsid w:val="00182D6B"/>
    <w:rsid w:val="00184910"/>
    <w:rsid w:val="00184F3E"/>
    <w:rsid w:val="0018536F"/>
    <w:rsid w:val="00185C5E"/>
    <w:rsid w:val="00187D5F"/>
    <w:rsid w:val="00190948"/>
    <w:rsid w:val="00190C1F"/>
    <w:rsid w:val="00191304"/>
    <w:rsid w:val="00193761"/>
    <w:rsid w:val="001951C6"/>
    <w:rsid w:val="001953C2"/>
    <w:rsid w:val="00196308"/>
    <w:rsid w:val="001A06B0"/>
    <w:rsid w:val="001A10DD"/>
    <w:rsid w:val="001A4C66"/>
    <w:rsid w:val="001A56C6"/>
    <w:rsid w:val="001A67F0"/>
    <w:rsid w:val="001B0DBD"/>
    <w:rsid w:val="001B18A1"/>
    <w:rsid w:val="001B1AC8"/>
    <w:rsid w:val="001B1E78"/>
    <w:rsid w:val="001B25DF"/>
    <w:rsid w:val="001B474B"/>
    <w:rsid w:val="001B49FA"/>
    <w:rsid w:val="001B4AEF"/>
    <w:rsid w:val="001B5559"/>
    <w:rsid w:val="001B6C6F"/>
    <w:rsid w:val="001B7D4E"/>
    <w:rsid w:val="001C0C1F"/>
    <w:rsid w:val="001C17F6"/>
    <w:rsid w:val="001C56B8"/>
    <w:rsid w:val="001C5FE9"/>
    <w:rsid w:val="001C6582"/>
    <w:rsid w:val="001C7681"/>
    <w:rsid w:val="001C78B7"/>
    <w:rsid w:val="001C7E23"/>
    <w:rsid w:val="001D0D44"/>
    <w:rsid w:val="001D11D3"/>
    <w:rsid w:val="001D1888"/>
    <w:rsid w:val="001D2A63"/>
    <w:rsid w:val="001D3619"/>
    <w:rsid w:val="001D3650"/>
    <w:rsid w:val="001D5350"/>
    <w:rsid w:val="001D57DD"/>
    <w:rsid w:val="001D799D"/>
    <w:rsid w:val="001E246A"/>
    <w:rsid w:val="001E2FF3"/>
    <w:rsid w:val="001E3546"/>
    <w:rsid w:val="001E5F80"/>
    <w:rsid w:val="001E6CE6"/>
    <w:rsid w:val="001F084E"/>
    <w:rsid w:val="001F092F"/>
    <w:rsid w:val="001F17A3"/>
    <w:rsid w:val="001F209D"/>
    <w:rsid w:val="001F2F2F"/>
    <w:rsid w:val="001F5F57"/>
    <w:rsid w:val="001F7BE2"/>
    <w:rsid w:val="00201865"/>
    <w:rsid w:val="00204871"/>
    <w:rsid w:val="00204EDE"/>
    <w:rsid w:val="0020539A"/>
    <w:rsid w:val="00205BA5"/>
    <w:rsid w:val="00205CFB"/>
    <w:rsid w:val="00205E9C"/>
    <w:rsid w:val="002075F3"/>
    <w:rsid w:val="00210EA3"/>
    <w:rsid w:val="00211229"/>
    <w:rsid w:val="0021700C"/>
    <w:rsid w:val="00217533"/>
    <w:rsid w:val="00220152"/>
    <w:rsid w:val="00220997"/>
    <w:rsid w:val="00221E4B"/>
    <w:rsid w:val="002225DA"/>
    <w:rsid w:val="0022515E"/>
    <w:rsid w:val="00225204"/>
    <w:rsid w:val="00230478"/>
    <w:rsid w:val="00232B84"/>
    <w:rsid w:val="00232F8C"/>
    <w:rsid w:val="00233431"/>
    <w:rsid w:val="002347D8"/>
    <w:rsid w:val="00235570"/>
    <w:rsid w:val="002378E0"/>
    <w:rsid w:val="002405FA"/>
    <w:rsid w:val="00242E31"/>
    <w:rsid w:val="00245ADE"/>
    <w:rsid w:val="00245F27"/>
    <w:rsid w:val="00246024"/>
    <w:rsid w:val="002478EF"/>
    <w:rsid w:val="00250945"/>
    <w:rsid w:val="00250D11"/>
    <w:rsid w:val="002515DA"/>
    <w:rsid w:val="00251A65"/>
    <w:rsid w:val="00253332"/>
    <w:rsid w:val="00253EA2"/>
    <w:rsid w:val="00255D31"/>
    <w:rsid w:val="002579BB"/>
    <w:rsid w:val="00261B08"/>
    <w:rsid w:val="00262A96"/>
    <w:rsid w:val="002655FE"/>
    <w:rsid w:val="00270E1C"/>
    <w:rsid w:val="00271337"/>
    <w:rsid w:val="00271A18"/>
    <w:rsid w:val="00271C6E"/>
    <w:rsid w:val="00272FA5"/>
    <w:rsid w:val="00273298"/>
    <w:rsid w:val="00275634"/>
    <w:rsid w:val="00275878"/>
    <w:rsid w:val="00277C9A"/>
    <w:rsid w:val="00277F8C"/>
    <w:rsid w:val="00284272"/>
    <w:rsid w:val="00284E5F"/>
    <w:rsid w:val="002851C6"/>
    <w:rsid w:val="00285655"/>
    <w:rsid w:val="00286E85"/>
    <w:rsid w:val="002879F9"/>
    <w:rsid w:val="00291EFD"/>
    <w:rsid w:val="002925EB"/>
    <w:rsid w:val="002950A7"/>
    <w:rsid w:val="00296856"/>
    <w:rsid w:val="002A1D4B"/>
    <w:rsid w:val="002A4C65"/>
    <w:rsid w:val="002A4E84"/>
    <w:rsid w:val="002A53D2"/>
    <w:rsid w:val="002A6E72"/>
    <w:rsid w:val="002A7108"/>
    <w:rsid w:val="002A7D91"/>
    <w:rsid w:val="002B013A"/>
    <w:rsid w:val="002B252C"/>
    <w:rsid w:val="002B587F"/>
    <w:rsid w:val="002B699C"/>
    <w:rsid w:val="002C0ADE"/>
    <w:rsid w:val="002C1878"/>
    <w:rsid w:val="002C1B31"/>
    <w:rsid w:val="002C1C45"/>
    <w:rsid w:val="002C29C0"/>
    <w:rsid w:val="002C32CE"/>
    <w:rsid w:val="002C36A3"/>
    <w:rsid w:val="002C5BD0"/>
    <w:rsid w:val="002C6C0F"/>
    <w:rsid w:val="002C71DB"/>
    <w:rsid w:val="002D112D"/>
    <w:rsid w:val="002D19A1"/>
    <w:rsid w:val="002D7C84"/>
    <w:rsid w:val="002E00B1"/>
    <w:rsid w:val="002E38F8"/>
    <w:rsid w:val="002E467A"/>
    <w:rsid w:val="002E688B"/>
    <w:rsid w:val="002F0BF1"/>
    <w:rsid w:val="002F295E"/>
    <w:rsid w:val="002F6D62"/>
    <w:rsid w:val="002F6D87"/>
    <w:rsid w:val="00303028"/>
    <w:rsid w:val="003050B2"/>
    <w:rsid w:val="00305CC4"/>
    <w:rsid w:val="00306318"/>
    <w:rsid w:val="0030664A"/>
    <w:rsid w:val="00307EB0"/>
    <w:rsid w:val="00310409"/>
    <w:rsid w:val="00310A19"/>
    <w:rsid w:val="00311147"/>
    <w:rsid w:val="00312442"/>
    <w:rsid w:val="003145A0"/>
    <w:rsid w:val="0031470C"/>
    <w:rsid w:val="00314D8D"/>
    <w:rsid w:val="00314FE3"/>
    <w:rsid w:val="003159AE"/>
    <w:rsid w:val="00316E96"/>
    <w:rsid w:val="00317724"/>
    <w:rsid w:val="0032221A"/>
    <w:rsid w:val="003240D9"/>
    <w:rsid w:val="00324FD9"/>
    <w:rsid w:val="003265EF"/>
    <w:rsid w:val="003267B5"/>
    <w:rsid w:val="00327669"/>
    <w:rsid w:val="00327E58"/>
    <w:rsid w:val="00330FCE"/>
    <w:rsid w:val="003313EF"/>
    <w:rsid w:val="0033180F"/>
    <w:rsid w:val="0033332D"/>
    <w:rsid w:val="00333A4F"/>
    <w:rsid w:val="00333F13"/>
    <w:rsid w:val="00336EC2"/>
    <w:rsid w:val="00336F0D"/>
    <w:rsid w:val="00337EA3"/>
    <w:rsid w:val="00340841"/>
    <w:rsid w:val="00341A9F"/>
    <w:rsid w:val="0034242B"/>
    <w:rsid w:val="00345337"/>
    <w:rsid w:val="00346A1F"/>
    <w:rsid w:val="00347551"/>
    <w:rsid w:val="003476E6"/>
    <w:rsid w:val="003508B4"/>
    <w:rsid w:val="00350EF9"/>
    <w:rsid w:val="00352304"/>
    <w:rsid w:val="00352E68"/>
    <w:rsid w:val="0035341A"/>
    <w:rsid w:val="00355CC6"/>
    <w:rsid w:val="00355D6F"/>
    <w:rsid w:val="00355EC5"/>
    <w:rsid w:val="00356DCF"/>
    <w:rsid w:val="00362318"/>
    <w:rsid w:val="00363141"/>
    <w:rsid w:val="00364418"/>
    <w:rsid w:val="00366024"/>
    <w:rsid w:val="003660E5"/>
    <w:rsid w:val="003662A9"/>
    <w:rsid w:val="00366742"/>
    <w:rsid w:val="003722E6"/>
    <w:rsid w:val="00372897"/>
    <w:rsid w:val="00373A9C"/>
    <w:rsid w:val="00376E8F"/>
    <w:rsid w:val="00380900"/>
    <w:rsid w:val="00382FE7"/>
    <w:rsid w:val="00383A80"/>
    <w:rsid w:val="003843FB"/>
    <w:rsid w:val="00384C72"/>
    <w:rsid w:val="00385D8B"/>
    <w:rsid w:val="00386144"/>
    <w:rsid w:val="0039073A"/>
    <w:rsid w:val="00391BF3"/>
    <w:rsid w:val="00391CC1"/>
    <w:rsid w:val="00391FE3"/>
    <w:rsid w:val="00393EB7"/>
    <w:rsid w:val="003943EF"/>
    <w:rsid w:val="0039508C"/>
    <w:rsid w:val="003A145B"/>
    <w:rsid w:val="003A1DAE"/>
    <w:rsid w:val="003A4350"/>
    <w:rsid w:val="003A6A02"/>
    <w:rsid w:val="003B05BB"/>
    <w:rsid w:val="003B0AAE"/>
    <w:rsid w:val="003B30DC"/>
    <w:rsid w:val="003B3D78"/>
    <w:rsid w:val="003B4135"/>
    <w:rsid w:val="003B76B6"/>
    <w:rsid w:val="003C459A"/>
    <w:rsid w:val="003C4F3A"/>
    <w:rsid w:val="003C4F99"/>
    <w:rsid w:val="003C5E78"/>
    <w:rsid w:val="003C6E0D"/>
    <w:rsid w:val="003C7D67"/>
    <w:rsid w:val="003C7E6E"/>
    <w:rsid w:val="003D078F"/>
    <w:rsid w:val="003D127B"/>
    <w:rsid w:val="003D13E2"/>
    <w:rsid w:val="003D2DBF"/>
    <w:rsid w:val="003D339B"/>
    <w:rsid w:val="003E058B"/>
    <w:rsid w:val="003E1566"/>
    <w:rsid w:val="003E1950"/>
    <w:rsid w:val="003E1983"/>
    <w:rsid w:val="003E293D"/>
    <w:rsid w:val="003E2E2F"/>
    <w:rsid w:val="003E3306"/>
    <w:rsid w:val="003E4A33"/>
    <w:rsid w:val="003E4A37"/>
    <w:rsid w:val="003E4DF9"/>
    <w:rsid w:val="003E533A"/>
    <w:rsid w:val="003E62FA"/>
    <w:rsid w:val="003E6443"/>
    <w:rsid w:val="003E6827"/>
    <w:rsid w:val="003E7CDA"/>
    <w:rsid w:val="003F0C53"/>
    <w:rsid w:val="003F13E0"/>
    <w:rsid w:val="003F146D"/>
    <w:rsid w:val="003F4131"/>
    <w:rsid w:val="003F427B"/>
    <w:rsid w:val="003F47F5"/>
    <w:rsid w:val="003F618D"/>
    <w:rsid w:val="00400C57"/>
    <w:rsid w:val="0040270E"/>
    <w:rsid w:val="0040416F"/>
    <w:rsid w:val="00410560"/>
    <w:rsid w:val="00411B85"/>
    <w:rsid w:val="00412544"/>
    <w:rsid w:val="0041405C"/>
    <w:rsid w:val="0041558F"/>
    <w:rsid w:val="0041735C"/>
    <w:rsid w:val="00417B52"/>
    <w:rsid w:val="004217A3"/>
    <w:rsid w:val="00423A88"/>
    <w:rsid w:val="004245BC"/>
    <w:rsid w:val="004247B6"/>
    <w:rsid w:val="00424986"/>
    <w:rsid w:val="00425540"/>
    <w:rsid w:val="004304C7"/>
    <w:rsid w:val="004314A7"/>
    <w:rsid w:val="00431E0B"/>
    <w:rsid w:val="00435D71"/>
    <w:rsid w:val="0043674B"/>
    <w:rsid w:val="00437ABE"/>
    <w:rsid w:val="0044087A"/>
    <w:rsid w:val="00441E1F"/>
    <w:rsid w:val="004434C1"/>
    <w:rsid w:val="004459CE"/>
    <w:rsid w:val="004463B3"/>
    <w:rsid w:val="0045002B"/>
    <w:rsid w:val="004503EF"/>
    <w:rsid w:val="004513FF"/>
    <w:rsid w:val="0045197C"/>
    <w:rsid w:val="00451B4F"/>
    <w:rsid w:val="00453DAF"/>
    <w:rsid w:val="00455770"/>
    <w:rsid w:val="00456084"/>
    <w:rsid w:val="00456CCE"/>
    <w:rsid w:val="004577EB"/>
    <w:rsid w:val="00460063"/>
    <w:rsid w:val="00460549"/>
    <w:rsid w:val="00460644"/>
    <w:rsid w:val="00463F27"/>
    <w:rsid w:val="00464F76"/>
    <w:rsid w:val="00466511"/>
    <w:rsid w:val="00466EB4"/>
    <w:rsid w:val="00467A1A"/>
    <w:rsid w:val="004706E9"/>
    <w:rsid w:val="004718D1"/>
    <w:rsid w:val="0047256F"/>
    <w:rsid w:val="00473EA7"/>
    <w:rsid w:val="0047448C"/>
    <w:rsid w:val="004745E2"/>
    <w:rsid w:val="004746A2"/>
    <w:rsid w:val="00475BD4"/>
    <w:rsid w:val="004807A3"/>
    <w:rsid w:val="0048113A"/>
    <w:rsid w:val="00483A49"/>
    <w:rsid w:val="00484304"/>
    <w:rsid w:val="0048470A"/>
    <w:rsid w:val="00484F2E"/>
    <w:rsid w:val="0048539F"/>
    <w:rsid w:val="00486F81"/>
    <w:rsid w:val="004911A0"/>
    <w:rsid w:val="004911BD"/>
    <w:rsid w:val="00493A95"/>
    <w:rsid w:val="004954D1"/>
    <w:rsid w:val="00495502"/>
    <w:rsid w:val="00496496"/>
    <w:rsid w:val="00497E24"/>
    <w:rsid w:val="00497EE8"/>
    <w:rsid w:val="004A0989"/>
    <w:rsid w:val="004A0CB1"/>
    <w:rsid w:val="004A2783"/>
    <w:rsid w:val="004A38A9"/>
    <w:rsid w:val="004A4286"/>
    <w:rsid w:val="004A5E1E"/>
    <w:rsid w:val="004A6B43"/>
    <w:rsid w:val="004A7246"/>
    <w:rsid w:val="004A72D6"/>
    <w:rsid w:val="004B089A"/>
    <w:rsid w:val="004B0FEA"/>
    <w:rsid w:val="004B103B"/>
    <w:rsid w:val="004B122B"/>
    <w:rsid w:val="004B412F"/>
    <w:rsid w:val="004B4424"/>
    <w:rsid w:val="004B678D"/>
    <w:rsid w:val="004B7043"/>
    <w:rsid w:val="004B7523"/>
    <w:rsid w:val="004C03D7"/>
    <w:rsid w:val="004C03DC"/>
    <w:rsid w:val="004C0B23"/>
    <w:rsid w:val="004C1CF1"/>
    <w:rsid w:val="004C2BAB"/>
    <w:rsid w:val="004C2F74"/>
    <w:rsid w:val="004C32A4"/>
    <w:rsid w:val="004C39A4"/>
    <w:rsid w:val="004C3B51"/>
    <w:rsid w:val="004C3EE2"/>
    <w:rsid w:val="004C50C7"/>
    <w:rsid w:val="004C61FD"/>
    <w:rsid w:val="004C67C8"/>
    <w:rsid w:val="004D1977"/>
    <w:rsid w:val="004D3302"/>
    <w:rsid w:val="004D34AC"/>
    <w:rsid w:val="004D3A4B"/>
    <w:rsid w:val="004D513A"/>
    <w:rsid w:val="004D6B1C"/>
    <w:rsid w:val="004D7373"/>
    <w:rsid w:val="004E04E6"/>
    <w:rsid w:val="004E1F0B"/>
    <w:rsid w:val="004E20A5"/>
    <w:rsid w:val="004E24A1"/>
    <w:rsid w:val="004E459C"/>
    <w:rsid w:val="004E5D1F"/>
    <w:rsid w:val="004E674B"/>
    <w:rsid w:val="004E7355"/>
    <w:rsid w:val="004F10C7"/>
    <w:rsid w:val="004F239D"/>
    <w:rsid w:val="004F28CA"/>
    <w:rsid w:val="004F2900"/>
    <w:rsid w:val="004F47E6"/>
    <w:rsid w:val="004F498B"/>
    <w:rsid w:val="004F4D87"/>
    <w:rsid w:val="004F7058"/>
    <w:rsid w:val="00500277"/>
    <w:rsid w:val="00501A09"/>
    <w:rsid w:val="00503374"/>
    <w:rsid w:val="005039A1"/>
    <w:rsid w:val="00505D4C"/>
    <w:rsid w:val="00505EFF"/>
    <w:rsid w:val="00506333"/>
    <w:rsid w:val="005069BA"/>
    <w:rsid w:val="00507A41"/>
    <w:rsid w:val="00510D15"/>
    <w:rsid w:val="00511D30"/>
    <w:rsid w:val="00513028"/>
    <w:rsid w:val="0051463F"/>
    <w:rsid w:val="00515725"/>
    <w:rsid w:val="00515D6A"/>
    <w:rsid w:val="00523BDE"/>
    <w:rsid w:val="00523D61"/>
    <w:rsid w:val="00530EF6"/>
    <w:rsid w:val="00534D82"/>
    <w:rsid w:val="00540686"/>
    <w:rsid w:val="0054222E"/>
    <w:rsid w:val="00543C60"/>
    <w:rsid w:val="00545238"/>
    <w:rsid w:val="005456C7"/>
    <w:rsid w:val="0054745C"/>
    <w:rsid w:val="00547469"/>
    <w:rsid w:val="00547A35"/>
    <w:rsid w:val="00551168"/>
    <w:rsid w:val="00552422"/>
    <w:rsid w:val="00553958"/>
    <w:rsid w:val="0056089D"/>
    <w:rsid w:val="00560B82"/>
    <w:rsid w:val="00561747"/>
    <w:rsid w:val="00564D11"/>
    <w:rsid w:val="00564E36"/>
    <w:rsid w:val="00565DD0"/>
    <w:rsid w:val="00567A4C"/>
    <w:rsid w:val="005705ED"/>
    <w:rsid w:val="00572A14"/>
    <w:rsid w:val="00572EE5"/>
    <w:rsid w:val="00574120"/>
    <w:rsid w:val="00575372"/>
    <w:rsid w:val="00575547"/>
    <w:rsid w:val="00577100"/>
    <w:rsid w:val="00577566"/>
    <w:rsid w:val="00577E1F"/>
    <w:rsid w:val="005800E7"/>
    <w:rsid w:val="00580FD0"/>
    <w:rsid w:val="00581A2D"/>
    <w:rsid w:val="00581D1A"/>
    <w:rsid w:val="00582988"/>
    <w:rsid w:val="00582C75"/>
    <w:rsid w:val="00583363"/>
    <w:rsid w:val="005847F0"/>
    <w:rsid w:val="00584BD4"/>
    <w:rsid w:val="005861FA"/>
    <w:rsid w:val="00586A68"/>
    <w:rsid w:val="00587CB7"/>
    <w:rsid w:val="005907A3"/>
    <w:rsid w:val="00590AB4"/>
    <w:rsid w:val="00594383"/>
    <w:rsid w:val="00594628"/>
    <w:rsid w:val="00596E9E"/>
    <w:rsid w:val="005A0B9F"/>
    <w:rsid w:val="005A1BCB"/>
    <w:rsid w:val="005A2194"/>
    <w:rsid w:val="005A2D58"/>
    <w:rsid w:val="005A3232"/>
    <w:rsid w:val="005A4B88"/>
    <w:rsid w:val="005A73BF"/>
    <w:rsid w:val="005B0D79"/>
    <w:rsid w:val="005B1C52"/>
    <w:rsid w:val="005B3105"/>
    <w:rsid w:val="005B3FAA"/>
    <w:rsid w:val="005B5113"/>
    <w:rsid w:val="005B6365"/>
    <w:rsid w:val="005B640A"/>
    <w:rsid w:val="005B7E26"/>
    <w:rsid w:val="005C0E40"/>
    <w:rsid w:val="005C2529"/>
    <w:rsid w:val="005C2AB0"/>
    <w:rsid w:val="005C3BE6"/>
    <w:rsid w:val="005C49F7"/>
    <w:rsid w:val="005C5103"/>
    <w:rsid w:val="005C5B89"/>
    <w:rsid w:val="005D0419"/>
    <w:rsid w:val="005D102E"/>
    <w:rsid w:val="005D2895"/>
    <w:rsid w:val="005D2A41"/>
    <w:rsid w:val="005D3460"/>
    <w:rsid w:val="005D3C25"/>
    <w:rsid w:val="005D4FBC"/>
    <w:rsid w:val="005D6DEC"/>
    <w:rsid w:val="005D7023"/>
    <w:rsid w:val="005E00DE"/>
    <w:rsid w:val="005E0C5F"/>
    <w:rsid w:val="005E21FF"/>
    <w:rsid w:val="005E37CE"/>
    <w:rsid w:val="005E3FD9"/>
    <w:rsid w:val="005E480A"/>
    <w:rsid w:val="005E64C7"/>
    <w:rsid w:val="005E6565"/>
    <w:rsid w:val="005E74AE"/>
    <w:rsid w:val="005E7E67"/>
    <w:rsid w:val="005F0700"/>
    <w:rsid w:val="005F13DD"/>
    <w:rsid w:val="005F2FF1"/>
    <w:rsid w:val="005F3FA1"/>
    <w:rsid w:val="005F5084"/>
    <w:rsid w:val="005F7B89"/>
    <w:rsid w:val="00600601"/>
    <w:rsid w:val="00600CD9"/>
    <w:rsid w:val="0060193E"/>
    <w:rsid w:val="006036C0"/>
    <w:rsid w:val="00606889"/>
    <w:rsid w:val="0061097A"/>
    <w:rsid w:val="00610F45"/>
    <w:rsid w:val="00611468"/>
    <w:rsid w:val="00611B10"/>
    <w:rsid w:val="00616916"/>
    <w:rsid w:val="00617172"/>
    <w:rsid w:val="0062002A"/>
    <w:rsid w:val="006210D9"/>
    <w:rsid w:val="00621615"/>
    <w:rsid w:val="00621A36"/>
    <w:rsid w:val="00621CF7"/>
    <w:rsid w:val="00621E1E"/>
    <w:rsid w:val="0062218F"/>
    <w:rsid w:val="006238C1"/>
    <w:rsid w:val="00625070"/>
    <w:rsid w:val="006263EC"/>
    <w:rsid w:val="006273AA"/>
    <w:rsid w:val="00630FF0"/>
    <w:rsid w:val="00631D19"/>
    <w:rsid w:val="00642331"/>
    <w:rsid w:val="006435E4"/>
    <w:rsid w:val="00643D1E"/>
    <w:rsid w:val="00643D6D"/>
    <w:rsid w:val="00650229"/>
    <w:rsid w:val="00654AAF"/>
    <w:rsid w:val="006579A0"/>
    <w:rsid w:val="00661470"/>
    <w:rsid w:val="006617A2"/>
    <w:rsid w:val="006638D8"/>
    <w:rsid w:val="00666BFC"/>
    <w:rsid w:val="00672A58"/>
    <w:rsid w:val="00673B3B"/>
    <w:rsid w:val="00675455"/>
    <w:rsid w:val="00675723"/>
    <w:rsid w:val="006763A0"/>
    <w:rsid w:val="00680222"/>
    <w:rsid w:val="00680317"/>
    <w:rsid w:val="006809D1"/>
    <w:rsid w:val="0068582F"/>
    <w:rsid w:val="00690841"/>
    <w:rsid w:val="006910D5"/>
    <w:rsid w:val="0069183C"/>
    <w:rsid w:val="006919E4"/>
    <w:rsid w:val="00693BED"/>
    <w:rsid w:val="006A27A1"/>
    <w:rsid w:val="006A2F67"/>
    <w:rsid w:val="006A4104"/>
    <w:rsid w:val="006A42BF"/>
    <w:rsid w:val="006A506C"/>
    <w:rsid w:val="006A63E3"/>
    <w:rsid w:val="006B2148"/>
    <w:rsid w:val="006B25C2"/>
    <w:rsid w:val="006B3C1F"/>
    <w:rsid w:val="006B5072"/>
    <w:rsid w:val="006C2094"/>
    <w:rsid w:val="006C2209"/>
    <w:rsid w:val="006C330B"/>
    <w:rsid w:val="006C3347"/>
    <w:rsid w:val="006C4E35"/>
    <w:rsid w:val="006C515A"/>
    <w:rsid w:val="006C58CB"/>
    <w:rsid w:val="006C60A9"/>
    <w:rsid w:val="006C7BAE"/>
    <w:rsid w:val="006C7C1E"/>
    <w:rsid w:val="006D13DA"/>
    <w:rsid w:val="006D1754"/>
    <w:rsid w:val="006D2DD7"/>
    <w:rsid w:val="006D35A4"/>
    <w:rsid w:val="006D35B9"/>
    <w:rsid w:val="006D4021"/>
    <w:rsid w:val="006D4FF4"/>
    <w:rsid w:val="006D53CE"/>
    <w:rsid w:val="006D5AB7"/>
    <w:rsid w:val="006D627E"/>
    <w:rsid w:val="006D6DD8"/>
    <w:rsid w:val="006D7C0A"/>
    <w:rsid w:val="006D7FF7"/>
    <w:rsid w:val="006E1C51"/>
    <w:rsid w:val="006E78F0"/>
    <w:rsid w:val="006E7B35"/>
    <w:rsid w:val="006E7C91"/>
    <w:rsid w:val="006F052C"/>
    <w:rsid w:val="006F0BF5"/>
    <w:rsid w:val="006F12E1"/>
    <w:rsid w:val="006F17E9"/>
    <w:rsid w:val="006F211E"/>
    <w:rsid w:val="006F292F"/>
    <w:rsid w:val="006F2ABF"/>
    <w:rsid w:val="006F2EB4"/>
    <w:rsid w:val="006F3B02"/>
    <w:rsid w:val="006F3B5D"/>
    <w:rsid w:val="00701551"/>
    <w:rsid w:val="00703101"/>
    <w:rsid w:val="007053D8"/>
    <w:rsid w:val="007056B5"/>
    <w:rsid w:val="00705AF3"/>
    <w:rsid w:val="00707D4E"/>
    <w:rsid w:val="00707E19"/>
    <w:rsid w:val="007107F6"/>
    <w:rsid w:val="00710B47"/>
    <w:rsid w:val="00711AB8"/>
    <w:rsid w:val="00711BAE"/>
    <w:rsid w:val="00711F0E"/>
    <w:rsid w:val="0071637C"/>
    <w:rsid w:val="00716CE2"/>
    <w:rsid w:val="00717049"/>
    <w:rsid w:val="00717C76"/>
    <w:rsid w:val="00717D08"/>
    <w:rsid w:val="007227A2"/>
    <w:rsid w:val="00722D29"/>
    <w:rsid w:val="00723290"/>
    <w:rsid w:val="007241DB"/>
    <w:rsid w:val="007253A5"/>
    <w:rsid w:val="00725C1E"/>
    <w:rsid w:val="0072731D"/>
    <w:rsid w:val="007319EF"/>
    <w:rsid w:val="00731B3E"/>
    <w:rsid w:val="00733876"/>
    <w:rsid w:val="00733BFE"/>
    <w:rsid w:val="007341F3"/>
    <w:rsid w:val="0073563C"/>
    <w:rsid w:val="00735FFD"/>
    <w:rsid w:val="007405A8"/>
    <w:rsid w:val="007422FC"/>
    <w:rsid w:val="007447E7"/>
    <w:rsid w:val="00744BB8"/>
    <w:rsid w:val="00744C53"/>
    <w:rsid w:val="0074521B"/>
    <w:rsid w:val="007457CF"/>
    <w:rsid w:val="00745F1C"/>
    <w:rsid w:val="0075093F"/>
    <w:rsid w:val="007512CA"/>
    <w:rsid w:val="007514F5"/>
    <w:rsid w:val="007523F8"/>
    <w:rsid w:val="00754387"/>
    <w:rsid w:val="00755311"/>
    <w:rsid w:val="00756611"/>
    <w:rsid w:val="00756DB4"/>
    <w:rsid w:val="007576E8"/>
    <w:rsid w:val="00760E5F"/>
    <w:rsid w:val="00761B89"/>
    <w:rsid w:val="00763EC1"/>
    <w:rsid w:val="0076590D"/>
    <w:rsid w:val="00771FF2"/>
    <w:rsid w:val="007741CA"/>
    <w:rsid w:val="007757CE"/>
    <w:rsid w:val="00775F70"/>
    <w:rsid w:val="007774C1"/>
    <w:rsid w:val="00780245"/>
    <w:rsid w:val="0078131B"/>
    <w:rsid w:val="00783B2F"/>
    <w:rsid w:val="00783F3A"/>
    <w:rsid w:val="007851B4"/>
    <w:rsid w:val="00785437"/>
    <w:rsid w:val="00787F6F"/>
    <w:rsid w:val="00790DF6"/>
    <w:rsid w:val="0079126E"/>
    <w:rsid w:val="007912BF"/>
    <w:rsid w:val="00791853"/>
    <w:rsid w:val="00791883"/>
    <w:rsid w:val="00793231"/>
    <w:rsid w:val="00794BF5"/>
    <w:rsid w:val="00795130"/>
    <w:rsid w:val="00796287"/>
    <w:rsid w:val="00796458"/>
    <w:rsid w:val="007A091B"/>
    <w:rsid w:val="007A28CA"/>
    <w:rsid w:val="007A6677"/>
    <w:rsid w:val="007A7041"/>
    <w:rsid w:val="007A7E56"/>
    <w:rsid w:val="007B0666"/>
    <w:rsid w:val="007B3AA8"/>
    <w:rsid w:val="007B3E57"/>
    <w:rsid w:val="007B4E1B"/>
    <w:rsid w:val="007B680E"/>
    <w:rsid w:val="007C06F3"/>
    <w:rsid w:val="007C0F05"/>
    <w:rsid w:val="007C245B"/>
    <w:rsid w:val="007C2A26"/>
    <w:rsid w:val="007C46D7"/>
    <w:rsid w:val="007C61B6"/>
    <w:rsid w:val="007D15B0"/>
    <w:rsid w:val="007D1747"/>
    <w:rsid w:val="007D406F"/>
    <w:rsid w:val="007D6C41"/>
    <w:rsid w:val="007D6E61"/>
    <w:rsid w:val="007D7557"/>
    <w:rsid w:val="007E1163"/>
    <w:rsid w:val="007E1597"/>
    <w:rsid w:val="007E22F4"/>
    <w:rsid w:val="007E2AE7"/>
    <w:rsid w:val="007E373D"/>
    <w:rsid w:val="007E3A06"/>
    <w:rsid w:val="007E4204"/>
    <w:rsid w:val="007E5D55"/>
    <w:rsid w:val="007E67F7"/>
    <w:rsid w:val="007E7142"/>
    <w:rsid w:val="007E73F0"/>
    <w:rsid w:val="007E7DFF"/>
    <w:rsid w:val="007F0D60"/>
    <w:rsid w:val="007F1009"/>
    <w:rsid w:val="007F1566"/>
    <w:rsid w:val="007F1D16"/>
    <w:rsid w:val="007F1D5C"/>
    <w:rsid w:val="007F24AB"/>
    <w:rsid w:val="007F2B1F"/>
    <w:rsid w:val="007F5E58"/>
    <w:rsid w:val="007F6541"/>
    <w:rsid w:val="007F748F"/>
    <w:rsid w:val="007F74C9"/>
    <w:rsid w:val="00800797"/>
    <w:rsid w:val="00800F78"/>
    <w:rsid w:val="00801758"/>
    <w:rsid w:val="00802731"/>
    <w:rsid w:val="008029DF"/>
    <w:rsid w:val="00803570"/>
    <w:rsid w:val="008048C0"/>
    <w:rsid w:val="00805108"/>
    <w:rsid w:val="0080575D"/>
    <w:rsid w:val="00805ACA"/>
    <w:rsid w:val="00805F5B"/>
    <w:rsid w:val="00806022"/>
    <w:rsid w:val="00806D3D"/>
    <w:rsid w:val="00810563"/>
    <w:rsid w:val="008106A8"/>
    <w:rsid w:val="00815945"/>
    <w:rsid w:val="00816590"/>
    <w:rsid w:val="0081796B"/>
    <w:rsid w:val="00820E78"/>
    <w:rsid w:val="008211C0"/>
    <w:rsid w:val="008218D0"/>
    <w:rsid w:val="00821C12"/>
    <w:rsid w:val="00822EC7"/>
    <w:rsid w:val="00823481"/>
    <w:rsid w:val="0082462F"/>
    <w:rsid w:val="008300BB"/>
    <w:rsid w:val="00831A62"/>
    <w:rsid w:val="0083215E"/>
    <w:rsid w:val="008323C3"/>
    <w:rsid w:val="00832B0C"/>
    <w:rsid w:val="00833723"/>
    <w:rsid w:val="00835475"/>
    <w:rsid w:val="00835F91"/>
    <w:rsid w:val="00836461"/>
    <w:rsid w:val="00836C56"/>
    <w:rsid w:val="0083702D"/>
    <w:rsid w:val="008401DE"/>
    <w:rsid w:val="008424BE"/>
    <w:rsid w:val="008428C0"/>
    <w:rsid w:val="008428C4"/>
    <w:rsid w:val="00844BBB"/>
    <w:rsid w:val="0084520F"/>
    <w:rsid w:val="0084621A"/>
    <w:rsid w:val="00847DA1"/>
    <w:rsid w:val="00852962"/>
    <w:rsid w:val="00852C7B"/>
    <w:rsid w:val="0085308D"/>
    <w:rsid w:val="008533E6"/>
    <w:rsid w:val="0085470F"/>
    <w:rsid w:val="008554CF"/>
    <w:rsid w:val="00856655"/>
    <w:rsid w:val="00856CE0"/>
    <w:rsid w:val="00862479"/>
    <w:rsid w:val="00863EFC"/>
    <w:rsid w:val="00864B0A"/>
    <w:rsid w:val="00864E75"/>
    <w:rsid w:val="008671D4"/>
    <w:rsid w:val="00871495"/>
    <w:rsid w:val="00871992"/>
    <w:rsid w:val="00874625"/>
    <w:rsid w:val="00874BE8"/>
    <w:rsid w:val="00875E8D"/>
    <w:rsid w:val="008760EE"/>
    <w:rsid w:val="0087633E"/>
    <w:rsid w:val="0088221F"/>
    <w:rsid w:val="0088243F"/>
    <w:rsid w:val="0088244D"/>
    <w:rsid w:val="00886498"/>
    <w:rsid w:val="00886631"/>
    <w:rsid w:val="00886DDA"/>
    <w:rsid w:val="008932F7"/>
    <w:rsid w:val="00894108"/>
    <w:rsid w:val="00895BC1"/>
    <w:rsid w:val="008A09B2"/>
    <w:rsid w:val="008A3E9E"/>
    <w:rsid w:val="008B2213"/>
    <w:rsid w:val="008B2F80"/>
    <w:rsid w:val="008B5DC8"/>
    <w:rsid w:val="008B5FBC"/>
    <w:rsid w:val="008B7058"/>
    <w:rsid w:val="008B7064"/>
    <w:rsid w:val="008B76A8"/>
    <w:rsid w:val="008C1A11"/>
    <w:rsid w:val="008C48D7"/>
    <w:rsid w:val="008C5470"/>
    <w:rsid w:val="008C59BA"/>
    <w:rsid w:val="008D055B"/>
    <w:rsid w:val="008D23E0"/>
    <w:rsid w:val="008D2CA9"/>
    <w:rsid w:val="008D34A0"/>
    <w:rsid w:val="008D56E3"/>
    <w:rsid w:val="008E03BD"/>
    <w:rsid w:val="008E0539"/>
    <w:rsid w:val="008E17AB"/>
    <w:rsid w:val="008E1B32"/>
    <w:rsid w:val="008E2B09"/>
    <w:rsid w:val="008E30B8"/>
    <w:rsid w:val="008E4032"/>
    <w:rsid w:val="008E7A21"/>
    <w:rsid w:val="008F2BD7"/>
    <w:rsid w:val="008F4F05"/>
    <w:rsid w:val="008F5A27"/>
    <w:rsid w:val="008F5BD5"/>
    <w:rsid w:val="008F6389"/>
    <w:rsid w:val="008F7FB7"/>
    <w:rsid w:val="009001F2"/>
    <w:rsid w:val="00900E47"/>
    <w:rsid w:val="00900E67"/>
    <w:rsid w:val="009012B2"/>
    <w:rsid w:val="00902711"/>
    <w:rsid w:val="009027C2"/>
    <w:rsid w:val="0090314E"/>
    <w:rsid w:val="0090411A"/>
    <w:rsid w:val="00904525"/>
    <w:rsid w:val="00905D06"/>
    <w:rsid w:val="00906E65"/>
    <w:rsid w:val="00906EB7"/>
    <w:rsid w:val="009103F7"/>
    <w:rsid w:val="009106FB"/>
    <w:rsid w:val="00917B06"/>
    <w:rsid w:val="00920702"/>
    <w:rsid w:val="00920918"/>
    <w:rsid w:val="00921BB1"/>
    <w:rsid w:val="00922A07"/>
    <w:rsid w:val="009230A4"/>
    <w:rsid w:val="009230DF"/>
    <w:rsid w:val="00924120"/>
    <w:rsid w:val="009249C6"/>
    <w:rsid w:val="00925751"/>
    <w:rsid w:val="00926410"/>
    <w:rsid w:val="00926F23"/>
    <w:rsid w:val="0093115D"/>
    <w:rsid w:val="009315B5"/>
    <w:rsid w:val="0093164E"/>
    <w:rsid w:val="0093233D"/>
    <w:rsid w:val="00935901"/>
    <w:rsid w:val="00936252"/>
    <w:rsid w:val="00937178"/>
    <w:rsid w:val="00940860"/>
    <w:rsid w:val="00940C3C"/>
    <w:rsid w:val="00940CE0"/>
    <w:rsid w:val="00940ED5"/>
    <w:rsid w:val="00943844"/>
    <w:rsid w:val="00943A1E"/>
    <w:rsid w:val="00943D40"/>
    <w:rsid w:val="00944E92"/>
    <w:rsid w:val="00952C94"/>
    <w:rsid w:val="00954117"/>
    <w:rsid w:val="00955637"/>
    <w:rsid w:val="00955904"/>
    <w:rsid w:val="00956138"/>
    <w:rsid w:val="00960718"/>
    <w:rsid w:val="00960F75"/>
    <w:rsid w:val="00961594"/>
    <w:rsid w:val="00961AF9"/>
    <w:rsid w:val="00961DC6"/>
    <w:rsid w:val="009631B3"/>
    <w:rsid w:val="00970CDC"/>
    <w:rsid w:val="0097207B"/>
    <w:rsid w:val="0097248F"/>
    <w:rsid w:val="00972664"/>
    <w:rsid w:val="009726F6"/>
    <w:rsid w:val="0097500E"/>
    <w:rsid w:val="009768C5"/>
    <w:rsid w:val="0097775D"/>
    <w:rsid w:val="00977C2A"/>
    <w:rsid w:val="009803CE"/>
    <w:rsid w:val="0098175B"/>
    <w:rsid w:val="0098298E"/>
    <w:rsid w:val="009831E0"/>
    <w:rsid w:val="009845C2"/>
    <w:rsid w:val="0098473B"/>
    <w:rsid w:val="00984CF1"/>
    <w:rsid w:val="009874CF"/>
    <w:rsid w:val="00987665"/>
    <w:rsid w:val="009877B1"/>
    <w:rsid w:val="009877BF"/>
    <w:rsid w:val="00987CFE"/>
    <w:rsid w:val="0099193C"/>
    <w:rsid w:val="009929DD"/>
    <w:rsid w:val="00994D08"/>
    <w:rsid w:val="00994E71"/>
    <w:rsid w:val="00994FC9"/>
    <w:rsid w:val="009952DA"/>
    <w:rsid w:val="00997125"/>
    <w:rsid w:val="0099724E"/>
    <w:rsid w:val="009A0DBD"/>
    <w:rsid w:val="009A157C"/>
    <w:rsid w:val="009A254D"/>
    <w:rsid w:val="009A2E6A"/>
    <w:rsid w:val="009A2FAC"/>
    <w:rsid w:val="009A2FFD"/>
    <w:rsid w:val="009A346E"/>
    <w:rsid w:val="009A3C94"/>
    <w:rsid w:val="009A424F"/>
    <w:rsid w:val="009A4977"/>
    <w:rsid w:val="009A52FD"/>
    <w:rsid w:val="009A60CE"/>
    <w:rsid w:val="009A760E"/>
    <w:rsid w:val="009B07D7"/>
    <w:rsid w:val="009B2C1E"/>
    <w:rsid w:val="009B4577"/>
    <w:rsid w:val="009B4B90"/>
    <w:rsid w:val="009B5E75"/>
    <w:rsid w:val="009B5FAD"/>
    <w:rsid w:val="009B702B"/>
    <w:rsid w:val="009C0CB8"/>
    <w:rsid w:val="009C374D"/>
    <w:rsid w:val="009C422E"/>
    <w:rsid w:val="009C5001"/>
    <w:rsid w:val="009C5F50"/>
    <w:rsid w:val="009C6B0C"/>
    <w:rsid w:val="009C76B6"/>
    <w:rsid w:val="009C7AC0"/>
    <w:rsid w:val="009D0BE6"/>
    <w:rsid w:val="009D25A3"/>
    <w:rsid w:val="009D2821"/>
    <w:rsid w:val="009D282E"/>
    <w:rsid w:val="009D3608"/>
    <w:rsid w:val="009D717B"/>
    <w:rsid w:val="009E256A"/>
    <w:rsid w:val="009E2F7A"/>
    <w:rsid w:val="009E53A0"/>
    <w:rsid w:val="009E5549"/>
    <w:rsid w:val="009E5EDE"/>
    <w:rsid w:val="009E67EB"/>
    <w:rsid w:val="009E7987"/>
    <w:rsid w:val="009F46A4"/>
    <w:rsid w:val="009F4D46"/>
    <w:rsid w:val="009F5295"/>
    <w:rsid w:val="009F7438"/>
    <w:rsid w:val="00A00344"/>
    <w:rsid w:val="00A009E2"/>
    <w:rsid w:val="00A01728"/>
    <w:rsid w:val="00A04460"/>
    <w:rsid w:val="00A06595"/>
    <w:rsid w:val="00A10003"/>
    <w:rsid w:val="00A109BC"/>
    <w:rsid w:val="00A10FAB"/>
    <w:rsid w:val="00A11368"/>
    <w:rsid w:val="00A127E1"/>
    <w:rsid w:val="00A12808"/>
    <w:rsid w:val="00A12A5E"/>
    <w:rsid w:val="00A14109"/>
    <w:rsid w:val="00A1421A"/>
    <w:rsid w:val="00A2112B"/>
    <w:rsid w:val="00A21CCB"/>
    <w:rsid w:val="00A2251E"/>
    <w:rsid w:val="00A22E4D"/>
    <w:rsid w:val="00A25E1E"/>
    <w:rsid w:val="00A2602A"/>
    <w:rsid w:val="00A26A12"/>
    <w:rsid w:val="00A317F4"/>
    <w:rsid w:val="00A31AFF"/>
    <w:rsid w:val="00A347F5"/>
    <w:rsid w:val="00A40371"/>
    <w:rsid w:val="00A40622"/>
    <w:rsid w:val="00A40966"/>
    <w:rsid w:val="00A417B5"/>
    <w:rsid w:val="00A418E3"/>
    <w:rsid w:val="00A41BB1"/>
    <w:rsid w:val="00A4209D"/>
    <w:rsid w:val="00A431E4"/>
    <w:rsid w:val="00A43ECC"/>
    <w:rsid w:val="00A446DB"/>
    <w:rsid w:val="00A44A61"/>
    <w:rsid w:val="00A44E27"/>
    <w:rsid w:val="00A45168"/>
    <w:rsid w:val="00A45B70"/>
    <w:rsid w:val="00A46FB7"/>
    <w:rsid w:val="00A5004F"/>
    <w:rsid w:val="00A50333"/>
    <w:rsid w:val="00A507B0"/>
    <w:rsid w:val="00A5172D"/>
    <w:rsid w:val="00A5214A"/>
    <w:rsid w:val="00A52AE0"/>
    <w:rsid w:val="00A52B91"/>
    <w:rsid w:val="00A52EF2"/>
    <w:rsid w:val="00A54044"/>
    <w:rsid w:val="00A55C59"/>
    <w:rsid w:val="00A56AAB"/>
    <w:rsid w:val="00A61136"/>
    <w:rsid w:val="00A64261"/>
    <w:rsid w:val="00A64B4B"/>
    <w:rsid w:val="00A71A98"/>
    <w:rsid w:val="00A71B6A"/>
    <w:rsid w:val="00A71C5E"/>
    <w:rsid w:val="00A72028"/>
    <w:rsid w:val="00A74841"/>
    <w:rsid w:val="00A74DE7"/>
    <w:rsid w:val="00A75054"/>
    <w:rsid w:val="00A7510A"/>
    <w:rsid w:val="00A76422"/>
    <w:rsid w:val="00A76BFC"/>
    <w:rsid w:val="00A779D4"/>
    <w:rsid w:val="00A77AC3"/>
    <w:rsid w:val="00A77FF6"/>
    <w:rsid w:val="00A80F75"/>
    <w:rsid w:val="00A81243"/>
    <w:rsid w:val="00A82B1A"/>
    <w:rsid w:val="00A83B2B"/>
    <w:rsid w:val="00A84473"/>
    <w:rsid w:val="00A84C68"/>
    <w:rsid w:val="00A877AD"/>
    <w:rsid w:val="00A87D6C"/>
    <w:rsid w:val="00A90A72"/>
    <w:rsid w:val="00A91523"/>
    <w:rsid w:val="00A920D6"/>
    <w:rsid w:val="00A947EB"/>
    <w:rsid w:val="00A95867"/>
    <w:rsid w:val="00A9655A"/>
    <w:rsid w:val="00A9682F"/>
    <w:rsid w:val="00AA1D8A"/>
    <w:rsid w:val="00AA21AA"/>
    <w:rsid w:val="00AA3763"/>
    <w:rsid w:val="00AB2B74"/>
    <w:rsid w:val="00AB3A72"/>
    <w:rsid w:val="00AB3AF3"/>
    <w:rsid w:val="00AB4555"/>
    <w:rsid w:val="00AB64ED"/>
    <w:rsid w:val="00AB7653"/>
    <w:rsid w:val="00AC0887"/>
    <w:rsid w:val="00AC0A60"/>
    <w:rsid w:val="00AC0D89"/>
    <w:rsid w:val="00AC1187"/>
    <w:rsid w:val="00AC1C91"/>
    <w:rsid w:val="00AC29A3"/>
    <w:rsid w:val="00AC3136"/>
    <w:rsid w:val="00AC3DE4"/>
    <w:rsid w:val="00AC5DA6"/>
    <w:rsid w:val="00AC79C9"/>
    <w:rsid w:val="00AC7BC1"/>
    <w:rsid w:val="00AD028D"/>
    <w:rsid w:val="00AD26C6"/>
    <w:rsid w:val="00AD3943"/>
    <w:rsid w:val="00AD5B69"/>
    <w:rsid w:val="00AD7FFA"/>
    <w:rsid w:val="00AE0ADB"/>
    <w:rsid w:val="00AE18AD"/>
    <w:rsid w:val="00AE18DF"/>
    <w:rsid w:val="00AE2476"/>
    <w:rsid w:val="00AE3BB6"/>
    <w:rsid w:val="00AE6E6B"/>
    <w:rsid w:val="00AF3A96"/>
    <w:rsid w:val="00AF3ED2"/>
    <w:rsid w:val="00AF40C6"/>
    <w:rsid w:val="00AF7B22"/>
    <w:rsid w:val="00B0072A"/>
    <w:rsid w:val="00B02CCD"/>
    <w:rsid w:val="00B0348A"/>
    <w:rsid w:val="00B04DD6"/>
    <w:rsid w:val="00B05C68"/>
    <w:rsid w:val="00B06896"/>
    <w:rsid w:val="00B07069"/>
    <w:rsid w:val="00B07BFB"/>
    <w:rsid w:val="00B100B7"/>
    <w:rsid w:val="00B12025"/>
    <w:rsid w:val="00B1243E"/>
    <w:rsid w:val="00B12FE1"/>
    <w:rsid w:val="00B15D85"/>
    <w:rsid w:val="00B16DFC"/>
    <w:rsid w:val="00B17A57"/>
    <w:rsid w:val="00B202B1"/>
    <w:rsid w:val="00B21320"/>
    <w:rsid w:val="00B230A5"/>
    <w:rsid w:val="00B24231"/>
    <w:rsid w:val="00B24380"/>
    <w:rsid w:val="00B25D26"/>
    <w:rsid w:val="00B26E72"/>
    <w:rsid w:val="00B27B11"/>
    <w:rsid w:val="00B27B4D"/>
    <w:rsid w:val="00B30DEC"/>
    <w:rsid w:val="00B323E4"/>
    <w:rsid w:val="00B326D0"/>
    <w:rsid w:val="00B34B6B"/>
    <w:rsid w:val="00B35D6F"/>
    <w:rsid w:val="00B40633"/>
    <w:rsid w:val="00B41334"/>
    <w:rsid w:val="00B43A4D"/>
    <w:rsid w:val="00B45C13"/>
    <w:rsid w:val="00B47D4E"/>
    <w:rsid w:val="00B47E09"/>
    <w:rsid w:val="00B52148"/>
    <w:rsid w:val="00B524A7"/>
    <w:rsid w:val="00B52CE6"/>
    <w:rsid w:val="00B53415"/>
    <w:rsid w:val="00B561AB"/>
    <w:rsid w:val="00B5782E"/>
    <w:rsid w:val="00B60924"/>
    <w:rsid w:val="00B60A23"/>
    <w:rsid w:val="00B6115C"/>
    <w:rsid w:val="00B61D95"/>
    <w:rsid w:val="00B621B8"/>
    <w:rsid w:val="00B633E2"/>
    <w:rsid w:val="00B65647"/>
    <w:rsid w:val="00B65C39"/>
    <w:rsid w:val="00B660A8"/>
    <w:rsid w:val="00B66BA4"/>
    <w:rsid w:val="00B66ED2"/>
    <w:rsid w:val="00B67411"/>
    <w:rsid w:val="00B6757D"/>
    <w:rsid w:val="00B679DE"/>
    <w:rsid w:val="00B7164F"/>
    <w:rsid w:val="00B73261"/>
    <w:rsid w:val="00B736E3"/>
    <w:rsid w:val="00B7626A"/>
    <w:rsid w:val="00B77453"/>
    <w:rsid w:val="00B77EDF"/>
    <w:rsid w:val="00B80201"/>
    <w:rsid w:val="00B813BE"/>
    <w:rsid w:val="00B81F18"/>
    <w:rsid w:val="00B83219"/>
    <w:rsid w:val="00B83CC0"/>
    <w:rsid w:val="00B84112"/>
    <w:rsid w:val="00B842FF"/>
    <w:rsid w:val="00B8465C"/>
    <w:rsid w:val="00B84DFE"/>
    <w:rsid w:val="00B85F7B"/>
    <w:rsid w:val="00B86530"/>
    <w:rsid w:val="00B86550"/>
    <w:rsid w:val="00B901CD"/>
    <w:rsid w:val="00B9197B"/>
    <w:rsid w:val="00B938B7"/>
    <w:rsid w:val="00B94BC0"/>
    <w:rsid w:val="00B96F5C"/>
    <w:rsid w:val="00BA003C"/>
    <w:rsid w:val="00BA148A"/>
    <w:rsid w:val="00BA1DBA"/>
    <w:rsid w:val="00BA45EF"/>
    <w:rsid w:val="00BA4804"/>
    <w:rsid w:val="00BA7B34"/>
    <w:rsid w:val="00BB08BB"/>
    <w:rsid w:val="00BB0A70"/>
    <w:rsid w:val="00BB0B14"/>
    <w:rsid w:val="00BB1A0E"/>
    <w:rsid w:val="00BB1DBA"/>
    <w:rsid w:val="00BB3463"/>
    <w:rsid w:val="00BB597A"/>
    <w:rsid w:val="00BB7EB4"/>
    <w:rsid w:val="00BC1277"/>
    <w:rsid w:val="00BC26FB"/>
    <w:rsid w:val="00BC5527"/>
    <w:rsid w:val="00BC75FD"/>
    <w:rsid w:val="00BD2D04"/>
    <w:rsid w:val="00BD3E58"/>
    <w:rsid w:val="00BD4FF7"/>
    <w:rsid w:val="00BD644A"/>
    <w:rsid w:val="00BD7193"/>
    <w:rsid w:val="00BD7CDF"/>
    <w:rsid w:val="00BE0050"/>
    <w:rsid w:val="00BE06D8"/>
    <w:rsid w:val="00BE206C"/>
    <w:rsid w:val="00BE3B5B"/>
    <w:rsid w:val="00BE59D0"/>
    <w:rsid w:val="00BE6204"/>
    <w:rsid w:val="00BE683B"/>
    <w:rsid w:val="00BF1BB8"/>
    <w:rsid w:val="00BF2B1C"/>
    <w:rsid w:val="00BF4356"/>
    <w:rsid w:val="00BF5E5C"/>
    <w:rsid w:val="00BF632C"/>
    <w:rsid w:val="00BF768A"/>
    <w:rsid w:val="00C023FA"/>
    <w:rsid w:val="00C0265F"/>
    <w:rsid w:val="00C0302B"/>
    <w:rsid w:val="00C0350B"/>
    <w:rsid w:val="00C044C9"/>
    <w:rsid w:val="00C04776"/>
    <w:rsid w:val="00C11DC4"/>
    <w:rsid w:val="00C12BAE"/>
    <w:rsid w:val="00C12EE4"/>
    <w:rsid w:val="00C132FC"/>
    <w:rsid w:val="00C1459C"/>
    <w:rsid w:val="00C14D73"/>
    <w:rsid w:val="00C15775"/>
    <w:rsid w:val="00C16727"/>
    <w:rsid w:val="00C170F5"/>
    <w:rsid w:val="00C23623"/>
    <w:rsid w:val="00C24F71"/>
    <w:rsid w:val="00C30AD8"/>
    <w:rsid w:val="00C318B6"/>
    <w:rsid w:val="00C31ADD"/>
    <w:rsid w:val="00C31CAE"/>
    <w:rsid w:val="00C32D09"/>
    <w:rsid w:val="00C35C5C"/>
    <w:rsid w:val="00C379EA"/>
    <w:rsid w:val="00C414EA"/>
    <w:rsid w:val="00C41BC5"/>
    <w:rsid w:val="00C425BB"/>
    <w:rsid w:val="00C4716B"/>
    <w:rsid w:val="00C50092"/>
    <w:rsid w:val="00C53054"/>
    <w:rsid w:val="00C54E27"/>
    <w:rsid w:val="00C566C7"/>
    <w:rsid w:val="00C57B77"/>
    <w:rsid w:val="00C60CA6"/>
    <w:rsid w:val="00C612C5"/>
    <w:rsid w:val="00C62612"/>
    <w:rsid w:val="00C62ADE"/>
    <w:rsid w:val="00C637BF"/>
    <w:rsid w:val="00C64AC7"/>
    <w:rsid w:val="00C66C3F"/>
    <w:rsid w:val="00C670DC"/>
    <w:rsid w:val="00C722BE"/>
    <w:rsid w:val="00C72564"/>
    <w:rsid w:val="00C7474B"/>
    <w:rsid w:val="00C752A0"/>
    <w:rsid w:val="00C7662B"/>
    <w:rsid w:val="00C77610"/>
    <w:rsid w:val="00C80178"/>
    <w:rsid w:val="00C81410"/>
    <w:rsid w:val="00C82497"/>
    <w:rsid w:val="00C82F18"/>
    <w:rsid w:val="00C8305E"/>
    <w:rsid w:val="00C85A03"/>
    <w:rsid w:val="00C85CD7"/>
    <w:rsid w:val="00C864E5"/>
    <w:rsid w:val="00C87A13"/>
    <w:rsid w:val="00C90382"/>
    <w:rsid w:val="00C913FF"/>
    <w:rsid w:val="00C91999"/>
    <w:rsid w:val="00C91DF2"/>
    <w:rsid w:val="00C930EF"/>
    <w:rsid w:val="00C936FC"/>
    <w:rsid w:val="00C941CF"/>
    <w:rsid w:val="00C95E24"/>
    <w:rsid w:val="00C9772F"/>
    <w:rsid w:val="00C9799B"/>
    <w:rsid w:val="00CA19F5"/>
    <w:rsid w:val="00CA7642"/>
    <w:rsid w:val="00CB0253"/>
    <w:rsid w:val="00CB038A"/>
    <w:rsid w:val="00CB1839"/>
    <w:rsid w:val="00CB2025"/>
    <w:rsid w:val="00CB2C1B"/>
    <w:rsid w:val="00CB4C61"/>
    <w:rsid w:val="00CB7194"/>
    <w:rsid w:val="00CB75C0"/>
    <w:rsid w:val="00CC0C5A"/>
    <w:rsid w:val="00CC0C78"/>
    <w:rsid w:val="00CC238A"/>
    <w:rsid w:val="00CC2D17"/>
    <w:rsid w:val="00CC3260"/>
    <w:rsid w:val="00CC4D24"/>
    <w:rsid w:val="00CC51F3"/>
    <w:rsid w:val="00CC5621"/>
    <w:rsid w:val="00CC5884"/>
    <w:rsid w:val="00CD2579"/>
    <w:rsid w:val="00CD3251"/>
    <w:rsid w:val="00CD3527"/>
    <w:rsid w:val="00CD4BFA"/>
    <w:rsid w:val="00CD6450"/>
    <w:rsid w:val="00CE01AF"/>
    <w:rsid w:val="00CE18DC"/>
    <w:rsid w:val="00CE1B25"/>
    <w:rsid w:val="00CE3757"/>
    <w:rsid w:val="00CE3F36"/>
    <w:rsid w:val="00CE57FC"/>
    <w:rsid w:val="00CE5A87"/>
    <w:rsid w:val="00CE60F4"/>
    <w:rsid w:val="00CE6548"/>
    <w:rsid w:val="00CE7FC4"/>
    <w:rsid w:val="00CF196A"/>
    <w:rsid w:val="00CF3045"/>
    <w:rsid w:val="00CF368E"/>
    <w:rsid w:val="00CF4DB2"/>
    <w:rsid w:val="00CF52A9"/>
    <w:rsid w:val="00CF5507"/>
    <w:rsid w:val="00CF6886"/>
    <w:rsid w:val="00CF68E1"/>
    <w:rsid w:val="00CF6EA1"/>
    <w:rsid w:val="00CF7EDF"/>
    <w:rsid w:val="00D008DE"/>
    <w:rsid w:val="00D02165"/>
    <w:rsid w:val="00D02539"/>
    <w:rsid w:val="00D0256A"/>
    <w:rsid w:val="00D0282F"/>
    <w:rsid w:val="00D03909"/>
    <w:rsid w:val="00D0695A"/>
    <w:rsid w:val="00D07EDC"/>
    <w:rsid w:val="00D1065C"/>
    <w:rsid w:val="00D10C10"/>
    <w:rsid w:val="00D132B4"/>
    <w:rsid w:val="00D13FE7"/>
    <w:rsid w:val="00D15AF0"/>
    <w:rsid w:val="00D16742"/>
    <w:rsid w:val="00D23301"/>
    <w:rsid w:val="00D24181"/>
    <w:rsid w:val="00D24EE2"/>
    <w:rsid w:val="00D25017"/>
    <w:rsid w:val="00D26BF2"/>
    <w:rsid w:val="00D30632"/>
    <w:rsid w:val="00D34379"/>
    <w:rsid w:val="00D35725"/>
    <w:rsid w:val="00D37E6D"/>
    <w:rsid w:val="00D40B8E"/>
    <w:rsid w:val="00D40DE3"/>
    <w:rsid w:val="00D42136"/>
    <w:rsid w:val="00D424FF"/>
    <w:rsid w:val="00D42C28"/>
    <w:rsid w:val="00D42CC6"/>
    <w:rsid w:val="00D44956"/>
    <w:rsid w:val="00D45EB3"/>
    <w:rsid w:val="00D463CD"/>
    <w:rsid w:val="00D46C2D"/>
    <w:rsid w:val="00D46FA6"/>
    <w:rsid w:val="00D47C0E"/>
    <w:rsid w:val="00D50962"/>
    <w:rsid w:val="00D52145"/>
    <w:rsid w:val="00D55442"/>
    <w:rsid w:val="00D55484"/>
    <w:rsid w:val="00D5669A"/>
    <w:rsid w:val="00D62899"/>
    <w:rsid w:val="00D63364"/>
    <w:rsid w:val="00D637DD"/>
    <w:rsid w:val="00D67283"/>
    <w:rsid w:val="00D67EA9"/>
    <w:rsid w:val="00D7073E"/>
    <w:rsid w:val="00D71DF1"/>
    <w:rsid w:val="00D729DD"/>
    <w:rsid w:val="00D73041"/>
    <w:rsid w:val="00D763AD"/>
    <w:rsid w:val="00D763B0"/>
    <w:rsid w:val="00D77CD1"/>
    <w:rsid w:val="00D80C03"/>
    <w:rsid w:val="00D82C76"/>
    <w:rsid w:val="00D839E1"/>
    <w:rsid w:val="00D8504D"/>
    <w:rsid w:val="00D85875"/>
    <w:rsid w:val="00D866A0"/>
    <w:rsid w:val="00D86AD3"/>
    <w:rsid w:val="00D86FB2"/>
    <w:rsid w:val="00D87109"/>
    <w:rsid w:val="00D87404"/>
    <w:rsid w:val="00D87480"/>
    <w:rsid w:val="00D87A76"/>
    <w:rsid w:val="00D90FE9"/>
    <w:rsid w:val="00D932CD"/>
    <w:rsid w:val="00D9409D"/>
    <w:rsid w:val="00D9477A"/>
    <w:rsid w:val="00D94D49"/>
    <w:rsid w:val="00D95306"/>
    <w:rsid w:val="00D9651C"/>
    <w:rsid w:val="00D973EC"/>
    <w:rsid w:val="00D97F60"/>
    <w:rsid w:val="00DA03D5"/>
    <w:rsid w:val="00DA14FB"/>
    <w:rsid w:val="00DA22E8"/>
    <w:rsid w:val="00DA489D"/>
    <w:rsid w:val="00DA62D9"/>
    <w:rsid w:val="00DA715A"/>
    <w:rsid w:val="00DA78FB"/>
    <w:rsid w:val="00DB071F"/>
    <w:rsid w:val="00DB29D3"/>
    <w:rsid w:val="00DB3B22"/>
    <w:rsid w:val="00DB6716"/>
    <w:rsid w:val="00DB7279"/>
    <w:rsid w:val="00DC1BEA"/>
    <w:rsid w:val="00DC345B"/>
    <w:rsid w:val="00DC3900"/>
    <w:rsid w:val="00DC390A"/>
    <w:rsid w:val="00DD03B2"/>
    <w:rsid w:val="00DD2CD7"/>
    <w:rsid w:val="00DD3ED1"/>
    <w:rsid w:val="00DD5685"/>
    <w:rsid w:val="00DD57C8"/>
    <w:rsid w:val="00DE0CDD"/>
    <w:rsid w:val="00DE2A7C"/>
    <w:rsid w:val="00DE3703"/>
    <w:rsid w:val="00DE39C8"/>
    <w:rsid w:val="00DE4F32"/>
    <w:rsid w:val="00DE7117"/>
    <w:rsid w:val="00DE7CA4"/>
    <w:rsid w:val="00DE7CF5"/>
    <w:rsid w:val="00DF0008"/>
    <w:rsid w:val="00DF01EA"/>
    <w:rsid w:val="00DF0CA4"/>
    <w:rsid w:val="00DF1CBE"/>
    <w:rsid w:val="00DF2119"/>
    <w:rsid w:val="00DF3500"/>
    <w:rsid w:val="00E0056F"/>
    <w:rsid w:val="00E01385"/>
    <w:rsid w:val="00E014CC"/>
    <w:rsid w:val="00E01E48"/>
    <w:rsid w:val="00E02D91"/>
    <w:rsid w:val="00E05000"/>
    <w:rsid w:val="00E0589B"/>
    <w:rsid w:val="00E07690"/>
    <w:rsid w:val="00E10CB2"/>
    <w:rsid w:val="00E12610"/>
    <w:rsid w:val="00E1526B"/>
    <w:rsid w:val="00E15E0B"/>
    <w:rsid w:val="00E1656F"/>
    <w:rsid w:val="00E16E69"/>
    <w:rsid w:val="00E17B25"/>
    <w:rsid w:val="00E17E95"/>
    <w:rsid w:val="00E21C4E"/>
    <w:rsid w:val="00E247F4"/>
    <w:rsid w:val="00E24D88"/>
    <w:rsid w:val="00E27053"/>
    <w:rsid w:val="00E32D04"/>
    <w:rsid w:val="00E32F68"/>
    <w:rsid w:val="00E34758"/>
    <w:rsid w:val="00E35320"/>
    <w:rsid w:val="00E35B95"/>
    <w:rsid w:val="00E35EEB"/>
    <w:rsid w:val="00E36031"/>
    <w:rsid w:val="00E417F9"/>
    <w:rsid w:val="00E431D8"/>
    <w:rsid w:val="00E44C0B"/>
    <w:rsid w:val="00E45002"/>
    <w:rsid w:val="00E454E0"/>
    <w:rsid w:val="00E464B9"/>
    <w:rsid w:val="00E50082"/>
    <w:rsid w:val="00E52D3B"/>
    <w:rsid w:val="00E554FF"/>
    <w:rsid w:val="00E6065A"/>
    <w:rsid w:val="00E6086D"/>
    <w:rsid w:val="00E61C31"/>
    <w:rsid w:val="00E61FAD"/>
    <w:rsid w:val="00E629DA"/>
    <w:rsid w:val="00E62A18"/>
    <w:rsid w:val="00E66226"/>
    <w:rsid w:val="00E663A7"/>
    <w:rsid w:val="00E7076B"/>
    <w:rsid w:val="00E70B20"/>
    <w:rsid w:val="00E73BF4"/>
    <w:rsid w:val="00E749CB"/>
    <w:rsid w:val="00E74A54"/>
    <w:rsid w:val="00E7598C"/>
    <w:rsid w:val="00E75DAC"/>
    <w:rsid w:val="00E77C89"/>
    <w:rsid w:val="00E81265"/>
    <w:rsid w:val="00E81B9B"/>
    <w:rsid w:val="00E832EC"/>
    <w:rsid w:val="00E836AD"/>
    <w:rsid w:val="00E83E8C"/>
    <w:rsid w:val="00E847B1"/>
    <w:rsid w:val="00E9085E"/>
    <w:rsid w:val="00E934F0"/>
    <w:rsid w:val="00E95BA9"/>
    <w:rsid w:val="00E96599"/>
    <w:rsid w:val="00EA1BCE"/>
    <w:rsid w:val="00EA33AE"/>
    <w:rsid w:val="00EA37CB"/>
    <w:rsid w:val="00EA380A"/>
    <w:rsid w:val="00EA62D5"/>
    <w:rsid w:val="00EA67C1"/>
    <w:rsid w:val="00EA79C9"/>
    <w:rsid w:val="00EA7A69"/>
    <w:rsid w:val="00EB06B2"/>
    <w:rsid w:val="00EB1CDA"/>
    <w:rsid w:val="00EB338C"/>
    <w:rsid w:val="00EB376C"/>
    <w:rsid w:val="00EB645B"/>
    <w:rsid w:val="00EB7C69"/>
    <w:rsid w:val="00EB7DAD"/>
    <w:rsid w:val="00EC0E03"/>
    <w:rsid w:val="00EC159E"/>
    <w:rsid w:val="00EC2B59"/>
    <w:rsid w:val="00EC59E3"/>
    <w:rsid w:val="00EC6094"/>
    <w:rsid w:val="00EC7F8A"/>
    <w:rsid w:val="00ED0D44"/>
    <w:rsid w:val="00ED0FC8"/>
    <w:rsid w:val="00ED12C4"/>
    <w:rsid w:val="00ED1F99"/>
    <w:rsid w:val="00ED45C3"/>
    <w:rsid w:val="00ED4BB1"/>
    <w:rsid w:val="00ED6161"/>
    <w:rsid w:val="00ED6C2C"/>
    <w:rsid w:val="00ED7963"/>
    <w:rsid w:val="00EE2758"/>
    <w:rsid w:val="00EE2AFD"/>
    <w:rsid w:val="00EE4DBD"/>
    <w:rsid w:val="00EF0C4D"/>
    <w:rsid w:val="00EF18EC"/>
    <w:rsid w:val="00EF3AD1"/>
    <w:rsid w:val="00EF3E89"/>
    <w:rsid w:val="00EF3F0F"/>
    <w:rsid w:val="00EF4252"/>
    <w:rsid w:val="00EF5085"/>
    <w:rsid w:val="00EF76F1"/>
    <w:rsid w:val="00EF7C5B"/>
    <w:rsid w:val="00F00EF2"/>
    <w:rsid w:val="00F01386"/>
    <w:rsid w:val="00F02617"/>
    <w:rsid w:val="00F0401B"/>
    <w:rsid w:val="00F044E3"/>
    <w:rsid w:val="00F045E1"/>
    <w:rsid w:val="00F04762"/>
    <w:rsid w:val="00F05937"/>
    <w:rsid w:val="00F06117"/>
    <w:rsid w:val="00F06F36"/>
    <w:rsid w:val="00F10F5A"/>
    <w:rsid w:val="00F1133A"/>
    <w:rsid w:val="00F117CA"/>
    <w:rsid w:val="00F1271C"/>
    <w:rsid w:val="00F140DC"/>
    <w:rsid w:val="00F17D55"/>
    <w:rsid w:val="00F21562"/>
    <w:rsid w:val="00F2184E"/>
    <w:rsid w:val="00F21C89"/>
    <w:rsid w:val="00F225C0"/>
    <w:rsid w:val="00F2358F"/>
    <w:rsid w:val="00F23626"/>
    <w:rsid w:val="00F23DF3"/>
    <w:rsid w:val="00F2700E"/>
    <w:rsid w:val="00F27F93"/>
    <w:rsid w:val="00F30D4E"/>
    <w:rsid w:val="00F321B2"/>
    <w:rsid w:val="00F335A2"/>
    <w:rsid w:val="00F338F3"/>
    <w:rsid w:val="00F33E22"/>
    <w:rsid w:val="00F347D8"/>
    <w:rsid w:val="00F3603A"/>
    <w:rsid w:val="00F36E57"/>
    <w:rsid w:val="00F42488"/>
    <w:rsid w:val="00F42E69"/>
    <w:rsid w:val="00F45853"/>
    <w:rsid w:val="00F467A2"/>
    <w:rsid w:val="00F46EF9"/>
    <w:rsid w:val="00F50FF0"/>
    <w:rsid w:val="00F51816"/>
    <w:rsid w:val="00F5425A"/>
    <w:rsid w:val="00F54436"/>
    <w:rsid w:val="00F55549"/>
    <w:rsid w:val="00F613F8"/>
    <w:rsid w:val="00F617F6"/>
    <w:rsid w:val="00F6316B"/>
    <w:rsid w:val="00F66396"/>
    <w:rsid w:val="00F70510"/>
    <w:rsid w:val="00F707F2"/>
    <w:rsid w:val="00F721B7"/>
    <w:rsid w:val="00F740F3"/>
    <w:rsid w:val="00F7742B"/>
    <w:rsid w:val="00F81877"/>
    <w:rsid w:val="00F8220C"/>
    <w:rsid w:val="00F823A1"/>
    <w:rsid w:val="00F830D8"/>
    <w:rsid w:val="00F83CDC"/>
    <w:rsid w:val="00F83D29"/>
    <w:rsid w:val="00F86C88"/>
    <w:rsid w:val="00F9012A"/>
    <w:rsid w:val="00F901C4"/>
    <w:rsid w:val="00F90BF6"/>
    <w:rsid w:val="00F91F12"/>
    <w:rsid w:val="00F946B4"/>
    <w:rsid w:val="00F95B2A"/>
    <w:rsid w:val="00F978DE"/>
    <w:rsid w:val="00FA095C"/>
    <w:rsid w:val="00FA11C8"/>
    <w:rsid w:val="00FA2E7E"/>
    <w:rsid w:val="00FA4959"/>
    <w:rsid w:val="00FA7D38"/>
    <w:rsid w:val="00FB12D4"/>
    <w:rsid w:val="00FB13B6"/>
    <w:rsid w:val="00FB1531"/>
    <w:rsid w:val="00FB1BB7"/>
    <w:rsid w:val="00FB1F26"/>
    <w:rsid w:val="00FB2C35"/>
    <w:rsid w:val="00FB2E4A"/>
    <w:rsid w:val="00FB322D"/>
    <w:rsid w:val="00FB40DD"/>
    <w:rsid w:val="00FB4F56"/>
    <w:rsid w:val="00FB665B"/>
    <w:rsid w:val="00FB69CB"/>
    <w:rsid w:val="00FB6E03"/>
    <w:rsid w:val="00FC187E"/>
    <w:rsid w:val="00FC2836"/>
    <w:rsid w:val="00FC38DB"/>
    <w:rsid w:val="00FC48C8"/>
    <w:rsid w:val="00FC49B2"/>
    <w:rsid w:val="00FC79CE"/>
    <w:rsid w:val="00FC7F53"/>
    <w:rsid w:val="00FD2A26"/>
    <w:rsid w:val="00FD3147"/>
    <w:rsid w:val="00FD4BAD"/>
    <w:rsid w:val="00FD4CA9"/>
    <w:rsid w:val="00FD6628"/>
    <w:rsid w:val="00FE1AA1"/>
    <w:rsid w:val="00FE316F"/>
    <w:rsid w:val="00FE38C2"/>
    <w:rsid w:val="00FE3A40"/>
    <w:rsid w:val="00FE3B49"/>
    <w:rsid w:val="00FE3FCC"/>
    <w:rsid w:val="00FE6899"/>
    <w:rsid w:val="00FE7126"/>
    <w:rsid w:val="00FE7842"/>
    <w:rsid w:val="00FE78D7"/>
    <w:rsid w:val="00FE7F33"/>
    <w:rsid w:val="00FF09BB"/>
    <w:rsid w:val="00FF105F"/>
    <w:rsid w:val="00FF2899"/>
    <w:rsid w:val="00FF505C"/>
    <w:rsid w:val="00FF5522"/>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59C"/>
    <w:pPr>
      <w:autoSpaceDE w:val="0"/>
      <w:autoSpaceDN w:val="0"/>
      <w:adjustRightInd w:val="0"/>
    </w:pPr>
    <w:rPr>
      <w:rFonts w:ascii="Arial" w:hAnsi="Arial"/>
    </w:rPr>
  </w:style>
  <w:style w:type="paragraph" w:styleId="Heading1">
    <w:name w:val="heading 1"/>
    <w:basedOn w:val="Normal"/>
    <w:next w:val="Normal"/>
    <w:qFormat/>
    <w:rsid w:val="009B4B90"/>
    <w:pPr>
      <w:keepNext/>
      <w:numPr>
        <w:numId w:val="13"/>
      </w:numPr>
      <w:autoSpaceDE/>
      <w:autoSpaceDN/>
      <w:adjustRightInd/>
      <w:spacing w:before="240" w:after="60"/>
      <w:outlineLvl w:val="0"/>
    </w:pPr>
    <w:rPr>
      <w:rFonts w:cs="Arial"/>
      <w:b/>
      <w:bCs/>
      <w:kern w:val="32"/>
      <w:sz w:val="32"/>
      <w:szCs w:val="32"/>
    </w:rPr>
  </w:style>
  <w:style w:type="paragraph" w:styleId="Heading2">
    <w:name w:val="heading 2"/>
    <w:basedOn w:val="Normal"/>
    <w:next w:val="Normal"/>
    <w:qFormat/>
    <w:rsid w:val="009B4B90"/>
    <w:pPr>
      <w:keepNext/>
      <w:numPr>
        <w:ilvl w:val="1"/>
        <w:numId w:val="13"/>
      </w:numPr>
      <w:autoSpaceDE/>
      <w:autoSpaceDN/>
      <w:adjustRightInd/>
      <w:spacing w:before="240" w:after="60"/>
      <w:outlineLvl w:val="1"/>
    </w:pPr>
    <w:rPr>
      <w:rFonts w:cs="Arial"/>
      <w:b/>
      <w:bCs/>
      <w:i/>
      <w:iCs/>
      <w:sz w:val="28"/>
      <w:szCs w:val="28"/>
    </w:rPr>
  </w:style>
  <w:style w:type="paragraph" w:styleId="Heading3">
    <w:name w:val="heading 3"/>
    <w:basedOn w:val="Normal"/>
    <w:next w:val="Normal"/>
    <w:qFormat/>
    <w:rsid w:val="009B4B90"/>
    <w:pPr>
      <w:keepNext/>
      <w:numPr>
        <w:ilvl w:val="2"/>
        <w:numId w:val="13"/>
      </w:numPr>
      <w:autoSpaceDE/>
      <w:autoSpaceDN/>
      <w:adjustRightInd/>
      <w:spacing w:before="240" w:after="60"/>
      <w:outlineLvl w:val="2"/>
    </w:pPr>
    <w:rPr>
      <w:rFonts w:cs="Arial"/>
      <w:b/>
      <w:bCs/>
      <w:sz w:val="26"/>
      <w:szCs w:val="26"/>
    </w:rPr>
  </w:style>
  <w:style w:type="paragraph" w:styleId="Heading4">
    <w:name w:val="heading 4"/>
    <w:basedOn w:val="Normal"/>
    <w:next w:val="Normal"/>
    <w:qFormat/>
    <w:rsid w:val="009B4B90"/>
    <w:pPr>
      <w:keepNext/>
      <w:numPr>
        <w:ilvl w:val="3"/>
        <w:numId w:val="13"/>
      </w:numPr>
      <w:autoSpaceDE/>
      <w:autoSpaceDN/>
      <w:adjustRightInd/>
      <w:spacing w:before="240" w:after="60"/>
      <w:outlineLvl w:val="3"/>
    </w:pPr>
    <w:rPr>
      <w:rFonts w:ascii="Times New Roman" w:hAnsi="Times New Roman"/>
      <w:b/>
      <w:bCs/>
      <w:sz w:val="28"/>
      <w:szCs w:val="28"/>
    </w:rPr>
  </w:style>
  <w:style w:type="paragraph" w:styleId="Heading5">
    <w:name w:val="heading 5"/>
    <w:basedOn w:val="Normal"/>
    <w:next w:val="Normal"/>
    <w:qFormat/>
    <w:rsid w:val="009B4B90"/>
    <w:pPr>
      <w:numPr>
        <w:ilvl w:val="4"/>
        <w:numId w:val="13"/>
      </w:numPr>
      <w:autoSpaceDE/>
      <w:autoSpaceDN/>
      <w:adjustRightInd/>
      <w:spacing w:before="240" w:after="60"/>
      <w:outlineLvl w:val="4"/>
    </w:pPr>
    <w:rPr>
      <w:rFonts w:ascii="Times New Roman" w:hAnsi="Times New Roman"/>
      <w:b/>
      <w:bCs/>
      <w:i/>
      <w:iCs/>
      <w:sz w:val="26"/>
      <w:szCs w:val="26"/>
    </w:rPr>
  </w:style>
  <w:style w:type="paragraph" w:styleId="Heading6">
    <w:name w:val="heading 6"/>
    <w:basedOn w:val="Normal"/>
    <w:next w:val="Normal"/>
    <w:qFormat/>
    <w:rsid w:val="009B4B90"/>
    <w:pPr>
      <w:numPr>
        <w:ilvl w:val="5"/>
        <w:numId w:val="13"/>
      </w:numPr>
      <w:autoSpaceDE/>
      <w:autoSpaceDN/>
      <w:adjustRightInd/>
      <w:spacing w:before="240" w:after="60"/>
      <w:outlineLvl w:val="5"/>
    </w:pPr>
    <w:rPr>
      <w:rFonts w:ascii="Times New Roman" w:hAnsi="Times New Roman"/>
      <w:b/>
      <w:bCs/>
      <w:sz w:val="22"/>
      <w:szCs w:val="22"/>
    </w:rPr>
  </w:style>
  <w:style w:type="paragraph" w:styleId="Heading7">
    <w:name w:val="heading 7"/>
    <w:basedOn w:val="Normal"/>
    <w:next w:val="Normal"/>
    <w:qFormat/>
    <w:rsid w:val="009B4B90"/>
    <w:pPr>
      <w:numPr>
        <w:ilvl w:val="6"/>
        <w:numId w:val="13"/>
      </w:numPr>
      <w:autoSpaceDE/>
      <w:autoSpaceDN/>
      <w:adjustRightInd/>
      <w:spacing w:before="240" w:after="60"/>
      <w:outlineLvl w:val="6"/>
    </w:pPr>
    <w:rPr>
      <w:rFonts w:ascii="Times New Roman" w:hAnsi="Times New Roman"/>
      <w:sz w:val="24"/>
      <w:szCs w:val="24"/>
    </w:rPr>
  </w:style>
  <w:style w:type="paragraph" w:styleId="Heading8">
    <w:name w:val="heading 8"/>
    <w:basedOn w:val="Normal"/>
    <w:next w:val="Normal"/>
    <w:qFormat/>
    <w:rsid w:val="009B4B90"/>
    <w:pPr>
      <w:numPr>
        <w:ilvl w:val="7"/>
        <w:numId w:val="13"/>
      </w:numPr>
      <w:autoSpaceDE/>
      <w:autoSpaceDN/>
      <w:adjustRightInd/>
      <w:spacing w:before="240" w:after="60"/>
      <w:outlineLvl w:val="7"/>
    </w:pPr>
    <w:rPr>
      <w:rFonts w:ascii="Times New Roman" w:hAnsi="Times New Roman"/>
      <w:i/>
      <w:iCs/>
      <w:sz w:val="24"/>
      <w:szCs w:val="24"/>
    </w:rPr>
  </w:style>
  <w:style w:type="paragraph" w:styleId="Heading9">
    <w:name w:val="heading 9"/>
    <w:basedOn w:val="Normal"/>
    <w:next w:val="Normal"/>
    <w:qFormat/>
    <w:rsid w:val="009B4B90"/>
    <w:pPr>
      <w:numPr>
        <w:ilvl w:val="8"/>
        <w:numId w:val="13"/>
      </w:numPr>
      <w:autoSpaceDE/>
      <w:autoSpaceDN/>
      <w:adjustRightInd/>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1459C"/>
    <w:pPr>
      <w:autoSpaceDE w:val="0"/>
      <w:autoSpaceDN w:val="0"/>
      <w:adjustRightInd w:val="0"/>
      <w:ind w:left="720"/>
    </w:pPr>
    <w:rPr>
      <w:rFonts w:ascii="Arial" w:hAnsi="Arial"/>
      <w:sz w:val="24"/>
      <w:szCs w:val="24"/>
    </w:rPr>
  </w:style>
  <w:style w:type="paragraph" w:styleId="Header">
    <w:name w:val="header"/>
    <w:basedOn w:val="Normal"/>
    <w:rsid w:val="00BE6204"/>
    <w:pPr>
      <w:tabs>
        <w:tab w:val="center" w:pos="4320"/>
        <w:tab w:val="right" w:pos="8640"/>
      </w:tabs>
    </w:pPr>
  </w:style>
  <w:style w:type="paragraph" w:styleId="Footer">
    <w:name w:val="footer"/>
    <w:basedOn w:val="Normal"/>
    <w:rsid w:val="00BE6204"/>
    <w:pPr>
      <w:tabs>
        <w:tab w:val="center" w:pos="4320"/>
        <w:tab w:val="right" w:pos="8640"/>
      </w:tabs>
    </w:pPr>
  </w:style>
  <w:style w:type="paragraph" w:styleId="TOC2">
    <w:name w:val="toc 2"/>
    <w:basedOn w:val="Normal"/>
    <w:next w:val="Normal"/>
    <w:autoRedefine/>
    <w:uiPriority w:val="39"/>
    <w:rsid w:val="00362318"/>
    <w:pPr>
      <w:tabs>
        <w:tab w:val="left" w:pos="660"/>
        <w:tab w:val="right" w:leader="dot" w:pos="9350"/>
      </w:tabs>
      <w:spacing w:after="160"/>
      <w:ind w:left="202"/>
    </w:pPr>
  </w:style>
  <w:style w:type="paragraph" w:styleId="TOC3">
    <w:name w:val="toc 3"/>
    <w:basedOn w:val="Normal"/>
    <w:next w:val="Normal"/>
    <w:autoRedefine/>
    <w:uiPriority w:val="39"/>
    <w:rsid w:val="00455770"/>
    <w:pPr>
      <w:tabs>
        <w:tab w:val="left" w:pos="1100"/>
        <w:tab w:val="right" w:leader="dot" w:pos="9350"/>
      </w:tabs>
      <w:spacing w:after="160"/>
      <w:ind w:left="1080" w:hanging="680"/>
    </w:pPr>
    <w:rPr>
      <w:b/>
      <w:noProof/>
    </w:rPr>
  </w:style>
  <w:style w:type="paragraph" w:styleId="FootnoteText">
    <w:name w:val="footnote text"/>
    <w:basedOn w:val="Normal"/>
    <w:semiHidden/>
    <w:rsid w:val="00D30632"/>
  </w:style>
  <w:style w:type="character" w:styleId="FootnoteReference">
    <w:name w:val="footnote reference"/>
    <w:basedOn w:val="DefaultParagraphFont"/>
    <w:semiHidden/>
    <w:rsid w:val="00D30632"/>
    <w:rPr>
      <w:vertAlign w:val="superscript"/>
    </w:rPr>
  </w:style>
  <w:style w:type="character" w:styleId="CommentReference">
    <w:name w:val="annotation reference"/>
    <w:basedOn w:val="DefaultParagraphFont"/>
    <w:semiHidden/>
    <w:rsid w:val="00090AFC"/>
    <w:rPr>
      <w:sz w:val="16"/>
      <w:szCs w:val="16"/>
    </w:rPr>
  </w:style>
  <w:style w:type="paragraph" w:styleId="CommentText">
    <w:name w:val="annotation text"/>
    <w:basedOn w:val="Normal"/>
    <w:semiHidden/>
    <w:rsid w:val="00090AFC"/>
  </w:style>
  <w:style w:type="paragraph" w:styleId="CommentSubject">
    <w:name w:val="annotation subject"/>
    <w:basedOn w:val="CommentText"/>
    <w:next w:val="CommentText"/>
    <w:semiHidden/>
    <w:rsid w:val="00090AFC"/>
    <w:rPr>
      <w:b/>
      <w:bCs/>
    </w:rPr>
  </w:style>
  <w:style w:type="paragraph" w:styleId="BalloonText">
    <w:name w:val="Balloon Text"/>
    <w:basedOn w:val="Normal"/>
    <w:semiHidden/>
    <w:rsid w:val="00090AFC"/>
    <w:rPr>
      <w:rFonts w:ascii="Tahoma" w:hAnsi="Tahoma" w:cs="Tahoma"/>
      <w:sz w:val="16"/>
      <w:szCs w:val="16"/>
    </w:rPr>
  </w:style>
  <w:style w:type="paragraph" w:customStyle="1" w:styleId="Default">
    <w:name w:val="Default"/>
    <w:rsid w:val="00EC159E"/>
    <w:pPr>
      <w:autoSpaceDE w:val="0"/>
      <w:autoSpaceDN w:val="0"/>
      <w:adjustRightInd w:val="0"/>
    </w:pPr>
    <w:rPr>
      <w:rFonts w:ascii="Calibri" w:hAnsi="Calibri" w:cs="Calibri"/>
      <w:color w:val="000000"/>
      <w:sz w:val="24"/>
      <w:szCs w:val="24"/>
    </w:rPr>
  </w:style>
  <w:style w:type="character" w:styleId="Strong">
    <w:name w:val="Strong"/>
    <w:basedOn w:val="DefaultParagraphFont"/>
    <w:qFormat/>
    <w:rsid w:val="00DA14FB"/>
    <w:rPr>
      <w:b/>
      <w:bCs/>
    </w:rPr>
  </w:style>
  <w:style w:type="paragraph" w:customStyle="1" w:styleId="Pa2">
    <w:name w:val="Pa2"/>
    <w:basedOn w:val="Normal"/>
    <w:next w:val="Normal"/>
    <w:rsid w:val="009B4B90"/>
    <w:pPr>
      <w:spacing w:line="201" w:lineRule="atLeast"/>
    </w:pPr>
    <w:rPr>
      <w:rFonts w:ascii="Adobe Jenson Pro" w:hAnsi="Adobe Jenson Pro"/>
      <w:sz w:val="24"/>
      <w:szCs w:val="24"/>
    </w:rPr>
  </w:style>
  <w:style w:type="paragraph" w:styleId="ListParagraph">
    <w:name w:val="List Paragraph"/>
    <w:basedOn w:val="Normal"/>
    <w:uiPriority w:val="34"/>
    <w:qFormat/>
    <w:rsid w:val="000B4EA3"/>
    <w:pPr>
      <w:ind w:left="720"/>
    </w:pPr>
  </w:style>
  <w:style w:type="paragraph" w:styleId="Revision">
    <w:name w:val="Revision"/>
    <w:hidden/>
    <w:uiPriority w:val="99"/>
    <w:semiHidden/>
    <w:rsid w:val="006C7C1E"/>
    <w:rPr>
      <w:rFonts w:ascii="Arial" w:hAnsi="Arial"/>
    </w:rPr>
  </w:style>
  <w:style w:type="paragraph" w:customStyle="1" w:styleId="StyleBulleted">
    <w:name w:val="Style Bulleted"/>
    <w:basedOn w:val="Normal"/>
    <w:rsid w:val="00CB4C61"/>
    <w:pPr>
      <w:numPr>
        <w:numId w:val="26"/>
      </w:numPr>
      <w:spacing w:after="120"/>
    </w:pPr>
    <w:rPr>
      <w:rFonts w:cs="Arial"/>
      <w:sz w:val="22"/>
      <w:szCs w:val="22"/>
    </w:rPr>
  </w:style>
  <w:style w:type="paragraph" w:customStyle="1" w:styleId="TextBody">
    <w:name w:val="Text Body"/>
    <w:basedOn w:val="Normal"/>
    <w:link w:val="TextBodyChar"/>
    <w:rsid w:val="009D717B"/>
    <w:pPr>
      <w:spacing w:after="120"/>
    </w:pPr>
    <w:rPr>
      <w:rFonts w:cs="Arial"/>
      <w:sz w:val="22"/>
      <w:szCs w:val="22"/>
    </w:rPr>
  </w:style>
  <w:style w:type="character" w:customStyle="1" w:styleId="TextBodyChar">
    <w:name w:val="Text Body Char"/>
    <w:basedOn w:val="DefaultParagraphFont"/>
    <w:link w:val="TextBody"/>
    <w:rsid w:val="009D717B"/>
    <w:rPr>
      <w:rFonts w:ascii="Arial" w:hAnsi="Arial" w:cs="Arial"/>
      <w:sz w:val="22"/>
      <w:szCs w:val="22"/>
    </w:rPr>
  </w:style>
  <w:style w:type="paragraph" w:customStyle="1" w:styleId="bodyindent">
    <w:name w:val="body indent"/>
    <w:basedOn w:val="Normal"/>
    <w:rsid w:val="00D52145"/>
    <w:pPr>
      <w:spacing w:after="120"/>
      <w:ind w:left="1440"/>
    </w:pPr>
    <w:rPr>
      <w:rFonts w:cs="Arial"/>
      <w:sz w:val="22"/>
      <w:szCs w:val="22"/>
    </w:rPr>
  </w:style>
  <w:style w:type="character" w:styleId="Hyperlink">
    <w:name w:val="Hyperlink"/>
    <w:basedOn w:val="DefaultParagraphFont"/>
    <w:uiPriority w:val="99"/>
    <w:unhideWhenUsed/>
    <w:rsid w:val="00FD4BAD"/>
    <w:rPr>
      <w:b w:val="0"/>
      <w:bCs w:val="0"/>
      <w:strike w:val="0"/>
      <w:dstrike w:val="0"/>
      <w:color w:val="0000CC"/>
      <w:u w:val="none"/>
      <w:effect w:val="none"/>
    </w:rPr>
  </w:style>
  <w:style w:type="character" w:customStyle="1" w:styleId="Hypertext">
    <w:name w:val="Hypertext"/>
    <w:rsid w:val="0060193E"/>
    <w:rPr>
      <w:color w:val="0000FF"/>
      <w:u w:val="single"/>
    </w:rPr>
  </w:style>
  <w:style w:type="table" w:styleId="TableGrid">
    <w:name w:val="Table Grid"/>
    <w:basedOn w:val="TableNormal"/>
    <w:uiPriority w:val="59"/>
    <w:rsid w:val="00932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59C"/>
    <w:pPr>
      <w:autoSpaceDE w:val="0"/>
      <w:autoSpaceDN w:val="0"/>
      <w:adjustRightInd w:val="0"/>
    </w:pPr>
    <w:rPr>
      <w:rFonts w:ascii="Arial" w:hAnsi="Arial"/>
    </w:rPr>
  </w:style>
  <w:style w:type="paragraph" w:styleId="Heading1">
    <w:name w:val="heading 1"/>
    <w:basedOn w:val="Normal"/>
    <w:next w:val="Normal"/>
    <w:qFormat/>
    <w:rsid w:val="009B4B90"/>
    <w:pPr>
      <w:keepNext/>
      <w:numPr>
        <w:numId w:val="13"/>
      </w:numPr>
      <w:autoSpaceDE/>
      <w:autoSpaceDN/>
      <w:adjustRightInd/>
      <w:spacing w:before="240" w:after="60"/>
      <w:outlineLvl w:val="0"/>
    </w:pPr>
    <w:rPr>
      <w:rFonts w:cs="Arial"/>
      <w:b/>
      <w:bCs/>
      <w:kern w:val="32"/>
      <w:sz w:val="32"/>
      <w:szCs w:val="32"/>
    </w:rPr>
  </w:style>
  <w:style w:type="paragraph" w:styleId="Heading2">
    <w:name w:val="heading 2"/>
    <w:basedOn w:val="Normal"/>
    <w:next w:val="Normal"/>
    <w:qFormat/>
    <w:rsid w:val="009B4B90"/>
    <w:pPr>
      <w:keepNext/>
      <w:numPr>
        <w:ilvl w:val="1"/>
        <w:numId w:val="13"/>
      </w:numPr>
      <w:autoSpaceDE/>
      <w:autoSpaceDN/>
      <w:adjustRightInd/>
      <w:spacing w:before="240" w:after="60"/>
      <w:outlineLvl w:val="1"/>
    </w:pPr>
    <w:rPr>
      <w:rFonts w:cs="Arial"/>
      <w:b/>
      <w:bCs/>
      <w:i/>
      <w:iCs/>
      <w:sz w:val="28"/>
      <w:szCs w:val="28"/>
    </w:rPr>
  </w:style>
  <w:style w:type="paragraph" w:styleId="Heading3">
    <w:name w:val="heading 3"/>
    <w:basedOn w:val="Normal"/>
    <w:next w:val="Normal"/>
    <w:qFormat/>
    <w:rsid w:val="009B4B90"/>
    <w:pPr>
      <w:keepNext/>
      <w:numPr>
        <w:ilvl w:val="2"/>
        <w:numId w:val="13"/>
      </w:numPr>
      <w:autoSpaceDE/>
      <w:autoSpaceDN/>
      <w:adjustRightInd/>
      <w:spacing w:before="240" w:after="60"/>
      <w:outlineLvl w:val="2"/>
    </w:pPr>
    <w:rPr>
      <w:rFonts w:cs="Arial"/>
      <w:b/>
      <w:bCs/>
      <w:sz w:val="26"/>
      <w:szCs w:val="26"/>
    </w:rPr>
  </w:style>
  <w:style w:type="paragraph" w:styleId="Heading4">
    <w:name w:val="heading 4"/>
    <w:basedOn w:val="Normal"/>
    <w:next w:val="Normal"/>
    <w:qFormat/>
    <w:rsid w:val="009B4B90"/>
    <w:pPr>
      <w:keepNext/>
      <w:numPr>
        <w:ilvl w:val="3"/>
        <w:numId w:val="13"/>
      </w:numPr>
      <w:autoSpaceDE/>
      <w:autoSpaceDN/>
      <w:adjustRightInd/>
      <w:spacing w:before="240" w:after="60"/>
      <w:outlineLvl w:val="3"/>
    </w:pPr>
    <w:rPr>
      <w:rFonts w:ascii="Times New Roman" w:hAnsi="Times New Roman"/>
      <w:b/>
      <w:bCs/>
      <w:sz w:val="28"/>
      <w:szCs w:val="28"/>
    </w:rPr>
  </w:style>
  <w:style w:type="paragraph" w:styleId="Heading5">
    <w:name w:val="heading 5"/>
    <w:basedOn w:val="Normal"/>
    <w:next w:val="Normal"/>
    <w:qFormat/>
    <w:rsid w:val="009B4B90"/>
    <w:pPr>
      <w:numPr>
        <w:ilvl w:val="4"/>
        <w:numId w:val="13"/>
      </w:numPr>
      <w:autoSpaceDE/>
      <w:autoSpaceDN/>
      <w:adjustRightInd/>
      <w:spacing w:before="240" w:after="60"/>
      <w:outlineLvl w:val="4"/>
    </w:pPr>
    <w:rPr>
      <w:rFonts w:ascii="Times New Roman" w:hAnsi="Times New Roman"/>
      <w:b/>
      <w:bCs/>
      <w:i/>
      <w:iCs/>
      <w:sz w:val="26"/>
      <w:szCs w:val="26"/>
    </w:rPr>
  </w:style>
  <w:style w:type="paragraph" w:styleId="Heading6">
    <w:name w:val="heading 6"/>
    <w:basedOn w:val="Normal"/>
    <w:next w:val="Normal"/>
    <w:qFormat/>
    <w:rsid w:val="009B4B90"/>
    <w:pPr>
      <w:numPr>
        <w:ilvl w:val="5"/>
        <w:numId w:val="13"/>
      </w:numPr>
      <w:autoSpaceDE/>
      <w:autoSpaceDN/>
      <w:adjustRightInd/>
      <w:spacing w:before="240" w:after="60"/>
      <w:outlineLvl w:val="5"/>
    </w:pPr>
    <w:rPr>
      <w:rFonts w:ascii="Times New Roman" w:hAnsi="Times New Roman"/>
      <w:b/>
      <w:bCs/>
      <w:sz w:val="22"/>
      <w:szCs w:val="22"/>
    </w:rPr>
  </w:style>
  <w:style w:type="paragraph" w:styleId="Heading7">
    <w:name w:val="heading 7"/>
    <w:basedOn w:val="Normal"/>
    <w:next w:val="Normal"/>
    <w:qFormat/>
    <w:rsid w:val="009B4B90"/>
    <w:pPr>
      <w:numPr>
        <w:ilvl w:val="6"/>
        <w:numId w:val="13"/>
      </w:numPr>
      <w:autoSpaceDE/>
      <w:autoSpaceDN/>
      <w:adjustRightInd/>
      <w:spacing w:before="240" w:after="60"/>
      <w:outlineLvl w:val="6"/>
    </w:pPr>
    <w:rPr>
      <w:rFonts w:ascii="Times New Roman" w:hAnsi="Times New Roman"/>
      <w:sz w:val="24"/>
      <w:szCs w:val="24"/>
    </w:rPr>
  </w:style>
  <w:style w:type="paragraph" w:styleId="Heading8">
    <w:name w:val="heading 8"/>
    <w:basedOn w:val="Normal"/>
    <w:next w:val="Normal"/>
    <w:qFormat/>
    <w:rsid w:val="009B4B90"/>
    <w:pPr>
      <w:numPr>
        <w:ilvl w:val="7"/>
        <w:numId w:val="13"/>
      </w:numPr>
      <w:autoSpaceDE/>
      <w:autoSpaceDN/>
      <w:adjustRightInd/>
      <w:spacing w:before="240" w:after="60"/>
      <w:outlineLvl w:val="7"/>
    </w:pPr>
    <w:rPr>
      <w:rFonts w:ascii="Times New Roman" w:hAnsi="Times New Roman"/>
      <w:i/>
      <w:iCs/>
      <w:sz w:val="24"/>
      <w:szCs w:val="24"/>
    </w:rPr>
  </w:style>
  <w:style w:type="paragraph" w:styleId="Heading9">
    <w:name w:val="heading 9"/>
    <w:basedOn w:val="Normal"/>
    <w:next w:val="Normal"/>
    <w:qFormat/>
    <w:rsid w:val="009B4B90"/>
    <w:pPr>
      <w:numPr>
        <w:ilvl w:val="8"/>
        <w:numId w:val="13"/>
      </w:numPr>
      <w:autoSpaceDE/>
      <w:autoSpaceDN/>
      <w:adjustRightInd/>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1459C"/>
    <w:pPr>
      <w:autoSpaceDE w:val="0"/>
      <w:autoSpaceDN w:val="0"/>
      <w:adjustRightInd w:val="0"/>
      <w:ind w:left="720"/>
    </w:pPr>
    <w:rPr>
      <w:rFonts w:ascii="Arial" w:hAnsi="Arial"/>
      <w:sz w:val="24"/>
      <w:szCs w:val="24"/>
    </w:rPr>
  </w:style>
  <w:style w:type="paragraph" w:styleId="Header">
    <w:name w:val="header"/>
    <w:basedOn w:val="Normal"/>
    <w:rsid w:val="00BE6204"/>
    <w:pPr>
      <w:tabs>
        <w:tab w:val="center" w:pos="4320"/>
        <w:tab w:val="right" w:pos="8640"/>
      </w:tabs>
    </w:pPr>
  </w:style>
  <w:style w:type="paragraph" w:styleId="Footer">
    <w:name w:val="footer"/>
    <w:basedOn w:val="Normal"/>
    <w:rsid w:val="00BE6204"/>
    <w:pPr>
      <w:tabs>
        <w:tab w:val="center" w:pos="4320"/>
        <w:tab w:val="right" w:pos="8640"/>
      </w:tabs>
    </w:pPr>
  </w:style>
  <w:style w:type="paragraph" w:styleId="TOC2">
    <w:name w:val="toc 2"/>
    <w:basedOn w:val="Normal"/>
    <w:next w:val="Normal"/>
    <w:autoRedefine/>
    <w:uiPriority w:val="39"/>
    <w:rsid w:val="00362318"/>
    <w:pPr>
      <w:tabs>
        <w:tab w:val="left" w:pos="660"/>
        <w:tab w:val="right" w:leader="dot" w:pos="9350"/>
      </w:tabs>
      <w:spacing w:after="160"/>
      <w:ind w:left="202"/>
    </w:pPr>
  </w:style>
  <w:style w:type="paragraph" w:styleId="TOC3">
    <w:name w:val="toc 3"/>
    <w:basedOn w:val="Normal"/>
    <w:next w:val="Normal"/>
    <w:autoRedefine/>
    <w:uiPriority w:val="39"/>
    <w:rsid w:val="00455770"/>
    <w:pPr>
      <w:tabs>
        <w:tab w:val="left" w:pos="1100"/>
        <w:tab w:val="right" w:leader="dot" w:pos="9350"/>
      </w:tabs>
      <w:spacing w:after="160"/>
      <w:ind w:left="1080" w:hanging="680"/>
    </w:pPr>
    <w:rPr>
      <w:b/>
      <w:noProof/>
    </w:rPr>
  </w:style>
  <w:style w:type="paragraph" w:styleId="FootnoteText">
    <w:name w:val="footnote text"/>
    <w:basedOn w:val="Normal"/>
    <w:semiHidden/>
    <w:rsid w:val="00D30632"/>
  </w:style>
  <w:style w:type="character" w:styleId="FootnoteReference">
    <w:name w:val="footnote reference"/>
    <w:basedOn w:val="DefaultParagraphFont"/>
    <w:semiHidden/>
    <w:rsid w:val="00D30632"/>
    <w:rPr>
      <w:vertAlign w:val="superscript"/>
    </w:rPr>
  </w:style>
  <w:style w:type="character" w:styleId="CommentReference">
    <w:name w:val="annotation reference"/>
    <w:basedOn w:val="DefaultParagraphFont"/>
    <w:semiHidden/>
    <w:rsid w:val="00090AFC"/>
    <w:rPr>
      <w:sz w:val="16"/>
      <w:szCs w:val="16"/>
    </w:rPr>
  </w:style>
  <w:style w:type="paragraph" w:styleId="CommentText">
    <w:name w:val="annotation text"/>
    <w:basedOn w:val="Normal"/>
    <w:semiHidden/>
    <w:rsid w:val="00090AFC"/>
  </w:style>
  <w:style w:type="paragraph" w:styleId="CommentSubject">
    <w:name w:val="annotation subject"/>
    <w:basedOn w:val="CommentText"/>
    <w:next w:val="CommentText"/>
    <w:semiHidden/>
    <w:rsid w:val="00090AFC"/>
    <w:rPr>
      <w:b/>
      <w:bCs/>
    </w:rPr>
  </w:style>
  <w:style w:type="paragraph" w:styleId="BalloonText">
    <w:name w:val="Balloon Text"/>
    <w:basedOn w:val="Normal"/>
    <w:semiHidden/>
    <w:rsid w:val="00090AFC"/>
    <w:rPr>
      <w:rFonts w:ascii="Tahoma" w:hAnsi="Tahoma" w:cs="Tahoma"/>
      <w:sz w:val="16"/>
      <w:szCs w:val="16"/>
    </w:rPr>
  </w:style>
  <w:style w:type="paragraph" w:customStyle="1" w:styleId="Default">
    <w:name w:val="Default"/>
    <w:rsid w:val="00EC159E"/>
    <w:pPr>
      <w:autoSpaceDE w:val="0"/>
      <w:autoSpaceDN w:val="0"/>
      <w:adjustRightInd w:val="0"/>
    </w:pPr>
    <w:rPr>
      <w:rFonts w:ascii="Calibri" w:hAnsi="Calibri" w:cs="Calibri"/>
      <w:color w:val="000000"/>
      <w:sz w:val="24"/>
      <w:szCs w:val="24"/>
    </w:rPr>
  </w:style>
  <w:style w:type="character" w:styleId="Strong">
    <w:name w:val="Strong"/>
    <w:basedOn w:val="DefaultParagraphFont"/>
    <w:qFormat/>
    <w:rsid w:val="00DA14FB"/>
    <w:rPr>
      <w:b/>
      <w:bCs/>
    </w:rPr>
  </w:style>
  <w:style w:type="paragraph" w:customStyle="1" w:styleId="Pa2">
    <w:name w:val="Pa2"/>
    <w:basedOn w:val="Normal"/>
    <w:next w:val="Normal"/>
    <w:rsid w:val="009B4B90"/>
    <w:pPr>
      <w:spacing w:line="201" w:lineRule="atLeast"/>
    </w:pPr>
    <w:rPr>
      <w:rFonts w:ascii="Adobe Jenson Pro" w:hAnsi="Adobe Jenson Pro"/>
      <w:sz w:val="24"/>
      <w:szCs w:val="24"/>
    </w:rPr>
  </w:style>
  <w:style w:type="paragraph" w:styleId="ListParagraph">
    <w:name w:val="List Paragraph"/>
    <w:basedOn w:val="Normal"/>
    <w:uiPriority w:val="34"/>
    <w:qFormat/>
    <w:rsid w:val="000B4EA3"/>
    <w:pPr>
      <w:ind w:left="720"/>
    </w:pPr>
  </w:style>
  <w:style w:type="paragraph" w:styleId="Revision">
    <w:name w:val="Revision"/>
    <w:hidden/>
    <w:uiPriority w:val="99"/>
    <w:semiHidden/>
    <w:rsid w:val="006C7C1E"/>
    <w:rPr>
      <w:rFonts w:ascii="Arial" w:hAnsi="Arial"/>
    </w:rPr>
  </w:style>
  <w:style w:type="paragraph" w:customStyle="1" w:styleId="StyleBulleted">
    <w:name w:val="Style Bulleted"/>
    <w:basedOn w:val="Normal"/>
    <w:rsid w:val="00CB4C61"/>
    <w:pPr>
      <w:numPr>
        <w:numId w:val="26"/>
      </w:numPr>
      <w:spacing w:after="120"/>
    </w:pPr>
    <w:rPr>
      <w:rFonts w:cs="Arial"/>
      <w:sz w:val="22"/>
      <w:szCs w:val="22"/>
    </w:rPr>
  </w:style>
  <w:style w:type="paragraph" w:customStyle="1" w:styleId="TextBody">
    <w:name w:val="Text Body"/>
    <w:basedOn w:val="Normal"/>
    <w:link w:val="TextBodyChar"/>
    <w:rsid w:val="009D717B"/>
    <w:pPr>
      <w:spacing w:after="120"/>
    </w:pPr>
    <w:rPr>
      <w:rFonts w:cs="Arial"/>
      <w:sz w:val="22"/>
      <w:szCs w:val="22"/>
    </w:rPr>
  </w:style>
  <w:style w:type="character" w:customStyle="1" w:styleId="TextBodyChar">
    <w:name w:val="Text Body Char"/>
    <w:basedOn w:val="DefaultParagraphFont"/>
    <w:link w:val="TextBody"/>
    <w:rsid w:val="009D717B"/>
    <w:rPr>
      <w:rFonts w:ascii="Arial" w:hAnsi="Arial" w:cs="Arial"/>
      <w:sz w:val="22"/>
      <w:szCs w:val="22"/>
    </w:rPr>
  </w:style>
  <w:style w:type="paragraph" w:customStyle="1" w:styleId="bodyindent">
    <w:name w:val="body indent"/>
    <w:basedOn w:val="Normal"/>
    <w:rsid w:val="00D52145"/>
    <w:pPr>
      <w:spacing w:after="120"/>
      <w:ind w:left="1440"/>
    </w:pPr>
    <w:rPr>
      <w:rFonts w:cs="Arial"/>
      <w:sz w:val="22"/>
      <w:szCs w:val="22"/>
    </w:rPr>
  </w:style>
  <w:style w:type="character" w:styleId="Hyperlink">
    <w:name w:val="Hyperlink"/>
    <w:basedOn w:val="DefaultParagraphFont"/>
    <w:uiPriority w:val="99"/>
    <w:unhideWhenUsed/>
    <w:rsid w:val="00FD4BAD"/>
    <w:rPr>
      <w:b w:val="0"/>
      <w:bCs w:val="0"/>
      <w:strike w:val="0"/>
      <w:dstrike w:val="0"/>
      <w:color w:val="0000CC"/>
      <w:u w:val="none"/>
      <w:effect w:val="none"/>
    </w:rPr>
  </w:style>
  <w:style w:type="character" w:customStyle="1" w:styleId="Hypertext">
    <w:name w:val="Hypertext"/>
    <w:rsid w:val="0060193E"/>
    <w:rPr>
      <w:color w:val="0000FF"/>
      <w:u w:val="single"/>
    </w:rPr>
  </w:style>
  <w:style w:type="table" w:styleId="TableGrid">
    <w:name w:val="Table Grid"/>
    <w:basedOn w:val="TableNormal"/>
    <w:uiPriority w:val="59"/>
    <w:rsid w:val="00932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018">
      <w:bodyDiv w:val="1"/>
      <w:marLeft w:val="0"/>
      <w:marRight w:val="0"/>
      <w:marTop w:val="0"/>
      <w:marBottom w:val="0"/>
      <w:divBdr>
        <w:top w:val="none" w:sz="0" w:space="0" w:color="auto"/>
        <w:left w:val="none" w:sz="0" w:space="0" w:color="auto"/>
        <w:bottom w:val="none" w:sz="0" w:space="0" w:color="auto"/>
        <w:right w:val="none" w:sz="0" w:space="0" w:color="auto"/>
      </w:divBdr>
    </w:div>
    <w:div w:id="89813668">
      <w:bodyDiv w:val="1"/>
      <w:marLeft w:val="0"/>
      <w:marRight w:val="0"/>
      <w:marTop w:val="0"/>
      <w:marBottom w:val="0"/>
      <w:divBdr>
        <w:top w:val="none" w:sz="0" w:space="0" w:color="auto"/>
        <w:left w:val="none" w:sz="0" w:space="0" w:color="auto"/>
        <w:bottom w:val="none" w:sz="0" w:space="0" w:color="auto"/>
        <w:right w:val="none" w:sz="0" w:space="0" w:color="auto"/>
      </w:divBdr>
    </w:div>
    <w:div w:id="116418169">
      <w:bodyDiv w:val="1"/>
      <w:marLeft w:val="0"/>
      <w:marRight w:val="0"/>
      <w:marTop w:val="0"/>
      <w:marBottom w:val="0"/>
      <w:divBdr>
        <w:top w:val="none" w:sz="0" w:space="0" w:color="auto"/>
        <w:left w:val="none" w:sz="0" w:space="0" w:color="auto"/>
        <w:bottom w:val="none" w:sz="0" w:space="0" w:color="auto"/>
        <w:right w:val="none" w:sz="0" w:space="0" w:color="auto"/>
      </w:divBdr>
    </w:div>
    <w:div w:id="123542083">
      <w:bodyDiv w:val="1"/>
      <w:marLeft w:val="0"/>
      <w:marRight w:val="0"/>
      <w:marTop w:val="0"/>
      <w:marBottom w:val="0"/>
      <w:divBdr>
        <w:top w:val="none" w:sz="0" w:space="0" w:color="auto"/>
        <w:left w:val="none" w:sz="0" w:space="0" w:color="auto"/>
        <w:bottom w:val="none" w:sz="0" w:space="0" w:color="auto"/>
        <w:right w:val="none" w:sz="0" w:space="0" w:color="auto"/>
      </w:divBdr>
    </w:div>
    <w:div w:id="167520743">
      <w:bodyDiv w:val="1"/>
      <w:marLeft w:val="0"/>
      <w:marRight w:val="0"/>
      <w:marTop w:val="0"/>
      <w:marBottom w:val="0"/>
      <w:divBdr>
        <w:top w:val="none" w:sz="0" w:space="0" w:color="auto"/>
        <w:left w:val="none" w:sz="0" w:space="0" w:color="auto"/>
        <w:bottom w:val="none" w:sz="0" w:space="0" w:color="auto"/>
        <w:right w:val="none" w:sz="0" w:space="0" w:color="auto"/>
      </w:divBdr>
    </w:div>
    <w:div w:id="167596415">
      <w:bodyDiv w:val="1"/>
      <w:marLeft w:val="0"/>
      <w:marRight w:val="0"/>
      <w:marTop w:val="0"/>
      <w:marBottom w:val="0"/>
      <w:divBdr>
        <w:top w:val="none" w:sz="0" w:space="0" w:color="auto"/>
        <w:left w:val="none" w:sz="0" w:space="0" w:color="auto"/>
        <w:bottom w:val="none" w:sz="0" w:space="0" w:color="auto"/>
        <w:right w:val="none" w:sz="0" w:space="0" w:color="auto"/>
      </w:divBdr>
    </w:div>
    <w:div w:id="170148015">
      <w:bodyDiv w:val="1"/>
      <w:marLeft w:val="0"/>
      <w:marRight w:val="0"/>
      <w:marTop w:val="0"/>
      <w:marBottom w:val="0"/>
      <w:divBdr>
        <w:top w:val="none" w:sz="0" w:space="0" w:color="auto"/>
        <w:left w:val="none" w:sz="0" w:space="0" w:color="auto"/>
        <w:bottom w:val="none" w:sz="0" w:space="0" w:color="auto"/>
        <w:right w:val="none" w:sz="0" w:space="0" w:color="auto"/>
      </w:divBdr>
    </w:div>
    <w:div w:id="182325678">
      <w:bodyDiv w:val="1"/>
      <w:marLeft w:val="0"/>
      <w:marRight w:val="0"/>
      <w:marTop w:val="0"/>
      <w:marBottom w:val="0"/>
      <w:divBdr>
        <w:top w:val="none" w:sz="0" w:space="0" w:color="auto"/>
        <w:left w:val="none" w:sz="0" w:space="0" w:color="auto"/>
        <w:bottom w:val="none" w:sz="0" w:space="0" w:color="auto"/>
        <w:right w:val="none" w:sz="0" w:space="0" w:color="auto"/>
      </w:divBdr>
    </w:div>
    <w:div w:id="217136644">
      <w:bodyDiv w:val="1"/>
      <w:marLeft w:val="0"/>
      <w:marRight w:val="0"/>
      <w:marTop w:val="0"/>
      <w:marBottom w:val="0"/>
      <w:divBdr>
        <w:top w:val="none" w:sz="0" w:space="0" w:color="auto"/>
        <w:left w:val="none" w:sz="0" w:space="0" w:color="auto"/>
        <w:bottom w:val="none" w:sz="0" w:space="0" w:color="auto"/>
        <w:right w:val="none" w:sz="0" w:space="0" w:color="auto"/>
      </w:divBdr>
    </w:div>
    <w:div w:id="227881145">
      <w:bodyDiv w:val="1"/>
      <w:marLeft w:val="0"/>
      <w:marRight w:val="0"/>
      <w:marTop w:val="0"/>
      <w:marBottom w:val="0"/>
      <w:divBdr>
        <w:top w:val="none" w:sz="0" w:space="0" w:color="auto"/>
        <w:left w:val="none" w:sz="0" w:space="0" w:color="auto"/>
        <w:bottom w:val="none" w:sz="0" w:space="0" w:color="auto"/>
        <w:right w:val="none" w:sz="0" w:space="0" w:color="auto"/>
      </w:divBdr>
    </w:div>
    <w:div w:id="285045802">
      <w:bodyDiv w:val="1"/>
      <w:marLeft w:val="0"/>
      <w:marRight w:val="0"/>
      <w:marTop w:val="0"/>
      <w:marBottom w:val="0"/>
      <w:divBdr>
        <w:top w:val="none" w:sz="0" w:space="0" w:color="auto"/>
        <w:left w:val="none" w:sz="0" w:space="0" w:color="auto"/>
        <w:bottom w:val="none" w:sz="0" w:space="0" w:color="auto"/>
        <w:right w:val="none" w:sz="0" w:space="0" w:color="auto"/>
      </w:divBdr>
    </w:div>
    <w:div w:id="298192757">
      <w:bodyDiv w:val="1"/>
      <w:marLeft w:val="0"/>
      <w:marRight w:val="0"/>
      <w:marTop w:val="0"/>
      <w:marBottom w:val="0"/>
      <w:divBdr>
        <w:top w:val="none" w:sz="0" w:space="0" w:color="auto"/>
        <w:left w:val="none" w:sz="0" w:space="0" w:color="auto"/>
        <w:bottom w:val="none" w:sz="0" w:space="0" w:color="auto"/>
        <w:right w:val="none" w:sz="0" w:space="0" w:color="auto"/>
      </w:divBdr>
    </w:div>
    <w:div w:id="301546018">
      <w:bodyDiv w:val="1"/>
      <w:marLeft w:val="0"/>
      <w:marRight w:val="0"/>
      <w:marTop w:val="0"/>
      <w:marBottom w:val="0"/>
      <w:divBdr>
        <w:top w:val="none" w:sz="0" w:space="0" w:color="auto"/>
        <w:left w:val="none" w:sz="0" w:space="0" w:color="auto"/>
        <w:bottom w:val="none" w:sz="0" w:space="0" w:color="auto"/>
        <w:right w:val="none" w:sz="0" w:space="0" w:color="auto"/>
      </w:divBdr>
    </w:div>
    <w:div w:id="317345007">
      <w:bodyDiv w:val="1"/>
      <w:marLeft w:val="0"/>
      <w:marRight w:val="0"/>
      <w:marTop w:val="0"/>
      <w:marBottom w:val="0"/>
      <w:divBdr>
        <w:top w:val="none" w:sz="0" w:space="0" w:color="auto"/>
        <w:left w:val="none" w:sz="0" w:space="0" w:color="auto"/>
        <w:bottom w:val="none" w:sz="0" w:space="0" w:color="auto"/>
        <w:right w:val="none" w:sz="0" w:space="0" w:color="auto"/>
      </w:divBdr>
    </w:div>
    <w:div w:id="356932169">
      <w:bodyDiv w:val="1"/>
      <w:marLeft w:val="0"/>
      <w:marRight w:val="0"/>
      <w:marTop w:val="0"/>
      <w:marBottom w:val="0"/>
      <w:divBdr>
        <w:top w:val="none" w:sz="0" w:space="0" w:color="auto"/>
        <w:left w:val="none" w:sz="0" w:space="0" w:color="auto"/>
        <w:bottom w:val="none" w:sz="0" w:space="0" w:color="auto"/>
        <w:right w:val="none" w:sz="0" w:space="0" w:color="auto"/>
      </w:divBdr>
    </w:div>
    <w:div w:id="365447341">
      <w:bodyDiv w:val="1"/>
      <w:marLeft w:val="0"/>
      <w:marRight w:val="0"/>
      <w:marTop w:val="0"/>
      <w:marBottom w:val="0"/>
      <w:divBdr>
        <w:top w:val="none" w:sz="0" w:space="0" w:color="auto"/>
        <w:left w:val="none" w:sz="0" w:space="0" w:color="auto"/>
        <w:bottom w:val="none" w:sz="0" w:space="0" w:color="auto"/>
        <w:right w:val="none" w:sz="0" w:space="0" w:color="auto"/>
      </w:divBdr>
    </w:div>
    <w:div w:id="382024907">
      <w:bodyDiv w:val="1"/>
      <w:marLeft w:val="0"/>
      <w:marRight w:val="0"/>
      <w:marTop w:val="0"/>
      <w:marBottom w:val="0"/>
      <w:divBdr>
        <w:top w:val="none" w:sz="0" w:space="0" w:color="auto"/>
        <w:left w:val="none" w:sz="0" w:space="0" w:color="auto"/>
        <w:bottom w:val="none" w:sz="0" w:space="0" w:color="auto"/>
        <w:right w:val="none" w:sz="0" w:space="0" w:color="auto"/>
      </w:divBdr>
    </w:div>
    <w:div w:id="387529893">
      <w:bodyDiv w:val="1"/>
      <w:marLeft w:val="0"/>
      <w:marRight w:val="0"/>
      <w:marTop w:val="0"/>
      <w:marBottom w:val="0"/>
      <w:divBdr>
        <w:top w:val="none" w:sz="0" w:space="0" w:color="auto"/>
        <w:left w:val="none" w:sz="0" w:space="0" w:color="auto"/>
        <w:bottom w:val="none" w:sz="0" w:space="0" w:color="auto"/>
        <w:right w:val="none" w:sz="0" w:space="0" w:color="auto"/>
      </w:divBdr>
    </w:div>
    <w:div w:id="455370288">
      <w:bodyDiv w:val="1"/>
      <w:marLeft w:val="0"/>
      <w:marRight w:val="0"/>
      <w:marTop w:val="0"/>
      <w:marBottom w:val="0"/>
      <w:divBdr>
        <w:top w:val="none" w:sz="0" w:space="0" w:color="auto"/>
        <w:left w:val="none" w:sz="0" w:space="0" w:color="auto"/>
        <w:bottom w:val="none" w:sz="0" w:space="0" w:color="auto"/>
        <w:right w:val="none" w:sz="0" w:space="0" w:color="auto"/>
      </w:divBdr>
    </w:div>
    <w:div w:id="464468460">
      <w:bodyDiv w:val="1"/>
      <w:marLeft w:val="0"/>
      <w:marRight w:val="0"/>
      <w:marTop w:val="0"/>
      <w:marBottom w:val="0"/>
      <w:divBdr>
        <w:top w:val="none" w:sz="0" w:space="0" w:color="auto"/>
        <w:left w:val="none" w:sz="0" w:space="0" w:color="auto"/>
        <w:bottom w:val="none" w:sz="0" w:space="0" w:color="auto"/>
        <w:right w:val="none" w:sz="0" w:space="0" w:color="auto"/>
      </w:divBdr>
    </w:div>
    <w:div w:id="499545759">
      <w:bodyDiv w:val="1"/>
      <w:marLeft w:val="0"/>
      <w:marRight w:val="0"/>
      <w:marTop w:val="0"/>
      <w:marBottom w:val="0"/>
      <w:divBdr>
        <w:top w:val="none" w:sz="0" w:space="0" w:color="auto"/>
        <w:left w:val="none" w:sz="0" w:space="0" w:color="auto"/>
        <w:bottom w:val="none" w:sz="0" w:space="0" w:color="auto"/>
        <w:right w:val="none" w:sz="0" w:space="0" w:color="auto"/>
      </w:divBdr>
    </w:div>
    <w:div w:id="518855474">
      <w:bodyDiv w:val="1"/>
      <w:marLeft w:val="0"/>
      <w:marRight w:val="0"/>
      <w:marTop w:val="0"/>
      <w:marBottom w:val="0"/>
      <w:divBdr>
        <w:top w:val="none" w:sz="0" w:space="0" w:color="auto"/>
        <w:left w:val="none" w:sz="0" w:space="0" w:color="auto"/>
        <w:bottom w:val="none" w:sz="0" w:space="0" w:color="auto"/>
        <w:right w:val="none" w:sz="0" w:space="0" w:color="auto"/>
      </w:divBdr>
    </w:div>
    <w:div w:id="537426358">
      <w:bodyDiv w:val="1"/>
      <w:marLeft w:val="0"/>
      <w:marRight w:val="0"/>
      <w:marTop w:val="0"/>
      <w:marBottom w:val="0"/>
      <w:divBdr>
        <w:top w:val="none" w:sz="0" w:space="0" w:color="auto"/>
        <w:left w:val="none" w:sz="0" w:space="0" w:color="auto"/>
        <w:bottom w:val="none" w:sz="0" w:space="0" w:color="auto"/>
        <w:right w:val="none" w:sz="0" w:space="0" w:color="auto"/>
      </w:divBdr>
    </w:div>
    <w:div w:id="537742242">
      <w:bodyDiv w:val="1"/>
      <w:marLeft w:val="0"/>
      <w:marRight w:val="0"/>
      <w:marTop w:val="0"/>
      <w:marBottom w:val="0"/>
      <w:divBdr>
        <w:top w:val="none" w:sz="0" w:space="0" w:color="auto"/>
        <w:left w:val="none" w:sz="0" w:space="0" w:color="auto"/>
        <w:bottom w:val="none" w:sz="0" w:space="0" w:color="auto"/>
        <w:right w:val="none" w:sz="0" w:space="0" w:color="auto"/>
      </w:divBdr>
    </w:div>
    <w:div w:id="550266651">
      <w:bodyDiv w:val="1"/>
      <w:marLeft w:val="0"/>
      <w:marRight w:val="0"/>
      <w:marTop w:val="0"/>
      <w:marBottom w:val="0"/>
      <w:divBdr>
        <w:top w:val="none" w:sz="0" w:space="0" w:color="auto"/>
        <w:left w:val="none" w:sz="0" w:space="0" w:color="auto"/>
        <w:bottom w:val="none" w:sz="0" w:space="0" w:color="auto"/>
        <w:right w:val="none" w:sz="0" w:space="0" w:color="auto"/>
      </w:divBdr>
    </w:div>
    <w:div w:id="554702696">
      <w:bodyDiv w:val="1"/>
      <w:marLeft w:val="0"/>
      <w:marRight w:val="0"/>
      <w:marTop w:val="0"/>
      <w:marBottom w:val="0"/>
      <w:divBdr>
        <w:top w:val="none" w:sz="0" w:space="0" w:color="auto"/>
        <w:left w:val="none" w:sz="0" w:space="0" w:color="auto"/>
        <w:bottom w:val="none" w:sz="0" w:space="0" w:color="auto"/>
        <w:right w:val="none" w:sz="0" w:space="0" w:color="auto"/>
      </w:divBdr>
    </w:div>
    <w:div w:id="560870586">
      <w:bodyDiv w:val="1"/>
      <w:marLeft w:val="0"/>
      <w:marRight w:val="0"/>
      <w:marTop w:val="0"/>
      <w:marBottom w:val="0"/>
      <w:divBdr>
        <w:top w:val="none" w:sz="0" w:space="0" w:color="auto"/>
        <w:left w:val="none" w:sz="0" w:space="0" w:color="auto"/>
        <w:bottom w:val="none" w:sz="0" w:space="0" w:color="auto"/>
        <w:right w:val="none" w:sz="0" w:space="0" w:color="auto"/>
      </w:divBdr>
    </w:div>
    <w:div w:id="597101973">
      <w:bodyDiv w:val="1"/>
      <w:marLeft w:val="0"/>
      <w:marRight w:val="0"/>
      <w:marTop w:val="0"/>
      <w:marBottom w:val="0"/>
      <w:divBdr>
        <w:top w:val="none" w:sz="0" w:space="0" w:color="auto"/>
        <w:left w:val="none" w:sz="0" w:space="0" w:color="auto"/>
        <w:bottom w:val="none" w:sz="0" w:space="0" w:color="auto"/>
        <w:right w:val="none" w:sz="0" w:space="0" w:color="auto"/>
      </w:divBdr>
    </w:div>
    <w:div w:id="608437965">
      <w:bodyDiv w:val="1"/>
      <w:marLeft w:val="0"/>
      <w:marRight w:val="0"/>
      <w:marTop w:val="0"/>
      <w:marBottom w:val="0"/>
      <w:divBdr>
        <w:top w:val="none" w:sz="0" w:space="0" w:color="auto"/>
        <w:left w:val="none" w:sz="0" w:space="0" w:color="auto"/>
        <w:bottom w:val="none" w:sz="0" w:space="0" w:color="auto"/>
        <w:right w:val="none" w:sz="0" w:space="0" w:color="auto"/>
      </w:divBdr>
    </w:div>
    <w:div w:id="615798691">
      <w:bodyDiv w:val="1"/>
      <w:marLeft w:val="0"/>
      <w:marRight w:val="0"/>
      <w:marTop w:val="0"/>
      <w:marBottom w:val="0"/>
      <w:divBdr>
        <w:top w:val="none" w:sz="0" w:space="0" w:color="auto"/>
        <w:left w:val="none" w:sz="0" w:space="0" w:color="auto"/>
        <w:bottom w:val="none" w:sz="0" w:space="0" w:color="auto"/>
        <w:right w:val="none" w:sz="0" w:space="0" w:color="auto"/>
      </w:divBdr>
    </w:div>
    <w:div w:id="658113632">
      <w:bodyDiv w:val="1"/>
      <w:marLeft w:val="0"/>
      <w:marRight w:val="0"/>
      <w:marTop w:val="0"/>
      <w:marBottom w:val="0"/>
      <w:divBdr>
        <w:top w:val="none" w:sz="0" w:space="0" w:color="auto"/>
        <w:left w:val="none" w:sz="0" w:space="0" w:color="auto"/>
        <w:bottom w:val="none" w:sz="0" w:space="0" w:color="auto"/>
        <w:right w:val="none" w:sz="0" w:space="0" w:color="auto"/>
      </w:divBdr>
    </w:div>
    <w:div w:id="772898786">
      <w:bodyDiv w:val="1"/>
      <w:marLeft w:val="0"/>
      <w:marRight w:val="0"/>
      <w:marTop w:val="0"/>
      <w:marBottom w:val="0"/>
      <w:divBdr>
        <w:top w:val="none" w:sz="0" w:space="0" w:color="auto"/>
        <w:left w:val="none" w:sz="0" w:space="0" w:color="auto"/>
        <w:bottom w:val="none" w:sz="0" w:space="0" w:color="auto"/>
        <w:right w:val="none" w:sz="0" w:space="0" w:color="auto"/>
      </w:divBdr>
    </w:div>
    <w:div w:id="782072884">
      <w:bodyDiv w:val="1"/>
      <w:marLeft w:val="0"/>
      <w:marRight w:val="0"/>
      <w:marTop w:val="0"/>
      <w:marBottom w:val="0"/>
      <w:divBdr>
        <w:top w:val="none" w:sz="0" w:space="0" w:color="auto"/>
        <w:left w:val="none" w:sz="0" w:space="0" w:color="auto"/>
        <w:bottom w:val="none" w:sz="0" w:space="0" w:color="auto"/>
        <w:right w:val="none" w:sz="0" w:space="0" w:color="auto"/>
      </w:divBdr>
    </w:div>
    <w:div w:id="788547421">
      <w:bodyDiv w:val="1"/>
      <w:marLeft w:val="0"/>
      <w:marRight w:val="0"/>
      <w:marTop w:val="0"/>
      <w:marBottom w:val="0"/>
      <w:divBdr>
        <w:top w:val="none" w:sz="0" w:space="0" w:color="auto"/>
        <w:left w:val="none" w:sz="0" w:space="0" w:color="auto"/>
        <w:bottom w:val="none" w:sz="0" w:space="0" w:color="auto"/>
        <w:right w:val="none" w:sz="0" w:space="0" w:color="auto"/>
      </w:divBdr>
    </w:div>
    <w:div w:id="804279140">
      <w:bodyDiv w:val="1"/>
      <w:marLeft w:val="0"/>
      <w:marRight w:val="0"/>
      <w:marTop w:val="0"/>
      <w:marBottom w:val="0"/>
      <w:divBdr>
        <w:top w:val="none" w:sz="0" w:space="0" w:color="auto"/>
        <w:left w:val="none" w:sz="0" w:space="0" w:color="auto"/>
        <w:bottom w:val="none" w:sz="0" w:space="0" w:color="auto"/>
        <w:right w:val="none" w:sz="0" w:space="0" w:color="auto"/>
      </w:divBdr>
    </w:div>
    <w:div w:id="814837061">
      <w:bodyDiv w:val="1"/>
      <w:marLeft w:val="0"/>
      <w:marRight w:val="0"/>
      <w:marTop w:val="0"/>
      <w:marBottom w:val="0"/>
      <w:divBdr>
        <w:top w:val="none" w:sz="0" w:space="0" w:color="auto"/>
        <w:left w:val="none" w:sz="0" w:space="0" w:color="auto"/>
        <w:bottom w:val="none" w:sz="0" w:space="0" w:color="auto"/>
        <w:right w:val="none" w:sz="0" w:space="0" w:color="auto"/>
      </w:divBdr>
    </w:div>
    <w:div w:id="820736811">
      <w:bodyDiv w:val="1"/>
      <w:marLeft w:val="0"/>
      <w:marRight w:val="0"/>
      <w:marTop w:val="0"/>
      <w:marBottom w:val="0"/>
      <w:divBdr>
        <w:top w:val="none" w:sz="0" w:space="0" w:color="auto"/>
        <w:left w:val="none" w:sz="0" w:space="0" w:color="auto"/>
        <w:bottom w:val="none" w:sz="0" w:space="0" w:color="auto"/>
        <w:right w:val="none" w:sz="0" w:space="0" w:color="auto"/>
      </w:divBdr>
    </w:div>
    <w:div w:id="823593032">
      <w:bodyDiv w:val="1"/>
      <w:marLeft w:val="0"/>
      <w:marRight w:val="0"/>
      <w:marTop w:val="0"/>
      <w:marBottom w:val="0"/>
      <w:divBdr>
        <w:top w:val="none" w:sz="0" w:space="0" w:color="auto"/>
        <w:left w:val="none" w:sz="0" w:space="0" w:color="auto"/>
        <w:bottom w:val="none" w:sz="0" w:space="0" w:color="auto"/>
        <w:right w:val="none" w:sz="0" w:space="0" w:color="auto"/>
      </w:divBdr>
    </w:div>
    <w:div w:id="826046784">
      <w:bodyDiv w:val="1"/>
      <w:marLeft w:val="0"/>
      <w:marRight w:val="0"/>
      <w:marTop w:val="0"/>
      <w:marBottom w:val="0"/>
      <w:divBdr>
        <w:top w:val="none" w:sz="0" w:space="0" w:color="auto"/>
        <w:left w:val="none" w:sz="0" w:space="0" w:color="auto"/>
        <w:bottom w:val="none" w:sz="0" w:space="0" w:color="auto"/>
        <w:right w:val="none" w:sz="0" w:space="0" w:color="auto"/>
      </w:divBdr>
    </w:div>
    <w:div w:id="830217096">
      <w:bodyDiv w:val="1"/>
      <w:marLeft w:val="0"/>
      <w:marRight w:val="0"/>
      <w:marTop w:val="0"/>
      <w:marBottom w:val="0"/>
      <w:divBdr>
        <w:top w:val="none" w:sz="0" w:space="0" w:color="auto"/>
        <w:left w:val="none" w:sz="0" w:space="0" w:color="auto"/>
        <w:bottom w:val="none" w:sz="0" w:space="0" w:color="auto"/>
        <w:right w:val="none" w:sz="0" w:space="0" w:color="auto"/>
      </w:divBdr>
    </w:div>
    <w:div w:id="840316356">
      <w:bodyDiv w:val="1"/>
      <w:marLeft w:val="0"/>
      <w:marRight w:val="0"/>
      <w:marTop w:val="0"/>
      <w:marBottom w:val="0"/>
      <w:divBdr>
        <w:top w:val="none" w:sz="0" w:space="0" w:color="auto"/>
        <w:left w:val="none" w:sz="0" w:space="0" w:color="auto"/>
        <w:bottom w:val="none" w:sz="0" w:space="0" w:color="auto"/>
        <w:right w:val="none" w:sz="0" w:space="0" w:color="auto"/>
      </w:divBdr>
    </w:div>
    <w:div w:id="865947491">
      <w:bodyDiv w:val="1"/>
      <w:marLeft w:val="0"/>
      <w:marRight w:val="0"/>
      <w:marTop w:val="0"/>
      <w:marBottom w:val="0"/>
      <w:divBdr>
        <w:top w:val="none" w:sz="0" w:space="0" w:color="auto"/>
        <w:left w:val="none" w:sz="0" w:space="0" w:color="auto"/>
        <w:bottom w:val="none" w:sz="0" w:space="0" w:color="auto"/>
        <w:right w:val="none" w:sz="0" w:space="0" w:color="auto"/>
      </w:divBdr>
    </w:div>
    <w:div w:id="925697283">
      <w:bodyDiv w:val="1"/>
      <w:marLeft w:val="0"/>
      <w:marRight w:val="0"/>
      <w:marTop w:val="0"/>
      <w:marBottom w:val="0"/>
      <w:divBdr>
        <w:top w:val="none" w:sz="0" w:space="0" w:color="auto"/>
        <w:left w:val="none" w:sz="0" w:space="0" w:color="auto"/>
        <w:bottom w:val="none" w:sz="0" w:space="0" w:color="auto"/>
        <w:right w:val="none" w:sz="0" w:space="0" w:color="auto"/>
      </w:divBdr>
    </w:div>
    <w:div w:id="928734141">
      <w:bodyDiv w:val="1"/>
      <w:marLeft w:val="0"/>
      <w:marRight w:val="0"/>
      <w:marTop w:val="0"/>
      <w:marBottom w:val="0"/>
      <w:divBdr>
        <w:top w:val="none" w:sz="0" w:space="0" w:color="auto"/>
        <w:left w:val="none" w:sz="0" w:space="0" w:color="auto"/>
        <w:bottom w:val="none" w:sz="0" w:space="0" w:color="auto"/>
        <w:right w:val="none" w:sz="0" w:space="0" w:color="auto"/>
      </w:divBdr>
    </w:div>
    <w:div w:id="956445431">
      <w:bodyDiv w:val="1"/>
      <w:marLeft w:val="0"/>
      <w:marRight w:val="0"/>
      <w:marTop w:val="0"/>
      <w:marBottom w:val="0"/>
      <w:divBdr>
        <w:top w:val="none" w:sz="0" w:space="0" w:color="auto"/>
        <w:left w:val="none" w:sz="0" w:space="0" w:color="auto"/>
        <w:bottom w:val="none" w:sz="0" w:space="0" w:color="auto"/>
        <w:right w:val="none" w:sz="0" w:space="0" w:color="auto"/>
      </w:divBdr>
    </w:div>
    <w:div w:id="1007709808">
      <w:bodyDiv w:val="1"/>
      <w:marLeft w:val="0"/>
      <w:marRight w:val="0"/>
      <w:marTop w:val="0"/>
      <w:marBottom w:val="0"/>
      <w:divBdr>
        <w:top w:val="none" w:sz="0" w:space="0" w:color="auto"/>
        <w:left w:val="none" w:sz="0" w:space="0" w:color="auto"/>
        <w:bottom w:val="none" w:sz="0" w:space="0" w:color="auto"/>
        <w:right w:val="none" w:sz="0" w:space="0" w:color="auto"/>
      </w:divBdr>
    </w:div>
    <w:div w:id="1017460634">
      <w:bodyDiv w:val="1"/>
      <w:marLeft w:val="0"/>
      <w:marRight w:val="0"/>
      <w:marTop w:val="0"/>
      <w:marBottom w:val="0"/>
      <w:divBdr>
        <w:top w:val="none" w:sz="0" w:space="0" w:color="auto"/>
        <w:left w:val="none" w:sz="0" w:space="0" w:color="auto"/>
        <w:bottom w:val="none" w:sz="0" w:space="0" w:color="auto"/>
        <w:right w:val="none" w:sz="0" w:space="0" w:color="auto"/>
      </w:divBdr>
    </w:div>
    <w:div w:id="1047993964">
      <w:bodyDiv w:val="1"/>
      <w:marLeft w:val="0"/>
      <w:marRight w:val="0"/>
      <w:marTop w:val="0"/>
      <w:marBottom w:val="0"/>
      <w:divBdr>
        <w:top w:val="none" w:sz="0" w:space="0" w:color="auto"/>
        <w:left w:val="none" w:sz="0" w:space="0" w:color="auto"/>
        <w:bottom w:val="none" w:sz="0" w:space="0" w:color="auto"/>
        <w:right w:val="none" w:sz="0" w:space="0" w:color="auto"/>
      </w:divBdr>
    </w:div>
    <w:div w:id="1063139282">
      <w:bodyDiv w:val="1"/>
      <w:marLeft w:val="0"/>
      <w:marRight w:val="0"/>
      <w:marTop w:val="0"/>
      <w:marBottom w:val="0"/>
      <w:divBdr>
        <w:top w:val="none" w:sz="0" w:space="0" w:color="auto"/>
        <w:left w:val="none" w:sz="0" w:space="0" w:color="auto"/>
        <w:bottom w:val="none" w:sz="0" w:space="0" w:color="auto"/>
        <w:right w:val="none" w:sz="0" w:space="0" w:color="auto"/>
      </w:divBdr>
    </w:div>
    <w:div w:id="1079406188">
      <w:bodyDiv w:val="1"/>
      <w:marLeft w:val="0"/>
      <w:marRight w:val="0"/>
      <w:marTop w:val="0"/>
      <w:marBottom w:val="0"/>
      <w:divBdr>
        <w:top w:val="none" w:sz="0" w:space="0" w:color="auto"/>
        <w:left w:val="none" w:sz="0" w:space="0" w:color="auto"/>
        <w:bottom w:val="none" w:sz="0" w:space="0" w:color="auto"/>
        <w:right w:val="none" w:sz="0" w:space="0" w:color="auto"/>
      </w:divBdr>
    </w:div>
    <w:div w:id="1132096246">
      <w:bodyDiv w:val="1"/>
      <w:marLeft w:val="0"/>
      <w:marRight w:val="0"/>
      <w:marTop w:val="0"/>
      <w:marBottom w:val="0"/>
      <w:divBdr>
        <w:top w:val="none" w:sz="0" w:space="0" w:color="auto"/>
        <w:left w:val="none" w:sz="0" w:space="0" w:color="auto"/>
        <w:bottom w:val="none" w:sz="0" w:space="0" w:color="auto"/>
        <w:right w:val="none" w:sz="0" w:space="0" w:color="auto"/>
      </w:divBdr>
    </w:div>
    <w:div w:id="1135874585">
      <w:bodyDiv w:val="1"/>
      <w:marLeft w:val="0"/>
      <w:marRight w:val="0"/>
      <w:marTop w:val="0"/>
      <w:marBottom w:val="0"/>
      <w:divBdr>
        <w:top w:val="none" w:sz="0" w:space="0" w:color="auto"/>
        <w:left w:val="none" w:sz="0" w:space="0" w:color="auto"/>
        <w:bottom w:val="none" w:sz="0" w:space="0" w:color="auto"/>
        <w:right w:val="none" w:sz="0" w:space="0" w:color="auto"/>
      </w:divBdr>
    </w:div>
    <w:div w:id="1139807362">
      <w:bodyDiv w:val="1"/>
      <w:marLeft w:val="0"/>
      <w:marRight w:val="0"/>
      <w:marTop w:val="0"/>
      <w:marBottom w:val="0"/>
      <w:divBdr>
        <w:top w:val="none" w:sz="0" w:space="0" w:color="auto"/>
        <w:left w:val="none" w:sz="0" w:space="0" w:color="auto"/>
        <w:bottom w:val="none" w:sz="0" w:space="0" w:color="auto"/>
        <w:right w:val="none" w:sz="0" w:space="0" w:color="auto"/>
      </w:divBdr>
    </w:div>
    <w:div w:id="1160579951">
      <w:bodyDiv w:val="1"/>
      <w:marLeft w:val="0"/>
      <w:marRight w:val="0"/>
      <w:marTop w:val="0"/>
      <w:marBottom w:val="0"/>
      <w:divBdr>
        <w:top w:val="none" w:sz="0" w:space="0" w:color="auto"/>
        <w:left w:val="none" w:sz="0" w:space="0" w:color="auto"/>
        <w:bottom w:val="none" w:sz="0" w:space="0" w:color="auto"/>
        <w:right w:val="none" w:sz="0" w:space="0" w:color="auto"/>
      </w:divBdr>
    </w:div>
    <w:div w:id="1169443554">
      <w:bodyDiv w:val="1"/>
      <w:marLeft w:val="0"/>
      <w:marRight w:val="0"/>
      <w:marTop w:val="0"/>
      <w:marBottom w:val="0"/>
      <w:divBdr>
        <w:top w:val="none" w:sz="0" w:space="0" w:color="auto"/>
        <w:left w:val="none" w:sz="0" w:space="0" w:color="auto"/>
        <w:bottom w:val="none" w:sz="0" w:space="0" w:color="auto"/>
        <w:right w:val="none" w:sz="0" w:space="0" w:color="auto"/>
      </w:divBdr>
    </w:div>
    <w:div w:id="1200240698">
      <w:bodyDiv w:val="1"/>
      <w:marLeft w:val="0"/>
      <w:marRight w:val="0"/>
      <w:marTop w:val="0"/>
      <w:marBottom w:val="0"/>
      <w:divBdr>
        <w:top w:val="none" w:sz="0" w:space="0" w:color="auto"/>
        <w:left w:val="none" w:sz="0" w:space="0" w:color="auto"/>
        <w:bottom w:val="none" w:sz="0" w:space="0" w:color="auto"/>
        <w:right w:val="none" w:sz="0" w:space="0" w:color="auto"/>
      </w:divBdr>
    </w:div>
    <w:div w:id="1261182025">
      <w:bodyDiv w:val="1"/>
      <w:marLeft w:val="0"/>
      <w:marRight w:val="0"/>
      <w:marTop w:val="0"/>
      <w:marBottom w:val="0"/>
      <w:divBdr>
        <w:top w:val="none" w:sz="0" w:space="0" w:color="auto"/>
        <w:left w:val="none" w:sz="0" w:space="0" w:color="auto"/>
        <w:bottom w:val="none" w:sz="0" w:space="0" w:color="auto"/>
        <w:right w:val="none" w:sz="0" w:space="0" w:color="auto"/>
      </w:divBdr>
    </w:div>
    <w:div w:id="1275988856">
      <w:bodyDiv w:val="1"/>
      <w:marLeft w:val="0"/>
      <w:marRight w:val="0"/>
      <w:marTop w:val="0"/>
      <w:marBottom w:val="0"/>
      <w:divBdr>
        <w:top w:val="none" w:sz="0" w:space="0" w:color="auto"/>
        <w:left w:val="none" w:sz="0" w:space="0" w:color="auto"/>
        <w:bottom w:val="none" w:sz="0" w:space="0" w:color="auto"/>
        <w:right w:val="none" w:sz="0" w:space="0" w:color="auto"/>
      </w:divBdr>
    </w:div>
    <w:div w:id="1291547448">
      <w:bodyDiv w:val="1"/>
      <w:marLeft w:val="0"/>
      <w:marRight w:val="0"/>
      <w:marTop w:val="0"/>
      <w:marBottom w:val="0"/>
      <w:divBdr>
        <w:top w:val="none" w:sz="0" w:space="0" w:color="auto"/>
        <w:left w:val="none" w:sz="0" w:space="0" w:color="auto"/>
        <w:bottom w:val="none" w:sz="0" w:space="0" w:color="auto"/>
        <w:right w:val="none" w:sz="0" w:space="0" w:color="auto"/>
      </w:divBdr>
    </w:div>
    <w:div w:id="1306006261">
      <w:bodyDiv w:val="1"/>
      <w:marLeft w:val="0"/>
      <w:marRight w:val="0"/>
      <w:marTop w:val="0"/>
      <w:marBottom w:val="0"/>
      <w:divBdr>
        <w:top w:val="none" w:sz="0" w:space="0" w:color="auto"/>
        <w:left w:val="none" w:sz="0" w:space="0" w:color="auto"/>
        <w:bottom w:val="none" w:sz="0" w:space="0" w:color="auto"/>
        <w:right w:val="none" w:sz="0" w:space="0" w:color="auto"/>
      </w:divBdr>
    </w:div>
    <w:div w:id="1335304318">
      <w:bodyDiv w:val="1"/>
      <w:marLeft w:val="0"/>
      <w:marRight w:val="0"/>
      <w:marTop w:val="0"/>
      <w:marBottom w:val="0"/>
      <w:divBdr>
        <w:top w:val="none" w:sz="0" w:space="0" w:color="auto"/>
        <w:left w:val="none" w:sz="0" w:space="0" w:color="auto"/>
        <w:bottom w:val="none" w:sz="0" w:space="0" w:color="auto"/>
        <w:right w:val="none" w:sz="0" w:space="0" w:color="auto"/>
      </w:divBdr>
    </w:div>
    <w:div w:id="1361515411">
      <w:bodyDiv w:val="1"/>
      <w:marLeft w:val="0"/>
      <w:marRight w:val="0"/>
      <w:marTop w:val="0"/>
      <w:marBottom w:val="0"/>
      <w:divBdr>
        <w:top w:val="none" w:sz="0" w:space="0" w:color="auto"/>
        <w:left w:val="none" w:sz="0" w:space="0" w:color="auto"/>
        <w:bottom w:val="none" w:sz="0" w:space="0" w:color="auto"/>
        <w:right w:val="none" w:sz="0" w:space="0" w:color="auto"/>
      </w:divBdr>
    </w:div>
    <w:div w:id="1397625661">
      <w:bodyDiv w:val="1"/>
      <w:marLeft w:val="0"/>
      <w:marRight w:val="0"/>
      <w:marTop w:val="0"/>
      <w:marBottom w:val="0"/>
      <w:divBdr>
        <w:top w:val="none" w:sz="0" w:space="0" w:color="auto"/>
        <w:left w:val="none" w:sz="0" w:space="0" w:color="auto"/>
        <w:bottom w:val="none" w:sz="0" w:space="0" w:color="auto"/>
        <w:right w:val="none" w:sz="0" w:space="0" w:color="auto"/>
      </w:divBdr>
    </w:div>
    <w:div w:id="1397700231">
      <w:bodyDiv w:val="1"/>
      <w:marLeft w:val="0"/>
      <w:marRight w:val="0"/>
      <w:marTop w:val="0"/>
      <w:marBottom w:val="0"/>
      <w:divBdr>
        <w:top w:val="none" w:sz="0" w:space="0" w:color="auto"/>
        <w:left w:val="none" w:sz="0" w:space="0" w:color="auto"/>
        <w:bottom w:val="none" w:sz="0" w:space="0" w:color="auto"/>
        <w:right w:val="none" w:sz="0" w:space="0" w:color="auto"/>
      </w:divBdr>
    </w:div>
    <w:div w:id="1460026711">
      <w:bodyDiv w:val="1"/>
      <w:marLeft w:val="0"/>
      <w:marRight w:val="0"/>
      <w:marTop w:val="0"/>
      <w:marBottom w:val="0"/>
      <w:divBdr>
        <w:top w:val="none" w:sz="0" w:space="0" w:color="auto"/>
        <w:left w:val="none" w:sz="0" w:space="0" w:color="auto"/>
        <w:bottom w:val="none" w:sz="0" w:space="0" w:color="auto"/>
        <w:right w:val="none" w:sz="0" w:space="0" w:color="auto"/>
      </w:divBdr>
    </w:div>
    <w:div w:id="1460370491">
      <w:bodyDiv w:val="1"/>
      <w:marLeft w:val="0"/>
      <w:marRight w:val="0"/>
      <w:marTop w:val="0"/>
      <w:marBottom w:val="0"/>
      <w:divBdr>
        <w:top w:val="none" w:sz="0" w:space="0" w:color="auto"/>
        <w:left w:val="none" w:sz="0" w:space="0" w:color="auto"/>
        <w:bottom w:val="none" w:sz="0" w:space="0" w:color="auto"/>
        <w:right w:val="none" w:sz="0" w:space="0" w:color="auto"/>
      </w:divBdr>
    </w:div>
    <w:div w:id="1470392527">
      <w:bodyDiv w:val="1"/>
      <w:marLeft w:val="0"/>
      <w:marRight w:val="0"/>
      <w:marTop w:val="0"/>
      <w:marBottom w:val="0"/>
      <w:divBdr>
        <w:top w:val="none" w:sz="0" w:space="0" w:color="auto"/>
        <w:left w:val="none" w:sz="0" w:space="0" w:color="auto"/>
        <w:bottom w:val="none" w:sz="0" w:space="0" w:color="auto"/>
        <w:right w:val="none" w:sz="0" w:space="0" w:color="auto"/>
      </w:divBdr>
    </w:div>
    <w:div w:id="1478835224">
      <w:bodyDiv w:val="1"/>
      <w:marLeft w:val="0"/>
      <w:marRight w:val="0"/>
      <w:marTop w:val="0"/>
      <w:marBottom w:val="0"/>
      <w:divBdr>
        <w:top w:val="none" w:sz="0" w:space="0" w:color="auto"/>
        <w:left w:val="none" w:sz="0" w:space="0" w:color="auto"/>
        <w:bottom w:val="none" w:sz="0" w:space="0" w:color="auto"/>
        <w:right w:val="none" w:sz="0" w:space="0" w:color="auto"/>
      </w:divBdr>
    </w:div>
    <w:div w:id="1485312104">
      <w:bodyDiv w:val="1"/>
      <w:marLeft w:val="0"/>
      <w:marRight w:val="0"/>
      <w:marTop w:val="0"/>
      <w:marBottom w:val="0"/>
      <w:divBdr>
        <w:top w:val="none" w:sz="0" w:space="0" w:color="auto"/>
        <w:left w:val="none" w:sz="0" w:space="0" w:color="auto"/>
        <w:bottom w:val="none" w:sz="0" w:space="0" w:color="auto"/>
        <w:right w:val="none" w:sz="0" w:space="0" w:color="auto"/>
      </w:divBdr>
    </w:div>
    <w:div w:id="1534731698">
      <w:bodyDiv w:val="1"/>
      <w:marLeft w:val="0"/>
      <w:marRight w:val="0"/>
      <w:marTop w:val="0"/>
      <w:marBottom w:val="0"/>
      <w:divBdr>
        <w:top w:val="none" w:sz="0" w:space="0" w:color="auto"/>
        <w:left w:val="none" w:sz="0" w:space="0" w:color="auto"/>
        <w:bottom w:val="none" w:sz="0" w:space="0" w:color="auto"/>
        <w:right w:val="none" w:sz="0" w:space="0" w:color="auto"/>
      </w:divBdr>
    </w:div>
    <w:div w:id="1586963482">
      <w:bodyDiv w:val="1"/>
      <w:marLeft w:val="0"/>
      <w:marRight w:val="0"/>
      <w:marTop w:val="0"/>
      <w:marBottom w:val="0"/>
      <w:divBdr>
        <w:top w:val="none" w:sz="0" w:space="0" w:color="auto"/>
        <w:left w:val="none" w:sz="0" w:space="0" w:color="auto"/>
        <w:bottom w:val="none" w:sz="0" w:space="0" w:color="auto"/>
        <w:right w:val="none" w:sz="0" w:space="0" w:color="auto"/>
      </w:divBdr>
    </w:div>
    <w:div w:id="1592008057">
      <w:bodyDiv w:val="1"/>
      <w:marLeft w:val="0"/>
      <w:marRight w:val="0"/>
      <w:marTop w:val="0"/>
      <w:marBottom w:val="0"/>
      <w:divBdr>
        <w:top w:val="none" w:sz="0" w:space="0" w:color="auto"/>
        <w:left w:val="none" w:sz="0" w:space="0" w:color="auto"/>
        <w:bottom w:val="none" w:sz="0" w:space="0" w:color="auto"/>
        <w:right w:val="none" w:sz="0" w:space="0" w:color="auto"/>
      </w:divBdr>
    </w:div>
    <w:div w:id="1607812141">
      <w:bodyDiv w:val="1"/>
      <w:marLeft w:val="0"/>
      <w:marRight w:val="0"/>
      <w:marTop w:val="0"/>
      <w:marBottom w:val="0"/>
      <w:divBdr>
        <w:top w:val="none" w:sz="0" w:space="0" w:color="auto"/>
        <w:left w:val="none" w:sz="0" w:space="0" w:color="auto"/>
        <w:bottom w:val="none" w:sz="0" w:space="0" w:color="auto"/>
        <w:right w:val="none" w:sz="0" w:space="0" w:color="auto"/>
      </w:divBdr>
    </w:div>
    <w:div w:id="1623264511">
      <w:bodyDiv w:val="1"/>
      <w:marLeft w:val="0"/>
      <w:marRight w:val="0"/>
      <w:marTop w:val="0"/>
      <w:marBottom w:val="0"/>
      <w:divBdr>
        <w:top w:val="none" w:sz="0" w:space="0" w:color="auto"/>
        <w:left w:val="none" w:sz="0" w:space="0" w:color="auto"/>
        <w:bottom w:val="none" w:sz="0" w:space="0" w:color="auto"/>
        <w:right w:val="none" w:sz="0" w:space="0" w:color="auto"/>
      </w:divBdr>
    </w:div>
    <w:div w:id="1651053739">
      <w:bodyDiv w:val="1"/>
      <w:marLeft w:val="0"/>
      <w:marRight w:val="0"/>
      <w:marTop w:val="0"/>
      <w:marBottom w:val="0"/>
      <w:divBdr>
        <w:top w:val="none" w:sz="0" w:space="0" w:color="auto"/>
        <w:left w:val="none" w:sz="0" w:space="0" w:color="auto"/>
        <w:bottom w:val="none" w:sz="0" w:space="0" w:color="auto"/>
        <w:right w:val="none" w:sz="0" w:space="0" w:color="auto"/>
      </w:divBdr>
    </w:div>
    <w:div w:id="1716813812">
      <w:bodyDiv w:val="1"/>
      <w:marLeft w:val="0"/>
      <w:marRight w:val="0"/>
      <w:marTop w:val="0"/>
      <w:marBottom w:val="0"/>
      <w:divBdr>
        <w:top w:val="none" w:sz="0" w:space="0" w:color="auto"/>
        <w:left w:val="none" w:sz="0" w:space="0" w:color="auto"/>
        <w:bottom w:val="none" w:sz="0" w:space="0" w:color="auto"/>
        <w:right w:val="none" w:sz="0" w:space="0" w:color="auto"/>
      </w:divBdr>
    </w:div>
    <w:div w:id="1730153355">
      <w:bodyDiv w:val="1"/>
      <w:marLeft w:val="0"/>
      <w:marRight w:val="0"/>
      <w:marTop w:val="0"/>
      <w:marBottom w:val="0"/>
      <w:divBdr>
        <w:top w:val="none" w:sz="0" w:space="0" w:color="auto"/>
        <w:left w:val="none" w:sz="0" w:space="0" w:color="auto"/>
        <w:bottom w:val="none" w:sz="0" w:space="0" w:color="auto"/>
        <w:right w:val="none" w:sz="0" w:space="0" w:color="auto"/>
      </w:divBdr>
    </w:div>
    <w:div w:id="1733652830">
      <w:bodyDiv w:val="1"/>
      <w:marLeft w:val="0"/>
      <w:marRight w:val="0"/>
      <w:marTop w:val="0"/>
      <w:marBottom w:val="0"/>
      <w:divBdr>
        <w:top w:val="none" w:sz="0" w:space="0" w:color="auto"/>
        <w:left w:val="none" w:sz="0" w:space="0" w:color="auto"/>
        <w:bottom w:val="none" w:sz="0" w:space="0" w:color="auto"/>
        <w:right w:val="none" w:sz="0" w:space="0" w:color="auto"/>
      </w:divBdr>
    </w:div>
    <w:div w:id="1740982271">
      <w:bodyDiv w:val="1"/>
      <w:marLeft w:val="0"/>
      <w:marRight w:val="0"/>
      <w:marTop w:val="0"/>
      <w:marBottom w:val="0"/>
      <w:divBdr>
        <w:top w:val="none" w:sz="0" w:space="0" w:color="auto"/>
        <w:left w:val="none" w:sz="0" w:space="0" w:color="auto"/>
        <w:bottom w:val="none" w:sz="0" w:space="0" w:color="auto"/>
        <w:right w:val="none" w:sz="0" w:space="0" w:color="auto"/>
      </w:divBdr>
    </w:div>
    <w:div w:id="1743259717">
      <w:bodyDiv w:val="1"/>
      <w:marLeft w:val="0"/>
      <w:marRight w:val="0"/>
      <w:marTop w:val="0"/>
      <w:marBottom w:val="0"/>
      <w:divBdr>
        <w:top w:val="none" w:sz="0" w:space="0" w:color="auto"/>
        <w:left w:val="none" w:sz="0" w:space="0" w:color="auto"/>
        <w:bottom w:val="none" w:sz="0" w:space="0" w:color="auto"/>
        <w:right w:val="none" w:sz="0" w:space="0" w:color="auto"/>
      </w:divBdr>
    </w:div>
    <w:div w:id="1758556848">
      <w:bodyDiv w:val="1"/>
      <w:marLeft w:val="0"/>
      <w:marRight w:val="0"/>
      <w:marTop w:val="0"/>
      <w:marBottom w:val="0"/>
      <w:divBdr>
        <w:top w:val="none" w:sz="0" w:space="0" w:color="auto"/>
        <w:left w:val="none" w:sz="0" w:space="0" w:color="auto"/>
        <w:bottom w:val="none" w:sz="0" w:space="0" w:color="auto"/>
        <w:right w:val="none" w:sz="0" w:space="0" w:color="auto"/>
      </w:divBdr>
    </w:div>
    <w:div w:id="1763719596">
      <w:bodyDiv w:val="1"/>
      <w:marLeft w:val="0"/>
      <w:marRight w:val="0"/>
      <w:marTop w:val="0"/>
      <w:marBottom w:val="0"/>
      <w:divBdr>
        <w:top w:val="none" w:sz="0" w:space="0" w:color="auto"/>
        <w:left w:val="none" w:sz="0" w:space="0" w:color="auto"/>
        <w:bottom w:val="none" w:sz="0" w:space="0" w:color="auto"/>
        <w:right w:val="none" w:sz="0" w:space="0" w:color="auto"/>
      </w:divBdr>
    </w:div>
    <w:div w:id="1818838480">
      <w:bodyDiv w:val="1"/>
      <w:marLeft w:val="0"/>
      <w:marRight w:val="0"/>
      <w:marTop w:val="0"/>
      <w:marBottom w:val="0"/>
      <w:divBdr>
        <w:top w:val="none" w:sz="0" w:space="0" w:color="auto"/>
        <w:left w:val="none" w:sz="0" w:space="0" w:color="auto"/>
        <w:bottom w:val="none" w:sz="0" w:space="0" w:color="auto"/>
        <w:right w:val="none" w:sz="0" w:space="0" w:color="auto"/>
      </w:divBdr>
    </w:div>
    <w:div w:id="1834107833">
      <w:bodyDiv w:val="1"/>
      <w:marLeft w:val="0"/>
      <w:marRight w:val="0"/>
      <w:marTop w:val="0"/>
      <w:marBottom w:val="0"/>
      <w:divBdr>
        <w:top w:val="none" w:sz="0" w:space="0" w:color="auto"/>
        <w:left w:val="none" w:sz="0" w:space="0" w:color="auto"/>
        <w:bottom w:val="none" w:sz="0" w:space="0" w:color="auto"/>
        <w:right w:val="none" w:sz="0" w:space="0" w:color="auto"/>
      </w:divBdr>
    </w:div>
    <w:div w:id="1866018898">
      <w:bodyDiv w:val="1"/>
      <w:marLeft w:val="0"/>
      <w:marRight w:val="0"/>
      <w:marTop w:val="0"/>
      <w:marBottom w:val="0"/>
      <w:divBdr>
        <w:top w:val="none" w:sz="0" w:space="0" w:color="auto"/>
        <w:left w:val="none" w:sz="0" w:space="0" w:color="auto"/>
        <w:bottom w:val="none" w:sz="0" w:space="0" w:color="auto"/>
        <w:right w:val="none" w:sz="0" w:space="0" w:color="auto"/>
      </w:divBdr>
    </w:div>
    <w:div w:id="1880626313">
      <w:bodyDiv w:val="1"/>
      <w:marLeft w:val="0"/>
      <w:marRight w:val="0"/>
      <w:marTop w:val="0"/>
      <w:marBottom w:val="0"/>
      <w:divBdr>
        <w:top w:val="none" w:sz="0" w:space="0" w:color="auto"/>
        <w:left w:val="none" w:sz="0" w:space="0" w:color="auto"/>
        <w:bottom w:val="none" w:sz="0" w:space="0" w:color="auto"/>
        <w:right w:val="none" w:sz="0" w:space="0" w:color="auto"/>
      </w:divBdr>
    </w:div>
    <w:div w:id="1922332799">
      <w:bodyDiv w:val="1"/>
      <w:marLeft w:val="0"/>
      <w:marRight w:val="0"/>
      <w:marTop w:val="0"/>
      <w:marBottom w:val="0"/>
      <w:divBdr>
        <w:top w:val="none" w:sz="0" w:space="0" w:color="auto"/>
        <w:left w:val="none" w:sz="0" w:space="0" w:color="auto"/>
        <w:bottom w:val="none" w:sz="0" w:space="0" w:color="auto"/>
        <w:right w:val="none" w:sz="0" w:space="0" w:color="auto"/>
      </w:divBdr>
    </w:div>
    <w:div w:id="1984389969">
      <w:bodyDiv w:val="1"/>
      <w:marLeft w:val="0"/>
      <w:marRight w:val="0"/>
      <w:marTop w:val="0"/>
      <w:marBottom w:val="0"/>
      <w:divBdr>
        <w:top w:val="none" w:sz="0" w:space="0" w:color="auto"/>
        <w:left w:val="none" w:sz="0" w:space="0" w:color="auto"/>
        <w:bottom w:val="none" w:sz="0" w:space="0" w:color="auto"/>
        <w:right w:val="none" w:sz="0" w:space="0" w:color="auto"/>
      </w:divBdr>
    </w:div>
    <w:div w:id="1988121111">
      <w:bodyDiv w:val="1"/>
      <w:marLeft w:val="0"/>
      <w:marRight w:val="0"/>
      <w:marTop w:val="0"/>
      <w:marBottom w:val="0"/>
      <w:divBdr>
        <w:top w:val="none" w:sz="0" w:space="0" w:color="auto"/>
        <w:left w:val="none" w:sz="0" w:space="0" w:color="auto"/>
        <w:bottom w:val="none" w:sz="0" w:space="0" w:color="auto"/>
        <w:right w:val="none" w:sz="0" w:space="0" w:color="auto"/>
      </w:divBdr>
    </w:div>
    <w:div w:id="2082168174">
      <w:bodyDiv w:val="1"/>
      <w:marLeft w:val="0"/>
      <w:marRight w:val="0"/>
      <w:marTop w:val="0"/>
      <w:marBottom w:val="0"/>
      <w:divBdr>
        <w:top w:val="none" w:sz="0" w:space="0" w:color="auto"/>
        <w:left w:val="none" w:sz="0" w:space="0" w:color="auto"/>
        <w:bottom w:val="none" w:sz="0" w:space="0" w:color="auto"/>
        <w:right w:val="none" w:sz="0" w:space="0" w:color="auto"/>
      </w:divBdr>
    </w:div>
    <w:div w:id="213077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hyperlink" Target="http://www.bls.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AAABA2AC1A8EC2408519267799076DC5" ma:contentTypeVersion="0" ma:contentTypeDescription="Create a new document." ma:contentTypeScope="" ma:versionID="79af9a3514242439461b709f396f59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EE1B7FC-9E54-4945-ADA7-B19C20AE4A61}">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10.xml><?xml version="1.0" encoding="utf-8"?>
<ds:datastoreItem xmlns:ds="http://schemas.openxmlformats.org/officeDocument/2006/customXml" ds:itemID="{CD87398C-4E83-4A8F-86F5-CAF5F7A2264D}">
  <ds:schemaRefs>
    <ds:schemaRef ds:uri="http://schemas.microsoft.com/sharepoint/v3/contenttype/forms"/>
  </ds:schemaRefs>
</ds:datastoreItem>
</file>

<file path=customXml/itemProps11.xml><?xml version="1.0" encoding="utf-8"?>
<ds:datastoreItem xmlns:ds="http://schemas.openxmlformats.org/officeDocument/2006/customXml" ds:itemID="{E7DBC86A-DEB8-462E-A1CC-4FC1967E1D60}">
  <ds:schemaRefs>
    <ds:schemaRef ds:uri="http://schemas.openxmlformats.org/officeDocument/2006/bibliography"/>
  </ds:schemaRefs>
</ds:datastoreItem>
</file>

<file path=customXml/itemProps12.xml><?xml version="1.0" encoding="utf-8"?>
<ds:datastoreItem xmlns:ds="http://schemas.openxmlformats.org/officeDocument/2006/customXml" ds:itemID="{3488BC45-E470-4904-BF16-0C59D4D9ABC5}">
  <ds:schemaRefs>
    <ds:schemaRef ds:uri="http://schemas.openxmlformats.org/officeDocument/2006/bibliography"/>
  </ds:schemaRefs>
</ds:datastoreItem>
</file>

<file path=customXml/itemProps2.xml><?xml version="1.0" encoding="utf-8"?>
<ds:datastoreItem xmlns:ds="http://schemas.openxmlformats.org/officeDocument/2006/customXml" ds:itemID="{AE9D010E-279D-495A-B7DD-9F572EA634FC}">
  <ds:schemaRefs>
    <ds:schemaRef ds:uri="http://schemas.openxmlformats.org/officeDocument/2006/bibliography"/>
  </ds:schemaRefs>
</ds:datastoreItem>
</file>

<file path=customXml/itemProps3.xml><?xml version="1.0" encoding="utf-8"?>
<ds:datastoreItem xmlns:ds="http://schemas.openxmlformats.org/officeDocument/2006/customXml" ds:itemID="{A0F32883-0DBB-4515-B3D2-CA1F17B8F76F}">
  <ds:schemaRefs>
    <ds:schemaRef ds:uri="http://schemas.openxmlformats.org/officeDocument/2006/bibliography"/>
  </ds:schemaRefs>
</ds:datastoreItem>
</file>

<file path=customXml/itemProps4.xml><?xml version="1.0" encoding="utf-8"?>
<ds:datastoreItem xmlns:ds="http://schemas.openxmlformats.org/officeDocument/2006/customXml" ds:itemID="{B8E4605C-F465-41AE-A165-001FDF16C23D}">
  <ds:schemaRefs>
    <ds:schemaRef ds:uri="http://schemas.openxmlformats.org/officeDocument/2006/bibliography"/>
  </ds:schemaRefs>
</ds:datastoreItem>
</file>

<file path=customXml/itemProps5.xml><?xml version="1.0" encoding="utf-8"?>
<ds:datastoreItem xmlns:ds="http://schemas.openxmlformats.org/officeDocument/2006/customXml" ds:itemID="{5640D6AE-1A76-4C83-8227-D1DCD4B89D5B}">
  <ds:schemaRefs>
    <ds:schemaRef ds:uri="http://schemas.openxmlformats.org/officeDocument/2006/bibliography"/>
  </ds:schemaRefs>
</ds:datastoreItem>
</file>

<file path=customXml/itemProps6.xml><?xml version="1.0" encoding="utf-8"?>
<ds:datastoreItem xmlns:ds="http://schemas.openxmlformats.org/officeDocument/2006/customXml" ds:itemID="{7AD57090-14D4-4685-B9F3-78A76DB80198}">
  <ds:schemaRefs>
    <ds:schemaRef ds:uri="http://schemas.openxmlformats.org/officeDocument/2006/bibliography"/>
  </ds:schemaRefs>
</ds:datastoreItem>
</file>

<file path=customXml/itemProps7.xml><?xml version="1.0" encoding="utf-8"?>
<ds:datastoreItem xmlns:ds="http://schemas.openxmlformats.org/officeDocument/2006/customXml" ds:itemID="{F6C2A6F4-D5F3-4F6E-92FC-CBE3F2D813B6}">
  <ds:schemaRefs>
    <ds:schemaRef ds:uri="http://schemas.openxmlformats.org/officeDocument/2006/bibliography"/>
  </ds:schemaRefs>
</ds:datastoreItem>
</file>

<file path=customXml/itemProps8.xml><?xml version="1.0" encoding="utf-8"?>
<ds:datastoreItem xmlns:ds="http://schemas.openxmlformats.org/officeDocument/2006/customXml" ds:itemID="{06A0C43D-3803-41B8-A6B4-73F814D06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9.xml><?xml version="1.0" encoding="utf-8"?>
<ds:datastoreItem xmlns:ds="http://schemas.openxmlformats.org/officeDocument/2006/customXml" ds:itemID="{985F653E-BAF5-40D5-8F01-A18B534E143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8813</Words>
  <Characters>49391</Characters>
  <Application>Microsoft Office Word</Application>
  <DocSecurity>4</DocSecurity>
  <Lines>411</Lines>
  <Paragraphs>116</Paragraphs>
  <ScaleCrop>false</ScaleCrop>
  <HeadingPairs>
    <vt:vector size="2" baseType="variant">
      <vt:variant>
        <vt:lpstr>Title</vt:lpstr>
      </vt:variant>
      <vt:variant>
        <vt:i4>1</vt:i4>
      </vt:variant>
    </vt:vector>
  </HeadingPairs>
  <TitlesOfParts>
    <vt:vector size="1" baseType="lpstr">
      <vt:lpstr>Draft Regulatory Analysis</vt:lpstr>
    </vt:vector>
  </TitlesOfParts>
  <Company>USNRC</Company>
  <LinksUpToDate>false</LinksUpToDate>
  <CharactersWithSpaces>58088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Regulatory Analysis</dc:title>
  <dc:creator>Greg Trussell</dc:creator>
  <cp:lastModifiedBy>Donnell, Tremaine</cp:lastModifiedBy>
  <cp:revision>2</cp:revision>
  <cp:lastPrinted>2012-10-02T13:23:00Z</cp:lastPrinted>
  <dcterms:created xsi:type="dcterms:W3CDTF">2013-12-24T15:16:00Z</dcterms:created>
  <dcterms:modified xsi:type="dcterms:W3CDTF">2013-12-24T15:16:00Z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0x010100AAABA2AC1A8EC2408519267799076DC5</vt:lpwstr>
  </property>
</Properties>
</file>