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E83" w:rsidRDefault="00BB0E83" w:rsidP="00D01021">
      <w:pPr>
        <w:rPr>
          <w:rFonts w:ascii="Lucida Sans" w:hAnsi="Lucida Sans" w:cs="Lucida Sans"/>
        </w:rPr>
      </w:pPr>
    </w:p>
    <w:p w:rsidR="00BB0E83" w:rsidRDefault="00BB0E83" w:rsidP="00D01021">
      <w:pPr>
        <w:rPr>
          <w:rFonts w:ascii="Lucida Sans" w:hAnsi="Lucida Sans" w:cs="Lucida Sans"/>
        </w:rPr>
      </w:pPr>
    </w:p>
    <w:p w:rsidR="00BB0E83" w:rsidRDefault="00BB0E83" w:rsidP="00D01021">
      <w:pPr>
        <w:rPr>
          <w:rFonts w:ascii="Lucida Sans" w:hAnsi="Lucida Sans" w:cs="Lucida Sans"/>
        </w:rPr>
      </w:pPr>
    </w:p>
    <w:p w:rsidR="00BB0E83" w:rsidRDefault="00BB0E83" w:rsidP="00D01021">
      <w:pPr>
        <w:rPr>
          <w:rFonts w:ascii="Lucida Sans" w:hAnsi="Lucida Sans" w:cs="Lucida Sans"/>
        </w:rPr>
      </w:pPr>
    </w:p>
    <w:p w:rsidR="00BB0E83" w:rsidRDefault="00BB0E83" w:rsidP="00D01021">
      <w:pPr>
        <w:rPr>
          <w:rFonts w:ascii="Lucida Sans" w:hAnsi="Lucida Sans" w:cs="Lucida Sans"/>
        </w:rPr>
      </w:pPr>
    </w:p>
    <w:p w:rsidR="00BB0E83" w:rsidRDefault="00BB0E83" w:rsidP="00D01021">
      <w:pPr>
        <w:rPr>
          <w:rFonts w:ascii="Lucida Sans" w:hAnsi="Lucida Sans" w:cs="Lucida Sans"/>
        </w:rPr>
      </w:pPr>
    </w:p>
    <w:p w:rsidR="00BB0E83" w:rsidRDefault="00BB0E83" w:rsidP="00833C14">
      <w:pPr>
        <w:pStyle w:val="MarkforAppendixHeadingBlack"/>
      </w:pPr>
      <w:r>
        <w:t xml:space="preserve">APPENDIX </w:t>
      </w:r>
      <w:r w:rsidR="00843AB6">
        <w:t>b</w:t>
      </w:r>
    </w:p>
    <w:p w:rsidR="00BB0E83" w:rsidRPr="0085619B" w:rsidRDefault="00843AB6" w:rsidP="00833C14">
      <w:pPr>
        <w:pStyle w:val="MarkforAppendixHeadingBlack"/>
      </w:pPr>
      <w:r>
        <w:t>tailored</w:t>
      </w:r>
      <w:r w:rsidR="00BB0E83">
        <w:t xml:space="preserve"> Performance </w:t>
      </w:r>
      <w:r>
        <w:t xml:space="preserve">data </w:t>
      </w:r>
      <w:r w:rsidR="00BB0E83">
        <w:t>Indicators</w:t>
      </w:r>
    </w:p>
    <w:p w:rsidR="00BB0E83" w:rsidRDefault="00BB0E83" w:rsidP="00D01021"/>
    <w:p w:rsidR="00BB0E83" w:rsidRPr="00D01021" w:rsidRDefault="00BB0E83" w:rsidP="00D01021">
      <w:pPr>
        <w:sectPr w:rsidR="00BB0E83" w:rsidRPr="00D01021" w:rsidSect="008F3F42">
          <w:endnotePr>
            <w:numFmt w:val="decimal"/>
          </w:endnotePr>
          <w:pgSz w:w="12240" w:h="15840" w:code="1"/>
          <w:pgMar w:top="1440" w:right="1440" w:bottom="720" w:left="1440" w:header="720" w:footer="576" w:gutter="0"/>
          <w:pgNumType w:start="1"/>
          <w:cols w:space="720"/>
          <w:docGrid w:linePitch="326"/>
        </w:sectPr>
      </w:pPr>
    </w:p>
    <w:p w:rsidR="00BB0E83" w:rsidRPr="009B33D2" w:rsidRDefault="00BB0E83" w:rsidP="009B33D2">
      <w:pPr>
        <w:pStyle w:val="NormalSS"/>
      </w:pPr>
      <w:r w:rsidRPr="009B33D2">
        <w:lastRenderedPageBreak/>
        <w:t xml:space="preserve">This appendix contains tables that define the performance indicators and identify the types of data that will be reported through the site data collection tool. </w:t>
      </w:r>
    </w:p>
    <w:p w:rsidR="00BB0E83" w:rsidRPr="009B33D2" w:rsidRDefault="00BB0E83" w:rsidP="00833C14">
      <w:pPr>
        <w:pStyle w:val="NormalSS"/>
      </w:pPr>
      <w:r w:rsidRPr="009B33D2">
        <w:t>Table 1 describes each indicator in terms of whether it is a count or a rate. If the indicator is a rate, the numerator and denominator for the rate are described also. As shown below, some indicators can be either a count or a rate depending upon whether an average is calculated, and many of the indicators are explicitly designed as comparisons either of counts or rates over multiple reporting months. These details are listed in the notes column for each applicable indicator.</w:t>
      </w:r>
    </w:p>
    <w:p w:rsidR="00BB0E83" w:rsidRPr="009B33D2" w:rsidRDefault="00BB0E83" w:rsidP="009B33D2">
      <w:pPr>
        <w:pStyle w:val="MarkforTableHeading"/>
        <w:rPr>
          <w:b w:val="0"/>
          <w:caps/>
        </w:rPr>
      </w:pPr>
      <w:r w:rsidRPr="009B33D2">
        <w:t>Table 1:  Performance Indicators</w:t>
      </w:r>
    </w:p>
    <w:tbl>
      <w:tblPr>
        <w:tblStyle w:val="SMPRTableBlack"/>
        <w:tblW w:w="9657" w:type="dxa"/>
        <w:tblLayout w:type="fixed"/>
        <w:tblLook w:val="04A0"/>
      </w:tblPr>
      <w:tblGrid>
        <w:gridCol w:w="599"/>
        <w:gridCol w:w="2374"/>
        <w:gridCol w:w="1260"/>
        <w:gridCol w:w="2018"/>
        <w:gridCol w:w="2070"/>
        <w:gridCol w:w="1336"/>
      </w:tblGrid>
      <w:tr w:rsidR="00BB0E83" w:rsidRPr="008134C0" w:rsidTr="00833C14">
        <w:trPr>
          <w:cnfStyle w:val="100000000000"/>
          <w:trHeight w:val="300"/>
          <w:tblHeader/>
        </w:trPr>
        <w:tc>
          <w:tcPr>
            <w:tcW w:w="599" w:type="dxa"/>
            <w:vAlign w:val="bottom"/>
          </w:tcPr>
          <w:p w:rsidR="00BB0E83" w:rsidRPr="008134C0" w:rsidRDefault="00BB0E83" w:rsidP="009B33D2">
            <w:pPr>
              <w:tabs>
                <w:tab w:val="clear" w:pos="432"/>
              </w:tabs>
              <w:spacing w:before="120" w:after="60" w:line="240" w:lineRule="auto"/>
              <w:ind w:firstLine="0"/>
              <w:jc w:val="center"/>
              <w:rPr>
                <w:rFonts w:ascii="Calibri" w:hAnsi="Calibri"/>
                <w:b/>
                <w:color w:val="000000"/>
                <w:sz w:val="20"/>
                <w:szCs w:val="20"/>
              </w:rPr>
            </w:pPr>
          </w:p>
        </w:tc>
        <w:tc>
          <w:tcPr>
            <w:tcW w:w="2374" w:type="dxa"/>
            <w:noWrap/>
            <w:vAlign w:val="bottom"/>
            <w:hideMark/>
          </w:tcPr>
          <w:p w:rsidR="00BB0E83" w:rsidRPr="009B33D2" w:rsidRDefault="00BB0E83" w:rsidP="006379F1">
            <w:pPr>
              <w:pStyle w:val="TableText"/>
              <w:spacing w:before="120" w:after="60"/>
              <w:jc w:val="center"/>
            </w:pPr>
            <w:r w:rsidRPr="009B33D2">
              <w:t xml:space="preserve">A. Performance </w:t>
            </w:r>
            <w:r>
              <w:t>I</w:t>
            </w:r>
            <w:r w:rsidRPr="009B33D2">
              <w:t>ndicator</w:t>
            </w:r>
          </w:p>
        </w:tc>
        <w:tc>
          <w:tcPr>
            <w:tcW w:w="1260" w:type="dxa"/>
            <w:vAlign w:val="bottom"/>
          </w:tcPr>
          <w:p w:rsidR="00BB0E83" w:rsidRPr="009B33D2" w:rsidRDefault="00BB0E83" w:rsidP="00B80F21">
            <w:pPr>
              <w:tabs>
                <w:tab w:val="clear" w:pos="432"/>
              </w:tabs>
              <w:spacing w:before="120" w:after="60" w:line="240" w:lineRule="auto"/>
              <w:ind w:firstLine="0"/>
              <w:jc w:val="left"/>
              <w:rPr>
                <w:sz w:val="18"/>
              </w:rPr>
            </w:pPr>
            <w:r w:rsidRPr="009B33D2">
              <w:rPr>
                <w:sz w:val="18"/>
              </w:rPr>
              <w:t>B. Rate/ Count</w:t>
            </w:r>
          </w:p>
        </w:tc>
        <w:tc>
          <w:tcPr>
            <w:tcW w:w="2018" w:type="dxa"/>
            <w:noWrap/>
            <w:vAlign w:val="bottom"/>
            <w:hideMark/>
          </w:tcPr>
          <w:p w:rsidR="00BB0E83" w:rsidRPr="009B33D2" w:rsidRDefault="00BB0E83" w:rsidP="009B33D2">
            <w:pPr>
              <w:tabs>
                <w:tab w:val="clear" w:pos="432"/>
              </w:tabs>
              <w:spacing w:before="120" w:after="60" w:line="240" w:lineRule="auto"/>
              <w:ind w:firstLine="0"/>
              <w:jc w:val="left"/>
              <w:rPr>
                <w:sz w:val="18"/>
              </w:rPr>
            </w:pPr>
            <w:r w:rsidRPr="009B33D2">
              <w:rPr>
                <w:sz w:val="18"/>
              </w:rPr>
              <w:t>C. Numerator</w:t>
            </w:r>
          </w:p>
        </w:tc>
        <w:tc>
          <w:tcPr>
            <w:tcW w:w="2070" w:type="dxa"/>
            <w:vAlign w:val="bottom"/>
          </w:tcPr>
          <w:p w:rsidR="00BB0E83" w:rsidRPr="009B33D2" w:rsidRDefault="00BB0E83" w:rsidP="009B33D2">
            <w:pPr>
              <w:tabs>
                <w:tab w:val="clear" w:pos="432"/>
              </w:tabs>
              <w:spacing w:before="120" w:after="60" w:line="240" w:lineRule="auto"/>
              <w:ind w:firstLine="0"/>
              <w:jc w:val="left"/>
              <w:rPr>
                <w:sz w:val="18"/>
              </w:rPr>
            </w:pPr>
            <w:r w:rsidRPr="009B33D2">
              <w:rPr>
                <w:sz w:val="18"/>
              </w:rPr>
              <w:t>D. Denominator</w:t>
            </w:r>
          </w:p>
        </w:tc>
        <w:tc>
          <w:tcPr>
            <w:tcW w:w="1336" w:type="dxa"/>
            <w:vAlign w:val="bottom"/>
          </w:tcPr>
          <w:p w:rsidR="00BB0E83" w:rsidRPr="009B33D2" w:rsidRDefault="00BB0E83" w:rsidP="009B33D2">
            <w:pPr>
              <w:tabs>
                <w:tab w:val="clear" w:pos="432"/>
              </w:tabs>
              <w:spacing w:before="120" w:after="60" w:line="240" w:lineRule="auto"/>
              <w:ind w:firstLine="0"/>
              <w:jc w:val="left"/>
              <w:rPr>
                <w:sz w:val="18"/>
              </w:rPr>
            </w:pPr>
            <w:r w:rsidRPr="009B33D2">
              <w:rPr>
                <w:sz w:val="18"/>
              </w:rPr>
              <w:t>E. Notes</w:t>
            </w:r>
          </w:p>
        </w:tc>
      </w:tr>
      <w:tr w:rsidR="00BB0E83" w:rsidRPr="008134C0" w:rsidTr="00833C14">
        <w:trPr>
          <w:trHeight w:val="300"/>
        </w:trPr>
        <w:tc>
          <w:tcPr>
            <w:tcW w:w="599" w:type="dxa"/>
          </w:tcPr>
          <w:p w:rsidR="00BB0E83" w:rsidRPr="009B33D2" w:rsidRDefault="00BB0E83" w:rsidP="009B33D2">
            <w:pPr>
              <w:pStyle w:val="TableText"/>
              <w:spacing w:before="60" w:after="60"/>
            </w:pPr>
            <w:r w:rsidRPr="009B33D2">
              <w:t>1</w:t>
            </w:r>
          </w:p>
        </w:tc>
        <w:tc>
          <w:tcPr>
            <w:tcW w:w="2374" w:type="dxa"/>
            <w:noWrap/>
            <w:hideMark/>
          </w:tcPr>
          <w:p w:rsidR="00BB0E83" w:rsidRPr="009B33D2" w:rsidRDefault="00BB0E83" w:rsidP="009B33D2">
            <w:pPr>
              <w:pStyle w:val="TableText"/>
              <w:spacing w:before="60" w:after="60"/>
            </w:pPr>
            <w:r w:rsidRPr="009B33D2">
              <w:t>Change in number of application received</w:t>
            </w:r>
          </w:p>
        </w:tc>
        <w:tc>
          <w:tcPr>
            <w:tcW w:w="1260" w:type="dxa"/>
          </w:tcPr>
          <w:p w:rsidR="00BB0E83" w:rsidRPr="009B33D2" w:rsidRDefault="00BB0E83" w:rsidP="009B33D2">
            <w:pPr>
              <w:pStyle w:val="TableText"/>
              <w:spacing w:before="60" w:after="60"/>
            </w:pPr>
            <w:r w:rsidRPr="009B33D2">
              <w:t>Count</w:t>
            </w:r>
          </w:p>
        </w:tc>
        <w:tc>
          <w:tcPr>
            <w:tcW w:w="2018" w:type="dxa"/>
            <w:noWrap/>
            <w:hideMark/>
          </w:tcPr>
          <w:p w:rsidR="00BB0E83" w:rsidRPr="009B33D2" w:rsidRDefault="00BB0E83" w:rsidP="009B33D2">
            <w:pPr>
              <w:pStyle w:val="TableText"/>
              <w:spacing w:before="60" w:after="60"/>
            </w:pPr>
            <w:r w:rsidRPr="009B33D2">
              <w:t>N/A</w:t>
            </w:r>
          </w:p>
        </w:tc>
        <w:tc>
          <w:tcPr>
            <w:tcW w:w="2070" w:type="dxa"/>
          </w:tcPr>
          <w:p w:rsidR="00BB0E83" w:rsidRPr="009B33D2" w:rsidRDefault="00BB0E83" w:rsidP="009B33D2">
            <w:pPr>
              <w:pStyle w:val="TableText"/>
              <w:spacing w:before="60" w:after="60"/>
            </w:pPr>
            <w:r w:rsidRPr="009B33D2">
              <w:t>N/A</w:t>
            </w:r>
          </w:p>
        </w:tc>
        <w:tc>
          <w:tcPr>
            <w:tcW w:w="1336" w:type="dxa"/>
          </w:tcPr>
          <w:p w:rsidR="00BB0E83" w:rsidRPr="009B33D2" w:rsidRDefault="00BB0E83" w:rsidP="009B33D2">
            <w:pPr>
              <w:pStyle w:val="TableText"/>
              <w:spacing w:before="60" w:after="60"/>
            </w:pPr>
            <w:r w:rsidRPr="009B33D2">
              <w:t>Comparison month to month</w:t>
            </w:r>
          </w:p>
        </w:tc>
      </w:tr>
      <w:tr w:rsidR="00BB0E83" w:rsidRPr="008134C0" w:rsidTr="00833C14">
        <w:trPr>
          <w:trHeight w:val="300"/>
        </w:trPr>
        <w:tc>
          <w:tcPr>
            <w:tcW w:w="599" w:type="dxa"/>
          </w:tcPr>
          <w:p w:rsidR="00BB0E83" w:rsidRPr="009B33D2" w:rsidRDefault="00BB0E83" w:rsidP="009B33D2">
            <w:pPr>
              <w:pStyle w:val="TableText"/>
              <w:spacing w:before="60" w:after="60"/>
            </w:pPr>
            <w:r w:rsidRPr="009B33D2">
              <w:t>2</w:t>
            </w:r>
          </w:p>
        </w:tc>
        <w:tc>
          <w:tcPr>
            <w:tcW w:w="2374" w:type="dxa"/>
            <w:noWrap/>
            <w:hideMark/>
          </w:tcPr>
          <w:p w:rsidR="00BB0E83" w:rsidRPr="009B33D2" w:rsidRDefault="00BB0E83" w:rsidP="009B33D2">
            <w:pPr>
              <w:pStyle w:val="TableText"/>
              <w:spacing w:before="60" w:after="60"/>
            </w:pPr>
            <w:r w:rsidRPr="009B33D2">
              <w:t>Change in the method of submission</w:t>
            </w:r>
          </w:p>
        </w:tc>
        <w:tc>
          <w:tcPr>
            <w:tcW w:w="1260" w:type="dxa"/>
          </w:tcPr>
          <w:p w:rsidR="00BB0E83" w:rsidRPr="009B33D2" w:rsidRDefault="00BB0E83" w:rsidP="009B33D2">
            <w:pPr>
              <w:pStyle w:val="TableText"/>
              <w:spacing w:before="60" w:after="60"/>
            </w:pPr>
            <w:r w:rsidRPr="009B33D2">
              <w:t>Count</w:t>
            </w:r>
          </w:p>
        </w:tc>
        <w:tc>
          <w:tcPr>
            <w:tcW w:w="2018" w:type="dxa"/>
            <w:noWrap/>
            <w:hideMark/>
          </w:tcPr>
          <w:p w:rsidR="00BB0E83" w:rsidRPr="009B33D2" w:rsidRDefault="00BB0E83" w:rsidP="009B33D2">
            <w:pPr>
              <w:pStyle w:val="TableText"/>
              <w:spacing w:before="60" w:after="60"/>
            </w:pPr>
            <w:r w:rsidRPr="009B33D2">
              <w:t>N/A</w:t>
            </w:r>
          </w:p>
        </w:tc>
        <w:tc>
          <w:tcPr>
            <w:tcW w:w="2070" w:type="dxa"/>
          </w:tcPr>
          <w:p w:rsidR="00BB0E83" w:rsidRPr="009B33D2" w:rsidRDefault="00BB0E83" w:rsidP="009B33D2">
            <w:pPr>
              <w:pStyle w:val="TableText"/>
              <w:spacing w:before="60" w:after="60"/>
            </w:pPr>
            <w:r w:rsidRPr="009B33D2">
              <w:t>N/A</w:t>
            </w:r>
          </w:p>
        </w:tc>
        <w:tc>
          <w:tcPr>
            <w:tcW w:w="1336" w:type="dxa"/>
          </w:tcPr>
          <w:p w:rsidR="00BB0E83" w:rsidRPr="009B33D2" w:rsidRDefault="00BB0E83" w:rsidP="009B33D2">
            <w:pPr>
              <w:pStyle w:val="TableText"/>
              <w:spacing w:before="60" w:after="60"/>
            </w:pPr>
            <w:r w:rsidRPr="009B33D2">
              <w:t>Comparison month to month</w:t>
            </w:r>
          </w:p>
        </w:tc>
      </w:tr>
      <w:tr w:rsidR="00BB0E83" w:rsidRPr="008134C0" w:rsidTr="00833C14">
        <w:trPr>
          <w:trHeight w:val="300"/>
        </w:trPr>
        <w:tc>
          <w:tcPr>
            <w:tcW w:w="599" w:type="dxa"/>
          </w:tcPr>
          <w:p w:rsidR="00BB0E83" w:rsidRPr="009B33D2" w:rsidRDefault="00BB0E83" w:rsidP="009B33D2">
            <w:pPr>
              <w:pStyle w:val="TableText"/>
              <w:spacing w:before="60" w:after="60"/>
            </w:pPr>
            <w:r w:rsidRPr="009B33D2">
              <w:t>3</w:t>
            </w:r>
          </w:p>
        </w:tc>
        <w:tc>
          <w:tcPr>
            <w:tcW w:w="2374" w:type="dxa"/>
            <w:noWrap/>
            <w:hideMark/>
          </w:tcPr>
          <w:p w:rsidR="00BB0E83" w:rsidRPr="009B33D2" w:rsidRDefault="00BB0E83" w:rsidP="009B33D2">
            <w:pPr>
              <w:pStyle w:val="TableText"/>
              <w:spacing w:before="60" w:after="60"/>
            </w:pPr>
            <w:r w:rsidRPr="009B33D2">
              <w:t>Percent of clients completing scheduled interviews;</w:t>
            </w:r>
          </w:p>
        </w:tc>
        <w:tc>
          <w:tcPr>
            <w:tcW w:w="1260" w:type="dxa"/>
          </w:tcPr>
          <w:p w:rsidR="00BB0E83" w:rsidRPr="009B33D2" w:rsidRDefault="00BB0E83" w:rsidP="009B33D2">
            <w:pPr>
              <w:pStyle w:val="TableText"/>
              <w:spacing w:before="60" w:after="60"/>
            </w:pPr>
            <w:r w:rsidRPr="009B33D2">
              <w:t>Rate</w:t>
            </w:r>
          </w:p>
        </w:tc>
        <w:tc>
          <w:tcPr>
            <w:tcW w:w="2018" w:type="dxa"/>
            <w:noWrap/>
            <w:hideMark/>
          </w:tcPr>
          <w:p w:rsidR="00BB0E83" w:rsidRPr="009B33D2" w:rsidRDefault="00BB0E83" w:rsidP="009B33D2">
            <w:pPr>
              <w:pStyle w:val="TableText"/>
              <w:spacing w:before="60" w:after="60"/>
            </w:pPr>
            <w:r w:rsidRPr="009B33D2">
              <w:t>Count of clients completing interviews scheduled within a month.</w:t>
            </w:r>
          </w:p>
        </w:tc>
        <w:tc>
          <w:tcPr>
            <w:tcW w:w="2070" w:type="dxa"/>
          </w:tcPr>
          <w:p w:rsidR="00BB0E83" w:rsidRPr="009B33D2" w:rsidRDefault="00BB0E83" w:rsidP="009B33D2">
            <w:pPr>
              <w:pStyle w:val="TableText"/>
              <w:spacing w:before="60" w:after="60"/>
            </w:pPr>
            <w:r w:rsidRPr="009B33D2">
              <w:t>Count of clients with scheduled interviews within a month</w:t>
            </w:r>
          </w:p>
        </w:tc>
        <w:tc>
          <w:tcPr>
            <w:tcW w:w="1336" w:type="dxa"/>
          </w:tcPr>
          <w:p w:rsidR="00BB0E83" w:rsidRPr="009B33D2" w:rsidRDefault="00BB0E83" w:rsidP="009B33D2">
            <w:pPr>
              <w:pStyle w:val="TableText"/>
              <w:spacing w:before="60" w:after="60"/>
            </w:pPr>
          </w:p>
        </w:tc>
      </w:tr>
      <w:tr w:rsidR="00BB0E83" w:rsidRPr="008134C0" w:rsidTr="00833C14">
        <w:trPr>
          <w:trHeight w:val="300"/>
        </w:trPr>
        <w:tc>
          <w:tcPr>
            <w:tcW w:w="599" w:type="dxa"/>
          </w:tcPr>
          <w:p w:rsidR="00BB0E83" w:rsidRPr="009B33D2" w:rsidRDefault="00BB0E83" w:rsidP="009B33D2">
            <w:pPr>
              <w:pStyle w:val="TableText"/>
              <w:spacing w:before="60" w:after="60"/>
            </w:pPr>
            <w:r w:rsidRPr="009B33D2">
              <w:t>4</w:t>
            </w:r>
          </w:p>
        </w:tc>
        <w:tc>
          <w:tcPr>
            <w:tcW w:w="2374" w:type="dxa"/>
            <w:noWrap/>
            <w:hideMark/>
          </w:tcPr>
          <w:p w:rsidR="00BB0E83" w:rsidRPr="009B33D2" w:rsidRDefault="00BB0E83" w:rsidP="009B33D2">
            <w:pPr>
              <w:pStyle w:val="TableText"/>
              <w:spacing w:before="60" w:after="60"/>
            </w:pPr>
            <w:r w:rsidRPr="009B33D2">
              <w:t xml:space="preserve">Time spent processing each application component; </w:t>
            </w:r>
          </w:p>
        </w:tc>
        <w:tc>
          <w:tcPr>
            <w:tcW w:w="1260" w:type="dxa"/>
          </w:tcPr>
          <w:p w:rsidR="00BB0E83" w:rsidRPr="009B33D2" w:rsidRDefault="00BB0E83" w:rsidP="009B33D2">
            <w:pPr>
              <w:pStyle w:val="TableText"/>
              <w:spacing w:before="60" w:after="60"/>
            </w:pPr>
            <w:r w:rsidRPr="009B33D2">
              <w:t>Count or Rate</w:t>
            </w:r>
          </w:p>
        </w:tc>
        <w:tc>
          <w:tcPr>
            <w:tcW w:w="2018" w:type="dxa"/>
            <w:noWrap/>
            <w:hideMark/>
          </w:tcPr>
          <w:p w:rsidR="00BB0E83" w:rsidRPr="009B33D2" w:rsidRDefault="00BB0E83" w:rsidP="009B33D2">
            <w:pPr>
              <w:pStyle w:val="TableText"/>
              <w:spacing w:before="60" w:after="60"/>
            </w:pPr>
            <w:r w:rsidRPr="009B33D2">
              <w:t>Total time spent on an application component</w:t>
            </w:r>
          </w:p>
        </w:tc>
        <w:tc>
          <w:tcPr>
            <w:tcW w:w="2070" w:type="dxa"/>
          </w:tcPr>
          <w:p w:rsidR="00BB0E83" w:rsidRPr="009B33D2" w:rsidRDefault="00BB0E83" w:rsidP="009B33D2">
            <w:pPr>
              <w:pStyle w:val="TableText"/>
              <w:spacing w:before="60" w:after="60"/>
            </w:pPr>
            <w:r w:rsidRPr="009B33D2">
              <w:t>Total number of components completed</w:t>
            </w:r>
          </w:p>
        </w:tc>
        <w:tc>
          <w:tcPr>
            <w:tcW w:w="1336" w:type="dxa"/>
          </w:tcPr>
          <w:p w:rsidR="00BB0E83" w:rsidRPr="009B33D2" w:rsidRDefault="00BB0E83" w:rsidP="009B33D2">
            <w:pPr>
              <w:pStyle w:val="TableText"/>
              <w:spacing w:before="60" w:after="60"/>
            </w:pPr>
            <w:r w:rsidRPr="009B33D2">
              <w:t>Can be a rate if averages are calculated</w:t>
            </w:r>
          </w:p>
        </w:tc>
      </w:tr>
      <w:tr w:rsidR="00BB0E83" w:rsidRPr="008134C0" w:rsidTr="00833C14">
        <w:trPr>
          <w:trHeight w:val="300"/>
        </w:trPr>
        <w:tc>
          <w:tcPr>
            <w:tcW w:w="599" w:type="dxa"/>
          </w:tcPr>
          <w:p w:rsidR="00BB0E83" w:rsidRPr="009B33D2" w:rsidRDefault="00BB0E83" w:rsidP="009B33D2">
            <w:pPr>
              <w:pStyle w:val="TableText"/>
              <w:spacing w:before="60" w:after="60"/>
            </w:pPr>
            <w:r w:rsidRPr="009B33D2">
              <w:t>5</w:t>
            </w:r>
          </w:p>
        </w:tc>
        <w:tc>
          <w:tcPr>
            <w:tcW w:w="2374" w:type="dxa"/>
            <w:noWrap/>
            <w:hideMark/>
          </w:tcPr>
          <w:p w:rsidR="00BB0E83" w:rsidRPr="009B33D2" w:rsidRDefault="00BB0E83" w:rsidP="009B33D2">
            <w:pPr>
              <w:pStyle w:val="TableText"/>
              <w:spacing w:before="60" w:after="60"/>
            </w:pPr>
            <w:r w:rsidRPr="009B33D2">
              <w:t xml:space="preserve">Timeliness of the application process; </w:t>
            </w:r>
          </w:p>
        </w:tc>
        <w:tc>
          <w:tcPr>
            <w:tcW w:w="1260" w:type="dxa"/>
          </w:tcPr>
          <w:p w:rsidR="00BB0E83" w:rsidRPr="009B33D2" w:rsidRDefault="00BB0E83" w:rsidP="009B33D2">
            <w:pPr>
              <w:pStyle w:val="TableText"/>
              <w:spacing w:before="60" w:after="60"/>
            </w:pPr>
            <w:r w:rsidRPr="009B33D2">
              <w:t>Rate</w:t>
            </w:r>
          </w:p>
        </w:tc>
        <w:tc>
          <w:tcPr>
            <w:tcW w:w="2018" w:type="dxa"/>
            <w:noWrap/>
            <w:hideMark/>
          </w:tcPr>
          <w:p w:rsidR="00BB0E83" w:rsidRPr="009B33D2" w:rsidRDefault="00BB0E83" w:rsidP="009B33D2">
            <w:pPr>
              <w:pStyle w:val="TableText"/>
              <w:spacing w:before="60" w:after="60"/>
            </w:pPr>
            <w:r w:rsidRPr="009B33D2">
              <w:t>Count of all applications processed in a timely manner within the month</w:t>
            </w:r>
          </w:p>
        </w:tc>
        <w:tc>
          <w:tcPr>
            <w:tcW w:w="2070" w:type="dxa"/>
          </w:tcPr>
          <w:p w:rsidR="00BB0E83" w:rsidRPr="009B33D2" w:rsidRDefault="00BB0E83" w:rsidP="009B33D2">
            <w:pPr>
              <w:pStyle w:val="TableText"/>
              <w:spacing w:before="60" w:after="60"/>
            </w:pPr>
            <w:r w:rsidRPr="009B33D2">
              <w:t>Count of all applications processed within the month</w:t>
            </w:r>
          </w:p>
        </w:tc>
        <w:tc>
          <w:tcPr>
            <w:tcW w:w="1336" w:type="dxa"/>
          </w:tcPr>
          <w:p w:rsidR="00BB0E83" w:rsidRPr="009B33D2" w:rsidRDefault="00BB0E83" w:rsidP="009B33D2">
            <w:pPr>
              <w:pStyle w:val="TableText"/>
              <w:spacing w:before="60" w:after="60"/>
            </w:pPr>
          </w:p>
        </w:tc>
      </w:tr>
      <w:tr w:rsidR="00BB0E83" w:rsidRPr="008134C0" w:rsidTr="00833C14">
        <w:trPr>
          <w:trHeight w:val="300"/>
        </w:trPr>
        <w:tc>
          <w:tcPr>
            <w:tcW w:w="599" w:type="dxa"/>
          </w:tcPr>
          <w:p w:rsidR="00BB0E83" w:rsidRPr="009B33D2" w:rsidRDefault="00BB0E83" w:rsidP="009B33D2">
            <w:pPr>
              <w:pStyle w:val="TableText"/>
              <w:spacing w:before="60" w:after="60"/>
            </w:pPr>
            <w:r w:rsidRPr="009B33D2">
              <w:t>6</w:t>
            </w:r>
          </w:p>
        </w:tc>
        <w:tc>
          <w:tcPr>
            <w:tcW w:w="2374" w:type="dxa"/>
            <w:noWrap/>
            <w:hideMark/>
          </w:tcPr>
          <w:p w:rsidR="00BB0E83" w:rsidRPr="009B33D2" w:rsidRDefault="00BB0E83" w:rsidP="009B33D2">
            <w:pPr>
              <w:pStyle w:val="TableText"/>
              <w:spacing w:before="60" w:after="60"/>
            </w:pPr>
            <w:r w:rsidRPr="009B33D2">
              <w:t>Change in denial rates and reasons (including procedural denials)</w:t>
            </w:r>
          </w:p>
        </w:tc>
        <w:tc>
          <w:tcPr>
            <w:tcW w:w="1260" w:type="dxa"/>
          </w:tcPr>
          <w:p w:rsidR="00BB0E83" w:rsidRPr="009B33D2" w:rsidRDefault="00BB0E83" w:rsidP="009B33D2">
            <w:pPr>
              <w:pStyle w:val="TableText"/>
              <w:spacing w:before="60" w:after="60"/>
            </w:pPr>
            <w:r w:rsidRPr="009B33D2">
              <w:t>Rate</w:t>
            </w:r>
          </w:p>
        </w:tc>
        <w:tc>
          <w:tcPr>
            <w:tcW w:w="2018" w:type="dxa"/>
            <w:noWrap/>
            <w:hideMark/>
          </w:tcPr>
          <w:p w:rsidR="00BB0E83" w:rsidRPr="009B33D2" w:rsidRDefault="00BB0E83" w:rsidP="009B33D2">
            <w:pPr>
              <w:pStyle w:val="TableText"/>
              <w:spacing w:before="60" w:after="60"/>
            </w:pPr>
            <w:r w:rsidRPr="009B33D2">
              <w:t>Count of all cases with a denial within a certain month</w:t>
            </w:r>
          </w:p>
          <w:p w:rsidR="00BB0E83" w:rsidRPr="009B33D2" w:rsidRDefault="00BB0E83" w:rsidP="009B33D2">
            <w:pPr>
              <w:pStyle w:val="TableText"/>
              <w:spacing w:before="60" w:after="60"/>
            </w:pPr>
            <w:r w:rsidRPr="009B33D2">
              <w:t xml:space="preserve">OR </w:t>
            </w:r>
          </w:p>
          <w:p w:rsidR="00BB0E83" w:rsidRPr="009B33D2" w:rsidRDefault="00BB0E83" w:rsidP="009B33D2">
            <w:pPr>
              <w:pStyle w:val="TableText"/>
              <w:spacing w:before="60" w:after="60"/>
            </w:pPr>
            <w:r w:rsidRPr="009B33D2">
              <w:t>Count of all cases with a denial for a certain reason within a certain month.</w:t>
            </w:r>
          </w:p>
        </w:tc>
        <w:tc>
          <w:tcPr>
            <w:tcW w:w="2070" w:type="dxa"/>
          </w:tcPr>
          <w:p w:rsidR="00BB0E83" w:rsidRPr="009B33D2" w:rsidRDefault="00BB0E83" w:rsidP="009B33D2">
            <w:pPr>
              <w:pStyle w:val="TableText"/>
              <w:spacing w:before="60" w:after="60"/>
            </w:pPr>
            <w:r w:rsidRPr="009B33D2">
              <w:t xml:space="preserve">Count of all cases with eligibility determination within a month </w:t>
            </w:r>
          </w:p>
          <w:p w:rsidR="00BB0E83" w:rsidRPr="009B33D2" w:rsidRDefault="00BB0E83" w:rsidP="009B33D2">
            <w:pPr>
              <w:pStyle w:val="TableText"/>
              <w:spacing w:before="60" w:after="60"/>
            </w:pPr>
            <w:r w:rsidRPr="009B33D2">
              <w:t xml:space="preserve">OR </w:t>
            </w:r>
          </w:p>
          <w:p w:rsidR="00BB0E83" w:rsidRPr="009B33D2" w:rsidRDefault="00BB0E83" w:rsidP="009B33D2">
            <w:pPr>
              <w:pStyle w:val="TableText"/>
              <w:spacing w:before="60" w:after="60"/>
            </w:pPr>
            <w:r w:rsidRPr="009B33D2">
              <w:t>Count of all cases with a denial within a certain month</w:t>
            </w:r>
          </w:p>
        </w:tc>
        <w:tc>
          <w:tcPr>
            <w:tcW w:w="1336" w:type="dxa"/>
          </w:tcPr>
          <w:p w:rsidR="00BB0E83" w:rsidRPr="009B33D2" w:rsidRDefault="00BB0E83" w:rsidP="009B33D2">
            <w:pPr>
              <w:pStyle w:val="TableText"/>
              <w:spacing w:before="60" w:after="60"/>
            </w:pPr>
            <w:r w:rsidRPr="009B33D2">
              <w:t>Comparison month to month</w:t>
            </w:r>
          </w:p>
        </w:tc>
      </w:tr>
      <w:tr w:rsidR="00BB0E83" w:rsidRPr="008134C0" w:rsidTr="00833C14">
        <w:trPr>
          <w:trHeight w:val="300"/>
        </w:trPr>
        <w:tc>
          <w:tcPr>
            <w:tcW w:w="599" w:type="dxa"/>
          </w:tcPr>
          <w:p w:rsidR="00BB0E83" w:rsidRPr="009B33D2" w:rsidRDefault="00BB0E83" w:rsidP="009B33D2">
            <w:pPr>
              <w:pStyle w:val="TableText"/>
              <w:spacing w:before="60" w:after="60"/>
            </w:pPr>
            <w:r w:rsidRPr="009B33D2">
              <w:t>7</w:t>
            </w:r>
          </w:p>
        </w:tc>
        <w:tc>
          <w:tcPr>
            <w:tcW w:w="2374" w:type="dxa"/>
            <w:noWrap/>
            <w:hideMark/>
          </w:tcPr>
          <w:p w:rsidR="00BB0E83" w:rsidRPr="009B33D2" w:rsidRDefault="00BB0E83" w:rsidP="009B33D2">
            <w:pPr>
              <w:pStyle w:val="TableText"/>
              <w:spacing w:before="60" w:after="60"/>
            </w:pPr>
            <w:r w:rsidRPr="009B33D2">
              <w:t>Change in the proportion of cases with client initiated changes</w:t>
            </w:r>
          </w:p>
        </w:tc>
        <w:tc>
          <w:tcPr>
            <w:tcW w:w="1260" w:type="dxa"/>
          </w:tcPr>
          <w:p w:rsidR="00BB0E83" w:rsidRPr="009B33D2" w:rsidRDefault="00BB0E83" w:rsidP="009B33D2">
            <w:pPr>
              <w:pStyle w:val="TableText"/>
              <w:spacing w:before="60" w:after="60"/>
            </w:pPr>
            <w:r w:rsidRPr="009B33D2">
              <w:t>Rate</w:t>
            </w:r>
          </w:p>
        </w:tc>
        <w:tc>
          <w:tcPr>
            <w:tcW w:w="2018" w:type="dxa"/>
            <w:noWrap/>
            <w:hideMark/>
          </w:tcPr>
          <w:p w:rsidR="00BB0E83" w:rsidRPr="009B33D2" w:rsidRDefault="00BB0E83" w:rsidP="009B33D2">
            <w:pPr>
              <w:pStyle w:val="TableText"/>
              <w:spacing w:before="60" w:after="60"/>
            </w:pPr>
            <w:r w:rsidRPr="009B33D2">
              <w:t>Count of all cases with changes initiated by a client within a certain month</w:t>
            </w:r>
          </w:p>
        </w:tc>
        <w:tc>
          <w:tcPr>
            <w:tcW w:w="2070" w:type="dxa"/>
          </w:tcPr>
          <w:p w:rsidR="00BB0E83" w:rsidRPr="009B33D2" w:rsidRDefault="00BB0E83" w:rsidP="009B33D2">
            <w:pPr>
              <w:pStyle w:val="TableText"/>
              <w:spacing w:before="60" w:after="60"/>
            </w:pPr>
            <w:r w:rsidRPr="009B33D2">
              <w:t>Count of all cases active in a certain month</w:t>
            </w:r>
          </w:p>
        </w:tc>
        <w:tc>
          <w:tcPr>
            <w:tcW w:w="1336" w:type="dxa"/>
          </w:tcPr>
          <w:p w:rsidR="00BB0E83" w:rsidRPr="009B33D2" w:rsidRDefault="00BB0E83" w:rsidP="009B33D2">
            <w:pPr>
              <w:pStyle w:val="TableText"/>
              <w:spacing w:before="60" w:after="60"/>
            </w:pPr>
            <w:r w:rsidRPr="009B33D2">
              <w:t>Comparison month to month</w:t>
            </w:r>
          </w:p>
        </w:tc>
      </w:tr>
      <w:tr w:rsidR="00BB0E83" w:rsidRPr="008134C0" w:rsidTr="00833C14">
        <w:trPr>
          <w:trHeight w:val="300"/>
        </w:trPr>
        <w:tc>
          <w:tcPr>
            <w:tcW w:w="599" w:type="dxa"/>
          </w:tcPr>
          <w:p w:rsidR="00BB0E83" w:rsidRPr="009B33D2" w:rsidRDefault="00BB0E83" w:rsidP="009B33D2">
            <w:pPr>
              <w:pStyle w:val="TableText"/>
              <w:spacing w:before="60" w:after="60"/>
            </w:pPr>
            <w:r w:rsidRPr="009B33D2">
              <w:t>8</w:t>
            </w:r>
          </w:p>
        </w:tc>
        <w:tc>
          <w:tcPr>
            <w:tcW w:w="2374" w:type="dxa"/>
            <w:noWrap/>
            <w:hideMark/>
          </w:tcPr>
          <w:p w:rsidR="00BB0E83" w:rsidRPr="009B33D2" w:rsidRDefault="00BB0E83" w:rsidP="009B33D2">
            <w:pPr>
              <w:pStyle w:val="TableText"/>
              <w:spacing w:before="60" w:after="60"/>
            </w:pPr>
            <w:r w:rsidRPr="009B33D2">
              <w:t>Change in number of fraud cases reported</w:t>
            </w:r>
          </w:p>
        </w:tc>
        <w:tc>
          <w:tcPr>
            <w:tcW w:w="1260" w:type="dxa"/>
          </w:tcPr>
          <w:p w:rsidR="00BB0E83" w:rsidRPr="009B33D2" w:rsidRDefault="00BB0E83" w:rsidP="009B33D2">
            <w:pPr>
              <w:pStyle w:val="TableText"/>
              <w:spacing w:before="60" w:after="60"/>
            </w:pPr>
            <w:r w:rsidRPr="009B33D2">
              <w:t>Count</w:t>
            </w:r>
          </w:p>
        </w:tc>
        <w:tc>
          <w:tcPr>
            <w:tcW w:w="2018" w:type="dxa"/>
            <w:noWrap/>
            <w:hideMark/>
          </w:tcPr>
          <w:p w:rsidR="00BB0E83" w:rsidRPr="009B33D2" w:rsidRDefault="00BB0E83" w:rsidP="009B33D2">
            <w:pPr>
              <w:pStyle w:val="TableText"/>
              <w:spacing w:before="60" w:after="60"/>
            </w:pPr>
            <w:r w:rsidRPr="009B33D2">
              <w:t>N/A</w:t>
            </w:r>
          </w:p>
        </w:tc>
        <w:tc>
          <w:tcPr>
            <w:tcW w:w="2070" w:type="dxa"/>
          </w:tcPr>
          <w:p w:rsidR="00BB0E83" w:rsidRPr="009B33D2" w:rsidRDefault="00BB0E83" w:rsidP="009B33D2">
            <w:pPr>
              <w:pStyle w:val="TableText"/>
              <w:spacing w:before="60" w:after="60"/>
            </w:pPr>
            <w:r w:rsidRPr="009B33D2">
              <w:t>N/A</w:t>
            </w:r>
          </w:p>
        </w:tc>
        <w:tc>
          <w:tcPr>
            <w:tcW w:w="1336" w:type="dxa"/>
          </w:tcPr>
          <w:p w:rsidR="00BB0E83" w:rsidRPr="009B33D2" w:rsidRDefault="00BB0E83" w:rsidP="009B33D2">
            <w:pPr>
              <w:pStyle w:val="TableText"/>
              <w:spacing w:before="60" w:after="60"/>
            </w:pPr>
            <w:r w:rsidRPr="009B33D2">
              <w:t>Comparison month to month</w:t>
            </w:r>
          </w:p>
        </w:tc>
      </w:tr>
      <w:tr w:rsidR="00BB0E83" w:rsidRPr="008134C0" w:rsidTr="00833C14">
        <w:trPr>
          <w:trHeight w:val="300"/>
        </w:trPr>
        <w:tc>
          <w:tcPr>
            <w:tcW w:w="599" w:type="dxa"/>
          </w:tcPr>
          <w:p w:rsidR="00BB0E83" w:rsidRPr="009B33D2" w:rsidRDefault="00BB0E83" w:rsidP="009B33D2">
            <w:pPr>
              <w:pStyle w:val="TableText"/>
              <w:spacing w:before="60" w:after="60"/>
            </w:pPr>
            <w:r w:rsidRPr="009B33D2">
              <w:t>9</w:t>
            </w:r>
          </w:p>
        </w:tc>
        <w:tc>
          <w:tcPr>
            <w:tcW w:w="2374" w:type="dxa"/>
            <w:noWrap/>
            <w:hideMark/>
          </w:tcPr>
          <w:p w:rsidR="00BB0E83" w:rsidRPr="009B33D2" w:rsidRDefault="00BB0E83" w:rsidP="009B33D2">
            <w:pPr>
              <w:pStyle w:val="TableText"/>
              <w:spacing w:before="60" w:after="60"/>
            </w:pPr>
            <w:r w:rsidRPr="009B33D2">
              <w:t>Change in the number of workers assigned to various tasks (if relevant)</w:t>
            </w:r>
          </w:p>
        </w:tc>
        <w:tc>
          <w:tcPr>
            <w:tcW w:w="1260" w:type="dxa"/>
          </w:tcPr>
          <w:p w:rsidR="00BB0E83" w:rsidRPr="009B33D2" w:rsidRDefault="00BB0E83" w:rsidP="009B33D2">
            <w:pPr>
              <w:pStyle w:val="TableText"/>
              <w:spacing w:before="60" w:after="60"/>
            </w:pPr>
            <w:r w:rsidRPr="009B33D2">
              <w:t>Count</w:t>
            </w:r>
          </w:p>
        </w:tc>
        <w:tc>
          <w:tcPr>
            <w:tcW w:w="2018" w:type="dxa"/>
            <w:noWrap/>
            <w:hideMark/>
          </w:tcPr>
          <w:p w:rsidR="00BB0E83" w:rsidRPr="009B33D2" w:rsidRDefault="00BB0E83" w:rsidP="009C3DD1">
            <w:pPr>
              <w:pStyle w:val="TableText"/>
              <w:spacing w:before="60" w:after="60"/>
            </w:pPr>
            <w:r w:rsidRPr="009B33D2">
              <w:t>N/A</w:t>
            </w:r>
          </w:p>
        </w:tc>
        <w:tc>
          <w:tcPr>
            <w:tcW w:w="2070" w:type="dxa"/>
          </w:tcPr>
          <w:p w:rsidR="00BB0E83" w:rsidRPr="009B33D2" w:rsidRDefault="00BB0E83" w:rsidP="009B33D2">
            <w:pPr>
              <w:pStyle w:val="TableText"/>
              <w:spacing w:before="60" w:after="60"/>
            </w:pPr>
            <w:r w:rsidRPr="009B33D2">
              <w:t>N/A</w:t>
            </w:r>
          </w:p>
        </w:tc>
        <w:tc>
          <w:tcPr>
            <w:tcW w:w="1336" w:type="dxa"/>
          </w:tcPr>
          <w:p w:rsidR="00BB0E83" w:rsidRPr="009B33D2" w:rsidRDefault="00BB0E83" w:rsidP="009B33D2">
            <w:pPr>
              <w:pStyle w:val="TableText"/>
              <w:spacing w:before="60" w:after="60"/>
            </w:pPr>
            <w:r w:rsidRPr="009B33D2">
              <w:t>Comparison month to month</w:t>
            </w:r>
          </w:p>
        </w:tc>
      </w:tr>
      <w:tr w:rsidR="00BB0E83" w:rsidRPr="008134C0" w:rsidTr="00833C14">
        <w:trPr>
          <w:trHeight w:val="300"/>
        </w:trPr>
        <w:tc>
          <w:tcPr>
            <w:tcW w:w="599" w:type="dxa"/>
          </w:tcPr>
          <w:p w:rsidR="00BB0E83" w:rsidRPr="009B33D2" w:rsidRDefault="00BB0E83" w:rsidP="00833C14">
            <w:pPr>
              <w:pStyle w:val="TableText"/>
              <w:pageBreakBefore/>
              <w:spacing w:before="60" w:after="60"/>
            </w:pPr>
            <w:r w:rsidRPr="009B33D2">
              <w:lastRenderedPageBreak/>
              <w:t>10</w:t>
            </w:r>
          </w:p>
        </w:tc>
        <w:tc>
          <w:tcPr>
            <w:tcW w:w="2374" w:type="dxa"/>
            <w:noWrap/>
            <w:hideMark/>
          </w:tcPr>
          <w:p w:rsidR="00BB0E83" w:rsidRPr="009B33D2" w:rsidRDefault="00BB0E83" w:rsidP="009B33D2">
            <w:pPr>
              <w:pStyle w:val="TableText"/>
              <w:spacing w:before="60" w:after="60"/>
            </w:pPr>
            <w:r w:rsidRPr="009B33D2">
              <w:t>Change in number of cases staff process</w:t>
            </w:r>
          </w:p>
        </w:tc>
        <w:tc>
          <w:tcPr>
            <w:tcW w:w="1260" w:type="dxa"/>
          </w:tcPr>
          <w:p w:rsidR="00BB0E83" w:rsidRPr="009B33D2" w:rsidRDefault="00BB0E83" w:rsidP="009B33D2">
            <w:pPr>
              <w:pStyle w:val="TableText"/>
              <w:spacing w:before="60" w:after="60"/>
            </w:pPr>
            <w:r w:rsidRPr="009B33D2">
              <w:t>Count</w:t>
            </w:r>
          </w:p>
        </w:tc>
        <w:tc>
          <w:tcPr>
            <w:tcW w:w="2018" w:type="dxa"/>
            <w:noWrap/>
            <w:hideMark/>
          </w:tcPr>
          <w:p w:rsidR="00BB0E83" w:rsidRPr="009B33D2" w:rsidRDefault="00BB0E83" w:rsidP="009C3DD1">
            <w:pPr>
              <w:pStyle w:val="TableText"/>
              <w:spacing w:before="60" w:after="60"/>
            </w:pPr>
            <w:r w:rsidRPr="009B33D2">
              <w:t>N/A</w:t>
            </w:r>
          </w:p>
        </w:tc>
        <w:tc>
          <w:tcPr>
            <w:tcW w:w="2070" w:type="dxa"/>
          </w:tcPr>
          <w:p w:rsidR="00BB0E83" w:rsidRPr="009B33D2" w:rsidRDefault="00BB0E83" w:rsidP="009B33D2">
            <w:pPr>
              <w:pStyle w:val="TableText"/>
              <w:spacing w:before="60" w:after="60"/>
            </w:pPr>
            <w:r w:rsidRPr="009B33D2">
              <w:t>N/A</w:t>
            </w:r>
          </w:p>
        </w:tc>
        <w:tc>
          <w:tcPr>
            <w:tcW w:w="1336" w:type="dxa"/>
          </w:tcPr>
          <w:p w:rsidR="00BB0E83" w:rsidRPr="009B33D2" w:rsidRDefault="00BB0E83" w:rsidP="009B33D2">
            <w:pPr>
              <w:pStyle w:val="TableText"/>
              <w:spacing w:before="60" w:after="60"/>
            </w:pPr>
            <w:r w:rsidRPr="009B33D2">
              <w:t>Comparison month to month</w:t>
            </w:r>
          </w:p>
        </w:tc>
      </w:tr>
      <w:tr w:rsidR="00BB0E83" w:rsidRPr="008134C0" w:rsidTr="00833C14">
        <w:trPr>
          <w:trHeight w:val="300"/>
        </w:trPr>
        <w:tc>
          <w:tcPr>
            <w:tcW w:w="599" w:type="dxa"/>
          </w:tcPr>
          <w:p w:rsidR="00BB0E83" w:rsidRPr="009B33D2" w:rsidRDefault="00BB0E83" w:rsidP="009B33D2">
            <w:pPr>
              <w:pStyle w:val="TableText"/>
              <w:spacing w:before="60" w:after="60"/>
            </w:pPr>
            <w:r w:rsidRPr="009B33D2">
              <w:t>11</w:t>
            </w:r>
          </w:p>
        </w:tc>
        <w:tc>
          <w:tcPr>
            <w:tcW w:w="2374" w:type="dxa"/>
            <w:noWrap/>
            <w:hideMark/>
          </w:tcPr>
          <w:p w:rsidR="00BB0E83" w:rsidRPr="009B33D2" w:rsidRDefault="00BB0E83" w:rsidP="009B33D2">
            <w:pPr>
              <w:pStyle w:val="TableText"/>
              <w:spacing w:before="60" w:after="60"/>
            </w:pPr>
            <w:r w:rsidRPr="009B33D2">
              <w:t>Change in administrative costs by activity</w:t>
            </w:r>
          </w:p>
        </w:tc>
        <w:tc>
          <w:tcPr>
            <w:tcW w:w="1260" w:type="dxa"/>
          </w:tcPr>
          <w:p w:rsidR="00BB0E83" w:rsidRPr="009B33D2" w:rsidRDefault="00BB0E83" w:rsidP="009B33D2">
            <w:pPr>
              <w:pStyle w:val="TableText"/>
              <w:spacing w:before="60" w:after="60"/>
            </w:pPr>
            <w:r w:rsidRPr="009B33D2">
              <w:t>Count or Rate</w:t>
            </w:r>
          </w:p>
        </w:tc>
        <w:tc>
          <w:tcPr>
            <w:tcW w:w="2018" w:type="dxa"/>
            <w:noWrap/>
            <w:hideMark/>
          </w:tcPr>
          <w:p w:rsidR="00BB0E83" w:rsidRPr="009B33D2" w:rsidRDefault="00BB0E83" w:rsidP="009B33D2">
            <w:pPr>
              <w:pStyle w:val="TableText"/>
              <w:spacing w:before="60" w:after="60"/>
            </w:pPr>
            <w:r w:rsidRPr="009B33D2">
              <w:t xml:space="preserve">The cost of all activities in a category </w:t>
            </w:r>
          </w:p>
        </w:tc>
        <w:tc>
          <w:tcPr>
            <w:tcW w:w="2070" w:type="dxa"/>
          </w:tcPr>
          <w:p w:rsidR="00BB0E83" w:rsidRPr="009B33D2" w:rsidRDefault="00BB0E83" w:rsidP="009B33D2">
            <w:pPr>
              <w:pStyle w:val="TableText"/>
              <w:spacing w:before="60" w:after="60"/>
            </w:pPr>
            <w:r w:rsidRPr="009B33D2">
              <w:t xml:space="preserve">The number of activities in a category </w:t>
            </w:r>
          </w:p>
        </w:tc>
        <w:tc>
          <w:tcPr>
            <w:tcW w:w="1336" w:type="dxa"/>
          </w:tcPr>
          <w:p w:rsidR="00BB0E83" w:rsidRPr="009B33D2" w:rsidRDefault="00BB0E83" w:rsidP="009B33D2">
            <w:pPr>
              <w:pStyle w:val="TableText"/>
              <w:spacing w:before="60" w:after="60"/>
            </w:pPr>
            <w:r w:rsidRPr="009B33D2">
              <w:t>Can be a rate if averages are calculated</w:t>
            </w:r>
          </w:p>
        </w:tc>
      </w:tr>
    </w:tbl>
    <w:p w:rsidR="00BB0E83" w:rsidRDefault="00BB0E83" w:rsidP="00466A9C">
      <w:pPr>
        <w:spacing w:line="240" w:lineRule="auto"/>
        <w:ind w:firstLine="0"/>
      </w:pPr>
    </w:p>
    <w:p w:rsidR="00BB0E83" w:rsidRPr="009B33D2" w:rsidRDefault="00BB0E83" w:rsidP="009B33D2">
      <w:pPr>
        <w:pStyle w:val="NormalSS"/>
      </w:pPr>
      <w:r w:rsidRPr="009B33D2">
        <w:t xml:space="preserve">Table 2 identifies the information that will be collected from study sites using the data collection tool. Each piece of information below is needed either because it encompasses one of the indicators in table 1 (if the indicator is a simple count), or because it is necessary to calculate the indicator (if the indicator is a measure). This table lists the likelihood that study sites collect and report on each type of information, with the likelihood based on other work in the area of SNAP modernization and SNAP data collection and reporting capacity. The burden placed on sites to collect this information will depend on whether the sites already collect and report the information that the study team needs for other purposes, or if they will be collecting it for the first time. We will work with the states to determine what is available and how we can obtain additional information with the least amount of burden.  </w:t>
      </w:r>
    </w:p>
    <w:p w:rsidR="00BB0E83" w:rsidRPr="009B33D2" w:rsidRDefault="00BB0E83" w:rsidP="009B33D2">
      <w:pPr>
        <w:pStyle w:val="MarkforTableHeading"/>
        <w:rPr>
          <w:b w:val="0"/>
          <w:caps/>
        </w:rPr>
      </w:pPr>
      <w:r w:rsidRPr="009B33D2">
        <w:t>Table 2:  Availability of Performance Data</w:t>
      </w:r>
    </w:p>
    <w:tbl>
      <w:tblPr>
        <w:tblStyle w:val="SMPRTableBlack"/>
        <w:tblW w:w="9353" w:type="dxa"/>
        <w:tblLook w:val="04A0"/>
      </w:tblPr>
      <w:tblGrid>
        <w:gridCol w:w="630"/>
        <w:gridCol w:w="2490"/>
        <w:gridCol w:w="2903"/>
        <w:gridCol w:w="3330"/>
      </w:tblGrid>
      <w:tr w:rsidR="00BB0E83" w:rsidRPr="008134C0" w:rsidTr="00833C14">
        <w:trPr>
          <w:cnfStyle w:val="100000000000"/>
          <w:trHeight w:val="300"/>
          <w:tblHeader/>
        </w:trPr>
        <w:tc>
          <w:tcPr>
            <w:tcW w:w="630" w:type="dxa"/>
            <w:noWrap/>
            <w:vAlign w:val="bottom"/>
            <w:hideMark/>
          </w:tcPr>
          <w:p w:rsidR="00BB0E83" w:rsidRPr="009B33D2" w:rsidRDefault="00BB0E83" w:rsidP="006379F1">
            <w:pPr>
              <w:pStyle w:val="TableText"/>
              <w:spacing w:before="120" w:after="60"/>
            </w:pPr>
          </w:p>
        </w:tc>
        <w:tc>
          <w:tcPr>
            <w:tcW w:w="2490" w:type="dxa"/>
            <w:noWrap/>
            <w:vAlign w:val="bottom"/>
            <w:hideMark/>
          </w:tcPr>
          <w:p w:rsidR="00BB0E83" w:rsidRPr="009B33D2" w:rsidRDefault="00BB0E83" w:rsidP="006379F1">
            <w:pPr>
              <w:pStyle w:val="TableText"/>
              <w:spacing w:before="120" w:after="60"/>
              <w:jc w:val="center"/>
            </w:pPr>
            <w:r w:rsidRPr="009B33D2">
              <w:t xml:space="preserve">A. Collected </w:t>
            </w:r>
            <w:r>
              <w:t>I</w:t>
            </w:r>
            <w:r w:rsidRPr="009B33D2">
              <w:t>nformation</w:t>
            </w:r>
          </w:p>
        </w:tc>
        <w:tc>
          <w:tcPr>
            <w:tcW w:w="2903" w:type="dxa"/>
            <w:noWrap/>
            <w:vAlign w:val="bottom"/>
            <w:hideMark/>
          </w:tcPr>
          <w:p w:rsidR="00BB0E83" w:rsidRPr="009B33D2" w:rsidRDefault="00BB0E83" w:rsidP="006379F1">
            <w:pPr>
              <w:pStyle w:val="TableText"/>
              <w:spacing w:before="120" w:after="60"/>
              <w:jc w:val="center"/>
            </w:pPr>
            <w:r w:rsidRPr="009B33D2">
              <w:t>B. Likelihood of Being Collected by States/Offices</w:t>
            </w:r>
          </w:p>
        </w:tc>
        <w:tc>
          <w:tcPr>
            <w:tcW w:w="3330" w:type="dxa"/>
            <w:vAlign w:val="bottom"/>
          </w:tcPr>
          <w:p w:rsidR="00BB0E83" w:rsidRPr="009B33D2" w:rsidRDefault="00BB0E83" w:rsidP="006379F1">
            <w:pPr>
              <w:pStyle w:val="TableText"/>
              <w:spacing w:before="120" w:after="60"/>
              <w:jc w:val="center"/>
            </w:pPr>
            <w:r w:rsidRPr="009B33D2">
              <w:t xml:space="preserve">C. Likelihood of </w:t>
            </w:r>
            <w:r>
              <w:t>E</w:t>
            </w:r>
            <w:r w:rsidRPr="009B33D2">
              <w:t xml:space="preserve">xisting </w:t>
            </w:r>
            <w:r>
              <w:t>M</w:t>
            </w:r>
            <w:r w:rsidRPr="009B33D2">
              <w:t xml:space="preserve">onthly </w:t>
            </w:r>
            <w:r>
              <w:t>R</w:t>
            </w:r>
            <w:r w:rsidRPr="009B33D2">
              <w:t xml:space="preserve">eports whose </w:t>
            </w:r>
            <w:r>
              <w:t>R</w:t>
            </w:r>
            <w:r w:rsidRPr="009B33D2">
              <w:t xml:space="preserve">esults can be </w:t>
            </w:r>
            <w:r>
              <w:t>U</w:t>
            </w:r>
            <w:r w:rsidRPr="009B33D2">
              <w:t xml:space="preserve">sed for our </w:t>
            </w:r>
            <w:r>
              <w:t>C</w:t>
            </w:r>
            <w:r w:rsidRPr="009B33D2">
              <w:t>ollection</w:t>
            </w:r>
          </w:p>
        </w:tc>
      </w:tr>
      <w:tr w:rsidR="00BB0E83" w:rsidRPr="008134C0" w:rsidTr="00833C14">
        <w:trPr>
          <w:trHeight w:val="300"/>
        </w:trPr>
        <w:tc>
          <w:tcPr>
            <w:tcW w:w="630" w:type="dxa"/>
            <w:noWrap/>
            <w:hideMark/>
          </w:tcPr>
          <w:p w:rsidR="00BB0E83" w:rsidRPr="009B33D2" w:rsidRDefault="00BB0E83" w:rsidP="009B33D2">
            <w:pPr>
              <w:pStyle w:val="TableText"/>
              <w:spacing w:before="60" w:after="60"/>
            </w:pPr>
            <w:r w:rsidRPr="009B33D2">
              <w:t>1</w:t>
            </w:r>
          </w:p>
        </w:tc>
        <w:tc>
          <w:tcPr>
            <w:tcW w:w="2490" w:type="dxa"/>
            <w:noWrap/>
            <w:hideMark/>
          </w:tcPr>
          <w:p w:rsidR="00BB0E83" w:rsidRPr="009B33D2" w:rsidRDefault="00BB0E83" w:rsidP="009B33D2">
            <w:pPr>
              <w:pStyle w:val="TableText"/>
              <w:spacing w:before="60" w:after="60"/>
            </w:pPr>
            <w:r w:rsidRPr="009B33D2">
              <w:t xml:space="preserve">The number of applications received </w:t>
            </w:r>
          </w:p>
        </w:tc>
        <w:tc>
          <w:tcPr>
            <w:tcW w:w="2903" w:type="dxa"/>
            <w:noWrap/>
            <w:hideMark/>
          </w:tcPr>
          <w:p w:rsidR="00BB0E83" w:rsidRPr="009B33D2" w:rsidRDefault="00BB0E83" w:rsidP="006379F1">
            <w:pPr>
              <w:pStyle w:val="TableText"/>
              <w:spacing w:before="60" w:after="60"/>
              <w:jc w:val="center"/>
            </w:pPr>
            <w:r w:rsidRPr="009B33D2">
              <w:t>High</w:t>
            </w:r>
          </w:p>
        </w:tc>
        <w:tc>
          <w:tcPr>
            <w:tcW w:w="3330" w:type="dxa"/>
          </w:tcPr>
          <w:p w:rsidR="00BB0E83" w:rsidRPr="009B33D2" w:rsidRDefault="00BB0E83" w:rsidP="006379F1">
            <w:pPr>
              <w:pStyle w:val="TableText"/>
              <w:spacing w:before="60" w:after="60"/>
              <w:ind w:left="102"/>
            </w:pPr>
            <w:r w:rsidRPr="009B33D2">
              <w:t>Multiple means of accepting applications may mean that offices have to combine data sources.</w:t>
            </w:r>
          </w:p>
        </w:tc>
      </w:tr>
      <w:tr w:rsidR="00BB0E83" w:rsidRPr="008134C0" w:rsidTr="00833C14">
        <w:trPr>
          <w:trHeight w:val="300"/>
        </w:trPr>
        <w:tc>
          <w:tcPr>
            <w:tcW w:w="630" w:type="dxa"/>
            <w:noWrap/>
            <w:hideMark/>
          </w:tcPr>
          <w:p w:rsidR="00BB0E83" w:rsidRPr="009B33D2" w:rsidRDefault="00BB0E83" w:rsidP="009B33D2">
            <w:pPr>
              <w:pStyle w:val="TableText"/>
              <w:spacing w:before="60" w:after="60"/>
            </w:pPr>
            <w:r w:rsidRPr="009B33D2">
              <w:t>2</w:t>
            </w:r>
          </w:p>
        </w:tc>
        <w:tc>
          <w:tcPr>
            <w:tcW w:w="2490" w:type="dxa"/>
            <w:noWrap/>
            <w:hideMark/>
          </w:tcPr>
          <w:p w:rsidR="00BB0E83" w:rsidRPr="009B33D2" w:rsidRDefault="00BB0E83" w:rsidP="009B33D2">
            <w:pPr>
              <w:pStyle w:val="TableText"/>
              <w:spacing w:before="60" w:after="60"/>
            </w:pPr>
            <w:r w:rsidRPr="009B33D2">
              <w:t xml:space="preserve">The number of interviews scheduled </w:t>
            </w:r>
          </w:p>
        </w:tc>
        <w:tc>
          <w:tcPr>
            <w:tcW w:w="2903" w:type="dxa"/>
            <w:noWrap/>
            <w:hideMark/>
          </w:tcPr>
          <w:p w:rsidR="00BB0E83" w:rsidRPr="009B33D2" w:rsidRDefault="00BB0E83" w:rsidP="006379F1">
            <w:pPr>
              <w:pStyle w:val="TableText"/>
              <w:spacing w:before="60" w:after="60"/>
              <w:jc w:val="center"/>
            </w:pPr>
            <w:r w:rsidRPr="009B33D2">
              <w:t>High</w:t>
            </w:r>
          </w:p>
        </w:tc>
        <w:tc>
          <w:tcPr>
            <w:tcW w:w="3330" w:type="dxa"/>
          </w:tcPr>
          <w:p w:rsidR="00BB0E83" w:rsidRPr="009B33D2" w:rsidRDefault="00BB0E83" w:rsidP="006379F1">
            <w:pPr>
              <w:pStyle w:val="TableText"/>
              <w:spacing w:before="60" w:after="60"/>
              <w:jc w:val="center"/>
            </w:pPr>
            <w:r w:rsidRPr="009B33D2">
              <w:t>High</w:t>
            </w:r>
          </w:p>
        </w:tc>
      </w:tr>
      <w:tr w:rsidR="00BB0E83" w:rsidRPr="008134C0" w:rsidTr="00833C14">
        <w:trPr>
          <w:trHeight w:val="300"/>
        </w:trPr>
        <w:tc>
          <w:tcPr>
            <w:tcW w:w="630" w:type="dxa"/>
            <w:noWrap/>
            <w:hideMark/>
          </w:tcPr>
          <w:p w:rsidR="00BB0E83" w:rsidRPr="009B33D2" w:rsidRDefault="00BB0E83" w:rsidP="009B33D2">
            <w:pPr>
              <w:pStyle w:val="TableText"/>
              <w:spacing w:before="60" w:after="60"/>
            </w:pPr>
            <w:r w:rsidRPr="009B33D2">
              <w:t>3a</w:t>
            </w:r>
          </w:p>
        </w:tc>
        <w:tc>
          <w:tcPr>
            <w:tcW w:w="2490" w:type="dxa"/>
            <w:noWrap/>
            <w:hideMark/>
          </w:tcPr>
          <w:p w:rsidR="00BB0E83" w:rsidRPr="009B33D2" w:rsidRDefault="00BB0E83" w:rsidP="009B33D2">
            <w:pPr>
              <w:pStyle w:val="TableText"/>
              <w:spacing w:before="60" w:after="60"/>
            </w:pPr>
            <w:r w:rsidRPr="009B33D2">
              <w:t>The number of interviews conducted:  walk in vs. scheduled</w:t>
            </w:r>
          </w:p>
        </w:tc>
        <w:tc>
          <w:tcPr>
            <w:tcW w:w="2903" w:type="dxa"/>
            <w:noWrap/>
            <w:hideMark/>
          </w:tcPr>
          <w:p w:rsidR="00BB0E83" w:rsidRPr="009B33D2" w:rsidRDefault="00BB0E83" w:rsidP="006379F1">
            <w:pPr>
              <w:pStyle w:val="TableText"/>
              <w:spacing w:before="60" w:after="60"/>
              <w:jc w:val="center"/>
            </w:pPr>
            <w:r w:rsidRPr="009B33D2">
              <w:t>Moderate</w:t>
            </w:r>
          </w:p>
        </w:tc>
        <w:tc>
          <w:tcPr>
            <w:tcW w:w="3330" w:type="dxa"/>
          </w:tcPr>
          <w:p w:rsidR="00BB0E83" w:rsidRPr="009B33D2" w:rsidRDefault="00BB0E83" w:rsidP="006379F1">
            <w:pPr>
              <w:pStyle w:val="TableText"/>
              <w:spacing w:before="60" w:after="60"/>
              <w:jc w:val="center"/>
            </w:pPr>
            <w:r w:rsidRPr="009B33D2">
              <w:t>Low</w:t>
            </w:r>
          </w:p>
        </w:tc>
      </w:tr>
      <w:tr w:rsidR="00BB0E83" w:rsidRPr="008134C0" w:rsidTr="00833C14">
        <w:trPr>
          <w:trHeight w:val="300"/>
        </w:trPr>
        <w:tc>
          <w:tcPr>
            <w:tcW w:w="630" w:type="dxa"/>
            <w:noWrap/>
            <w:hideMark/>
          </w:tcPr>
          <w:p w:rsidR="00BB0E83" w:rsidRPr="009B33D2" w:rsidRDefault="00BB0E83" w:rsidP="009B33D2">
            <w:pPr>
              <w:pStyle w:val="TableText"/>
              <w:spacing w:before="60" w:after="60"/>
            </w:pPr>
            <w:r w:rsidRPr="009B33D2">
              <w:t>3b</w:t>
            </w:r>
          </w:p>
        </w:tc>
        <w:tc>
          <w:tcPr>
            <w:tcW w:w="2490" w:type="dxa"/>
            <w:noWrap/>
            <w:hideMark/>
          </w:tcPr>
          <w:p w:rsidR="00BB0E83" w:rsidRPr="009B33D2" w:rsidRDefault="00BB0E83" w:rsidP="009B33D2">
            <w:pPr>
              <w:pStyle w:val="TableText"/>
              <w:spacing w:before="60" w:after="60"/>
            </w:pPr>
            <w:r w:rsidRPr="009B33D2">
              <w:t>The number of interviews conducted:  In person vs. telephone</w:t>
            </w:r>
          </w:p>
        </w:tc>
        <w:tc>
          <w:tcPr>
            <w:tcW w:w="2903" w:type="dxa"/>
            <w:noWrap/>
            <w:hideMark/>
          </w:tcPr>
          <w:p w:rsidR="00BB0E83" w:rsidRPr="009B33D2" w:rsidRDefault="00BB0E83" w:rsidP="006379F1">
            <w:pPr>
              <w:pStyle w:val="TableText"/>
              <w:spacing w:before="60" w:after="60"/>
              <w:jc w:val="center"/>
            </w:pPr>
            <w:r w:rsidRPr="009B33D2">
              <w:t>Moderate</w:t>
            </w:r>
          </w:p>
        </w:tc>
        <w:tc>
          <w:tcPr>
            <w:tcW w:w="3330" w:type="dxa"/>
          </w:tcPr>
          <w:p w:rsidR="00BB0E83" w:rsidRPr="009B33D2" w:rsidRDefault="00BB0E83" w:rsidP="006379F1">
            <w:pPr>
              <w:pStyle w:val="TableText"/>
              <w:spacing w:before="60" w:after="60"/>
              <w:jc w:val="center"/>
            </w:pPr>
            <w:r w:rsidRPr="009B33D2">
              <w:t>Low</w:t>
            </w:r>
          </w:p>
        </w:tc>
      </w:tr>
      <w:tr w:rsidR="00BB0E83" w:rsidRPr="008134C0" w:rsidTr="00833C14">
        <w:trPr>
          <w:trHeight w:val="300"/>
        </w:trPr>
        <w:tc>
          <w:tcPr>
            <w:tcW w:w="630" w:type="dxa"/>
            <w:noWrap/>
            <w:hideMark/>
          </w:tcPr>
          <w:p w:rsidR="00BB0E83" w:rsidRPr="009B33D2" w:rsidRDefault="00BB0E83" w:rsidP="009B33D2">
            <w:pPr>
              <w:pStyle w:val="TableText"/>
              <w:spacing w:before="60" w:after="60"/>
            </w:pPr>
            <w:r w:rsidRPr="009B33D2">
              <w:t>4</w:t>
            </w:r>
          </w:p>
        </w:tc>
        <w:tc>
          <w:tcPr>
            <w:tcW w:w="2490" w:type="dxa"/>
            <w:noWrap/>
            <w:hideMark/>
          </w:tcPr>
          <w:p w:rsidR="00BB0E83" w:rsidRPr="009B33D2" w:rsidRDefault="00BB0E83" w:rsidP="009B33D2">
            <w:pPr>
              <w:pStyle w:val="TableText"/>
              <w:spacing w:before="60" w:after="60"/>
            </w:pPr>
            <w:r w:rsidRPr="009B33D2">
              <w:t>The number of staff dedicated to specific tasks (e.g., interviewing, verifying information, determining eligibility, etc.)</w:t>
            </w:r>
          </w:p>
        </w:tc>
        <w:tc>
          <w:tcPr>
            <w:tcW w:w="2903" w:type="dxa"/>
            <w:noWrap/>
            <w:hideMark/>
          </w:tcPr>
          <w:p w:rsidR="00BB0E83" w:rsidRPr="009B33D2" w:rsidRDefault="00BB0E83" w:rsidP="00833C14">
            <w:pPr>
              <w:pStyle w:val="TableText"/>
              <w:spacing w:before="60" w:after="60"/>
              <w:ind w:left="5"/>
            </w:pPr>
            <w:r w:rsidRPr="009B33D2">
              <w:t>Likelihood depends on the timekeeping system. FTE data or HR data may be needed.</w:t>
            </w:r>
          </w:p>
        </w:tc>
        <w:tc>
          <w:tcPr>
            <w:tcW w:w="3330" w:type="dxa"/>
          </w:tcPr>
          <w:p w:rsidR="00BB0E83" w:rsidRPr="009B33D2" w:rsidRDefault="00BB0E83" w:rsidP="006379F1">
            <w:pPr>
              <w:pStyle w:val="TableText"/>
              <w:spacing w:before="60" w:after="60"/>
              <w:ind w:left="102"/>
            </w:pPr>
            <w:r w:rsidRPr="009B33D2">
              <w:t xml:space="preserve">Managers may have to verify information manually, and may need to use FTE data which is not updated daily but based on job descriptions. </w:t>
            </w:r>
          </w:p>
        </w:tc>
      </w:tr>
      <w:tr w:rsidR="00BB0E83" w:rsidRPr="008134C0" w:rsidTr="00833C14">
        <w:trPr>
          <w:trHeight w:val="300"/>
        </w:trPr>
        <w:tc>
          <w:tcPr>
            <w:tcW w:w="630" w:type="dxa"/>
            <w:noWrap/>
            <w:hideMark/>
          </w:tcPr>
          <w:p w:rsidR="00BB0E83" w:rsidRPr="009B33D2" w:rsidRDefault="00BB0E83" w:rsidP="009B33D2">
            <w:pPr>
              <w:pStyle w:val="TableText"/>
              <w:spacing w:before="60" w:after="60"/>
            </w:pPr>
            <w:r w:rsidRPr="009B33D2">
              <w:t>5</w:t>
            </w:r>
          </w:p>
        </w:tc>
        <w:tc>
          <w:tcPr>
            <w:tcW w:w="2490" w:type="dxa"/>
            <w:noWrap/>
            <w:hideMark/>
          </w:tcPr>
          <w:p w:rsidR="00BB0E83" w:rsidRPr="009B33D2" w:rsidRDefault="00BB0E83" w:rsidP="009B33D2">
            <w:pPr>
              <w:pStyle w:val="TableText"/>
              <w:spacing w:before="60" w:after="60"/>
            </w:pPr>
            <w:r w:rsidRPr="009B33D2">
              <w:t>The average number of days needed to process applications</w:t>
            </w:r>
          </w:p>
        </w:tc>
        <w:tc>
          <w:tcPr>
            <w:tcW w:w="2903" w:type="dxa"/>
            <w:noWrap/>
            <w:hideMark/>
          </w:tcPr>
          <w:p w:rsidR="00BB0E83" w:rsidRPr="009B33D2" w:rsidRDefault="00BB0E83" w:rsidP="006379F1">
            <w:pPr>
              <w:pStyle w:val="TableText"/>
              <w:spacing w:before="60" w:after="60"/>
              <w:jc w:val="center"/>
            </w:pPr>
            <w:r w:rsidRPr="009B33D2">
              <w:t>Moderate</w:t>
            </w:r>
          </w:p>
        </w:tc>
        <w:tc>
          <w:tcPr>
            <w:tcW w:w="3330" w:type="dxa"/>
          </w:tcPr>
          <w:p w:rsidR="00BB0E83" w:rsidRPr="009B33D2" w:rsidRDefault="00BB0E83" w:rsidP="006379F1">
            <w:pPr>
              <w:pStyle w:val="TableText"/>
              <w:spacing w:before="60" w:after="60"/>
              <w:jc w:val="center"/>
            </w:pPr>
            <w:r w:rsidRPr="009B33D2">
              <w:t>Low</w:t>
            </w:r>
          </w:p>
        </w:tc>
      </w:tr>
      <w:tr w:rsidR="00BB0E83" w:rsidRPr="008134C0" w:rsidTr="00833C14">
        <w:trPr>
          <w:trHeight w:val="300"/>
        </w:trPr>
        <w:tc>
          <w:tcPr>
            <w:tcW w:w="630" w:type="dxa"/>
            <w:noWrap/>
            <w:hideMark/>
          </w:tcPr>
          <w:p w:rsidR="00BB0E83" w:rsidRPr="009B33D2" w:rsidRDefault="00BB0E83" w:rsidP="009B33D2">
            <w:pPr>
              <w:pStyle w:val="TableText"/>
              <w:spacing w:before="60" w:after="60"/>
            </w:pPr>
            <w:r w:rsidRPr="009B33D2">
              <w:t>6</w:t>
            </w:r>
          </w:p>
        </w:tc>
        <w:tc>
          <w:tcPr>
            <w:tcW w:w="2490" w:type="dxa"/>
            <w:noWrap/>
            <w:hideMark/>
          </w:tcPr>
          <w:p w:rsidR="00BB0E83" w:rsidRPr="009B33D2" w:rsidRDefault="00BB0E83" w:rsidP="009B33D2">
            <w:pPr>
              <w:pStyle w:val="TableText"/>
              <w:spacing w:before="60" w:after="60"/>
            </w:pPr>
            <w:r w:rsidRPr="009B33D2">
              <w:t>The number of denials and the reasons for those denials</w:t>
            </w:r>
          </w:p>
        </w:tc>
        <w:tc>
          <w:tcPr>
            <w:tcW w:w="2903" w:type="dxa"/>
            <w:noWrap/>
            <w:hideMark/>
          </w:tcPr>
          <w:p w:rsidR="00BB0E83" w:rsidRPr="009B33D2" w:rsidRDefault="00BB0E83" w:rsidP="006379F1">
            <w:pPr>
              <w:pStyle w:val="TableText"/>
              <w:spacing w:before="60" w:after="60"/>
              <w:jc w:val="center"/>
            </w:pPr>
            <w:r w:rsidRPr="009B33D2">
              <w:t>High</w:t>
            </w:r>
          </w:p>
        </w:tc>
        <w:tc>
          <w:tcPr>
            <w:tcW w:w="3330" w:type="dxa"/>
          </w:tcPr>
          <w:p w:rsidR="00BB0E83" w:rsidRPr="009B33D2" w:rsidRDefault="00BB0E83" w:rsidP="006379F1">
            <w:pPr>
              <w:pStyle w:val="TableText"/>
              <w:spacing w:before="60" w:after="60"/>
              <w:jc w:val="center"/>
            </w:pPr>
            <w:r w:rsidRPr="009B33D2">
              <w:t>High</w:t>
            </w:r>
          </w:p>
        </w:tc>
      </w:tr>
      <w:tr w:rsidR="00BB0E83" w:rsidRPr="008134C0" w:rsidTr="00833C14">
        <w:trPr>
          <w:trHeight w:val="300"/>
        </w:trPr>
        <w:tc>
          <w:tcPr>
            <w:tcW w:w="630" w:type="dxa"/>
            <w:noWrap/>
            <w:hideMark/>
          </w:tcPr>
          <w:p w:rsidR="00BB0E83" w:rsidRPr="009B33D2" w:rsidRDefault="00BB0E83" w:rsidP="009B33D2">
            <w:pPr>
              <w:pStyle w:val="TableText"/>
              <w:spacing w:before="60" w:after="60"/>
            </w:pPr>
            <w:r w:rsidRPr="009B33D2">
              <w:t>7</w:t>
            </w:r>
          </w:p>
        </w:tc>
        <w:tc>
          <w:tcPr>
            <w:tcW w:w="2490" w:type="dxa"/>
            <w:noWrap/>
            <w:hideMark/>
          </w:tcPr>
          <w:p w:rsidR="00BB0E83" w:rsidRPr="009B33D2" w:rsidRDefault="00BB0E83" w:rsidP="009B33D2">
            <w:pPr>
              <w:pStyle w:val="TableText"/>
              <w:spacing w:before="60" w:after="60"/>
            </w:pPr>
            <w:r w:rsidRPr="009B33D2">
              <w:t>The number of cases reported to fraud unit</w:t>
            </w:r>
          </w:p>
        </w:tc>
        <w:tc>
          <w:tcPr>
            <w:tcW w:w="2903" w:type="dxa"/>
            <w:noWrap/>
            <w:hideMark/>
          </w:tcPr>
          <w:p w:rsidR="00BB0E83" w:rsidRPr="009B33D2" w:rsidRDefault="00BB0E83" w:rsidP="00833C14">
            <w:pPr>
              <w:pStyle w:val="TableText"/>
              <w:spacing w:before="60" w:after="60"/>
              <w:ind w:left="5"/>
            </w:pPr>
            <w:r w:rsidRPr="009B33D2">
              <w:t>Likelihood depends on number of fraud cases.</w:t>
            </w:r>
          </w:p>
        </w:tc>
        <w:tc>
          <w:tcPr>
            <w:tcW w:w="3330" w:type="dxa"/>
          </w:tcPr>
          <w:p w:rsidR="00BB0E83" w:rsidRPr="009B33D2" w:rsidRDefault="00BB0E83" w:rsidP="006379F1">
            <w:pPr>
              <w:pStyle w:val="TableText"/>
              <w:spacing w:before="60" w:after="60"/>
              <w:ind w:left="102"/>
            </w:pPr>
            <w:r w:rsidRPr="009B33D2">
              <w:t>Likelihood depends on number of fraud cases.</w:t>
            </w:r>
          </w:p>
        </w:tc>
      </w:tr>
      <w:tr w:rsidR="00BB0E83" w:rsidRPr="008134C0" w:rsidTr="00833C14">
        <w:trPr>
          <w:trHeight w:val="300"/>
        </w:trPr>
        <w:tc>
          <w:tcPr>
            <w:tcW w:w="630" w:type="dxa"/>
            <w:noWrap/>
            <w:hideMark/>
          </w:tcPr>
          <w:p w:rsidR="00BB0E83" w:rsidRPr="009B33D2" w:rsidRDefault="00BB0E83" w:rsidP="00833C14">
            <w:pPr>
              <w:pStyle w:val="TableText"/>
              <w:pageBreakBefore/>
              <w:spacing w:before="60" w:after="60"/>
            </w:pPr>
            <w:r w:rsidRPr="009B33D2">
              <w:lastRenderedPageBreak/>
              <w:t>8</w:t>
            </w:r>
          </w:p>
        </w:tc>
        <w:tc>
          <w:tcPr>
            <w:tcW w:w="2490" w:type="dxa"/>
            <w:noWrap/>
            <w:hideMark/>
          </w:tcPr>
          <w:p w:rsidR="00BB0E83" w:rsidRPr="009B33D2" w:rsidRDefault="00BB0E83" w:rsidP="009B33D2">
            <w:pPr>
              <w:pStyle w:val="TableText"/>
              <w:spacing w:before="60" w:after="60"/>
            </w:pPr>
            <w:r w:rsidRPr="009B33D2">
              <w:t>The number of cases with a client-initiated change</w:t>
            </w:r>
          </w:p>
        </w:tc>
        <w:tc>
          <w:tcPr>
            <w:tcW w:w="2903" w:type="dxa"/>
            <w:noWrap/>
            <w:hideMark/>
          </w:tcPr>
          <w:p w:rsidR="00BB0E83" w:rsidRPr="009B33D2" w:rsidRDefault="00BB0E83" w:rsidP="00833C14">
            <w:pPr>
              <w:pStyle w:val="TableText"/>
              <w:spacing w:before="60" w:after="60"/>
              <w:ind w:left="5"/>
            </w:pPr>
            <w:r w:rsidRPr="009B33D2">
              <w:t>Likelihood depends on the client-initiated change methods</w:t>
            </w:r>
          </w:p>
        </w:tc>
        <w:tc>
          <w:tcPr>
            <w:tcW w:w="3330" w:type="dxa"/>
          </w:tcPr>
          <w:p w:rsidR="00BB0E83" w:rsidRPr="009B33D2" w:rsidRDefault="00BB0E83" w:rsidP="006379F1">
            <w:pPr>
              <w:pStyle w:val="TableText"/>
              <w:spacing w:before="60" w:after="60"/>
              <w:ind w:left="102"/>
            </w:pPr>
            <w:r w:rsidRPr="009B33D2">
              <w:t>Moderate to low</w:t>
            </w:r>
          </w:p>
        </w:tc>
      </w:tr>
      <w:tr w:rsidR="00BB0E83" w:rsidRPr="008134C0" w:rsidTr="00833C14">
        <w:trPr>
          <w:trHeight w:val="300"/>
        </w:trPr>
        <w:tc>
          <w:tcPr>
            <w:tcW w:w="630" w:type="dxa"/>
            <w:noWrap/>
            <w:hideMark/>
          </w:tcPr>
          <w:p w:rsidR="00BB0E83" w:rsidRPr="009B33D2" w:rsidRDefault="00BB0E83" w:rsidP="009B33D2">
            <w:pPr>
              <w:pStyle w:val="TableText"/>
              <w:spacing w:before="60" w:after="60"/>
            </w:pPr>
            <w:r w:rsidRPr="009B33D2">
              <w:t>9</w:t>
            </w:r>
          </w:p>
        </w:tc>
        <w:tc>
          <w:tcPr>
            <w:tcW w:w="2490" w:type="dxa"/>
            <w:noWrap/>
            <w:hideMark/>
          </w:tcPr>
          <w:p w:rsidR="00BB0E83" w:rsidRPr="009B33D2" w:rsidRDefault="00BB0E83" w:rsidP="009B33D2">
            <w:pPr>
              <w:pStyle w:val="TableText"/>
              <w:spacing w:before="60" w:after="60"/>
            </w:pPr>
            <w:r w:rsidRPr="009B33D2">
              <w:t>Costs</w:t>
            </w:r>
          </w:p>
        </w:tc>
        <w:tc>
          <w:tcPr>
            <w:tcW w:w="2903" w:type="dxa"/>
            <w:noWrap/>
            <w:hideMark/>
          </w:tcPr>
          <w:p w:rsidR="00BB0E83" w:rsidRPr="009B33D2" w:rsidRDefault="00BB0E83" w:rsidP="006379F1">
            <w:pPr>
              <w:pStyle w:val="TableText"/>
              <w:spacing w:before="60" w:after="60"/>
              <w:jc w:val="center"/>
            </w:pPr>
            <w:r w:rsidRPr="009B33D2">
              <w:t>High</w:t>
            </w:r>
          </w:p>
        </w:tc>
        <w:tc>
          <w:tcPr>
            <w:tcW w:w="3330" w:type="dxa"/>
          </w:tcPr>
          <w:p w:rsidR="00BB0E83" w:rsidRPr="009B33D2" w:rsidRDefault="00BB0E83" w:rsidP="006379F1">
            <w:pPr>
              <w:pStyle w:val="TableText"/>
              <w:spacing w:before="60" w:after="60"/>
              <w:ind w:left="102"/>
            </w:pPr>
            <w:r w:rsidRPr="009B33D2">
              <w:t>Cost data may not be disaggregated to the staff action level. SNAP benefit data should be readily available.</w:t>
            </w:r>
          </w:p>
        </w:tc>
      </w:tr>
    </w:tbl>
    <w:p w:rsidR="00BB0E83" w:rsidRPr="001E3396" w:rsidRDefault="00BB0E83" w:rsidP="001E3396">
      <w:pPr>
        <w:pStyle w:val="NormalSS"/>
      </w:pPr>
      <w:r>
        <w:rPr>
          <w:vanish/>
        </w:rPr>
        <w:cr/>
      </w:r>
    </w:p>
    <w:sectPr w:rsidR="00BB0E83" w:rsidRPr="001E3396" w:rsidSect="007C5AFF">
      <w:headerReference w:type="default" r:id="rId7"/>
      <w:footerReference w:type="default" r:id="rId8"/>
      <w:endnotePr>
        <w:numFmt w:val="decimal"/>
      </w:endnotePr>
      <w:pgSz w:w="12240" w:h="15840" w:code="1"/>
      <w:pgMar w:top="1440" w:right="1440" w:bottom="576" w:left="1440" w:header="720" w:footer="576" w:gutter="0"/>
      <w:pgNumType w:start="2"/>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4B4" w:rsidRDefault="006214B4">
      <w:pPr>
        <w:spacing w:line="240" w:lineRule="auto"/>
        <w:ind w:firstLine="0"/>
      </w:pPr>
    </w:p>
  </w:endnote>
  <w:endnote w:type="continuationSeparator" w:id="0">
    <w:p w:rsidR="006214B4" w:rsidRDefault="006214B4">
      <w:pPr>
        <w:spacing w:line="240" w:lineRule="auto"/>
        <w:ind w:firstLine="0"/>
      </w:pPr>
    </w:p>
  </w:endnote>
  <w:endnote w:type="continuationNotice" w:id="1">
    <w:p w:rsidR="006214B4" w:rsidRDefault="006214B4">
      <w:pPr>
        <w:spacing w:line="240" w:lineRule="auto"/>
        <w:ind w:firstLine="0"/>
      </w:pPr>
    </w:p>
    <w:p w:rsidR="006214B4" w:rsidRDefault="006214B4"/>
    <w:p w:rsidR="006214B4" w:rsidRDefault="006214B4">
      <w:r>
        <w:rPr>
          <w:b/>
          <w:snapToGrid w:val="0"/>
        </w:rPr>
        <w:t>DRAFT</w:t>
      </w:r>
      <w:r>
        <w:rPr>
          <w:snapToGrid w:val="0"/>
          <w:sz w:val="16"/>
        </w:rPr>
        <w:t xml:space="preserve"> </w:t>
      </w:r>
      <w:r w:rsidR="00215BB3">
        <w:rPr>
          <w:snapToGrid w:val="0"/>
          <w:sz w:val="16"/>
        </w:rPr>
        <w:fldChar w:fldCharType="begin"/>
      </w:r>
      <w:r>
        <w:rPr>
          <w:snapToGrid w:val="0"/>
          <w:sz w:val="16"/>
        </w:rPr>
        <w:instrText xml:space="preserve"> FILENAME \p </w:instrText>
      </w:r>
      <w:r w:rsidR="00215BB3">
        <w:rPr>
          <w:snapToGrid w:val="0"/>
          <w:sz w:val="16"/>
        </w:rPr>
        <w:fldChar w:fldCharType="separate"/>
      </w:r>
      <w:r>
        <w:rPr>
          <w:noProof/>
          <w:snapToGrid w:val="0"/>
          <w:sz w:val="16"/>
        </w:rPr>
        <w:t>P:\06680 (DC Project)\Data Collection and Analysis Plan Report (KConway June 2010)\DOC files (final)\!DCARP-APB.doc</w:t>
      </w:r>
      <w:r w:rsidR="00215BB3">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DB5" w:rsidRDefault="006214B4"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proofErr w:type="gramStart"/>
    <w:r w:rsidR="007C5AFF">
      <w:t>B.</w:t>
    </w:r>
    <w:proofErr w:type="gramEnd"/>
    <w:r w:rsidR="00215BB3">
      <w:rPr>
        <w:rStyle w:val="PageNumber"/>
      </w:rPr>
      <w:fldChar w:fldCharType="begin"/>
    </w:r>
    <w:r>
      <w:rPr>
        <w:rStyle w:val="PageNumber"/>
      </w:rPr>
      <w:instrText xml:space="preserve"> PAGE </w:instrText>
    </w:r>
    <w:r w:rsidR="00215BB3">
      <w:rPr>
        <w:rStyle w:val="PageNumber"/>
      </w:rPr>
      <w:fldChar w:fldCharType="separate"/>
    </w:r>
    <w:r w:rsidR="00FB704D">
      <w:rPr>
        <w:rStyle w:val="PageNumber"/>
        <w:noProof/>
      </w:rPr>
      <w:t>4</w:t>
    </w:r>
    <w:r w:rsidR="00215BB3">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4B4" w:rsidRDefault="006214B4">
      <w:pPr>
        <w:spacing w:line="240" w:lineRule="auto"/>
        <w:ind w:firstLine="0"/>
      </w:pPr>
      <w:r>
        <w:separator/>
      </w:r>
    </w:p>
  </w:footnote>
  <w:footnote w:type="continuationSeparator" w:id="0">
    <w:p w:rsidR="006214B4" w:rsidRDefault="006214B4">
      <w:pPr>
        <w:spacing w:line="240" w:lineRule="auto"/>
        <w:ind w:firstLine="0"/>
      </w:pPr>
      <w:r>
        <w:separator/>
      </w:r>
    </w:p>
    <w:p w:rsidR="006214B4" w:rsidRDefault="006214B4">
      <w:pPr>
        <w:spacing w:line="240" w:lineRule="auto"/>
        <w:ind w:firstLine="0"/>
        <w:rPr>
          <w:i/>
        </w:rPr>
      </w:pPr>
      <w:r>
        <w:rPr>
          <w:i/>
        </w:rPr>
        <w:t>(</w:t>
      </w:r>
      <w:proofErr w:type="gramStart"/>
      <w:r>
        <w:rPr>
          <w:i/>
        </w:rPr>
        <w:t>continued</w:t>
      </w:r>
      <w:proofErr w:type="gramEnd"/>
      <w:r>
        <w:rPr>
          <w:i/>
        </w:rPr>
        <w:t>)</w:t>
      </w:r>
    </w:p>
  </w:footnote>
  <w:footnote w:type="continuationNotice" w:id="1">
    <w:p w:rsidR="006214B4" w:rsidRDefault="006214B4">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04D" w:rsidRPr="00F8797B" w:rsidRDefault="00FB704D" w:rsidP="00FB704D">
    <w:pPr>
      <w:pStyle w:val="Header"/>
      <w:jc w:val="center"/>
      <w:rPr>
        <w:szCs w:val="22"/>
      </w:rPr>
    </w:pPr>
    <w:r>
      <w:rPr>
        <w:szCs w:val="22"/>
      </w:rPr>
      <w:t>APPENDIX B – TAILORED PERFORMANCE DATA INDICATORS</w:t>
    </w:r>
  </w:p>
  <w:p w:rsidR="00A92DB5" w:rsidRPr="00843AB6" w:rsidRDefault="00FB704D" w:rsidP="00843AB6">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E701B"/>
    <w:multiLevelType w:val="hybridMultilevel"/>
    <w:tmpl w:val="84D0B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1A779E5"/>
    <w:multiLevelType w:val="hybridMultilevel"/>
    <w:tmpl w:val="5C221E7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4623751B"/>
    <w:multiLevelType w:val="hybridMultilevel"/>
    <w:tmpl w:val="D1FE9AAA"/>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2">
    <w:nsid w:val="49D7734D"/>
    <w:multiLevelType w:val="hybridMultilevel"/>
    <w:tmpl w:val="343AE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A7067A"/>
    <w:multiLevelType w:val="hybridMultilevel"/>
    <w:tmpl w:val="2D6C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806BB1"/>
    <w:multiLevelType w:val="hybridMultilevel"/>
    <w:tmpl w:val="60369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1350995"/>
    <w:multiLevelType w:val="hybridMultilevel"/>
    <w:tmpl w:val="9E4A1E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1E37FF0"/>
    <w:multiLevelType w:val="hybridMultilevel"/>
    <w:tmpl w:val="C5B41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7F7A3756"/>
    <w:multiLevelType w:val="hybridMultilevel"/>
    <w:tmpl w:val="2D1C0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18"/>
  </w:num>
  <w:num w:numId="4">
    <w:abstractNumId w:val="2"/>
  </w:num>
  <w:num w:numId="5">
    <w:abstractNumId w:val="1"/>
  </w:num>
  <w:num w:numId="6">
    <w:abstractNumId w:val="23"/>
  </w:num>
  <w:num w:numId="7">
    <w:abstractNumId w:val="21"/>
  </w:num>
  <w:num w:numId="8">
    <w:abstractNumId w:val="6"/>
  </w:num>
  <w:num w:numId="9">
    <w:abstractNumId w:val="7"/>
  </w:num>
  <w:num w:numId="10">
    <w:abstractNumId w:val="9"/>
  </w:num>
  <w:num w:numId="11">
    <w:abstractNumId w:val="3"/>
  </w:num>
  <w:num w:numId="12">
    <w:abstractNumId w:val="19"/>
  </w:num>
  <w:num w:numId="13">
    <w:abstractNumId w:val="4"/>
  </w:num>
  <w:num w:numId="14">
    <w:abstractNumId w:val="15"/>
  </w:num>
  <w:num w:numId="15">
    <w:abstractNumId w:val="20"/>
  </w:num>
  <w:num w:numId="16">
    <w:abstractNumId w:val="8"/>
  </w:num>
  <w:num w:numId="17">
    <w:abstractNumId w:val="11"/>
    <w:lvlOverride w:ilvl="0">
      <w:startOverride w:val="1"/>
    </w:lvlOverride>
  </w:num>
  <w:num w:numId="18">
    <w:abstractNumId w:val="11"/>
    <w:lvlOverride w:ilvl="0">
      <w:startOverride w:val="1"/>
    </w:lvlOverride>
  </w:num>
  <w:num w:numId="19">
    <w:abstractNumId w:val="11"/>
  </w:num>
  <w:num w:numId="20">
    <w:abstractNumId w:val="11"/>
    <w:lvlOverride w:ilvl="0">
      <w:startOverride w:val="1"/>
    </w:lvlOverride>
  </w:num>
  <w:num w:numId="21">
    <w:abstractNumId w:val="24"/>
  </w:num>
  <w:num w:numId="22">
    <w:abstractNumId w:val="5"/>
  </w:num>
  <w:num w:numId="23">
    <w:abstractNumId w:val="16"/>
  </w:num>
  <w:num w:numId="24">
    <w:abstractNumId w:val="10"/>
  </w:num>
  <w:num w:numId="25">
    <w:abstractNumId w:val="13"/>
  </w:num>
  <w:num w:numId="26">
    <w:abstractNumId w:val="12"/>
  </w:num>
  <w:num w:numId="27">
    <w:abstractNumId w:val="17"/>
  </w:num>
  <w:num w:numId="28">
    <w:abstractNumId w:val="0"/>
  </w:num>
  <w:num w:numId="29">
    <w:abstractNumId w:val="1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560129"/>
  </w:hdrShapeDefaults>
  <w:footnotePr>
    <w:footnote w:id="-1"/>
    <w:footnote w:id="0"/>
    <w:footnote w:id="1"/>
  </w:footnotePr>
  <w:endnotePr>
    <w:numFmt w:val="decimal"/>
    <w:endnote w:id="-1"/>
    <w:endnote w:id="0"/>
    <w:endnote w:id="1"/>
  </w:endnotePr>
  <w:compat/>
  <w:rsids>
    <w:rsidRoot w:val="00CF1B2E"/>
    <w:rsid w:val="000015FB"/>
    <w:rsid w:val="00006E1F"/>
    <w:rsid w:val="00007CA0"/>
    <w:rsid w:val="00012372"/>
    <w:rsid w:val="00012863"/>
    <w:rsid w:val="00014B3E"/>
    <w:rsid w:val="00017DD1"/>
    <w:rsid w:val="00021A62"/>
    <w:rsid w:val="000300AF"/>
    <w:rsid w:val="00034C4C"/>
    <w:rsid w:val="00036A51"/>
    <w:rsid w:val="00037098"/>
    <w:rsid w:val="00037366"/>
    <w:rsid w:val="00041751"/>
    <w:rsid w:val="00042BAC"/>
    <w:rsid w:val="00046CA3"/>
    <w:rsid w:val="00052499"/>
    <w:rsid w:val="00053968"/>
    <w:rsid w:val="00063123"/>
    <w:rsid w:val="00063FEF"/>
    <w:rsid w:val="00066AB9"/>
    <w:rsid w:val="0007126A"/>
    <w:rsid w:val="000769A1"/>
    <w:rsid w:val="00076CF0"/>
    <w:rsid w:val="00080DFA"/>
    <w:rsid w:val="000812AE"/>
    <w:rsid w:val="00081D47"/>
    <w:rsid w:val="00090529"/>
    <w:rsid w:val="000A4439"/>
    <w:rsid w:val="000A53E6"/>
    <w:rsid w:val="000A544F"/>
    <w:rsid w:val="000A6EB2"/>
    <w:rsid w:val="000B2BD0"/>
    <w:rsid w:val="000B3A77"/>
    <w:rsid w:val="000B7E70"/>
    <w:rsid w:val="000C0118"/>
    <w:rsid w:val="000C15B4"/>
    <w:rsid w:val="000C70DC"/>
    <w:rsid w:val="000C72F8"/>
    <w:rsid w:val="000D5792"/>
    <w:rsid w:val="000D709F"/>
    <w:rsid w:val="000E1D9E"/>
    <w:rsid w:val="000E6D11"/>
    <w:rsid w:val="000F20BF"/>
    <w:rsid w:val="000F60B1"/>
    <w:rsid w:val="000F79B9"/>
    <w:rsid w:val="00105D23"/>
    <w:rsid w:val="001073C9"/>
    <w:rsid w:val="001209ED"/>
    <w:rsid w:val="00130424"/>
    <w:rsid w:val="0013282C"/>
    <w:rsid w:val="00132E2F"/>
    <w:rsid w:val="00135AF5"/>
    <w:rsid w:val="00141646"/>
    <w:rsid w:val="00141705"/>
    <w:rsid w:val="00141A0B"/>
    <w:rsid w:val="001425AF"/>
    <w:rsid w:val="00142AE3"/>
    <w:rsid w:val="00144DA7"/>
    <w:rsid w:val="00160306"/>
    <w:rsid w:val="00160E09"/>
    <w:rsid w:val="00162191"/>
    <w:rsid w:val="00181F53"/>
    <w:rsid w:val="001835B4"/>
    <w:rsid w:val="0018564C"/>
    <w:rsid w:val="001933B1"/>
    <w:rsid w:val="0019388F"/>
    <w:rsid w:val="001A07D4"/>
    <w:rsid w:val="001A1C87"/>
    <w:rsid w:val="001B1DBD"/>
    <w:rsid w:val="001B360E"/>
    <w:rsid w:val="001C5AC2"/>
    <w:rsid w:val="001C6D08"/>
    <w:rsid w:val="001D247C"/>
    <w:rsid w:val="001D3C41"/>
    <w:rsid w:val="001D634E"/>
    <w:rsid w:val="001E0AB2"/>
    <w:rsid w:val="001E466A"/>
    <w:rsid w:val="001F5410"/>
    <w:rsid w:val="00200B10"/>
    <w:rsid w:val="002053F3"/>
    <w:rsid w:val="00215BB3"/>
    <w:rsid w:val="00221CC8"/>
    <w:rsid w:val="0022402B"/>
    <w:rsid w:val="00236122"/>
    <w:rsid w:val="00243909"/>
    <w:rsid w:val="00243DEE"/>
    <w:rsid w:val="0025182E"/>
    <w:rsid w:val="002613D2"/>
    <w:rsid w:val="00264716"/>
    <w:rsid w:val="0026531C"/>
    <w:rsid w:val="00267F6C"/>
    <w:rsid w:val="00271B2B"/>
    <w:rsid w:val="00280AB2"/>
    <w:rsid w:val="00281C08"/>
    <w:rsid w:val="00282FD0"/>
    <w:rsid w:val="00284557"/>
    <w:rsid w:val="002849EE"/>
    <w:rsid w:val="00287FD7"/>
    <w:rsid w:val="00291E20"/>
    <w:rsid w:val="002921C5"/>
    <w:rsid w:val="002942FB"/>
    <w:rsid w:val="002A0847"/>
    <w:rsid w:val="002A1ADA"/>
    <w:rsid w:val="002A28C9"/>
    <w:rsid w:val="002A70E7"/>
    <w:rsid w:val="002A7359"/>
    <w:rsid w:val="002B1593"/>
    <w:rsid w:val="002B5EDF"/>
    <w:rsid w:val="002B68A5"/>
    <w:rsid w:val="002C413C"/>
    <w:rsid w:val="002C64E8"/>
    <w:rsid w:val="002C7011"/>
    <w:rsid w:val="002C734A"/>
    <w:rsid w:val="002D0A34"/>
    <w:rsid w:val="002D279D"/>
    <w:rsid w:val="002D6999"/>
    <w:rsid w:val="002F1E71"/>
    <w:rsid w:val="002F440B"/>
    <w:rsid w:val="002F71D4"/>
    <w:rsid w:val="002F7C83"/>
    <w:rsid w:val="00300CE3"/>
    <w:rsid w:val="00303CF8"/>
    <w:rsid w:val="00313671"/>
    <w:rsid w:val="00313E69"/>
    <w:rsid w:val="003142E6"/>
    <w:rsid w:val="00317EDA"/>
    <w:rsid w:val="00320EB3"/>
    <w:rsid w:val="00325472"/>
    <w:rsid w:val="00336A60"/>
    <w:rsid w:val="00342CD8"/>
    <w:rsid w:val="00343A0C"/>
    <w:rsid w:val="00350399"/>
    <w:rsid w:val="00350E63"/>
    <w:rsid w:val="00353544"/>
    <w:rsid w:val="00353E51"/>
    <w:rsid w:val="00354942"/>
    <w:rsid w:val="00354C34"/>
    <w:rsid w:val="00355AA3"/>
    <w:rsid w:val="0035674B"/>
    <w:rsid w:val="003607F3"/>
    <w:rsid w:val="00362133"/>
    <w:rsid w:val="0036642E"/>
    <w:rsid w:val="00372AB1"/>
    <w:rsid w:val="00374549"/>
    <w:rsid w:val="00381A96"/>
    <w:rsid w:val="00381B5C"/>
    <w:rsid w:val="00386508"/>
    <w:rsid w:val="00394752"/>
    <w:rsid w:val="003A1506"/>
    <w:rsid w:val="003A1774"/>
    <w:rsid w:val="003A17E0"/>
    <w:rsid w:val="003A26BB"/>
    <w:rsid w:val="003B1FFC"/>
    <w:rsid w:val="003B303A"/>
    <w:rsid w:val="003C0A5F"/>
    <w:rsid w:val="003C57EB"/>
    <w:rsid w:val="003D77B2"/>
    <w:rsid w:val="003E0A97"/>
    <w:rsid w:val="003E0D48"/>
    <w:rsid w:val="003E4DE6"/>
    <w:rsid w:val="00401627"/>
    <w:rsid w:val="0040780A"/>
    <w:rsid w:val="00407EE3"/>
    <w:rsid w:val="00410D8F"/>
    <w:rsid w:val="00410F60"/>
    <w:rsid w:val="004118E0"/>
    <w:rsid w:val="00412D08"/>
    <w:rsid w:val="00414FF6"/>
    <w:rsid w:val="004178CB"/>
    <w:rsid w:val="00417B7A"/>
    <w:rsid w:val="004218EB"/>
    <w:rsid w:val="0042391D"/>
    <w:rsid w:val="0042461E"/>
    <w:rsid w:val="004338D1"/>
    <w:rsid w:val="0044551C"/>
    <w:rsid w:val="00445BDA"/>
    <w:rsid w:val="00446472"/>
    <w:rsid w:val="00446CE2"/>
    <w:rsid w:val="00447C62"/>
    <w:rsid w:val="00450873"/>
    <w:rsid w:val="00455C7B"/>
    <w:rsid w:val="00463045"/>
    <w:rsid w:val="00465F7F"/>
    <w:rsid w:val="00474405"/>
    <w:rsid w:val="0047478B"/>
    <w:rsid w:val="00475483"/>
    <w:rsid w:val="00476CB1"/>
    <w:rsid w:val="00477008"/>
    <w:rsid w:val="00490847"/>
    <w:rsid w:val="00492B73"/>
    <w:rsid w:val="004A0392"/>
    <w:rsid w:val="004A071B"/>
    <w:rsid w:val="004A46CC"/>
    <w:rsid w:val="004B06C8"/>
    <w:rsid w:val="004B0D54"/>
    <w:rsid w:val="004D19DE"/>
    <w:rsid w:val="004D62CD"/>
    <w:rsid w:val="004E7D79"/>
    <w:rsid w:val="004F0B74"/>
    <w:rsid w:val="004F493C"/>
    <w:rsid w:val="00506B1F"/>
    <w:rsid w:val="00514703"/>
    <w:rsid w:val="00525772"/>
    <w:rsid w:val="00531424"/>
    <w:rsid w:val="00537F22"/>
    <w:rsid w:val="00542523"/>
    <w:rsid w:val="00557FE1"/>
    <w:rsid w:val="005604DC"/>
    <w:rsid w:val="005637D0"/>
    <w:rsid w:val="0056487B"/>
    <w:rsid w:val="0056651B"/>
    <w:rsid w:val="00567C0B"/>
    <w:rsid w:val="005811B3"/>
    <w:rsid w:val="00581EE2"/>
    <w:rsid w:val="00582CD2"/>
    <w:rsid w:val="00583141"/>
    <w:rsid w:val="00584664"/>
    <w:rsid w:val="0058753C"/>
    <w:rsid w:val="00591AE6"/>
    <w:rsid w:val="00592E1A"/>
    <w:rsid w:val="00597C9C"/>
    <w:rsid w:val="00597FEB"/>
    <w:rsid w:val="005A19C0"/>
    <w:rsid w:val="005A2C26"/>
    <w:rsid w:val="005A3631"/>
    <w:rsid w:val="005A3D02"/>
    <w:rsid w:val="005A4E2C"/>
    <w:rsid w:val="005A52EB"/>
    <w:rsid w:val="005A66CB"/>
    <w:rsid w:val="005B0472"/>
    <w:rsid w:val="005B41FA"/>
    <w:rsid w:val="005C1D6F"/>
    <w:rsid w:val="005C228F"/>
    <w:rsid w:val="005C272F"/>
    <w:rsid w:val="005D01A8"/>
    <w:rsid w:val="005E1375"/>
    <w:rsid w:val="005E7695"/>
    <w:rsid w:val="005F162C"/>
    <w:rsid w:val="005F430F"/>
    <w:rsid w:val="005F53E1"/>
    <w:rsid w:val="00604427"/>
    <w:rsid w:val="006150A8"/>
    <w:rsid w:val="006214B4"/>
    <w:rsid w:val="00621BB6"/>
    <w:rsid w:val="0062522C"/>
    <w:rsid w:val="00626C58"/>
    <w:rsid w:val="00635EC3"/>
    <w:rsid w:val="00636860"/>
    <w:rsid w:val="00637A61"/>
    <w:rsid w:val="0064008B"/>
    <w:rsid w:val="00641AC0"/>
    <w:rsid w:val="00645FA6"/>
    <w:rsid w:val="006461AD"/>
    <w:rsid w:val="00656151"/>
    <w:rsid w:val="00656171"/>
    <w:rsid w:val="00666769"/>
    <w:rsid w:val="00670448"/>
    <w:rsid w:val="006714AC"/>
    <w:rsid w:val="00671887"/>
    <w:rsid w:val="00671E2B"/>
    <w:rsid w:val="00672F90"/>
    <w:rsid w:val="0067684B"/>
    <w:rsid w:val="00677BF6"/>
    <w:rsid w:val="00682BCD"/>
    <w:rsid w:val="00690B57"/>
    <w:rsid w:val="006959AF"/>
    <w:rsid w:val="006A1E7F"/>
    <w:rsid w:val="006A3DE8"/>
    <w:rsid w:val="006A5367"/>
    <w:rsid w:val="006A7614"/>
    <w:rsid w:val="006B0652"/>
    <w:rsid w:val="006B2081"/>
    <w:rsid w:val="006B2B5D"/>
    <w:rsid w:val="006B43E8"/>
    <w:rsid w:val="006C5B99"/>
    <w:rsid w:val="006C5F78"/>
    <w:rsid w:val="006D0F68"/>
    <w:rsid w:val="006D413F"/>
    <w:rsid w:val="006D44FA"/>
    <w:rsid w:val="006D5943"/>
    <w:rsid w:val="006D67B8"/>
    <w:rsid w:val="006D6B4E"/>
    <w:rsid w:val="006E2AEF"/>
    <w:rsid w:val="006E3DE1"/>
    <w:rsid w:val="006F053F"/>
    <w:rsid w:val="00702D34"/>
    <w:rsid w:val="00707664"/>
    <w:rsid w:val="007100CD"/>
    <w:rsid w:val="00711CA6"/>
    <w:rsid w:val="00712A21"/>
    <w:rsid w:val="00717B10"/>
    <w:rsid w:val="00720A3E"/>
    <w:rsid w:val="00720F11"/>
    <w:rsid w:val="007214EF"/>
    <w:rsid w:val="00723C00"/>
    <w:rsid w:val="00726DD4"/>
    <w:rsid w:val="00730892"/>
    <w:rsid w:val="00742342"/>
    <w:rsid w:val="00742C8C"/>
    <w:rsid w:val="00744CFB"/>
    <w:rsid w:val="0074653C"/>
    <w:rsid w:val="00747001"/>
    <w:rsid w:val="00747B99"/>
    <w:rsid w:val="007525FD"/>
    <w:rsid w:val="00754E03"/>
    <w:rsid w:val="00763A57"/>
    <w:rsid w:val="0077311A"/>
    <w:rsid w:val="00773734"/>
    <w:rsid w:val="00774D18"/>
    <w:rsid w:val="007761AF"/>
    <w:rsid w:val="0078127B"/>
    <w:rsid w:val="00784BA2"/>
    <w:rsid w:val="007906CE"/>
    <w:rsid w:val="007959C1"/>
    <w:rsid w:val="007A09A4"/>
    <w:rsid w:val="007A5803"/>
    <w:rsid w:val="007B2015"/>
    <w:rsid w:val="007B5799"/>
    <w:rsid w:val="007B6D9E"/>
    <w:rsid w:val="007B705F"/>
    <w:rsid w:val="007C0B3A"/>
    <w:rsid w:val="007C0CD8"/>
    <w:rsid w:val="007C1E2F"/>
    <w:rsid w:val="007C21D9"/>
    <w:rsid w:val="007C3668"/>
    <w:rsid w:val="007C4167"/>
    <w:rsid w:val="007C5524"/>
    <w:rsid w:val="007C5AFF"/>
    <w:rsid w:val="007C663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55F6"/>
    <w:rsid w:val="00806376"/>
    <w:rsid w:val="00813568"/>
    <w:rsid w:val="00815ABB"/>
    <w:rsid w:val="008169DF"/>
    <w:rsid w:val="00816DF1"/>
    <w:rsid w:val="00823D4F"/>
    <w:rsid w:val="00833128"/>
    <w:rsid w:val="00833C14"/>
    <w:rsid w:val="00840E7C"/>
    <w:rsid w:val="008421A1"/>
    <w:rsid w:val="008432EE"/>
    <w:rsid w:val="00843AB6"/>
    <w:rsid w:val="008509CF"/>
    <w:rsid w:val="00850CF2"/>
    <w:rsid w:val="00851DFB"/>
    <w:rsid w:val="0086314C"/>
    <w:rsid w:val="0086519F"/>
    <w:rsid w:val="00865D38"/>
    <w:rsid w:val="0087305C"/>
    <w:rsid w:val="00874265"/>
    <w:rsid w:val="008840EE"/>
    <w:rsid w:val="00893B1D"/>
    <w:rsid w:val="00894485"/>
    <w:rsid w:val="00895A2A"/>
    <w:rsid w:val="008A3B53"/>
    <w:rsid w:val="008B032B"/>
    <w:rsid w:val="008B1F5A"/>
    <w:rsid w:val="008B43D6"/>
    <w:rsid w:val="008B6E36"/>
    <w:rsid w:val="008C0EA3"/>
    <w:rsid w:val="008C4666"/>
    <w:rsid w:val="008C78B2"/>
    <w:rsid w:val="008D0DC0"/>
    <w:rsid w:val="008D129A"/>
    <w:rsid w:val="008D5B53"/>
    <w:rsid w:val="008E12AE"/>
    <w:rsid w:val="008E27F1"/>
    <w:rsid w:val="008E602B"/>
    <w:rsid w:val="008F312B"/>
    <w:rsid w:val="008F51E4"/>
    <w:rsid w:val="008F5A8F"/>
    <w:rsid w:val="008F6878"/>
    <w:rsid w:val="008F6D4D"/>
    <w:rsid w:val="009009D0"/>
    <w:rsid w:val="00901CDF"/>
    <w:rsid w:val="00902B68"/>
    <w:rsid w:val="00903CAA"/>
    <w:rsid w:val="00912344"/>
    <w:rsid w:val="009156D2"/>
    <w:rsid w:val="0092134D"/>
    <w:rsid w:val="00931BDB"/>
    <w:rsid w:val="00934617"/>
    <w:rsid w:val="00936037"/>
    <w:rsid w:val="0093777A"/>
    <w:rsid w:val="00944D67"/>
    <w:rsid w:val="009527CF"/>
    <w:rsid w:val="00952FE4"/>
    <w:rsid w:val="00955CD5"/>
    <w:rsid w:val="00956F27"/>
    <w:rsid w:val="00956FDA"/>
    <w:rsid w:val="0095754B"/>
    <w:rsid w:val="009603FE"/>
    <w:rsid w:val="009672E4"/>
    <w:rsid w:val="00972701"/>
    <w:rsid w:val="00980DB0"/>
    <w:rsid w:val="00984B0B"/>
    <w:rsid w:val="00994EDD"/>
    <w:rsid w:val="00997375"/>
    <w:rsid w:val="009B20BD"/>
    <w:rsid w:val="009B61A1"/>
    <w:rsid w:val="009C0EAF"/>
    <w:rsid w:val="009C1F87"/>
    <w:rsid w:val="009C4947"/>
    <w:rsid w:val="009C67C5"/>
    <w:rsid w:val="009D48C7"/>
    <w:rsid w:val="009E7EE8"/>
    <w:rsid w:val="009F3745"/>
    <w:rsid w:val="00A01202"/>
    <w:rsid w:val="00A0718C"/>
    <w:rsid w:val="00A10ACD"/>
    <w:rsid w:val="00A129F1"/>
    <w:rsid w:val="00A26CF0"/>
    <w:rsid w:val="00A274D2"/>
    <w:rsid w:val="00A31BC3"/>
    <w:rsid w:val="00A3304F"/>
    <w:rsid w:val="00A36752"/>
    <w:rsid w:val="00A37976"/>
    <w:rsid w:val="00A4289A"/>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91891"/>
    <w:rsid w:val="00A9613A"/>
    <w:rsid w:val="00A973B2"/>
    <w:rsid w:val="00AB0F92"/>
    <w:rsid w:val="00AB567E"/>
    <w:rsid w:val="00AC08A8"/>
    <w:rsid w:val="00AC3943"/>
    <w:rsid w:val="00AC4317"/>
    <w:rsid w:val="00AC5EBF"/>
    <w:rsid w:val="00AC6981"/>
    <w:rsid w:val="00AD0658"/>
    <w:rsid w:val="00AD40EB"/>
    <w:rsid w:val="00AD4163"/>
    <w:rsid w:val="00AE3A26"/>
    <w:rsid w:val="00AF1B2F"/>
    <w:rsid w:val="00AF394A"/>
    <w:rsid w:val="00B13000"/>
    <w:rsid w:val="00B21550"/>
    <w:rsid w:val="00B216A0"/>
    <w:rsid w:val="00B24137"/>
    <w:rsid w:val="00B31FEF"/>
    <w:rsid w:val="00B325E1"/>
    <w:rsid w:val="00B3588C"/>
    <w:rsid w:val="00B43736"/>
    <w:rsid w:val="00B528FB"/>
    <w:rsid w:val="00B559AA"/>
    <w:rsid w:val="00B564BC"/>
    <w:rsid w:val="00B61682"/>
    <w:rsid w:val="00B63270"/>
    <w:rsid w:val="00B64400"/>
    <w:rsid w:val="00B65228"/>
    <w:rsid w:val="00B70CD9"/>
    <w:rsid w:val="00B71319"/>
    <w:rsid w:val="00B714B7"/>
    <w:rsid w:val="00B82E71"/>
    <w:rsid w:val="00B83493"/>
    <w:rsid w:val="00B940DD"/>
    <w:rsid w:val="00B95847"/>
    <w:rsid w:val="00B966ED"/>
    <w:rsid w:val="00BA065D"/>
    <w:rsid w:val="00BA268A"/>
    <w:rsid w:val="00BA3D8F"/>
    <w:rsid w:val="00BA65A5"/>
    <w:rsid w:val="00BB0E83"/>
    <w:rsid w:val="00BB6A0B"/>
    <w:rsid w:val="00BC15E4"/>
    <w:rsid w:val="00BC5E05"/>
    <w:rsid w:val="00BD1A05"/>
    <w:rsid w:val="00BD1B80"/>
    <w:rsid w:val="00BE335A"/>
    <w:rsid w:val="00BF187B"/>
    <w:rsid w:val="00BF7231"/>
    <w:rsid w:val="00C02961"/>
    <w:rsid w:val="00C02B5E"/>
    <w:rsid w:val="00C057EF"/>
    <w:rsid w:val="00C14296"/>
    <w:rsid w:val="00C16B6E"/>
    <w:rsid w:val="00C2333D"/>
    <w:rsid w:val="00C2452C"/>
    <w:rsid w:val="00C2695D"/>
    <w:rsid w:val="00C32246"/>
    <w:rsid w:val="00C41693"/>
    <w:rsid w:val="00C4260B"/>
    <w:rsid w:val="00C43792"/>
    <w:rsid w:val="00C450AE"/>
    <w:rsid w:val="00C53387"/>
    <w:rsid w:val="00C546B7"/>
    <w:rsid w:val="00C56ED2"/>
    <w:rsid w:val="00C57AB4"/>
    <w:rsid w:val="00C6623A"/>
    <w:rsid w:val="00C673E2"/>
    <w:rsid w:val="00C70B6C"/>
    <w:rsid w:val="00C74089"/>
    <w:rsid w:val="00C758F5"/>
    <w:rsid w:val="00C75C26"/>
    <w:rsid w:val="00C90E85"/>
    <w:rsid w:val="00C92E5D"/>
    <w:rsid w:val="00C93509"/>
    <w:rsid w:val="00C9777C"/>
    <w:rsid w:val="00CA0455"/>
    <w:rsid w:val="00CA4A39"/>
    <w:rsid w:val="00CA4C69"/>
    <w:rsid w:val="00CA58CB"/>
    <w:rsid w:val="00CB137C"/>
    <w:rsid w:val="00CB4E54"/>
    <w:rsid w:val="00CB6AA7"/>
    <w:rsid w:val="00CC215D"/>
    <w:rsid w:val="00CC3F2F"/>
    <w:rsid w:val="00CC602E"/>
    <w:rsid w:val="00CC62E0"/>
    <w:rsid w:val="00CD0EB5"/>
    <w:rsid w:val="00CD6D27"/>
    <w:rsid w:val="00CD6F65"/>
    <w:rsid w:val="00CE16E0"/>
    <w:rsid w:val="00CF1B2E"/>
    <w:rsid w:val="00CF5581"/>
    <w:rsid w:val="00D11C16"/>
    <w:rsid w:val="00D1214E"/>
    <w:rsid w:val="00D14FDB"/>
    <w:rsid w:val="00D150CA"/>
    <w:rsid w:val="00D15D3F"/>
    <w:rsid w:val="00D20BD0"/>
    <w:rsid w:val="00D2311D"/>
    <w:rsid w:val="00D27605"/>
    <w:rsid w:val="00D35BC7"/>
    <w:rsid w:val="00D3638A"/>
    <w:rsid w:val="00D36521"/>
    <w:rsid w:val="00D42C39"/>
    <w:rsid w:val="00D451FE"/>
    <w:rsid w:val="00D46CFA"/>
    <w:rsid w:val="00D62AA3"/>
    <w:rsid w:val="00D62DF9"/>
    <w:rsid w:val="00D67274"/>
    <w:rsid w:val="00D71F93"/>
    <w:rsid w:val="00D77566"/>
    <w:rsid w:val="00D90DB4"/>
    <w:rsid w:val="00D94283"/>
    <w:rsid w:val="00D97FDF"/>
    <w:rsid w:val="00DA371A"/>
    <w:rsid w:val="00DA39C5"/>
    <w:rsid w:val="00DA621C"/>
    <w:rsid w:val="00DB4896"/>
    <w:rsid w:val="00DB5A55"/>
    <w:rsid w:val="00DB6227"/>
    <w:rsid w:val="00DB625D"/>
    <w:rsid w:val="00DB783D"/>
    <w:rsid w:val="00DC05C1"/>
    <w:rsid w:val="00DC4379"/>
    <w:rsid w:val="00DD5AA4"/>
    <w:rsid w:val="00DE1DED"/>
    <w:rsid w:val="00DE264C"/>
    <w:rsid w:val="00DE5628"/>
    <w:rsid w:val="00DE6AD2"/>
    <w:rsid w:val="00DE6E1C"/>
    <w:rsid w:val="00E003C9"/>
    <w:rsid w:val="00E008D5"/>
    <w:rsid w:val="00E03491"/>
    <w:rsid w:val="00E04753"/>
    <w:rsid w:val="00E0544B"/>
    <w:rsid w:val="00E12C39"/>
    <w:rsid w:val="00E13871"/>
    <w:rsid w:val="00E16A37"/>
    <w:rsid w:val="00E30C0E"/>
    <w:rsid w:val="00E33FB4"/>
    <w:rsid w:val="00E35802"/>
    <w:rsid w:val="00E36FE2"/>
    <w:rsid w:val="00E51F41"/>
    <w:rsid w:val="00E56F4B"/>
    <w:rsid w:val="00E6158B"/>
    <w:rsid w:val="00E63ACD"/>
    <w:rsid w:val="00E673D2"/>
    <w:rsid w:val="00E701E0"/>
    <w:rsid w:val="00E71A2F"/>
    <w:rsid w:val="00E72220"/>
    <w:rsid w:val="00E74213"/>
    <w:rsid w:val="00E76CD9"/>
    <w:rsid w:val="00E80549"/>
    <w:rsid w:val="00E85272"/>
    <w:rsid w:val="00E91E19"/>
    <w:rsid w:val="00E95106"/>
    <w:rsid w:val="00EA023E"/>
    <w:rsid w:val="00EA0EBF"/>
    <w:rsid w:val="00EC0B2E"/>
    <w:rsid w:val="00ED1CC5"/>
    <w:rsid w:val="00ED47C6"/>
    <w:rsid w:val="00ED79BB"/>
    <w:rsid w:val="00EE0957"/>
    <w:rsid w:val="00EE0E4E"/>
    <w:rsid w:val="00EF0715"/>
    <w:rsid w:val="00EF0B95"/>
    <w:rsid w:val="00EF1732"/>
    <w:rsid w:val="00EF3ABF"/>
    <w:rsid w:val="00EF636A"/>
    <w:rsid w:val="00EF6795"/>
    <w:rsid w:val="00EF776D"/>
    <w:rsid w:val="00F03412"/>
    <w:rsid w:val="00F11FE7"/>
    <w:rsid w:val="00F1325D"/>
    <w:rsid w:val="00F142BF"/>
    <w:rsid w:val="00F1508D"/>
    <w:rsid w:val="00F30F6D"/>
    <w:rsid w:val="00F336F6"/>
    <w:rsid w:val="00F35860"/>
    <w:rsid w:val="00F36C1D"/>
    <w:rsid w:val="00F40E54"/>
    <w:rsid w:val="00F42C01"/>
    <w:rsid w:val="00F45261"/>
    <w:rsid w:val="00F519E3"/>
    <w:rsid w:val="00F5243D"/>
    <w:rsid w:val="00F570F0"/>
    <w:rsid w:val="00F5755F"/>
    <w:rsid w:val="00F62807"/>
    <w:rsid w:val="00F647CA"/>
    <w:rsid w:val="00F731D3"/>
    <w:rsid w:val="00F77AFC"/>
    <w:rsid w:val="00F96808"/>
    <w:rsid w:val="00F968DD"/>
    <w:rsid w:val="00FA2139"/>
    <w:rsid w:val="00FA63D5"/>
    <w:rsid w:val="00FA7F74"/>
    <w:rsid w:val="00FB0335"/>
    <w:rsid w:val="00FB3929"/>
    <w:rsid w:val="00FB6B35"/>
    <w:rsid w:val="00FB6B9E"/>
    <w:rsid w:val="00FB704D"/>
    <w:rsid w:val="00FB76CD"/>
    <w:rsid w:val="00FC0EF5"/>
    <w:rsid w:val="00FC5611"/>
    <w:rsid w:val="00FC5F8C"/>
    <w:rsid w:val="00FC79B6"/>
    <w:rsid w:val="00FD1CCB"/>
    <w:rsid w:val="00FE130F"/>
    <w:rsid w:val="00FE2767"/>
    <w:rsid w:val="00FE2D5C"/>
    <w:rsid w:val="00FF095B"/>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01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uiPriority="0" w:unhideWhenUsed="0" w:qFormat="1"/>
    <w:lsdException w:name="Default Paragraph Font" w:uiPriority="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35860"/>
    <w:pPr>
      <w:tabs>
        <w:tab w:val="left" w:pos="432"/>
      </w:tabs>
      <w:spacing w:line="480" w:lineRule="auto"/>
      <w:ind w:firstLine="432"/>
      <w:jc w:val="both"/>
    </w:pPr>
    <w:rPr>
      <w:sz w:val="24"/>
      <w:szCs w:val="24"/>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2FD0"/>
    <w:pPr>
      <w:tabs>
        <w:tab w:val="center" w:pos="432"/>
        <w:tab w:val="left" w:pos="1008"/>
        <w:tab w:val="right" w:leader="dot" w:pos="9360"/>
      </w:tabs>
      <w:spacing w:after="240"/>
      <w:ind w:left="1008" w:hanging="1008"/>
    </w:pPr>
    <w:rPr>
      <w:rFonts w:ascii="Lucida Sans" w:hAnsi="Lucida Sans"/>
      <w:caps/>
      <w:sz w:val="22"/>
      <w:szCs w:val="24"/>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qFormat/>
    <w:rsid w:val="007959C1"/>
    <w:pPr>
      <w:tabs>
        <w:tab w:val="left" w:pos="1008"/>
        <w:tab w:val="left" w:pos="1440"/>
        <w:tab w:val="right" w:leader="dot" w:pos="9360"/>
      </w:tabs>
      <w:spacing w:after="240"/>
      <w:ind w:left="1440" w:right="475" w:hanging="432"/>
    </w:pPr>
    <w:rPr>
      <w:rFonts w:ascii="Lucida Sans" w:hAnsi="Lucida Sans"/>
      <w:sz w:val="22"/>
      <w:szCs w:val="24"/>
    </w:rPr>
  </w:style>
  <w:style w:type="paragraph" w:styleId="TOC3">
    <w:name w:val="toc 3"/>
    <w:next w:val="Normal"/>
    <w:autoRedefine/>
    <w:qFormat/>
    <w:rsid w:val="00282FD0"/>
    <w:pPr>
      <w:tabs>
        <w:tab w:val="left" w:pos="1915"/>
        <w:tab w:val="right" w:leader="dot" w:pos="9360"/>
      </w:tabs>
      <w:ind w:left="1915" w:right="475" w:hanging="475"/>
    </w:pPr>
    <w:rPr>
      <w:rFonts w:ascii="Lucida Sans" w:hAnsi="Lucida Sans"/>
      <w:sz w:val="22"/>
      <w:szCs w:val="24"/>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szCs w:val="24"/>
    </w:rPr>
  </w:style>
  <w:style w:type="paragraph" w:styleId="FootnoteText">
    <w:name w:val="footnote text"/>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9"/>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A553D5"/>
    <w:pPr>
      <w:keepNext/>
      <w:spacing w:after="60" w:line="240" w:lineRule="auto"/>
      <w:ind w:firstLine="0"/>
    </w:pPr>
    <w:rPr>
      <w:rFonts w:ascii="Lucida Sans" w:hAnsi="Lucida Sans"/>
      <w:b/>
      <w:sz w:val="20"/>
    </w:rPr>
  </w:style>
  <w:style w:type="paragraph" w:styleId="TableofFigures">
    <w:name w:val="table of figures"/>
    <w:basedOn w:val="Normal"/>
    <w:next w:val="Normal"/>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2A0847"/>
    <w:pPr>
      <w:spacing w:after="120"/>
      <w:ind w:firstLine="0"/>
    </w:pPr>
    <w:rPr>
      <w:rFonts w:ascii="Lucida Sans" w:hAnsi="Lucida Sans"/>
      <w:sz w:val="20"/>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14"/>
      </w:numPr>
      <w:ind w:left="720" w:hanging="288"/>
    </w:pPr>
  </w:style>
  <w:style w:type="table" w:styleId="TableGrid">
    <w:name w:val="Table Grid"/>
    <w:basedOn w:val="TableNormal"/>
    <w:uiPriority w:val="59"/>
    <w:rsid w:val="00645F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CF1B2E"/>
    <w:pPr>
      <w:spacing w:after="0"/>
      <w:ind w:left="0" w:firstLine="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unhideWhenUsed/>
    <w:rsid w:val="00BC15E4"/>
    <w:pPr>
      <w:tabs>
        <w:tab w:val="clear" w:pos="432"/>
      </w:tabs>
      <w:spacing w:after="100"/>
      <w:ind w:left="1680"/>
    </w:p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NormalSS12continued">
    <w:name w:val="NormalSS 12 (continued)"/>
    <w:basedOn w:val="Normal"/>
    <w:qFormat/>
    <w:rsid w:val="00D46CFA"/>
    <w:pPr>
      <w:spacing w:after="240" w:line="240" w:lineRule="auto"/>
      <w:ind w:firstLine="0"/>
    </w:pPr>
    <w:rPr>
      <w:rFonts w:ascii="Times New Roman" w:hAnsi="Times New Roman"/>
    </w:rPr>
  </w:style>
  <w:style w:type="character" w:customStyle="1" w:styleId="FootnoteTextChar">
    <w:name w:val="Footnote Text Char"/>
    <w:basedOn w:val="DefaultParagraphFont"/>
    <w:link w:val="FootnoteText"/>
    <w:locked/>
    <w:rsid w:val="00D46CFA"/>
    <w:rPr>
      <w:szCs w:val="24"/>
    </w:rPr>
  </w:style>
  <w:style w:type="character" w:styleId="CommentReference">
    <w:name w:val="annotation reference"/>
    <w:basedOn w:val="DefaultParagraphFont"/>
    <w:uiPriority w:val="99"/>
    <w:semiHidden/>
    <w:unhideWhenUsed/>
    <w:rsid w:val="004218EB"/>
    <w:rPr>
      <w:sz w:val="16"/>
      <w:szCs w:val="16"/>
    </w:rPr>
  </w:style>
  <w:style w:type="paragraph" w:styleId="CommentText">
    <w:name w:val="annotation text"/>
    <w:basedOn w:val="Normal"/>
    <w:link w:val="CommentTextChar"/>
    <w:uiPriority w:val="99"/>
    <w:semiHidden/>
    <w:unhideWhenUsed/>
    <w:rsid w:val="004218EB"/>
    <w:pPr>
      <w:spacing w:line="240" w:lineRule="auto"/>
    </w:pPr>
    <w:rPr>
      <w:sz w:val="20"/>
      <w:szCs w:val="20"/>
    </w:rPr>
  </w:style>
  <w:style w:type="character" w:customStyle="1" w:styleId="CommentTextChar">
    <w:name w:val="Comment Text Char"/>
    <w:basedOn w:val="DefaultParagraphFont"/>
    <w:link w:val="CommentText"/>
    <w:uiPriority w:val="99"/>
    <w:semiHidden/>
    <w:rsid w:val="004218EB"/>
  </w:style>
  <w:style w:type="paragraph" w:styleId="CommentSubject">
    <w:name w:val="annotation subject"/>
    <w:basedOn w:val="CommentText"/>
    <w:next w:val="CommentText"/>
    <w:link w:val="CommentSubjectChar"/>
    <w:uiPriority w:val="99"/>
    <w:semiHidden/>
    <w:unhideWhenUsed/>
    <w:rsid w:val="004218EB"/>
    <w:rPr>
      <w:b/>
      <w:bCs/>
    </w:rPr>
  </w:style>
  <w:style w:type="character" w:customStyle="1" w:styleId="CommentSubjectChar">
    <w:name w:val="Comment Subject Char"/>
    <w:basedOn w:val="CommentTextChar"/>
    <w:link w:val="CommentSubject"/>
    <w:uiPriority w:val="99"/>
    <w:semiHidden/>
    <w:rsid w:val="004218EB"/>
    <w:rPr>
      <w:b/>
      <w:bCs/>
    </w:rPr>
  </w:style>
  <w:style w:type="character" w:customStyle="1" w:styleId="FooterChar">
    <w:name w:val="Footer Char"/>
    <w:basedOn w:val="DefaultParagraphFont"/>
    <w:link w:val="Footer"/>
    <w:uiPriority w:val="99"/>
    <w:rsid w:val="00DD5AA4"/>
    <w:rPr>
      <w:sz w:val="24"/>
      <w:szCs w:val="24"/>
    </w:rPr>
  </w:style>
  <w:style w:type="paragraph" w:customStyle="1" w:styleId="Heading3NoTOC">
    <w:name w:val="Heading 3_No TOC"/>
    <w:basedOn w:val="Heading3"/>
    <w:next w:val="Normal"/>
    <w:qFormat/>
    <w:rsid w:val="0026531C"/>
    <w:pPr>
      <w:outlineLvl w:val="8"/>
    </w:pPr>
  </w:style>
  <w:style w:type="paragraph" w:styleId="Revision">
    <w:name w:val="Revision"/>
    <w:hidden/>
    <w:uiPriority w:val="99"/>
    <w:semiHidden/>
    <w:rsid w:val="0026531C"/>
    <w:rPr>
      <w:sz w:val="24"/>
      <w:szCs w:val="24"/>
    </w:rPr>
  </w:style>
  <w:style w:type="paragraph" w:customStyle="1" w:styleId="HeadingBase">
    <w:name w:val="Heading Base"/>
    <w:rsid w:val="004B06C8"/>
    <w:pPr>
      <w:keepNext/>
      <w:keepLines/>
      <w:widowControl w:val="0"/>
    </w:pPr>
    <w:rPr>
      <w:rFonts w:ascii="Arial" w:hAnsi="Arial"/>
      <w:kern w:val="28"/>
      <w:sz w:val="24"/>
    </w:rPr>
  </w:style>
  <w:style w:type="paragraph" w:customStyle="1" w:styleId="TableHeadLeft">
    <w:name w:val="Table Head Left"/>
    <w:basedOn w:val="Normal"/>
    <w:next w:val="TableText"/>
    <w:rsid w:val="004B06C8"/>
    <w:pPr>
      <w:tabs>
        <w:tab w:val="clear" w:pos="432"/>
      </w:tabs>
      <w:spacing w:before="80" w:after="80" w:line="240" w:lineRule="auto"/>
      <w:ind w:firstLine="0"/>
      <w:jc w:val="left"/>
    </w:pPr>
    <w:rPr>
      <w:rFonts w:ascii="Times New Roman" w:hAnsi="Times New Roman"/>
      <w:b/>
      <w:i/>
      <w:sz w:val="21"/>
      <w:szCs w:val="20"/>
    </w:rPr>
  </w:style>
  <w:style w:type="character" w:styleId="Hyperlink">
    <w:name w:val="Hyperlink"/>
    <w:basedOn w:val="DefaultParagraphFont"/>
    <w:semiHidden/>
    <w:rsid w:val="004B06C8"/>
    <w:rPr>
      <w:color w:val="0000FF"/>
      <w:u w:val="single"/>
    </w:rPr>
  </w:style>
  <w:style w:type="paragraph" w:customStyle="1" w:styleId="SummaryHeading">
    <w:name w:val="Summary Heading"/>
    <w:basedOn w:val="Normal"/>
    <w:rsid w:val="004B06C8"/>
    <w:pPr>
      <w:keepNext/>
      <w:keepLines/>
      <w:widowControl w:val="0"/>
      <w:tabs>
        <w:tab w:val="clear" w:pos="432"/>
        <w:tab w:val="center" w:pos="4766"/>
      </w:tabs>
      <w:spacing w:before="120" w:after="240" w:line="240" w:lineRule="auto"/>
      <w:ind w:firstLine="0"/>
      <w:jc w:val="center"/>
    </w:pPr>
    <w:rPr>
      <w:rFonts w:ascii="Times New Roman" w:hAnsi="Times New Roman"/>
      <w:b/>
      <w:i/>
      <w:kern w:val="28"/>
      <w:sz w:val="26"/>
      <w:szCs w:val="20"/>
    </w:rPr>
  </w:style>
  <w:style w:type="paragraph" w:styleId="Title">
    <w:name w:val="Title"/>
    <w:basedOn w:val="Normal"/>
    <w:link w:val="TitleChar"/>
    <w:qFormat/>
    <w:rsid w:val="004B06C8"/>
    <w:pPr>
      <w:tabs>
        <w:tab w:val="clear" w:pos="432"/>
      </w:tabs>
      <w:ind w:firstLine="0"/>
      <w:jc w:val="center"/>
    </w:pPr>
    <w:rPr>
      <w:rFonts w:ascii="Times New Roman" w:hAnsi="Times New Roman"/>
      <w:b/>
      <w:bCs/>
      <w:sz w:val="28"/>
      <w:szCs w:val="20"/>
    </w:rPr>
  </w:style>
  <w:style w:type="character" w:customStyle="1" w:styleId="TitleChar">
    <w:name w:val="Title Char"/>
    <w:basedOn w:val="DefaultParagraphFont"/>
    <w:link w:val="Title"/>
    <w:rsid w:val="004B06C8"/>
    <w:rPr>
      <w:rFonts w:ascii="Times New Roman" w:hAnsi="Times New Roman"/>
      <w:b/>
      <w:bCs/>
      <w:sz w:val="28"/>
    </w:rPr>
  </w:style>
  <w:style w:type="paragraph" w:customStyle="1" w:styleId="QUESTIONTEXT">
    <w:name w:val="!QUESTION TEXT"/>
    <w:basedOn w:val="Normal"/>
    <w:link w:val="QUESTIONTEXTChar"/>
    <w:qFormat/>
    <w:rsid w:val="005C1D6F"/>
    <w:pPr>
      <w:tabs>
        <w:tab w:val="clear" w:pos="432"/>
        <w:tab w:val="left" w:pos="1080"/>
      </w:tabs>
      <w:spacing w:before="120" w:after="120"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C1D6F"/>
    <w:rPr>
      <w:rFonts w:ascii="Arial" w:hAnsi="Arial" w:cs="Arial"/>
      <w:b/>
      <w:sz w:val="22"/>
      <w:szCs w:val="22"/>
    </w:rPr>
  </w:style>
  <w:style w:type="paragraph" w:customStyle="1" w:styleId="RESPONSE">
    <w:name w:val="RESPONSE"/>
    <w:basedOn w:val="Normal"/>
    <w:link w:val="RESPONSEChar"/>
    <w:qFormat/>
    <w:rsid w:val="005C1D6F"/>
    <w:pPr>
      <w:tabs>
        <w:tab w:val="clear" w:pos="432"/>
        <w:tab w:val="left" w:pos="1440"/>
        <w:tab w:val="left" w:leader="dot" w:pos="6768"/>
        <w:tab w:val="left" w:pos="7200"/>
      </w:tabs>
      <w:spacing w:before="120" w:line="240" w:lineRule="auto"/>
      <w:ind w:firstLine="0"/>
      <w:jc w:val="left"/>
    </w:pPr>
    <w:rPr>
      <w:rFonts w:ascii="Arial" w:hAnsi="Arial" w:cs="Arial"/>
      <w:sz w:val="22"/>
      <w:szCs w:val="22"/>
    </w:rPr>
  </w:style>
  <w:style w:type="character" w:customStyle="1" w:styleId="RESPONSEChar">
    <w:name w:val="RESPONSE Char"/>
    <w:basedOn w:val="DefaultParagraphFont"/>
    <w:link w:val="RESPONSE"/>
    <w:rsid w:val="005C1D6F"/>
    <w:rPr>
      <w:rFonts w:ascii="Arial" w:hAnsi="Arial" w:cs="Arial"/>
      <w:sz w:val="22"/>
      <w:szCs w:val="22"/>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 MPR-Standard.dotm</Template>
  <TotalTime>6</TotalTime>
  <Pages>4</Pages>
  <Words>809</Words>
  <Characters>4119</Characters>
  <Application>Microsoft Office Word</Application>
  <DocSecurity>0</DocSecurity>
  <Lines>34</Lines>
  <Paragraphs>9</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1.	Orientation Meeting </vt:lpstr>
      <vt:lpstr>        2.	Site Visits </vt:lpstr>
      <vt:lpstr>        3.	Extant Data Collections</vt:lpstr>
      <vt:lpstr>        4.	Program Administration Data Collection</vt:lpstr>
      <vt:lpstr>        5.	QC Reviews </vt:lpstr>
      <vt:lpstr/>
      <vt:lpstr>Dear [Salutation, NAME]:</vt:lpstr>
      <vt:lpstr/>
      <vt:lpstr>Dear [Salutation, NAME]:</vt:lpstr>
      <vt:lpstr>/</vt:lpstr>
      <vt:lpstr/>
      <vt:lpstr>The Assessment of Contributions of an Interview to SNAP Eligibility and Benefit </vt:lpstr>
    </vt:vector>
  </TitlesOfParts>
  <Company>Mathematica, Inc</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D. Clark</dc:creator>
  <cp:keywords/>
  <dc:description/>
  <cp:lastModifiedBy>EZeidman</cp:lastModifiedBy>
  <cp:revision>8</cp:revision>
  <cp:lastPrinted>2010-06-11T20:32:00Z</cp:lastPrinted>
  <dcterms:created xsi:type="dcterms:W3CDTF">2011-12-16T19:00:00Z</dcterms:created>
  <dcterms:modified xsi:type="dcterms:W3CDTF">2012-08-15T11:34:00Z</dcterms:modified>
</cp:coreProperties>
</file>