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A1C" w:rsidRPr="005B5E73" w:rsidRDefault="000E3A1C">
      <w:pPr>
        <w:widowControl/>
        <w:tabs>
          <w:tab w:val="left" w:pos="0"/>
        </w:tabs>
        <w:ind w:left="360" w:hanging="360"/>
        <w:jc w:val="center"/>
        <w:rPr>
          <w:b/>
          <w:bCs/>
        </w:rPr>
      </w:pPr>
      <w:bookmarkStart w:id="0" w:name="_GoBack"/>
      <w:bookmarkEnd w:id="0"/>
      <w:r w:rsidRPr="005B5E73">
        <w:rPr>
          <w:b/>
          <w:bCs/>
        </w:rPr>
        <w:t>Supporting Statement</w:t>
      </w:r>
    </w:p>
    <w:p w:rsidR="000E3A1C" w:rsidRPr="005B5E73" w:rsidRDefault="000E3A1C">
      <w:pPr>
        <w:widowControl/>
        <w:tabs>
          <w:tab w:val="left" w:pos="0"/>
        </w:tabs>
        <w:ind w:left="360" w:hanging="360"/>
        <w:jc w:val="center"/>
        <w:rPr>
          <w:b/>
          <w:bCs/>
        </w:rPr>
      </w:pPr>
    </w:p>
    <w:p w:rsidR="000E3A1C" w:rsidRPr="005B5E73" w:rsidRDefault="000E3A1C" w:rsidP="00B81016">
      <w:pPr>
        <w:widowControl/>
        <w:tabs>
          <w:tab w:val="center" w:pos="4680"/>
        </w:tabs>
        <w:ind w:left="360" w:hanging="360"/>
        <w:jc w:val="center"/>
        <w:rPr>
          <w:b/>
          <w:bCs/>
        </w:rPr>
      </w:pPr>
      <w:r w:rsidRPr="005B5E73">
        <w:rPr>
          <w:b/>
          <w:bCs/>
        </w:rPr>
        <w:t>Annual Capital Expenditures Survey (ACES)</w:t>
      </w:r>
    </w:p>
    <w:p w:rsidR="000E3A1C" w:rsidRPr="005B5E73" w:rsidRDefault="000E3A1C" w:rsidP="00B81016">
      <w:pPr>
        <w:widowControl/>
        <w:tabs>
          <w:tab w:val="center" w:pos="4680"/>
        </w:tabs>
        <w:ind w:left="360" w:hanging="360"/>
        <w:jc w:val="center"/>
      </w:pPr>
      <w:r w:rsidRPr="005B5E73">
        <w:rPr>
          <w:b/>
          <w:bCs/>
        </w:rPr>
        <w:t>Forms ACE-1(S), ACE-1(M), ACE-1(L), and ACE-2</w:t>
      </w:r>
    </w:p>
    <w:p w:rsidR="000E3A1C" w:rsidRPr="005B5E73" w:rsidRDefault="000E3A1C">
      <w:pPr>
        <w:widowControl/>
        <w:tabs>
          <w:tab w:val="left" w:pos="0"/>
        </w:tabs>
        <w:ind w:left="360" w:hanging="360"/>
      </w:pPr>
    </w:p>
    <w:p w:rsidR="000E3A1C" w:rsidRPr="005B5E73" w:rsidRDefault="000E3A1C">
      <w:pPr>
        <w:widowControl/>
        <w:tabs>
          <w:tab w:val="left" w:pos="0"/>
        </w:tabs>
        <w:ind w:left="360" w:hanging="360"/>
      </w:pPr>
    </w:p>
    <w:p w:rsidR="000E3A1C" w:rsidRPr="005B5E73" w:rsidRDefault="000E3A1C">
      <w:pPr>
        <w:widowControl/>
        <w:tabs>
          <w:tab w:val="left" w:pos="0"/>
        </w:tabs>
        <w:ind w:left="720" w:hanging="720"/>
      </w:pPr>
      <w:r w:rsidRPr="005B5E73">
        <w:t>B.</w:t>
      </w:r>
      <w:r w:rsidRPr="005B5E73">
        <w:tab/>
      </w:r>
      <w:r w:rsidRPr="005B5E73">
        <w:rPr>
          <w:u w:val="single"/>
        </w:rPr>
        <w:t>Collections of Information Employing Statistical Methods</w:t>
      </w:r>
    </w:p>
    <w:p w:rsidR="000E3A1C" w:rsidRPr="005B5E73" w:rsidRDefault="000E3A1C">
      <w:pPr>
        <w:widowControl/>
        <w:tabs>
          <w:tab w:val="left" w:pos="0"/>
        </w:tabs>
        <w:ind w:left="360" w:hanging="360"/>
      </w:pPr>
    </w:p>
    <w:p w:rsidR="000E3A1C" w:rsidRPr="005B5E73" w:rsidRDefault="000E3A1C">
      <w:pPr>
        <w:widowControl/>
        <w:tabs>
          <w:tab w:val="left" w:pos="0"/>
        </w:tabs>
        <w:ind w:left="1440" w:hanging="720"/>
      </w:pPr>
      <w:r w:rsidRPr="005B5E73">
        <w:t xml:space="preserve">  1.</w:t>
      </w:r>
      <w:r w:rsidRPr="005B5E73">
        <w:tab/>
      </w:r>
      <w:r w:rsidRPr="005B5E73">
        <w:rPr>
          <w:u w:val="single"/>
        </w:rPr>
        <w:t>Universe and Respondent Selection</w:t>
      </w:r>
    </w:p>
    <w:p w:rsidR="000E3A1C" w:rsidRPr="005B5E73" w:rsidRDefault="000E3A1C">
      <w:pPr>
        <w:widowControl/>
        <w:tabs>
          <w:tab w:val="left" w:pos="0"/>
        </w:tabs>
        <w:ind w:left="360" w:hanging="360"/>
      </w:pPr>
    </w:p>
    <w:p w:rsidR="000E3A1C" w:rsidRPr="005B5E73" w:rsidRDefault="000E3A1C" w:rsidP="003B6C5C">
      <w:pPr>
        <w:widowControl/>
        <w:tabs>
          <w:tab w:val="left" w:pos="0"/>
        </w:tabs>
        <w:ind w:left="1440"/>
      </w:pPr>
      <w:r w:rsidRPr="005B5E73">
        <w:t>The ACES covers companies in all private nonfarm sectors of the economy</w:t>
      </w:r>
      <w:r w:rsidR="006E1EB3" w:rsidRPr="005B5E73">
        <w:t xml:space="preserve">, using a stratified simple random sample design. </w:t>
      </w:r>
      <w:r w:rsidRPr="005B5E73">
        <w:t xml:space="preserve">The universe of </w:t>
      </w:r>
      <w:r w:rsidR="006E1EB3" w:rsidRPr="005B5E73">
        <w:t xml:space="preserve">approximately </w:t>
      </w:r>
      <w:r w:rsidR="00163155" w:rsidRPr="005B5E73">
        <w:t xml:space="preserve">35.9 </w:t>
      </w:r>
      <w:r w:rsidRPr="005B5E73">
        <w:t>million companies is partitioned into three distinct non-overlapping categories.</w:t>
      </w:r>
    </w:p>
    <w:p w:rsidR="000E3A1C" w:rsidRPr="005B5E73" w:rsidRDefault="000E3A1C" w:rsidP="007E01BD">
      <w:pPr>
        <w:widowControl/>
        <w:tabs>
          <w:tab w:val="left" w:pos="0"/>
        </w:tabs>
        <w:ind w:left="360" w:hanging="360"/>
        <w:jc w:val="center"/>
      </w:pPr>
    </w:p>
    <w:tbl>
      <w:tblPr>
        <w:tblW w:w="0" w:type="auto"/>
        <w:tblInd w:w="1545" w:type="dxa"/>
        <w:tblCellMar>
          <w:left w:w="112" w:type="dxa"/>
          <w:right w:w="112" w:type="dxa"/>
        </w:tblCellMar>
        <w:tblLook w:val="0000" w:firstRow="0" w:lastRow="0" w:firstColumn="0" w:lastColumn="0" w:noHBand="0" w:noVBand="0"/>
      </w:tblPr>
      <w:tblGrid>
        <w:gridCol w:w="984"/>
        <w:gridCol w:w="2533"/>
        <w:gridCol w:w="1800"/>
        <w:gridCol w:w="2520"/>
      </w:tblGrid>
      <w:tr w:rsidR="000E3A1C" w:rsidRPr="005B5E73" w:rsidTr="003B6C5C">
        <w:trPr>
          <w:trHeight w:val="20"/>
        </w:trPr>
        <w:tc>
          <w:tcPr>
            <w:tcW w:w="0" w:type="auto"/>
            <w:tcBorders>
              <w:top w:val="double" w:sz="7" w:space="0" w:color="000000"/>
              <w:left w:val="double" w:sz="7" w:space="0" w:color="000000"/>
              <w:bottom w:val="single" w:sz="6" w:space="0" w:color="FFFFFF"/>
              <w:right w:val="single" w:sz="6" w:space="0" w:color="FFFFFF"/>
            </w:tcBorders>
          </w:tcPr>
          <w:p w:rsidR="000E3A1C" w:rsidRPr="005B5E73" w:rsidRDefault="007E01BD"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5B5E73">
              <w:t>Stratum</w:t>
            </w:r>
          </w:p>
        </w:tc>
        <w:tc>
          <w:tcPr>
            <w:tcW w:w="2533" w:type="dxa"/>
            <w:tcBorders>
              <w:top w:val="double" w:sz="7" w:space="0" w:color="000000"/>
              <w:left w:val="single" w:sz="7" w:space="0" w:color="000000"/>
              <w:bottom w:val="single" w:sz="6" w:space="0" w:color="FFFFFF"/>
              <w:right w:val="single" w:sz="6" w:space="0" w:color="FFFFFF"/>
            </w:tcBorders>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Description</w:t>
            </w:r>
          </w:p>
        </w:tc>
        <w:tc>
          <w:tcPr>
            <w:tcW w:w="1800" w:type="dxa"/>
            <w:tcBorders>
              <w:top w:val="double" w:sz="7" w:space="0" w:color="000000"/>
              <w:left w:val="single" w:sz="7" w:space="0" w:color="000000"/>
              <w:bottom w:val="single" w:sz="6" w:space="0" w:color="FFFFFF"/>
              <w:right w:val="single" w:sz="6" w:space="0" w:color="FFFFFF"/>
            </w:tcBorders>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Universe</w:t>
            </w:r>
          </w:p>
        </w:tc>
        <w:tc>
          <w:tcPr>
            <w:tcW w:w="2520" w:type="dxa"/>
            <w:tcBorders>
              <w:top w:val="double" w:sz="7" w:space="0" w:color="000000"/>
              <w:left w:val="single" w:sz="7" w:space="0" w:color="000000"/>
              <w:bottom w:val="single" w:sz="6" w:space="0" w:color="FFFFFF"/>
              <w:right w:val="double" w:sz="7" w:space="0" w:color="000000"/>
            </w:tcBorders>
          </w:tcPr>
          <w:p w:rsidR="00D371A2"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Sample Size:</w:t>
            </w:r>
          </w:p>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jc w:val="center"/>
            </w:pPr>
            <w:r w:rsidRPr="005B5E73">
              <w:t>Fiscal Year 201</w:t>
            </w:r>
            <w:r w:rsidR="00A8794F" w:rsidRPr="005B5E73">
              <w:t>3</w:t>
            </w:r>
          </w:p>
        </w:tc>
      </w:tr>
      <w:tr w:rsidR="000E3A1C" w:rsidRPr="005B5E73" w:rsidTr="003B6C5C">
        <w:trPr>
          <w:trHeight w:val="20"/>
        </w:trPr>
        <w:tc>
          <w:tcPr>
            <w:tcW w:w="0" w:type="auto"/>
            <w:tcBorders>
              <w:top w:val="single" w:sz="7" w:space="0" w:color="000000"/>
              <w:left w:val="double" w:sz="7" w:space="0" w:color="000000"/>
              <w:bottom w:val="single" w:sz="6" w:space="0" w:color="FFFFFF"/>
              <w:right w:val="single" w:sz="6" w:space="0" w:color="FFFFFF"/>
            </w:tcBorders>
            <w:vAlign w:val="center"/>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I</w:t>
            </w:r>
          </w:p>
        </w:tc>
        <w:tc>
          <w:tcPr>
            <w:tcW w:w="2533" w:type="dxa"/>
            <w:tcBorders>
              <w:top w:val="single" w:sz="7" w:space="0" w:color="000000"/>
              <w:left w:val="single" w:sz="7" w:space="0" w:color="000000"/>
              <w:bottom w:val="single" w:sz="6" w:space="0" w:color="FFFFFF"/>
              <w:right w:val="single" w:sz="6" w:space="0" w:color="FFFFFF"/>
            </w:tcBorders>
            <w:vAlign w:val="center"/>
          </w:tcPr>
          <w:p w:rsidR="00D552A1" w:rsidRPr="005B5E73" w:rsidRDefault="001105DD" w:rsidP="002D2BA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Co</w:t>
            </w:r>
            <w:r w:rsidR="006B3627" w:rsidRPr="005B5E73">
              <w:t>mpanies with</w:t>
            </w:r>
            <w:r w:rsidR="002C73FF" w:rsidRPr="005B5E73">
              <w:t xml:space="preserve"> </w:t>
            </w:r>
            <w:r w:rsidR="006B3627" w:rsidRPr="005B5E73">
              <w:t>500</w:t>
            </w:r>
          </w:p>
          <w:p w:rsidR="000E3A1C" w:rsidRPr="005B5E73" w:rsidRDefault="00D552A1" w:rsidP="002D2BA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jc w:val="center"/>
            </w:pPr>
            <w:r w:rsidRPr="005B5E73">
              <w:t xml:space="preserve">or more </w:t>
            </w:r>
            <w:r w:rsidR="000E3A1C" w:rsidRPr="005B5E73">
              <w:t>employees</w:t>
            </w:r>
          </w:p>
        </w:tc>
        <w:tc>
          <w:tcPr>
            <w:tcW w:w="1800" w:type="dxa"/>
            <w:tcBorders>
              <w:top w:val="single" w:sz="7" w:space="0" w:color="000000"/>
              <w:left w:val="single" w:sz="7" w:space="0" w:color="000000"/>
              <w:bottom w:val="single" w:sz="6" w:space="0" w:color="FFFFFF"/>
              <w:right w:val="single" w:sz="6" w:space="0" w:color="FFFFFF"/>
            </w:tcBorders>
            <w:vAlign w:val="center"/>
          </w:tcPr>
          <w:p w:rsidR="000E3A1C" w:rsidRPr="005B5E73" w:rsidRDefault="004940EC" w:rsidP="002D2BA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17</w:t>
            </w:r>
            <w:r w:rsidR="00B11941" w:rsidRPr="005B5E73">
              <w:t>.1 thousand</w:t>
            </w:r>
            <w:r w:rsidRPr="005B5E73">
              <w:t xml:space="preserve"> </w:t>
            </w:r>
            <w:r w:rsidR="000E3A1C" w:rsidRPr="005B5E73">
              <w:t xml:space="preserve">   </w:t>
            </w:r>
          </w:p>
        </w:tc>
        <w:tc>
          <w:tcPr>
            <w:tcW w:w="2520" w:type="dxa"/>
            <w:tcBorders>
              <w:top w:val="single" w:sz="7" w:space="0" w:color="000000"/>
              <w:left w:val="single" w:sz="7" w:space="0" w:color="000000"/>
              <w:bottom w:val="single" w:sz="6" w:space="0" w:color="FFFFFF"/>
              <w:right w:val="double" w:sz="7" w:space="0" w:color="000000"/>
            </w:tcBorders>
            <w:vAlign w:val="center"/>
          </w:tcPr>
          <w:p w:rsidR="000E3A1C" w:rsidRPr="005B5E73" w:rsidRDefault="004034C4"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17,100</w:t>
            </w:r>
          </w:p>
        </w:tc>
      </w:tr>
      <w:tr w:rsidR="000E3A1C" w:rsidRPr="005B5E73" w:rsidTr="003B6C5C">
        <w:trPr>
          <w:trHeight w:val="20"/>
        </w:trPr>
        <w:tc>
          <w:tcPr>
            <w:tcW w:w="0" w:type="auto"/>
            <w:tcBorders>
              <w:top w:val="single" w:sz="7" w:space="0" w:color="000000"/>
              <w:left w:val="double" w:sz="7" w:space="0" w:color="000000"/>
              <w:bottom w:val="single" w:sz="6" w:space="0" w:color="FFFFFF"/>
              <w:right w:val="single" w:sz="6" w:space="0" w:color="FFFFFF"/>
            </w:tcBorders>
            <w:vAlign w:val="center"/>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II</w:t>
            </w:r>
          </w:p>
        </w:tc>
        <w:tc>
          <w:tcPr>
            <w:tcW w:w="2533" w:type="dxa"/>
            <w:tcBorders>
              <w:top w:val="single" w:sz="7" w:space="0" w:color="000000"/>
              <w:left w:val="single" w:sz="7" w:space="0" w:color="000000"/>
              <w:bottom w:val="single" w:sz="6" w:space="0" w:color="FFFFFF"/>
              <w:right w:val="single" w:sz="6" w:space="0" w:color="FFFFFF"/>
            </w:tcBorders>
            <w:vAlign w:val="center"/>
          </w:tcPr>
          <w:p w:rsidR="00D552A1" w:rsidRPr="005B5E73" w:rsidRDefault="003B6C5C" w:rsidP="00456DD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pPr>
            <w:r w:rsidRPr="005B5E73">
              <w:t xml:space="preserve">  </w:t>
            </w:r>
            <w:r w:rsidR="000E3A1C" w:rsidRPr="005B5E73">
              <w:t>Companies with</w:t>
            </w:r>
          </w:p>
          <w:p w:rsidR="000E3A1C" w:rsidRPr="005B5E73" w:rsidRDefault="000E3A1C" w:rsidP="002D2BA3">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jc w:val="center"/>
            </w:pPr>
            <w:r w:rsidRPr="005B5E73">
              <w:t>1 to 499 employees</w:t>
            </w:r>
          </w:p>
        </w:tc>
        <w:tc>
          <w:tcPr>
            <w:tcW w:w="1800" w:type="dxa"/>
            <w:tcBorders>
              <w:top w:val="single" w:sz="7" w:space="0" w:color="000000"/>
              <w:left w:val="single" w:sz="7" w:space="0" w:color="000000"/>
              <w:bottom w:val="single" w:sz="6" w:space="0" w:color="FFFFFF"/>
              <w:right w:val="single" w:sz="6" w:space="0" w:color="FFFFFF"/>
            </w:tcBorders>
            <w:vAlign w:val="center"/>
          </w:tcPr>
          <w:p w:rsidR="000E3A1C" w:rsidRPr="005B5E73" w:rsidRDefault="004940EC" w:rsidP="003B6C5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5B5E73">
              <w:t>5.6</w:t>
            </w:r>
            <w:r w:rsidR="00907A98" w:rsidRPr="005B5E73">
              <w:t xml:space="preserve"> </w:t>
            </w:r>
            <w:r w:rsidR="000E3A1C" w:rsidRPr="005B5E73">
              <w:t xml:space="preserve">million   </w:t>
            </w:r>
          </w:p>
        </w:tc>
        <w:tc>
          <w:tcPr>
            <w:tcW w:w="2520" w:type="dxa"/>
            <w:tcBorders>
              <w:top w:val="single" w:sz="7" w:space="0" w:color="000000"/>
              <w:left w:val="single" w:sz="7" w:space="0" w:color="000000"/>
              <w:bottom w:val="single" w:sz="6" w:space="0" w:color="FFFFFF"/>
              <w:right w:val="double" w:sz="7" w:space="0" w:color="000000"/>
            </w:tcBorders>
            <w:vAlign w:val="center"/>
          </w:tcPr>
          <w:p w:rsidR="000E3A1C" w:rsidRPr="005B5E73" w:rsidRDefault="004034C4"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27,900</w:t>
            </w:r>
          </w:p>
        </w:tc>
      </w:tr>
      <w:tr w:rsidR="000E3A1C" w:rsidRPr="005B5E73" w:rsidTr="003B6C5C">
        <w:trPr>
          <w:trHeight w:val="20"/>
        </w:trPr>
        <w:tc>
          <w:tcPr>
            <w:tcW w:w="0" w:type="auto"/>
            <w:tcBorders>
              <w:top w:val="single" w:sz="7" w:space="0" w:color="000000"/>
              <w:left w:val="double" w:sz="7" w:space="0" w:color="000000"/>
              <w:bottom w:val="single" w:sz="6" w:space="0" w:color="FFFFFF"/>
              <w:right w:val="single" w:sz="6" w:space="0" w:color="FFFFFF"/>
            </w:tcBorders>
            <w:vAlign w:val="center"/>
          </w:tcPr>
          <w:p w:rsidR="000E3A1C" w:rsidRPr="005B5E73" w:rsidRDefault="00A64C8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II</w:t>
            </w:r>
            <w:r w:rsidR="000E3A1C" w:rsidRPr="005B5E73">
              <w:t>I</w:t>
            </w:r>
          </w:p>
        </w:tc>
        <w:tc>
          <w:tcPr>
            <w:tcW w:w="2533" w:type="dxa"/>
            <w:tcBorders>
              <w:top w:val="single" w:sz="7" w:space="0" w:color="000000"/>
              <w:left w:val="single" w:sz="7" w:space="0" w:color="000000"/>
              <w:bottom w:val="single" w:sz="6" w:space="0" w:color="FFFFFF"/>
              <w:right w:val="single" w:sz="6" w:space="0" w:color="FFFFFF"/>
            </w:tcBorders>
            <w:vAlign w:val="center"/>
          </w:tcPr>
          <w:p w:rsidR="002C73FF" w:rsidRPr="005B5E73" w:rsidRDefault="003B6C5C" w:rsidP="00456DD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pPr>
            <w:r w:rsidRPr="005B5E73">
              <w:t xml:space="preserve">  </w:t>
            </w:r>
            <w:r w:rsidR="000E3A1C" w:rsidRPr="005B5E73">
              <w:t>Nonemployer</w:t>
            </w:r>
          </w:p>
          <w:p w:rsidR="000E3A1C" w:rsidRPr="005B5E73" w:rsidRDefault="003B6C5C" w:rsidP="00456DDF">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ind w:hanging="360"/>
            </w:pPr>
            <w:r w:rsidRPr="005B5E73">
              <w:t xml:space="preserve">    </w:t>
            </w:r>
            <w:r w:rsidR="000E3A1C" w:rsidRPr="005B5E73">
              <w:t>Companies</w:t>
            </w:r>
          </w:p>
        </w:tc>
        <w:tc>
          <w:tcPr>
            <w:tcW w:w="1800" w:type="dxa"/>
            <w:tcBorders>
              <w:top w:val="single" w:sz="7" w:space="0" w:color="000000"/>
              <w:left w:val="single" w:sz="7" w:space="0" w:color="000000"/>
              <w:bottom w:val="single" w:sz="6" w:space="0" w:color="FFFFFF"/>
              <w:right w:val="single" w:sz="6" w:space="0" w:color="FFFFFF"/>
            </w:tcBorders>
            <w:vAlign w:val="center"/>
          </w:tcPr>
          <w:p w:rsidR="000E3A1C" w:rsidRPr="005B5E73" w:rsidRDefault="004940EC" w:rsidP="003B6C5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5B5E73">
              <w:t>30.3</w:t>
            </w:r>
            <w:r w:rsidR="00907A98" w:rsidRPr="005B5E73">
              <w:t xml:space="preserve"> </w:t>
            </w:r>
            <w:r w:rsidR="000E3A1C" w:rsidRPr="005B5E73">
              <w:t xml:space="preserve">million </w:t>
            </w:r>
          </w:p>
        </w:tc>
        <w:tc>
          <w:tcPr>
            <w:tcW w:w="2520" w:type="dxa"/>
            <w:tcBorders>
              <w:top w:val="single" w:sz="7" w:space="0" w:color="000000"/>
              <w:left w:val="single" w:sz="7" w:space="0" w:color="000000"/>
              <w:bottom w:val="single" w:sz="6" w:space="0" w:color="FFFFFF"/>
              <w:right w:val="double" w:sz="7" w:space="0" w:color="000000"/>
            </w:tcBorders>
            <w:vAlign w:val="center"/>
          </w:tcPr>
          <w:p w:rsidR="000E3A1C" w:rsidRPr="005B5E73" w:rsidRDefault="00C25296"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4"/>
              <w:jc w:val="center"/>
            </w:pPr>
            <w:r w:rsidRPr="005B5E73">
              <w:t>30,000</w:t>
            </w:r>
          </w:p>
        </w:tc>
      </w:tr>
      <w:tr w:rsidR="000E3A1C" w:rsidRPr="005B5E73" w:rsidTr="003B6C5C">
        <w:trPr>
          <w:trHeight w:val="406"/>
        </w:trPr>
        <w:tc>
          <w:tcPr>
            <w:tcW w:w="0" w:type="auto"/>
            <w:tcBorders>
              <w:top w:val="single" w:sz="7" w:space="0" w:color="000000"/>
              <w:left w:val="double" w:sz="7" w:space="0" w:color="000000"/>
              <w:bottom w:val="double" w:sz="7" w:space="0" w:color="000000"/>
              <w:right w:val="single" w:sz="6" w:space="0" w:color="FFFFFF"/>
            </w:tcBorders>
            <w:vAlign w:val="center"/>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ind w:hanging="360"/>
              <w:jc w:val="center"/>
            </w:pPr>
          </w:p>
        </w:tc>
        <w:tc>
          <w:tcPr>
            <w:tcW w:w="2533" w:type="dxa"/>
            <w:tcBorders>
              <w:top w:val="single" w:sz="7" w:space="0" w:color="000000"/>
              <w:left w:val="single" w:sz="7" w:space="0" w:color="000000"/>
              <w:bottom w:val="double" w:sz="7" w:space="0" w:color="000000"/>
              <w:right w:val="single" w:sz="6" w:space="0" w:color="FFFFFF"/>
            </w:tcBorders>
            <w:vAlign w:val="center"/>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jc w:val="center"/>
            </w:pPr>
            <w:r w:rsidRPr="005B5E73">
              <w:t>Total Sample Size</w:t>
            </w:r>
          </w:p>
        </w:tc>
        <w:tc>
          <w:tcPr>
            <w:tcW w:w="1800" w:type="dxa"/>
            <w:tcBorders>
              <w:top w:val="single" w:sz="7" w:space="0" w:color="000000"/>
              <w:left w:val="single" w:sz="7" w:space="0" w:color="000000"/>
              <w:bottom w:val="double" w:sz="7" w:space="0" w:color="000000"/>
              <w:right w:val="single" w:sz="6" w:space="0" w:color="FFFFFF"/>
            </w:tcBorders>
            <w:vAlign w:val="center"/>
          </w:tcPr>
          <w:p w:rsidR="000E3A1C" w:rsidRPr="005B5E73" w:rsidRDefault="000E3A1C"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jc w:val="center"/>
            </w:pPr>
          </w:p>
        </w:tc>
        <w:tc>
          <w:tcPr>
            <w:tcW w:w="2520" w:type="dxa"/>
            <w:tcBorders>
              <w:top w:val="single" w:sz="7" w:space="0" w:color="000000"/>
              <w:left w:val="single" w:sz="7" w:space="0" w:color="000000"/>
              <w:bottom w:val="double" w:sz="7" w:space="0" w:color="000000"/>
              <w:right w:val="double" w:sz="7" w:space="0" w:color="000000"/>
            </w:tcBorders>
            <w:vAlign w:val="center"/>
          </w:tcPr>
          <w:p w:rsidR="000E3A1C" w:rsidRPr="005B5E73" w:rsidRDefault="00C25296" w:rsidP="00A64C8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62"/>
              <w:jc w:val="center"/>
            </w:pPr>
            <w:r w:rsidRPr="005B5E73">
              <w:t>75,000</w:t>
            </w:r>
          </w:p>
        </w:tc>
      </w:tr>
    </w:tbl>
    <w:p w:rsidR="000E3A1C" w:rsidRPr="005B5E73" w:rsidRDefault="000E3A1C">
      <w:pPr>
        <w:widowControl/>
        <w:tabs>
          <w:tab w:val="left" w:pos="0"/>
        </w:tabs>
        <w:ind w:left="360" w:hanging="360"/>
      </w:pPr>
    </w:p>
    <w:p w:rsidR="000E3A1C" w:rsidRPr="005B5E73" w:rsidRDefault="006E1EB3">
      <w:pPr>
        <w:widowControl/>
        <w:tabs>
          <w:tab w:val="left" w:pos="0"/>
        </w:tabs>
        <w:ind w:left="1440"/>
      </w:pPr>
      <w:r w:rsidRPr="005B5E73">
        <w:t>A</w:t>
      </w:r>
      <w:r w:rsidR="000E3A1C" w:rsidRPr="005B5E73">
        <w:t xml:space="preserve"> new sample </w:t>
      </w:r>
      <w:r w:rsidRPr="005B5E73">
        <w:t xml:space="preserve">is selected </w:t>
      </w:r>
      <w:r w:rsidR="000E3A1C" w:rsidRPr="005B5E73">
        <w:t>annually.</w:t>
      </w:r>
      <w:r w:rsidR="00F05BE9" w:rsidRPr="005B5E73">
        <w:t xml:space="preserve"> </w:t>
      </w:r>
      <w:r w:rsidR="000E3A1C" w:rsidRPr="005B5E73">
        <w:t xml:space="preserve">All companies defined in </w:t>
      </w:r>
      <w:r w:rsidRPr="005B5E73">
        <w:t>universe s</w:t>
      </w:r>
      <w:r w:rsidR="000E3A1C" w:rsidRPr="005B5E73">
        <w:t>tratum I</w:t>
      </w:r>
      <w:r w:rsidRPr="005B5E73">
        <w:t xml:space="preserve"> </w:t>
      </w:r>
      <w:proofErr w:type="gramStart"/>
      <w:r w:rsidRPr="005B5E73">
        <w:t>are</w:t>
      </w:r>
      <w:proofErr w:type="gramEnd"/>
      <w:r w:rsidRPr="005B5E73">
        <w:t xml:space="preserve"> selected each year</w:t>
      </w:r>
      <w:r w:rsidR="005F1624" w:rsidRPr="005B5E73">
        <w:t xml:space="preserve">.  </w:t>
      </w:r>
      <w:r w:rsidRPr="005B5E73">
        <w:t>Different stratified s</w:t>
      </w:r>
      <w:r w:rsidR="000E3A1C" w:rsidRPr="005B5E73">
        <w:t>imple random samples</w:t>
      </w:r>
      <w:r w:rsidRPr="005B5E73">
        <w:t xml:space="preserve"> </w:t>
      </w:r>
      <w:r w:rsidR="000E3A1C" w:rsidRPr="005B5E73">
        <w:t xml:space="preserve">of companies in </w:t>
      </w:r>
      <w:r w:rsidRPr="005B5E73">
        <w:t>s</w:t>
      </w:r>
      <w:r w:rsidR="000E3A1C" w:rsidRPr="005B5E73">
        <w:t xml:space="preserve">trata II and III are selected from each stratum </w:t>
      </w:r>
      <w:r w:rsidRPr="005B5E73">
        <w:t xml:space="preserve">each </w:t>
      </w:r>
      <w:r w:rsidR="000E3A1C" w:rsidRPr="005B5E73">
        <w:t xml:space="preserve">year. </w:t>
      </w:r>
      <w:r w:rsidR="008460C8" w:rsidRPr="005B5E73">
        <w:t xml:space="preserve"> </w:t>
      </w:r>
    </w:p>
    <w:p w:rsidR="000E3A1C" w:rsidRPr="005B5E73" w:rsidRDefault="000E3A1C">
      <w:pPr>
        <w:widowControl/>
        <w:tabs>
          <w:tab w:val="left" w:pos="0"/>
        </w:tabs>
        <w:ind w:left="360" w:hanging="360"/>
      </w:pPr>
    </w:p>
    <w:p w:rsidR="000E3A1C" w:rsidRPr="005B5E73" w:rsidRDefault="000E3A1C">
      <w:pPr>
        <w:widowControl/>
        <w:tabs>
          <w:tab w:val="left" w:pos="0"/>
        </w:tabs>
        <w:ind w:left="1440"/>
      </w:pPr>
      <w:r w:rsidRPr="005B5E73">
        <w:t xml:space="preserve">By selecting a </w:t>
      </w:r>
      <w:r w:rsidR="006E1EB3" w:rsidRPr="005B5E73">
        <w:t xml:space="preserve">sample </w:t>
      </w:r>
      <w:r w:rsidRPr="005B5E73">
        <w:t>annually, we (1) redefine the universe of companies, and consequently the sample, to reflect the changing distribution of companies by industry and size, (2) give new and emerging companies representation in the</w:t>
      </w:r>
    </w:p>
    <w:p w:rsidR="000E3A1C" w:rsidRPr="005B5E73" w:rsidRDefault="000E3A1C">
      <w:pPr>
        <w:widowControl/>
        <w:tabs>
          <w:tab w:val="left" w:pos="0"/>
        </w:tabs>
        <w:ind w:left="1440"/>
      </w:pPr>
      <w:r w:rsidRPr="005B5E73">
        <w:t xml:space="preserve">sample on a more timely basis, and (3) relieve small companies from reporting for long periods of time.    </w:t>
      </w:r>
    </w:p>
    <w:p w:rsidR="000E3A1C" w:rsidRPr="005B5E73" w:rsidRDefault="000E3A1C">
      <w:pPr>
        <w:widowControl/>
        <w:tabs>
          <w:tab w:val="left" w:pos="0"/>
        </w:tabs>
        <w:ind w:left="360" w:hanging="360"/>
      </w:pPr>
    </w:p>
    <w:p w:rsidR="000E3A1C" w:rsidRPr="005B5E73" w:rsidRDefault="000E3A1C" w:rsidP="002D2BA3">
      <w:pPr>
        <w:widowControl/>
        <w:tabs>
          <w:tab w:val="left" w:pos="0"/>
        </w:tabs>
        <w:ind w:left="360" w:firstLine="1080"/>
      </w:pPr>
      <w:r w:rsidRPr="005B5E73">
        <w:t xml:space="preserve">We expect </w:t>
      </w:r>
      <w:r w:rsidR="005F1624">
        <w:t xml:space="preserve">about a 70 percent </w:t>
      </w:r>
      <w:r w:rsidRPr="005B5E73">
        <w:t>the response rate for the survey</w:t>
      </w:r>
      <w:r w:rsidR="005F1624" w:rsidRPr="005B5E73">
        <w:t xml:space="preserve">.  </w:t>
      </w:r>
      <w:r w:rsidRPr="005B5E73">
        <w:t>Response rate</w:t>
      </w:r>
    </w:p>
    <w:p w:rsidR="000E3A1C" w:rsidRPr="005B5E73" w:rsidRDefault="000E3A1C" w:rsidP="002B0D09">
      <w:pPr>
        <w:widowControl/>
        <w:tabs>
          <w:tab w:val="left" w:pos="0"/>
        </w:tabs>
        <w:ind w:left="1440"/>
      </w:pPr>
      <w:r w:rsidRPr="005B5E73">
        <w:t xml:space="preserve">is defined as the </w:t>
      </w:r>
      <w:r w:rsidR="002D2BA3" w:rsidRPr="005B5E73">
        <w:t xml:space="preserve">ratio of the </w:t>
      </w:r>
      <w:r w:rsidRPr="005B5E73">
        <w:t xml:space="preserve">number of active, in-scope cases </w:t>
      </w:r>
      <w:r w:rsidR="002D2BA3" w:rsidRPr="005B5E73">
        <w:t xml:space="preserve">that </w:t>
      </w:r>
      <w:r w:rsidRPr="005B5E73">
        <w:t>provid</w:t>
      </w:r>
      <w:r w:rsidR="002D2BA3" w:rsidRPr="005B5E73">
        <w:t>ed</w:t>
      </w:r>
      <w:r w:rsidRPr="005B5E73">
        <w:t xml:space="preserve"> </w:t>
      </w:r>
      <w:r w:rsidR="00824E32">
        <w:t xml:space="preserve">a </w:t>
      </w:r>
      <w:r w:rsidRPr="005B5E73">
        <w:t xml:space="preserve">sufficient </w:t>
      </w:r>
      <w:r w:rsidR="00824E32">
        <w:t>response</w:t>
      </w:r>
      <w:r w:rsidRPr="005B5E73">
        <w:t xml:space="preserve"> divided by the total number of active, in-scope cases in the sample, times 100</w:t>
      </w:r>
      <w:r w:rsidR="003B6C5C" w:rsidRPr="005B5E73">
        <w:t xml:space="preserve"> percent</w:t>
      </w:r>
      <w:r w:rsidR="005F1624" w:rsidRPr="005B5E73">
        <w:t xml:space="preserve">.  </w:t>
      </w:r>
      <w:r w:rsidRPr="005B5E73">
        <w:t>Response has been relatively consistent over time.</w:t>
      </w:r>
      <w:r w:rsidR="003B6C5C" w:rsidRPr="005B5E73">
        <w:t xml:space="preserve">  However, </w:t>
      </w:r>
      <w:r w:rsidR="00354900" w:rsidRPr="005B5E73">
        <w:t>the Total Quantity Response Rate, defined as the proportion of the published estimates coming from respondent</w:t>
      </w:r>
      <w:r w:rsidRPr="005B5E73">
        <w:t xml:space="preserve"> </w:t>
      </w:r>
      <w:r w:rsidR="00354900" w:rsidRPr="005B5E73">
        <w:t xml:space="preserve">data using only their original unadjusted-for-nonresponse sampling weights, is expected to be </w:t>
      </w:r>
      <w:r w:rsidR="00456DDF" w:rsidRPr="005B5E73">
        <w:t>85 percent.</w:t>
      </w:r>
    </w:p>
    <w:p w:rsidR="002B0D09" w:rsidRPr="005B5E73" w:rsidRDefault="002B0D09" w:rsidP="002B0D09">
      <w:pPr>
        <w:widowControl/>
        <w:tabs>
          <w:tab w:val="left" w:pos="0"/>
        </w:tabs>
        <w:ind w:left="1440"/>
      </w:pPr>
    </w:p>
    <w:p w:rsidR="002B0D09" w:rsidRPr="005B5E73" w:rsidRDefault="002B0D09" w:rsidP="002B0D09">
      <w:pPr>
        <w:widowControl/>
        <w:tabs>
          <w:tab w:val="left" w:pos="0"/>
        </w:tabs>
        <w:ind w:left="1440"/>
      </w:pPr>
    </w:p>
    <w:p w:rsidR="00F46141" w:rsidRPr="005B5E73" w:rsidRDefault="00F46141">
      <w:pPr>
        <w:widowControl/>
        <w:tabs>
          <w:tab w:val="left" w:pos="0"/>
        </w:tabs>
        <w:ind w:left="360" w:hanging="360"/>
      </w:pPr>
    </w:p>
    <w:p w:rsidR="000E3A1C" w:rsidRPr="005B5E73" w:rsidRDefault="000E3A1C">
      <w:pPr>
        <w:widowControl/>
        <w:tabs>
          <w:tab w:val="left" w:pos="0"/>
        </w:tabs>
        <w:ind w:left="360" w:hanging="360"/>
        <w:sectPr w:rsidR="000E3A1C" w:rsidRPr="005B5E73">
          <w:pgSz w:w="12240" w:h="15840"/>
          <w:pgMar w:top="1440" w:right="1440" w:bottom="1440" w:left="1440" w:header="1440" w:footer="1440" w:gutter="0"/>
          <w:cols w:space="720"/>
          <w:noEndnote/>
        </w:sectPr>
      </w:pPr>
    </w:p>
    <w:p w:rsidR="000E3A1C" w:rsidRPr="005B5E73" w:rsidRDefault="000E3A1C">
      <w:pPr>
        <w:widowControl/>
        <w:tabs>
          <w:tab w:val="left" w:pos="0"/>
        </w:tabs>
        <w:ind w:left="1440" w:hanging="720"/>
      </w:pPr>
      <w:r w:rsidRPr="005B5E73">
        <w:lastRenderedPageBreak/>
        <w:t>2.</w:t>
      </w:r>
      <w:r w:rsidRPr="005B5E73">
        <w:tab/>
      </w:r>
      <w:r w:rsidRPr="005B5E73">
        <w:rPr>
          <w:u w:val="single"/>
        </w:rPr>
        <w:t>Procedures for Collecting Information</w:t>
      </w:r>
    </w:p>
    <w:p w:rsidR="000E3A1C" w:rsidRPr="005B5E73" w:rsidRDefault="000E3A1C">
      <w:pPr>
        <w:widowControl/>
        <w:tabs>
          <w:tab w:val="left" w:pos="0"/>
        </w:tabs>
        <w:ind w:left="1440"/>
      </w:pPr>
    </w:p>
    <w:p w:rsidR="000E3A1C" w:rsidRPr="005B5E73" w:rsidRDefault="000E3A1C">
      <w:pPr>
        <w:widowControl/>
        <w:tabs>
          <w:tab w:val="left" w:pos="0"/>
        </w:tabs>
        <w:ind w:left="2160" w:hanging="720"/>
      </w:pPr>
      <w:r w:rsidRPr="005B5E73">
        <w:t>a.</w:t>
      </w:r>
      <w:r w:rsidRPr="005B5E73">
        <w:tab/>
      </w:r>
      <w:r w:rsidRPr="005B5E73">
        <w:rPr>
          <w:u w:val="single"/>
        </w:rPr>
        <w:t>Statistical Methodology for Stratification and Sample Selection</w:t>
      </w:r>
    </w:p>
    <w:p w:rsidR="000E3A1C" w:rsidRPr="005B5E73" w:rsidRDefault="000E3A1C">
      <w:pPr>
        <w:widowControl/>
        <w:tabs>
          <w:tab w:val="left" w:pos="0"/>
        </w:tabs>
        <w:ind w:left="360" w:hanging="360"/>
      </w:pPr>
    </w:p>
    <w:p w:rsidR="000E3A1C" w:rsidRPr="005B5E73" w:rsidRDefault="000E3A1C">
      <w:pPr>
        <w:widowControl/>
        <w:tabs>
          <w:tab w:val="left" w:pos="0"/>
        </w:tabs>
        <w:ind w:left="2160"/>
      </w:pPr>
      <w:r w:rsidRPr="005B5E73">
        <w:t xml:space="preserve">The Census Bureau’s Business Register (BR) of employer businesses is used to develop the ACES </w:t>
      </w:r>
      <w:r w:rsidR="002D2BA3" w:rsidRPr="005B5E73">
        <w:t xml:space="preserve">employer </w:t>
      </w:r>
      <w:r w:rsidRPr="005B5E73">
        <w:t>sampling frame</w:t>
      </w:r>
      <w:r w:rsidR="002D2BA3" w:rsidRPr="005B5E73">
        <w:t xml:space="preserve">, </w:t>
      </w:r>
      <w:r w:rsidRPr="005B5E73">
        <w:t>Strata I and II.</w:t>
      </w:r>
      <w:r w:rsidR="00F05BE9" w:rsidRPr="005B5E73">
        <w:t xml:space="preserve"> </w:t>
      </w:r>
      <w:r w:rsidRPr="005B5E73">
        <w:t>The BR database contains records for each business entity with paid employees located in the United States, including company ownership information.</w:t>
      </w:r>
      <w:r w:rsidR="00F05BE9" w:rsidRPr="005B5E73">
        <w:t xml:space="preserve"> </w:t>
      </w:r>
      <w:r w:rsidRPr="005B5E73">
        <w:t>In creating the ACES frame, establishment data in the BR are consolidated to create company level records.</w:t>
      </w:r>
      <w:r w:rsidR="00F05BE9" w:rsidRPr="005B5E73">
        <w:t xml:space="preserve"> </w:t>
      </w:r>
      <w:r w:rsidRPr="005B5E73">
        <w:t>Employment and payroll information is maintained for each six-digit NAICS industry in which the company has activity.</w:t>
      </w:r>
      <w:r w:rsidR="00F05BE9" w:rsidRPr="005B5E73">
        <w:t xml:space="preserve"> </w:t>
      </w:r>
      <w:r w:rsidRPr="005B5E73">
        <w:t>Next, payroll data for each company level record is run through an algorithm to assign the company, first to an industry sector (i.e., manufacturing, construction, etc.; two-digit NAICS code), then to a subsector (three-digit NAICS code), then to an industry group (four-digit NAICS code), then to an industry (five-digit NAICS code), and finally to an ACES industry code.</w:t>
      </w:r>
      <w:r w:rsidR="00F05BE9" w:rsidRPr="005B5E73">
        <w:t xml:space="preserve"> </w:t>
      </w:r>
      <w:r w:rsidRPr="005B5E73">
        <w:t xml:space="preserve">The resulting sampling frame contains more than </w:t>
      </w:r>
      <w:r w:rsidR="002D2BA3" w:rsidRPr="005B5E73">
        <w:t>5.6</w:t>
      </w:r>
      <w:r w:rsidRPr="005B5E73">
        <w:t xml:space="preserve"> million companies.    </w:t>
      </w:r>
    </w:p>
    <w:p w:rsidR="000E3A1C" w:rsidRPr="005B5E73" w:rsidRDefault="000E3A1C">
      <w:pPr>
        <w:widowControl/>
        <w:tabs>
          <w:tab w:val="left" w:pos="0"/>
        </w:tabs>
        <w:ind w:left="360" w:hanging="360"/>
      </w:pPr>
    </w:p>
    <w:p w:rsidR="000E3A1C" w:rsidRPr="005B5E73" w:rsidRDefault="000E3A1C">
      <w:pPr>
        <w:widowControl/>
        <w:tabs>
          <w:tab w:val="left" w:pos="0"/>
        </w:tabs>
        <w:ind w:left="2160"/>
      </w:pPr>
      <w:r w:rsidRPr="005B5E73">
        <w:t>The employer sampling frame is divided into five substrata for sampling purposes.</w:t>
      </w:r>
      <w:r w:rsidR="00F05BE9" w:rsidRPr="005B5E73">
        <w:t xml:space="preserve"> </w:t>
      </w:r>
      <w:r w:rsidRPr="005B5E73">
        <w:t xml:space="preserve">Stratum I consists of </w:t>
      </w:r>
      <w:r w:rsidR="00907A98" w:rsidRPr="005B5E73">
        <w:t xml:space="preserve">employer </w:t>
      </w:r>
      <w:r w:rsidRPr="005B5E73">
        <w:t>companies with 500 employees or more.</w:t>
      </w:r>
      <w:r w:rsidR="00F05BE9" w:rsidRPr="005B5E73">
        <w:t xml:space="preserve"> </w:t>
      </w:r>
      <w:r w:rsidRPr="005B5E73">
        <w:t xml:space="preserve">All </w:t>
      </w:r>
      <w:r w:rsidR="004034C4" w:rsidRPr="005B5E73">
        <w:t xml:space="preserve">17,100 </w:t>
      </w:r>
      <w:r w:rsidRPr="005B5E73">
        <w:t>companies in Stratum I are selected</w:t>
      </w:r>
      <w:r w:rsidR="002D2BA3" w:rsidRPr="005B5E73">
        <w:t>, or taken</w:t>
      </w:r>
      <w:r w:rsidRPr="005B5E73">
        <w:t xml:space="preserve"> with certainty</w:t>
      </w:r>
      <w:r w:rsidR="002D2BA3" w:rsidRPr="005B5E73">
        <w:t>,</w:t>
      </w:r>
      <w:r w:rsidRPr="005B5E73">
        <w:t xml:space="preserve"> in the sample.</w:t>
      </w:r>
    </w:p>
    <w:p w:rsidR="000E3A1C" w:rsidRPr="005B5E73" w:rsidRDefault="000E3A1C">
      <w:pPr>
        <w:widowControl/>
        <w:tabs>
          <w:tab w:val="left" w:pos="0"/>
        </w:tabs>
        <w:ind w:left="360" w:firstLine="3240"/>
      </w:pPr>
    </w:p>
    <w:p w:rsidR="000E3A1C" w:rsidRPr="005B5E73" w:rsidRDefault="000E3A1C">
      <w:pPr>
        <w:widowControl/>
        <w:tabs>
          <w:tab w:val="left" w:pos="0"/>
        </w:tabs>
        <w:ind w:left="2160"/>
      </w:pPr>
      <w:r w:rsidRPr="005B5E73">
        <w:t xml:space="preserve">Stratum II consists of </w:t>
      </w:r>
      <w:r w:rsidR="00907A98" w:rsidRPr="005B5E73">
        <w:t xml:space="preserve">employer </w:t>
      </w:r>
      <w:r w:rsidRPr="005B5E73">
        <w:t>companies with 1 to 499 employees.</w:t>
      </w:r>
      <w:r w:rsidR="00F05BE9" w:rsidRPr="005B5E73">
        <w:t xml:space="preserve"> </w:t>
      </w:r>
      <w:r w:rsidRPr="005B5E73">
        <w:t>Each company in this non-certainty sampling frame is assigned to one of four substrata based on ACES industry and size of payroll.</w:t>
      </w:r>
      <w:r w:rsidR="00F05BE9" w:rsidRPr="005B5E73">
        <w:t xml:space="preserve"> </w:t>
      </w:r>
      <w:r w:rsidRPr="005B5E73">
        <w:t>The stratification methodology we use minimizes the sample size subject to a desired level of reliability for each ACES industry.</w:t>
      </w:r>
      <w:r w:rsidR="00F05BE9" w:rsidRPr="005B5E73">
        <w:t xml:space="preserve"> </w:t>
      </w:r>
      <w:r w:rsidRPr="005B5E73">
        <w:t xml:space="preserve">Approximately </w:t>
      </w:r>
      <w:r w:rsidR="00E777DB" w:rsidRPr="005B5E73">
        <w:t xml:space="preserve">27,900 </w:t>
      </w:r>
      <w:r w:rsidRPr="005B5E73">
        <w:t xml:space="preserve">out of </w:t>
      </w:r>
      <w:r w:rsidR="00E777DB" w:rsidRPr="005B5E73">
        <w:t xml:space="preserve">5.6 </w:t>
      </w:r>
      <w:r w:rsidRPr="005B5E73">
        <w:t>million companies are selected in Stratum II.</w:t>
      </w:r>
      <w:r w:rsidR="00F05BE9" w:rsidRPr="005B5E73">
        <w:t xml:space="preserve"> </w:t>
      </w:r>
      <w:r w:rsidRPr="005B5E73">
        <w:t>Since capital expenditures data are not available in the sampling frame, the reliability levels for estimates in each industry are based on payroll and have an expected relative standard error ranging from 1 to 3 percent</w:t>
      </w:r>
      <w:r w:rsidR="00907A98" w:rsidRPr="005B5E73">
        <w:t xml:space="preserve"> for sampling design purposes. </w:t>
      </w:r>
    </w:p>
    <w:p w:rsidR="000E3A1C" w:rsidRPr="005B5E73" w:rsidRDefault="000E3A1C">
      <w:pPr>
        <w:widowControl/>
        <w:tabs>
          <w:tab w:val="left" w:pos="0"/>
        </w:tabs>
        <w:ind w:left="360" w:hanging="360"/>
      </w:pPr>
    </w:p>
    <w:p w:rsidR="000E3A1C" w:rsidRPr="005B5E73" w:rsidRDefault="000E3A1C">
      <w:pPr>
        <w:widowControl/>
        <w:tabs>
          <w:tab w:val="left" w:pos="0"/>
        </w:tabs>
        <w:ind w:left="2160"/>
      </w:pPr>
      <w:r w:rsidRPr="005B5E73">
        <w:t>The nonemployer companies are selected from a database of business tax returns contained in the BR.</w:t>
      </w:r>
      <w:r w:rsidR="00F05BE9" w:rsidRPr="005B5E73">
        <w:t xml:space="preserve"> </w:t>
      </w:r>
      <w:r w:rsidRPr="005B5E73">
        <w:t>These companies are selected using a simple random sample.</w:t>
      </w:r>
      <w:r w:rsidR="00F05BE9" w:rsidRPr="005B5E73">
        <w:t xml:space="preserve"> </w:t>
      </w:r>
      <w:r w:rsidRPr="005B5E73">
        <w:t xml:space="preserve">Approximately 30,000 out of a universe of </w:t>
      </w:r>
      <w:r w:rsidR="00E777DB" w:rsidRPr="005B5E73">
        <w:t xml:space="preserve">30.3 </w:t>
      </w:r>
      <w:r w:rsidRPr="005B5E73">
        <w:t>million companies are selected in Stratum III.</w:t>
      </w:r>
    </w:p>
    <w:p w:rsidR="000E3A1C" w:rsidRPr="005B5E73" w:rsidRDefault="000E3A1C">
      <w:pPr>
        <w:widowControl/>
        <w:tabs>
          <w:tab w:val="left" w:pos="0"/>
        </w:tabs>
        <w:ind w:left="360" w:hanging="360"/>
      </w:pPr>
    </w:p>
    <w:p w:rsidR="000E3A1C" w:rsidRPr="005B5E73" w:rsidRDefault="000E3A1C">
      <w:pPr>
        <w:widowControl/>
        <w:tabs>
          <w:tab w:val="left" w:pos="0"/>
        </w:tabs>
        <w:ind w:left="2160" w:hanging="720"/>
      </w:pPr>
      <w:r w:rsidRPr="005B5E73">
        <w:t>b.</w:t>
      </w:r>
      <w:r w:rsidRPr="005B5E73">
        <w:tab/>
      </w:r>
      <w:r w:rsidRPr="005B5E73">
        <w:rPr>
          <w:u w:val="single"/>
        </w:rPr>
        <w:t>Estimation Procedures</w:t>
      </w:r>
    </w:p>
    <w:p w:rsidR="000E3A1C" w:rsidRPr="005B5E73" w:rsidRDefault="000E3A1C">
      <w:pPr>
        <w:widowControl/>
        <w:tabs>
          <w:tab w:val="left" w:pos="0"/>
        </w:tabs>
        <w:ind w:left="360" w:hanging="360"/>
      </w:pPr>
    </w:p>
    <w:p w:rsidR="000E3A1C" w:rsidRPr="005B5E73" w:rsidRDefault="000E3A1C">
      <w:pPr>
        <w:widowControl/>
        <w:tabs>
          <w:tab w:val="left" w:pos="0"/>
        </w:tabs>
        <w:ind w:left="360" w:hanging="360"/>
        <w:sectPr w:rsidR="000E3A1C" w:rsidRPr="005B5E73">
          <w:headerReference w:type="default" r:id="rId8"/>
          <w:type w:val="continuous"/>
          <w:pgSz w:w="12240" w:h="15840"/>
          <w:pgMar w:top="1440" w:right="1440" w:bottom="1440" w:left="1440" w:header="1440" w:footer="1440" w:gutter="0"/>
          <w:cols w:space="720"/>
          <w:noEndnote/>
        </w:sectPr>
      </w:pPr>
    </w:p>
    <w:p w:rsidR="000E3A1C" w:rsidRPr="005B5E73" w:rsidRDefault="000E3A1C">
      <w:pPr>
        <w:widowControl/>
        <w:tabs>
          <w:tab w:val="left" w:pos="0"/>
        </w:tabs>
        <w:ind w:left="2160"/>
      </w:pPr>
      <w:r w:rsidRPr="005B5E73">
        <w:lastRenderedPageBreak/>
        <w:t xml:space="preserve">Since employer companies (Strata I and II) participating in the ACES can respond in all industries in which they have activity, we generate estimates for each industry-by-stratum cell using a domains of study type estimator. Variances are calculated using a delete-a-group jackknife replicate variance </w:t>
      </w:r>
      <w:r w:rsidRPr="005B5E73">
        <w:lastRenderedPageBreak/>
        <w:t>estimator</w:t>
      </w:r>
      <w:r w:rsidR="00FF06DE" w:rsidRPr="005B5E73">
        <w:t xml:space="preserve"> </w:t>
      </w:r>
      <w:r w:rsidRPr="005B5E73">
        <w:t xml:space="preserve">Non-employer companies (Stratum III) participating in the ACES </w:t>
      </w:r>
      <w:proofErr w:type="gramStart"/>
      <w:r w:rsidRPr="005B5E73">
        <w:t>respond</w:t>
      </w:r>
      <w:proofErr w:type="gramEnd"/>
      <w:r w:rsidR="00F05BE9" w:rsidRPr="005B5E73">
        <w:t xml:space="preserve"> </w:t>
      </w:r>
      <w:r w:rsidRPr="005B5E73">
        <w:t>for the company as a whole and do not provide industry detail</w:t>
      </w:r>
      <w:r w:rsidR="005F1624" w:rsidRPr="005B5E73">
        <w:t xml:space="preserve">.  </w:t>
      </w:r>
      <w:r w:rsidRPr="005B5E73">
        <w:t>Estimates for non-employer companies are made using a simple weighted estimate at the substratum level that is then aggregated to achieve a Stratum III level estimate.</w:t>
      </w:r>
      <w:r w:rsidR="00F05BE9" w:rsidRPr="005B5E73">
        <w:t xml:space="preserve"> </w:t>
      </w:r>
      <w:r w:rsidRPr="005B5E73">
        <w:t>Estimates for non-employer companies are made at the national aggregate level only (i.e., no industry level detail).</w:t>
      </w:r>
    </w:p>
    <w:p w:rsidR="00C4495E" w:rsidRPr="005B5E73" w:rsidRDefault="00C4495E" w:rsidP="00C4495E">
      <w:pPr>
        <w:widowControl/>
        <w:tabs>
          <w:tab w:val="left" w:pos="0"/>
        </w:tabs>
      </w:pPr>
    </w:p>
    <w:p w:rsidR="000E3A1C" w:rsidRPr="005B5E73" w:rsidRDefault="00C4495E" w:rsidP="00C4495E">
      <w:pPr>
        <w:widowControl/>
        <w:tabs>
          <w:tab w:val="left" w:pos="0"/>
        </w:tabs>
      </w:pPr>
      <w:r w:rsidRPr="005B5E73">
        <w:tab/>
      </w:r>
      <w:r w:rsidRPr="005B5E73">
        <w:tab/>
      </w:r>
      <w:r w:rsidR="000E3A1C" w:rsidRPr="005B5E73">
        <w:t>c.</w:t>
      </w:r>
      <w:r w:rsidR="000E3A1C" w:rsidRPr="005B5E73">
        <w:tab/>
      </w:r>
      <w:r w:rsidR="000E3A1C" w:rsidRPr="005B5E73">
        <w:rPr>
          <w:u w:val="single"/>
        </w:rPr>
        <w:t>Degree of Accuracy Needed</w:t>
      </w:r>
    </w:p>
    <w:p w:rsidR="000E3A1C" w:rsidRPr="005B5E73" w:rsidRDefault="000E3A1C">
      <w:pPr>
        <w:widowControl/>
        <w:tabs>
          <w:tab w:val="left" w:pos="0"/>
        </w:tabs>
        <w:ind w:left="360" w:hanging="360"/>
      </w:pPr>
    </w:p>
    <w:p w:rsidR="000E3A1C" w:rsidRPr="005B5E73" w:rsidRDefault="000E3A1C">
      <w:pPr>
        <w:widowControl/>
        <w:tabs>
          <w:tab w:val="left" w:pos="0"/>
        </w:tabs>
        <w:ind w:left="2160"/>
      </w:pPr>
      <w:r w:rsidRPr="005B5E73">
        <w:t>The annual survey serves as a benchmark for current economic indicators and provides data to refine estimates for the national income and product accounts.</w:t>
      </w:r>
      <w:r w:rsidR="00F05BE9" w:rsidRPr="005B5E73">
        <w:t xml:space="preserve"> </w:t>
      </w:r>
      <w:r w:rsidRPr="005B5E73">
        <w:t>These data uses require a high degree of reliability.</w:t>
      </w:r>
      <w:r w:rsidR="00F05BE9" w:rsidRPr="005B5E73">
        <w:t xml:space="preserve"> </w:t>
      </w:r>
      <w:r w:rsidRPr="005B5E73">
        <w:t xml:space="preserve">The sample allocation is designed for minimum sampling variability by selecting high proportions of companies in strata thought to contribute the largest capital expenditures.  </w:t>
      </w:r>
    </w:p>
    <w:p w:rsidR="00C4495E" w:rsidRPr="005B5E73" w:rsidRDefault="00C4495E" w:rsidP="00C4495E">
      <w:pPr>
        <w:widowControl/>
        <w:tabs>
          <w:tab w:val="left" w:pos="0"/>
        </w:tabs>
      </w:pPr>
    </w:p>
    <w:p w:rsidR="000E3A1C" w:rsidRPr="005B5E73" w:rsidRDefault="00C4495E" w:rsidP="00C4495E">
      <w:pPr>
        <w:widowControl/>
        <w:tabs>
          <w:tab w:val="left" w:pos="0"/>
        </w:tabs>
      </w:pPr>
      <w:r w:rsidRPr="005B5E73">
        <w:tab/>
      </w:r>
      <w:r w:rsidRPr="005B5E73">
        <w:tab/>
      </w:r>
      <w:r w:rsidR="000E3A1C" w:rsidRPr="005B5E73">
        <w:t>d.</w:t>
      </w:r>
      <w:r w:rsidR="000E3A1C" w:rsidRPr="005B5E73">
        <w:tab/>
      </w:r>
      <w:r w:rsidR="000E3A1C" w:rsidRPr="005B5E73">
        <w:rPr>
          <w:u w:val="single"/>
        </w:rPr>
        <w:t>Unusual Problems</w:t>
      </w:r>
      <w:r w:rsidRPr="005B5E73">
        <w:rPr>
          <w:u w:val="single"/>
        </w:rPr>
        <w:t xml:space="preserve"> Requiring Specialized Sampling </w:t>
      </w:r>
      <w:r w:rsidR="00972076" w:rsidRPr="005B5E73">
        <w:rPr>
          <w:u w:val="single"/>
        </w:rPr>
        <w:t>P</w:t>
      </w:r>
      <w:r w:rsidR="000E3A1C" w:rsidRPr="005B5E73">
        <w:rPr>
          <w:u w:val="single"/>
        </w:rPr>
        <w:t>rocedures</w:t>
      </w:r>
    </w:p>
    <w:p w:rsidR="000E3A1C" w:rsidRPr="005B5E73" w:rsidRDefault="000E3A1C">
      <w:pPr>
        <w:widowControl/>
        <w:tabs>
          <w:tab w:val="left" w:pos="0"/>
        </w:tabs>
        <w:ind w:left="360" w:hanging="360"/>
      </w:pPr>
    </w:p>
    <w:p w:rsidR="000E3A1C" w:rsidRPr="005B5E73" w:rsidRDefault="000E3A1C">
      <w:pPr>
        <w:widowControl/>
        <w:tabs>
          <w:tab w:val="left" w:pos="0"/>
        </w:tabs>
        <w:ind w:left="2160"/>
      </w:pPr>
      <w:r w:rsidRPr="005B5E73">
        <w:t>There are no unusual problems requiring specialized sampling procedures.</w:t>
      </w:r>
    </w:p>
    <w:p w:rsidR="000E3A1C" w:rsidRPr="005B5E73" w:rsidRDefault="000E3A1C">
      <w:pPr>
        <w:widowControl/>
        <w:tabs>
          <w:tab w:val="left" w:pos="0"/>
        </w:tabs>
        <w:ind w:left="360" w:firstLine="1800"/>
      </w:pPr>
    </w:p>
    <w:p w:rsidR="000E3A1C" w:rsidRPr="005B5E73" w:rsidRDefault="000E3A1C">
      <w:pPr>
        <w:widowControl/>
        <w:tabs>
          <w:tab w:val="left" w:pos="0"/>
        </w:tabs>
        <w:ind w:left="2160" w:hanging="720"/>
      </w:pPr>
      <w:r w:rsidRPr="005B5E73">
        <w:t>e.</w:t>
      </w:r>
      <w:r w:rsidRPr="005B5E73">
        <w:tab/>
      </w:r>
      <w:r w:rsidRPr="005B5E73">
        <w:rPr>
          <w:u w:val="single"/>
        </w:rPr>
        <w:t>Use of Periodic (less than annual) Data Collection Cycles to Reduce Burden</w:t>
      </w:r>
    </w:p>
    <w:p w:rsidR="000E3A1C" w:rsidRPr="005B5E73" w:rsidRDefault="000E3A1C">
      <w:pPr>
        <w:widowControl/>
        <w:tabs>
          <w:tab w:val="left" w:pos="0"/>
        </w:tabs>
        <w:ind w:left="360" w:hanging="360"/>
      </w:pPr>
    </w:p>
    <w:p w:rsidR="000E3A1C" w:rsidRPr="005B5E73" w:rsidRDefault="000E3A1C">
      <w:pPr>
        <w:widowControl/>
        <w:tabs>
          <w:tab w:val="left" w:pos="0"/>
        </w:tabs>
        <w:ind w:left="2160"/>
      </w:pPr>
      <w:r w:rsidRPr="005B5E73">
        <w:t>There are no periodic data collection cycles less frequent than annual to reduce burden.</w:t>
      </w:r>
    </w:p>
    <w:p w:rsidR="000E3A1C" w:rsidRPr="005B5E73" w:rsidRDefault="000E3A1C">
      <w:pPr>
        <w:widowControl/>
        <w:tabs>
          <w:tab w:val="left" w:pos="0"/>
        </w:tabs>
        <w:ind w:left="360" w:firstLine="1800"/>
      </w:pPr>
    </w:p>
    <w:p w:rsidR="000E3A1C" w:rsidRPr="005B5E73" w:rsidRDefault="000E3A1C">
      <w:pPr>
        <w:widowControl/>
        <w:tabs>
          <w:tab w:val="left" w:pos="0"/>
        </w:tabs>
        <w:ind w:left="360" w:firstLine="360"/>
      </w:pPr>
      <w:r w:rsidRPr="005B5E73">
        <w:t>3.</w:t>
      </w:r>
      <w:r w:rsidRPr="005B5E73">
        <w:tab/>
      </w:r>
      <w:r w:rsidRPr="005B5E73">
        <w:rPr>
          <w:u w:val="single"/>
        </w:rPr>
        <w:t>Methods to Maximize Response and Accounting for Nonresponse</w:t>
      </w:r>
    </w:p>
    <w:p w:rsidR="000E3A1C" w:rsidRPr="005B5E73" w:rsidRDefault="000E3A1C">
      <w:pPr>
        <w:widowControl/>
        <w:tabs>
          <w:tab w:val="left" w:pos="0"/>
        </w:tabs>
        <w:ind w:left="360" w:hanging="360"/>
      </w:pPr>
    </w:p>
    <w:p w:rsidR="000E3A1C" w:rsidRPr="005B5E73" w:rsidRDefault="000E3A1C">
      <w:pPr>
        <w:widowControl/>
        <w:tabs>
          <w:tab w:val="left" w:pos="0"/>
        </w:tabs>
        <w:ind w:left="2160" w:hanging="720"/>
      </w:pPr>
      <w:r w:rsidRPr="005B5E73">
        <w:t>a.</w:t>
      </w:r>
      <w:r w:rsidRPr="005B5E73">
        <w:tab/>
      </w:r>
      <w:r w:rsidRPr="005B5E73">
        <w:rPr>
          <w:u w:val="single"/>
        </w:rPr>
        <w:t>Follow-up Procedures</w:t>
      </w:r>
    </w:p>
    <w:p w:rsidR="000E3A1C" w:rsidRPr="005B5E73" w:rsidRDefault="000E3A1C">
      <w:pPr>
        <w:widowControl/>
        <w:tabs>
          <w:tab w:val="left" w:pos="0"/>
        </w:tabs>
        <w:ind w:left="360" w:hanging="360"/>
      </w:pPr>
    </w:p>
    <w:p w:rsidR="000E3A1C" w:rsidRPr="005B5E73" w:rsidRDefault="000E3A1C">
      <w:pPr>
        <w:widowControl/>
        <w:tabs>
          <w:tab w:val="left" w:pos="0"/>
        </w:tabs>
        <w:ind w:left="2160"/>
      </w:pPr>
      <w:r w:rsidRPr="005B5E73">
        <w:t>We request that all companies return the ACES survey form by April 15, approximately 30 days following the initial mailing.</w:t>
      </w:r>
      <w:r w:rsidR="00F05BE9" w:rsidRPr="005B5E73">
        <w:t xml:space="preserve"> </w:t>
      </w:r>
      <w:r w:rsidRPr="005B5E73">
        <w:t>On or about May 8 and at 40-day intervals, companies that have not responded will receive either a letter and duplicate form or a telephone call according to the following pattern.</w:t>
      </w:r>
    </w:p>
    <w:p w:rsidR="000E3A1C" w:rsidRPr="005B5E73" w:rsidRDefault="00316721" w:rsidP="00316721">
      <w:pPr>
        <w:widowControl/>
        <w:tabs>
          <w:tab w:val="left" w:pos="0"/>
        </w:tabs>
      </w:pPr>
      <w:r w:rsidRPr="005B5E73">
        <w:tab/>
      </w:r>
      <w:r w:rsidRPr="005B5E73">
        <w:tab/>
      </w:r>
      <w:r w:rsidR="000E3A1C" w:rsidRPr="005B5E73">
        <w:t xml:space="preserve">                              Follow-Up Pattern</w:t>
      </w:r>
    </w:p>
    <w:p w:rsidR="000E3A1C" w:rsidRPr="005B5E73" w:rsidRDefault="000E3A1C">
      <w:pPr>
        <w:widowControl/>
        <w:tabs>
          <w:tab w:val="left" w:pos="0"/>
        </w:tabs>
        <w:ind w:left="360" w:firstLine="1800"/>
      </w:pPr>
    </w:p>
    <w:tbl>
      <w:tblPr>
        <w:tblW w:w="0" w:type="auto"/>
        <w:tblInd w:w="2280" w:type="dxa"/>
        <w:tblCellMar>
          <w:left w:w="120" w:type="dxa"/>
          <w:right w:w="120" w:type="dxa"/>
        </w:tblCellMar>
        <w:tblLook w:val="0000" w:firstRow="0" w:lastRow="0" w:firstColumn="0" w:lastColumn="0" w:noHBand="0" w:noVBand="0"/>
      </w:tblPr>
      <w:tblGrid>
        <w:gridCol w:w="1689"/>
        <w:gridCol w:w="1729"/>
        <w:gridCol w:w="1892"/>
        <w:gridCol w:w="1710"/>
      </w:tblGrid>
      <w:tr w:rsidR="00CE3280" w:rsidRPr="005B5E73" w:rsidTr="004E6E02">
        <w:trPr>
          <w:trHeight w:val="20"/>
        </w:trPr>
        <w:tc>
          <w:tcPr>
            <w:tcW w:w="1689" w:type="dxa"/>
            <w:tcBorders>
              <w:top w:val="double" w:sz="7" w:space="0" w:color="000000"/>
              <w:left w:val="double" w:sz="7" w:space="0" w:color="000000"/>
              <w:bottom w:val="single" w:sz="7" w:space="0" w:color="000000"/>
              <w:right w:val="single" w:sz="7" w:space="0" w:color="000000"/>
            </w:tcBorders>
            <w:vAlign w:val="center"/>
          </w:tcPr>
          <w:p w:rsidR="00B60FB6" w:rsidRPr="005B5E73" w:rsidRDefault="00B60FB6"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3"/>
                <w:szCs w:val="23"/>
              </w:rPr>
            </w:pPr>
            <w:r w:rsidRPr="005B5E73">
              <w:rPr>
                <w:sz w:val="23"/>
                <w:szCs w:val="23"/>
              </w:rPr>
              <w:t>40-day Interval</w:t>
            </w:r>
          </w:p>
          <w:p w:rsidR="00B60FB6" w:rsidRPr="005B5E73" w:rsidRDefault="00B60FB6"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3"/>
                <w:szCs w:val="23"/>
              </w:rPr>
            </w:pPr>
            <w:r w:rsidRPr="005B5E73">
              <w:rPr>
                <w:sz w:val="23"/>
                <w:szCs w:val="23"/>
              </w:rPr>
              <w:t xml:space="preserve">  Following</w:t>
            </w:r>
          </w:p>
          <w:p w:rsidR="000E3A1C" w:rsidRPr="005B5E73" w:rsidRDefault="00B60FB6"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3"/>
                <w:szCs w:val="23"/>
              </w:rPr>
            </w:pPr>
            <w:r w:rsidRPr="005B5E73">
              <w:rPr>
                <w:sz w:val="23"/>
                <w:szCs w:val="23"/>
              </w:rPr>
              <w:t xml:space="preserve"> Initial </w:t>
            </w:r>
            <w:r w:rsidR="004E6E02" w:rsidRPr="005B5E73">
              <w:rPr>
                <w:sz w:val="23"/>
                <w:szCs w:val="23"/>
              </w:rPr>
              <w:t>m</w:t>
            </w:r>
            <w:r w:rsidRPr="005B5E73">
              <w:rPr>
                <w:sz w:val="23"/>
                <w:szCs w:val="23"/>
              </w:rPr>
              <w:t>ailing</w:t>
            </w:r>
          </w:p>
        </w:tc>
        <w:tc>
          <w:tcPr>
            <w:tcW w:w="1729" w:type="dxa"/>
            <w:tcBorders>
              <w:top w:val="double" w:sz="7" w:space="0" w:color="000000"/>
              <w:left w:val="single" w:sz="7" w:space="0" w:color="000000"/>
              <w:bottom w:val="single" w:sz="7" w:space="0" w:color="000000"/>
              <w:right w:val="single" w:sz="7" w:space="0" w:color="000000"/>
            </w:tcBorders>
            <w:vAlign w:val="center"/>
          </w:tcPr>
          <w:p w:rsidR="000E3A1C" w:rsidRPr="005B5E73" w:rsidRDefault="000E3A1C"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3"/>
                <w:szCs w:val="23"/>
              </w:rPr>
            </w:pPr>
            <w:r w:rsidRPr="005B5E73">
              <w:rPr>
                <w:sz w:val="23"/>
                <w:szCs w:val="23"/>
              </w:rPr>
              <w:t>Stratum I</w:t>
            </w:r>
          </w:p>
          <w:p w:rsidR="000E3A1C" w:rsidRPr="005B5E73" w:rsidRDefault="000E3A1C"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jc w:val="center"/>
              <w:rPr>
                <w:sz w:val="23"/>
                <w:szCs w:val="23"/>
              </w:rPr>
            </w:pPr>
            <w:r w:rsidRPr="005B5E73">
              <w:rPr>
                <w:sz w:val="23"/>
                <w:szCs w:val="23"/>
              </w:rPr>
              <w:t>companies</w:t>
            </w:r>
          </w:p>
        </w:tc>
        <w:tc>
          <w:tcPr>
            <w:tcW w:w="1892" w:type="dxa"/>
            <w:tcBorders>
              <w:top w:val="double" w:sz="7" w:space="0" w:color="000000"/>
              <w:left w:val="single" w:sz="7" w:space="0" w:color="000000"/>
              <w:bottom w:val="single" w:sz="7" w:space="0" w:color="000000"/>
              <w:right w:val="single" w:sz="7" w:space="0" w:color="000000"/>
            </w:tcBorders>
            <w:vAlign w:val="center"/>
          </w:tcPr>
          <w:p w:rsidR="000E3A1C" w:rsidRPr="005B5E73" w:rsidRDefault="000E3A1C" w:rsidP="00B60FB6">
            <w:pPr>
              <w:spacing w:line="120" w:lineRule="exact"/>
              <w:jc w:val="center"/>
              <w:rPr>
                <w:sz w:val="23"/>
                <w:szCs w:val="23"/>
              </w:rPr>
            </w:pPr>
          </w:p>
          <w:p w:rsidR="000E3A1C" w:rsidRPr="005B5E73" w:rsidRDefault="000E3A1C"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3"/>
                <w:szCs w:val="23"/>
              </w:rPr>
            </w:pPr>
            <w:r w:rsidRPr="005B5E73">
              <w:rPr>
                <w:sz w:val="23"/>
                <w:szCs w:val="23"/>
              </w:rPr>
              <w:t>Stratum II</w:t>
            </w:r>
          </w:p>
          <w:p w:rsidR="000E3A1C" w:rsidRPr="005B5E73" w:rsidRDefault="000E3A1C"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jc w:val="center"/>
              <w:rPr>
                <w:sz w:val="23"/>
                <w:szCs w:val="23"/>
              </w:rPr>
            </w:pPr>
            <w:r w:rsidRPr="005B5E73">
              <w:rPr>
                <w:sz w:val="23"/>
                <w:szCs w:val="23"/>
              </w:rPr>
              <w:t>companies</w:t>
            </w:r>
          </w:p>
        </w:tc>
        <w:tc>
          <w:tcPr>
            <w:tcW w:w="1710" w:type="dxa"/>
            <w:tcBorders>
              <w:top w:val="double" w:sz="7" w:space="0" w:color="000000"/>
              <w:left w:val="single" w:sz="7" w:space="0" w:color="000000"/>
              <w:bottom w:val="single" w:sz="7" w:space="0" w:color="000000"/>
              <w:right w:val="double" w:sz="7" w:space="0" w:color="000000"/>
            </w:tcBorders>
            <w:vAlign w:val="center"/>
          </w:tcPr>
          <w:p w:rsidR="0055188C" w:rsidRPr="005B5E73" w:rsidRDefault="0055188C"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3"/>
                <w:szCs w:val="23"/>
              </w:rPr>
            </w:pPr>
            <w:r w:rsidRPr="005B5E73">
              <w:rPr>
                <w:sz w:val="23"/>
                <w:szCs w:val="23"/>
              </w:rPr>
              <w:t>Stratum III</w:t>
            </w:r>
          </w:p>
          <w:p w:rsidR="000E3A1C" w:rsidRPr="005B5E73" w:rsidRDefault="000E3A1C"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3"/>
                <w:szCs w:val="23"/>
              </w:rPr>
            </w:pPr>
            <w:r w:rsidRPr="005B5E73">
              <w:rPr>
                <w:sz w:val="23"/>
                <w:szCs w:val="23"/>
              </w:rPr>
              <w:t>companies</w:t>
            </w:r>
          </w:p>
        </w:tc>
      </w:tr>
      <w:tr w:rsidR="00CE3280" w:rsidRPr="005B5E73" w:rsidTr="004E6E02">
        <w:trPr>
          <w:trHeight w:val="415"/>
        </w:trPr>
        <w:tc>
          <w:tcPr>
            <w:tcW w:w="1689" w:type="dxa"/>
            <w:tcBorders>
              <w:top w:val="single" w:sz="7" w:space="0" w:color="000000"/>
              <w:left w:val="double" w:sz="7" w:space="0" w:color="000000"/>
              <w:bottom w:val="single" w:sz="7" w:space="0" w:color="000000"/>
              <w:right w:val="single" w:sz="7" w:space="0" w:color="000000"/>
            </w:tcBorders>
            <w:vAlign w:val="center"/>
          </w:tcPr>
          <w:p w:rsidR="000E3A1C" w:rsidRPr="005B5E73" w:rsidRDefault="000E3A1C"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jc w:val="center"/>
              <w:rPr>
                <w:sz w:val="23"/>
                <w:szCs w:val="23"/>
              </w:rPr>
            </w:pPr>
            <w:r w:rsidRPr="005B5E73">
              <w:rPr>
                <w:sz w:val="23"/>
                <w:szCs w:val="23"/>
              </w:rPr>
              <w:t>First</w:t>
            </w:r>
          </w:p>
        </w:tc>
        <w:tc>
          <w:tcPr>
            <w:tcW w:w="1729" w:type="dxa"/>
            <w:tcBorders>
              <w:top w:val="single" w:sz="7" w:space="0" w:color="000000"/>
              <w:left w:val="single" w:sz="7" w:space="0" w:color="000000"/>
              <w:bottom w:val="single" w:sz="7" w:space="0" w:color="000000"/>
              <w:right w:val="single" w:sz="7" w:space="0" w:color="000000"/>
            </w:tcBorders>
            <w:vAlign w:val="center"/>
          </w:tcPr>
          <w:p w:rsidR="000E3A1C" w:rsidRPr="005B5E73" w:rsidRDefault="00CE3280" w:rsidP="00CE3280">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jc w:val="center"/>
              <w:rPr>
                <w:sz w:val="23"/>
                <w:szCs w:val="23"/>
              </w:rPr>
            </w:pPr>
            <w:r w:rsidRPr="005B5E73">
              <w:rPr>
                <w:sz w:val="23"/>
                <w:szCs w:val="23"/>
              </w:rPr>
              <w:t xml:space="preserve">Reminder </w:t>
            </w:r>
            <w:r w:rsidR="000E3A1C" w:rsidRPr="005B5E73">
              <w:rPr>
                <w:sz w:val="23"/>
                <w:szCs w:val="23"/>
              </w:rPr>
              <w:t>Letter</w:t>
            </w:r>
            <w:r w:rsidRPr="005B5E73">
              <w:rPr>
                <w:sz w:val="23"/>
                <w:szCs w:val="23"/>
              </w:rPr>
              <w:t xml:space="preserve"> only</w:t>
            </w:r>
          </w:p>
        </w:tc>
        <w:tc>
          <w:tcPr>
            <w:tcW w:w="1892" w:type="dxa"/>
            <w:tcBorders>
              <w:top w:val="single" w:sz="7" w:space="0" w:color="000000"/>
              <w:left w:val="single" w:sz="7" w:space="0" w:color="000000"/>
              <w:bottom w:val="single" w:sz="7" w:space="0" w:color="000000"/>
              <w:right w:val="single" w:sz="7" w:space="0" w:color="000000"/>
            </w:tcBorders>
            <w:vAlign w:val="center"/>
          </w:tcPr>
          <w:p w:rsidR="000E3A1C" w:rsidRPr="005B5E73" w:rsidRDefault="00CE3280" w:rsidP="00CE3280">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jc w:val="center"/>
              <w:rPr>
                <w:sz w:val="23"/>
                <w:szCs w:val="23"/>
              </w:rPr>
            </w:pPr>
            <w:r w:rsidRPr="005B5E73">
              <w:rPr>
                <w:sz w:val="23"/>
                <w:szCs w:val="23"/>
              </w:rPr>
              <w:t xml:space="preserve">Reminder Letter only </w:t>
            </w:r>
          </w:p>
        </w:tc>
        <w:tc>
          <w:tcPr>
            <w:tcW w:w="1710" w:type="dxa"/>
            <w:tcBorders>
              <w:top w:val="single" w:sz="7" w:space="0" w:color="000000"/>
              <w:left w:val="single" w:sz="7" w:space="0" w:color="000000"/>
              <w:bottom w:val="single" w:sz="7" w:space="0" w:color="000000"/>
              <w:right w:val="double" w:sz="7" w:space="0" w:color="000000"/>
            </w:tcBorders>
            <w:vAlign w:val="center"/>
          </w:tcPr>
          <w:p w:rsidR="000E3A1C" w:rsidRPr="005B5E73" w:rsidRDefault="000E3A1C"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jc w:val="center"/>
              <w:rPr>
                <w:sz w:val="23"/>
                <w:szCs w:val="23"/>
              </w:rPr>
            </w:pPr>
            <w:r w:rsidRPr="005B5E73">
              <w:rPr>
                <w:sz w:val="23"/>
                <w:szCs w:val="23"/>
              </w:rPr>
              <w:t>Letter</w:t>
            </w:r>
            <w:r w:rsidR="00CE3280" w:rsidRPr="005B5E73">
              <w:rPr>
                <w:sz w:val="23"/>
                <w:szCs w:val="23"/>
              </w:rPr>
              <w:t xml:space="preserve"> and duplicate form</w:t>
            </w:r>
          </w:p>
        </w:tc>
      </w:tr>
      <w:tr w:rsidR="00CE3280" w:rsidRPr="005B5E73" w:rsidTr="004E6E02">
        <w:trPr>
          <w:trHeight w:val="20"/>
        </w:trPr>
        <w:tc>
          <w:tcPr>
            <w:tcW w:w="1689" w:type="dxa"/>
            <w:tcBorders>
              <w:top w:val="single" w:sz="7" w:space="0" w:color="000000"/>
              <w:left w:val="double" w:sz="7" w:space="0" w:color="000000"/>
              <w:bottom w:val="single" w:sz="7" w:space="0" w:color="000000"/>
              <w:right w:val="single" w:sz="7" w:space="0" w:color="000000"/>
            </w:tcBorders>
            <w:vAlign w:val="center"/>
          </w:tcPr>
          <w:p w:rsidR="00CE3280" w:rsidRPr="005B5E73" w:rsidRDefault="00CE3280"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jc w:val="center"/>
              <w:rPr>
                <w:sz w:val="23"/>
                <w:szCs w:val="23"/>
              </w:rPr>
            </w:pPr>
            <w:r w:rsidRPr="005B5E73">
              <w:rPr>
                <w:sz w:val="23"/>
                <w:szCs w:val="23"/>
              </w:rPr>
              <w:t>Second</w:t>
            </w:r>
          </w:p>
        </w:tc>
        <w:tc>
          <w:tcPr>
            <w:tcW w:w="1729" w:type="dxa"/>
            <w:tcBorders>
              <w:top w:val="single" w:sz="7" w:space="0" w:color="000000"/>
              <w:left w:val="single" w:sz="7" w:space="0" w:color="000000"/>
              <w:bottom w:val="single" w:sz="7" w:space="0" w:color="000000"/>
              <w:right w:val="single" w:sz="7" w:space="0" w:color="000000"/>
            </w:tcBorders>
            <w:vAlign w:val="center"/>
          </w:tcPr>
          <w:p w:rsidR="00CE3280" w:rsidRPr="005B5E73" w:rsidRDefault="00CE3280" w:rsidP="005A55BD">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3"/>
                <w:szCs w:val="23"/>
              </w:rPr>
            </w:pPr>
            <w:r w:rsidRPr="005B5E73">
              <w:rPr>
                <w:sz w:val="23"/>
                <w:szCs w:val="23"/>
              </w:rPr>
              <w:t xml:space="preserve">Reminder letter only if the company </w:t>
            </w:r>
            <w:r w:rsidRPr="005B5E73">
              <w:rPr>
                <w:sz w:val="23"/>
                <w:szCs w:val="23"/>
              </w:rPr>
              <w:lastRenderedPageBreak/>
              <w:t>reported electronically for the 2012 ACES; all other companies will receive a letter and duplicate form.</w:t>
            </w:r>
          </w:p>
        </w:tc>
        <w:tc>
          <w:tcPr>
            <w:tcW w:w="1892" w:type="dxa"/>
            <w:tcBorders>
              <w:top w:val="single" w:sz="7" w:space="0" w:color="000000"/>
              <w:left w:val="single" w:sz="7" w:space="0" w:color="000000"/>
              <w:bottom w:val="single" w:sz="7" w:space="0" w:color="000000"/>
              <w:right w:val="single" w:sz="7" w:space="0" w:color="000000"/>
            </w:tcBorders>
            <w:vAlign w:val="center"/>
          </w:tcPr>
          <w:p w:rsidR="00CE3280" w:rsidRPr="005B5E73" w:rsidRDefault="00CE3280"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3"/>
                <w:szCs w:val="23"/>
              </w:rPr>
            </w:pPr>
            <w:r w:rsidRPr="005B5E73">
              <w:rPr>
                <w:sz w:val="23"/>
                <w:szCs w:val="23"/>
              </w:rPr>
              <w:lastRenderedPageBreak/>
              <w:t xml:space="preserve">Reminder letter only if the company </w:t>
            </w:r>
            <w:r w:rsidRPr="005B5E73">
              <w:rPr>
                <w:sz w:val="23"/>
                <w:szCs w:val="23"/>
              </w:rPr>
              <w:lastRenderedPageBreak/>
              <w:t>reported electronically for the 2012 ACES; all other companies will receive a letter and duplicate form.</w:t>
            </w:r>
            <w:r w:rsidR="005A55BD" w:rsidRPr="005B5E73">
              <w:rPr>
                <w:sz w:val="23"/>
                <w:szCs w:val="23"/>
              </w:rPr>
              <w:t>*</w:t>
            </w:r>
          </w:p>
        </w:tc>
        <w:tc>
          <w:tcPr>
            <w:tcW w:w="1710" w:type="dxa"/>
            <w:tcBorders>
              <w:top w:val="single" w:sz="7" w:space="0" w:color="000000"/>
              <w:left w:val="single" w:sz="7" w:space="0" w:color="000000"/>
              <w:bottom w:val="single" w:sz="7" w:space="0" w:color="000000"/>
              <w:right w:val="double" w:sz="7" w:space="0" w:color="000000"/>
            </w:tcBorders>
            <w:vAlign w:val="center"/>
          </w:tcPr>
          <w:p w:rsidR="00CE3280" w:rsidRPr="005B5E73" w:rsidRDefault="00CE3280" w:rsidP="00CE3280">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jc w:val="center"/>
              <w:rPr>
                <w:sz w:val="23"/>
                <w:szCs w:val="23"/>
              </w:rPr>
            </w:pPr>
            <w:r w:rsidRPr="005B5E73">
              <w:rPr>
                <w:sz w:val="23"/>
                <w:szCs w:val="23"/>
              </w:rPr>
              <w:lastRenderedPageBreak/>
              <w:t>Letter and duplicate form</w:t>
            </w:r>
            <w:r w:rsidR="005A55BD" w:rsidRPr="005B5E73">
              <w:rPr>
                <w:sz w:val="23"/>
                <w:szCs w:val="23"/>
              </w:rPr>
              <w:t>.</w:t>
            </w:r>
            <w:r w:rsidRPr="005B5E73">
              <w:rPr>
                <w:sz w:val="23"/>
                <w:szCs w:val="23"/>
              </w:rPr>
              <w:t xml:space="preserve"> </w:t>
            </w:r>
          </w:p>
        </w:tc>
      </w:tr>
      <w:tr w:rsidR="009C0F7C" w:rsidRPr="005B5E73" w:rsidTr="004E6E02">
        <w:trPr>
          <w:trHeight w:val="20"/>
        </w:trPr>
        <w:tc>
          <w:tcPr>
            <w:tcW w:w="1689" w:type="dxa"/>
            <w:tcBorders>
              <w:top w:val="single" w:sz="7" w:space="0" w:color="000000"/>
              <w:left w:val="double" w:sz="7" w:space="0" w:color="000000"/>
              <w:bottom w:val="double" w:sz="7" w:space="0" w:color="000000"/>
              <w:right w:val="single" w:sz="7" w:space="0" w:color="000000"/>
            </w:tcBorders>
            <w:vAlign w:val="center"/>
          </w:tcPr>
          <w:p w:rsidR="009C0F7C" w:rsidRPr="005B5E73" w:rsidRDefault="009C0F7C" w:rsidP="00B60FB6">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jc w:val="center"/>
              <w:rPr>
                <w:sz w:val="23"/>
                <w:szCs w:val="23"/>
              </w:rPr>
            </w:pPr>
            <w:r w:rsidRPr="005B5E73">
              <w:rPr>
                <w:sz w:val="23"/>
                <w:szCs w:val="23"/>
              </w:rPr>
              <w:lastRenderedPageBreak/>
              <w:t>Third</w:t>
            </w:r>
          </w:p>
        </w:tc>
        <w:tc>
          <w:tcPr>
            <w:tcW w:w="1729" w:type="dxa"/>
            <w:tcBorders>
              <w:top w:val="single" w:sz="7" w:space="0" w:color="000000"/>
              <w:left w:val="single" w:sz="7" w:space="0" w:color="000000"/>
              <w:bottom w:val="double" w:sz="7" w:space="0" w:color="000000"/>
              <w:right w:val="single" w:sz="7" w:space="0" w:color="000000"/>
            </w:tcBorders>
            <w:vAlign w:val="center"/>
          </w:tcPr>
          <w:p w:rsidR="009C0F7C" w:rsidRPr="005B5E73" w:rsidRDefault="009C0F7C" w:rsidP="009C0F7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3"/>
                <w:szCs w:val="23"/>
              </w:rPr>
            </w:pPr>
            <w:r w:rsidRPr="005B5E73">
              <w:rPr>
                <w:sz w:val="23"/>
                <w:szCs w:val="23"/>
              </w:rPr>
              <w:t>Letter and duplicate form*</w:t>
            </w:r>
            <w:r w:rsidR="005A55BD" w:rsidRPr="005B5E73">
              <w:rPr>
                <w:sz w:val="23"/>
                <w:szCs w:val="23"/>
              </w:rPr>
              <w:t>*</w:t>
            </w:r>
          </w:p>
        </w:tc>
        <w:tc>
          <w:tcPr>
            <w:tcW w:w="1892" w:type="dxa"/>
            <w:tcBorders>
              <w:top w:val="single" w:sz="7" w:space="0" w:color="000000"/>
              <w:left w:val="single" w:sz="7" w:space="0" w:color="000000"/>
              <w:bottom w:val="double" w:sz="7" w:space="0" w:color="000000"/>
              <w:right w:val="single" w:sz="7" w:space="0" w:color="000000"/>
            </w:tcBorders>
            <w:vAlign w:val="center"/>
          </w:tcPr>
          <w:p w:rsidR="009C0F7C" w:rsidRPr="005B5E73" w:rsidRDefault="009C0F7C" w:rsidP="009C0F7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3"/>
                <w:szCs w:val="23"/>
              </w:rPr>
            </w:pPr>
            <w:r w:rsidRPr="005B5E73">
              <w:rPr>
                <w:sz w:val="23"/>
                <w:szCs w:val="23"/>
              </w:rPr>
              <w:t>Letter and duplicate form*</w:t>
            </w:r>
            <w:r w:rsidR="005A55BD" w:rsidRPr="005B5E73">
              <w:rPr>
                <w:sz w:val="23"/>
                <w:szCs w:val="23"/>
              </w:rPr>
              <w:t>*</w:t>
            </w:r>
          </w:p>
        </w:tc>
        <w:tc>
          <w:tcPr>
            <w:tcW w:w="1710" w:type="dxa"/>
            <w:tcBorders>
              <w:top w:val="single" w:sz="7" w:space="0" w:color="000000"/>
              <w:left w:val="single" w:sz="7" w:space="0" w:color="000000"/>
              <w:bottom w:val="double" w:sz="7" w:space="0" w:color="000000"/>
              <w:right w:val="double" w:sz="7" w:space="0" w:color="000000"/>
            </w:tcBorders>
            <w:vAlign w:val="center"/>
          </w:tcPr>
          <w:p w:rsidR="009C0F7C" w:rsidRPr="005B5E73" w:rsidRDefault="009C0F7C" w:rsidP="009C0F7C">
            <w:pPr>
              <w:widowControl/>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3"/>
                <w:szCs w:val="23"/>
              </w:rPr>
            </w:pPr>
            <w:r w:rsidRPr="005B5E73">
              <w:rPr>
                <w:sz w:val="23"/>
                <w:szCs w:val="23"/>
              </w:rPr>
              <w:t>Letter and duplicate form *</w:t>
            </w:r>
            <w:r w:rsidR="005A55BD" w:rsidRPr="005B5E73">
              <w:rPr>
                <w:sz w:val="23"/>
                <w:szCs w:val="23"/>
              </w:rPr>
              <w:t>*</w:t>
            </w:r>
          </w:p>
        </w:tc>
      </w:tr>
    </w:tbl>
    <w:p w:rsidR="000E3A1C" w:rsidRPr="005B5E73" w:rsidRDefault="000E3A1C">
      <w:pPr>
        <w:widowControl/>
        <w:tabs>
          <w:tab w:val="left" w:pos="0"/>
        </w:tabs>
        <w:ind w:left="360" w:firstLine="2520"/>
      </w:pPr>
    </w:p>
    <w:p w:rsidR="005A55BD" w:rsidRPr="005B5E73" w:rsidRDefault="005A55BD">
      <w:pPr>
        <w:widowControl/>
        <w:tabs>
          <w:tab w:val="left" w:pos="0"/>
        </w:tabs>
        <w:ind w:left="360" w:firstLine="2520"/>
      </w:pPr>
    </w:p>
    <w:p w:rsidR="009210BA" w:rsidRPr="005B5E73" w:rsidRDefault="009210BA" w:rsidP="005B5E73">
      <w:pPr>
        <w:widowControl/>
        <w:tabs>
          <w:tab w:val="left" w:pos="0"/>
        </w:tabs>
        <w:ind w:left="2160"/>
      </w:pPr>
      <w:r w:rsidRPr="005B5E73">
        <w:t>T</w:t>
      </w:r>
      <w:r w:rsidR="005A55BD" w:rsidRPr="005B5E73">
        <w:t xml:space="preserve">wo weeks prior to the Second Follow-up, all employer companies (Strata </w:t>
      </w:r>
      <w:r w:rsidR="005B5E73" w:rsidRPr="005B5E73">
        <w:t xml:space="preserve">I </w:t>
      </w:r>
      <w:r w:rsidR="005A55BD" w:rsidRPr="005B5E73">
        <w:t xml:space="preserve">and Strata II) will receive a letter and form is the response rate is </w:t>
      </w:r>
    </w:p>
    <w:p w:rsidR="00042F00" w:rsidRPr="005B5E73" w:rsidRDefault="005A55BD">
      <w:pPr>
        <w:widowControl/>
        <w:tabs>
          <w:tab w:val="left" w:pos="0"/>
        </w:tabs>
        <w:ind w:left="360" w:firstLine="1800"/>
      </w:pPr>
      <w:r w:rsidRPr="005B5E73">
        <w:t xml:space="preserve">significantly lower than the same time last year.  If this mitigation strategy </w:t>
      </w:r>
    </w:p>
    <w:p w:rsidR="00042F00" w:rsidRPr="005B5E73" w:rsidRDefault="005A55BD">
      <w:pPr>
        <w:widowControl/>
        <w:tabs>
          <w:tab w:val="left" w:pos="0"/>
        </w:tabs>
        <w:ind w:left="360" w:firstLine="1800"/>
      </w:pPr>
      <w:r w:rsidRPr="005B5E73">
        <w:t xml:space="preserve">is implemented, then all these companies will receive a reminder letter </w:t>
      </w:r>
    </w:p>
    <w:p w:rsidR="00B81016" w:rsidRPr="005B5E73" w:rsidRDefault="005A55BD">
      <w:pPr>
        <w:widowControl/>
        <w:tabs>
          <w:tab w:val="left" w:pos="0"/>
        </w:tabs>
        <w:ind w:left="360" w:firstLine="1800"/>
      </w:pPr>
      <w:r w:rsidRPr="005B5E73">
        <w:t xml:space="preserve">rather than the </w:t>
      </w:r>
      <w:r w:rsidR="00B81016" w:rsidRPr="005B5E73">
        <w:t>duplicate form.</w:t>
      </w:r>
      <w:r w:rsidRPr="005B5E73">
        <w:t xml:space="preserve"> </w:t>
      </w:r>
    </w:p>
    <w:p w:rsidR="00B81016" w:rsidRPr="005B5E73" w:rsidRDefault="00B81016">
      <w:pPr>
        <w:widowControl/>
        <w:tabs>
          <w:tab w:val="left" w:pos="0"/>
        </w:tabs>
        <w:ind w:left="360" w:firstLine="1800"/>
      </w:pPr>
    </w:p>
    <w:p w:rsidR="005B5E73" w:rsidRPr="005B5E73" w:rsidRDefault="000E3A1C">
      <w:pPr>
        <w:widowControl/>
        <w:tabs>
          <w:tab w:val="left" w:pos="0"/>
        </w:tabs>
        <w:ind w:left="360" w:firstLine="1800"/>
      </w:pPr>
      <w:r w:rsidRPr="005B5E73">
        <w:t>Companies designated as significant to an industry estimate are</w:t>
      </w:r>
      <w:r w:rsidR="005B5E73" w:rsidRPr="005B5E73">
        <w:t xml:space="preserve"> </w:t>
      </w:r>
      <w:r w:rsidRPr="005B5E73">
        <w:t>telephoned</w:t>
      </w:r>
    </w:p>
    <w:p w:rsidR="00285D7C" w:rsidRPr="005B5E73" w:rsidRDefault="000E3A1C">
      <w:pPr>
        <w:widowControl/>
        <w:tabs>
          <w:tab w:val="left" w:pos="0"/>
        </w:tabs>
        <w:ind w:left="360" w:firstLine="1800"/>
      </w:pPr>
      <w:r w:rsidRPr="005B5E73">
        <w:t xml:space="preserve">if they have not responded by the </w:t>
      </w:r>
      <w:r w:rsidR="005B5E73" w:rsidRPr="005B5E73">
        <w:t>D</w:t>
      </w:r>
      <w:r w:rsidRPr="005B5E73">
        <w:t xml:space="preserve">esignated due date. </w:t>
      </w:r>
    </w:p>
    <w:p w:rsidR="005A55BD" w:rsidRPr="005B5E73" w:rsidRDefault="005A55BD">
      <w:pPr>
        <w:widowControl/>
        <w:tabs>
          <w:tab w:val="left" w:pos="0"/>
        </w:tabs>
        <w:ind w:left="360" w:firstLine="1800"/>
      </w:pPr>
    </w:p>
    <w:p w:rsidR="000E3A1C" w:rsidRPr="005B5E73" w:rsidRDefault="00F05BE9" w:rsidP="009C70C8">
      <w:pPr>
        <w:widowControl/>
        <w:tabs>
          <w:tab w:val="left" w:pos="360"/>
          <w:tab w:val="left" w:pos="720"/>
          <w:tab w:val="left" w:pos="1440"/>
          <w:tab w:val="left" w:pos="2160"/>
          <w:tab w:val="left" w:pos="2520"/>
          <w:tab w:val="left" w:pos="3600"/>
        </w:tabs>
      </w:pPr>
      <w:r w:rsidRPr="005B5E73">
        <w:t xml:space="preserve"> </w:t>
      </w:r>
      <w:r w:rsidR="000E3A1C" w:rsidRPr="005B5E73">
        <w:t>.</w:t>
      </w:r>
      <w:r w:rsidR="009C70C8" w:rsidRPr="005B5E73">
        <w:tab/>
      </w:r>
      <w:r w:rsidR="009C70C8" w:rsidRPr="005B5E73">
        <w:tab/>
      </w:r>
      <w:r w:rsidR="009C70C8" w:rsidRPr="005B5E73">
        <w:tab/>
      </w:r>
      <w:r w:rsidR="000E3A1C" w:rsidRPr="005B5E73">
        <w:t>b.</w:t>
      </w:r>
      <w:r w:rsidR="000E3A1C" w:rsidRPr="005B5E73">
        <w:tab/>
      </w:r>
      <w:r w:rsidR="000E3A1C" w:rsidRPr="005B5E73">
        <w:rPr>
          <w:u w:val="single"/>
        </w:rPr>
        <w:t>Estimating for Missing Data</w:t>
      </w:r>
    </w:p>
    <w:p w:rsidR="000E3A1C" w:rsidRPr="005B5E73" w:rsidRDefault="000E3A1C">
      <w:pPr>
        <w:widowControl/>
        <w:tabs>
          <w:tab w:val="left" w:pos="360"/>
          <w:tab w:val="left" w:pos="720"/>
          <w:tab w:val="left" w:pos="1440"/>
          <w:tab w:val="left" w:pos="2160"/>
          <w:tab w:val="left" w:pos="2520"/>
          <w:tab w:val="left" w:pos="3600"/>
        </w:tabs>
        <w:ind w:left="360" w:hanging="360"/>
      </w:pPr>
    </w:p>
    <w:p w:rsidR="009C70C8" w:rsidRPr="005B5E73" w:rsidRDefault="000E3A1C" w:rsidP="009C70C8">
      <w:pPr>
        <w:widowControl/>
        <w:tabs>
          <w:tab w:val="left" w:pos="360"/>
          <w:tab w:val="left" w:pos="720"/>
          <w:tab w:val="left" w:pos="2160"/>
          <w:tab w:val="left" w:pos="3600"/>
        </w:tabs>
        <w:ind w:left="2160"/>
      </w:pPr>
      <w:r w:rsidRPr="005B5E73">
        <w:t>To account for companies that do not respond, we adjust the sample weights of companies that do respond.</w:t>
      </w:r>
      <w:r w:rsidR="00F05BE9" w:rsidRPr="005B5E73">
        <w:t xml:space="preserve"> </w:t>
      </w:r>
      <w:r w:rsidRPr="005B5E73">
        <w:t>These nonresponse weight adjustment factors are developed separately for each industry</w:t>
      </w:r>
      <w:r w:rsidR="004C3210" w:rsidRPr="005B5E73">
        <w:t xml:space="preserve"> </w:t>
      </w:r>
      <w:r w:rsidRPr="005B5E73">
        <w:t>by</w:t>
      </w:r>
      <w:r w:rsidR="004C3210" w:rsidRPr="005B5E73">
        <w:t xml:space="preserve"> size sampling stratum</w:t>
      </w:r>
      <w:r w:rsidRPr="005B5E73">
        <w:t>.</w:t>
      </w:r>
      <w:r w:rsidR="00F05BE9" w:rsidRPr="005B5E73">
        <w:t xml:space="preserve"> </w:t>
      </w:r>
      <w:r w:rsidRPr="005B5E73">
        <w:t>For the employ</w:t>
      </w:r>
      <w:r w:rsidR="005B5E73" w:rsidRPr="005B5E73">
        <w:t>.</w:t>
      </w:r>
      <w:r w:rsidRPr="005B5E73">
        <w:t>er segment (Strata I and II), the basis for the adjustment is the proportion of total company payroll accounted for by companies classified as respondents.</w:t>
      </w:r>
      <w:r w:rsidR="00F05BE9" w:rsidRPr="005B5E73">
        <w:t xml:space="preserve"> </w:t>
      </w:r>
      <w:r w:rsidRPr="005B5E73">
        <w:t>For the non-employer segment (Stratum III), an adjustment is made for each substratum, and is the ratio of the substratum sample size to the number of substratum companies classified as respondents.</w:t>
      </w:r>
    </w:p>
    <w:p w:rsidR="009C70C8" w:rsidRPr="005B5E73" w:rsidRDefault="009C70C8" w:rsidP="009C70C8">
      <w:pPr>
        <w:widowControl/>
        <w:tabs>
          <w:tab w:val="left" w:pos="360"/>
          <w:tab w:val="left" w:pos="720"/>
          <w:tab w:val="left" w:pos="2160"/>
          <w:tab w:val="left" w:pos="3600"/>
        </w:tabs>
        <w:ind w:left="2160"/>
      </w:pPr>
    </w:p>
    <w:p w:rsidR="000E3A1C" w:rsidRPr="005B5E73" w:rsidRDefault="009C70C8" w:rsidP="009C70C8">
      <w:pPr>
        <w:widowControl/>
        <w:tabs>
          <w:tab w:val="left" w:pos="360"/>
          <w:tab w:val="left" w:pos="720"/>
          <w:tab w:val="left" w:pos="2160"/>
          <w:tab w:val="left" w:pos="3600"/>
        </w:tabs>
      </w:pPr>
      <w:r w:rsidRPr="005B5E73">
        <w:tab/>
      </w:r>
      <w:r w:rsidRPr="005B5E73">
        <w:tab/>
        <w:t xml:space="preserve">        </w:t>
      </w:r>
      <w:r w:rsidR="000E3A1C" w:rsidRPr="005B5E73">
        <w:t>c.</w:t>
      </w:r>
      <w:r w:rsidR="000E3A1C" w:rsidRPr="005B5E73">
        <w:tab/>
      </w:r>
      <w:r w:rsidR="000E3A1C" w:rsidRPr="005B5E73">
        <w:rPr>
          <w:u w:val="single"/>
        </w:rPr>
        <w:t>Reliability</w:t>
      </w:r>
    </w:p>
    <w:p w:rsidR="000E3A1C" w:rsidRPr="005B5E73" w:rsidRDefault="000E3A1C">
      <w:pPr>
        <w:widowControl/>
        <w:tabs>
          <w:tab w:val="left" w:pos="360"/>
          <w:tab w:val="left" w:pos="720"/>
          <w:tab w:val="left" w:pos="1440"/>
          <w:tab w:val="left" w:pos="2160"/>
          <w:tab w:val="left" w:pos="2520"/>
          <w:tab w:val="left" w:pos="3600"/>
        </w:tabs>
        <w:ind w:left="360" w:hanging="360"/>
      </w:pPr>
    </w:p>
    <w:p w:rsidR="000E3A1C" w:rsidRPr="005B5E73" w:rsidRDefault="000E3A1C">
      <w:pPr>
        <w:widowControl/>
        <w:tabs>
          <w:tab w:val="left" w:pos="360"/>
          <w:tab w:val="left" w:pos="720"/>
          <w:tab w:val="left" w:pos="1440"/>
          <w:tab w:val="left" w:pos="2160"/>
          <w:tab w:val="left" w:pos="2520"/>
          <w:tab w:val="left" w:pos="3600"/>
        </w:tabs>
        <w:ind w:left="2160" w:hanging="1800"/>
      </w:pPr>
      <w:r w:rsidRPr="005B5E73">
        <w:t xml:space="preserve">    </w:t>
      </w:r>
      <w:r w:rsidRPr="005B5E73">
        <w:tab/>
      </w:r>
      <w:r w:rsidRPr="005B5E73">
        <w:tab/>
        <w:t>The estimates for the survey differ from the results of a census conducted under similar conditions</w:t>
      </w:r>
      <w:r w:rsidR="004C3210" w:rsidRPr="005B5E73">
        <w:t xml:space="preserve"> due to only measuring a subset of the population</w:t>
      </w:r>
      <w:r w:rsidRPr="005B5E73">
        <w:t>.</w:t>
      </w:r>
      <w:r w:rsidR="00F05BE9" w:rsidRPr="005B5E73">
        <w:t xml:space="preserve"> </w:t>
      </w:r>
      <w:r w:rsidRPr="005B5E73">
        <w:t>Estimates of sampling errors are computed and published for all data items.</w:t>
      </w:r>
      <w:r w:rsidR="00F05BE9" w:rsidRPr="005B5E73">
        <w:t xml:space="preserve"> </w:t>
      </w:r>
      <w:r w:rsidRPr="005B5E73">
        <w:t xml:space="preserve">Due to the </w:t>
      </w:r>
      <w:r w:rsidR="00671389" w:rsidRPr="005B5E73">
        <w:t>skewness</w:t>
      </w:r>
      <w:r w:rsidRPr="005B5E73">
        <w:t xml:space="preserve"> of capital expenditures and the planned allocation of the sample, we expect the relative standard errors on the key items at the U.S. total level </w:t>
      </w:r>
      <w:r w:rsidR="00671389" w:rsidRPr="005B5E73">
        <w:t>for estimates of companie</w:t>
      </w:r>
      <w:r w:rsidR="00B65BFA" w:rsidRPr="005B5E73">
        <w:t>s</w:t>
      </w:r>
      <w:r w:rsidR="00671389" w:rsidRPr="005B5E73">
        <w:t xml:space="preserve"> with employees </w:t>
      </w:r>
      <w:r w:rsidRPr="005B5E73">
        <w:t xml:space="preserve">to be in the neighborhood of 1 to 2 percent. These estimates are based on relative standard errors </w:t>
      </w:r>
      <w:r w:rsidR="005B5E73" w:rsidRPr="005B5E73">
        <w:t>.</w:t>
      </w:r>
      <w:r w:rsidRPr="005B5E73">
        <w:t xml:space="preserve">from previous years’ ACES which have been consistent with this expectation.     </w:t>
      </w:r>
    </w:p>
    <w:p w:rsidR="000E3A1C" w:rsidRPr="005B5E73" w:rsidRDefault="000E3A1C">
      <w:pPr>
        <w:widowControl/>
        <w:tabs>
          <w:tab w:val="left" w:pos="360"/>
          <w:tab w:val="left" w:pos="720"/>
          <w:tab w:val="left" w:pos="1800"/>
        </w:tabs>
        <w:ind w:left="360" w:hanging="360"/>
      </w:pPr>
    </w:p>
    <w:p w:rsidR="000E3A1C" w:rsidRPr="005B5E73" w:rsidRDefault="000E3A1C">
      <w:pPr>
        <w:widowControl/>
        <w:tabs>
          <w:tab w:val="left" w:pos="720"/>
          <w:tab w:val="left" w:pos="1440"/>
          <w:tab w:val="left" w:pos="1800"/>
        </w:tabs>
        <w:ind w:left="1440" w:hanging="720"/>
      </w:pPr>
      <w:r w:rsidRPr="005B5E73">
        <w:t>4.</w:t>
      </w:r>
      <w:r w:rsidRPr="005B5E73">
        <w:tab/>
      </w:r>
      <w:r w:rsidRPr="005B5E73">
        <w:rPr>
          <w:u w:val="single"/>
        </w:rPr>
        <w:t>Testing of Procedures or Methods</w:t>
      </w: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360" w:hanging="360"/>
        <w:sectPr w:rsidR="000E3A1C" w:rsidRPr="005B5E73">
          <w:type w:val="continuous"/>
          <w:pgSz w:w="12240" w:h="15840"/>
          <w:pgMar w:top="1440" w:right="1440" w:bottom="1440" w:left="1440" w:header="1440" w:footer="1440" w:gutter="0"/>
          <w:cols w:space="720"/>
          <w:noEndnote/>
        </w:sectPr>
      </w:pPr>
    </w:p>
    <w:p w:rsidR="009C70C8" w:rsidRPr="005B5E73" w:rsidRDefault="000E3A1C" w:rsidP="009C70C8">
      <w:pPr>
        <w:widowControl/>
        <w:tabs>
          <w:tab w:val="left" w:pos="720"/>
          <w:tab w:val="left" w:pos="1440"/>
          <w:tab w:val="left" w:pos="1800"/>
        </w:tabs>
        <w:ind w:left="1440"/>
      </w:pPr>
      <w:r w:rsidRPr="005B5E73">
        <w:lastRenderedPageBreak/>
        <w:t>We conducted extensive testing and made modifications to the ACES procedures and methods resulting from the 1991 pilot and Response Analysis Survey, and the 1992 preliminary survey.</w:t>
      </w:r>
      <w:r w:rsidR="00F05BE9" w:rsidRPr="005B5E73">
        <w:t xml:space="preserve"> </w:t>
      </w:r>
      <w:r w:rsidRPr="005B5E73">
        <w:t>Based on findings from the annual surveys since that time, we have continued to refine the information collection instruments, instructions, and survey definitions.</w:t>
      </w:r>
      <w:r w:rsidR="00F05BE9" w:rsidRPr="005B5E73">
        <w:t xml:space="preserve"> </w:t>
      </w:r>
      <w:r w:rsidRPr="005B5E73">
        <w:t>We also continue to analyze data from the annual surveys to learn more about the variability of capital expenditures by size of company and industry.</w:t>
      </w:r>
      <w:r w:rsidR="00F05BE9" w:rsidRPr="005B5E73">
        <w:t xml:space="preserve"> </w:t>
      </w:r>
      <w:r w:rsidRPr="005B5E73">
        <w:t>We use the information to improve the design and allocation of the sample and utility of the survey.</w:t>
      </w:r>
      <w:r w:rsidR="00F05BE9" w:rsidRPr="005B5E73">
        <w:t xml:space="preserve"> </w:t>
      </w:r>
      <w:r w:rsidRPr="005B5E73">
        <w:t>We continue testing the use of existing Census Bureau Business Register information to represent new company births in the survey.</w:t>
      </w:r>
      <w:r w:rsidR="00F05BE9" w:rsidRPr="005B5E73">
        <w:t xml:space="preserve"> </w:t>
      </w:r>
      <w:r w:rsidRPr="005B5E73">
        <w:t>We believe it is critical that new company births are represented in a timely manner because significant capital expenditures are made by businesses in their first years of existence.</w:t>
      </w:r>
      <w:r w:rsidR="00F05BE9" w:rsidRPr="005B5E73">
        <w:t xml:space="preserve"> </w:t>
      </w:r>
      <w:r w:rsidRPr="005B5E73">
        <w:t>This research may lead to survey changes which will improve the representation of newly created businesses in the ACES.</w:t>
      </w:r>
    </w:p>
    <w:p w:rsidR="009C70C8" w:rsidRPr="005B5E73" w:rsidRDefault="009C70C8" w:rsidP="009C70C8">
      <w:pPr>
        <w:widowControl/>
        <w:tabs>
          <w:tab w:val="left" w:pos="720"/>
          <w:tab w:val="left" w:pos="1440"/>
          <w:tab w:val="left" w:pos="1800"/>
        </w:tabs>
      </w:pPr>
      <w:r w:rsidRPr="005B5E73">
        <w:tab/>
      </w:r>
    </w:p>
    <w:p w:rsidR="000E3A1C" w:rsidRPr="005B5E73" w:rsidRDefault="009C70C8" w:rsidP="009C70C8">
      <w:pPr>
        <w:widowControl/>
        <w:tabs>
          <w:tab w:val="left" w:pos="720"/>
          <w:tab w:val="left" w:pos="1440"/>
          <w:tab w:val="left" w:pos="1800"/>
        </w:tabs>
      </w:pPr>
      <w:r w:rsidRPr="005B5E73">
        <w:tab/>
      </w:r>
      <w:r w:rsidR="000E3A1C" w:rsidRPr="005B5E73">
        <w:t>5.</w:t>
      </w:r>
      <w:r w:rsidR="000E3A1C" w:rsidRPr="005B5E73">
        <w:tab/>
      </w:r>
      <w:r w:rsidR="000E3A1C" w:rsidRPr="005B5E73">
        <w:rPr>
          <w:u w:val="single"/>
        </w:rPr>
        <w:t>Contacts for Statistical Aspects and Data Collection</w:t>
      </w: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1440"/>
      </w:pPr>
      <w:r w:rsidRPr="005B5E73">
        <w:t xml:space="preserve">Within the Company Statistics Division, Carol V. Caldwell, Assistant Division Chief for Research and Methodology, is responsible for directing the development of the sample designs, the estimation methodology, and the options for treating non-response. Ms. Caldwell can be reached on (301) 763-3390. </w:t>
      </w:r>
    </w:p>
    <w:p w:rsidR="000E3A1C" w:rsidRPr="005B5E73" w:rsidRDefault="000E3A1C">
      <w:pPr>
        <w:widowControl/>
        <w:tabs>
          <w:tab w:val="left" w:pos="720"/>
          <w:tab w:val="left" w:pos="1440"/>
          <w:tab w:val="left" w:pos="1800"/>
        </w:tabs>
        <w:ind w:left="720" w:firstLine="1080"/>
      </w:pPr>
    </w:p>
    <w:p w:rsidR="000E3A1C" w:rsidRPr="005B5E73" w:rsidRDefault="000E3A1C">
      <w:pPr>
        <w:widowControl/>
        <w:tabs>
          <w:tab w:val="left" w:pos="720"/>
          <w:tab w:val="left" w:pos="1440"/>
          <w:tab w:val="left" w:pos="1800"/>
        </w:tabs>
        <w:ind w:left="1440"/>
      </w:pPr>
      <w:r w:rsidRPr="005B5E73">
        <w:t xml:space="preserve">Valerie </w:t>
      </w:r>
      <w:r w:rsidR="00127BC0" w:rsidRPr="005B5E73">
        <w:t>Mastalski</w:t>
      </w:r>
      <w:r w:rsidRPr="005B5E73">
        <w:t>, Chief of the Business Investment Branch, is responsible for directing the development of the survey content and the survey processing and for coordinating the survey design to meet the survey objectives.</w:t>
      </w:r>
      <w:r w:rsidR="00F05BE9" w:rsidRPr="005B5E73">
        <w:t xml:space="preserve"> </w:t>
      </w:r>
      <w:r w:rsidRPr="005B5E73">
        <w:t>M</w:t>
      </w:r>
      <w:r w:rsidR="00127BC0" w:rsidRPr="005B5E73">
        <w:t>r</w:t>
      </w:r>
      <w:r w:rsidRPr="005B5E73">
        <w:t xml:space="preserve">s. </w:t>
      </w:r>
      <w:r w:rsidR="00127BC0" w:rsidRPr="005B5E73">
        <w:t>Mastalski</w:t>
      </w:r>
      <w:r w:rsidRPr="005B5E73">
        <w:t xml:space="preserve"> can be reached on (301) 763-3317.</w:t>
      </w: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360" w:hanging="360"/>
        <w:sectPr w:rsidR="000E3A1C" w:rsidRPr="005B5E73">
          <w:type w:val="continuous"/>
          <w:pgSz w:w="12240" w:h="15840"/>
          <w:pgMar w:top="1440" w:right="1440" w:bottom="810" w:left="1440" w:header="1440" w:footer="810" w:gutter="0"/>
          <w:cols w:space="720"/>
          <w:noEndnote/>
        </w:sectPr>
      </w:pPr>
    </w:p>
    <w:p w:rsidR="000E3A1C" w:rsidRPr="005B5E73" w:rsidRDefault="009C70C8" w:rsidP="009C70C8">
      <w:pPr>
        <w:widowControl/>
        <w:tabs>
          <w:tab w:val="left" w:pos="720"/>
          <w:tab w:val="left" w:pos="1440"/>
          <w:tab w:val="left" w:pos="1800"/>
        </w:tabs>
      </w:pPr>
      <w:r w:rsidRPr="005B5E73">
        <w:rPr>
          <w:b/>
          <w:bCs/>
        </w:rPr>
        <w:lastRenderedPageBreak/>
        <w:tab/>
      </w:r>
      <w:r w:rsidRPr="005B5E73">
        <w:rPr>
          <w:b/>
          <w:bCs/>
        </w:rPr>
        <w:tab/>
      </w:r>
      <w:r w:rsidR="000E3A1C" w:rsidRPr="005B5E73">
        <w:rPr>
          <w:b/>
          <w:bCs/>
          <w:u w:val="single"/>
        </w:rPr>
        <w:t>Attachments</w:t>
      </w: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1440" w:hanging="720"/>
      </w:pPr>
      <w:r w:rsidRPr="005B5E73">
        <w:t>A.</w:t>
      </w:r>
      <w:r w:rsidRPr="005B5E73">
        <w:tab/>
        <w:t xml:space="preserve">Report Forms </w:t>
      </w:r>
    </w:p>
    <w:p w:rsidR="000E3A1C" w:rsidRPr="005B5E73" w:rsidRDefault="000E3A1C">
      <w:pPr>
        <w:widowControl/>
        <w:tabs>
          <w:tab w:val="left" w:pos="720"/>
          <w:tab w:val="left" w:pos="1440"/>
          <w:tab w:val="left" w:pos="1800"/>
        </w:tabs>
        <w:ind w:left="360" w:firstLine="4680"/>
      </w:pPr>
    </w:p>
    <w:p w:rsidR="000E3A1C" w:rsidRPr="005B5E73" w:rsidRDefault="000E3A1C">
      <w:pPr>
        <w:widowControl/>
        <w:tabs>
          <w:tab w:val="left" w:pos="720"/>
          <w:tab w:val="left" w:pos="1440"/>
          <w:tab w:val="left" w:pos="1800"/>
        </w:tabs>
        <w:ind w:left="1440" w:hanging="720"/>
      </w:pPr>
      <w:r w:rsidRPr="005B5E73">
        <w:t>B.</w:t>
      </w:r>
      <w:r w:rsidRPr="005B5E73">
        <w:tab/>
        <w:t>Instructions</w:t>
      </w:r>
    </w:p>
    <w:p w:rsidR="000E3A1C" w:rsidRPr="005B5E73" w:rsidRDefault="000E3A1C">
      <w:pPr>
        <w:widowControl/>
        <w:tabs>
          <w:tab w:val="left" w:pos="720"/>
          <w:tab w:val="left" w:pos="1440"/>
          <w:tab w:val="left" w:pos="1800"/>
        </w:tabs>
        <w:ind w:left="360" w:hanging="360"/>
      </w:pPr>
    </w:p>
    <w:p w:rsidR="000E3A1C" w:rsidRPr="005B5E73" w:rsidRDefault="000E3A1C">
      <w:pPr>
        <w:widowControl/>
        <w:tabs>
          <w:tab w:val="left" w:pos="720"/>
          <w:tab w:val="left" w:pos="1440"/>
          <w:tab w:val="left" w:pos="1800"/>
        </w:tabs>
        <w:ind w:left="1440" w:hanging="720"/>
      </w:pPr>
      <w:r w:rsidRPr="005B5E73">
        <w:t>C.</w:t>
      </w:r>
      <w:r w:rsidRPr="005B5E73">
        <w:tab/>
        <w:t>Director’s letter</w:t>
      </w:r>
      <w:r w:rsidR="005B5E73" w:rsidRPr="005B5E73">
        <w:t>s</w:t>
      </w:r>
      <w:r w:rsidRPr="005B5E73">
        <w:t xml:space="preserve"> / Follow-up Letters</w:t>
      </w:r>
    </w:p>
    <w:p w:rsidR="000E3A1C" w:rsidRPr="005B5E73" w:rsidRDefault="000E3A1C">
      <w:pPr>
        <w:widowControl/>
        <w:tabs>
          <w:tab w:val="left" w:pos="720"/>
          <w:tab w:val="left" w:pos="1440"/>
          <w:tab w:val="left" w:pos="1800"/>
        </w:tabs>
        <w:ind w:left="360" w:hanging="360"/>
      </w:pPr>
    </w:p>
    <w:p w:rsidR="000E3A1C" w:rsidRDefault="000E3A1C">
      <w:pPr>
        <w:widowControl/>
        <w:tabs>
          <w:tab w:val="left" w:pos="720"/>
          <w:tab w:val="left" w:pos="1440"/>
          <w:tab w:val="left" w:pos="1800"/>
        </w:tabs>
        <w:ind w:left="1440" w:hanging="720"/>
      </w:pPr>
      <w:r w:rsidRPr="005B5E73">
        <w:t>D.</w:t>
      </w:r>
      <w:r w:rsidRPr="005B5E73">
        <w:tab/>
        <w:t>BEA</w:t>
      </w:r>
      <w:r w:rsidR="00F05BE9" w:rsidRPr="005B5E73">
        <w:t xml:space="preserve"> </w:t>
      </w:r>
      <w:r w:rsidRPr="005B5E73">
        <w:t>Letter of Support</w:t>
      </w:r>
    </w:p>
    <w:sectPr w:rsidR="000E3A1C" w:rsidSect="000E3A1C">
      <w:type w:val="continuous"/>
      <w:pgSz w:w="12240" w:h="15840"/>
      <w:pgMar w:top="1440" w:right="1440" w:bottom="810" w:left="1440" w:header="1440" w:footer="81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763" w:rsidRDefault="00421763" w:rsidP="000E3A1C">
      <w:r>
        <w:separator/>
      </w:r>
    </w:p>
  </w:endnote>
  <w:endnote w:type="continuationSeparator" w:id="0">
    <w:p w:rsidR="00421763" w:rsidRDefault="00421763" w:rsidP="000E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763" w:rsidRDefault="00421763" w:rsidP="000E3A1C">
      <w:r>
        <w:separator/>
      </w:r>
    </w:p>
  </w:footnote>
  <w:footnote w:type="continuationSeparator" w:id="0">
    <w:p w:rsidR="00421763" w:rsidRDefault="00421763" w:rsidP="000E3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EF4" w:rsidRDefault="007B1EF4">
    <w:pPr>
      <w:framePr w:w="9361" w:wrap="notBeside" w:vAnchor="text" w:hAnchor="text" w:x="1" w:y="1"/>
      <w:jc w:val="right"/>
    </w:pPr>
    <w:r>
      <w:fldChar w:fldCharType="begin"/>
    </w:r>
    <w:r>
      <w:instrText xml:space="preserve">PAGE </w:instrText>
    </w:r>
    <w:r>
      <w:fldChar w:fldCharType="separate"/>
    </w:r>
    <w:r w:rsidR="0049446C">
      <w:rPr>
        <w:noProof/>
      </w:rPr>
      <w:t>5</w:t>
    </w:r>
    <w:r>
      <w:fldChar w:fldCharType="end"/>
    </w:r>
  </w:p>
  <w:p w:rsidR="007B1EF4" w:rsidRDefault="007B1EF4"/>
  <w:p w:rsidR="007B1EF4" w:rsidRDefault="007B1EF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53DBB"/>
    <w:multiLevelType w:val="hybridMultilevel"/>
    <w:tmpl w:val="73D2D60E"/>
    <w:lvl w:ilvl="0" w:tplc="C172DF9E">
      <w:numFmt w:val="bullet"/>
      <w:lvlText w:val=""/>
      <w:lvlJc w:val="left"/>
      <w:pPr>
        <w:ind w:left="2790" w:hanging="360"/>
      </w:pPr>
      <w:rPr>
        <w:rFonts w:ascii="Symbol" w:eastAsiaTheme="minorEastAsia" w:hAnsi="Symbol"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E3A1C"/>
    <w:rsid w:val="00042F00"/>
    <w:rsid w:val="000803C1"/>
    <w:rsid w:val="000B1470"/>
    <w:rsid w:val="000D2196"/>
    <w:rsid w:val="000D320E"/>
    <w:rsid w:val="000E3A1C"/>
    <w:rsid w:val="001105DD"/>
    <w:rsid w:val="00127BC0"/>
    <w:rsid w:val="00163155"/>
    <w:rsid w:val="00203EFB"/>
    <w:rsid w:val="00285D7C"/>
    <w:rsid w:val="002B0D09"/>
    <w:rsid w:val="002C73FF"/>
    <w:rsid w:val="002D2BA3"/>
    <w:rsid w:val="002E1D22"/>
    <w:rsid w:val="002F5611"/>
    <w:rsid w:val="00316721"/>
    <w:rsid w:val="00354900"/>
    <w:rsid w:val="003B6C5C"/>
    <w:rsid w:val="003E539C"/>
    <w:rsid w:val="003E54BD"/>
    <w:rsid w:val="004034C4"/>
    <w:rsid w:val="00421763"/>
    <w:rsid w:val="00456DDF"/>
    <w:rsid w:val="004940EC"/>
    <w:rsid w:val="0049446C"/>
    <w:rsid w:val="004B2CFF"/>
    <w:rsid w:val="004C3210"/>
    <w:rsid w:val="004D3740"/>
    <w:rsid w:val="004E6E02"/>
    <w:rsid w:val="004F656F"/>
    <w:rsid w:val="0055188C"/>
    <w:rsid w:val="005A55BD"/>
    <w:rsid w:val="005B5E73"/>
    <w:rsid w:val="005F1624"/>
    <w:rsid w:val="00671389"/>
    <w:rsid w:val="006B3627"/>
    <w:rsid w:val="006E1EB3"/>
    <w:rsid w:val="007467DF"/>
    <w:rsid w:val="007B1058"/>
    <w:rsid w:val="007B1EF4"/>
    <w:rsid w:val="007E01BD"/>
    <w:rsid w:val="007E5F2D"/>
    <w:rsid w:val="00824E32"/>
    <w:rsid w:val="008460C8"/>
    <w:rsid w:val="0085622A"/>
    <w:rsid w:val="00907A98"/>
    <w:rsid w:val="009150CE"/>
    <w:rsid w:val="009210BA"/>
    <w:rsid w:val="00931F8B"/>
    <w:rsid w:val="00972076"/>
    <w:rsid w:val="009C0F7C"/>
    <w:rsid w:val="009C70C8"/>
    <w:rsid w:val="009F5A7C"/>
    <w:rsid w:val="00A64C8C"/>
    <w:rsid w:val="00A775E2"/>
    <w:rsid w:val="00A8794F"/>
    <w:rsid w:val="00A93DD3"/>
    <w:rsid w:val="00A94203"/>
    <w:rsid w:val="00AA3F5A"/>
    <w:rsid w:val="00B11941"/>
    <w:rsid w:val="00B21B6B"/>
    <w:rsid w:val="00B51BEB"/>
    <w:rsid w:val="00B60FB6"/>
    <w:rsid w:val="00B65BFA"/>
    <w:rsid w:val="00B81016"/>
    <w:rsid w:val="00BB3FF0"/>
    <w:rsid w:val="00C25296"/>
    <w:rsid w:val="00C4495E"/>
    <w:rsid w:val="00C57A33"/>
    <w:rsid w:val="00CA41F1"/>
    <w:rsid w:val="00CE3280"/>
    <w:rsid w:val="00CF6B82"/>
    <w:rsid w:val="00D371A2"/>
    <w:rsid w:val="00D552A1"/>
    <w:rsid w:val="00D625A3"/>
    <w:rsid w:val="00E5495A"/>
    <w:rsid w:val="00E777DB"/>
    <w:rsid w:val="00E82E42"/>
    <w:rsid w:val="00EE51BB"/>
    <w:rsid w:val="00F05BE9"/>
    <w:rsid w:val="00F46141"/>
    <w:rsid w:val="00FD5A6E"/>
    <w:rsid w:val="00FF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A8794F"/>
    <w:rPr>
      <w:sz w:val="16"/>
      <w:szCs w:val="16"/>
    </w:rPr>
  </w:style>
  <w:style w:type="paragraph" w:styleId="CommentText">
    <w:name w:val="annotation text"/>
    <w:basedOn w:val="Normal"/>
    <w:link w:val="CommentTextChar"/>
    <w:uiPriority w:val="99"/>
    <w:semiHidden/>
    <w:unhideWhenUsed/>
    <w:rsid w:val="00A8794F"/>
    <w:rPr>
      <w:sz w:val="20"/>
      <w:szCs w:val="20"/>
    </w:rPr>
  </w:style>
  <w:style w:type="character" w:customStyle="1" w:styleId="CommentTextChar">
    <w:name w:val="Comment Text Char"/>
    <w:basedOn w:val="DefaultParagraphFont"/>
    <w:link w:val="CommentText"/>
    <w:uiPriority w:val="99"/>
    <w:semiHidden/>
    <w:rsid w:val="00A8794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794F"/>
    <w:rPr>
      <w:b/>
      <w:bCs/>
    </w:rPr>
  </w:style>
  <w:style w:type="character" w:customStyle="1" w:styleId="CommentSubjectChar">
    <w:name w:val="Comment Subject Char"/>
    <w:basedOn w:val="CommentTextChar"/>
    <w:link w:val="CommentSubject"/>
    <w:uiPriority w:val="99"/>
    <w:semiHidden/>
    <w:rsid w:val="00A8794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8794F"/>
    <w:rPr>
      <w:rFonts w:ascii="Tahoma" w:hAnsi="Tahoma" w:cs="Tahoma"/>
      <w:sz w:val="16"/>
      <w:szCs w:val="16"/>
    </w:rPr>
  </w:style>
  <w:style w:type="character" w:customStyle="1" w:styleId="BalloonTextChar">
    <w:name w:val="Balloon Text Char"/>
    <w:basedOn w:val="DefaultParagraphFont"/>
    <w:link w:val="BalloonText"/>
    <w:uiPriority w:val="99"/>
    <w:semiHidden/>
    <w:rsid w:val="00A8794F"/>
    <w:rPr>
      <w:rFonts w:ascii="Tahoma" w:hAnsi="Tahoma" w:cs="Tahoma"/>
      <w:sz w:val="16"/>
      <w:szCs w:val="16"/>
    </w:rPr>
  </w:style>
  <w:style w:type="paragraph" w:styleId="ListParagraph">
    <w:name w:val="List Paragraph"/>
    <w:basedOn w:val="Normal"/>
    <w:uiPriority w:val="34"/>
    <w:qFormat/>
    <w:rsid w:val="005A55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A8794F"/>
    <w:rPr>
      <w:sz w:val="16"/>
      <w:szCs w:val="16"/>
    </w:rPr>
  </w:style>
  <w:style w:type="paragraph" w:styleId="CommentText">
    <w:name w:val="annotation text"/>
    <w:basedOn w:val="Normal"/>
    <w:link w:val="CommentTextChar"/>
    <w:uiPriority w:val="99"/>
    <w:semiHidden/>
    <w:unhideWhenUsed/>
    <w:rsid w:val="00A8794F"/>
    <w:rPr>
      <w:sz w:val="20"/>
      <w:szCs w:val="20"/>
    </w:rPr>
  </w:style>
  <w:style w:type="character" w:customStyle="1" w:styleId="CommentTextChar">
    <w:name w:val="Comment Text Char"/>
    <w:basedOn w:val="DefaultParagraphFont"/>
    <w:link w:val="CommentText"/>
    <w:uiPriority w:val="99"/>
    <w:semiHidden/>
    <w:rsid w:val="00A8794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794F"/>
    <w:rPr>
      <w:b/>
      <w:bCs/>
    </w:rPr>
  </w:style>
  <w:style w:type="character" w:customStyle="1" w:styleId="CommentSubjectChar">
    <w:name w:val="Comment Subject Char"/>
    <w:basedOn w:val="CommentTextChar"/>
    <w:link w:val="CommentSubject"/>
    <w:uiPriority w:val="99"/>
    <w:semiHidden/>
    <w:rsid w:val="00A8794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8794F"/>
    <w:rPr>
      <w:rFonts w:ascii="Tahoma" w:hAnsi="Tahoma" w:cs="Tahoma"/>
      <w:sz w:val="16"/>
      <w:szCs w:val="16"/>
    </w:rPr>
  </w:style>
  <w:style w:type="character" w:customStyle="1" w:styleId="BalloonTextChar">
    <w:name w:val="Balloon Text Char"/>
    <w:basedOn w:val="DefaultParagraphFont"/>
    <w:link w:val="BalloonText"/>
    <w:uiPriority w:val="99"/>
    <w:semiHidden/>
    <w:rsid w:val="00A8794F"/>
    <w:rPr>
      <w:rFonts w:ascii="Tahoma" w:hAnsi="Tahoma" w:cs="Tahoma"/>
      <w:sz w:val="16"/>
      <w:szCs w:val="16"/>
    </w:rPr>
  </w:style>
  <w:style w:type="paragraph" w:styleId="ListParagraph">
    <w:name w:val="List Paragraph"/>
    <w:basedOn w:val="Normal"/>
    <w:uiPriority w:val="34"/>
    <w:qFormat/>
    <w:rsid w:val="005A5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1530</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E Gainor</dc:creator>
  <cp:lastModifiedBy>Thomas J Smith</cp:lastModifiedBy>
  <cp:revision>3</cp:revision>
  <cp:lastPrinted>2013-11-22T20:19:00Z</cp:lastPrinted>
  <dcterms:created xsi:type="dcterms:W3CDTF">2013-12-11T21:11:00Z</dcterms:created>
  <dcterms:modified xsi:type="dcterms:W3CDTF">2013-12-16T13:34:00Z</dcterms:modified>
</cp:coreProperties>
</file>