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362" w:rsidRDefault="003E5E5A" w:rsidP="004920A6">
      <w:pPr>
        <w:pStyle w:val="NormalWeb"/>
        <w:rPr>
          <w:b/>
          <w:lang w:val="en"/>
        </w:rPr>
      </w:pPr>
      <w:r>
        <w:rPr>
          <w:b/>
          <w:lang w:val="en"/>
        </w:rPr>
        <w:t xml:space="preserve">FDA warns </w:t>
      </w:r>
      <w:r w:rsidR="004920A6" w:rsidRPr="004B2362">
        <w:rPr>
          <w:b/>
          <w:u w:val="single"/>
          <w:lang w:val="en"/>
        </w:rPr>
        <w:t>OTC Constipation-Treating Sodium Phosphate Products</w:t>
      </w:r>
      <w:r w:rsidR="00EC3727">
        <w:rPr>
          <w:b/>
          <w:lang w:val="en"/>
        </w:rPr>
        <w:t xml:space="preserve"> may cause harm when</w:t>
      </w:r>
      <w:r w:rsidR="004920A6" w:rsidRPr="00081211">
        <w:rPr>
          <w:b/>
          <w:lang w:val="en"/>
        </w:rPr>
        <w:t xml:space="preserve"> </w:t>
      </w:r>
      <w:r w:rsidR="00EC3727">
        <w:rPr>
          <w:b/>
          <w:lang w:val="en"/>
        </w:rPr>
        <w:t xml:space="preserve">exceeding the </w:t>
      </w:r>
      <w:r w:rsidR="004920A6" w:rsidRPr="00081211">
        <w:rPr>
          <w:b/>
          <w:lang w:val="en"/>
        </w:rPr>
        <w:t>recommended dose</w:t>
      </w:r>
    </w:p>
    <w:p w:rsidR="004920A6" w:rsidRPr="00081211" w:rsidRDefault="004920A6" w:rsidP="004920A6">
      <w:pPr>
        <w:pStyle w:val="NormalWeb"/>
        <w:rPr>
          <w:lang w:val="en"/>
        </w:rPr>
      </w:pPr>
      <w:r w:rsidRPr="00081211">
        <w:rPr>
          <w:lang w:val="en"/>
        </w:rPr>
        <w:t>Safety Announcement</w:t>
      </w:r>
    </w:p>
    <w:tbl>
      <w:tblPr>
        <w:tblStyle w:val="TableGrid"/>
        <w:tblW w:w="0" w:type="auto"/>
        <w:tblLook w:val="04A0" w:firstRow="1" w:lastRow="0" w:firstColumn="1" w:lastColumn="0" w:noHBand="0" w:noVBand="1"/>
      </w:tblPr>
      <w:tblGrid>
        <w:gridCol w:w="2029"/>
        <w:gridCol w:w="7547"/>
      </w:tblGrid>
      <w:tr w:rsidR="004920A6" w:rsidTr="0029705D">
        <w:tc>
          <w:tcPr>
            <w:tcW w:w="2029" w:type="dxa"/>
          </w:tcPr>
          <w:p w:rsidR="002F45EF" w:rsidRDefault="00B04223" w:rsidP="00B912FD">
            <w:r w:rsidRPr="00B04223">
              <w:rPr>
                <w:rFonts w:ascii="Times New Roman" w:eastAsia="Times New Roman" w:hAnsi="Times New Roman" w:cs="Times New Roman"/>
                <w:sz w:val="24"/>
                <w:szCs w:val="24"/>
                <w:lang w:val="en"/>
              </w:rPr>
              <w:t>Drug Safety Risk</w:t>
            </w:r>
          </w:p>
        </w:tc>
        <w:tc>
          <w:tcPr>
            <w:tcW w:w="7547" w:type="dxa"/>
          </w:tcPr>
          <w:p w:rsidR="004920A6" w:rsidRPr="002F45EF" w:rsidRDefault="00B04223" w:rsidP="003349D6">
            <w:pPr>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Warning: u</w:t>
            </w:r>
            <w:r w:rsidR="004920A6" w:rsidRPr="004920A6">
              <w:rPr>
                <w:rFonts w:ascii="Times New Roman" w:eastAsia="Times New Roman" w:hAnsi="Times New Roman" w:cs="Times New Roman"/>
                <w:sz w:val="24"/>
                <w:szCs w:val="24"/>
                <w:lang w:val="en"/>
              </w:rPr>
              <w:t xml:space="preserve">sing more than one dose in 24 hours of over-the-counter (OTC) sodium phosphate drugs to treat constipation can cause rare but serious harm to the kidneys and heart, and even death.   </w:t>
            </w:r>
            <w:r w:rsidR="004920A6" w:rsidRPr="004920A6">
              <w:rPr>
                <w:rFonts w:ascii="Times New Roman" w:eastAsia="Times New Roman" w:hAnsi="Times New Roman" w:cs="Times New Roman"/>
                <w:sz w:val="24"/>
                <w:szCs w:val="24"/>
                <w:lang w:val="en"/>
              </w:rPr>
              <w:br/>
            </w:r>
          </w:p>
        </w:tc>
      </w:tr>
      <w:tr w:rsidR="003349D6" w:rsidTr="0029705D">
        <w:tc>
          <w:tcPr>
            <w:tcW w:w="2029" w:type="dxa"/>
          </w:tcPr>
          <w:p w:rsidR="003349D6" w:rsidRDefault="003349D6" w:rsidP="00B912FD">
            <w:pPr>
              <w:rPr>
                <w:rFonts w:ascii="Times New Roman" w:eastAsia="Times New Roman" w:hAnsi="Times New Roman" w:cs="Times New Roman"/>
                <w:sz w:val="24"/>
                <w:szCs w:val="24"/>
                <w:lang w:val="en"/>
              </w:rPr>
            </w:pPr>
            <w:r w:rsidRPr="00B05D81">
              <w:rPr>
                <w:rFonts w:ascii="Times New Roman" w:eastAsia="Times New Roman" w:hAnsi="Times New Roman" w:cs="Times New Roman"/>
                <w:sz w:val="24"/>
                <w:szCs w:val="24"/>
                <w:lang w:val="en"/>
              </w:rPr>
              <w:t>Facts about over-the-counter (OTC) sodium phosphate drug products</w:t>
            </w:r>
          </w:p>
        </w:tc>
        <w:tc>
          <w:tcPr>
            <w:tcW w:w="7547" w:type="dxa"/>
          </w:tcPr>
          <w:p w:rsidR="008064F5" w:rsidRDefault="008064F5" w:rsidP="008064F5">
            <w:pPr>
              <w:numPr>
                <w:ilvl w:val="0"/>
                <w:numId w:val="1"/>
              </w:numPr>
              <w:ind w:left="252" w:hanging="252"/>
              <w:rPr>
                <w:rFonts w:ascii="Times New Roman" w:eastAsia="Times New Roman" w:hAnsi="Times New Roman" w:cs="Times New Roman"/>
                <w:sz w:val="24"/>
                <w:szCs w:val="24"/>
                <w:lang w:val="en"/>
              </w:rPr>
            </w:pPr>
            <w:r w:rsidRPr="00B05D81">
              <w:rPr>
                <w:rFonts w:ascii="Times New Roman" w:eastAsia="Times New Roman" w:hAnsi="Times New Roman" w:cs="Times New Roman"/>
                <w:sz w:val="24"/>
                <w:szCs w:val="24"/>
                <w:lang w:val="en"/>
              </w:rPr>
              <w:t>Marketed under the brand-name Fleet, and as store brands and generic products.</w:t>
            </w:r>
          </w:p>
          <w:p w:rsidR="003349D6" w:rsidRPr="00B05D81" w:rsidRDefault="003349D6" w:rsidP="00B912FD">
            <w:pPr>
              <w:numPr>
                <w:ilvl w:val="0"/>
                <w:numId w:val="1"/>
              </w:numPr>
              <w:ind w:left="252" w:hanging="252"/>
              <w:rPr>
                <w:rFonts w:ascii="Times New Roman" w:eastAsia="Times New Roman" w:hAnsi="Times New Roman" w:cs="Times New Roman"/>
                <w:sz w:val="24"/>
                <w:szCs w:val="24"/>
                <w:lang w:val="en"/>
              </w:rPr>
            </w:pPr>
            <w:r w:rsidRPr="00B05D81">
              <w:rPr>
                <w:rFonts w:ascii="Times New Roman" w:eastAsia="Times New Roman" w:hAnsi="Times New Roman" w:cs="Times New Roman"/>
                <w:sz w:val="24"/>
                <w:szCs w:val="24"/>
                <w:lang w:val="en"/>
              </w:rPr>
              <w:t xml:space="preserve">Used for the relief of occasional constipation. </w:t>
            </w:r>
          </w:p>
          <w:p w:rsidR="003349D6" w:rsidRPr="00B05D81" w:rsidRDefault="003349D6" w:rsidP="00B912FD">
            <w:pPr>
              <w:numPr>
                <w:ilvl w:val="0"/>
                <w:numId w:val="1"/>
              </w:numPr>
              <w:ind w:left="252" w:hanging="252"/>
              <w:rPr>
                <w:rFonts w:ascii="Times New Roman" w:eastAsia="Times New Roman" w:hAnsi="Times New Roman" w:cs="Times New Roman"/>
                <w:sz w:val="24"/>
                <w:szCs w:val="24"/>
                <w:lang w:val="en"/>
              </w:rPr>
            </w:pPr>
            <w:r w:rsidRPr="00B05D81">
              <w:rPr>
                <w:rFonts w:ascii="Times New Roman" w:eastAsia="Times New Roman" w:hAnsi="Times New Roman" w:cs="Times New Roman"/>
                <w:sz w:val="24"/>
                <w:szCs w:val="24"/>
                <w:lang w:val="en"/>
              </w:rPr>
              <w:t xml:space="preserve">Available as a solution for oral or rectal (enema) use. </w:t>
            </w:r>
          </w:p>
          <w:p w:rsidR="003349D6" w:rsidRDefault="003349D6" w:rsidP="00B912FD">
            <w:pPr>
              <w:numPr>
                <w:ilvl w:val="0"/>
                <w:numId w:val="1"/>
              </w:numPr>
              <w:ind w:left="252" w:hanging="252"/>
              <w:rPr>
                <w:rFonts w:ascii="Times New Roman" w:eastAsia="Times New Roman" w:hAnsi="Times New Roman" w:cs="Times New Roman"/>
                <w:sz w:val="24"/>
                <w:szCs w:val="24"/>
                <w:lang w:val="en"/>
              </w:rPr>
            </w:pPr>
            <w:r w:rsidRPr="00B05D81">
              <w:rPr>
                <w:rFonts w:ascii="Times New Roman" w:eastAsia="Times New Roman" w:hAnsi="Times New Roman" w:cs="Times New Roman"/>
                <w:sz w:val="24"/>
                <w:szCs w:val="24"/>
                <w:lang w:val="en"/>
              </w:rPr>
              <w:t xml:space="preserve">Available as single-ingredient drug products, containing either sodium </w:t>
            </w:r>
            <w:proofErr w:type="spellStart"/>
            <w:r w:rsidRPr="00B05D81">
              <w:rPr>
                <w:rFonts w:ascii="Times New Roman" w:eastAsia="Times New Roman" w:hAnsi="Times New Roman" w:cs="Times New Roman"/>
                <w:sz w:val="24"/>
                <w:szCs w:val="24"/>
                <w:lang w:val="en"/>
              </w:rPr>
              <w:t>biphosphate</w:t>
            </w:r>
            <w:proofErr w:type="spellEnd"/>
            <w:r w:rsidRPr="00B05D81">
              <w:rPr>
                <w:rFonts w:ascii="Times New Roman" w:eastAsia="Times New Roman" w:hAnsi="Times New Roman" w:cs="Times New Roman"/>
                <w:sz w:val="24"/>
                <w:szCs w:val="24"/>
                <w:lang w:val="en"/>
              </w:rPr>
              <w:t xml:space="preserve"> or sodium phosphate, and as combination drug products containing both ingredients. </w:t>
            </w:r>
          </w:p>
          <w:p w:rsidR="003349D6" w:rsidRPr="00B05D81" w:rsidRDefault="003349D6" w:rsidP="00B912FD">
            <w:pPr>
              <w:numPr>
                <w:ilvl w:val="0"/>
                <w:numId w:val="1"/>
              </w:numPr>
              <w:ind w:left="252" w:hanging="252"/>
              <w:rPr>
                <w:rFonts w:ascii="Times New Roman" w:eastAsia="Times New Roman" w:hAnsi="Times New Roman" w:cs="Times New Roman"/>
                <w:sz w:val="24"/>
                <w:szCs w:val="24"/>
                <w:lang w:val="en"/>
              </w:rPr>
            </w:pPr>
            <w:r w:rsidRPr="00B05D81">
              <w:rPr>
                <w:rFonts w:ascii="Times New Roman" w:eastAsia="Times New Roman" w:hAnsi="Times New Roman" w:cs="Times New Roman"/>
                <w:sz w:val="24"/>
                <w:szCs w:val="24"/>
                <w:lang w:val="en"/>
              </w:rPr>
              <w:t xml:space="preserve">The recommended dose is a single dose given once a day for not more than 3 days. </w:t>
            </w:r>
          </w:p>
          <w:p w:rsidR="003349D6" w:rsidRPr="00B05D81" w:rsidRDefault="003349D6" w:rsidP="008064F5">
            <w:pPr>
              <w:rPr>
                <w:rFonts w:ascii="Times New Roman" w:eastAsia="Times New Roman" w:hAnsi="Times New Roman" w:cs="Times New Roman"/>
                <w:sz w:val="24"/>
                <w:szCs w:val="24"/>
                <w:lang w:val="en"/>
              </w:rPr>
            </w:pPr>
          </w:p>
        </w:tc>
      </w:tr>
      <w:tr w:rsidR="00E3558F" w:rsidTr="00B912FD">
        <w:tc>
          <w:tcPr>
            <w:tcW w:w="2029" w:type="dxa"/>
          </w:tcPr>
          <w:p w:rsidR="00E3558F" w:rsidRPr="00B04223" w:rsidRDefault="00E3558F" w:rsidP="00B912FD">
            <w:pPr>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Basis for Drug Safety Risk</w:t>
            </w:r>
          </w:p>
        </w:tc>
        <w:tc>
          <w:tcPr>
            <w:tcW w:w="7547" w:type="dxa"/>
          </w:tcPr>
          <w:p w:rsidR="00E3558F" w:rsidRDefault="003E5E5A" w:rsidP="00B912FD">
            <w:pPr>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S</w:t>
            </w:r>
            <w:r w:rsidR="00E3558F">
              <w:rPr>
                <w:rFonts w:ascii="Times New Roman" w:eastAsia="Times New Roman" w:hAnsi="Times New Roman" w:cs="Times New Roman"/>
                <w:sz w:val="24"/>
                <w:szCs w:val="24"/>
                <w:lang w:val="en"/>
              </w:rPr>
              <w:t xml:space="preserve">ide effects have resulted from </w:t>
            </w:r>
            <w:r w:rsidR="00E3558F" w:rsidRPr="004920A6">
              <w:rPr>
                <w:rFonts w:ascii="Times New Roman" w:eastAsia="Times New Roman" w:hAnsi="Times New Roman" w:cs="Times New Roman"/>
                <w:sz w:val="24"/>
                <w:szCs w:val="24"/>
                <w:lang w:val="en"/>
              </w:rPr>
              <w:t>taking more than the recommended dose o</w:t>
            </w:r>
            <w:r w:rsidR="00E3558F">
              <w:rPr>
                <w:rFonts w:ascii="Times New Roman" w:eastAsia="Times New Roman" w:hAnsi="Times New Roman" w:cs="Times New Roman"/>
                <w:sz w:val="24"/>
                <w:szCs w:val="24"/>
                <w:lang w:val="en"/>
              </w:rPr>
              <w:t>f OTC sodium phosphate products. The side effects have resulted</w:t>
            </w:r>
            <w:r w:rsidR="00E3558F" w:rsidRPr="004920A6">
              <w:rPr>
                <w:rFonts w:ascii="Times New Roman" w:eastAsia="Times New Roman" w:hAnsi="Times New Roman" w:cs="Times New Roman"/>
                <w:sz w:val="24"/>
                <w:szCs w:val="24"/>
                <w:lang w:val="en"/>
              </w:rPr>
              <w:t xml:space="preserve"> in serious adverse effects on organs, such as the kidneys and heart, and in some cases resulting in death. </w:t>
            </w:r>
            <w:r w:rsidR="00E3558F">
              <w:rPr>
                <w:rFonts w:ascii="Times New Roman" w:eastAsia="Times New Roman" w:hAnsi="Times New Roman" w:cs="Times New Roman"/>
                <w:sz w:val="24"/>
                <w:szCs w:val="24"/>
                <w:lang w:val="en"/>
              </w:rPr>
              <w:t>Negative side effects include</w:t>
            </w:r>
            <w:r w:rsidR="00E3558F" w:rsidRPr="004920A6">
              <w:rPr>
                <w:rFonts w:ascii="Times New Roman" w:eastAsia="Times New Roman" w:hAnsi="Times New Roman" w:cs="Times New Roman"/>
                <w:sz w:val="24"/>
                <w:szCs w:val="24"/>
                <w:lang w:val="en"/>
              </w:rPr>
              <w:t xml:space="preserve"> severe dehydration</w:t>
            </w:r>
            <w:r>
              <w:rPr>
                <w:rFonts w:ascii="Times New Roman" w:eastAsia="Times New Roman" w:hAnsi="Times New Roman" w:cs="Times New Roman"/>
                <w:sz w:val="24"/>
                <w:szCs w:val="24"/>
                <w:lang w:val="en"/>
              </w:rPr>
              <w:t xml:space="preserve">, </w:t>
            </w:r>
            <w:r w:rsidR="00867DE5">
              <w:rPr>
                <w:rFonts w:ascii="Times New Roman" w:eastAsia="Times New Roman" w:hAnsi="Times New Roman" w:cs="Times New Roman"/>
                <w:sz w:val="24"/>
                <w:szCs w:val="24"/>
                <w:lang w:val="en"/>
              </w:rPr>
              <w:t>which is a severe</w:t>
            </w:r>
            <w:r w:rsidRPr="003E5E5A">
              <w:rPr>
                <w:rStyle w:val="st1"/>
                <w:rFonts w:ascii="Times New Roman" w:hAnsi="Times New Roman" w:cs="Times New Roman"/>
                <w:color w:val="444444"/>
                <w:sz w:val="24"/>
                <w:szCs w:val="24"/>
              </w:rPr>
              <w:t xml:space="preserve"> loss of </w:t>
            </w:r>
            <w:r w:rsidRPr="003E5E5A">
              <w:rPr>
                <w:rFonts w:ascii="Times New Roman" w:hAnsi="Times New Roman" w:cs="Times New Roman"/>
                <w:vanish/>
                <w:color w:val="444444"/>
                <w:sz w:val="24"/>
                <w:szCs w:val="24"/>
              </w:rPr>
              <w:br/>
            </w:r>
            <w:r w:rsidRPr="003E5E5A">
              <w:rPr>
                <w:rStyle w:val="st1"/>
                <w:rFonts w:ascii="Times New Roman" w:hAnsi="Times New Roman" w:cs="Times New Roman"/>
                <w:color w:val="444444"/>
                <w:sz w:val="24"/>
                <w:szCs w:val="24"/>
              </w:rPr>
              <w:t>body water</w:t>
            </w:r>
            <w:r>
              <w:rPr>
                <w:rStyle w:val="st1"/>
                <w:rFonts w:ascii="Times New Roman" w:hAnsi="Times New Roman" w:cs="Times New Roman"/>
                <w:color w:val="444444"/>
                <w:sz w:val="24"/>
                <w:szCs w:val="24"/>
              </w:rPr>
              <w:t>,</w:t>
            </w:r>
            <w:r w:rsidR="00E3558F">
              <w:rPr>
                <w:rFonts w:ascii="Times New Roman" w:eastAsia="Times New Roman" w:hAnsi="Times New Roman" w:cs="Times New Roman"/>
                <w:sz w:val="24"/>
                <w:szCs w:val="24"/>
                <w:lang w:val="en"/>
              </w:rPr>
              <w:t xml:space="preserve"> </w:t>
            </w:r>
            <w:r w:rsidR="00E3558F" w:rsidRPr="004920A6">
              <w:rPr>
                <w:rFonts w:ascii="Times New Roman" w:eastAsia="Times New Roman" w:hAnsi="Times New Roman" w:cs="Times New Roman"/>
                <w:sz w:val="24"/>
                <w:szCs w:val="24"/>
                <w:lang w:val="en"/>
              </w:rPr>
              <w:t>and changes in the l</w:t>
            </w:r>
            <w:r w:rsidR="00E3558F">
              <w:rPr>
                <w:rFonts w:ascii="Times New Roman" w:eastAsia="Times New Roman" w:hAnsi="Times New Roman" w:cs="Times New Roman"/>
                <w:sz w:val="24"/>
                <w:szCs w:val="24"/>
                <w:lang w:val="en"/>
              </w:rPr>
              <w:t>evels of serum electrolytes. The</w:t>
            </w:r>
            <w:r w:rsidR="00E3558F" w:rsidRPr="004920A6">
              <w:rPr>
                <w:rFonts w:ascii="Times New Roman" w:eastAsia="Times New Roman" w:hAnsi="Times New Roman" w:cs="Times New Roman"/>
                <w:sz w:val="24"/>
                <w:szCs w:val="24"/>
                <w:lang w:val="en"/>
              </w:rPr>
              <w:t xml:space="preserve"> serum electrolytes </w:t>
            </w:r>
            <w:r w:rsidR="009C6269">
              <w:rPr>
                <w:rFonts w:ascii="Times New Roman" w:eastAsia="Times New Roman" w:hAnsi="Times New Roman" w:cs="Times New Roman"/>
                <w:sz w:val="24"/>
                <w:szCs w:val="24"/>
                <w:lang w:val="en"/>
              </w:rPr>
              <w:t>are salts, minerals and other substances in the fluids of the body such as</w:t>
            </w:r>
            <w:r w:rsidR="00E3558F" w:rsidRPr="004920A6">
              <w:rPr>
                <w:rFonts w:ascii="Times New Roman" w:eastAsia="Times New Roman" w:hAnsi="Times New Roman" w:cs="Times New Roman"/>
                <w:sz w:val="24"/>
                <w:szCs w:val="24"/>
                <w:lang w:val="en"/>
              </w:rPr>
              <w:t xml:space="preserve"> calcium</w:t>
            </w:r>
            <w:r w:rsidR="009C6269">
              <w:rPr>
                <w:rFonts w:ascii="Times New Roman" w:eastAsia="Times New Roman" w:hAnsi="Times New Roman" w:cs="Times New Roman"/>
                <w:sz w:val="24"/>
                <w:szCs w:val="24"/>
                <w:lang w:val="en"/>
              </w:rPr>
              <w:t xml:space="preserve"> and </w:t>
            </w:r>
            <w:r w:rsidR="00E3558F" w:rsidRPr="004920A6">
              <w:rPr>
                <w:rFonts w:ascii="Times New Roman" w:eastAsia="Times New Roman" w:hAnsi="Times New Roman" w:cs="Times New Roman"/>
                <w:sz w:val="24"/>
                <w:szCs w:val="24"/>
                <w:lang w:val="en"/>
              </w:rPr>
              <w:t xml:space="preserve">sodium. According to the reports, most cases of serious harm occurred with a single dose of sodium phosphate that was larger than recommended or with more than one dose in a day. </w:t>
            </w:r>
          </w:p>
          <w:p w:rsidR="00E3558F" w:rsidRPr="004920A6" w:rsidRDefault="00E3558F" w:rsidP="00B912FD">
            <w:pPr>
              <w:rPr>
                <w:rFonts w:ascii="Times New Roman" w:eastAsia="Times New Roman" w:hAnsi="Times New Roman" w:cs="Times New Roman"/>
                <w:sz w:val="24"/>
                <w:szCs w:val="24"/>
                <w:lang w:val="en"/>
              </w:rPr>
            </w:pPr>
          </w:p>
        </w:tc>
      </w:tr>
      <w:tr w:rsidR="003349D6" w:rsidTr="0029705D">
        <w:tc>
          <w:tcPr>
            <w:tcW w:w="2029" w:type="dxa"/>
          </w:tcPr>
          <w:p w:rsidR="003349D6" w:rsidRPr="00B04223" w:rsidRDefault="003349D6" w:rsidP="00B912FD">
            <w:pPr>
              <w:rPr>
                <w:rFonts w:ascii="Times New Roman" w:eastAsia="Times New Roman" w:hAnsi="Times New Roman" w:cs="Times New Roman"/>
                <w:sz w:val="24"/>
                <w:szCs w:val="24"/>
                <w:lang w:val="en"/>
              </w:rPr>
            </w:pPr>
            <w:r w:rsidRPr="00B04223">
              <w:rPr>
                <w:rFonts w:ascii="Times New Roman" w:eastAsia="Times New Roman" w:hAnsi="Times New Roman" w:cs="Times New Roman"/>
                <w:sz w:val="24"/>
                <w:szCs w:val="24"/>
                <w:lang w:val="en"/>
              </w:rPr>
              <w:t>People at Higher Risk</w:t>
            </w:r>
          </w:p>
        </w:tc>
        <w:tc>
          <w:tcPr>
            <w:tcW w:w="7547" w:type="dxa"/>
          </w:tcPr>
          <w:p w:rsidR="003349D6" w:rsidRDefault="003349D6" w:rsidP="009C6269">
            <w:r w:rsidRPr="004920A6">
              <w:rPr>
                <w:rFonts w:ascii="Times New Roman" w:eastAsia="Times New Roman" w:hAnsi="Times New Roman" w:cs="Times New Roman"/>
                <w:sz w:val="24"/>
                <w:szCs w:val="24"/>
                <w:lang w:val="en"/>
              </w:rPr>
              <w:t xml:space="preserve">Some individuals </w:t>
            </w:r>
            <w:r w:rsidRPr="004920A6">
              <w:rPr>
                <w:rFonts w:ascii="Times New Roman" w:eastAsia="Times New Roman" w:hAnsi="Times New Roman" w:cs="Times New Roman"/>
                <w:sz w:val="24"/>
                <w:szCs w:val="24"/>
                <w:lang w:val="en"/>
              </w:rPr>
              <w:t xml:space="preserve">may be at higher risk for </w:t>
            </w:r>
            <w:r w:rsidR="009C6269">
              <w:rPr>
                <w:rFonts w:ascii="Times New Roman" w:eastAsia="Times New Roman" w:hAnsi="Times New Roman" w:cs="Times New Roman"/>
                <w:sz w:val="24"/>
                <w:szCs w:val="24"/>
                <w:lang w:val="en"/>
              </w:rPr>
              <w:t xml:space="preserve">side effects </w:t>
            </w:r>
            <w:r w:rsidRPr="004920A6">
              <w:rPr>
                <w:rFonts w:ascii="Times New Roman" w:eastAsia="Times New Roman" w:hAnsi="Times New Roman" w:cs="Times New Roman"/>
                <w:sz w:val="24"/>
                <w:szCs w:val="24"/>
                <w:lang w:val="en"/>
              </w:rPr>
              <w:t xml:space="preserve">when </w:t>
            </w:r>
            <w:r w:rsidR="009C6269">
              <w:rPr>
                <w:rFonts w:ascii="Times New Roman" w:eastAsia="Times New Roman" w:hAnsi="Times New Roman" w:cs="Times New Roman"/>
                <w:sz w:val="24"/>
                <w:szCs w:val="24"/>
                <w:lang w:val="en"/>
              </w:rPr>
              <w:t xml:space="preserve">they take more than </w:t>
            </w:r>
            <w:r w:rsidRPr="004920A6">
              <w:rPr>
                <w:rFonts w:ascii="Times New Roman" w:eastAsia="Times New Roman" w:hAnsi="Times New Roman" w:cs="Times New Roman"/>
                <w:sz w:val="24"/>
                <w:szCs w:val="24"/>
                <w:lang w:val="en"/>
              </w:rPr>
              <w:t xml:space="preserve">the recommended dose of OTC sodium phosphate. These individuals include young children; individuals older than 55; patients who are dehydrated; patients with kidney disease, bowel obstruction, or inflammation of the bowel; and patients who are using medications that may affect kidney function. These medications include diuretics or water pills; angiotensin converting enzyme inhibitors (ACEIs) and angiotensin receptor blockers (ARBs) used to treat high blood pressure; and </w:t>
            </w:r>
            <w:proofErr w:type="spellStart"/>
            <w:r w:rsidRPr="004920A6">
              <w:rPr>
                <w:rFonts w:ascii="Times New Roman" w:eastAsia="Times New Roman" w:hAnsi="Times New Roman" w:cs="Times New Roman"/>
                <w:sz w:val="24"/>
                <w:szCs w:val="24"/>
                <w:lang w:val="en"/>
              </w:rPr>
              <w:t>nonsteroidal</w:t>
            </w:r>
            <w:proofErr w:type="spellEnd"/>
            <w:r w:rsidRPr="004920A6">
              <w:rPr>
                <w:rFonts w:ascii="Times New Roman" w:eastAsia="Times New Roman" w:hAnsi="Times New Roman" w:cs="Times New Roman"/>
                <w:sz w:val="24"/>
                <w:szCs w:val="24"/>
                <w:lang w:val="en"/>
              </w:rPr>
              <w:t xml:space="preserve"> anti-inflammatory drugs (NSAIDs) such as aspirin, ibuprofen, and naproxen</w:t>
            </w:r>
            <w:r w:rsidR="009C6269">
              <w:rPr>
                <w:rFonts w:ascii="Times New Roman" w:eastAsia="Times New Roman" w:hAnsi="Times New Roman" w:cs="Times New Roman"/>
                <w:sz w:val="24"/>
                <w:szCs w:val="24"/>
                <w:lang w:val="en"/>
              </w:rPr>
              <w:t xml:space="preserve"> used to treat pain and fever</w:t>
            </w:r>
            <w:r w:rsidRPr="004920A6">
              <w:rPr>
                <w:rFonts w:ascii="Times New Roman" w:eastAsia="Times New Roman" w:hAnsi="Times New Roman" w:cs="Times New Roman"/>
                <w:sz w:val="24"/>
                <w:szCs w:val="24"/>
                <w:lang w:val="en"/>
              </w:rPr>
              <w:t xml:space="preserve">. </w:t>
            </w:r>
            <w:r w:rsidRPr="004920A6">
              <w:rPr>
                <w:rFonts w:ascii="Times New Roman" w:eastAsia="Times New Roman" w:hAnsi="Times New Roman" w:cs="Times New Roman"/>
                <w:sz w:val="24"/>
                <w:szCs w:val="24"/>
                <w:lang w:val="en"/>
              </w:rPr>
              <w:br/>
            </w:r>
          </w:p>
        </w:tc>
      </w:tr>
      <w:tr w:rsidR="008064F5" w:rsidTr="0029705D">
        <w:tc>
          <w:tcPr>
            <w:tcW w:w="2029" w:type="dxa"/>
          </w:tcPr>
          <w:p w:rsidR="008064F5" w:rsidRPr="00B04223" w:rsidRDefault="008064F5" w:rsidP="00B912FD">
            <w:pPr>
              <w:rPr>
                <w:rFonts w:ascii="Times New Roman" w:eastAsia="Times New Roman" w:hAnsi="Times New Roman" w:cs="Times New Roman"/>
                <w:sz w:val="24"/>
                <w:szCs w:val="24"/>
                <w:lang w:val="en"/>
              </w:rPr>
            </w:pPr>
            <w:r w:rsidRPr="008064F5">
              <w:rPr>
                <w:rFonts w:ascii="Times New Roman" w:eastAsia="Times New Roman" w:hAnsi="Times New Roman" w:cs="Times New Roman"/>
                <w:sz w:val="24"/>
                <w:szCs w:val="24"/>
                <w:lang w:val="en"/>
              </w:rPr>
              <w:t>Information for Consumers and Parents/Caregivers</w:t>
            </w:r>
          </w:p>
        </w:tc>
        <w:tc>
          <w:tcPr>
            <w:tcW w:w="7547" w:type="dxa"/>
          </w:tcPr>
          <w:p w:rsidR="00E3558F" w:rsidRDefault="008064F5" w:rsidP="00937D08">
            <w:pPr>
              <w:numPr>
                <w:ilvl w:val="0"/>
                <w:numId w:val="1"/>
              </w:numPr>
              <w:ind w:left="252" w:hanging="252"/>
              <w:rPr>
                <w:rFonts w:ascii="Times New Roman" w:eastAsia="Times New Roman" w:hAnsi="Times New Roman" w:cs="Times New Roman"/>
                <w:sz w:val="24"/>
                <w:szCs w:val="24"/>
                <w:lang w:val="en"/>
              </w:rPr>
            </w:pPr>
            <w:r w:rsidRPr="008064F5">
              <w:rPr>
                <w:rFonts w:ascii="Times New Roman" w:eastAsia="Times New Roman" w:hAnsi="Times New Roman" w:cs="Times New Roman"/>
                <w:b/>
                <w:sz w:val="24"/>
                <w:szCs w:val="24"/>
                <w:lang w:val="en"/>
              </w:rPr>
              <w:t>Always read and follow the directions on the Drug Facts labels</w:t>
            </w:r>
            <w:r w:rsidRPr="008064F5">
              <w:rPr>
                <w:rFonts w:ascii="Times New Roman" w:eastAsia="Times New Roman" w:hAnsi="Times New Roman" w:cs="Times New Roman"/>
                <w:sz w:val="24"/>
                <w:szCs w:val="24"/>
                <w:lang w:val="en"/>
              </w:rPr>
              <w:t xml:space="preserve"> to find the correct dose and dosing frequency. </w:t>
            </w:r>
          </w:p>
          <w:p w:rsidR="008064F5" w:rsidRPr="008064F5" w:rsidRDefault="008064F5" w:rsidP="00937D08">
            <w:pPr>
              <w:numPr>
                <w:ilvl w:val="0"/>
                <w:numId w:val="1"/>
              </w:numPr>
              <w:ind w:left="252" w:hanging="252"/>
              <w:rPr>
                <w:rFonts w:ascii="Times New Roman" w:eastAsia="Times New Roman" w:hAnsi="Times New Roman" w:cs="Times New Roman"/>
                <w:sz w:val="24"/>
                <w:szCs w:val="24"/>
                <w:lang w:val="en"/>
              </w:rPr>
            </w:pPr>
            <w:r w:rsidRPr="008064F5">
              <w:rPr>
                <w:rFonts w:ascii="Times New Roman" w:eastAsia="Times New Roman" w:hAnsi="Times New Roman" w:cs="Times New Roman"/>
                <w:b/>
                <w:sz w:val="24"/>
                <w:szCs w:val="24"/>
                <w:lang w:val="en"/>
              </w:rPr>
              <w:t>Do not use more than one dose</w:t>
            </w:r>
            <w:r w:rsidRPr="008064F5">
              <w:rPr>
                <w:rFonts w:ascii="Times New Roman" w:eastAsia="Times New Roman" w:hAnsi="Times New Roman" w:cs="Times New Roman"/>
                <w:sz w:val="24"/>
                <w:szCs w:val="24"/>
                <w:lang w:val="en"/>
              </w:rPr>
              <w:t xml:space="preserve"> </w:t>
            </w:r>
            <w:r w:rsidRPr="008064F5">
              <w:rPr>
                <w:rFonts w:ascii="Times New Roman" w:eastAsia="Times New Roman" w:hAnsi="Times New Roman" w:cs="Times New Roman"/>
                <w:b/>
                <w:sz w:val="24"/>
                <w:szCs w:val="24"/>
                <w:lang w:val="en"/>
              </w:rPr>
              <w:t>of these products in 24 hours</w:t>
            </w:r>
            <w:r w:rsidRPr="008064F5">
              <w:rPr>
                <w:rFonts w:ascii="Times New Roman" w:eastAsia="Times New Roman" w:hAnsi="Times New Roman" w:cs="Times New Roman"/>
                <w:sz w:val="24"/>
                <w:szCs w:val="24"/>
                <w:lang w:val="en"/>
              </w:rPr>
              <w:t>. Even if you or your child</w:t>
            </w:r>
            <w:r w:rsidR="00404D1B">
              <w:rPr>
                <w:rFonts w:ascii="Times New Roman" w:eastAsia="Times New Roman" w:hAnsi="Times New Roman" w:cs="Times New Roman"/>
                <w:sz w:val="24"/>
                <w:szCs w:val="24"/>
                <w:lang w:val="en"/>
              </w:rPr>
              <w:t>ren</w:t>
            </w:r>
            <w:r w:rsidRPr="008064F5">
              <w:rPr>
                <w:rFonts w:ascii="Times New Roman" w:eastAsia="Times New Roman" w:hAnsi="Times New Roman" w:cs="Times New Roman"/>
                <w:sz w:val="24"/>
                <w:szCs w:val="24"/>
                <w:lang w:val="en"/>
              </w:rPr>
              <w:t xml:space="preserve"> do not have a bowel movement after taking a single oral or rectal dose, do not use another dose within 24 hours. Contact a </w:t>
            </w:r>
            <w:r w:rsidRPr="008064F5">
              <w:rPr>
                <w:rFonts w:ascii="Times New Roman" w:eastAsia="Times New Roman" w:hAnsi="Times New Roman" w:cs="Times New Roman"/>
                <w:sz w:val="24"/>
                <w:szCs w:val="24"/>
                <w:lang w:val="en"/>
              </w:rPr>
              <w:lastRenderedPageBreak/>
              <w:t xml:space="preserve">health care professional for advice.   </w:t>
            </w:r>
          </w:p>
          <w:p w:rsidR="008064F5" w:rsidRPr="008064F5" w:rsidRDefault="008064F5" w:rsidP="00937D08">
            <w:pPr>
              <w:numPr>
                <w:ilvl w:val="0"/>
                <w:numId w:val="1"/>
              </w:numPr>
              <w:ind w:left="252" w:hanging="252"/>
              <w:rPr>
                <w:rFonts w:ascii="Times New Roman" w:eastAsia="Times New Roman" w:hAnsi="Times New Roman" w:cs="Times New Roman"/>
                <w:sz w:val="24"/>
                <w:szCs w:val="24"/>
                <w:lang w:val="en"/>
              </w:rPr>
            </w:pPr>
            <w:r w:rsidRPr="008064F5">
              <w:rPr>
                <w:rFonts w:ascii="Times New Roman" w:eastAsia="Times New Roman" w:hAnsi="Times New Roman" w:cs="Times New Roman"/>
                <w:sz w:val="24"/>
                <w:szCs w:val="24"/>
                <w:lang w:val="en"/>
              </w:rPr>
              <w:t xml:space="preserve">Serious harm can occur with use of either the oral or rectal forms of OTC sodium phosphate.  </w:t>
            </w:r>
          </w:p>
          <w:p w:rsidR="008064F5" w:rsidRPr="008064F5" w:rsidRDefault="008064F5" w:rsidP="00937D08">
            <w:pPr>
              <w:numPr>
                <w:ilvl w:val="0"/>
                <w:numId w:val="1"/>
              </w:numPr>
              <w:ind w:left="252" w:hanging="252"/>
              <w:rPr>
                <w:rFonts w:ascii="Times New Roman" w:eastAsia="Times New Roman" w:hAnsi="Times New Roman" w:cs="Times New Roman"/>
                <w:sz w:val="24"/>
                <w:szCs w:val="24"/>
                <w:lang w:val="en"/>
              </w:rPr>
            </w:pPr>
            <w:r w:rsidRPr="008064F5">
              <w:rPr>
                <w:rFonts w:ascii="Times New Roman" w:eastAsia="Times New Roman" w:hAnsi="Times New Roman" w:cs="Times New Roman"/>
                <w:sz w:val="24"/>
                <w:szCs w:val="24"/>
                <w:lang w:val="en"/>
              </w:rPr>
              <w:t xml:space="preserve">Do not give these products rectally to children younger than 2 years. </w:t>
            </w:r>
          </w:p>
          <w:p w:rsidR="008064F5" w:rsidRPr="008064F5" w:rsidRDefault="008064F5" w:rsidP="00937D08">
            <w:pPr>
              <w:numPr>
                <w:ilvl w:val="0"/>
                <w:numId w:val="1"/>
              </w:numPr>
              <w:ind w:left="252" w:hanging="252"/>
              <w:rPr>
                <w:rFonts w:ascii="Times New Roman" w:eastAsia="Times New Roman" w:hAnsi="Times New Roman" w:cs="Times New Roman"/>
                <w:sz w:val="24"/>
                <w:szCs w:val="24"/>
                <w:lang w:val="en"/>
              </w:rPr>
            </w:pPr>
            <w:r w:rsidRPr="008064F5">
              <w:rPr>
                <w:rFonts w:ascii="Times New Roman" w:eastAsia="Times New Roman" w:hAnsi="Times New Roman" w:cs="Times New Roman"/>
                <w:sz w:val="24"/>
                <w:szCs w:val="24"/>
                <w:lang w:val="en"/>
              </w:rPr>
              <w:t xml:space="preserve">Do not give these products by mouth to children 5 years and younger without first talking with a health care professional. </w:t>
            </w:r>
          </w:p>
          <w:p w:rsidR="008064F5" w:rsidRPr="008064F5" w:rsidRDefault="00EF7E1C" w:rsidP="00937D08">
            <w:pPr>
              <w:numPr>
                <w:ilvl w:val="0"/>
                <w:numId w:val="1"/>
              </w:numPr>
              <w:ind w:left="252" w:hanging="252"/>
              <w:rPr>
                <w:rFonts w:ascii="Times New Roman" w:eastAsia="Times New Roman" w:hAnsi="Times New Roman" w:cs="Times New Roman"/>
                <w:sz w:val="24"/>
                <w:szCs w:val="24"/>
                <w:lang w:val="en"/>
              </w:rPr>
            </w:pPr>
            <w:r>
              <w:rPr>
                <w:rFonts w:ascii="Times New Roman" w:eastAsia="Times New Roman" w:hAnsi="Times New Roman" w:cs="Times New Roman"/>
                <w:b/>
                <w:sz w:val="24"/>
                <w:szCs w:val="24"/>
                <w:lang w:val="en"/>
              </w:rPr>
              <w:t>S</w:t>
            </w:r>
            <w:r w:rsidRPr="008064F5">
              <w:rPr>
                <w:rFonts w:ascii="Times New Roman" w:eastAsia="Times New Roman" w:hAnsi="Times New Roman" w:cs="Times New Roman"/>
                <w:b/>
                <w:sz w:val="24"/>
                <w:szCs w:val="24"/>
                <w:lang w:val="en"/>
              </w:rPr>
              <w:t xml:space="preserve">eek medical attention </w:t>
            </w:r>
            <w:r w:rsidRPr="008064F5">
              <w:rPr>
                <w:rFonts w:ascii="Times New Roman" w:eastAsia="Times New Roman" w:hAnsi="Times New Roman" w:cs="Times New Roman"/>
                <w:b/>
                <w:sz w:val="24"/>
                <w:szCs w:val="24"/>
                <w:lang w:val="en"/>
              </w:rPr>
              <w:t>immediately</w:t>
            </w:r>
            <w:r w:rsidRPr="008064F5">
              <w:rPr>
                <w:rFonts w:ascii="Times New Roman" w:eastAsia="Times New Roman" w:hAnsi="Times New Roman" w:cs="Times New Roman"/>
                <w:sz w:val="24"/>
                <w:szCs w:val="24"/>
                <w:lang w:val="en"/>
              </w:rPr>
              <w:t xml:space="preserve"> </w:t>
            </w:r>
            <w:r w:rsidRPr="000D4268">
              <w:rPr>
                <w:rFonts w:ascii="Times New Roman" w:eastAsia="Times New Roman" w:hAnsi="Times New Roman" w:cs="Times New Roman"/>
                <w:b/>
                <w:sz w:val="24"/>
                <w:szCs w:val="24"/>
                <w:lang w:val="en"/>
              </w:rPr>
              <w:t>i</w:t>
            </w:r>
            <w:r w:rsidR="008064F5" w:rsidRPr="008064F5">
              <w:rPr>
                <w:rFonts w:ascii="Times New Roman" w:eastAsia="Times New Roman" w:hAnsi="Times New Roman" w:cs="Times New Roman"/>
                <w:b/>
                <w:sz w:val="24"/>
                <w:szCs w:val="24"/>
                <w:lang w:val="en"/>
              </w:rPr>
              <w:t>f</w:t>
            </w:r>
            <w:r w:rsidR="008064F5" w:rsidRPr="008064F5">
              <w:rPr>
                <w:rFonts w:ascii="Times New Roman" w:eastAsia="Times New Roman" w:hAnsi="Times New Roman" w:cs="Times New Roman"/>
                <w:sz w:val="24"/>
                <w:szCs w:val="24"/>
                <w:lang w:val="en"/>
              </w:rPr>
              <w:t xml:space="preserve"> you or your child experiences symptoms of kidney injury, and do not tak</w:t>
            </w:r>
            <w:r w:rsidR="0029705D">
              <w:rPr>
                <w:rFonts w:ascii="Times New Roman" w:eastAsia="Times New Roman" w:hAnsi="Times New Roman" w:cs="Times New Roman"/>
                <w:sz w:val="24"/>
                <w:szCs w:val="24"/>
                <w:lang w:val="en"/>
              </w:rPr>
              <w:t>e another dose of the product. </w:t>
            </w:r>
            <w:r w:rsidR="008064F5" w:rsidRPr="008064F5">
              <w:rPr>
                <w:rFonts w:ascii="Times New Roman" w:eastAsia="Times New Roman" w:hAnsi="Times New Roman" w:cs="Times New Roman"/>
                <w:sz w:val="24"/>
                <w:szCs w:val="24"/>
                <w:lang w:val="en"/>
              </w:rPr>
              <w:t>Symptoms of kidney injury include drowsiness</w:t>
            </w:r>
            <w:r w:rsidR="009C6269">
              <w:rPr>
                <w:rFonts w:ascii="Times New Roman" w:eastAsia="Times New Roman" w:hAnsi="Times New Roman" w:cs="Times New Roman"/>
                <w:sz w:val="24"/>
                <w:szCs w:val="24"/>
                <w:lang w:val="en"/>
              </w:rPr>
              <w:t>;</w:t>
            </w:r>
            <w:r w:rsidR="008064F5" w:rsidRPr="008064F5">
              <w:rPr>
                <w:rFonts w:ascii="Times New Roman" w:eastAsia="Times New Roman" w:hAnsi="Times New Roman" w:cs="Times New Roman"/>
                <w:sz w:val="24"/>
                <w:szCs w:val="24"/>
                <w:lang w:val="en"/>
              </w:rPr>
              <w:t xml:space="preserve"> sluggishness</w:t>
            </w:r>
            <w:r w:rsidR="009C6269">
              <w:rPr>
                <w:rFonts w:ascii="Times New Roman" w:eastAsia="Times New Roman" w:hAnsi="Times New Roman" w:cs="Times New Roman"/>
                <w:sz w:val="24"/>
                <w:szCs w:val="24"/>
                <w:lang w:val="en"/>
              </w:rPr>
              <w:t>;</w:t>
            </w:r>
            <w:r w:rsidR="008064F5" w:rsidRPr="008064F5">
              <w:rPr>
                <w:rFonts w:ascii="Times New Roman" w:eastAsia="Times New Roman" w:hAnsi="Times New Roman" w:cs="Times New Roman"/>
                <w:sz w:val="24"/>
                <w:szCs w:val="24"/>
                <w:lang w:val="en"/>
              </w:rPr>
              <w:t xml:space="preserve"> decreased amount of urine</w:t>
            </w:r>
            <w:r w:rsidR="009C6269">
              <w:rPr>
                <w:rFonts w:ascii="Times New Roman" w:eastAsia="Times New Roman" w:hAnsi="Times New Roman" w:cs="Times New Roman"/>
                <w:sz w:val="24"/>
                <w:szCs w:val="24"/>
                <w:lang w:val="en"/>
              </w:rPr>
              <w:t>;</w:t>
            </w:r>
            <w:r w:rsidR="008064F5" w:rsidRPr="008064F5">
              <w:rPr>
                <w:rFonts w:ascii="Times New Roman" w:eastAsia="Times New Roman" w:hAnsi="Times New Roman" w:cs="Times New Roman"/>
                <w:sz w:val="24"/>
                <w:szCs w:val="24"/>
                <w:lang w:val="en"/>
              </w:rPr>
              <w:t xml:space="preserve"> or swelling of the ankles, feet, and legs. </w:t>
            </w:r>
          </w:p>
          <w:p w:rsidR="008064F5" w:rsidRDefault="008064F5" w:rsidP="00937D08">
            <w:pPr>
              <w:numPr>
                <w:ilvl w:val="0"/>
                <w:numId w:val="1"/>
              </w:numPr>
              <w:ind w:left="252" w:hanging="252"/>
              <w:rPr>
                <w:rFonts w:ascii="Times New Roman" w:eastAsia="Times New Roman" w:hAnsi="Times New Roman" w:cs="Times New Roman"/>
                <w:sz w:val="24"/>
                <w:szCs w:val="24"/>
                <w:lang w:val="en"/>
              </w:rPr>
            </w:pPr>
            <w:r w:rsidRPr="008064F5">
              <w:rPr>
                <w:rFonts w:ascii="Times New Roman" w:eastAsia="Times New Roman" w:hAnsi="Times New Roman" w:cs="Times New Roman"/>
                <w:sz w:val="24"/>
                <w:szCs w:val="24"/>
                <w:lang w:val="en"/>
              </w:rPr>
              <w:t xml:space="preserve">Report side effects from OTC </w:t>
            </w:r>
            <w:r w:rsidRPr="008064F5">
              <w:rPr>
                <w:rFonts w:ascii="Times New Roman" w:eastAsia="Times New Roman" w:hAnsi="Times New Roman" w:cs="Times New Roman"/>
                <w:sz w:val="24"/>
                <w:szCs w:val="24"/>
                <w:lang w:val="en"/>
              </w:rPr>
              <w:t xml:space="preserve">sodium phosphate drug products to the FDA </w:t>
            </w:r>
            <w:proofErr w:type="spellStart"/>
            <w:r w:rsidRPr="008064F5">
              <w:rPr>
                <w:rFonts w:ascii="Times New Roman" w:eastAsia="Times New Roman" w:hAnsi="Times New Roman" w:cs="Times New Roman"/>
                <w:sz w:val="24"/>
                <w:szCs w:val="24"/>
                <w:lang w:val="en"/>
              </w:rPr>
              <w:t>MedWatch</w:t>
            </w:r>
            <w:proofErr w:type="spellEnd"/>
            <w:r w:rsidRPr="008064F5">
              <w:rPr>
                <w:rFonts w:ascii="Times New Roman" w:eastAsia="Times New Roman" w:hAnsi="Times New Roman" w:cs="Times New Roman"/>
                <w:sz w:val="24"/>
                <w:szCs w:val="24"/>
                <w:lang w:val="en"/>
              </w:rPr>
              <w:t xml:space="preserve"> program, using the information in the "Contact FDA" box at the bottom of this page.</w:t>
            </w:r>
          </w:p>
          <w:p w:rsidR="005026A4" w:rsidRPr="00937D08" w:rsidRDefault="005026A4" w:rsidP="005026A4">
            <w:pPr>
              <w:ind w:left="252"/>
              <w:rPr>
                <w:rFonts w:ascii="Times New Roman" w:eastAsia="Times New Roman" w:hAnsi="Times New Roman" w:cs="Times New Roman"/>
                <w:sz w:val="24"/>
                <w:szCs w:val="24"/>
                <w:lang w:val="en"/>
              </w:rPr>
            </w:pPr>
          </w:p>
        </w:tc>
      </w:tr>
      <w:tr w:rsidR="0029705D" w:rsidTr="0029705D">
        <w:tc>
          <w:tcPr>
            <w:tcW w:w="2029" w:type="dxa"/>
          </w:tcPr>
          <w:p w:rsidR="0029705D" w:rsidRDefault="0029705D" w:rsidP="00B912FD">
            <w:pPr>
              <w:rPr>
                <w:rFonts w:ascii="Times New Roman" w:eastAsia="Times New Roman" w:hAnsi="Times New Roman" w:cs="Times New Roman"/>
                <w:sz w:val="24"/>
                <w:szCs w:val="24"/>
                <w:lang w:val="en"/>
              </w:rPr>
            </w:pPr>
            <w:r w:rsidRPr="0029705D">
              <w:rPr>
                <w:rFonts w:ascii="Times New Roman" w:eastAsia="Times New Roman" w:hAnsi="Times New Roman" w:cs="Times New Roman"/>
                <w:sz w:val="24"/>
                <w:szCs w:val="24"/>
                <w:lang w:val="en"/>
              </w:rPr>
              <w:lastRenderedPageBreak/>
              <w:t>Information for Health Care Professionals</w:t>
            </w:r>
          </w:p>
        </w:tc>
        <w:tc>
          <w:tcPr>
            <w:tcW w:w="7547" w:type="dxa"/>
          </w:tcPr>
          <w:p w:rsidR="0029705D" w:rsidRPr="0029705D" w:rsidRDefault="0029705D" w:rsidP="0029705D">
            <w:pPr>
              <w:numPr>
                <w:ilvl w:val="0"/>
                <w:numId w:val="1"/>
              </w:numPr>
              <w:ind w:left="252" w:hanging="252"/>
              <w:rPr>
                <w:rFonts w:ascii="Times New Roman" w:eastAsia="Times New Roman" w:hAnsi="Times New Roman" w:cs="Times New Roman"/>
                <w:sz w:val="24"/>
                <w:szCs w:val="24"/>
                <w:lang w:val="en"/>
              </w:rPr>
            </w:pPr>
            <w:r w:rsidRPr="0029705D">
              <w:rPr>
                <w:rFonts w:ascii="Times New Roman" w:eastAsia="Times New Roman" w:hAnsi="Times New Roman" w:cs="Times New Roman"/>
                <w:sz w:val="24"/>
                <w:szCs w:val="24"/>
                <w:lang w:val="en"/>
              </w:rPr>
              <w:t>The severity of adverse events is similar regardless of the route of s</w:t>
            </w:r>
            <w:r w:rsidR="00250A21">
              <w:rPr>
                <w:rFonts w:ascii="Times New Roman" w:eastAsia="Times New Roman" w:hAnsi="Times New Roman" w:cs="Times New Roman"/>
                <w:sz w:val="24"/>
                <w:szCs w:val="24"/>
                <w:lang w:val="en"/>
              </w:rPr>
              <w:t>odium phosphate administration.</w:t>
            </w:r>
            <w:r w:rsidRPr="0029705D">
              <w:rPr>
                <w:rFonts w:ascii="Times New Roman" w:eastAsia="Times New Roman" w:hAnsi="Times New Roman" w:cs="Times New Roman"/>
                <w:sz w:val="24"/>
                <w:szCs w:val="24"/>
                <w:lang w:val="en"/>
              </w:rPr>
              <w:t xml:space="preserve"> Rectal forms of sodium phosphate drug products should not be considered safer than the oral forms. </w:t>
            </w:r>
          </w:p>
          <w:p w:rsidR="0029705D" w:rsidRPr="0029705D" w:rsidRDefault="0029705D" w:rsidP="0029705D">
            <w:pPr>
              <w:numPr>
                <w:ilvl w:val="0"/>
                <w:numId w:val="1"/>
              </w:numPr>
              <w:ind w:left="252" w:hanging="252"/>
              <w:rPr>
                <w:rFonts w:ascii="Times New Roman" w:eastAsia="Times New Roman" w:hAnsi="Times New Roman" w:cs="Times New Roman"/>
                <w:sz w:val="24"/>
                <w:szCs w:val="24"/>
                <w:lang w:val="en"/>
              </w:rPr>
            </w:pPr>
            <w:r w:rsidRPr="0029705D">
              <w:rPr>
                <w:rFonts w:ascii="Times New Roman" w:eastAsia="Times New Roman" w:hAnsi="Times New Roman" w:cs="Times New Roman"/>
                <w:sz w:val="24"/>
                <w:szCs w:val="24"/>
                <w:lang w:val="en"/>
              </w:rPr>
              <w:t xml:space="preserve">Rectal sodium phosphate drug products should not be used at all in children younger than 2 years.   </w:t>
            </w:r>
          </w:p>
          <w:p w:rsidR="0029705D" w:rsidRPr="0029705D" w:rsidRDefault="0029705D" w:rsidP="0029705D">
            <w:pPr>
              <w:numPr>
                <w:ilvl w:val="0"/>
                <w:numId w:val="1"/>
              </w:numPr>
              <w:ind w:left="252" w:hanging="252"/>
              <w:rPr>
                <w:rFonts w:ascii="Times New Roman" w:eastAsia="Times New Roman" w:hAnsi="Times New Roman" w:cs="Times New Roman"/>
                <w:sz w:val="24"/>
                <w:szCs w:val="24"/>
                <w:lang w:val="en"/>
              </w:rPr>
            </w:pPr>
            <w:r w:rsidRPr="0029705D">
              <w:rPr>
                <w:rFonts w:ascii="Times New Roman" w:eastAsia="Times New Roman" w:hAnsi="Times New Roman" w:cs="Times New Roman"/>
                <w:sz w:val="24"/>
                <w:szCs w:val="24"/>
                <w:lang w:val="en"/>
              </w:rPr>
              <w:t xml:space="preserve">Use caution if recommending use of an oral OTC sodium phosphate drug product in children 5 years and younger.  </w:t>
            </w:r>
          </w:p>
          <w:p w:rsidR="0029705D" w:rsidRPr="0029705D" w:rsidRDefault="0029705D" w:rsidP="0029705D">
            <w:pPr>
              <w:numPr>
                <w:ilvl w:val="0"/>
                <w:numId w:val="1"/>
              </w:numPr>
              <w:ind w:left="252" w:hanging="252"/>
              <w:rPr>
                <w:rFonts w:ascii="Times New Roman" w:eastAsia="Times New Roman" w:hAnsi="Times New Roman" w:cs="Times New Roman"/>
                <w:sz w:val="24"/>
                <w:szCs w:val="24"/>
                <w:lang w:val="en"/>
              </w:rPr>
            </w:pPr>
            <w:r w:rsidRPr="0029705D">
              <w:rPr>
                <w:rFonts w:ascii="Times New Roman" w:eastAsia="Times New Roman" w:hAnsi="Times New Roman" w:cs="Times New Roman"/>
                <w:sz w:val="24"/>
                <w:szCs w:val="24"/>
                <w:lang w:val="en"/>
              </w:rPr>
              <w:t xml:space="preserve">Avoid exceeding the maximum recommended rectal or oral dose of sodium phosphate products for both children and adults. </w:t>
            </w:r>
          </w:p>
          <w:p w:rsidR="0029705D" w:rsidRPr="0029705D" w:rsidRDefault="0029705D" w:rsidP="0029705D">
            <w:pPr>
              <w:numPr>
                <w:ilvl w:val="0"/>
                <w:numId w:val="1"/>
              </w:numPr>
              <w:ind w:left="252" w:hanging="252"/>
              <w:rPr>
                <w:rFonts w:ascii="Times New Roman" w:eastAsia="Times New Roman" w:hAnsi="Times New Roman" w:cs="Times New Roman"/>
                <w:sz w:val="24"/>
                <w:szCs w:val="24"/>
                <w:lang w:val="en"/>
              </w:rPr>
            </w:pPr>
            <w:r w:rsidRPr="0029705D">
              <w:rPr>
                <w:rFonts w:ascii="Times New Roman" w:eastAsia="Times New Roman" w:hAnsi="Times New Roman" w:cs="Times New Roman"/>
                <w:sz w:val="24"/>
                <w:szCs w:val="24"/>
                <w:lang w:val="en"/>
              </w:rPr>
              <w:t xml:space="preserve">Additional doses are not recommended within 24 hours for patients who do not have a bowel movement after taking an oral or rectal dose. </w:t>
            </w:r>
          </w:p>
          <w:p w:rsidR="0029705D" w:rsidRPr="0029705D" w:rsidRDefault="0029705D" w:rsidP="0029705D">
            <w:pPr>
              <w:numPr>
                <w:ilvl w:val="0"/>
                <w:numId w:val="1"/>
              </w:numPr>
              <w:ind w:left="252" w:hanging="252"/>
              <w:rPr>
                <w:rFonts w:ascii="Times New Roman" w:eastAsia="Times New Roman" w:hAnsi="Times New Roman" w:cs="Times New Roman"/>
                <w:sz w:val="24"/>
                <w:szCs w:val="24"/>
                <w:lang w:val="en"/>
              </w:rPr>
            </w:pPr>
            <w:r w:rsidRPr="0029705D">
              <w:rPr>
                <w:rFonts w:ascii="Times New Roman" w:eastAsia="Times New Roman" w:hAnsi="Times New Roman" w:cs="Times New Roman"/>
                <w:sz w:val="24"/>
                <w:szCs w:val="24"/>
                <w:lang w:val="en"/>
              </w:rPr>
              <w:t xml:space="preserve">Avoid concomitant treatment with laxatives containing sodium phosphate. </w:t>
            </w:r>
          </w:p>
          <w:p w:rsidR="0029705D" w:rsidRPr="0029705D" w:rsidRDefault="0029705D" w:rsidP="0029705D">
            <w:pPr>
              <w:numPr>
                <w:ilvl w:val="0"/>
                <w:numId w:val="1"/>
              </w:numPr>
              <w:ind w:left="252" w:hanging="252"/>
              <w:rPr>
                <w:rFonts w:ascii="Times New Roman" w:eastAsia="Times New Roman" w:hAnsi="Times New Roman" w:cs="Times New Roman"/>
                <w:sz w:val="24"/>
                <w:szCs w:val="24"/>
                <w:lang w:val="en"/>
              </w:rPr>
            </w:pPr>
            <w:r w:rsidRPr="0029705D">
              <w:rPr>
                <w:rFonts w:ascii="Times New Roman" w:eastAsia="Times New Roman" w:hAnsi="Times New Roman" w:cs="Times New Roman"/>
                <w:sz w:val="24"/>
                <w:szCs w:val="24"/>
                <w:lang w:val="en"/>
              </w:rPr>
              <w:t xml:space="preserve">Use caution when recommending these products to patients at potentially higher risk for product-related adverse events. These include those older than 55 years; patients with hypovolemia; or decreased intravascular volume; those who have baseline kidney disease, decreased bowel transit time, bowel obstruction, or active colitis; and those who are using medications that affect renal perfusion or function, such as diuretics, ACEIs, ARBs, or NSAIDs. </w:t>
            </w:r>
          </w:p>
          <w:p w:rsidR="0029705D" w:rsidRPr="0029705D" w:rsidRDefault="0029705D" w:rsidP="0029705D">
            <w:pPr>
              <w:numPr>
                <w:ilvl w:val="0"/>
                <w:numId w:val="1"/>
              </w:numPr>
              <w:ind w:left="252" w:hanging="252"/>
              <w:rPr>
                <w:rFonts w:ascii="Times New Roman" w:eastAsia="Times New Roman" w:hAnsi="Times New Roman" w:cs="Times New Roman"/>
                <w:sz w:val="24"/>
                <w:szCs w:val="24"/>
                <w:lang w:val="en"/>
              </w:rPr>
            </w:pPr>
            <w:r w:rsidRPr="0029705D">
              <w:rPr>
                <w:rFonts w:ascii="Times New Roman" w:eastAsia="Times New Roman" w:hAnsi="Times New Roman" w:cs="Times New Roman"/>
                <w:sz w:val="24"/>
                <w:szCs w:val="24"/>
                <w:lang w:val="en"/>
              </w:rPr>
              <w:t xml:space="preserve">Advise patients to ensure they are adequately hydrated during product use. Assess serum electrolytes and renal function in patients who may be at higher risk for product-related adverse events, which includes those who have retained a rectal dose for more than 30 minutes, who are vomiting, or who may have signs of dehydration. </w:t>
            </w:r>
          </w:p>
          <w:p w:rsidR="0029705D" w:rsidRDefault="0029705D" w:rsidP="0029705D">
            <w:pPr>
              <w:numPr>
                <w:ilvl w:val="0"/>
                <w:numId w:val="1"/>
              </w:numPr>
              <w:ind w:left="252" w:hanging="252"/>
              <w:rPr>
                <w:rFonts w:ascii="Times New Roman" w:eastAsia="Times New Roman" w:hAnsi="Times New Roman" w:cs="Times New Roman"/>
                <w:sz w:val="24"/>
                <w:szCs w:val="24"/>
                <w:lang w:val="en"/>
              </w:rPr>
            </w:pPr>
            <w:r w:rsidRPr="0029705D">
              <w:rPr>
                <w:rFonts w:ascii="Times New Roman" w:eastAsia="Times New Roman" w:hAnsi="Times New Roman" w:cs="Times New Roman"/>
                <w:sz w:val="24"/>
                <w:szCs w:val="24"/>
                <w:lang w:val="en"/>
              </w:rPr>
              <w:t xml:space="preserve">Report adverse events involving OTC sodium phosphate drug products to the FDA </w:t>
            </w:r>
            <w:proofErr w:type="spellStart"/>
            <w:r w:rsidRPr="0029705D">
              <w:rPr>
                <w:rFonts w:ascii="Times New Roman" w:eastAsia="Times New Roman" w:hAnsi="Times New Roman" w:cs="Times New Roman"/>
                <w:sz w:val="24"/>
                <w:szCs w:val="24"/>
                <w:lang w:val="en"/>
              </w:rPr>
              <w:t>MedWatch</w:t>
            </w:r>
            <w:proofErr w:type="spellEnd"/>
            <w:r w:rsidRPr="0029705D">
              <w:rPr>
                <w:rFonts w:ascii="Times New Roman" w:eastAsia="Times New Roman" w:hAnsi="Times New Roman" w:cs="Times New Roman"/>
                <w:sz w:val="24"/>
                <w:szCs w:val="24"/>
                <w:lang w:val="en"/>
              </w:rPr>
              <w:t xml:space="preserve"> program, using the information in the "Contact FDA" box at the bottom of this page.</w:t>
            </w:r>
          </w:p>
          <w:p w:rsidR="00783BD4" w:rsidRPr="0029705D" w:rsidRDefault="00783BD4" w:rsidP="00783BD4">
            <w:pPr>
              <w:rPr>
                <w:rFonts w:ascii="Times New Roman" w:eastAsia="Times New Roman" w:hAnsi="Times New Roman" w:cs="Times New Roman"/>
                <w:sz w:val="24"/>
                <w:szCs w:val="24"/>
                <w:lang w:val="en"/>
              </w:rPr>
            </w:pPr>
          </w:p>
        </w:tc>
      </w:tr>
      <w:tr w:rsidR="008064F5" w:rsidTr="0029705D">
        <w:tc>
          <w:tcPr>
            <w:tcW w:w="2029" w:type="dxa"/>
          </w:tcPr>
          <w:p w:rsidR="008064F5" w:rsidRDefault="008064F5" w:rsidP="00B04223">
            <w:r>
              <w:rPr>
                <w:rFonts w:ascii="Times New Roman" w:eastAsia="Times New Roman" w:hAnsi="Times New Roman" w:cs="Times New Roman"/>
                <w:sz w:val="24"/>
                <w:szCs w:val="24"/>
                <w:lang w:val="en"/>
              </w:rPr>
              <w:t>Previous Communications on</w:t>
            </w:r>
            <w:r w:rsidR="003E5E5A">
              <w:rPr>
                <w:rFonts w:ascii="Times New Roman" w:eastAsia="Times New Roman" w:hAnsi="Times New Roman" w:cs="Times New Roman"/>
                <w:sz w:val="24"/>
                <w:szCs w:val="24"/>
                <w:lang w:val="en"/>
              </w:rPr>
              <w:t xml:space="preserve"> this</w:t>
            </w:r>
            <w:r>
              <w:rPr>
                <w:rFonts w:ascii="Times New Roman" w:eastAsia="Times New Roman" w:hAnsi="Times New Roman" w:cs="Times New Roman"/>
                <w:sz w:val="24"/>
                <w:szCs w:val="24"/>
                <w:lang w:val="en"/>
              </w:rPr>
              <w:t xml:space="preserve"> Risk</w:t>
            </w:r>
            <w:r w:rsidRPr="00B04223">
              <w:rPr>
                <w:rFonts w:ascii="Times New Roman" w:eastAsia="Times New Roman" w:hAnsi="Times New Roman" w:cs="Times New Roman"/>
                <w:sz w:val="24"/>
                <w:szCs w:val="24"/>
                <w:lang w:val="en"/>
              </w:rPr>
              <w:t xml:space="preserve"> </w:t>
            </w:r>
          </w:p>
        </w:tc>
        <w:tc>
          <w:tcPr>
            <w:tcW w:w="7547" w:type="dxa"/>
          </w:tcPr>
          <w:p w:rsidR="008064F5" w:rsidRDefault="008064F5" w:rsidP="00B05D81">
            <w:pPr>
              <w:rPr>
                <w:rFonts w:ascii="Times New Roman" w:eastAsia="Times New Roman" w:hAnsi="Times New Roman" w:cs="Times New Roman"/>
                <w:sz w:val="24"/>
                <w:szCs w:val="24"/>
                <w:lang w:val="en"/>
              </w:rPr>
            </w:pPr>
            <w:r w:rsidRPr="004920A6">
              <w:rPr>
                <w:rFonts w:ascii="Times New Roman" w:eastAsia="Times New Roman" w:hAnsi="Times New Roman" w:cs="Times New Roman"/>
                <w:sz w:val="24"/>
                <w:szCs w:val="24"/>
                <w:lang w:val="en"/>
              </w:rPr>
              <w:t xml:space="preserve">FDA communicated previously about the risk of kidney injury with the use of oral sodium phosphate drug products at higher doses for bowel cleansing prior to colonoscopy or other procedures. These 2008 communications </w:t>
            </w:r>
            <w:r w:rsidRPr="004920A6">
              <w:rPr>
                <w:rFonts w:ascii="Times New Roman" w:eastAsia="Times New Roman" w:hAnsi="Times New Roman" w:cs="Times New Roman"/>
                <w:sz w:val="24"/>
                <w:szCs w:val="24"/>
                <w:lang w:val="en"/>
              </w:rPr>
              <w:lastRenderedPageBreak/>
              <w:t xml:space="preserve">included </w:t>
            </w:r>
            <w:proofErr w:type="gramStart"/>
            <w:r w:rsidRPr="004920A6">
              <w:rPr>
                <w:rFonts w:ascii="Times New Roman" w:eastAsia="Times New Roman" w:hAnsi="Times New Roman" w:cs="Times New Roman"/>
                <w:sz w:val="24"/>
                <w:szCs w:val="24"/>
                <w:lang w:val="en"/>
              </w:rPr>
              <w:t xml:space="preserve">an </w:t>
            </w:r>
            <w:hyperlink r:id="rId6" w:history="1">
              <w:r w:rsidRPr="004920A6">
                <w:rPr>
                  <w:rFonts w:ascii="Times New Roman" w:eastAsia="Times New Roman" w:hAnsi="Times New Roman" w:cs="Times New Roman"/>
                  <w:color w:val="0000FF"/>
                  <w:sz w:val="24"/>
                  <w:szCs w:val="24"/>
                  <w:u w:val="single"/>
                  <w:lang w:val="en"/>
                </w:rPr>
                <w:t>I</w:t>
              </w:r>
              <w:bookmarkStart w:id="0" w:name="_GoBack"/>
              <w:bookmarkEnd w:id="0"/>
              <w:r w:rsidRPr="004920A6">
                <w:rPr>
                  <w:rFonts w:ascii="Times New Roman" w:eastAsia="Times New Roman" w:hAnsi="Times New Roman" w:cs="Times New Roman"/>
                  <w:color w:val="0000FF"/>
                  <w:sz w:val="24"/>
                  <w:szCs w:val="24"/>
                  <w:u w:val="single"/>
                  <w:lang w:val="en"/>
                </w:rPr>
                <w:t>nformation</w:t>
              </w:r>
              <w:proofErr w:type="gramEnd"/>
              <w:r w:rsidRPr="004920A6">
                <w:rPr>
                  <w:rFonts w:ascii="Times New Roman" w:eastAsia="Times New Roman" w:hAnsi="Times New Roman" w:cs="Times New Roman"/>
                  <w:color w:val="0000FF"/>
                  <w:sz w:val="24"/>
                  <w:szCs w:val="24"/>
                  <w:u w:val="single"/>
                  <w:lang w:val="en"/>
                </w:rPr>
                <w:t xml:space="preserve"> for Healthcare Professionals Sheet</w:t>
              </w:r>
            </w:hyperlink>
            <w:r w:rsidRPr="004920A6">
              <w:rPr>
                <w:rFonts w:ascii="Times New Roman" w:eastAsia="Times New Roman" w:hAnsi="Times New Roman" w:cs="Times New Roman"/>
                <w:sz w:val="24"/>
                <w:szCs w:val="24"/>
                <w:lang w:val="en"/>
              </w:rPr>
              <w:t xml:space="preserve">, an </w:t>
            </w:r>
            <w:hyperlink r:id="rId7" w:history="1">
              <w:r w:rsidRPr="004920A6">
                <w:rPr>
                  <w:rFonts w:ascii="Times New Roman" w:eastAsia="Times New Roman" w:hAnsi="Times New Roman" w:cs="Times New Roman"/>
                  <w:color w:val="0000FF"/>
                  <w:sz w:val="24"/>
                  <w:szCs w:val="24"/>
                  <w:u w:val="single"/>
                  <w:lang w:val="en"/>
                </w:rPr>
                <w:t>FDA News Release</w:t>
              </w:r>
            </w:hyperlink>
            <w:r w:rsidRPr="004920A6">
              <w:rPr>
                <w:rFonts w:ascii="Times New Roman" w:eastAsia="Times New Roman" w:hAnsi="Times New Roman" w:cs="Times New Roman"/>
                <w:sz w:val="24"/>
                <w:szCs w:val="24"/>
                <w:lang w:val="en"/>
              </w:rPr>
              <w:t xml:space="preserve">, and a </w:t>
            </w:r>
            <w:hyperlink r:id="rId8" w:history="1">
              <w:r w:rsidRPr="004920A6">
                <w:rPr>
                  <w:rFonts w:ascii="Times New Roman" w:eastAsia="Times New Roman" w:hAnsi="Times New Roman" w:cs="Times New Roman"/>
                  <w:color w:val="0000FF"/>
                  <w:sz w:val="24"/>
                  <w:szCs w:val="24"/>
                  <w:u w:val="single"/>
                  <w:lang w:val="en"/>
                </w:rPr>
                <w:t>Questions and Answers document</w:t>
              </w:r>
            </w:hyperlink>
            <w:r w:rsidRPr="004920A6">
              <w:rPr>
                <w:rFonts w:ascii="Times New Roman" w:eastAsia="Times New Roman" w:hAnsi="Times New Roman" w:cs="Times New Roman"/>
                <w:sz w:val="24"/>
                <w:szCs w:val="24"/>
                <w:lang w:val="en"/>
              </w:rPr>
              <w:t>. </w:t>
            </w:r>
          </w:p>
          <w:p w:rsidR="008064F5" w:rsidRDefault="008064F5" w:rsidP="00B05D81"/>
        </w:tc>
      </w:tr>
      <w:tr w:rsidR="00BF388D" w:rsidTr="0029705D">
        <w:tc>
          <w:tcPr>
            <w:tcW w:w="2029" w:type="dxa"/>
          </w:tcPr>
          <w:p w:rsidR="00BF388D" w:rsidRDefault="00BF388D" w:rsidP="00B04223">
            <w:pPr>
              <w:rPr>
                <w:rFonts w:ascii="Times New Roman" w:eastAsia="Times New Roman" w:hAnsi="Times New Roman" w:cs="Times New Roman"/>
                <w:sz w:val="24"/>
                <w:szCs w:val="24"/>
                <w:lang w:val="en"/>
              </w:rPr>
            </w:pPr>
            <w:r w:rsidRPr="00BF388D">
              <w:rPr>
                <w:rFonts w:ascii="Times New Roman" w:eastAsia="Times New Roman" w:hAnsi="Times New Roman" w:cs="Times New Roman"/>
                <w:sz w:val="24"/>
                <w:szCs w:val="24"/>
                <w:lang w:val="en"/>
              </w:rPr>
              <w:lastRenderedPageBreak/>
              <w:t>Data Summary</w:t>
            </w:r>
          </w:p>
        </w:tc>
        <w:tc>
          <w:tcPr>
            <w:tcW w:w="7547" w:type="dxa"/>
          </w:tcPr>
          <w:p w:rsidR="00BF388D" w:rsidRPr="00081211" w:rsidRDefault="00BF388D" w:rsidP="00BF388D">
            <w:pPr>
              <w:rPr>
                <w:rFonts w:ascii="Times New Roman" w:eastAsia="Times New Roman" w:hAnsi="Times New Roman" w:cs="Times New Roman"/>
                <w:sz w:val="24"/>
                <w:szCs w:val="24"/>
                <w:lang w:val="en"/>
              </w:rPr>
            </w:pPr>
            <w:r w:rsidRPr="00081211">
              <w:rPr>
                <w:rFonts w:ascii="Times New Roman" w:eastAsia="Times New Roman" w:hAnsi="Times New Roman" w:cs="Times New Roman"/>
                <w:sz w:val="24"/>
                <w:szCs w:val="24"/>
                <w:lang w:val="en"/>
              </w:rPr>
              <w:t>FDA reviewed the FDA Adverse Event Reporting System (FAERS) database from 1969 through 2012 and the medical literature from 1957 through August 2013 for cases describing serious adverse events associated with the oral or rectal use of over-the-counter (OTC) sodium phosphate drug produc</w:t>
            </w:r>
            <w:r>
              <w:rPr>
                <w:rFonts w:ascii="Times New Roman" w:eastAsia="Times New Roman" w:hAnsi="Times New Roman" w:cs="Times New Roman"/>
                <w:sz w:val="24"/>
                <w:szCs w:val="24"/>
                <w:lang w:val="en"/>
              </w:rPr>
              <w:t>ts used to treat constipation. </w:t>
            </w:r>
            <w:r w:rsidRPr="00081211">
              <w:rPr>
                <w:rFonts w:ascii="Times New Roman" w:eastAsia="Times New Roman" w:hAnsi="Times New Roman" w:cs="Times New Roman"/>
                <w:sz w:val="24"/>
                <w:szCs w:val="24"/>
                <w:lang w:val="en"/>
              </w:rPr>
              <w:t>We identified 54 cases describing serious adverse events in</w:t>
            </w:r>
            <w:r>
              <w:rPr>
                <w:rFonts w:ascii="Times New Roman" w:eastAsia="Times New Roman" w:hAnsi="Times New Roman" w:cs="Times New Roman"/>
                <w:sz w:val="24"/>
                <w:szCs w:val="24"/>
                <w:lang w:val="en"/>
              </w:rPr>
              <w:t xml:space="preserve"> 25 adults and in 29 children. </w:t>
            </w:r>
            <w:r w:rsidRPr="00081211">
              <w:rPr>
                <w:rFonts w:ascii="Times New Roman" w:eastAsia="Times New Roman" w:hAnsi="Times New Roman" w:cs="Times New Roman"/>
                <w:sz w:val="24"/>
                <w:szCs w:val="24"/>
                <w:lang w:val="en"/>
              </w:rPr>
              <w:t>Ten cases were reported to the FAERS database and 44 were publi</w:t>
            </w:r>
            <w:r>
              <w:rPr>
                <w:rFonts w:ascii="Times New Roman" w:eastAsia="Times New Roman" w:hAnsi="Times New Roman" w:cs="Times New Roman"/>
                <w:sz w:val="24"/>
                <w:szCs w:val="24"/>
                <w:lang w:val="en"/>
              </w:rPr>
              <w:t>shed in the medical literature.</w:t>
            </w:r>
            <w:r w:rsidRPr="00081211">
              <w:rPr>
                <w:rFonts w:ascii="Times New Roman" w:eastAsia="Times New Roman" w:hAnsi="Times New Roman" w:cs="Times New Roman"/>
                <w:sz w:val="24"/>
                <w:szCs w:val="24"/>
                <w:vertAlign w:val="superscript"/>
                <w:lang w:val="en"/>
              </w:rPr>
              <w:t>1-39</w:t>
            </w:r>
            <w:r>
              <w:rPr>
                <w:rFonts w:ascii="Times New Roman" w:eastAsia="Times New Roman" w:hAnsi="Times New Roman" w:cs="Times New Roman"/>
                <w:sz w:val="24"/>
                <w:szCs w:val="24"/>
                <w:vertAlign w:val="superscript"/>
                <w:lang w:val="en"/>
              </w:rPr>
              <w:t xml:space="preserve"> </w:t>
            </w:r>
            <w:r w:rsidRPr="00081211">
              <w:rPr>
                <w:rFonts w:ascii="Times New Roman" w:eastAsia="Times New Roman" w:hAnsi="Times New Roman" w:cs="Times New Roman"/>
                <w:sz w:val="24"/>
                <w:szCs w:val="24"/>
                <w:lang w:val="en"/>
              </w:rPr>
              <w:t>The age of the consumers ranged widely from 8 days to 97 years, but most cases involved older adults and children younger than 5 years. Nearly two-thirds of the adults</w:t>
            </w:r>
            <w:r>
              <w:rPr>
                <w:rFonts w:ascii="Times New Roman" w:eastAsia="Times New Roman" w:hAnsi="Times New Roman" w:cs="Times New Roman"/>
                <w:sz w:val="24"/>
                <w:szCs w:val="24"/>
                <w:lang w:val="en"/>
              </w:rPr>
              <w:t xml:space="preserve"> (approximately 66%)</w:t>
            </w:r>
            <w:r w:rsidRPr="00081211">
              <w:rPr>
                <w:rFonts w:ascii="Times New Roman" w:eastAsia="Times New Roman" w:hAnsi="Times New Roman" w:cs="Times New Roman"/>
                <w:sz w:val="24"/>
                <w:szCs w:val="24"/>
                <w:lang w:val="en"/>
              </w:rPr>
              <w:t xml:space="preserve"> and nearly half of the children</w:t>
            </w:r>
            <w:r>
              <w:rPr>
                <w:rFonts w:ascii="Times New Roman" w:eastAsia="Times New Roman" w:hAnsi="Times New Roman" w:cs="Times New Roman"/>
                <w:sz w:val="24"/>
                <w:szCs w:val="24"/>
                <w:lang w:val="en"/>
              </w:rPr>
              <w:t xml:space="preserve"> (approximately 50%)</w:t>
            </w:r>
            <w:r w:rsidRPr="00081211">
              <w:rPr>
                <w:rFonts w:ascii="Times New Roman" w:eastAsia="Times New Roman" w:hAnsi="Times New Roman" w:cs="Times New Roman"/>
                <w:sz w:val="24"/>
                <w:szCs w:val="24"/>
                <w:lang w:val="en"/>
              </w:rPr>
              <w:t xml:space="preserve"> in whom adverse events were reported had one or more of the following:</w:t>
            </w:r>
          </w:p>
          <w:p w:rsidR="00BF388D" w:rsidRPr="00081211" w:rsidRDefault="00BF388D" w:rsidP="00BF388D">
            <w:pPr>
              <w:numPr>
                <w:ilvl w:val="0"/>
                <w:numId w:val="4"/>
              </w:numPr>
              <w:rPr>
                <w:rFonts w:ascii="Times New Roman" w:eastAsia="Times New Roman" w:hAnsi="Times New Roman" w:cs="Times New Roman"/>
                <w:sz w:val="24"/>
                <w:szCs w:val="24"/>
                <w:lang w:val="en"/>
              </w:rPr>
            </w:pPr>
            <w:r w:rsidRPr="00081211">
              <w:rPr>
                <w:rFonts w:ascii="Times New Roman" w:eastAsia="Times New Roman" w:hAnsi="Times New Roman" w:cs="Times New Roman"/>
                <w:sz w:val="24"/>
                <w:szCs w:val="24"/>
                <w:lang w:val="en"/>
              </w:rPr>
              <w:t xml:space="preserve">Dehydration, kidney disease, acute colitis, or delayed bowel emptying </w:t>
            </w:r>
          </w:p>
          <w:p w:rsidR="00BF388D" w:rsidRPr="00081211" w:rsidRDefault="00BF388D" w:rsidP="00BF388D">
            <w:pPr>
              <w:numPr>
                <w:ilvl w:val="0"/>
                <w:numId w:val="4"/>
              </w:numPr>
              <w:spacing w:before="100" w:beforeAutospacing="1" w:after="100" w:afterAutospacing="1"/>
              <w:rPr>
                <w:rFonts w:ascii="Times New Roman" w:eastAsia="Times New Roman" w:hAnsi="Times New Roman" w:cs="Times New Roman"/>
                <w:sz w:val="24"/>
                <w:szCs w:val="24"/>
                <w:lang w:val="en"/>
              </w:rPr>
            </w:pPr>
            <w:r w:rsidRPr="00081211">
              <w:rPr>
                <w:rFonts w:ascii="Times New Roman" w:eastAsia="Times New Roman" w:hAnsi="Times New Roman" w:cs="Times New Roman"/>
                <w:sz w:val="24"/>
                <w:szCs w:val="24"/>
                <w:lang w:val="en"/>
              </w:rPr>
              <w:t>Concomitant use of drugs that act on renal function, including diuretics, ACEIs, ARBs, and NSAIDs</w:t>
            </w:r>
          </w:p>
          <w:p w:rsidR="00BF388D" w:rsidRDefault="00BF388D" w:rsidP="007000DD">
            <w:pPr>
              <w:rPr>
                <w:rFonts w:ascii="Times New Roman" w:eastAsia="Times New Roman" w:hAnsi="Times New Roman" w:cs="Times New Roman"/>
                <w:sz w:val="24"/>
                <w:szCs w:val="24"/>
                <w:lang w:val="en"/>
              </w:rPr>
            </w:pPr>
            <w:r w:rsidRPr="00081211">
              <w:rPr>
                <w:rFonts w:ascii="Times New Roman" w:eastAsia="Times New Roman" w:hAnsi="Times New Roman" w:cs="Times New Roman"/>
                <w:sz w:val="24"/>
                <w:szCs w:val="24"/>
                <w:lang w:val="en"/>
              </w:rPr>
              <w:t>All reports of serious outcomes were characterized by dehydration and/or electrolyte disturbances with associated complications such as acute kidney injury and death. The severity of adverse events was similar regardless of whether the products were ad</w:t>
            </w:r>
            <w:r>
              <w:rPr>
                <w:rFonts w:ascii="Times New Roman" w:eastAsia="Times New Roman" w:hAnsi="Times New Roman" w:cs="Times New Roman"/>
                <w:sz w:val="24"/>
                <w:szCs w:val="24"/>
                <w:lang w:val="en"/>
              </w:rPr>
              <w:t>ministered orally or rectally. </w:t>
            </w:r>
            <w:r w:rsidRPr="00081211">
              <w:rPr>
                <w:rFonts w:ascii="Times New Roman" w:eastAsia="Times New Roman" w:hAnsi="Times New Roman" w:cs="Times New Roman"/>
                <w:sz w:val="24"/>
                <w:szCs w:val="24"/>
                <w:lang w:val="en"/>
              </w:rPr>
              <w:t xml:space="preserve">The predominant electrolyte disturbances were </w:t>
            </w:r>
            <w:proofErr w:type="spellStart"/>
            <w:r w:rsidRPr="00081211">
              <w:rPr>
                <w:rFonts w:ascii="Times New Roman" w:eastAsia="Times New Roman" w:hAnsi="Times New Roman" w:cs="Times New Roman"/>
                <w:sz w:val="24"/>
                <w:szCs w:val="24"/>
                <w:lang w:val="en"/>
              </w:rPr>
              <w:t>hyperphosphatemia</w:t>
            </w:r>
            <w:proofErr w:type="spellEnd"/>
            <w:r w:rsidRPr="00081211">
              <w:rPr>
                <w:rFonts w:ascii="Times New Roman" w:eastAsia="Times New Roman" w:hAnsi="Times New Roman" w:cs="Times New Roman"/>
                <w:sz w:val="24"/>
                <w:szCs w:val="24"/>
                <w:lang w:val="en"/>
              </w:rPr>
              <w:t xml:space="preserve">, </w:t>
            </w:r>
            <w:proofErr w:type="spellStart"/>
            <w:r w:rsidRPr="00081211">
              <w:rPr>
                <w:rFonts w:ascii="Times New Roman" w:eastAsia="Times New Roman" w:hAnsi="Times New Roman" w:cs="Times New Roman"/>
                <w:sz w:val="24"/>
                <w:szCs w:val="24"/>
                <w:lang w:val="en"/>
              </w:rPr>
              <w:t>hy</w:t>
            </w:r>
            <w:r>
              <w:rPr>
                <w:rFonts w:ascii="Times New Roman" w:eastAsia="Times New Roman" w:hAnsi="Times New Roman" w:cs="Times New Roman"/>
                <w:sz w:val="24"/>
                <w:szCs w:val="24"/>
                <w:lang w:val="en"/>
              </w:rPr>
              <w:t>pocalcemia</w:t>
            </w:r>
            <w:proofErr w:type="spellEnd"/>
            <w:r>
              <w:rPr>
                <w:rFonts w:ascii="Times New Roman" w:eastAsia="Times New Roman" w:hAnsi="Times New Roman" w:cs="Times New Roman"/>
                <w:sz w:val="24"/>
                <w:szCs w:val="24"/>
                <w:lang w:val="en"/>
              </w:rPr>
              <w:t>, and hypernatremia. </w:t>
            </w:r>
            <w:r w:rsidRPr="00081211">
              <w:rPr>
                <w:rFonts w:ascii="Times New Roman" w:eastAsia="Times New Roman" w:hAnsi="Times New Roman" w:cs="Times New Roman"/>
                <w:sz w:val="24"/>
                <w:szCs w:val="24"/>
                <w:lang w:val="en"/>
              </w:rPr>
              <w:t>Nearly half (12/25) of adult cases and 3% (1/29) of pediatric c</w:t>
            </w:r>
            <w:r>
              <w:rPr>
                <w:rFonts w:ascii="Times New Roman" w:eastAsia="Times New Roman" w:hAnsi="Times New Roman" w:cs="Times New Roman"/>
                <w:sz w:val="24"/>
                <w:szCs w:val="24"/>
                <w:lang w:val="en"/>
              </w:rPr>
              <w:t>ases reported a fatal outcome. </w:t>
            </w:r>
            <w:r w:rsidRPr="00081211">
              <w:rPr>
                <w:rFonts w:ascii="Times New Roman" w:eastAsia="Times New Roman" w:hAnsi="Times New Roman" w:cs="Times New Roman"/>
                <w:sz w:val="24"/>
                <w:szCs w:val="24"/>
                <w:lang w:val="en"/>
              </w:rPr>
              <w:t>The remaining non-fatal cases were life-threatening in more than two-thirds of affected adults</w:t>
            </w:r>
            <w:r>
              <w:rPr>
                <w:rFonts w:ascii="Times New Roman" w:eastAsia="Times New Roman" w:hAnsi="Times New Roman" w:cs="Times New Roman"/>
                <w:sz w:val="24"/>
                <w:szCs w:val="24"/>
                <w:lang w:val="en"/>
              </w:rPr>
              <w:t xml:space="preserve"> (more than 66%)</w:t>
            </w:r>
            <w:r w:rsidRPr="00081211">
              <w:rPr>
                <w:rFonts w:ascii="Times New Roman" w:eastAsia="Times New Roman" w:hAnsi="Times New Roman" w:cs="Times New Roman"/>
                <w:sz w:val="24"/>
                <w:szCs w:val="24"/>
                <w:lang w:val="en"/>
              </w:rPr>
              <w:t xml:space="preserve"> and in all of</w:t>
            </w:r>
            <w:r>
              <w:rPr>
                <w:rFonts w:ascii="Times New Roman" w:eastAsia="Times New Roman" w:hAnsi="Times New Roman" w:cs="Times New Roman"/>
                <w:sz w:val="24"/>
                <w:szCs w:val="24"/>
                <w:lang w:val="en"/>
              </w:rPr>
              <w:t xml:space="preserve"> the affected children (100%). These included severe</w:t>
            </w:r>
            <w:r w:rsidRPr="00081211">
              <w:rPr>
                <w:rFonts w:ascii="Times New Roman" w:eastAsia="Times New Roman" w:hAnsi="Times New Roman" w:cs="Times New Roman"/>
                <w:sz w:val="24"/>
                <w:szCs w:val="24"/>
                <w:lang w:val="en"/>
              </w:rPr>
              <w:t xml:space="preserve"> deterioration in respiratory status, mental status, and heart function. Four adults required dialysis and two underwent surgery fo</w:t>
            </w:r>
            <w:r w:rsidR="007000DD">
              <w:rPr>
                <w:rFonts w:ascii="Times New Roman" w:eastAsia="Times New Roman" w:hAnsi="Times New Roman" w:cs="Times New Roman"/>
                <w:sz w:val="24"/>
                <w:szCs w:val="24"/>
                <w:lang w:val="en"/>
              </w:rPr>
              <w:t>r suspected bowel perforation. </w:t>
            </w:r>
            <w:r w:rsidRPr="00081211">
              <w:rPr>
                <w:rFonts w:ascii="Times New Roman" w:eastAsia="Times New Roman" w:hAnsi="Times New Roman" w:cs="Times New Roman"/>
                <w:sz w:val="24"/>
                <w:szCs w:val="24"/>
                <w:lang w:val="en"/>
              </w:rPr>
              <w:t xml:space="preserve">Three children required dialysis, including two </w:t>
            </w:r>
            <w:r w:rsidR="007000DD">
              <w:rPr>
                <w:rFonts w:ascii="Times New Roman" w:eastAsia="Times New Roman" w:hAnsi="Times New Roman" w:cs="Times New Roman"/>
                <w:sz w:val="24"/>
                <w:szCs w:val="24"/>
                <w:lang w:val="en"/>
              </w:rPr>
              <w:t>younger than 2 years. </w:t>
            </w:r>
            <w:r w:rsidRPr="00081211">
              <w:rPr>
                <w:rFonts w:ascii="Times New Roman" w:eastAsia="Times New Roman" w:hAnsi="Times New Roman" w:cs="Times New Roman"/>
                <w:sz w:val="24"/>
                <w:szCs w:val="24"/>
                <w:lang w:val="en"/>
              </w:rPr>
              <w:t>Two children developed abdominal distention signific</w:t>
            </w:r>
            <w:r w:rsidR="007000DD">
              <w:rPr>
                <w:rFonts w:ascii="Times New Roman" w:eastAsia="Times New Roman" w:hAnsi="Times New Roman" w:cs="Times New Roman"/>
                <w:sz w:val="24"/>
                <w:szCs w:val="24"/>
                <w:lang w:val="en"/>
              </w:rPr>
              <w:t xml:space="preserve">ant enough to require surgery. </w:t>
            </w:r>
            <w:r w:rsidRPr="00081211">
              <w:rPr>
                <w:rFonts w:ascii="Times New Roman" w:eastAsia="Times New Roman" w:hAnsi="Times New Roman" w:cs="Times New Roman"/>
                <w:sz w:val="24"/>
                <w:szCs w:val="24"/>
                <w:lang w:val="en"/>
              </w:rPr>
              <w:t>One child younger than 2 years had residual neurological defects.</w:t>
            </w:r>
          </w:p>
          <w:p w:rsidR="007000DD" w:rsidRPr="00081211" w:rsidRDefault="007000DD" w:rsidP="007000DD">
            <w:pPr>
              <w:rPr>
                <w:rFonts w:ascii="Times New Roman" w:eastAsia="Times New Roman" w:hAnsi="Times New Roman" w:cs="Times New Roman"/>
                <w:sz w:val="24"/>
                <w:szCs w:val="24"/>
                <w:lang w:val="en"/>
              </w:rPr>
            </w:pPr>
          </w:p>
          <w:p w:rsidR="00BF388D" w:rsidRDefault="00BF388D" w:rsidP="007000DD">
            <w:pPr>
              <w:rPr>
                <w:rFonts w:ascii="Times New Roman" w:eastAsia="Times New Roman" w:hAnsi="Times New Roman" w:cs="Times New Roman"/>
                <w:sz w:val="24"/>
                <w:szCs w:val="24"/>
                <w:lang w:val="en"/>
              </w:rPr>
            </w:pPr>
            <w:r w:rsidRPr="00081211">
              <w:rPr>
                <w:rFonts w:ascii="Times New Roman" w:eastAsia="Times New Roman" w:hAnsi="Times New Roman" w:cs="Times New Roman"/>
                <w:sz w:val="24"/>
                <w:szCs w:val="24"/>
                <w:lang w:val="en"/>
              </w:rPr>
              <w:t xml:space="preserve">In the 50 cases for which the administered dose was reported (27 pediatric, 23 adult), serious adverse events occurred in patients who took a dose in excess of the labeled amount, including 60% (16/27) of the pediatric cases and 70% (16/23) of the adult cases. Adults and pediatric patients who overdosed either received a single dose that contained a greater amount of sodium phosphate than recommended on the label, or they received the product more frequently </w:t>
            </w:r>
            <w:r w:rsidR="00665E8B">
              <w:rPr>
                <w:rFonts w:ascii="Times New Roman" w:eastAsia="Times New Roman" w:hAnsi="Times New Roman" w:cs="Times New Roman"/>
                <w:sz w:val="24"/>
                <w:szCs w:val="24"/>
                <w:lang w:val="en"/>
              </w:rPr>
              <w:t>than recommended on the label. </w:t>
            </w:r>
            <w:r w:rsidRPr="00081211">
              <w:rPr>
                <w:rFonts w:ascii="Times New Roman" w:eastAsia="Times New Roman" w:hAnsi="Times New Roman" w:cs="Times New Roman"/>
                <w:sz w:val="24"/>
                <w:szCs w:val="24"/>
                <w:lang w:val="en"/>
              </w:rPr>
              <w:t>The duration of use in the majority of the o</w:t>
            </w:r>
            <w:r w:rsidR="00665E8B">
              <w:rPr>
                <w:rFonts w:ascii="Times New Roman" w:eastAsia="Times New Roman" w:hAnsi="Times New Roman" w:cs="Times New Roman"/>
                <w:sz w:val="24"/>
                <w:szCs w:val="24"/>
                <w:lang w:val="en"/>
              </w:rPr>
              <w:t>verdose cases was 1 to 2 days. </w:t>
            </w:r>
            <w:r w:rsidRPr="00081211">
              <w:rPr>
                <w:rFonts w:ascii="Times New Roman" w:eastAsia="Times New Roman" w:hAnsi="Times New Roman" w:cs="Times New Roman"/>
                <w:sz w:val="24"/>
                <w:szCs w:val="24"/>
                <w:lang w:val="en"/>
              </w:rPr>
              <w:t xml:space="preserve">Forty percent (11/27) of the pediatric cases for which the dose was reported occurred in young children for whom FDA has not proposed a safe and effective </w:t>
            </w:r>
            <w:r w:rsidR="00665E8B">
              <w:rPr>
                <w:rFonts w:ascii="Times New Roman" w:eastAsia="Times New Roman" w:hAnsi="Times New Roman" w:cs="Times New Roman"/>
                <w:sz w:val="24"/>
                <w:szCs w:val="24"/>
                <w:lang w:val="en"/>
              </w:rPr>
              <w:t>dose. </w:t>
            </w:r>
            <w:r w:rsidRPr="00081211">
              <w:rPr>
                <w:rFonts w:ascii="Times New Roman" w:eastAsia="Times New Roman" w:hAnsi="Times New Roman" w:cs="Times New Roman"/>
                <w:sz w:val="24"/>
                <w:szCs w:val="24"/>
                <w:lang w:val="en"/>
              </w:rPr>
              <w:t>Nine of these 11 cases</w:t>
            </w:r>
            <w:r w:rsidR="00665E8B">
              <w:rPr>
                <w:rFonts w:ascii="Times New Roman" w:eastAsia="Times New Roman" w:hAnsi="Times New Roman" w:cs="Times New Roman"/>
                <w:sz w:val="24"/>
                <w:szCs w:val="24"/>
                <w:lang w:val="en"/>
              </w:rPr>
              <w:t xml:space="preserve"> (approximately 82%)</w:t>
            </w:r>
            <w:r w:rsidRPr="00081211">
              <w:rPr>
                <w:rFonts w:ascii="Times New Roman" w:eastAsia="Times New Roman" w:hAnsi="Times New Roman" w:cs="Times New Roman"/>
                <w:sz w:val="24"/>
                <w:szCs w:val="24"/>
                <w:lang w:val="en"/>
              </w:rPr>
              <w:t xml:space="preserve"> were children younger </w:t>
            </w:r>
            <w:r w:rsidRPr="00081211">
              <w:rPr>
                <w:rFonts w:ascii="Times New Roman" w:eastAsia="Times New Roman" w:hAnsi="Times New Roman" w:cs="Times New Roman"/>
                <w:sz w:val="24"/>
                <w:szCs w:val="24"/>
                <w:lang w:val="en"/>
              </w:rPr>
              <w:lastRenderedPageBreak/>
              <w:t>than 2 years who received a rectal sodium phosphate product, and two were in children younger than 5 years</w:t>
            </w:r>
            <w:r w:rsidR="00665E8B">
              <w:rPr>
                <w:rFonts w:ascii="Times New Roman" w:eastAsia="Times New Roman" w:hAnsi="Times New Roman" w:cs="Times New Roman"/>
                <w:sz w:val="24"/>
                <w:szCs w:val="24"/>
                <w:lang w:val="en"/>
              </w:rPr>
              <w:t xml:space="preserve"> who received an oral product. </w:t>
            </w:r>
            <w:r w:rsidRPr="00081211">
              <w:rPr>
                <w:rFonts w:ascii="Times New Roman" w:eastAsia="Times New Roman" w:hAnsi="Times New Roman" w:cs="Times New Roman"/>
                <w:sz w:val="24"/>
                <w:szCs w:val="24"/>
                <w:lang w:val="en"/>
              </w:rPr>
              <w:t>These children received doses comparable to those recommended on the label for use in adults or older children. Seven adults developed serious adverse events despite taking dosages that did not exceed recommendations on the label; however, all had one or more of the above conditions, potentially increasing their adverse event risk.</w:t>
            </w:r>
          </w:p>
          <w:p w:rsidR="00BF388D" w:rsidRPr="004920A6" w:rsidRDefault="00BF388D" w:rsidP="00BF388D">
            <w:pPr>
              <w:rPr>
                <w:rFonts w:ascii="Times New Roman" w:eastAsia="Times New Roman" w:hAnsi="Times New Roman" w:cs="Times New Roman"/>
                <w:sz w:val="24"/>
                <w:szCs w:val="24"/>
                <w:lang w:val="en"/>
              </w:rPr>
            </w:pPr>
          </w:p>
        </w:tc>
      </w:tr>
      <w:tr w:rsidR="00BC3409" w:rsidTr="00B912FD">
        <w:tc>
          <w:tcPr>
            <w:tcW w:w="2029" w:type="dxa"/>
          </w:tcPr>
          <w:p w:rsidR="00BC3409" w:rsidRDefault="00BC3409" w:rsidP="00B912FD">
            <w:pPr>
              <w:rPr>
                <w:rFonts w:ascii="Times New Roman" w:hAnsi="Times New Roman" w:cs="Times New Roman"/>
              </w:rPr>
            </w:pPr>
            <w:r>
              <w:rPr>
                <w:rFonts w:ascii="Times New Roman" w:hAnsi="Times New Roman" w:cs="Times New Roman"/>
              </w:rPr>
              <w:lastRenderedPageBreak/>
              <w:t>What is FDA?</w:t>
            </w:r>
          </w:p>
        </w:tc>
        <w:tc>
          <w:tcPr>
            <w:tcW w:w="7547" w:type="dxa"/>
          </w:tcPr>
          <w:p w:rsidR="00BC3409" w:rsidRPr="00C5467A" w:rsidRDefault="00BC3409" w:rsidP="00B912FD">
            <w:pPr>
              <w:pStyle w:val="NormalWeb"/>
              <w:spacing w:before="0" w:beforeAutospacing="0" w:after="0" w:afterAutospacing="0"/>
              <w:rPr>
                <w:rFonts w:ascii="Calibri" w:hAnsi="Calibri" w:cs="Calibri"/>
                <w:color w:val="000000"/>
              </w:rPr>
            </w:pPr>
            <w:r w:rsidRPr="008C75C5">
              <w:rPr>
                <w:rFonts w:eastAsiaTheme="minorHAnsi"/>
                <w:sz w:val="22"/>
                <w:szCs w:val="22"/>
                <w:lang w:val="en"/>
              </w:rPr>
              <w:t>FDA includes pharmacists, doctors, nurses, researchers and other health professionals. We also work with external experts. We protect public health by assuring drugs are safe and effective.</w:t>
            </w:r>
            <w:r>
              <w:rPr>
                <w:rFonts w:ascii="Calibri" w:hAnsi="Calibri" w:cs="Calibri"/>
                <w:color w:val="000000"/>
              </w:rPr>
              <w:t xml:space="preserve"> </w:t>
            </w:r>
          </w:p>
        </w:tc>
      </w:tr>
      <w:tr w:rsidR="00400250" w:rsidTr="0029705D">
        <w:tc>
          <w:tcPr>
            <w:tcW w:w="2029" w:type="dxa"/>
          </w:tcPr>
          <w:p w:rsidR="00400250" w:rsidRPr="00BF388D" w:rsidRDefault="00400250" w:rsidP="00B04223">
            <w:pPr>
              <w:rPr>
                <w:rFonts w:ascii="Times New Roman" w:eastAsia="Times New Roman" w:hAnsi="Times New Roman" w:cs="Times New Roman"/>
                <w:sz w:val="24"/>
                <w:szCs w:val="24"/>
                <w:lang w:val="en"/>
              </w:rPr>
            </w:pPr>
            <w:r w:rsidRPr="00400250">
              <w:rPr>
                <w:rFonts w:ascii="Times New Roman" w:eastAsia="Times New Roman" w:hAnsi="Times New Roman" w:cs="Times New Roman"/>
                <w:sz w:val="24"/>
                <w:szCs w:val="24"/>
                <w:lang w:val="en"/>
              </w:rPr>
              <w:t>References</w:t>
            </w:r>
          </w:p>
        </w:tc>
        <w:tc>
          <w:tcPr>
            <w:tcW w:w="7547" w:type="dxa"/>
          </w:tcPr>
          <w:p w:rsidR="00400250" w:rsidRDefault="00400250" w:rsidP="00400250">
            <w:pPr>
              <w:pStyle w:val="NormalWeb"/>
              <w:rPr>
                <w:lang w:val="en"/>
              </w:rPr>
            </w:pPr>
            <w:r>
              <w:rPr>
                <w:lang w:val="en"/>
              </w:rPr>
              <w:t xml:space="preserve">1. Moseley PK, Segar WE. Fluid and serum electrolyte disturbances as a complication of enemas in </w:t>
            </w:r>
            <w:proofErr w:type="spellStart"/>
            <w:r>
              <w:rPr>
                <w:lang w:val="en"/>
              </w:rPr>
              <w:t>Hirschsprung's</w:t>
            </w:r>
            <w:proofErr w:type="spellEnd"/>
            <w:r>
              <w:rPr>
                <w:lang w:val="en"/>
              </w:rPr>
              <w:t xml:space="preserve"> disease. Am J Dis Child 1968</w:t>
            </w:r>
            <w:proofErr w:type="gramStart"/>
            <w:r>
              <w:rPr>
                <w:lang w:val="en"/>
              </w:rPr>
              <w:t>;115:714</w:t>
            </w:r>
            <w:proofErr w:type="gramEnd"/>
            <w:r>
              <w:rPr>
                <w:lang w:val="en"/>
              </w:rPr>
              <w:t>-8.</w:t>
            </w:r>
          </w:p>
          <w:p w:rsidR="00400250" w:rsidRDefault="00400250" w:rsidP="00400250">
            <w:pPr>
              <w:pStyle w:val="NormalWeb"/>
              <w:rPr>
                <w:lang w:val="en"/>
              </w:rPr>
            </w:pPr>
            <w:r>
              <w:rPr>
                <w:lang w:val="en"/>
              </w:rPr>
              <w:t xml:space="preserve">2. Young JF, Brooke BN. Enema shock in </w:t>
            </w:r>
            <w:proofErr w:type="spellStart"/>
            <w:r>
              <w:rPr>
                <w:lang w:val="en"/>
              </w:rPr>
              <w:t>Hirschsprung's</w:t>
            </w:r>
            <w:proofErr w:type="spellEnd"/>
            <w:r>
              <w:rPr>
                <w:lang w:val="en"/>
              </w:rPr>
              <w:t xml:space="preserve"> disease. Dis Colon Rectum 1968</w:t>
            </w:r>
            <w:proofErr w:type="gramStart"/>
            <w:r>
              <w:rPr>
                <w:lang w:val="en"/>
              </w:rPr>
              <w:t>;11:391</w:t>
            </w:r>
            <w:proofErr w:type="gramEnd"/>
            <w:r>
              <w:rPr>
                <w:lang w:val="en"/>
              </w:rPr>
              <w:t>-5.</w:t>
            </w:r>
          </w:p>
          <w:p w:rsidR="00400250" w:rsidRDefault="00400250" w:rsidP="00400250">
            <w:pPr>
              <w:pStyle w:val="NormalWeb"/>
              <w:rPr>
                <w:lang w:val="en"/>
              </w:rPr>
            </w:pPr>
            <w:r>
              <w:rPr>
                <w:lang w:val="en"/>
              </w:rPr>
              <w:t xml:space="preserve">3. Chesney RW, Haughton PB. </w:t>
            </w:r>
            <w:proofErr w:type="spellStart"/>
            <w:r>
              <w:rPr>
                <w:lang w:val="en"/>
              </w:rPr>
              <w:t>Tetany</w:t>
            </w:r>
            <w:proofErr w:type="spellEnd"/>
            <w:r>
              <w:rPr>
                <w:lang w:val="en"/>
              </w:rPr>
              <w:t xml:space="preserve"> following phosphate enemas in chronic renal disease. Am J Dis Child 1974</w:t>
            </w:r>
            <w:proofErr w:type="gramStart"/>
            <w:r>
              <w:rPr>
                <w:lang w:val="en"/>
              </w:rPr>
              <w:t>;127:584</w:t>
            </w:r>
            <w:proofErr w:type="gramEnd"/>
            <w:r>
              <w:rPr>
                <w:lang w:val="en"/>
              </w:rPr>
              <w:t>-6.</w:t>
            </w:r>
          </w:p>
          <w:p w:rsidR="00400250" w:rsidRDefault="00400250" w:rsidP="00400250">
            <w:pPr>
              <w:pStyle w:val="NormalWeb"/>
              <w:rPr>
                <w:lang w:val="en"/>
              </w:rPr>
            </w:pPr>
            <w:r>
              <w:rPr>
                <w:lang w:val="en"/>
              </w:rPr>
              <w:t xml:space="preserve">4. Oxnard SC, </w:t>
            </w:r>
            <w:proofErr w:type="spellStart"/>
            <w:r>
              <w:rPr>
                <w:lang w:val="en"/>
              </w:rPr>
              <w:t>O'Bell</w:t>
            </w:r>
            <w:proofErr w:type="spellEnd"/>
            <w:r>
              <w:rPr>
                <w:lang w:val="en"/>
              </w:rPr>
              <w:t xml:space="preserve"> J, </w:t>
            </w:r>
            <w:proofErr w:type="spellStart"/>
            <w:r>
              <w:rPr>
                <w:lang w:val="en"/>
              </w:rPr>
              <w:t>Grupe</w:t>
            </w:r>
            <w:proofErr w:type="spellEnd"/>
            <w:r>
              <w:rPr>
                <w:lang w:val="en"/>
              </w:rPr>
              <w:t xml:space="preserve"> WE. Severe </w:t>
            </w:r>
            <w:proofErr w:type="spellStart"/>
            <w:r>
              <w:rPr>
                <w:lang w:val="en"/>
              </w:rPr>
              <w:t>tetany</w:t>
            </w:r>
            <w:proofErr w:type="spellEnd"/>
            <w:r>
              <w:rPr>
                <w:lang w:val="en"/>
              </w:rPr>
              <w:t xml:space="preserve"> in an </w:t>
            </w:r>
            <w:proofErr w:type="spellStart"/>
            <w:r>
              <w:rPr>
                <w:lang w:val="en"/>
              </w:rPr>
              <w:t>azotemic</w:t>
            </w:r>
            <w:proofErr w:type="spellEnd"/>
            <w:r>
              <w:rPr>
                <w:lang w:val="en"/>
              </w:rPr>
              <w:t xml:space="preserve"> child related to a sodium phosphate enema. Pediatrics 1974</w:t>
            </w:r>
            <w:proofErr w:type="gramStart"/>
            <w:r>
              <w:rPr>
                <w:lang w:val="en"/>
              </w:rPr>
              <w:t>;53:105</w:t>
            </w:r>
            <w:proofErr w:type="gramEnd"/>
            <w:r>
              <w:rPr>
                <w:lang w:val="en"/>
              </w:rPr>
              <w:t>-6.</w:t>
            </w:r>
          </w:p>
          <w:p w:rsidR="00400250" w:rsidRDefault="00400250" w:rsidP="00400250">
            <w:pPr>
              <w:pStyle w:val="NormalWeb"/>
              <w:rPr>
                <w:lang w:val="en"/>
              </w:rPr>
            </w:pPr>
            <w:r>
              <w:rPr>
                <w:lang w:val="en"/>
              </w:rPr>
              <w:t xml:space="preserve">5. </w:t>
            </w:r>
            <w:proofErr w:type="spellStart"/>
            <w:r>
              <w:rPr>
                <w:lang w:val="en"/>
              </w:rPr>
              <w:t>Swerdlow</w:t>
            </w:r>
            <w:proofErr w:type="spellEnd"/>
            <w:r>
              <w:rPr>
                <w:lang w:val="en"/>
              </w:rPr>
              <w:t xml:space="preserve"> DB, </w:t>
            </w:r>
            <w:proofErr w:type="spellStart"/>
            <w:r>
              <w:rPr>
                <w:lang w:val="en"/>
              </w:rPr>
              <w:t>Labow</w:t>
            </w:r>
            <w:proofErr w:type="spellEnd"/>
            <w:r>
              <w:rPr>
                <w:lang w:val="en"/>
              </w:rPr>
              <w:t xml:space="preserve"> S, </w:t>
            </w:r>
            <w:proofErr w:type="spellStart"/>
            <w:r>
              <w:rPr>
                <w:lang w:val="en"/>
              </w:rPr>
              <w:t>D'Anna</w:t>
            </w:r>
            <w:proofErr w:type="spellEnd"/>
            <w:r>
              <w:rPr>
                <w:lang w:val="en"/>
              </w:rPr>
              <w:t xml:space="preserve"> J. </w:t>
            </w:r>
            <w:proofErr w:type="spellStart"/>
            <w:r>
              <w:rPr>
                <w:lang w:val="en"/>
              </w:rPr>
              <w:t>Tetany</w:t>
            </w:r>
            <w:proofErr w:type="spellEnd"/>
            <w:r>
              <w:rPr>
                <w:lang w:val="en"/>
              </w:rPr>
              <w:t xml:space="preserve"> and enemas: report of a case. Dis Colon Rectum 1974</w:t>
            </w:r>
            <w:proofErr w:type="gramStart"/>
            <w:r>
              <w:rPr>
                <w:lang w:val="en"/>
              </w:rPr>
              <w:t>;17:786</w:t>
            </w:r>
            <w:proofErr w:type="gramEnd"/>
            <w:r>
              <w:rPr>
                <w:lang w:val="en"/>
              </w:rPr>
              <w:t>-7.</w:t>
            </w:r>
          </w:p>
          <w:p w:rsidR="00400250" w:rsidRDefault="00400250" w:rsidP="00400250">
            <w:pPr>
              <w:pStyle w:val="NormalWeb"/>
              <w:rPr>
                <w:lang w:val="en"/>
              </w:rPr>
            </w:pPr>
            <w:r>
              <w:rPr>
                <w:lang w:val="en"/>
              </w:rPr>
              <w:t xml:space="preserve">6. </w:t>
            </w:r>
            <w:proofErr w:type="spellStart"/>
            <w:r>
              <w:rPr>
                <w:lang w:val="en"/>
              </w:rPr>
              <w:t>Zipser</w:t>
            </w:r>
            <w:proofErr w:type="spellEnd"/>
            <w:r>
              <w:rPr>
                <w:lang w:val="en"/>
              </w:rPr>
              <w:t xml:space="preserve"> RD, </w:t>
            </w:r>
            <w:proofErr w:type="spellStart"/>
            <w:r>
              <w:rPr>
                <w:lang w:val="en"/>
              </w:rPr>
              <w:t>Bischel</w:t>
            </w:r>
            <w:proofErr w:type="spellEnd"/>
            <w:r>
              <w:rPr>
                <w:lang w:val="en"/>
              </w:rPr>
              <w:t xml:space="preserve"> MD, Abrams DE. </w:t>
            </w:r>
            <w:proofErr w:type="spellStart"/>
            <w:r>
              <w:rPr>
                <w:lang w:val="en"/>
              </w:rPr>
              <w:t>Hypocalcemic</w:t>
            </w:r>
            <w:proofErr w:type="spellEnd"/>
            <w:r>
              <w:rPr>
                <w:lang w:val="en"/>
              </w:rPr>
              <w:t xml:space="preserve"> </w:t>
            </w:r>
            <w:proofErr w:type="spellStart"/>
            <w:r>
              <w:rPr>
                <w:lang w:val="en"/>
              </w:rPr>
              <w:t>tetany</w:t>
            </w:r>
            <w:proofErr w:type="spellEnd"/>
            <w:r>
              <w:rPr>
                <w:lang w:val="en"/>
              </w:rPr>
              <w:t xml:space="preserve"> due to sodium phosphate ingestion in acute renal failure. Nephron 1975</w:t>
            </w:r>
            <w:proofErr w:type="gramStart"/>
            <w:r>
              <w:rPr>
                <w:lang w:val="en"/>
              </w:rPr>
              <w:t>;14:378</w:t>
            </w:r>
            <w:proofErr w:type="gramEnd"/>
            <w:r>
              <w:rPr>
                <w:lang w:val="en"/>
              </w:rPr>
              <w:t>-81.</w:t>
            </w:r>
          </w:p>
          <w:p w:rsidR="00400250" w:rsidRDefault="00400250" w:rsidP="00400250">
            <w:pPr>
              <w:pStyle w:val="NormalWeb"/>
              <w:rPr>
                <w:lang w:val="en"/>
              </w:rPr>
            </w:pPr>
            <w:r>
              <w:rPr>
                <w:lang w:val="en"/>
              </w:rPr>
              <w:t xml:space="preserve">7. Davis RF, </w:t>
            </w:r>
            <w:proofErr w:type="spellStart"/>
            <w:r>
              <w:rPr>
                <w:lang w:val="en"/>
              </w:rPr>
              <w:t>Eichner</w:t>
            </w:r>
            <w:proofErr w:type="spellEnd"/>
            <w:r>
              <w:rPr>
                <w:lang w:val="en"/>
              </w:rPr>
              <w:t xml:space="preserve"> JM, </w:t>
            </w:r>
            <w:proofErr w:type="spellStart"/>
            <w:r>
              <w:rPr>
                <w:lang w:val="en"/>
              </w:rPr>
              <w:t>Bleyer</w:t>
            </w:r>
            <w:proofErr w:type="spellEnd"/>
            <w:r>
              <w:rPr>
                <w:lang w:val="en"/>
              </w:rPr>
              <w:t xml:space="preserve"> WA, Okamoto G. </w:t>
            </w:r>
            <w:proofErr w:type="spellStart"/>
            <w:r>
              <w:rPr>
                <w:lang w:val="en"/>
              </w:rPr>
              <w:t>Hypocalcemia</w:t>
            </w:r>
            <w:proofErr w:type="spellEnd"/>
            <w:r>
              <w:rPr>
                <w:lang w:val="en"/>
              </w:rPr>
              <w:t xml:space="preserve">, </w:t>
            </w:r>
            <w:proofErr w:type="spellStart"/>
            <w:r>
              <w:rPr>
                <w:lang w:val="en"/>
              </w:rPr>
              <w:t>hyperphosphatemia</w:t>
            </w:r>
            <w:proofErr w:type="spellEnd"/>
            <w:r>
              <w:rPr>
                <w:lang w:val="en"/>
              </w:rPr>
              <w:t xml:space="preserve">, and dehydration following a single hypertonic phosphate enema. J </w:t>
            </w:r>
            <w:proofErr w:type="spellStart"/>
            <w:r>
              <w:rPr>
                <w:lang w:val="en"/>
              </w:rPr>
              <w:t>Pediatr</w:t>
            </w:r>
            <w:proofErr w:type="spellEnd"/>
            <w:r>
              <w:rPr>
                <w:lang w:val="en"/>
              </w:rPr>
              <w:t xml:space="preserve"> 1977</w:t>
            </w:r>
            <w:proofErr w:type="gramStart"/>
            <w:r>
              <w:rPr>
                <w:lang w:val="en"/>
              </w:rPr>
              <w:t>;90:484</w:t>
            </w:r>
            <w:proofErr w:type="gramEnd"/>
            <w:r>
              <w:rPr>
                <w:lang w:val="en"/>
              </w:rPr>
              <w:t>-5.</w:t>
            </w:r>
          </w:p>
          <w:p w:rsidR="00400250" w:rsidRDefault="00400250" w:rsidP="00400250">
            <w:pPr>
              <w:pStyle w:val="NormalWeb"/>
              <w:rPr>
                <w:lang w:val="en"/>
              </w:rPr>
            </w:pPr>
            <w:r>
              <w:rPr>
                <w:lang w:val="en"/>
              </w:rPr>
              <w:t xml:space="preserve">8. </w:t>
            </w:r>
            <w:proofErr w:type="spellStart"/>
            <w:r>
              <w:rPr>
                <w:lang w:val="en"/>
              </w:rPr>
              <w:t>Loughnan</w:t>
            </w:r>
            <w:proofErr w:type="spellEnd"/>
            <w:r>
              <w:rPr>
                <w:lang w:val="en"/>
              </w:rPr>
              <w:t xml:space="preserve"> P, Mullins GC. Brain damage following a hypertonic phosphate enema. Am J Dis Child 1977</w:t>
            </w:r>
            <w:proofErr w:type="gramStart"/>
            <w:r>
              <w:rPr>
                <w:lang w:val="en"/>
              </w:rPr>
              <w:t>;131:1032</w:t>
            </w:r>
            <w:proofErr w:type="gramEnd"/>
            <w:r>
              <w:rPr>
                <w:lang w:val="en"/>
              </w:rPr>
              <w:t>.</w:t>
            </w:r>
          </w:p>
          <w:p w:rsidR="00400250" w:rsidRDefault="00400250" w:rsidP="00400250">
            <w:pPr>
              <w:pStyle w:val="NormalWeb"/>
              <w:rPr>
                <w:lang w:val="en"/>
              </w:rPr>
            </w:pPr>
            <w:r>
              <w:rPr>
                <w:lang w:val="en"/>
              </w:rPr>
              <w:t xml:space="preserve">9. Forman J, </w:t>
            </w:r>
            <w:proofErr w:type="spellStart"/>
            <w:r>
              <w:rPr>
                <w:lang w:val="en"/>
              </w:rPr>
              <w:t>Baluarte</w:t>
            </w:r>
            <w:proofErr w:type="spellEnd"/>
            <w:r>
              <w:rPr>
                <w:lang w:val="en"/>
              </w:rPr>
              <w:t xml:space="preserve"> HJ, </w:t>
            </w:r>
            <w:proofErr w:type="spellStart"/>
            <w:r>
              <w:rPr>
                <w:lang w:val="en"/>
              </w:rPr>
              <w:t>Gruskin</w:t>
            </w:r>
            <w:proofErr w:type="spellEnd"/>
            <w:r>
              <w:rPr>
                <w:lang w:val="en"/>
              </w:rPr>
              <w:t xml:space="preserve"> AB. Hypokalemia after hypertonic phosphate enemas. J </w:t>
            </w:r>
            <w:proofErr w:type="spellStart"/>
            <w:r>
              <w:rPr>
                <w:lang w:val="en"/>
              </w:rPr>
              <w:t>Pediatr</w:t>
            </w:r>
            <w:proofErr w:type="spellEnd"/>
            <w:r>
              <w:rPr>
                <w:lang w:val="en"/>
              </w:rPr>
              <w:t xml:space="preserve"> 1979</w:t>
            </w:r>
            <w:proofErr w:type="gramStart"/>
            <w:r>
              <w:rPr>
                <w:lang w:val="en"/>
              </w:rPr>
              <w:t>;94:149</w:t>
            </w:r>
            <w:proofErr w:type="gramEnd"/>
            <w:r>
              <w:rPr>
                <w:lang w:val="en"/>
              </w:rPr>
              <w:t>-51.</w:t>
            </w:r>
          </w:p>
          <w:p w:rsidR="00400250" w:rsidRDefault="00400250" w:rsidP="00400250">
            <w:pPr>
              <w:pStyle w:val="NormalWeb"/>
              <w:rPr>
                <w:lang w:val="en"/>
              </w:rPr>
            </w:pPr>
            <w:r>
              <w:rPr>
                <w:lang w:val="en"/>
              </w:rPr>
              <w:t xml:space="preserve">10. </w:t>
            </w:r>
            <w:proofErr w:type="spellStart"/>
            <w:r>
              <w:rPr>
                <w:lang w:val="en"/>
              </w:rPr>
              <w:t>Biberstein</w:t>
            </w:r>
            <w:proofErr w:type="spellEnd"/>
            <w:r>
              <w:rPr>
                <w:lang w:val="en"/>
              </w:rPr>
              <w:t xml:space="preserve"> M, Parker BA. Enema-induced </w:t>
            </w:r>
            <w:proofErr w:type="spellStart"/>
            <w:r>
              <w:rPr>
                <w:lang w:val="en"/>
              </w:rPr>
              <w:t>hyperphosphatemia</w:t>
            </w:r>
            <w:proofErr w:type="spellEnd"/>
            <w:r>
              <w:rPr>
                <w:lang w:val="en"/>
              </w:rPr>
              <w:t>. Am J Med 1985</w:t>
            </w:r>
            <w:proofErr w:type="gramStart"/>
            <w:r>
              <w:rPr>
                <w:lang w:val="en"/>
              </w:rPr>
              <w:t>;79:645</w:t>
            </w:r>
            <w:proofErr w:type="gramEnd"/>
            <w:r>
              <w:rPr>
                <w:lang w:val="en"/>
              </w:rPr>
              <w:t>-6.</w:t>
            </w:r>
          </w:p>
          <w:p w:rsidR="00400250" w:rsidRDefault="00400250" w:rsidP="00400250">
            <w:pPr>
              <w:pStyle w:val="NormalWeb"/>
              <w:rPr>
                <w:lang w:val="en"/>
              </w:rPr>
            </w:pPr>
            <w:r>
              <w:rPr>
                <w:lang w:val="en"/>
              </w:rPr>
              <w:t xml:space="preserve">11. Haskell LP. </w:t>
            </w:r>
            <w:proofErr w:type="spellStart"/>
            <w:r>
              <w:rPr>
                <w:lang w:val="en"/>
              </w:rPr>
              <w:t>Hypocalcaemic</w:t>
            </w:r>
            <w:proofErr w:type="spellEnd"/>
            <w:r>
              <w:rPr>
                <w:lang w:val="en"/>
              </w:rPr>
              <w:t xml:space="preserve"> </w:t>
            </w:r>
            <w:proofErr w:type="spellStart"/>
            <w:r>
              <w:rPr>
                <w:lang w:val="en"/>
              </w:rPr>
              <w:t>tetany</w:t>
            </w:r>
            <w:proofErr w:type="spellEnd"/>
            <w:r>
              <w:rPr>
                <w:lang w:val="en"/>
              </w:rPr>
              <w:t xml:space="preserve"> induced by hypertonic-phosphate </w:t>
            </w:r>
            <w:r>
              <w:rPr>
                <w:lang w:val="en"/>
              </w:rPr>
              <w:lastRenderedPageBreak/>
              <w:t>enema. Lancet 1985</w:t>
            </w:r>
            <w:proofErr w:type="gramStart"/>
            <w:r>
              <w:rPr>
                <w:lang w:val="en"/>
              </w:rPr>
              <w:t>;2:1433</w:t>
            </w:r>
            <w:proofErr w:type="gramEnd"/>
            <w:r>
              <w:rPr>
                <w:lang w:val="en"/>
              </w:rPr>
              <w:t>.</w:t>
            </w:r>
          </w:p>
          <w:p w:rsidR="00400250" w:rsidRDefault="00400250" w:rsidP="00400250">
            <w:pPr>
              <w:pStyle w:val="NormalWeb"/>
              <w:rPr>
                <w:lang w:val="en"/>
              </w:rPr>
            </w:pPr>
            <w:r>
              <w:rPr>
                <w:lang w:val="en"/>
              </w:rPr>
              <w:t xml:space="preserve">12. </w:t>
            </w:r>
            <w:proofErr w:type="spellStart"/>
            <w:r>
              <w:rPr>
                <w:lang w:val="en"/>
              </w:rPr>
              <w:t>Spinrad</w:t>
            </w:r>
            <w:proofErr w:type="spellEnd"/>
            <w:r>
              <w:rPr>
                <w:lang w:val="en"/>
              </w:rPr>
              <w:t xml:space="preserve"> S, </w:t>
            </w:r>
            <w:proofErr w:type="spellStart"/>
            <w:r>
              <w:rPr>
                <w:lang w:val="en"/>
              </w:rPr>
              <w:t>Sztern</w:t>
            </w:r>
            <w:proofErr w:type="spellEnd"/>
            <w:r>
              <w:rPr>
                <w:lang w:val="en"/>
              </w:rPr>
              <w:t xml:space="preserve"> M, </w:t>
            </w:r>
            <w:proofErr w:type="spellStart"/>
            <w:r>
              <w:rPr>
                <w:lang w:val="en"/>
              </w:rPr>
              <w:t>Grosskopf</w:t>
            </w:r>
            <w:proofErr w:type="spellEnd"/>
            <w:r>
              <w:rPr>
                <w:lang w:val="en"/>
              </w:rPr>
              <w:t xml:space="preserve"> Y, Graff E, Blum I. Treating constipation with phosphate enema: an unnecessary risk. </w:t>
            </w:r>
            <w:proofErr w:type="spellStart"/>
            <w:r>
              <w:rPr>
                <w:lang w:val="en"/>
              </w:rPr>
              <w:t>Isr</w:t>
            </w:r>
            <w:proofErr w:type="spellEnd"/>
            <w:r>
              <w:rPr>
                <w:lang w:val="en"/>
              </w:rPr>
              <w:t xml:space="preserve"> J Med </w:t>
            </w:r>
            <w:proofErr w:type="spellStart"/>
            <w:r>
              <w:rPr>
                <w:lang w:val="en"/>
              </w:rPr>
              <w:t>Sci</w:t>
            </w:r>
            <w:proofErr w:type="spellEnd"/>
            <w:r>
              <w:rPr>
                <w:lang w:val="en"/>
              </w:rPr>
              <w:t xml:space="preserve"> 1989</w:t>
            </w:r>
            <w:proofErr w:type="gramStart"/>
            <w:r>
              <w:rPr>
                <w:lang w:val="en"/>
              </w:rPr>
              <w:t>;25:237</w:t>
            </w:r>
            <w:proofErr w:type="gramEnd"/>
            <w:r>
              <w:rPr>
                <w:lang w:val="en"/>
              </w:rPr>
              <w:t>-8.</w:t>
            </w:r>
          </w:p>
          <w:p w:rsidR="00400250" w:rsidRDefault="00400250" w:rsidP="00400250">
            <w:pPr>
              <w:pStyle w:val="NormalWeb"/>
              <w:rPr>
                <w:lang w:val="en"/>
              </w:rPr>
            </w:pPr>
            <w:r>
              <w:rPr>
                <w:lang w:val="en"/>
              </w:rPr>
              <w:t xml:space="preserve">13. </w:t>
            </w:r>
            <w:proofErr w:type="spellStart"/>
            <w:r>
              <w:rPr>
                <w:lang w:val="en"/>
              </w:rPr>
              <w:t>Wason</w:t>
            </w:r>
            <w:proofErr w:type="spellEnd"/>
            <w:r>
              <w:rPr>
                <w:lang w:val="en"/>
              </w:rPr>
              <w:t xml:space="preserve"> S, Tiller T, Cunha C. Severe </w:t>
            </w:r>
            <w:proofErr w:type="spellStart"/>
            <w:r>
              <w:rPr>
                <w:lang w:val="en"/>
              </w:rPr>
              <w:t>hyperphosphatemia</w:t>
            </w:r>
            <w:proofErr w:type="spellEnd"/>
            <w:r>
              <w:rPr>
                <w:lang w:val="en"/>
              </w:rPr>
              <w:t xml:space="preserve">, </w:t>
            </w:r>
            <w:proofErr w:type="spellStart"/>
            <w:r>
              <w:rPr>
                <w:lang w:val="en"/>
              </w:rPr>
              <w:t>hypocalcemia</w:t>
            </w:r>
            <w:proofErr w:type="spellEnd"/>
            <w:r>
              <w:rPr>
                <w:lang w:val="en"/>
              </w:rPr>
              <w:t xml:space="preserve">, acidosis, and shock in a 5-month-old child following the administration of an adult Fleet enema. Ann </w:t>
            </w:r>
            <w:proofErr w:type="spellStart"/>
            <w:r>
              <w:rPr>
                <w:lang w:val="en"/>
              </w:rPr>
              <w:t>Emerg</w:t>
            </w:r>
            <w:proofErr w:type="spellEnd"/>
            <w:r>
              <w:rPr>
                <w:lang w:val="en"/>
              </w:rPr>
              <w:t xml:space="preserve"> Med 1989</w:t>
            </w:r>
            <w:proofErr w:type="gramStart"/>
            <w:r>
              <w:rPr>
                <w:lang w:val="en"/>
              </w:rPr>
              <w:t>;18:696</w:t>
            </w:r>
            <w:proofErr w:type="gramEnd"/>
            <w:r>
              <w:rPr>
                <w:lang w:val="en"/>
              </w:rPr>
              <w:t>-700.</w:t>
            </w:r>
          </w:p>
          <w:p w:rsidR="00400250" w:rsidRDefault="00400250" w:rsidP="00400250">
            <w:pPr>
              <w:pStyle w:val="NormalWeb"/>
              <w:rPr>
                <w:lang w:val="en"/>
              </w:rPr>
            </w:pPr>
            <w:r>
              <w:rPr>
                <w:lang w:val="en"/>
              </w:rPr>
              <w:t xml:space="preserve">14. Edmondson S, </w:t>
            </w:r>
            <w:proofErr w:type="spellStart"/>
            <w:r>
              <w:rPr>
                <w:lang w:val="en"/>
              </w:rPr>
              <w:t>Almquist</w:t>
            </w:r>
            <w:proofErr w:type="spellEnd"/>
            <w:r>
              <w:rPr>
                <w:lang w:val="en"/>
              </w:rPr>
              <w:t xml:space="preserve"> TD. Iatrogenic </w:t>
            </w:r>
            <w:proofErr w:type="spellStart"/>
            <w:r>
              <w:rPr>
                <w:lang w:val="en"/>
              </w:rPr>
              <w:t>hypocalcemic</w:t>
            </w:r>
            <w:proofErr w:type="spellEnd"/>
            <w:r>
              <w:rPr>
                <w:lang w:val="en"/>
              </w:rPr>
              <w:t xml:space="preserve"> </w:t>
            </w:r>
            <w:proofErr w:type="spellStart"/>
            <w:r>
              <w:rPr>
                <w:lang w:val="en"/>
              </w:rPr>
              <w:t>tetany</w:t>
            </w:r>
            <w:proofErr w:type="spellEnd"/>
            <w:r>
              <w:rPr>
                <w:lang w:val="en"/>
              </w:rPr>
              <w:t xml:space="preserve">. Ann </w:t>
            </w:r>
            <w:proofErr w:type="spellStart"/>
            <w:r>
              <w:rPr>
                <w:lang w:val="en"/>
              </w:rPr>
              <w:t>Emerg</w:t>
            </w:r>
            <w:proofErr w:type="spellEnd"/>
            <w:r>
              <w:rPr>
                <w:lang w:val="en"/>
              </w:rPr>
              <w:t xml:space="preserve"> Med 1990</w:t>
            </w:r>
            <w:proofErr w:type="gramStart"/>
            <w:r>
              <w:rPr>
                <w:lang w:val="en"/>
              </w:rPr>
              <w:t>;19:938</w:t>
            </w:r>
            <w:proofErr w:type="gramEnd"/>
            <w:r>
              <w:rPr>
                <w:lang w:val="en"/>
              </w:rPr>
              <w:t>-40.</w:t>
            </w:r>
          </w:p>
          <w:p w:rsidR="00400250" w:rsidRDefault="00400250" w:rsidP="00400250">
            <w:pPr>
              <w:pStyle w:val="NormalWeb"/>
              <w:rPr>
                <w:lang w:val="en"/>
              </w:rPr>
            </w:pPr>
            <w:r>
              <w:rPr>
                <w:lang w:val="en"/>
              </w:rPr>
              <w:t xml:space="preserve">15. McCabe M, </w:t>
            </w:r>
            <w:proofErr w:type="spellStart"/>
            <w:r>
              <w:rPr>
                <w:lang w:val="en"/>
              </w:rPr>
              <w:t>Sibert</w:t>
            </w:r>
            <w:proofErr w:type="spellEnd"/>
            <w:r>
              <w:rPr>
                <w:lang w:val="en"/>
              </w:rPr>
              <w:t xml:space="preserve"> JR, Routledge PA. Phosphate enemas in childhood: cause for concern. BMJ 1991</w:t>
            </w:r>
            <w:proofErr w:type="gramStart"/>
            <w:r>
              <w:rPr>
                <w:lang w:val="en"/>
              </w:rPr>
              <w:t>;302:1074</w:t>
            </w:r>
            <w:proofErr w:type="gramEnd"/>
            <w:r>
              <w:rPr>
                <w:lang w:val="en"/>
              </w:rPr>
              <w:t>.</w:t>
            </w:r>
          </w:p>
          <w:p w:rsidR="00400250" w:rsidRDefault="00400250" w:rsidP="00400250">
            <w:pPr>
              <w:pStyle w:val="NormalWeb"/>
              <w:rPr>
                <w:lang w:val="en"/>
              </w:rPr>
            </w:pPr>
            <w:r>
              <w:rPr>
                <w:lang w:val="en"/>
              </w:rPr>
              <w:t xml:space="preserve">16. </w:t>
            </w:r>
            <w:proofErr w:type="spellStart"/>
            <w:r>
              <w:rPr>
                <w:lang w:val="en"/>
              </w:rPr>
              <w:t>Korzets</w:t>
            </w:r>
            <w:proofErr w:type="spellEnd"/>
            <w:r>
              <w:rPr>
                <w:lang w:val="en"/>
              </w:rPr>
              <w:t xml:space="preserve"> A, Dicker D, </w:t>
            </w:r>
            <w:proofErr w:type="spellStart"/>
            <w:r>
              <w:rPr>
                <w:lang w:val="en"/>
              </w:rPr>
              <w:t>Chaimoff</w:t>
            </w:r>
            <w:proofErr w:type="spellEnd"/>
            <w:r>
              <w:rPr>
                <w:lang w:val="en"/>
              </w:rPr>
              <w:t xml:space="preserve"> C, </w:t>
            </w:r>
            <w:proofErr w:type="spellStart"/>
            <w:r>
              <w:rPr>
                <w:lang w:val="en"/>
              </w:rPr>
              <w:t>Zevin</w:t>
            </w:r>
            <w:proofErr w:type="spellEnd"/>
            <w:r>
              <w:rPr>
                <w:lang w:val="en"/>
              </w:rPr>
              <w:t xml:space="preserve"> D. Life-threatening </w:t>
            </w:r>
            <w:proofErr w:type="spellStart"/>
            <w:r>
              <w:rPr>
                <w:lang w:val="en"/>
              </w:rPr>
              <w:t>hyperphosphatemia</w:t>
            </w:r>
            <w:proofErr w:type="spellEnd"/>
            <w:r>
              <w:rPr>
                <w:lang w:val="en"/>
              </w:rPr>
              <w:t xml:space="preserve"> and </w:t>
            </w:r>
            <w:proofErr w:type="spellStart"/>
            <w:r>
              <w:rPr>
                <w:lang w:val="en"/>
              </w:rPr>
              <w:t>hypocalcemic</w:t>
            </w:r>
            <w:proofErr w:type="spellEnd"/>
            <w:r>
              <w:rPr>
                <w:lang w:val="en"/>
              </w:rPr>
              <w:t xml:space="preserve"> </w:t>
            </w:r>
            <w:proofErr w:type="spellStart"/>
            <w:r>
              <w:rPr>
                <w:lang w:val="en"/>
              </w:rPr>
              <w:t>tetany</w:t>
            </w:r>
            <w:proofErr w:type="spellEnd"/>
            <w:r>
              <w:rPr>
                <w:lang w:val="en"/>
              </w:rPr>
              <w:t xml:space="preserve"> following the use of fleet enemas. J Am </w:t>
            </w:r>
            <w:proofErr w:type="spellStart"/>
            <w:r>
              <w:rPr>
                <w:lang w:val="en"/>
              </w:rPr>
              <w:t>Geriatr</w:t>
            </w:r>
            <w:proofErr w:type="spellEnd"/>
            <w:r>
              <w:rPr>
                <w:lang w:val="en"/>
              </w:rPr>
              <w:t xml:space="preserve"> </w:t>
            </w:r>
            <w:proofErr w:type="spellStart"/>
            <w:r>
              <w:rPr>
                <w:lang w:val="en"/>
              </w:rPr>
              <w:t>Soc</w:t>
            </w:r>
            <w:proofErr w:type="spellEnd"/>
            <w:r>
              <w:rPr>
                <w:lang w:val="en"/>
              </w:rPr>
              <w:t xml:space="preserve"> 1992</w:t>
            </w:r>
            <w:proofErr w:type="gramStart"/>
            <w:r>
              <w:rPr>
                <w:lang w:val="en"/>
              </w:rPr>
              <w:t>;40:620</w:t>
            </w:r>
            <w:proofErr w:type="gramEnd"/>
            <w:r>
              <w:rPr>
                <w:lang w:val="en"/>
              </w:rPr>
              <w:t>-1.</w:t>
            </w:r>
          </w:p>
          <w:p w:rsidR="00400250" w:rsidRDefault="00400250" w:rsidP="00400250">
            <w:pPr>
              <w:pStyle w:val="NormalWeb"/>
              <w:rPr>
                <w:lang w:val="en"/>
              </w:rPr>
            </w:pPr>
            <w:r>
              <w:rPr>
                <w:lang w:val="en"/>
              </w:rPr>
              <w:t xml:space="preserve">17. Hunter MF, Ashton MR, Griffiths DM, </w:t>
            </w:r>
            <w:proofErr w:type="spellStart"/>
            <w:r>
              <w:rPr>
                <w:lang w:val="en"/>
              </w:rPr>
              <w:t>Ilangovan</w:t>
            </w:r>
            <w:proofErr w:type="spellEnd"/>
            <w:r>
              <w:rPr>
                <w:lang w:val="en"/>
              </w:rPr>
              <w:t xml:space="preserve"> P, Roberts JP, Walker V. </w:t>
            </w:r>
            <w:proofErr w:type="spellStart"/>
            <w:r>
              <w:rPr>
                <w:lang w:val="en"/>
              </w:rPr>
              <w:t>Hyperphosphataemia</w:t>
            </w:r>
            <w:proofErr w:type="spellEnd"/>
            <w:r>
              <w:rPr>
                <w:lang w:val="en"/>
              </w:rPr>
              <w:t xml:space="preserve"> after enemas in childhood: prevention and treatment. Arch Dis Child 1993</w:t>
            </w:r>
            <w:proofErr w:type="gramStart"/>
            <w:r>
              <w:rPr>
                <w:lang w:val="en"/>
              </w:rPr>
              <w:t>;68:233</w:t>
            </w:r>
            <w:proofErr w:type="gramEnd"/>
            <w:r>
              <w:rPr>
                <w:lang w:val="en"/>
              </w:rPr>
              <w:t>-4.</w:t>
            </w:r>
          </w:p>
          <w:p w:rsidR="00400250" w:rsidRDefault="00400250" w:rsidP="00400250">
            <w:pPr>
              <w:pStyle w:val="NormalWeb"/>
              <w:rPr>
                <w:lang w:val="en"/>
              </w:rPr>
            </w:pPr>
            <w:r>
              <w:rPr>
                <w:lang w:val="en"/>
              </w:rPr>
              <w:t xml:space="preserve">18. Craig JC, </w:t>
            </w:r>
            <w:proofErr w:type="spellStart"/>
            <w:r>
              <w:rPr>
                <w:lang w:val="en"/>
              </w:rPr>
              <w:t>Hodson</w:t>
            </w:r>
            <w:proofErr w:type="spellEnd"/>
            <w:r>
              <w:rPr>
                <w:lang w:val="en"/>
              </w:rPr>
              <w:t xml:space="preserve"> EM, Martin HC. Phosphate enema poisoning in children. Med J </w:t>
            </w:r>
            <w:proofErr w:type="spellStart"/>
            <w:r>
              <w:rPr>
                <w:lang w:val="en"/>
              </w:rPr>
              <w:t>Aust</w:t>
            </w:r>
            <w:proofErr w:type="spellEnd"/>
            <w:r>
              <w:rPr>
                <w:lang w:val="en"/>
              </w:rPr>
              <w:t xml:space="preserve"> 1994</w:t>
            </w:r>
            <w:proofErr w:type="gramStart"/>
            <w:r>
              <w:rPr>
                <w:lang w:val="en"/>
              </w:rPr>
              <w:t>;160:347</w:t>
            </w:r>
            <w:proofErr w:type="gramEnd"/>
            <w:r>
              <w:rPr>
                <w:lang w:val="en"/>
              </w:rPr>
              <w:t>-51.</w:t>
            </w:r>
          </w:p>
          <w:p w:rsidR="00400250" w:rsidRDefault="00400250" w:rsidP="00400250">
            <w:pPr>
              <w:pStyle w:val="NormalWeb"/>
              <w:rPr>
                <w:lang w:val="en"/>
              </w:rPr>
            </w:pPr>
            <w:r>
              <w:rPr>
                <w:lang w:val="en"/>
              </w:rPr>
              <w:t xml:space="preserve">19. </w:t>
            </w:r>
            <w:proofErr w:type="spellStart"/>
            <w:r>
              <w:rPr>
                <w:lang w:val="en"/>
              </w:rPr>
              <w:t>Selva</w:t>
            </w:r>
            <w:proofErr w:type="spellEnd"/>
            <w:r>
              <w:rPr>
                <w:lang w:val="en"/>
              </w:rPr>
              <w:t xml:space="preserve"> O'Callaghan A, San Jose A, Simeon CP, </w:t>
            </w:r>
            <w:proofErr w:type="spellStart"/>
            <w:r>
              <w:rPr>
                <w:lang w:val="en"/>
              </w:rPr>
              <w:t>Arruche</w:t>
            </w:r>
            <w:proofErr w:type="spellEnd"/>
            <w:r>
              <w:rPr>
                <w:lang w:val="en"/>
              </w:rPr>
              <w:t xml:space="preserve"> M, Galicia M, </w:t>
            </w:r>
            <w:proofErr w:type="spellStart"/>
            <w:r>
              <w:rPr>
                <w:lang w:val="en"/>
              </w:rPr>
              <w:t>Benavente</w:t>
            </w:r>
            <w:proofErr w:type="spellEnd"/>
            <w:r>
              <w:rPr>
                <w:lang w:val="en"/>
              </w:rPr>
              <w:t xml:space="preserve"> V, et al. Fatal </w:t>
            </w:r>
            <w:proofErr w:type="spellStart"/>
            <w:r>
              <w:rPr>
                <w:lang w:val="en"/>
              </w:rPr>
              <w:t>hypocalcemia</w:t>
            </w:r>
            <w:proofErr w:type="spellEnd"/>
            <w:r>
              <w:rPr>
                <w:lang w:val="en"/>
              </w:rPr>
              <w:t xml:space="preserve"> from sodium phosphate enemas. J Am </w:t>
            </w:r>
            <w:proofErr w:type="spellStart"/>
            <w:r>
              <w:rPr>
                <w:lang w:val="en"/>
              </w:rPr>
              <w:t>Geriatr</w:t>
            </w:r>
            <w:proofErr w:type="spellEnd"/>
            <w:r>
              <w:rPr>
                <w:lang w:val="en"/>
              </w:rPr>
              <w:t xml:space="preserve"> </w:t>
            </w:r>
            <w:proofErr w:type="spellStart"/>
            <w:r>
              <w:rPr>
                <w:lang w:val="en"/>
              </w:rPr>
              <w:t>Soc</w:t>
            </w:r>
            <w:proofErr w:type="spellEnd"/>
            <w:r>
              <w:rPr>
                <w:lang w:val="en"/>
              </w:rPr>
              <w:t xml:space="preserve"> 1995</w:t>
            </w:r>
            <w:proofErr w:type="gramStart"/>
            <w:r>
              <w:rPr>
                <w:lang w:val="en"/>
              </w:rPr>
              <w:t>;43:1447</w:t>
            </w:r>
            <w:proofErr w:type="gramEnd"/>
            <w:r>
              <w:rPr>
                <w:lang w:val="en"/>
              </w:rPr>
              <w:t>-8.</w:t>
            </w:r>
          </w:p>
          <w:p w:rsidR="00400250" w:rsidRDefault="00400250" w:rsidP="00400250">
            <w:pPr>
              <w:pStyle w:val="NormalWeb"/>
              <w:rPr>
                <w:lang w:val="en"/>
              </w:rPr>
            </w:pPr>
            <w:r>
              <w:rPr>
                <w:lang w:val="en"/>
              </w:rPr>
              <w:t xml:space="preserve">20. </w:t>
            </w:r>
            <w:proofErr w:type="spellStart"/>
            <w:r>
              <w:rPr>
                <w:lang w:val="en"/>
              </w:rPr>
              <w:t>Knobel</w:t>
            </w:r>
            <w:proofErr w:type="spellEnd"/>
            <w:r>
              <w:rPr>
                <w:lang w:val="en"/>
              </w:rPr>
              <w:t xml:space="preserve"> B, </w:t>
            </w:r>
            <w:proofErr w:type="spellStart"/>
            <w:r>
              <w:rPr>
                <w:lang w:val="en"/>
              </w:rPr>
              <w:t>Petchenko</w:t>
            </w:r>
            <w:proofErr w:type="spellEnd"/>
            <w:r>
              <w:rPr>
                <w:lang w:val="en"/>
              </w:rPr>
              <w:t xml:space="preserve"> P. </w:t>
            </w:r>
            <w:proofErr w:type="spellStart"/>
            <w:r>
              <w:rPr>
                <w:lang w:val="en"/>
              </w:rPr>
              <w:t>Hyperphosphatemic</w:t>
            </w:r>
            <w:proofErr w:type="spellEnd"/>
            <w:r>
              <w:rPr>
                <w:lang w:val="en"/>
              </w:rPr>
              <w:t xml:space="preserve"> </w:t>
            </w:r>
            <w:proofErr w:type="spellStart"/>
            <w:r>
              <w:rPr>
                <w:lang w:val="en"/>
              </w:rPr>
              <w:t>hypocalcemic</w:t>
            </w:r>
            <w:proofErr w:type="spellEnd"/>
            <w:r>
              <w:rPr>
                <w:lang w:val="en"/>
              </w:rPr>
              <w:t xml:space="preserve"> coma caused by hypertonic sodium phosphate (fleet) enema intoxication. J </w:t>
            </w:r>
            <w:proofErr w:type="spellStart"/>
            <w:r>
              <w:rPr>
                <w:lang w:val="en"/>
              </w:rPr>
              <w:t>Clin</w:t>
            </w:r>
            <w:proofErr w:type="spellEnd"/>
            <w:r>
              <w:rPr>
                <w:lang w:val="en"/>
              </w:rPr>
              <w:t xml:space="preserve"> </w:t>
            </w:r>
            <w:proofErr w:type="spellStart"/>
            <w:r>
              <w:rPr>
                <w:lang w:val="en"/>
              </w:rPr>
              <w:t>Gastroenterol</w:t>
            </w:r>
            <w:proofErr w:type="spellEnd"/>
            <w:r>
              <w:rPr>
                <w:lang w:val="en"/>
              </w:rPr>
              <w:t xml:space="preserve"> 1996</w:t>
            </w:r>
            <w:proofErr w:type="gramStart"/>
            <w:r>
              <w:rPr>
                <w:lang w:val="en"/>
              </w:rPr>
              <w:t>;23:217</w:t>
            </w:r>
            <w:proofErr w:type="gramEnd"/>
            <w:r>
              <w:rPr>
                <w:lang w:val="en"/>
              </w:rPr>
              <w:t>-9.</w:t>
            </w:r>
          </w:p>
          <w:p w:rsidR="00400250" w:rsidRDefault="00400250" w:rsidP="00400250">
            <w:pPr>
              <w:pStyle w:val="NormalWeb"/>
              <w:rPr>
                <w:lang w:val="en"/>
              </w:rPr>
            </w:pPr>
            <w:r>
              <w:rPr>
                <w:lang w:val="en"/>
              </w:rPr>
              <w:t xml:space="preserve">21. </w:t>
            </w:r>
            <w:proofErr w:type="spellStart"/>
            <w:r>
              <w:rPr>
                <w:lang w:val="en"/>
              </w:rPr>
              <w:t>Helikson</w:t>
            </w:r>
            <w:proofErr w:type="spellEnd"/>
            <w:r>
              <w:rPr>
                <w:lang w:val="en"/>
              </w:rPr>
              <w:t xml:space="preserve"> MA, Parham WA, Tobias JD. </w:t>
            </w:r>
            <w:proofErr w:type="spellStart"/>
            <w:r>
              <w:rPr>
                <w:lang w:val="en"/>
              </w:rPr>
              <w:t>Hypocalcemia</w:t>
            </w:r>
            <w:proofErr w:type="spellEnd"/>
            <w:r>
              <w:rPr>
                <w:lang w:val="en"/>
              </w:rPr>
              <w:t xml:space="preserve"> and </w:t>
            </w:r>
            <w:proofErr w:type="spellStart"/>
            <w:r>
              <w:rPr>
                <w:lang w:val="en"/>
              </w:rPr>
              <w:t>hyperphosphatemia</w:t>
            </w:r>
            <w:proofErr w:type="spellEnd"/>
            <w:r>
              <w:rPr>
                <w:lang w:val="en"/>
              </w:rPr>
              <w:t xml:space="preserve"> after phosphate enema use in a child. J </w:t>
            </w:r>
            <w:proofErr w:type="spellStart"/>
            <w:r>
              <w:rPr>
                <w:lang w:val="en"/>
              </w:rPr>
              <w:t>Pediatr</w:t>
            </w:r>
            <w:proofErr w:type="spellEnd"/>
            <w:r>
              <w:rPr>
                <w:lang w:val="en"/>
              </w:rPr>
              <w:t xml:space="preserve"> </w:t>
            </w:r>
            <w:proofErr w:type="spellStart"/>
            <w:r>
              <w:rPr>
                <w:lang w:val="en"/>
              </w:rPr>
              <w:t>Surg</w:t>
            </w:r>
            <w:proofErr w:type="spellEnd"/>
            <w:r>
              <w:rPr>
                <w:lang w:val="en"/>
              </w:rPr>
              <w:t xml:space="preserve"> 1997</w:t>
            </w:r>
            <w:proofErr w:type="gramStart"/>
            <w:r>
              <w:rPr>
                <w:lang w:val="en"/>
              </w:rPr>
              <w:t>;32:1244</w:t>
            </w:r>
            <w:proofErr w:type="gramEnd"/>
            <w:r>
              <w:rPr>
                <w:lang w:val="en"/>
              </w:rPr>
              <w:t>-6.</w:t>
            </w:r>
          </w:p>
          <w:p w:rsidR="00400250" w:rsidRDefault="00400250" w:rsidP="00400250">
            <w:pPr>
              <w:pStyle w:val="NormalWeb"/>
              <w:rPr>
                <w:lang w:val="en"/>
              </w:rPr>
            </w:pPr>
            <w:r>
              <w:rPr>
                <w:lang w:val="en"/>
              </w:rPr>
              <w:t xml:space="preserve">22. Szabo A, </w:t>
            </w:r>
            <w:proofErr w:type="spellStart"/>
            <w:r>
              <w:rPr>
                <w:lang w:val="en"/>
              </w:rPr>
              <w:t>Eitan</w:t>
            </w:r>
            <w:proofErr w:type="spellEnd"/>
            <w:r>
              <w:rPr>
                <w:lang w:val="en"/>
              </w:rPr>
              <w:t xml:space="preserve"> A, </w:t>
            </w:r>
            <w:proofErr w:type="spellStart"/>
            <w:r>
              <w:rPr>
                <w:lang w:val="en"/>
              </w:rPr>
              <w:t>Zveibil</w:t>
            </w:r>
            <w:proofErr w:type="spellEnd"/>
            <w:r>
              <w:rPr>
                <w:lang w:val="en"/>
              </w:rPr>
              <w:t xml:space="preserve"> F, Weiss M, Waksman I, </w:t>
            </w:r>
            <w:proofErr w:type="spellStart"/>
            <w:r>
              <w:rPr>
                <w:lang w:val="en"/>
              </w:rPr>
              <w:t>Makhoul</w:t>
            </w:r>
            <w:proofErr w:type="spellEnd"/>
            <w:r>
              <w:rPr>
                <w:lang w:val="en"/>
              </w:rPr>
              <w:t xml:space="preserve"> N. Life-threatening electrolyte abnormalities induced by hypertonic phosphate enema intoxication. Clinical Intensive Care 1999</w:t>
            </w:r>
            <w:proofErr w:type="gramStart"/>
            <w:r>
              <w:rPr>
                <w:lang w:val="en"/>
              </w:rPr>
              <w:t>;10:21</w:t>
            </w:r>
            <w:proofErr w:type="gramEnd"/>
            <w:r>
              <w:rPr>
                <w:lang w:val="en"/>
              </w:rPr>
              <w:t>-3.</w:t>
            </w:r>
          </w:p>
          <w:p w:rsidR="00400250" w:rsidRDefault="00400250" w:rsidP="00400250">
            <w:pPr>
              <w:pStyle w:val="NormalWeb"/>
              <w:rPr>
                <w:lang w:val="en"/>
              </w:rPr>
            </w:pPr>
            <w:r>
              <w:rPr>
                <w:lang w:val="en"/>
              </w:rPr>
              <w:t xml:space="preserve">23. </w:t>
            </w:r>
            <w:proofErr w:type="spellStart"/>
            <w:r>
              <w:rPr>
                <w:lang w:val="en"/>
              </w:rPr>
              <w:t>Nir</w:t>
            </w:r>
            <w:proofErr w:type="spellEnd"/>
            <w:r>
              <w:rPr>
                <w:lang w:val="en"/>
              </w:rPr>
              <w:t xml:space="preserve">-Paz R, Cohen R, </w:t>
            </w:r>
            <w:proofErr w:type="spellStart"/>
            <w:r>
              <w:rPr>
                <w:lang w:val="en"/>
              </w:rPr>
              <w:t>Haviv</w:t>
            </w:r>
            <w:proofErr w:type="spellEnd"/>
            <w:r>
              <w:rPr>
                <w:lang w:val="en"/>
              </w:rPr>
              <w:t xml:space="preserve"> YS. Acute </w:t>
            </w:r>
            <w:proofErr w:type="spellStart"/>
            <w:r>
              <w:rPr>
                <w:lang w:val="en"/>
              </w:rPr>
              <w:t>hyperphosphatemia</w:t>
            </w:r>
            <w:proofErr w:type="spellEnd"/>
            <w:r>
              <w:rPr>
                <w:lang w:val="en"/>
              </w:rPr>
              <w:t xml:space="preserve"> caused by sodium phosphate enema in a patient with liver dysfunction and chronic </w:t>
            </w:r>
            <w:r>
              <w:rPr>
                <w:lang w:val="en"/>
              </w:rPr>
              <w:lastRenderedPageBreak/>
              <w:t>renal failure. Ren Fail 1999</w:t>
            </w:r>
            <w:proofErr w:type="gramStart"/>
            <w:r>
              <w:rPr>
                <w:lang w:val="en"/>
              </w:rPr>
              <w:t>;21:541</w:t>
            </w:r>
            <w:proofErr w:type="gramEnd"/>
            <w:r>
              <w:rPr>
                <w:lang w:val="en"/>
              </w:rPr>
              <w:t>-4.</w:t>
            </w:r>
          </w:p>
          <w:p w:rsidR="00400250" w:rsidRDefault="00400250" w:rsidP="00400250">
            <w:pPr>
              <w:pStyle w:val="NormalWeb"/>
              <w:rPr>
                <w:lang w:val="en"/>
              </w:rPr>
            </w:pPr>
            <w:r>
              <w:rPr>
                <w:lang w:val="en"/>
              </w:rPr>
              <w:t>24. Ismail EA, Al-</w:t>
            </w:r>
            <w:proofErr w:type="spellStart"/>
            <w:r>
              <w:rPr>
                <w:lang w:val="en"/>
              </w:rPr>
              <w:t>Mutairi</w:t>
            </w:r>
            <w:proofErr w:type="spellEnd"/>
            <w:r>
              <w:rPr>
                <w:lang w:val="en"/>
              </w:rPr>
              <w:t xml:space="preserve"> G, Al-</w:t>
            </w:r>
            <w:proofErr w:type="spellStart"/>
            <w:r>
              <w:rPr>
                <w:lang w:val="en"/>
              </w:rPr>
              <w:t>Anzy</w:t>
            </w:r>
            <w:proofErr w:type="spellEnd"/>
            <w:r>
              <w:rPr>
                <w:lang w:val="en"/>
              </w:rPr>
              <w:t xml:space="preserve"> H. A fatal small dose of phosphate enema in a young child with no renal or gastrointestinal abnormality. J </w:t>
            </w:r>
            <w:proofErr w:type="spellStart"/>
            <w:r>
              <w:rPr>
                <w:lang w:val="en"/>
              </w:rPr>
              <w:t>Pediatr</w:t>
            </w:r>
            <w:proofErr w:type="spellEnd"/>
            <w:r>
              <w:rPr>
                <w:lang w:val="en"/>
              </w:rPr>
              <w:t xml:space="preserve"> </w:t>
            </w:r>
            <w:proofErr w:type="spellStart"/>
            <w:r>
              <w:rPr>
                <w:lang w:val="en"/>
              </w:rPr>
              <w:t>Gastroenterol</w:t>
            </w:r>
            <w:proofErr w:type="spellEnd"/>
            <w:r>
              <w:rPr>
                <w:lang w:val="en"/>
              </w:rPr>
              <w:t xml:space="preserve"> </w:t>
            </w:r>
            <w:proofErr w:type="spellStart"/>
            <w:r>
              <w:rPr>
                <w:lang w:val="en"/>
              </w:rPr>
              <w:t>Nutr</w:t>
            </w:r>
            <w:proofErr w:type="spellEnd"/>
            <w:r>
              <w:rPr>
                <w:lang w:val="en"/>
              </w:rPr>
              <w:t xml:space="preserve"> 2000</w:t>
            </w:r>
            <w:proofErr w:type="gramStart"/>
            <w:r>
              <w:rPr>
                <w:lang w:val="en"/>
              </w:rPr>
              <w:t>;30:220</w:t>
            </w:r>
            <w:proofErr w:type="gramEnd"/>
            <w:r>
              <w:rPr>
                <w:lang w:val="en"/>
              </w:rPr>
              <w:t>-1.</w:t>
            </w:r>
          </w:p>
          <w:p w:rsidR="00400250" w:rsidRDefault="00400250" w:rsidP="00400250">
            <w:pPr>
              <w:pStyle w:val="NormalWeb"/>
              <w:rPr>
                <w:lang w:val="en"/>
              </w:rPr>
            </w:pPr>
            <w:r>
              <w:rPr>
                <w:lang w:val="en"/>
              </w:rPr>
              <w:t xml:space="preserve">25. Walton DM, Thomas DC, </w:t>
            </w:r>
            <w:proofErr w:type="spellStart"/>
            <w:r>
              <w:rPr>
                <w:lang w:val="en"/>
              </w:rPr>
              <w:t>Aly</w:t>
            </w:r>
            <w:proofErr w:type="spellEnd"/>
            <w:r>
              <w:rPr>
                <w:lang w:val="en"/>
              </w:rPr>
              <w:t xml:space="preserve"> HZ, Short BL. Morbid </w:t>
            </w:r>
            <w:proofErr w:type="spellStart"/>
            <w:r>
              <w:rPr>
                <w:lang w:val="en"/>
              </w:rPr>
              <w:t>hypocalcemia</w:t>
            </w:r>
            <w:proofErr w:type="spellEnd"/>
            <w:r>
              <w:rPr>
                <w:lang w:val="en"/>
              </w:rPr>
              <w:t xml:space="preserve"> associated with phosphate enema in a six-week-old infant. Pediatrics 2000</w:t>
            </w:r>
            <w:proofErr w:type="gramStart"/>
            <w:r>
              <w:rPr>
                <w:lang w:val="en"/>
              </w:rPr>
              <w:t>;106:E37</w:t>
            </w:r>
            <w:proofErr w:type="gramEnd"/>
            <w:r>
              <w:rPr>
                <w:lang w:val="en"/>
              </w:rPr>
              <w:t>.</w:t>
            </w:r>
          </w:p>
          <w:p w:rsidR="00400250" w:rsidRDefault="00400250" w:rsidP="00400250">
            <w:pPr>
              <w:pStyle w:val="NormalWeb"/>
              <w:rPr>
                <w:lang w:val="en"/>
              </w:rPr>
            </w:pPr>
            <w:r>
              <w:rPr>
                <w:lang w:val="en"/>
              </w:rPr>
              <w:t xml:space="preserve">26. Melvin JD, Watts RG. Severe hypophosphatemia: a rare cause of intravascular hemolysis. Am J </w:t>
            </w:r>
            <w:proofErr w:type="spellStart"/>
            <w:r>
              <w:rPr>
                <w:lang w:val="en"/>
              </w:rPr>
              <w:t>Hematol</w:t>
            </w:r>
            <w:proofErr w:type="spellEnd"/>
            <w:r>
              <w:rPr>
                <w:lang w:val="en"/>
              </w:rPr>
              <w:t xml:space="preserve"> 2002</w:t>
            </w:r>
            <w:proofErr w:type="gramStart"/>
            <w:r>
              <w:rPr>
                <w:lang w:val="en"/>
              </w:rPr>
              <w:t>;69:223</w:t>
            </w:r>
            <w:proofErr w:type="gramEnd"/>
            <w:r>
              <w:rPr>
                <w:lang w:val="en"/>
              </w:rPr>
              <w:t>-4.</w:t>
            </w:r>
          </w:p>
          <w:p w:rsidR="00400250" w:rsidRDefault="00400250" w:rsidP="00400250">
            <w:pPr>
              <w:pStyle w:val="NormalWeb"/>
              <w:rPr>
                <w:lang w:val="en"/>
              </w:rPr>
            </w:pPr>
            <w:r>
              <w:rPr>
                <w:lang w:val="en"/>
              </w:rPr>
              <w:t xml:space="preserve">27. </w:t>
            </w:r>
            <w:proofErr w:type="spellStart"/>
            <w:r>
              <w:rPr>
                <w:lang w:val="en"/>
              </w:rPr>
              <w:t>Marraffa</w:t>
            </w:r>
            <w:proofErr w:type="spellEnd"/>
            <w:r>
              <w:rPr>
                <w:lang w:val="en"/>
              </w:rPr>
              <w:t xml:space="preserve"> JM, </w:t>
            </w:r>
            <w:proofErr w:type="spellStart"/>
            <w:r>
              <w:rPr>
                <w:lang w:val="en"/>
              </w:rPr>
              <w:t>Hui</w:t>
            </w:r>
            <w:proofErr w:type="spellEnd"/>
            <w:r>
              <w:rPr>
                <w:lang w:val="en"/>
              </w:rPr>
              <w:t xml:space="preserve"> A, Stork CM. Severe </w:t>
            </w:r>
            <w:proofErr w:type="spellStart"/>
            <w:r>
              <w:rPr>
                <w:lang w:val="en"/>
              </w:rPr>
              <w:t>hyperphosphatemia</w:t>
            </w:r>
            <w:proofErr w:type="spellEnd"/>
            <w:r>
              <w:rPr>
                <w:lang w:val="en"/>
              </w:rPr>
              <w:t xml:space="preserve"> and </w:t>
            </w:r>
            <w:proofErr w:type="spellStart"/>
            <w:r>
              <w:rPr>
                <w:lang w:val="en"/>
              </w:rPr>
              <w:t>hypocalcemia</w:t>
            </w:r>
            <w:proofErr w:type="spellEnd"/>
            <w:r>
              <w:rPr>
                <w:lang w:val="en"/>
              </w:rPr>
              <w:t xml:space="preserve"> following the rectal administration of a phosphate-containing Fleet pediatric enema. </w:t>
            </w:r>
            <w:proofErr w:type="spellStart"/>
            <w:r>
              <w:rPr>
                <w:lang w:val="en"/>
              </w:rPr>
              <w:t>Pediatr</w:t>
            </w:r>
            <w:proofErr w:type="spellEnd"/>
            <w:r>
              <w:rPr>
                <w:lang w:val="en"/>
              </w:rPr>
              <w:t xml:space="preserve"> </w:t>
            </w:r>
            <w:proofErr w:type="spellStart"/>
            <w:r>
              <w:rPr>
                <w:lang w:val="en"/>
              </w:rPr>
              <w:t>Emerg</w:t>
            </w:r>
            <w:proofErr w:type="spellEnd"/>
            <w:r>
              <w:rPr>
                <w:lang w:val="en"/>
              </w:rPr>
              <w:t xml:space="preserve"> Care 2004</w:t>
            </w:r>
            <w:proofErr w:type="gramStart"/>
            <w:r>
              <w:rPr>
                <w:lang w:val="en"/>
              </w:rPr>
              <w:t>;20:453</w:t>
            </w:r>
            <w:proofErr w:type="gramEnd"/>
            <w:r>
              <w:rPr>
                <w:lang w:val="en"/>
              </w:rPr>
              <w:t>-6.</w:t>
            </w:r>
          </w:p>
          <w:p w:rsidR="00400250" w:rsidRDefault="00400250" w:rsidP="00400250">
            <w:pPr>
              <w:pStyle w:val="NormalWeb"/>
              <w:rPr>
                <w:lang w:val="en"/>
              </w:rPr>
            </w:pPr>
            <w:r>
              <w:rPr>
                <w:lang w:val="en"/>
              </w:rPr>
              <w:t xml:space="preserve">28. </w:t>
            </w:r>
            <w:proofErr w:type="spellStart"/>
            <w:r>
              <w:rPr>
                <w:lang w:val="en"/>
              </w:rPr>
              <w:t>Butani</w:t>
            </w:r>
            <w:proofErr w:type="spellEnd"/>
            <w:r>
              <w:rPr>
                <w:lang w:val="en"/>
              </w:rPr>
              <w:t xml:space="preserve"> L. Life-threatening </w:t>
            </w:r>
            <w:proofErr w:type="spellStart"/>
            <w:r>
              <w:rPr>
                <w:lang w:val="en"/>
              </w:rPr>
              <w:t>hyperphosphatemia</w:t>
            </w:r>
            <w:proofErr w:type="spellEnd"/>
            <w:r>
              <w:rPr>
                <w:lang w:val="en"/>
              </w:rPr>
              <w:t xml:space="preserve"> and </w:t>
            </w:r>
            <w:proofErr w:type="spellStart"/>
            <w:r>
              <w:rPr>
                <w:lang w:val="en"/>
              </w:rPr>
              <w:t>hypocalcemia</w:t>
            </w:r>
            <w:proofErr w:type="spellEnd"/>
            <w:r>
              <w:rPr>
                <w:lang w:val="en"/>
              </w:rPr>
              <w:t xml:space="preserve"> from inappropriate use of Fleet enemas. </w:t>
            </w:r>
            <w:proofErr w:type="spellStart"/>
            <w:r>
              <w:rPr>
                <w:lang w:val="en"/>
              </w:rPr>
              <w:t>Clin</w:t>
            </w:r>
            <w:proofErr w:type="spellEnd"/>
            <w:r>
              <w:rPr>
                <w:lang w:val="en"/>
              </w:rPr>
              <w:t xml:space="preserve"> </w:t>
            </w:r>
            <w:proofErr w:type="spellStart"/>
            <w:r>
              <w:rPr>
                <w:lang w:val="en"/>
              </w:rPr>
              <w:t>Pediatr</w:t>
            </w:r>
            <w:proofErr w:type="spellEnd"/>
            <w:r>
              <w:rPr>
                <w:lang w:val="en"/>
              </w:rPr>
              <w:t xml:space="preserve"> (</w:t>
            </w:r>
            <w:proofErr w:type="spellStart"/>
            <w:r>
              <w:rPr>
                <w:lang w:val="en"/>
              </w:rPr>
              <w:t>Phila</w:t>
            </w:r>
            <w:proofErr w:type="spellEnd"/>
            <w:r>
              <w:rPr>
                <w:lang w:val="en"/>
              </w:rPr>
              <w:t>) 2005</w:t>
            </w:r>
            <w:proofErr w:type="gramStart"/>
            <w:r>
              <w:rPr>
                <w:lang w:val="en"/>
              </w:rPr>
              <w:t>;44:93</w:t>
            </w:r>
            <w:proofErr w:type="gramEnd"/>
            <w:r>
              <w:rPr>
                <w:lang w:val="en"/>
              </w:rPr>
              <w:t>.</w:t>
            </w:r>
          </w:p>
          <w:p w:rsidR="00400250" w:rsidRDefault="00400250" w:rsidP="00400250">
            <w:pPr>
              <w:pStyle w:val="NormalWeb"/>
              <w:rPr>
                <w:lang w:val="en"/>
              </w:rPr>
            </w:pPr>
            <w:r>
              <w:rPr>
                <w:lang w:val="en"/>
              </w:rPr>
              <w:t xml:space="preserve">29. Farah R. Fatal acute sodium phosphate enemas intoxication. </w:t>
            </w:r>
            <w:proofErr w:type="spellStart"/>
            <w:r>
              <w:rPr>
                <w:lang w:val="en"/>
              </w:rPr>
              <w:t>Acta</w:t>
            </w:r>
            <w:proofErr w:type="spellEnd"/>
            <w:r>
              <w:rPr>
                <w:lang w:val="en"/>
              </w:rPr>
              <w:t xml:space="preserve"> </w:t>
            </w:r>
            <w:proofErr w:type="spellStart"/>
            <w:r>
              <w:rPr>
                <w:lang w:val="en"/>
              </w:rPr>
              <w:t>Gastroenterol</w:t>
            </w:r>
            <w:proofErr w:type="spellEnd"/>
            <w:r>
              <w:rPr>
                <w:lang w:val="en"/>
              </w:rPr>
              <w:t xml:space="preserve"> </w:t>
            </w:r>
            <w:proofErr w:type="spellStart"/>
            <w:r>
              <w:rPr>
                <w:lang w:val="en"/>
              </w:rPr>
              <w:t>Belg</w:t>
            </w:r>
            <w:proofErr w:type="spellEnd"/>
            <w:r>
              <w:rPr>
                <w:lang w:val="en"/>
              </w:rPr>
              <w:t xml:space="preserve"> 2005</w:t>
            </w:r>
            <w:proofErr w:type="gramStart"/>
            <w:r>
              <w:rPr>
                <w:lang w:val="en"/>
              </w:rPr>
              <w:t>;68:392</w:t>
            </w:r>
            <w:proofErr w:type="gramEnd"/>
            <w:r>
              <w:rPr>
                <w:lang w:val="en"/>
              </w:rPr>
              <w:t>-3.</w:t>
            </w:r>
          </w:p>
          <w:p w:rsidR="00400250" w:rsidRDefault="00400250" w:rsidP="00400250">
            <w:pPr>
              <w:pStyle w:val="NormalWeb"/>
              <w:rPr>
                <w:lang w:val="en"/>
              </w:rPr>
            </w:pPr>
            <w:r>
              <w:rPr>
                <w:lang w:val="en"/>
              </w:rPr>
              <w:t xml:space="preserve">30. </w:t>
            </w:r>
            <w:proofErr w:type="spellStart"/>
            <w:r>
              <w:rPr>
                <w:lang w:val="en"/>
              </w:rPr>
              <w:t>Domico</w:t>
            </w:r>
            <w:proofErr w:type="spellEnd"/>
            <w:r>
              <w:rPr>
                <w:lang w:val="en"/>
              </w:rPr>
              <w:t xml:space="preserve"> MB, Huynh V, </w:t>
            </w:r>
            <w:proofErr w:type="spellStart"/>
            <w:r>
              <w:rPr>
                <w:lang w:val="en"/>
              </w:rPr>
              <w:t>Anand</w:t>
            </w:r>
            <w:proofErr w:type="spellEnd"/>
            <w:r>
              <w:rPr>
                <w:lang w:val="en"/>
              </w:rPr>
              <w:t xml:space="preserve"> SK, Mink R. Severe </w:t>
            </w:r>
            <w:proofErr w:type="spellStart"/>
            <w:r>
              <w:rPr>
                <w:lang w:val="en"/>
              </w:rPr>
              <w:t>hyperphosphatemia</w:t>
            </w:r>
            <w:proofErr w:type="spellEnd"/>
            <w:r>
              <w:rPr>
                <w:lang w:val="en"/>
              </w:rPr>
              <w:t xml:space="preserve"> and </w:t>
            </w:r>
            <w:proofErr w:type="spellStart"/>
            <w:r>
              <w:rPr>
                <w:lang w:val="en"/>
              </w:rPr>
              <w:t>hypocalcemic</w:t>
            </w:r>
            <w:proofErr w:type="spellEnd"/>
            <w:r>
              <w:rPr>
                <w:lang w:val="en"/>
              </w:rPr>
              <w:t xml:space="preserve"> </w:t>
            </w:r>
            <w:proofErr w:type="spellStart"/>
            <w:r>
              <w:rPr>
                <w:lang w:val="en"/>
              </w:rPr>
              <w:t>tetany</w:t>
            </w:r>
            <w:proofErr w:type="spellEnd"/>
            <w:r>
              <w:rPr>
                <w:lang w:val="en"/>
              </w:rPr>
              <w:t xml:space="preserve"> after oral laxative administration in a 3-month-old infant. Pediatrics 2006</w:t>
            </w:r>
            <w:proofErr w:type="gramStart"/>
            <w:r>
              <w:rPr>
                <w:lang w:val="en"/>
              </w:rPr>
              <w:t>;118:e1580</w:t>
            </w:r>
            <w:proofErr w:type="gramEnd"/>
            <w:r>
              <w:rPr>
                <w:lang w:val="en"/>
              </w:rPr>
              <w:t>-3.</w:t>
            </w:r>
          </w:p>
          <w:p w:rsidR="00400250" w:rsidRDefault="00400250" w:rsidP="00400250">
            <w:pPr>
              <w:pStyle w:val="NormalWeb"/>
              <w:rPr>
                <w:lang w:val="en"/>
              </w:rPr>
            </w:pPr>
            <w:r>
              <w:rPr>
                <w:lang w:val="en"/>
              </w:rPr>
              <w:t xml:space="preserve">31. Eckstein J, </w:t>
            </w:r>
            <w:proofErr w:type="spellStart"/>
            <w:r>
              <w:rPr>
                <w:lang w:val="en"/>
              </w:rPr>
              <w:t>Savic</w:t>
            </w:r>
            <w:proofErr w:type="spellEnd"/>
            <w:r>
              <w:rPr>
                <w:lang w:val="en"/>
              </w:rPr>
              <w:t xml:space="preserve"> S, </w:t>
            </w:r>
            <w:proofErr w:type="spellStart"/>
            <w:r>
              <w:rPr>
                <w:lang w:val="en"/>
              </w:rPr>
              <w:t>Eugster</w:t>
            </w:r>
            <w:proofErr w:type="spellEnd"/>
            <w:r>
              <w:rPr>
                <w:lang w:val="en"/>
              </w:rPr>
              <w:t xml:space="preserve"> T, </w:t>
            </w:r>
            <w:proofErr w:type="spellStart"/>
            <w:r>
              <w:rPr>
                <w:lang w:val="en"/>
              </w:rPr>
              <w:t>Pargger</w:t>
            </w:r>
            <w:proofErr w:type="spellEnd"/>
            <w:r>
              <w:rPr>
                <w:lang w:val="en"/>
              </w:rPr>
              <w:t xml:space="preserve"> H, </w:t>
            </w:r>
            <w:proofErr w:type="spellStart"/>
            <w:r>
              <w:rPr>
                <w:lang w:val="en"/>
              </w:rPr>
              <w:t>Gürke</w:t>
            </w:r>
            <w:proofErr w:type="spellEnd"/>
            <w:r>
              <w:rPr>
                <w:lang w:val="en"/>
              </w:rPr>
              <w:t xml:space="preserve"> L, </w:t>
            </w:r>
            <w:proofErr w:type="spellStart"/>
            <w:r>
              <w:rPr>
                <w:lang w:val="en"/>
              </w:rPr>
              <w:t>Pechula</w:t>
            </w:r>
            <w:proofErr w:type="spellEnd"/>
            <w:r>
              <w:rPr>
                <w:lang w:val="en"/>
              </w:rPr>
              <w:t xml:space="preserve"> M, et al. Extensive calcifications induced by </w:t>
            </w:r>
            <w:proofErr w:type="spellStart"/>
            <w:r>
              <w:rPr>
                <w:lang w:val="en"/>
              </w:rPr>
              <w:t>hyperphosphataemia</w:t>
            </w:r>
            <w:proofErr w:type="spellEnd"/>
            <w:r>
              <w:rPr>
                <w:lang w:val="en"/>
              </w:rPr>
              <w:t xml:space="preserve"> caused by phosphate-based enema in a patient after kidney transplantation. </w:t>
            </w:r>
            <w:proofErr w:type="spellStart"/>
            <w:r>
              <w:rPr>
                <w:lang w:val="en"/>
              </w:rPr>
              <w:t>Nephrol</w:t>
            </w:r>
            <w:proofErr w:type="spellEnd"/>
            <w:r>
              <w:rPr>
                <w:lang w:val="en"/>
              </w:rPr>
              <w:t xml:space="preserve"> Dial Transplant 2006</w:t>
            </w:r>
            <w:proofErr w:type="gramStart"/>
            <w:r>
              <w:rPr>
                <w:lang w:val="en"/>
              </w:rPr>
              <w:t>;21:2013</w:t>
            </w:r>
            <w:proofErr w:type="gramEnd"/>
            <w:r>
              <w:rPr>
                <w:lang w:val="en"/>
              </w:rPr>
              <w:t>-6.</w:t>
            </w:r>
          </w:p>
          <w:p w:rsidR="00400250" w:rsidRDefault="00400250" w:rsidP="00400250">
            <w:pPr>
              <w:pStyle w:val="NormalWeb"/>
              <w:rPr>
                <w:lang w:val="en"/>
              </w:rPr>
            </w:pPr>
            <w:r>
              <w:rPr>
                <w:lang w:val="en"/>
              </w:rPr>
              <w:t xml:space="preserve">32. Hay E, </w:t>
            </w:r>
            <w:proofErr w:type="spellStart"/>
            <w:r>
              <w:rPr>
                <w:lang w:val="en"/>
              </w:rPr>
              <w:t>Boksenbojm</w:t>
            </w:r>
            <w:proofErr w:type="spellEnd"/>
            <w:r>
              <w:rPr>
                <w:lang w:val="en"/>
              </w:rPr>
              <w:t xml:space="preserve"> P, Esther P. Case report: Fleet enema in the renal patient. Israeli Journal of Emergency Medicine 2006</w:t>
            </w:r>
            <w:proofErr w:type="gramStart"/>
            <w:r>
              <w:rPr>
                <w:lang w:val="en"/>
              </w:rPr>
              <w:t>;6:49</w:t>
            </w:r>
            <w:proofErr w:type="gramEnd"/>
            <w:r>
              <w:rPr>
                <w:lang w:val="en"/>
              </w:rPr>
              <w:t>-51.</w:t>
            </w:r>
          </w:p>
          <w:p w:rsidR="00400250" w:rsidRDefault="00400250" w:rsidP="00400250">
            <w:pPr>
              <w:pStyle w:val="NormalWeb"/>
              <w:rPr>
                <w:lang w:val="en"/>
              </w:rPr>
            </w:pPr>
            <w:r>
              <w:rPr>
                <w:lang w:val="en"/>
              </w:rPr>
              <w:t xml:space="preserve">33. </w:t>
            </w:r>
            <w:proofErr w:type="spellStart"/>
            <w:r>
              <w:rPr>
                <w:lang w:val="en"/>
              </w:rPr>
              <w:t>Hebbar</w:t>
            </w:r>
            <w:proofErr w:type="spellEnd"/>
            <w:r>
              <w:rPr>
                <w:lang w:val="en"/>
              </w:rPr>
              <w:t xml:space="preserve"> K, </w:t>
            </w:r>
            <w:proofErr w:type="spellStart"/>
            <w:r>
              <w:rPr>
                <w:lang w:val="en"/>
              </w:rPr>
              <w:t>Fortenberry</w:t>
            </w:r>
            <w:proofErr w:type="spellEnd"/>
            <w:r>
              <w:rPr>
                <w:lang w:val="en"/>
              </w:rPr>
              <w:t xml:space="preserve"> JD, Parks JS. Severe </w:t>
            </w:r>
            <w:proofErr w:type="spellStart"/>
            <w:r>
              <w:rPr>
                <w:lang w:val="en"/>
              </w:rPr>
              <w:t>hypocalcemic</w:t>
            </w:r>
            <w:proofErr w:type="spellEnd"/>
            <w:r>
              <w:rPr>
                <w:lang w:val="en"/>
              </w:rPr>
              <w:t xml:space="preserve"> </w:t>
            </w:r>
            <w:proofErr w:type="spellStart"/>
            <w:r>
              <w:rPr>
                <w:lang w:val="en"/>
              </w:rPr>
              <w:t>tetany</w:t>
            </w:r>
            <w:proofErr w:type="spellEnd"/>
            <w:r>
              <w:rPr>
                <w:lang w:val="en"/>
              </w:rPr>
              <w:t xml:space="preserve"> and respiratory failure in an infant given oral phosphate soda. </w:t>
            </w:r>
            <w:proofErr w:type="spellStart"/>
            <w:r>
              <w:rPr>
                <w:lang w:val="en"/>
              </w:rPr>
              <w:t>Pediatr</w:t>
            </w:r>
            <w:proofErr w:type="spellEnd"/>
            <w:r>
              <w:rPr>
                <w:lang w:val="en"/>
              </w:rPr>
              <w:t xml:space="preserve"> </w:t>
            </w:r>
            <w:proofErr w:type="spellStart"/>
            <w:r>
              <w:rPr>
                <w:lang w:val="en"/>
              </w:rPr>
              <w:t>Emerg</w:t>
            </w:r>
            <w:proofErr w:type="spellEnd"/>
            <w:r>
              <w:rPr>
                <w:lang w:val="en"/>
              </w:rPr>
              <w:t xml:space="preserve"> Care 2006</w:t>
            </w:r>
            <w:proofErr w:type="gramStart"/>
            <w:r>
              <w:rPr>
                <w:lang w:val="en"/>
              </w:rPr>
              <w:t>;22:118</w:t>
            </w:r>
            <w:proofErr w:type="gramEnd"/>
            <w:r>
              <w:rPr>
                <w:lang w:val="en"/>
              </w:rPr>
              <w:t>-20.</w:t>
            </w:r>
          </w:p>
          <w:p w:rsidR="00400250" w:rsidRDefault="00400250" w:rsidP="00400250">
            <w:pPr>
              <w:pStyle w:val="NormalWeb"/>
              <w:rPr>
                <w:lang w:val="en"/>
              </w:rPr>
            </w:pPr>
            <w:r>
              <w:rPr>
                <w:lang w:val="en"/>
              </w:rPr>
              <w:t xml:space="preserve">34. Hsu HJ, Wu MS. Extreme </w:t>
            </w:r>
            <w:proofErr w:type="spellStart"/>
            <w:r>
              <w:rPr>
                <w:lang w:val="en"/>
              </w:rPr>
              <w:t>hyperphosphatemia</w:t>
            </w:r>
            <w:proofErr w:type="spellEnd"/>
            <w:r>
              <w:rPr>
                <w:lang w:val="en"/>
              </w:rPr>
              <w:t xml:space="preserve"> and </w:t>
            </w:r>
            <w:proofErr w:type="spellStart"/>
            <w:r>
              <w:rPr>
                <w:lang w:val="en"/>
              </w:rPr>
              <w:t>hypocalcemic</w:t>
            </w:r>
            <w:proofErr w:type="spellEnd"/>
            <w:r>
              <w:rPr>
                <w:lang w:val="en"/>
              </w:rPr>
              <w:t xml:space="preserve"> coma associated with phosphate enema. Intern Med 2008</w:t>
            </w:r>
            <w:proofErr w:type="gramStart"/>
            <w:r>
              <w:rPr>
                <w:lang w:val="en"/>
              </w:rPr>
              <w:t>;47:643</w:t>
            </w:r>
            <w:proofErr w:type="gramEnd"/>
            <w:r>
              <w:rPr>
                <w:lang w:val="en"/>
              </w:rPr>
              <w:t>-6.</w:t>
            </w:r>
          </w:p>
          <w:p w:rsidR="00400250" w:rsidRDefault="00400250" w:rsidP="00400250">
            <w:pPr>
              <w:pStyle w:val="NormalWeb"/>
              <w:rPr>
                <w:lang w:val="en"/>
              </w:rPr>
            </w:pPr>
            <w:r>
              <w:rPr>
                <w:lang w:val="en"/>
              </w:rPr>
              <w:t xml:space="preserve">35. </w:t>
            </w:r>
            <w:proofErr w:type="spellStart"/>
            <w:r>
              <w:rPr>
                <w:lang w:val="en"/>
              </w:rPr>
              <w:t>Biebl</w:t>
            </w:r>
            <w:proofErr w:type="spellEnd"/>
            <w:r>
              <w:rPr>
                <w:lang w:val="en"/>
              </w:rPr>
              <w:t xml:space="preserve"> A, </w:t>
            </w:r>
            <w:proofErr w:type="spellStart"/>
            <w:r>
              <w:rPr>
                <w:lang w:val="en"/>
              </w:rPr>
              <w:t>Grillenberger</w:t>
            </w:r>
            <w:proofErr w:type="spellEnd"/>
            <w:r>
              <w:rPr>
                <w:lang w:val="en"/>
              </w:rPr>
              <w:t xml:space="preserve"> A, Schmitt K. Enema-induced severe </w:t>
            </w:r>
            <w:proofErr w:type="spellStart"/>
            <w:r>
              <w:rPr>
                <w:lang w:val="en"/>
              </w:rPr>
              <w:t>hyperphosphatemia</w:t>
            </w:r>
            <w:proofErr w:type="spellEnd"/>
            <w:r>
              <w:rPr>
                <w:lang w:val="en"/>
              </w:rPr>
              <w:t xml:space="preserve"> in children. </w:t>
            </w:r>
            <w:proofErr w:type="spellStart"/>
            <w:r>
              <w:rPr>
                <w:lang w:val="en"/>
              </w:rPr>
              <w:t>Eur</w:t>
            </w:r>
            <w:proofErr w:type="spellEnd"/>
            <w:r>
              <w:rPr>
                <w:lang w:val="en"/>
              </w:rPr>
              <w:t xml:space="preserve"> J </w:t>
            </w:r>
            <w:proofErr w:type="spellStart"/>
            <w:r>
              <w:rPr>
                <w:lang w:val="en"/>
              </w:rPr>
              <w:t>Pediatr</w:t>
            </w:r>
            <w:proofErr w:type="spellEnd"/>
            <w:r>
              <w:rPr>
                <w:lang w:val="en"/>
              </w:rPr>
              <w:t xml:space="preserve"> 2009</w:t>
            </w:r>
            <w:proofErr w:type="gramStart"/>
            <w:r>
              <w:rPr>
                <w:lang w:val="en"/>
              </w:rPr>
              <w:t>;168:111</w:t>
            </w:r>
            <w:proofErr w:type="gramEnd"/>
            <w:r>
              <w:rPr>
                <w:lang w:val="en"/>
              </w:rPr>
              <w:t>-2.</w:t>
            </w:r>
          </w:p>
          <w:p w:rsidR="00400250" w:rsidRDefault="00400250" w:rsidP="00400250">
            <w:pPr>
              <w:pStyle w:val="NormalWeb"/>
              <w:rPr>
                <w:lang w:val="en"/>
              </w:rPr>
            </w:pPr>
            <w:r>
              <w:rPr>
                <w:lang w:val="en"/>
              </w:rPr>
              <w:t xml:space="preserve">36. </w:t>
            </w:r>
            <w:proofErr w:type="spellStart"/>
            <w:r>
              <w:rPr>
                <w:lang w:val="en"/>
              </w:rPr>
              <w:t>Viel</w:t>
            </w:r>
            <w:proofErr w:type="spellEnd"/>
            <w:r>
              <w:rPr>
                <w:lang w:val="en"/>
              </w:rPr>
              <w:t xml:space="preserve"> G, </w:t>
            </w:r>
            <w:proofErr w:type="spellStart"/>
            <w:r>
              <w:rPr>
                <w:lang w:val="en"/>
              </w:rPr>
              <w:t>Cecchetto</w:t>
            </w:r>
            <w:proofErr w:type="spellEnd"/>
            <w:r>
              <w:rPr>
                <w:lang w:val="en"/>
              </w:rPr>
              <w:t xml:space="preserve"> G, </w:t>
            </w:r>
            <w:proofErr w:type="spellStart"/>
            <w:r>
              <w:rPr>
                <w:lang w:val="en"/>
              </w:rPr>
              <w:t>Fabbri</w:t>
            </w:r>
            <w:proofErr w:type="spellEnd"/>
            <w:r>
              <w:rPr>
                <w:lang w:val="en"/>
              </w:rPr>
              <w:t xml:space="preserve"> LD, </w:t>
            </w:r>
            <w:proofErr w:type="spellStart"/>
            <w:r>
              <w:rPr>
                <w:lang w:val="en"/>
              </w:rPr>
              <w:t>Furlan</w:t>
            </w:r>
            <w:proofErr w:type="spellEnd"/>
            <w:r>
              <w:rPr>
                <w:lang w:val="en"/>
              </w:rPr>
              <w:t xml:space="preserve"> C, Ferrara SD, </w:t>
            </w:r>
            <w:proofErr w:type="spellStart"/>
            <w:r>
              <w:rPr>
                <w:lang w:val="en"/>
              </w:rPr>
              <w:t>Montisci</w:t>
            </w:r>
            <w:proofErr w:type="spellEnd"/>
            <w:r>
              <w:rPr>
                <w:lang w:val="en"/>
              </w:rPr>
              <w:t xml:space="preserve"> M. </w:t>
            </w:r>
            <w:r>
              <w:rPr>
                <w:lang w:val="en"/>
              </w:rPr>
              <w:lastRenderedPageBreak/>
              <w:t xml:space="preserve">Forensic application of ESEM and XRF-EDS techniques to a fatal case of sodium phosphate enema intoxication. </w:t>
            </w:r>
            <w:proofErr w:type="spellStart"/>
            <w:r>
              <w:rPr>
                <w:lang w:val="en"/>
              </w:rPr>
              <w:t>Int</w:t>
            </w:r>
            <w:proofErr w:type="spellEnd"/>
            <w:r>
              <w:rPr>
                <w:lang w:val="en"/>
              </w:rPr>
              <w:t xml:space="preserve"> J Legal Med 2009</w:t>
            </w:r>
            <w:proofErr w:type="gramStart"/>
            <w:r>
              <w:rPr>
                <w:lang w:val="en"/>
              </w:rPr>
              <w:t>;123:345</w:t>
            </w:r>
            <w:proofErr w:type="gramEnd"/>
            <w:r>
              <w:rPr>
                <w:lang w:val="en"/>
              </w:rPr>
              <w:t>-50.</w:t>
            </w:r>
          </w:p>
          <w:p w:rsidR="00400250" w:rsidRDefault="00400250" w:rsidP="00400250">
            <w:pPr>
              <w:pStyle w:val="NormalWeb"/>
              <w:rPr>
                <w:lang w:val="en"/>
              </w:rPr>
            </w:pPr>
            <w:r>
              <w:rPr>
                <w:lang w:val="en"/>
              </w:rPr>
              <w:t xml:space="preserve">37. </w:t>
            </w:r>
            <w:proofErr w:type="spellStart"/>
            <w:r>
              <w:rPr>
                <w:lang w:val="en"/>
              </w:rPr>
              <w:t>Kostic</w:t>
            </w:r>
            <w:proofErr w:type="spellEnd"/>
            <w:r>
              <w:rPr>
                <w:lang w:val="en"/>
              </w:rPr>
              <w:t xml:space="preserve"> D, Rodrigues AB, Leal A, </w:t>
            </w:r>
            <w:proofErr w:type="spellStart"/>
            <w:r>
              <w:rPr>
                <w:lang w:val="en"/>
              </w:rPr>
              <w:t>Metran</w:t>
            </w:r>
            <w:proofErr w:type="spellEnd"/>
            <w:r>
              <w:rPr>
                <w:lang w:val="en"/>
              </w:rPr>
              <w:t xml:space="preserve"> C, </w:t>
            </w:r>
            <w:proofErr w:type="spellStart"/>
            <w:r>
              <w:rPr>
                <w:lang w:val="en"/>
              </w:rPr>
              <w:t>Nagaiassu</w:t>
            </w:r>
            <w:proofErr w:type="spellEnd"/>
            <w:r>
              <w:rPr>
                <w:lang w:val="en"/>
              </w:rPr>
              <w:t xml:space="preserve"> M, Watanabe A, et al. Flow-through peritoneal dialysis in neonatal enema-induced </w:t>
            </w:r>
            <w:proofErr w:type="spellStart"/>
            <w:r>
              <w:rPr>
                <w:lang w:val="en"/>
              </w:rPr>
              <w:t>hyperphosphatemia</w:t>
            </w:r>
            <w:proofErr w:type="spellEnd"/>
            <w:r>
              <w:rPr>
                <w:lang w:val="en"/>
              </w:rPr>
              <w:t xml:space="preserve">. </w:t>
            </w:r>
            <w:proofErr w:type="spellStart"/>
            <w:r>
              <w:rPr>
                <w:lang w:val="en"/>
              </w:rPr>
              <w:t>Pediatr</w:t>
            </w:r>
            <w:proofErr w:type="spellEnd"/>
            <w:r>
              <w:rPr>
                <w:lang w:val="en"/>
              </w:rPr>
              <w:t xml:space="preserve"> </w:t>
            </w:r>
            <w:proofErr w:type="spellStart"/>
            <w:r>
              <w:rPr>
                <w:lang w:val="en"/>
              </w:rPr>
              <w:t>Nephrol</w:t>
            </w:r>
            <w:proofErr w:type="spellEnd"/>
            <w:r>
              <w:rPr>
                <w:lang w:val="en"/>
              </w:rPr>
              <w:t xml:space="preserve"> 2010</w:t>
            </w:r>
            <w:proofErr w:type="gramStart"/>
            <w:r>
              <w:rPr>
                <w:lang w:val="en"/>
              </w:rPr>
              <w:t>;25:2183</w:t>
            </w:r>
            <w:proofErr w:type="gramEnd"/>
            <w:r>
              <w:rPr>
                <w:lang w:val="en"/>
              </w:rPr>
              <w:t>-6.</w:t>
            </w:r>
          </w:p>
          <w:p w:rsidR="00400250" w:rsidRDefault="00400250" w:rsidP="00400250">
            <w:pPr>
              <w:pStyle w:val="NormalWeb"/>
              <w:rPr>
                <w:lang w:val="en"/>
              </w:rPr>
            </w:pPr>
            <w:r>
              <w:rPr>
                <w:lang w:val="en"/>
              </w:rPr>
              <w:t xml:space="preserve">38. </w:t>
            </w:r>
            <w:proofErr w:type="spellStart"/>
            <w:r>
              <w:rPr>
                <w:lang w:val="en"/>
              </w:rPr>
              <w:t>Ladenhauf</w:t>
            </w:r>
            <w:proofErr w:type="spellEnd"/>
            <w:r>
              <w:rPr>
                <w:lang w:val="en"/>
              </w:rPr>
              <w:t xml:space="preserve"> HN, </w:t>
            </w:r>
            <w:proofErr w:type="spellStart"/>
            <w:r>
              <w:rPr>
                <w:lang w:val="en"/>
              </w:rPr>
              <w:t>Stundner</w:t>
            </w:r>
            <w:proofErr w:type="spellEnd"/>
            <w:r>
              <w:rPr>
                <w:lang w:val="en"/>
              </w:rPr>
              <w:t xml:space="preserve"> O, </w:t>
            </w:r>
            <w:proofErr w:type="spellStart"/>
            <w:r>
              <w:rPr>
                <w:lang w:val="en"/>
              </w:rPr>
              <w:t>Spreitzhofer</w:t>
            </w:r>
            <w:proofErr w:type="spellEnd"/>
            <w:r>
              <w:rPr>
                <w:lang w:val="en"/>
              </w:rPr>
              <w:t xml:space="preserve"> F, </w:t>
            </w:r>
            <w:proofErr w:type="spellStart"/>
            <w:r>
              <w:rPr>
                <w:lang w:val="en"/>
              </w:rPr>
              <w:t>Deluggi</w:t>
            </w:r>
            <w:proofErr w:type="spellEnd"/>
            <w:r>
              <w:rPr>
                <w:lang w:val="en"/>
              </w:rPr>
              <w:t xml:space="preserve"> S. Severe </w:t>
            </w:r>
            <w:proofErr w:type="spellStart"/>
            <w:r>
              <w:rPr>
                <w:lang w:val="en"/>
              </w:rPr>
              <w:t>hyperphosphatemia</w:t>
            </w:r>
            <w:proofErr w:type="spellEnd"/>
            <w:r>
              <w:rPr>
                <w:lang w:val="en"/>
              </w:rPr>
              <w:t xml:space="preserve"> after administration of sodium-phosphate containing laxatives in children: case series and systematic review of literature. </w:t>
            </w:r>
            <w:proofErr w:type="spellStart"/>
            <w:r>
              <w:rPr>
                <w:lang w:val="en"/>
              </w:rPr>
              <w:t>Pediatr</w:t>
            </w:r>
            <w:proofErr w:type="spellEnd"/>
            <w:r>
              <w:rPr>
                <w:lang w:val="en"/>
              </w:rPr>
              <w:t xml:space="preserve"> </w:t>
            </w:r>
            <w:proofErr w:type="spellStart"/>
            <w:r>
              <w:rPr>
                <w:lang w:val="en"/>
              </w:rPr>
              <w:t>Surg</w:t>
            </w:r>
            <w:proofErr w:type="spellEnd"/>
            <w:r>
              <w:rPr>
                <w:lang w:val="en"/>
              </w:rPr>
              <w:t xml:space="preserve"> </w:t>
            </w:r>
            <w:proofErr w:type="spellStart"/>
            <w:r>
              <w:rPr>
                <w:lang w:val="en"/>
              </w:rPr>
              <w:t>Int</w:t>
            </w:r>
            <w:proofErr w:type="spellEnd"/>
            <w:r>
              <w:rPr>
                <w:lang w:val="en"/>
              </w:rPr>
              <w:t xml:space="preserve"> 2012</w:t>
            </w:r>
            <w:proofErr w:type="gramStart"/>
            <w:r>
              <w:rPr>
                <w:lang w:val="en"/>
              </w:rPr>
              <w:t>;28:805</w:t>
            </w:r>
            <w:proofErr w:type="gramEnd"/>
            <w:r>
              <w:rPr>
                <w:lang w:val="en"/>
              </w:rPr>
              <w:t>-14.</w:t>
            </w:r>
          </w:p>
          <w:p w:rsidR="00400250" w:rsidRPr="00081211" w:rsidRDefault="00400250" w:rsidP="00400250">
            <w:pPr>
              <w:pStyle w:val="NormalWeb"/>
              <w:rPr>
                <w:lang w:val="en"/>
              </w:rPr>
            </w:pPr>
            <w:r>
              <w:rPr>
                <w:lang w:val="en"/>
              </w:rPr>
              <w:t xml:space="preserve">39. </w:t>
            </w:r>
            <w:proofErr w:type="spellStart"/>
            <w:r>
              <w:rPr>
                <w:lang w:val="en"/>
              </w:rPr>
              <w:t>Szoke</w:t>
            </w:r>
            <w:proofErr w:type="spellEnd"/>
            <w:r>
              <w:rPr>
                <w:lang w:val="en"/>
              </w:rPr>
              <w:t xml:space="preserve"> D, </w:t>
            </w:r>
            <w:proofErr w:type="spellStart"/>
            <w:r>
              <w:rPr>
                <w:lang w:val="en"/>
              </w:rPr>
              <w:t>Dolci</w:t>
            </w:r>
            <w:proofErr w:type="spellEnd"/>
            <w:r>
              <w:rPr>
                <w:lang w:val="en"/>
              </w:rPr>
              <w:t xml:space="preserve"> A, </w:t>
            </w:r>
            <w:proofErr w:type="spellStart"/>
            <w:r>
              <w:rPr>
                <w:lang w:val="en"/>
              </w:rPr>
              <w:t>Genderini</w:t>
            </w:r>
            <w:proofErr w:type="spellEnd"/>
            <w:r>
              <w:rPr>
                <w:lang w:val="en"/>
              </w:rPr>
              <w:t xml:space="preserve"> A, </w:t>
            </w:r>
            <w:proofErr w:type="spellStart"/>
            <w:r>
              <w:rPr>
                <w:lang w:val="en"/>
              </w:rPr>
              <w:t>Panteghini</w:t>
            </w:r>
            <w:proofErr w:type="spellEnd"/>
            <w:r>
              <w:rPr>
                <w:lang w:val="en"/>
              </w:rPr>
              <w:t xml:space="preserve"> M. Fatal electrolyte abnormalities following enema administration. </w:t>
            </w:r>
            <w:proofErr w:type="spellStart"/>
            <w:r>
              <w:rPr>
                <w:lang w:val="en"/>
              </w:rPr>
              <w:t>Clin</w:t>
            </w:r>
            <w:proofErr w:type="spellEnd"/>
            <w:r>
              <w:rPr>
                <w:lang w:val="en"/>
              </w:rPr>
              <w:t xml:space="preserve"> </w:t>
            </w:r>
            <w:proofErr w:type="spellStart"/>
            <w:r>
              <w:rPr>
                <w:lang w:val="en"/>
              </w:rPr>
              <w:t>Chem</w:t>
            </w:r>
            <w:proofErr w:type="spellEnd"/>
            <w:r>
              <w:rPr>
                <w:lang w:val="en"/>
              </w:rPr>
              <w:t xml:space="preserve"> 2012</w:t>
            </w:r>
            <w:proofErr w:type="gramStart"/>
            <w:r>
              <w:rPr>
                <w:lang w:val="en"/>
              </w:rPr>
              <w:t>;58:1515</w:t>
            </w:r>
            <w:proofErr w:type="gramEnd"/>
            <w:r>
              <w:rPr>
                <w:lang w:val="en"/>
              </w:rPr>
              <w:t>-8.</w:t>
            </w:r>
          </w:p>
        </w:tc>
      </w:tr>
    </w:tbl>
    <w:p w:rsidR="00B05D81" w:rsidRPr="00B05D81" w:rsidRDefault="00B05D81" w:rsidP="00B05D81">
      <w:pPr>
        <w:spacing w:before="100" w:beforeAutospacing="1" w:after="100" w:afterAutospacing="1" w:line="240" w:lineRule="auto"/>
        <w:rPr>
          <w:rFonts w:ascii="Times New Roman" w:eastAsia="Times New Roman" w:hAnsi="Times New Roman" w:cs="Times New Roman"/>
          <w:sz w:val="24"/>
          <w:szCs w:val="24"/>
          <w:lang w:val="en"/>
        </w:rPr>
      </w:pPr>
    </w:p>
    <w:p w:rsidR="004920A6" w:rsidRDefault="004920A6"/>
    <w:sectPr w:rsidR="004920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01B8B"/>
    <w:multiLevelType w:val="multilevel"/>
    <w:tmpl w:val="B1F4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1B448C"/>
    <w:multiLevelType w:val="multilevel"/>
    <w:tmpl w:val="DB282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2F47CA6"/>
    <w:multiLevelType w:val="multilevel"/>
    <w:tmpl w:val="7B90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3AD247F"/>
    <w:multiLevelType w:val="multilevel"/>
    <w:tmpl w:val="AAF63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0A6"/>
    <w:rsid w:val="000953BE"/>
    <w:rsid w:val="000D4268"/>
    <w:rsid w:val="00141D1D"/>
    <w:rsid w:val="001C1E37"/>
    <w:rsid w:val="001D171E"/>
    <w:rsid w:val="00250A21"/>
    <w:rsid w:val="0029705D"/>
    <w:rsid w:val="002F45EF"/>
    <w:rsid w:val="003349D6"/>
    <w:rsid w:val="003E5E5A"/>
    <w:rsid w:val="00400250"/>
    <w:rsid w:val="00404D1B"/>
    <w:rsid w:val="00424003"/>
    <w:rsid w:val="004920A6"/>
    <w:rsid w:val="004B2362"/>
    <w:rsid w:val="004F0595"/>
    <w:rsid w:val="005026A4"/>
    <w:rsid w:val="00524A58"/>
    <w:rsid w:val="00617B4E"/>
    <w:rsid w:val="00665E8B"/>
    <w:rsid w:val="007000DD"/>
    <w:rsid w:val="00780874"/>
    <w:rsid w:val="00783BD4"/>
    <w:rsid w:val="00786B3C"/>
    <w:rsid w:val="007B78F4"/>
    <w:rsid w:val="008064F5"/>
    <w:rsid w:val="00867DE5"/>
    <w:rsid w:val="00905D08"/>
    <w:rsid w:val="00937D08"/>
    <w:rsid w:val="009C6269"/>
    <w:rsid w:val="00B04223"/>
    <w:rsid w:val="00B05D81"/>
    <w:rsid w:val="00BC3409"/>
    <w:rsid w:val="00BF388D"/>
    <w:rsid w:val="00CB2A2E"/>
    <w:rsid w:val="00D03B84"/>
    <w:rsid w:val="00DE7992"/>
    <w:rsid w:val="00E3558F"/>
    <w:rsid w:val="00EC3727"/>
    <w:rsid w:val="00EF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20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920A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920A6"/>
    <w:rPr>
      <w:sz w:val="16"/>
      <w:szCs w:val="16"/>
    </w:rPr>
  </w:style>
  <w:style w:type="paragraph" w:styleId="CommentText">
    <w:name w:val="annotation text"/>
    <w:basedOn w:val="Normal"/>
    <w:link w:val="CommentTextChar"/>
    <w:uiPriority w:val="99"/>
    <w:semiHidden/>
    <w:unhideWhenUsed/>
    <w:rsid w:val="004920A6"/>
    <w:pPr>
      <w:spacing w:line="240" w:lineRule="auto"/>
    </w:pPr>
    <w:rPr>
      <w:sz w:val="20"/>
      <w:szCs w:val="20"/>
    </w:rPr>
  </w:style>
  <w:style w:type="character" w:customStyle="1" w:styleId="CommentTextChar">
    <w:name w:val="Comment Text Char"/>
    <w:basedOn w:val="DefaultParagraphFont"/>
    <w:link w:val="CommentText"/>
    <w:uiPriority w:val="99"/>
    <w:semiHidden/>
    <w:rsid w:val="004920A6"/>
    <w:rPr>
      <w:sz w:val="20"/>
      <w:szCs w:val="20"/>
    </w:rPr>
  </w:style>
  <w:style w:type="paragraph" w:styleId="BalloonText">
    <w:name w:val="Balloon Text"/>
    <w:basedOn w:val="Normal"/>
    <w:link w:val="BalloonTextChar"/>
    <w:uiPriority w:val="99"/>
    <w:semiHidden/>
    <w:unhideWhenUsed/>
    <w:rsid w:val="00492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0A6"/>
    <w:rPr>
      <w:rFonts w:ascii="Tahoma" w:hAnsi="Tahoma" w:cs="Tahoma"/>
      <w:sz w:val="16"/>
      <w:szCs w:val="16"/>
    </w:rPr>
  </w:style>
  <w:style w:type="character" w:styleId="Hyperlink">
    <w:name w:val="Hyperlink"/>
    <w:basedOn w:val="DefaultParagraphFont"/>
    <w:uiPriority w:val="99"/>
    <w:semiHidden/>
    <w:unhideWhenUsed/>
    <w:rsid w:val="004920A6"/>
    <w:rPr>
      <w:color w:val="0000FF"/>
      <w:u w:val="single"/>
    </w:rPr>
  </w:style>
  <w:style w:type="character" w:customStyle="1" w:styleId="footnotenumber">
    <w:name w:val="footnote_number"/>
    <w:basedOn w:val="DefaultParagraphFont"/>
    <w:rsid w:val="004920A6"/>
  </w:style>
  <w:style w:type="character" w:styleId="Strong">
    <w:name w:val="Strong"/>
    <w:basedOn w:val="DefaultParagraphFont"/>
    <w:uiPriority w:val="22"/>
    <w:qFormat/>
    <w:rsid w:val="00B05D81"/>
    <w:rPr>
      <w:b/>
      <w:bCs/>
    </w:rPr>
  </w:style>
  <w:style w:type="paragraph" w:styleId="CommentSubject">
    <w:name w:val="annotation subject"/>
    <w:basedOn w:val="CommentText"/>
    <w:next w:val="CommentText"/>
    <w:link w:val="CommentSubjectChar"/>
    <w:uiPriority w:val="99"/>
    <w:semiHidden/>
    <w:unhideWhenUsed/>
    <w:rsid w:val="00424003"/>
    <w:rPr>
      <w:b/>
      <w:bCs/>
    </w:rPr>
  </w:style>
  <w:style w:type="character" w:customStyle="1" w:styleId="CommentSubjectChar">
    <w:name w:val="Comment Subject Char"/>
    <w:basedOn w:val="CommentTextChar"/>
    <w:link w:val="CommentSubject"/>
    <w:uiPriority w:val="99"/>
    <w:semiHidden/>
    <w:rsid w:val="00424003"/>
    <w:rPr>
      <w:b/>
      <w:bCs/>
      <w:sz w:val="20"/>
      <w:szCs w:val="20"/>
    </w:rPr>
  </w:style>
  <w:style w:type="character" w:customStyle="1" w:styleId="st1">
    <w:name w:val="st1"/>
    <w:basedOn w:val="DefaultParagraphFont"/>
    <w:rsid w:val="003E5E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20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920A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920A6"/>
    <w:rPr>
      <w:sz w:val="16"/>
      <w:szCs w:val="16"/>
    </w:rPr>
  </w:style>
  <w:style w:type="paragraph" w:styleId="CommentText">
    <w:name w:val="annotation text"/>
    <w:basedOn w:val="Normal"/>
    <w:link w:val="CommentTextChar"/>
    <w:uiPriority w:val="99"/>
    <w:semiHidden/>
    <w:unhideWhenUsed/>
    <w:rsid w:val="004920A6"/>
    <w:pPr>
      <w:spacing w:line="240" w:lineRule="auto"/>
    </w:pPr>
    <w:rPr>
      <w:sz w:val="20"/>
      <w:szCs w:val="20"/>
    </w:rPr>
  </w:style>
  <w:style w:type="character" w:customStyle="1" w:styleId="CommentTextChar">
    <w:name w:val="Comment Text Char"/>
    <w:basedOn w:val="DefaultParagraphFont"/>
    <w:link w:val="CommentText"/>
    <w:uiPriority w:val="99"/>
    <w:semiHidden/>
    <w:rsid w:val="004920A6"/>
    <w:rPr>
      <w:sz w:val="20"/>
      <w:szCs w:val="20"/>
    </w:rPr>
  </w:style>
  <w:style w:type="paragraph" w:styleId="BalloonText">
    <w:name w:val="Balloon Text"/>
    <w:basedOn w:val="Normal"/>
    <w:link w:val="BalloonTextChar"/>
    <w:uiPriority w:val="99"/>
    <w:semiHidden/>
    <w:unhideWhenUsed/>
    <w:rsid w:val="00492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0A6"/>
    <w:rPr>
      <w:rFonts w:ascii="Tahoma" w:hAnsi="Tahoma" w:cs="Tahoma"/>
      <w:sz w:val="16"/>
      <w:szCs w:val="16"/>
    </w:rPr>
  </w:style>
  <w:style w:type="character" w:styleId="Hyperlink">
    <w:name w:val="Hyperlink"/>
    <w:basedOn w:val="DefaultParagraphFont"/>
    <w:uiPriority w:val="99"/>
    <w:semiHidden/>
    <w:unhideWhenUsed/>
    <w:rsid w:val="004920A6"/>
    <w:rPr>
      <w:color w:val="0000FF"/>
      <w:u w:val="single"/>
    </w:rPr>
  </w:style>
  <w:style w:type="character" w:customStyle="1" w:styleId="footnotenumber">
    <w:name w:val="footnote_number"/>
    <w:basedOn w:val="DefaultParagraphFont"/>
    <w:rsid w:val="004920A6"/>
  </w:style>
  <w:style w:type="character" w:styleId="Strong">
    <w:name w:val="Strong"/>
    <w:basedOn w:val="DefaultParagraphFont"/>
    <w:uiPriority w:val="22"/>
    <w:qFormat/>
    <w:rsid w:val="00B05D81"/>
    <w:rPr>
      <w:b/>
      <w:bCs/>
    </w:rPr>
  </w:style>
  <w:style w:type="paragraph" w:styleId="CommentSubject">
    <w:name w:val="annotation subject"/>
    <w:basedOn w:val="CommentText"/>
    <w:next w:val="CommentText"/>
    <w:link w:val="CommentSubjectChar"/>
    <w:uiPriority w:val="99"/>
    <w:semiHidden/>
    <w:unhideWhenUsed/>
    <w:rsid w:val="00424003"/>
    <w:rPr>
      <w:b/>
      <w:bCs/>
    </w:rPr>
  </w:style>
  <w:style w:type="character" w:customStyle="1" w:styleId="CommentSubjectChar">
    <w:name w:val="Comment Subject Char"/>
    <w:basedOn w:val="CommentTextChar"/>
    <w:link w:val="CommentSubject"/>
    <w:uiPriority w:val="99"/>
    <w:semiHidden/>
    <w:rsid w:val="00424003"/>
    <w:rPr>
      <w:b/>
      <w:bCs/>
      <w:sz w:val="20"/>
      <w:szCs w:val="20"/>
    </w:rPr>
  </w:style>
  <w:style w:type="character" w:customStyle="1" w:styleId="st1">
    <w:name w:val="st1"/>
    <w:basedOn w:val="DefaultParagraphFont"/>
    <w:rsid w:val="003E5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709621">
      <w:bodyDiv w:val="1"/>
      <w:marLeft w:val="0"/>
      <w:marRight w:val="0"/>
      <w:marTop w:val="0"/>
      <w:marBottom w:val="0"/>
      <w:divBdr>
        <w:top w:val="none" w:sz="0" w:space="0" w:color="auto"/>
        <w:left w:val="none" w:sz="0" w:space="0" w:color="auto"/>
        <w:bottom w:val="none" w:sz="0" w:space="0" w:color="auto"/>
        <w:right w:val="none" w:sz="0" w:space="0" w:color="auto"/>
      </w:divBdr>
      <w:divsChild>
        <w:div w:id="648285709">
          <w:marLeft w:val="0"/>
          <w:marRight w:val="0"/>
          <w:marTop w:val="0"/>
          <w:marBottom w:val="0"/>
          <w:divBdr>
            <w:top w:val="none" w:sz="0" w:space="0" w:color="auto"/>
            <w:left w:val="none" w:sz="0" w:space="0" w:color="auto"/>
            <w:bottom w:val="none" w:sz="0" w:space="0" w:color="auto"/>
            <w:right w:val="none" w:sz="0" w:space="0" w:color="auto"/>
          </w:divBdr>
          <w:divsChild>
            <w:div w:id="1191841424">
              <w:marLeft w:val="0"/>
              <w:marRight w:val="0"/>
              <w:marTop w:val="0"/>
              <w:marBottom w:val="0"/>
              <w:divBdr>
                <w:top w:val="none" w:sz="0" w:space="0" w:color="auto"/>
                <w:left w:val="none" w:sz="0" w:space="0" w:color="auto"/>
                <w:bottom w:val="none" w:sz="0" w:space="0" w:color="auto"/>
                <w:right w:val="none" w:sz="0" w:space="0" w:color="auto"/>
              </w:divBdr>
              <w:divsChild>
                <w:div w:id="59642269">
                  <w:marLeft w:val="0"/>
                  <w:marRight w:val="0"/>
                  <w:marTop w:val="0"/>
                  <w:marBottom w:val="0"/>
                  <w:divBdr>
                    <w:top w:val="none" w:sz="0" w:space="0" w:color="auto"/>
                    <w:left w:val="none" w:sz="0" w:space="0" w:color="auto"/>
                    <w:bottom w:val="none" w:sz="0" w:space="0" w:color="auto"/>
                    <w:right w:val="none" w:sz="0" w:space="0" w:color="auto"/>
                  </w:divBdr>
                  <w:divsChild>
                    <w:div w:id="1435395146">
                      <w:marLeft w:val="0"/>
                      <w:marRight w:val="0"/>
                      <w:marTop w:val="0"/>
                      <w:marBottom w:val="0"/>
                      <w:divBdr>
                        <w:top w:val="none" w:sz="0" w:space="0" w:color="auto"/>
                        <w:left w:val="none" w:sz="0" w:space="0" w:color="auto"/>
                        <w:bottom w:val="none" w:sz="0" w:space="0" w:color="auto"/>
                        <w:right w:val="none" w:sz="0" w:space="0" w:color="auto"/>
                      </w:divBdr>
                      <w:divsChild>
                        <w:div w:id="1632905444">
                          <w:marLeft w:val="0"/>
                          <w:marRight w:val="0"/>
                          <w:marTop w:val="0"/>
                          <w:marBottom w:val="0"/>
                          <w:divBdr>
                            <w:top w:val="none" w:sz="0" w:space="0" w:color="auto"/>
                            <w:left w:val="none" w:sz="0" w:space="0" w:color="auto"/>
                            <w:bottom w:val="none" w:sz="0" w:space="0" w:color="auto"/>
                            <w:right w:val="none" w:sz="0" w:space="0" w:color="auto"/>
                          </w:divBdr>
                          <w:divsChild>
                            <w:div w:id="142534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8995809">
      <w:bodyDiv w:val="1"/>
      <w:marLeft w:val="0"/>
      <w:marRight w:val="0"/>
      <w:marTop w:val="0"/>
      <w:marBottom w:val="0"/>
      <w:divBdr>
        <w:top w:val="none" w:sz="0" w:space="0" w:color="auto"/>
        <w:left w:val="none" w:sz="0" w:space="0" w:color="auto"/>
        <w:bottom w:val="none" w:sz="0" w:space="0" w:color="auto"/>
        <w:right w:val="none" w:sz="0" w:space="0" w:color="auto"/>
      </w:divBdr>
      <w:divsChild>
        <w:div w:id="469595925">
          <w:marLeft w:val="0"/>
          <w:marRight w:val="0"/>
          <w:marTop w:val="0"/>
          <w:marBottom w:val="0"/>
          <w:divBdr>
            <w:top w:val="none" w:sz="0" w:space="0" w:color="auto"/>
            <w:left w:val="none" w:sz="0" w:space="0" w:color="auto"/>
            <w:bottom w:val="none" w:sz="0" w:space="0" w:color="auto"/>
            <w:right w:val="none" w:sz="0" w:space="0" w:color="auto"/>
          </w:divBdr>
          <w:divsChild>
            <w:div w:id="388842965">
              <w:marLeft w:val="0"/>
              <w:marRight w:val="0"/>
              <w:marTop w:val="0"/>
              <w:marBottom w:val="0"/>
              <w:divBdr>
                <w:top w:val="none" w:sz="0" w:space="0" w:color="auto"/>
                <w:left w:val="none" w:sz="0" w:space="0" w:color="auto"/>
                <w:bottom w:val="none" w:sz="0" w:space="0" w:color="auto"/>
                <w:right w:val="none" w:sz="0" w:space="0" w:color="auto"/>
              </w:divBdr>
              <w:divsChild>
                <w:div w:id="1596284732">
                  <w:marLeft w:val="0"/>
                  <w:marRight w:val="0"/>
                  <w:marTop w:val="0"/>
                  <w:marBottom w:val="0"/>
                  <w:divBdr>
                    <w:top w:val="none" w:sz="0" w:space="0" w:color="auto"/>
                    <w:left w:val="none" w:sz="0" w:space="0" w:color="auto"/>
                    <w:bottom w:val="none" w:sz="0" w:space="0" w:color="auto"/>
                    <w:right w:val="none" w:sz="0" w:space="0" w:color="auto"/>
                  </w:divBdr>
                  <w:divsChild>
                    <w:div w:id="274598925">
                      <w:marLeft w:val="0"/>
                      <w:marRight w:val="0"/>
                      <w:marTop w:val="0"/>
                      <w:marBottom w:val="0"/>
                      <w:divBdr>
                        <w:top w:val="none" w:sz="0" w:space="0" w:color="auto"/>
                        <w:left w:val="none" w:sz="0" w:space="0" w:color="auto"/>
                        <w:bottom w:val="none" w:sz="0" w:space="0" w:color="auto"/>
                        <w:right w:val="none" w:sz="0" w:space="0" w:color="auto"/>
                      </w:divBdr>
                      <w:divsChild>
                        <w:div w:id="1105535722">
                          <w:marLeft w:val="0"/>
                          <w:marRight w:val="0"/>
                          <w:marTop w:val="0"/>
                          <w:marBottom w:val="0"/>
                          <w:divBdr>
                            <w:top w:val="none" w:sz="0" w:space="0" w:color="auto"/>
                            <w:left w:val="none" w:sz="0" w:space="0" w:color="auto"/>
                            <w:bottom w:val="none" w:sz="0" w:space="0" w:color="auto"/>
                            <w:right w:val="none" w:sz="0" w:space="0" w:color="auto"/>
                          </w:divBdr>
                          <w:divsChild>
                            <w:div w:id="198176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537369">
      <w:bodyDiv w:val="1"/>
      <w:marLeft w:val="0"/>
      <w:marRight w:val="0"/>
      <w:marTop w:val="0"/>
      <w:marBottom w:val="0"/>
      <w:divBdr>
        <w:top w:val="none" w:sz="0" w:space="0" w:color="auto"/>
        <w:left w:val="none" w:sz="0" w:space="0" w:color="auto"/>
        <w:bottom w:val="none" w:sz="0" w:space="0" w:color="auto"/>
        <w:right w:val="none" w:sz="0" w:space="0" w:color="auto"/>
      </w:divBdr>
      <w:divsChild>
        <w:div w:id="1406875879">
          <w:marLeft w:val="0"/>
          <w:marRight w:val="0"/>
          <w:marTop w:val="0"/>
          <w:marBottom w:val="0"/>
          <w:divBdr>
            <w:top w:val="none" w:sz="0" w:space="0" w:color="auto"/>
            <w:left w:val="none" w:sz="0" w:space="0" w:color="auto"/>
            <w:bottom w:val="none" w:sz="0" w:space="0" w:color="auto"/>
            <w:right w:val="none" w:sz="0" w:space="0" w:color="auto"/>
          </w:divBdr>
          <w:divsChild>
            <w:div w:id="1491678414">
              <w:marLeft w:val="0"/>
              <w:marRight w:val="0"/>
              <w:marTop w:val="0"/>
              <w:marBottom w:val="0"/>
              <w:divBdr>
                <w:top w:val="none" w:sz="0" w:space="0" w:color="auto"/>
                <w:left w:val="none" w:sz="0" w:space="0" w:color="auto"/>
                <w:bottom w:val="none" w:sz="0" w:space="0" w:color="auto"/>
                <w:right w:val="none" w:sz="0" w:space="0" w:color="auto"/>
              </w:divBdr>
              <w:divsChild>
                <w:div w:id="198980133">
                  <w:marLeft w:val="0"/>
                  <w:marRight w:val="0"/>
                  <w:marTop w:val="0"/>
                  <w:marBottom w:val="0"/>
                  <w:divBdr>
                    <w:top w:val="none" w:sz="0" w:space="0" w:color="auto"/>
                    <w:left w:val="none" w:sz="0" w:space="0" w:color="auto"/>
                    <w:bottom w:val="none" w:sz="0" w:space="0" w:color="auto"/>
                    <w:right w:val="none" w:sz="0" w:space="0" w:color="auto"/>
                  </w:divBdr>
                  <w:divsChild>
                    <w:div w:id="265040846">
                      <w:marLeft w:val="0"/>
                      <w:marRight w:val="0"/>
                      <w:marTop w:val="0"/>
                      <w:marBottom w:val="0"/>
                      <w:divBdr>
                        <w:top w:val="none" w:sz="0" w:space="0" w:color="auto"/>
                        <w:left w:val="none" w:sz="0" w:space="0" w:color="auto"/>
                        <w:bottom w:val="none" w:sz="0" w:space="0" w:color="auto"/>
                        <w:right w:val="none" w:sz="0" w:space="0" w:color="auto"/>
                      </w:divBdr>
                      <w:divsChild>
                        <w:div w:id="1169178569">
                          <w:marLeft w:val="0"/>
                          <w:marRight w:val="0"/>
                          <w:marTop w:val="0"/>
                          <w:marBottom w:val="0"/>
                          <w:divBdr>
                            <w:top w:val="none" w:sz="0" w:space="0" w:color="auto"/>
                            <w:left w:val="none" w:sz="0" w:space="0" w:color="auto"/>
                            <w:bottom w:val="none" w:sz="0" w:space="0" w:color="auto"/>
                            <w:right w:val="none" w:sz="0" w:space="0" w:color="auto"/>
                          </w:divBdr>
                          <w:divsChild>
                            <w:div w:id="194487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496350">
      <w:bodyDiv w:val="1"/>
      <w:marLeft w:val="0"/>
      <w:marRight w:val="0"/>
      <w:marTop w:val="0"/>
      <w:marBottom w:val="0"/>
      <w:divBdr>
        <w:top w:val="none" w:sz="0" w:space="0" w:color="auto"/>
        <w:left w:val="none" w:sz="0" w:space="0" w:color="auto"/>
        <w:bottom w:val="none" w:sz="0" w:space="0" w:color="auto"/>
        <w:right w:val="none" w:sz="0" w:space="0" w:color="auto"/>
      </w:divBdr>
      <w:divsChild>
        <w:div w:id="1850093669">
          <w:marLeft w:val="0"/>
          <w:marRight w:val="0"/>
          <w:marTop w:val="0"/>
          <w:marBottom w:val="0"/>
          <w:divBdr>
            <w:top w:val="none" w:sz="0" w:space="0" w:color="auto"/>
            <w:left w:val="none" w:sz="0" w:space="0" w:color="auto"/>
            <w:bottom w:val="none" w:sz="0" w:space="0" w:color="auto"/>
            <w:right w:val="none" w:sz="0" w:space="0" w:color="auto"/>
          </w:divBdr>
          <w:divsChild>
            <w:div w:id="1729986305">
              <w:marLeft w:val="0"/>
              <w:marRight w:val="0"/>
              <w:marTop w:val="0"/>
              <w:marBottom w:val="0"/>
              <w:divBdr>
                <w:top w:val="none" w:sz="0" w:space="0" w:color="auto"/>
                <w:left w:val="none" w:sz="0" w:space="0" w:color="auto"/>
                <w:bottom w:val="none" w:sz="0" w:space="0" w:color="auto"/>
                <w:right w:val="none" w:sz="0" w:space="0" w:color="auto"/>
              </w:divBdr>
              <w:divsChild>
                <w:div w:id="395519308">
                  <w:marLeft w:val="0"/>
                  <w:marRight w:val="0"/>
                  <w:marTop w:val="0"/>
                  <w:marBottom w:val="0"/>
                  <w:divBdr>
                    <w:top w:val="none" w:sz="0" w:space="0" w:color="auto"/>
                    <w:left w:val="none" w:sz="0" w:space="0" w:color="auto"/>
                    <w:bottom w:val="none" w:sz="0" w:space="0" w:color="auto"/>
                    <w:right w:val="none" w:sz="0" w:space="0" w:color="auto"/>
                  </w:divBdr>
                  <w:divsChild>
                    <w:div w:id="1450473751">
                      <w:marLeft w:val="0"/>
                      <w:marRight w:val="0"/>
                      <w:marTop w:val="0"/>
                      <w:marBottom w:val="0"/>
                      <w:divBdr>
                        <w:top w:val="none" w:sz="0" w:space="0" w:color="auto"/>
                        <w:left w:val="none" w:sz="0" w:space="0" w:color="auto"/>
                        <w:bottom w:val="none" w:sz="0" w:space="0" w:color="auto"/>
                        <w:right w:val="none" w:sz="0" w:space="0" w:color="auto"/>
                      </w:divBdr>
                      <w:divsChild>
                        <w:div w:id="1147741906">
                          <w:marLeft w:val="0"/>
                          <w:marRight w:val="0"/>
                          <w:marTop w:val="0"/>
                          <w:marBottom w:val="0"/>
                          <w:divBdr>
                            <w:top w:val="none" w:sz="0" w:space="0" w:color="auto"/>
                            <w:left w:val="none" w:sz="0" w:space="0" w:color="auto"/>
                            <w:bottom w:val="none" w:sz="0" w:space="0" w:color="auto"/>
                            <w:right w:val="none" w:sz="0" w:space="0" w:color="auto"/>
                          </w:divBdr>
                          <w:divsChild>
                            <w:div w:id="139141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1544198">
      <w:bodyDiv w:val="1"/>
      <w:marLeft w:val="0"/>
      <w:marRight w:val="0"/>
      <w:marTop w:val="0"/>
      <w:marBottom w:val="0"/>
      <w:divBdr>
        <w:top w:val="none" w:sz="0" w:space="0" w:color="auto"/>
        <w:left w:val="none" w:sz="0" w:space="0" w:color="auto"/>
        <w:bottom w:val="none" w:sz="0" w:space="0" w:color="auto"/>
        <w:right w:val="none" w:sz="0" w:space="0" w:color="auto"/>
      </w:divBdr>
      <w:divsChild>
        <w:div w:id="486286136">
          <w:marLeft w:val="0"/>
          <w:marRight w:val="0"/>
          <w:marTop w:val="0"/>
          <w:marBottom w:val="0"/>
          <w:divBdr>
            <w:top w:val="none" w:sz="0" w:space="0" w:color="auto"/>
            <w:left w:val="none" w:sz="0" w:space="0" w:color="auto"/>
            <w:bottom w:val="none" w:sz="0" w:space="0" w:color="auto"/>
            <w:right w:val="none" w:sz="0" w:space="0" w:color="auto"/>
          </w:divBdr>
          <w:divsChild>
            <w:div w:id="1616138720">
              <w:marLeft w:val="0"/>
              <w:marRight w:val="0"/>
              <w:marTop w:val="0"/>
              <w:marBottom w:val="0"/>
              <w:divBdr>
                <w:top w:val="none" w:sz="0" w:space="0" w:color="auto"/>
                <w:left w:val="none" w:sz="0" w:space="0" w:color="auto"/>
                <w:bottom w:val="none" w:sz="0" w:space="0" w:color="auto"/>
                <w:right w:val="none" w:sz="0" w:space="0" w:color="auto"/>
              </w:divBdr>
              <w:divsChild>
                <w:div w:id="925764945">
                  <w:marLeft w:val="0"/>
                  <w:marRight w:val="0"/>
                  <w:marTop w:val="0"/>
                  <w:marBottom w:val="0"/>
                  <w:divBdr>
                    <w:top w:val="none" w:sz="0" w:space="0" w:color="auto"/>
                    <w:left w:val="none" w:sz="0" w:space="0" w:color="auto"/>
                    <w:bottom w:val="none" w:sz="0" w:space="0" w:color="auto"/>
                    <w:right w:val="none" w:sz="0" w:space="0" w:color="auto"/>
                  </w:divBdr>
                  <w:divsChild>
                    <w:div w:id="1263731807">
                      <w:marLeft w:val="0"/>
                      <w:marRight w:val="0"/>
                      <w:marTop w:val="0"/>
                      <w:marBottom w:val="0"/>
                      <w:divBdr>
                        <w:top w:val="none" w:sz="0" w:space="0" w:color="auto"/>
                        <w:left w:val="none" w:sz="0" w:space="0" w:color="auto"/>
                        <w:bottom w:val="none" w:sz="0" w:space="0" w:color="auto"/>
                        <w:right w:val="none" w:sz="0" w:space="0" w:color="auto"/>
                      </w:divBdr>
                      <w:divsChild>
                        <w:div w:id="27873568">
                          <w:marLeft w:val="0"/>
                          <w:marRight w:val="0"/>
                          <w:marTop w:val="0"/>
                          <w:marBottom w:val="0"/>
                          <w:divBdr>
                            <w:top w:val="none" w:sz="0" w:space="0" w:color="auto"/>
                            <w:left w:val="none" w:sz="0" w:space="0" w:color="auto"/>
                            <w:bottom w:val="none" w:sz="0" w:space="0" w:color="auto"/>
                            <w:right w:val="none" w:sz="0" w:space="0" w:color="auto"/>
                          </w:divBdr>
                          <w:divsChild>
                            <w:div w:id="184262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896683">
      <w:bodyDiv w:val="1"/>
      <w:marLeft w:val="0"/>
      <w:marRight w:val="0"/>
      <w:marTop w:val="0"/>
      <w:marBottom w:val="0"/>
      <w:divBdr>
        <w:top w:val="none" w:sz="0" w:space="0" w:color="auto"/>
        <w:left w:val="none" w:sz="0" w:space="0" w:color="auto"/>
        <w:bottom w:val="none" w:sz="0" w:space="0" w:color="auto"/>
        <w:right w:val="none" w:sz="0" w:space="0" w:color="auto"/>
      </w:divBdr>
      <w:divsChild>
        <w:div w:id="1199659343">
          <w:marLeft w:val="0"/>
          <w:marRight w:val="0"/>
          <w:marTop w:val="0"/>
          <w:marBottom w:val="0"/>
          <w:divBdr>
            <w:top w:val="none" w:sz="0" w:space="0" w:color="auto"/>
            <w:left w:val="none" w:sz="0" w:space="0" w:color="auto"/>
            <w:bottom w:val="none" w:sz="0" w:space="0" w:color="auto"/>
            <w:right w:val="none" w:sz="0" w:space="0" w:color="auto"/>
          </w:divBdr>
          <w:divsChild>
            <w:div w:id="281376728">
              <w:marLeft w:val="0"/>
              <w:marRight w:val="0"/>
              <w:marTop w:val="0"/>
              <w:marBottom w:val="0"/>
              <w:divBdr>
                <w:top w:val="none" w:sz="0" w:space="0" w:color="auto"/>
                <w:left w:val="none" w:sz="0" w:space="0" w:color="auto"/>
                <w:bottom w:val="none" w:sz="0" w:space="0" w:color="auto"/>
                <w:right w:val="none" w:sz="0" w:space="0" w:color="auto"/>
              </w:divBdr>
              <w:divsChild>
                <w:div w:id="398944267">
                  <w:marLeft w:val="0"/>
                  <w:marRight w:val="0"/>
                  <w:marTop w:val="0"/>
                  <w:marBottom w:val="0"/>
                  <w:divBdr>
                    <w:top w:val="none" w:sz="0" w:space="0" w:color="auto"/>
                    <w:left w:val="none" w:sz="0" w:space="0" w:color="auto"/>
                    <w:bottom w:val="none" w:sz="0" w:space="0" w:color="auto"/>
                    <w:right w:val="none" w:sz="0" w:space="0" w:color="auto"/>
                  </w:divBdr>
                  <w:divsChild>
                    <w:div w:id="1482891694">
                      <w:marLeft w:val="0"/>
                      <w:marRight w:val="0"/>
                      <w:marTop w:val="0"/>
                      <w:marBottom w:val="0"/>
                      <w:divBdr>
                        <w:top w:val="none" w:sz="0" w:space="0" w:color="auto"/>
                        <w:left w:val="none" w:sz="0" w:space="0" w:color="auto"/>
                        <w:bottom w:val="none" w:sz="0" w:space="0" w:color="auto"/>
                        <w:right w:val="none" w:sz="0" w:space="0" w:color="auto"/>
                      </w:divBdr>
                      <w:divsChild>
                        <w:div w:id="321205677">
                          <w:marLeft w:val="0"/>
                          <w:marRight w:val="0"/>
                          <w:marTop w:val="0"/>
                          <w:marBottom w:val="0"/>
                          <w:divBdr>
                            <w:top w:val="none" w:sz="0" w:space="0" w:color="auto"/>
                            <w:left w:val="none" w:sz="0" w:space="0" w:color="auto"/>
                            <w:bottom w:val="none" w:sz="0" w:space="0" w:color="auto"/>
                            <w:right w:val="none" w:sz="0" w:space="0" w:color="auto"/>
                          </w:divBdr>
                          <w:divsChild>
                            <w:div w:id="65884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723733">
      <w:bodyDiv w:val="1"/>
      <w:marLeft w:val="0"/>
      <w:marRight w:val="0"/>
      <w:marTop w:val="0"/>
      <w:marBottom w:val="0"/>
      <w:divBdr>
        <w:top w:val="none" w:sz="0" w:space="0" w:color="auto"/>
        <w:left w:val="none" w:sz="0" w:space="0" w:color="auto"/>
        <w:bottom w:val="none" w:sz="0" w:space="0" w:color="auto"/>
        <w:right w:val="none" w:sz="0" w:space="0" w:color="auto"/>
      </w:divBdr>
      <w:divsChild>
        <w:div w:id="862012500">
          <w:marLeft w:val="0"/>
          <w:marRight w:val="0"/>
          <w:marTop w:val="0"/>
          <w:marBottom w:val="0"/>
          <w:divBdr>
            <w:top w:val="none" w:sz="0" w:space="0" w:color="auto"/>
            <w:left w:val="none" w:sz="0" w:space="0" w:color="auto"/>
            <w:bottom w:val="none" w:sz="0" w:space="0" w:color="auto"/>
            <w:right w:val="none" w:sz="0" w:space="0" w:color="auto"/>
          </w:divBdr>
          <w:divsChild>
            <w:div w:id="1389572044">
              <w:marLeft w:val="0"/>
              <w:marRight w:val="0"/>
              <w:marTop w:val="0"/>
              <w:marBottom w:val="0"/>
              <w:divBdr>
                <w:top w:val="none" w:sz="0" w:space="0" w:color="auto"/>
                <w:left w:val="none" w:sz="0" w:space="0" w:color="auto"/>
                <w:bottom w:val="none" w:sz="0" w:space="0" w:color="auto"/>
                <w:right w:val="none" w:sz="0" w:space="0" w:color="auto"/>
              </w:divBdr>
              <w:divsChild>
                <w:div w:id="205529716">
                  <w:marLeft w:val="0"/>
                  <w:marRight w:val="0"/>
                  <w:marTop w:val="0"/>
                  <w:marBottom w:val="0"/>
                  <w:divBdr>
                    <w:top w:val="none" w:sz="0" w:space="0" w:color="auto"/>
                    <w:left w:val="none" w:sz="0" w:space="0" w:color="auto"/>
                    <w:bottom w:val="none" w:sz="0" w:space="0" w:color="auto"/>
                    <w:right w:val="none" w:sz="0" w:space="0" w:color="auto"/>
                  </w:divBdr>
                  <w:divsChild>
                    <w:div w:id="1749309073">
                      <w:marLeft w:val="0"/>
                      <w:marRight w:val="0"/>
                      <w:marTop w:val="0"/>
                      <w:marBottom w:val="0"/>
                      <w:divBdr>
                        <w:top w:val="none" w:sz="0" w:space="0" w:color="auto"/>
                        <w:left w:val="none" w:sz="0" w:space="0" w:color="auto"/>
                        <w:bottom w:val="none" w:sz="0" w:space="0" w:color="auto"/>
                        <w:right w:val="none" w:sz="0" w:space="0" w:color="auto"/>
                      </w:divBdr>
                      <w:divsChild>
                        <w:div w:id="848104211">
                          <w:marLeft w:val="0"/>
                          <w:marRight w:val="0"/>
                          <w:marTop w:val="0"/>
                          <w:marBottom w:val="0"/>
                          <w:divBdr>
                            <w:top w:val="none" w:sz="0" w:space="0" w:color="auto"/>
                            <w:left w:val="none" w:sz="0" w:space="0" w:color="auto"/>
                            <w:bottom w:val="none" w:sz="0" w:space="0" w:color="auto"/>
                            <w:right w:val="none" w:sz="0" w:space="0" w:color="auto"/>
                          </w:divBdr>
                          <w:divsChild>
                            <w:div w:id="6993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da.gov/Drugs/DrugSafety/PostmarketDrugSafetyInformationforPatientsandProviders/ucm103383.htm" TargetMode="External"/><Relationship Id="rId3" Type="http://schemas.microsoft.com/office/2007/relationships/stylesWithEffects" Target="stylesWithEffects.xml"/><Relationship Id="rId7" Type="http://schemas.openxmlformats.org/officeDocument/2006/relationships/hyperlink" Target="http://www.fda.gov/NewsEvents/Newsroom/PressAnnouncements/2008/ucm116988.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da.gov/Drugs/DrugSafety/PostmarketDrugSafetyInformationforPatientsandProviders/ucm126084.ht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2263</Words>
  <Characters>12900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Ipsos</Company>
  <LinksUpToDate>false</LinksUpToDate>
  <CharactersWithSpaces>15133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Ottenbreit</dc:creator>
  <cp:lastModifiedBy>Alison Ottenbreit</cp:lastModifiedBy>
  <cp:revision>4</cp:revision>
  <dcterms:created xsi:type="dcterms:W3CDTF">2014-04-23T18:07:00Z</dcterms:created>
  <dcterms:modified xsi:type="dcterms:W3CDTF">2014-04-23T18:09:00Z</dcterms:modified>
</cp:coreProperties>
</file>