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55088" w14:textId="77777777" w:rsidR="00E34861" w:rsidRDefault="000526FB" w:rsidP="009F750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Generic Information Collection (</w:t>
      </w:r>
      <w:proofErr w:type="spellStart"/>
      <w:r>
        <w:rPr>
          <w:b/>
          <w:sz w:val="28"/>
          <w:szCs w:val="28"/>
        </w:rPr>
        <w:t>GenIC</w:t>
      </w:r>
      <w:proofErr w:type="spellEnd"/>
      <w:r>
        <w:rPr>
          <w:b/>
          <w:sz w:val="28"/>
          <w:szCs w:val="28"/>
        </w:rPr>
        <w:t xml:space="preserve">) </w:t>
      </w:r>
      <w:r w:rsidR="00A73148" w:rsidRPr="002268E8">
        <w:rPr>
          <w:b/>
          <w:sz w:val="28"/>
          <w:szCs w:val="28"/>
        </w:rPr>
        <w:t>Submitt</w:t>
      </w:r>
      <w:r w:rsidR="00BB5A4C">
        <w:rPr>
          <w:b/>
          <w:sz w:val="28"/>
          <w:szCs w:val="28"/>
        </w:rPr>
        <w:t>al Form</w:t>
      </w:r>
      <w:r w:rsidR="00A73148" w:rsidRPr="002268E8">
        <w:rPr>
          <w:b/>
          <w:sz w:val="28"/>
          <w:szCs w:val="28"/>
        </w:rPr>
        <w:t xml:space="preserve"> for </w:t>
      </w:r>
    </w:p>
    <w:p w14:paraId="6C9F6252" w14:textId="77777777" w:rsidR="00990609" w:rsidRDefault="00A73148">
      <w:pPr>
        <w:spacing w:after="0" w:line="240" w:lineRule="auto"/>
        <w:jc w:val="center"/>
        <w:rPr>
          <w:b/>
          <w:sz w:val="28"/>
          <w:szCs w:val="28"/>
        </w:rPr>
      </w:pPr>
      <w:r w:rsidRPr="002268E8">
        <w:rPr>
          <w:b/>
          <w:sz w:val="28"/>
          <w:szCs w:val="28"/>
        </w:rPr>
        <w:t>OMB Rev</w:t>
      </w:r>
      <w:r w:rsidR="002268E8" w:rsidRPr="002268E8">
        <w:rPr>
          <w:b/>
          <w:sz w:val="28"/>
          <w:szCs w:val="28"/>
        </w:rPr>
        <w:t xml:space="preserve">iew of </w:t>
      </w:r>
      <w:r w:rsidR="00C8371F">
        <w:rPr>
          <w:b/>
          <w:sz w:val="28"/>
          <w:szCs w:val="28"/>
        </w:rPr>
        <w:t xml:space="preserve">ATSDR </w:t>
      </w:r>
      <w:r w:rsidR="002268E8">
        <w:rPr>
          <w:b/>
          <w:sz w:val="28"/>
          <w:szCs w:val="28"/>
        </w:rPr>
        <w:t>Exposure Investigation</w:t>
      </w:r>
      <w:r w:rsidR="00BB5A4C">
        <w:rPr>
          <w:b/>
          <w:sz w:val="28"/>
          <w:szCs w:val="28"/>
        </w:rPr>
        <w:t>s</w:t>
      </w:r>
      <w:r w:rsidR="002268E8">
        <w:rPr>
          <w:b/>
          <w:sz w:val="28"/>
          <w:szCs w:val="28"/>
        </w:rPr>
        <w:t xml:space="preserve"> (EI</w:t>
      </w:r>
      <w:r w:rsidR="00BB5A4C">
        <w:rPr>
          <w:b/>
          <w:sz w:val="28"/>
          <w:szCs w:val="28"/>
        </w:rPr>
        <w:t>s</w:t>
      </w:r>
      <w:r w:rsidR="002268E8">
        <w:rPr>
          <w:b/>
          <w:sz w:val="28"/>
          <w:szCs w:val="28"/>
        </w:rPr>
        <w:t>)</w:t>
      </w:r>
      <w:r w:rsidR="002268E8" w:rsidRPr="002268E8">
        <w:rPr>
          <w:b/>
          <w:sz w:val="28"/>
          <w:szCs w:val="28"/>
        </w:rPr>
        <w:t xml:space="preserve"> </w:t>
      </w:r>
      <w:r w:rsidR="00990609">
        <w:rPr>
          <w:b/>
          <w:sz w:val="28"/>
          <w:szCs w:val="28"/>
        </w:rPr>
        <w:t>(0923-004</w:t>
      </w:r>
      <w:r w:rsidR="00066D15">
        <w:rPr>
          <w:b/>
          <w:sz w:val="28"/>
          <w:szCs w:val="28"/>
        </w:rPr>
        <w:t>8</w:t>
      </w:r>
      <w:r w:rsidR="00990609">
        <w:rPr>
          <w:b/>
          <w:sz w:val="28"/>
          <w:szCs w:val="28"/>
        </w:rPr>
        <w:t>)</w:t>
      </w:r>
    </w:p>
    <w:p w14:paraId="398BD9BA" w14:textId="77777777" w:rsidR="00990609" w:rsidRPr="002268E8" w:rsidRDefault="00990609" w:rsidP="009F7507">
      <w:pPr>
        <w:spacing w:after="0" w:line="240" w:lineRule="auto"/>
        <w:jc w:val="center"/>
        <w:rPr>
          <w:b/>
          <w:sz w:val="28"/>
          <w:szCs w:val="28"/>
        </w:rPr>
      </w:pPr>
    </w:p>
    <w:p w14:paraId="452C8AD0" w14:textId="77777777" w:rsidR="002268E8" w:rsidRDefault="002268E8" w:rsidP="007775E5">
      <w:pPr>
        <w:rPr>
          <w:b/>
          <w:sz w:val="24"/>
          <w:szCs w:val="24"/>
        </w:rPr>
      </w:pPr>
      <w:r w:rsidRPr="008C1299">
        <w:rPr>
          <w:b/>
          <w:sz w:val="24"/>
          <w:szCs w:val="24"/>
        </w:rPr>
        <w:t>PROJECT TITLE</w:t>
      </w:r>
      <w:r w:rsidR="00952433">
        <w:rPr>
          <w:b/>
          <w:sz w:val="24"/>
          <w:szCs w:val="24"/>
        </w:rPr>
        <w:t xml:space="preserve">:  </w:t>
      </w:r>
      <w:r w:rsidR="00845DCD">
        <w:rPr>
          <w:b/>
          <w:sz w:val="24"/>
          <w:szCs w:val="24"/>
        </w:rPr>
        <w:t>Perfluorinated</w:t>
      </w:r>
      <w:r w:rsidR="002C45BC" w:rsidRPr="002C45BC">
        <w:rPr>
          <w:b/>
          <w:sz w:val="24"/>
          <w:szCs w:val="24"/>
        </w:rPr>
        <w:t xml:space="preserve"> Compound Biological Sampling in the Vicinity of Morgan, Lawrence, and Limestone Counties, Alabama</w:t>
      </w:r>
    </w:p>
    <w:p w14:paraId="58D62A06" w14:textId="77777777" w:rsidR="00146801" w:rsidRPr="008C1299" w:rsidRDefault="005119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SITE </w:t>
      </w:r>
      <w:r w:rsidR="00146801">
        <w:rPr>
          <w:b/>
          <w:sz w:val="24"/>
          <w:szCs w:val="24"/>
        </w:rPr>
        <w:t>LOCATION</w:t>
      </w:r>
      <w:r w:rsidR="00952433">
        <w:rPr>
          <w:b/>
          <w:sz w:val="24"/>
          <w:szCs w:val="24"/>
        </w:rPr>
        <w:t xml:space="preserve">:  </w:t>
      </w:r>
      <w:r w:rsidR="007775E5" w:rsidRPr="007775E5">
        <w:rPr>
          <w:b/>
          <w:sz w:val="24"/>
          <w:szCs w:val="24"/>
        </w:rPr>
        <w:t>Morgan, Lawrence and Limestone Counties, Alabama</w:t>
      </w:r>
    </w:p>
    <w:p w14:paraId="2B170791" w14:textId="3397F52B" w:rsidR="002C3309" w:rsidRDefault="002C330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REQUESTED BURDEN HOURS</w:t>
      </w:r>
      <w:r w:rsidR="00245FE8">
        <w:rPr>
          <w:b/>
          <w:sz w:val="24"/>
          <w:szCs w:val="24"/>
        </w:rPr>
        <w:t xml:space="preserve">:    </w:t>
      </w:r>
      <w:r w:rsidR="00D75F8C">
        <w:rPr>
          <w:b/>
          <w:sz w:val="24"/>
          <w:szCs w:val="24"/>
        </w:rPr>
        <w:t>93</w:t>
      </w:r>
    </w:p>
    <w:p w14:paraId="2D8A01EB" w14:textId="77777777" w:rsidR="00977D5F" w:rsidRDefault="00AD12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</w:t>
      </w:r>
      <w:r w:rsidR="008C26C6">
        <w:rPr>
          <w:b/>
          <w:sz w:val="24"/>
          <w:szCs w:val="24"/>
        </w:rPr>
        <w:t>SUMMARY</w:t>
      </w:r>
    </w:p>
    <w:tbl>
      <w:tblPr>
        <w:tblStyle w:val="TableGrid"/>
        <w:tblW w:w="10296" w:type="dxa"/>
        <w:tblInd w:w="108" w:type="dxa"/>
        <w:tblLook w:val="04A0" w:firstRow="1" w:lastRow="0" w:firstColumn="1" w:lastColumn="0" w:noHBand="0" w:noVBand="1"/>
      </w:tblPr>
      <w:tblGrid>
        <w:gridCol w:w="3168"/>
        <w:gridCol w:w="7128"/>
      </w:tblGrid>
      <w:tr w:rsidR="00977D5F" w14:paraId="3919D6B6" w14:textId="77777777" w:rsidTr="00B50EEF">
        <w:tc>
          <w:tcPr>
            <w:tcW w:w="3168" w:type="dxa"/>
            <w:vAlign w:val="center"/>
          </w:tcPr>
          <w:p w14:paraId="22786FB6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Principal Investigator(s):</w:t>
            </w:r>
          </w:p>
        </w:tc>
        <w:tc>
          <w:tcPr>
            <w:tcW w:w="7128" w:type="dxa"/>
            <w:vAlign w:val="center"/>
          </w:tcPr>
          <w:p w14:paraId="01625CB5" w14:textId="77777777" w:rsidR="007775E5" w:rsidRDefault="007775E5" w:rsidP="007775E5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R. Worley (ATSDR Headquarters)</w:t>
            </w:r>
          </w:p>
          <w:p w14:paraId="358B3916" w14:textId="77777777" w:rsidR="00977D5F" w:rsidRPr="007775E5" w:rsidRDefault="0011153A" w:rsidP="007775E5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C. Tierney</w:t>
            </w:r>
            <w:r w:rsidR="00977D5F">
              <w:rPr>
                <w:sz w:val="24"/>
                <w:szCs w:val="24"/>
              </w:rPr>
              <w:t xml:space="preserve"> (ATSDR Headquarters)</w:t>
            </w:r>
          </w:p>
        </w:tc>
      </w:tr>
      <w:tr w:rsidR="00977D5F" w14:paraId="2EEEF7D3" w14:textId="77777777" w:rsidTr="00B50EEF">
        <w:tc>
          <w:tcPr>
            <w:tcW w:w="3168" w:type="dxa"/>
            <w:vAlign w:val="center"/>
          </w:tcPr>
          <w:p w14:paraId="2F4EE1A1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Assistance:</w:t>
            </w:r>
          </w:p>
        </w:tc>
        <w:tc>
          <w:tcPr>
            <w:tcW w:w="7128" w:type="dxa"/>
            <w:vAlign w:val="center"/>
          </w:tcPr>
          <w:p w14:paraId="0032AB58" w14:textId="77777777" w:rsidR="00977D5F" w:rsidRPr="002B7FAF" w:rsidRDefault="007775E5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Alabama Department of Environmental Management (ADEM)</w:t>
            </w:r>
          </w:p>
          <w:p w14:paraId="32E3F7E1" w14:textId="77777777" w:rsidR="007775E5" w:rsidRPr="007775E5" w:rsidRDefault="007775E5" w:rsidP="007775E5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EPA Region 4 </w:t>
            </w:r>
          </w:p>
          <w:p w14:paraId="6EA95352" w14:textId="77777777" w:rsidR="00977D5F" w:rsidRPr="007775E5" w:rsidRDefault="009A4C91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 w:rsidRPr="002B7FAF">
              <w:rPr>
                <w:sz w:val="24"/>
                <w:szCs w:val="24"/>
              </w:rPr>
              <w:t>DLS/NCEH/</w:t>
            </w:r>
            <w:r w:rsidR="00977D5F" w:rsidRPr="002B7FAF">
              <w:rPr>
                <w:sz w:val="24"/>
                <w:szCs w:val="24"/>
              </w:rPr>
              <w:t>ATSDR laboratory</w:t>
            </w:r>
          </w:p>
          <w:p w14:paraId="70EE5E2F" w14:textId="77777777" w:rsidR="002C45BC" w:rsidRPr="00EC3C70" w:rsidRDefault="002C45BC" w:rsidP="002C45BC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Eastern Research Group (ERG) – contractor support</w:t>
            </w:r>
          </w:p>
          <w:p w14:paraId="03A01269" w14:textId="77777777" w:rsidR="00EC3C70" w:rsidRPr="00977D5F" w:rsidRDefault="002C45BC" w:rsidP="002C45BC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Georgia – Department of Veterinary Physiology and Pharmacology</w:t>
            </w:r>
          </w:p>
        </w:tc>
      </w:tr>
      <w:tr w:rsidR="00977D5F" w14:paraId="6428E1A6" w14:textId="77777777" w:rsidTr="00B50EEF">
        <w:tc>
          <w:tcPr>
            <w:tcW w:w="3168" w:type="dxa"/>
            <w:vAlign w:val="center"/>
          </w:tcPr>
          <w:p w14:paraId="20A61D8A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 w:rsidRPr="007F0688">
              <w:rPr>
                <w:b/>
                <w:sz w:val="24"/>
                <w:szCs w:val="24"/>
              </w:rPr>
              <w:t>Source of Request (state, petition, etc.):</w:t>
            </w:r>
          </w:p>
        </w:tc>
        <w:tc>
          <w:tcPr>
            <w:tcW w:w="7128" w:type="dxa"/>
            <w:vAlign w:val="center"/>
          </w:tcPr>
          <w:p w14:paraId="1FC80057" w14:textId="77777777" w:rsidR="0042677F" w:rsidRPr="0042677F" w:rsidRDefault="00EC3C70" w:rsidP="00426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7775E5">
              <w:rPr>
                <w:sz w:val="24"/>
                <w:szCs w:val="24"/>
              </w:rPr>
              <w:t xml:space="preserve">ecommendations </w:t>
            </w:r>
            <w:r>
              <w:rPr>
                <w:sz w:val="24"/>
                <w:szCs w:val="24"/>
              </w:rPr>
              <w:t xml:space="preserve">made </w:t>
            </w:r>
            <w:r w:rsidR="007775E5">
              <w:rPr>
                <w:sz w:val="24"/>
                <w:szCs w:val="24"/>
              </w:rPr>
              <w:t>in previous ATSDR Exposure Investigation</w:t>
            </w:r>
            <w:r w:rsidR="001E0EF2">
              <w:rPr>
                <w:sz w:val="24"/>
                <w:szCs w:val="24"/>
              </w:rPr>
              <w:t xml:space="preserve"> (EI)</w:t>
            </w:r>
            <w:r w:rsidR="007775E5">
              <w:rPr>
                <w:sz w:val="24"/>
                <w:szCs w:val="24"/>
              </w:rPr>
              <w:t xml:space="preserve"> report</w:t>
            </w:r>
            <w:r w:rsidR="0042677F">
              <w:rPr>
                <w:sz w:val="24"/>
                <w:szCs w:val="24"/>
              </w:rPr>
              <w:t xml:space="preserve"> (</w:t>
            </w:r>
            <w:r w:rsidR="0042677F" w:rsidRPr="0042677F">
              <w:rPr>
                <w:sz w:val="24"/>
                <w:szCs w:val="24"/>
              </w:rPr>
              <w:t>P</w:t>
            </w:r>
            <w:r w:rsidR="0042677F">
              <w:rPr>
                <w:sz w:val="24"/>
                <w:szCs w:val="24"/>
              </w:rPr>
              <w:t xml:space="preserve">erfluorochemical Serum Sampling </w:t>
            </w:r>
            <w:r w:rsidR="0042677F" w:rsidRPr="0042677F">
              <w:rPr>
                <w:sz w:val="24"/>
                <w:szCs w:val="24"/>
              </w:rPr>
              <w:t>In t</w:t>
            </w:r>
            <w:r w:rsidR="0042677F">
              <w:rPr>
                <w:sz w:val="24"/>
                <w:szCs w:val="24"/>
              </w:rPr>
              <w:t xml:space="preserve">he vicinity of Decatur, Alabama </w:t>
            </w:r>
            <w:r w:rsidR="0042677F" w:rsidRPr="0042677F">
              <w:rPr>
                <w:sz w:val="24"/>
                <w:szCs w:val="24"/>
              </w:rPr>
              <w:t>Morgan, Lawrence, and Limestone Counties</w:t>
            </w:r>
            <w:r w:rsidR="0042677F">
              <w:rPr>
                <w:sz w:val="24"/>
                <w:szCs w:val="24"/>
              </w:rPr>
              <w:t>, April 1, 2013).</w:t>
            </w:r>
          </w:p>
          <w:p w14:paraId="56C1CED7" w14:textId="77777777" w:rsidR="00977D5F" w:rsidRPr="007775E5" w:rsidRDefault="00977D5F" w:rsidP="007775E5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977D5F" w14:paraId="2F9A824C" w14:textId="77777777" w:rsidTr="00B50EEF">
        <w:tc>
          <w:tcPr>
            <w:tcW w:w="3168" w:type="dxa"/>
            <w:vAlign w:val="center"/>
          </w:tcPr>
          <w:p w14:paraId="0F658B74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Goals:</w:t>
            </w:r>
          </w:p>
        </w:tc>
        <w:tc>
          <w:tcPr>
            <w:tcW w:w="7128" w:type="dxa"/>
            <w:vAlign w:val="center"/>
          </w:tcPr>
          <w:p w14:paraId="45A39511" w14:textId="0B0061B6" w:rsidR="00977D5F" w:rsidRPr="00977D5F" w:rsidRDefault="002D005C" w:rsidP="001E0EF2">
            <w:pPr>
              <w:rPr>
                <w:sz w:val="24"/>
                <w:szCs w:val="24"/>
              </w:rPr>
            </w:pPr>
            <w:r w:rsidRPr="00181C42">
              <w:rPr>
                <w:rFonts w:ascii="Calibri" w:hAnsi="Calibri"/>
                <w:sz w:val="24"/>
              </w:rPr>
              <w:t xml:space="preserve">The </w:t>
            </w:r>
            <w:r>
              <w:rPr>
                <w:rFonts w:ascii="Calibri" w:hAnsi="Calibri"/>
                <w:sz w:val="24"/>
              </w:rPr>
              <w:t>goal</w:t>
            </w:r>
            <w:r w:rsidRPr="00181C42">
              <w:rPr>
                <w:rFonts w:ascii="Calibri" w:hAnsi="Calibri"/>
                <w:sz w:val="24"/>
              </w:rPr>
              <w:t xml:space="preserve"> of this EI is to conduct </w:t>
            </w:r>
            <w:r>
              <w:rPr>
                <w:rFonts w:ascii="Calibri" w:hAnsi="Calibri"/>
                <w:sz w:val="24"/>
              </w:rPr>
              <w:t>biological</w:t>
            </w:r>
            <w:r w:rsidRPr="00181C42">
              <w:rPr>
                <w:rFonts w:ascii="Calibri" w:hAnsi="Calibri"/>
                <w:sz w:val="24"/>
              </w:rPr>
              <w:t xml:space="preserve"> sampling in the vicinity of Morgan, Lawrence and Limestone Counties, Alabama</w:t>
            </w:r>
            <w:r>
              <w:rPr>
                <w:rFonts w:ascii="Calibri" w:hAnsi="Calibri"/>
                <w:sz w:val="24"/>
              </w:rPr>
              <w:t xml:space="preserve">, in order </w:t>
            </w:r>
            <w:r w:rsidRPr="00181C42">
              <w:rPr>
                <w:rFonts w:ascii="Calibri" w:hAnsi="Calibri"/>
                <w:sz w:val="24"/>
              </w:rPr>
              <w:t>to</w:t>
            </w:r>
            <w:r w:rsidR="0026252A">
              <w:rPr>
                <w:rFonts w:ascii="Calibri" w:hAnsi="Calibri"/>
                <w:sz w:val="24"/>
              </w:rPr>
              <w:t xml:space="preserve"> collect blood and urine samples in order to</w:t>
            </w:r>
            <w:r w:rsidRPr="00181C42">
              <w:rPr>
                <w:rFonts w:ascii="Calibri" w:hAnsi="Calibri"/>
                <w:sz w:val="24"/>
              </w:rPr>
              <w:t xml:space="preserve"> determine how </w:t>
            </w:r>
            <w:r w:rsidR="002C45BC">
              <w:rPr>
                <w:rFonts w:ascii="Calibri" w:hAnsi="Calibri"/>
                <w:sz w:val="24"/>
              </w:rPr>
              <w:t xml:space="preserve">exposure to perfluorinated compounds (PFCs) </w:t>
            </w:r>
            <w:r w:rsidRPr="00181C42">
              <w:rPr>
                <w:rFonts w:ascii="Calibri" w:hAnsi="Calibri"/>
                <w:sz w:val="24"/>
              </w:rPr>
              <w:t>have chang</w:t>
            </w:r>
            <w:r w:rsidR="009E244C">
              <w:rPr>
                <w:rFonts w:ascii="Calibri" w:hAnsi="Calibri"/>
                <w:sz w:val="24"/>
              </w:rPr>
              <w:t xml:space="preserve">ed in this population since </w:t>
            </w:r>
            <w:r w:rsidR="002C45BC">
              <w:rPr>
                <w:rFonts w:ascii="Calibri" w:hAnsi="Calibri"/>
                <w:sz w:val="24"/>
              </w:rPr>
              <w:t xml:space="preserve">the previous </w:t>
            </w:r>
            <w:r w:rsidR="009E244C">
              <w:rPr>
                <w:rFonts w:ascii="Calibri" w:hAnsi="Calibri"/>
                <w:sz w:val="24"/>
              </w:rPr>
              <w:t>2010</w:t>
            </w:r>
            <w:r w:rsidR="002C45BC">
              <w:rPr>
                <w:rFonts w:ascii="Calibri" w:hAnsi="Calibri"/>
                <w:sz w:val="24"/>
              </w:rPr>
              <w:t xml:space="preserve"> EI</w:t>
            </w:r>
            <w:r w:rsidRPr="00181C42">
              <w:rPr>
                <w:rFonts w:ascii="Calibri" w:hAnsi="Calibri"/>
                <w:sz w:val="24"/>
              </w:rPr>
              <w:t xml:space="preserve">. This exposure investigation will follow through on </w:t>
            </w:r>
            <w:r>
              <w:rPr>
                <w:rFonts w:ascii="Calibri" w:hAnsi="Calibri"/>
                <w:sz w:val="24"/>
              </w:rPr>
              <w:t>ATSDR</w:t>
            </w:r>
            <w:r w:rsidRPr="00181C42">
              <w:rPr>
                <w:rFonts w:ascii="Calibri" w:hAnsi="Calibri"/>
                <w:sz w:val="24"/>
              </w:rPr>
              <w:t xml:space="preserve"> recommendations </w:t>
            </w:r>
            <w:r w:rsidR="002C45BC">
              <w:rPr>
                <w:rFonts w:ascii="Calibri" w:hAnsi="Calibri"/>
                <w:sz w:val="24"/>
              </w:rPr>
              <w:t xml:space="preserve">from the previous EI </w:t>
            </w:r>
            <w:r w:rsidRPr="00181C42">
              <w:rPr>
                <w:rFonts w:ascii="Calibri" w:hAnsi="Calibri"/>
                <w:sz w:val="24"/>
              </w:rPr>
              <w:t>and will provide the community with additional information about their site-specific exposures to PFCs.</w:t>
            </w:r>
          </w:p>
        </w:tc>
      </w:tr>
      <w:tr w:rsidR="00977D5F" w14:paraId="16379296" w14:textId="77777777" w:rsidTr="00B50EEF">
        <w:tc>
          <w:tcPr>
            <w:tcW w:w="3168" w:type="dxa"/>
            <w:vAlign w:val="center"/>
          </w:tcPr>
          <w:p w14:paraId="55855E46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Objectives:</w:t>
            </w:r>
          </w:p>
        </w:tc>
        <w:tc>
          <w:tcPr>
            <w:tcW w:w="7128" w:type="dxa"/>
            <w:vAlign w:val="center"/>
          </w:tcPr>
          <w:p w14:paraId="787E73E6" w14:textId="77777777" w:rsidR="00977D5F" w:rsidRDefault="001D505F" w:rsidP="001D505F">
            <w:pPr>
              <w:rPr>
                <w:rFonts w:ascii="Calibri" w:hAnsi="Calibri"/>
                <w:sz w:val="24"/>
              </w:rPr>
            </w:pPr>
            <w:r w:rsidRPr="00181C42">
              <w:rPr>
                <w:rFonts w:ascii="Calibri" w:hAnsi="Calibri"/>
                <w:sz w:val="24"/>
              </w:rPr>
              <w:t>The exposed population in Morgan, Lawrence and Limestone Counties</w:t>
            </w:r>
            <w:r w:rsidR="002C45BC">
              <w:rPr>
                <w:rFonts w:ascii="Calibri" w:hAnsi="Calibri"/>
                <w:sz w:val="24"/>
              </w:rPr>
              <w:t xml:space="preserve"> (AL)</w:t>
            </w:r>
            <w:r w:rsidRPr="00181C42">
              <w:rPr>
                <w:rFonts w:ascii="Calibri" w:hAnsi="Calibri"/>
                <w:sz w:val="24"/>
              </w:rPr>
              <w:t xml:space="preserve"> includes residents who live and work in a predominantly rural community.  Many community members receive their drinking water from the East Lawrence/West Morgan public water supply system. </w:t>
            </w:r>
            <w:r w:rsidR="00A52AD0">
              <w:rPr>
                <w:rFonts w:ascii="Calibri" w:hAnsi="Calibri"/>
                <w:sz w:val="24"/>
              </w:rPr>
              <w:t xml:space="preserve">The most current water data from this system indicates that </w:t>
            </w:r>
            <w:r w:rsidR="00A52AD0" w:rsidRPr="00181C42">
              <w:rPr>
                <w:rFonts w:ascii="Calibri" w:hAnsi="Calibri"/>
                <w:sz w:val="24"/>
              </w:rPr>
              <w:t>this system has detectable levels of</w:t>
            </w:r>
            <w:r w:rsidR="00A52AD0">
              <w:rPr>
                <w:rFonts w:ascii="Calibri" w:hAnsi="Calibri"/>
                <w:sz w:val="24"/>
              </w:rPr>
              <w:t xml:space="preserve"> two PFC species; perfluorooctanoic acid (</w:t>
            </w:r>
            <w:r w:rsidR="00A52AD0" w:rsidRPr="00181C42">
              <w:rPr>
                <w:rFonts w:ascii="Calibri" w:hAnsi="Calibri"/>
                <w:sz w:val="24"/>
              </w:rPr>
              <w:t>PFOA</w:t>
            </w:r>
            <w:r w:rsidR="00A52AD0">
              <w:rPr>
                <w:rFonts w:ascii="Calibri" w:hAnsi="Calibri"/>
                <w:sz w:val="24"/>
              </w:rPr>
              <w:t>)</w:t>
            </w:r>
            <w:r w:rsidR="00A52AD0" w:rsidRPr="00181C42">
              <w:rPr>
                <w:rFonts w:ascii="Calibri" w:hAnsi="Calibri"/>
                <w:sz w:val="24"/>
              </w:rPr>
              <w:t xml:space="preserve"> and </w:t>
            </w:r>
            <w:proofErr w:type="spellStart"/>
            <w:r w:rsidR="00A52AD0">
              <w:rPr>
                <w:rFonts w:ascii="Calibri" w:hAnsi="Calibri"/>
                <w:sz w:val="24"/>
              </w:rPr>
              <w:t>perfluorooctanesulfonic</w:t>
            </w:r>
            <w:proofErr w:type="spellEnd"/>
            <w:r w:rsidR="00A52AD0">
              <w:rPr>
                <w:rFonts w:ascii="Calibri" w:hAnsi="Calibri"/>
                <w:sz w:val="24"/>
              </w:rPr>
              <w:t xml:space="preserve"> acid (</w:t>
            </w:r>
            <w:r w:rsidR="00A52AD0" w:rsidRPr="00181C42">
              <w:rPr>
                <w:rFonts w:ascii="Calibri" w:hAnsi="Calibri"/>
                <w:sz w:val="24"/>
              </w:rPr>
              <w:t>PFOS</w:t>
            </w:r>
            <w:r w:rsidR="00A52AD0">
              <w:rPr>
                <w:rFonts w:ascii="Calibri" w:hAnsi="Calibri"/>
                <w:sz w:val="24"/>
              </w:rPr>
              <w:t xml:space="preserve">). </w:t>
            </w:r>
          </w:p>
          <w:p w14:paraId="263141E8" w14:textId="77777777" w:rsidR="001D505F" w:rsidRPr="00EC3C70" w:rsidRDefault="001D505F" w:rsidP="001D505F">
            <w:pPr>
              <w:rPr>
                <w:sz w:val="24"/>
                <w:szCs w:val="24"/>
              </w:rPr>
            </w:pPr>
          </w:p>
          <w:p w14:paraId="4ABA24CB" w14:textId="77777777" w:rsidR="00EC3C70" w:rsidRPr="00EC3C70" w:rsidRDefault="00EC3C70" w:rsidP="001D505F">
            <w:pPr>
              <w:rPr>
                <w:sz w:val="24"/>
                <w:szCs w:val="24"/>
              </w:rPr>
            </w:pPr>
            <w:r w:rsidRPr="00EC3C70">
              <w:rPr>
                <w:sz w:val="24"/>
                <w:szCs w:val="24"/>
              </w:rPr>
              <w:t>This project has four primary objectives:</w:t>
            </w:r>
          </w:p>
          <w:p w14:paraId="62224C79" w14:textId="77777777" w:rsidR="00EC3C70" w:rsidRPr="00EC3C70" w:rsidRDefault="00EC3C70" w:rsidP="00EC3C70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EC3C70">
              <w:rPr>
                <w:rFonts w:asciiTheme="minorHAnsi" w:hAnsiTheme="minorHAnsi" w:cs="Arial"/>
              </w:rPr>
              <w:t xml:space="preserve">Compare current PFC-serum concentrations in the community to the national reference population (NHANES 2011-2012). </w:t>
            </w:r>
          </w:p>
          <w:p w14:paraId="58DC97CB" w14:textId="77777777" w:rsidR="00EC3C70" w:rsidRPr="00EC3C70" w:rsidRDefault="00A52AD0" w:rsidP="00EC3C70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For each individual who also participated in the 2010 EI, c</w:t>
            </w:r>
            <w:r w:rsidR="00EC3C70" w:rsidRPr="00EC3C70">
              <w:rPr>
                <w:rFonts w:asciiTheme="minorHAnsi" w:hAnsiTheme="minorHAnsi" w:cs="Arial"/>
              </w:rPr>
              <w:t xml:space="preserve">ompare current PFC serum concentrations to the concentration measured in 2010. </w:t>
            </w:r>
          </w:p>
          <w:p w14:paraId="21B83EC9" w14:textId="0C5DEF49" w:rsidR="00EC3C70" w:rsidRPr="00EC3C70" w:rsidRDefault="00A52AD0" w:rsidP="00EC3C70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</w:t>
            </w:r>
            <w:r w:rsidR="0026252A">
              <w:rPr>
                <w:rFonts w:asciiTheme="minorHAnsi" w:hAnsiTheme="minorHAnsi" w:cs="Arial"/>
              </w:rPr>
              <w:t>e</w:t>
            </w:r>
            <w:r>
              <w:rPr>
                <w:rFonts w:asciiTheme="minorHAnsi" w:hAnsiTheme="minorHAnsi" w:cs="Arial"/>
              </w:rPr>
              <w:t xml:space="preserve"> paired serum and urine concentration</w:t>
            </w:r>
            <w:r w:rsidR="00125ED6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 xml:space="preserve"> to c</w:t>
            </w:r>
            <w:r w:rsidR="00EC3C70" w:rsidRPr="00EC3C70">
              <w:rPr>
                <w:rFonts w:asciiTheme="minorHAnsi" w:hAnsiTheme="minorHAnsi" w:cs="Arial"/>
              </w:rPr>
              <w:t xml:space="preserve">alculate biological half-life for </w:t>
            </w:r>
            <w:r w:rsidR="0026252A">
              <w:rPr>
                <w:rFonts w:asciiTheme="minorHAnsi" w:hAnsiTheme="minorHAnsi" w:cs="Arial"/>
              </w:rPr>
              <w:t>12</w:t>
            </w:r>
            <w:r w:rsidR="00EC3C70" w:rsidRPr="00EC3C70">
              <w:rPr>
                <w:rFonts w:asciiTheme="minorHAnsi" w:hAnsiTheme="minorHAnsi" w:cs="Arial"/>
              </w:rPr>
              <w:t xml:space="preserve"> PFC species to improve understanding of  pharmacokinetic behavior of these compounds in humans</w:t>
            </w:r>
            <w:r w:rsidR="000471DC">
              <w:rPr>
                <w:rFonts w:asciiTheme="minorHAnsi" w:hAnsiTheme="minorHAnsi" w:cs="Arial"/>
              </w:rPr>
              <w:t xml:space="preserve"> in this community.</w:t>
            </w:r>
          </w:p>
          <w:p w14:paraId="344D580C" w14:textId="77777777" w:rsidR="001D505F" w:rsidRPr="00EC3C70" w:rsidRDefault="00EC3C70" w:rsidP="00EC3C70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C3C70">
              <w:rPr>
                <w:rFonts w:asciiTheme="minorHAnsi" w:hAnsiTheme="minorHAnsi" w:cs="Arial"/>
              </w:rPr>
              <w:t xml:space="preserve">Evaluate potential existence of non-drinking water PFC exposure pathways </w:t>
            </w:r>
            <w:r w:rsidR="0026252A">
              <w:rPr>
                <w:rFonts w:asciiTheme="minorHAnsi" w:hAnsiTheme="minorHAnsi" w:cs="Arial"/>
              </w:rPr>
              <w:t xml:space="preserve">(ex: soil exposure, contact with contaminated consumer products, ingestion of contaminated foods, inhalation) </w:t>
            </w:r>
            <w:r w:rsidRPr="00EC3C70">
              <w:rPr>
                <w:rFonts w:asciiTheme="minorHAnsi" w:hAnsiTheme="minorHAnsi" w:cs="Arial"/>
              </w:rPr>
              <w:t xml:space="preserve">through physiologically-based pharmacokinetic (PBPK) modeling. </w:t>
            </w:r>
          </w:p>
        </w:tc>
      </w:tr>
      <w:tr w:rsidR="00977D5F" w14:paraId="01AF9B52" w14:textId="77777777" w:rsidTr="00B50EEF">
        <w:tc>
          <w:tcPr>
            <w:tcW w:w="3168" w:type="dxa"/>
            <w:vAlign w:val="center"/>
          </w:tcPr>
          <w:p w14:paraId="6CFF503E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Sampling to be Completed:</w:t>
            </w:r>
          </w:p>
        </w:tc>
        <w:tc>
          <w:tcPr>
            <w:tcW w:w="7128" w:type="dxa"/>
            <w:vAlign w:val="center"/>
          </w:tcPr>
          <w:p w14:paraId="19B64CDE" w14:textId="77777777" w:rsidR="00977D5F" w:rsidRPr="00977D5F" w:rsidRDefault="00F32AA2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977D5F" w14:paraId="5D524AB1" w14:textId="77777777" w:rsidTr="00B50EEF">
        <w:tc>
          <w:tcPr>
            <w:tcW w:w="3168" w:type="dxa"/>
            <w:vAlign w:val="center"/>
          </w:tcPr>
          <w:p w14:paraId="48E654E2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Biological Sampling to be Completed:</w:t>
            </w:r>
          </w:p>
        </w:tc>
        <w:tc>
          <w:tcPr>
            <w:tcW w:w="7128" w:type="dxa"/>
            <w:vAlign w:val="center"/>
          </w:tcPr>
          <w:p w14:paraId="47532F81" w14:textId="77777777" w:rsidR="00EB0D65" w:rsidRPr="001D505F" w:rsidRDefault="001D505F" w:rsidP="000A421C">
            <w:pPr>
              <w:rPr>
                <w:rFonts w:ascii="Calibri" w:hAnsi="Calibri"/>
                <w:sz w:val="24"/>
              </w:rPr>
            </w:pPr>
            <w:r w:rsidRPr="00181C42">
              <w:rPr>
                <w:rFonts w:ascii="Calibri" w:hAnsi="Calibri"/>
                <w:sz w:val="24"/>
              </w:rPr>
              <w:t xml:space="preserve">ATSDR will </w:t>
            </w:r>
            <w:r>
              <w:rPr>
                <w:rFonts w:ascii="Calibri" w:hAnsi="Calibri"/>
                <w:sz w:val="24"/>
              </w:rPr>
              <w:t xml:space="preserve">conduct blood </w:t>
            </w:r>
            <w:r w:rsidR="000A421C">
              <w:rPr>
                <w:rFonts w:ascii="Calibri" w:hAnsi="Calibri"/>
                <w:sz w:val="24"/>
              </w:rPr>
              <w:t xml:space="preserve">and urine </w:t>
            </w:r>
            <w:r>
              <w:rPr>
                <w:rFonts w:ascii="Calibri" w:hAnsi="Calibri"/>
                <w:sz w:val="24"/>
              </w:rPr>
              <w:t xml:space="preserve">tests for </w:t>
            </w:r>
            <w:r w:rsidRPr="00181C42">
              <w:rPr>
                <w:rFonts w:ascii="Calibri" w:hAnsi="Calibri"/>
                <w:sz w:val="24"/>
              </w:rPr>
              <w:t xml:space="preserve">up to </w:t>
            </w:r>
            <w:r w:rsidR="00C27B13">
              <w:rPr>
                <w:rFonts w:ascii="Calibri" w:hAnsi="Calibri"/>
                <w:sz w:val="24"/>
              </w:rPr>
              <w:t>155</w:t>
            </w:r>
            <w:r w:rsidRPr="00181C42">
              <w:rPr>
                <w:rFonts w:ascii="Calibri" w:hAnsi="Calibri"/>
                <w:sz w:val="24"/>
              </w:rPr>
              <w:t xml:space="preserve"> volunteers</w:t>
            </w:r>
            <w:r>
              <w:rPr>
                <w:rFonts w:ascii="Calibri" w:hAnsi="Calibri"/>
                <w:sz w:val="24"/>
              </w:rPr>
              <w:t xml:space="preserve"> </w:t>
            </w:r>
            <w:r w:rsidR="0054155A">
              <w:rPr>
                <w:rFonts w:ascii="Calibri" w:hAnsi="Calibri"/>
                <w:sz w:val="24"/>
              </w:rPr>
              <w:t xml:space="preserve">(over age 12) </w:t>
            </w:r>
            <w:r>
              <w:rPr>
                <w:rFonts w:ascii="Calibri" w:hAnsi="Calibri"/>
                <w:sz w:val="24"/>
              </w:rPr>
              <w:t>from the exposed population</w:t>
            </w:r>
            <w:r w:rsidRPr="00181C42">
              <w:rPr>
                <w:rFonts w:ascii="Calibri" w:hAnsi="Calibri"/>
                <w:sz w:val="24"/>
              </w:rPr>
              <w:t>.</w:t>
            </w:r>
            <w:r w:rsidR="00180960">
              <w:rPr>
                <w:rFonts w:ascii="Calibri" w:hAnsi="Calibri"/>
                <w:sz w:val="24"/>
              </w:rPr>
              <w:t xml:space="preserve"> </w:t>
            </w:r>
          </w:p>
        </w:tc>
      </w:tr>
      <w:tr w:rsidR="00977D5F" w14:paraId="50CDBA27" w14:textId="77777777" w:rsidTr="00B50EEF">
        <w:tc>
          <w:tcPr>
            <w:tcW w:w="3168" w:type="dxa"/>
            <w:vAlign w:val="center"/>
          </w:tcPr>
          <w:p w14:paraId="3908588B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Data Collection and Analysis Procedures:</w:t>
            </w:r>
          </w:p>
        </w:tc>
        <w:tc>
          <w:tcPr>
            <w:tcW w:w="7128" w:type="dxa"/>
            <w:vAlign w:val="center"/>
          </w:tcPr>
          <w:p w14:paraId="1039AA16" w14:textId="77777777" w:rsidR="00B65000" w:rsidRDefault="00B65000" w:rsidP="005A3D6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Recruitment of Participants:</w:t>
            </w:r>
          </w:p>
          <w:p w14:paraId="0F3EBC73" w14:textId="77777777" w:rsidR="0054155A" w:rsidRPr="00181C42" w:rsidRDefault="0054155A" w:rsidP="0054155A">
            <w:pPr>
              <w:rPr>
                <w:rFonts w:ascii="Calibri" w:hAnsi="Calibri"/>
                <w:sz w:val="24"/>
              </w:rPr>
            </w:pPr>
            <w:r w:rsidRPr="00181C42">
              <w:rPr>
                <w:rFonts w:ascii="Calibri" w:hAnsi="Calibri"/>
                <w:sz w:val="24"/>
              </w:rPr>
              <w:t>Participants will be recruited based on the following prioritization:</w:t>
            </w:r>
          </w:p>
          <w:p w14:paraId="74D052ED" w14:textId="77777777" w:rsidR="0054155A" w:rsidRPr="00181C42" w:rsidRDefault="0054155A" w:rsidP="0054155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/>
                <w:sz w:val="24"/>
              </w:rPr>
            </w:pPr>
            <w:r w:rsidRPr="00181C42">
              <w:rPr>
                <w:rFonts w:ascii="Calibri" w:hAnsi="Calibri"/>
                <w:sz w:val="24"/>
              </w:rPr>
              <w:t>First Priority Target</w:t>
            </w:r>
            <w:r w:rsidR="00B57193">
              <w:rPr>
                <w:rFonts w:ascii="Calibri" w:hAnsi="Calibri"/>
                <w:sz w:val="24"/>
              </w:rPr>
              <w:t xml:space="preserve"> Group: Participants in the 2010</w:t>
            </w:r>
            <w:r w:rsidRPr="00181C42">
              <w:rPr>
                <w:rFonts w:ascii="Calibri" w:hAnsi="Calibri"/>
                <w:sz w:val="24"/>
              </w:rPr>
              <w:t xml:space="preserve"> Exposure Investigation who continue to live in Morgan, Lawrence and Limestone Counties. </w:t>
            </w:r>
          </w:p>
          <w:p w14:paraId="770A556A" w14:textId="77777777" w:rsidR="0054155A" w:rsidRDefault="0054155A" w:rsidP="0054155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/>
                <w:sz w:val="24"/>
              </w:rPr>
            </w:pPr>
            <w:r w:rsidRPr="00181C42">
              <w:rPr>
                <w:rFonts w:ascii="Calibri" w:hAnsi="Calibri"/>
                <w:sz w:val="24"/>
              </w:rPr>
              <w:t>Second Priority Target</w:t>
            </w:r>
            <w:r w:rsidR="00B57193">
              <w:rPr>
                <w:rFonts w:ascii="Calibri" w:hAnsi="Calibri"/>
                <w:sz w:val="24"/>
              </w:rPr>
              <w:t xml:space="preserve"> Group: Participants in the 2010</w:t>
            </w:r>
            <w:r w:rsidRPr="00181C42">
              <w:rPr>
                <w:rFonts w:ascii="Calibri" w:hAnsi="Calibri"/>
                <w:sz w:val="24"/>
              </w:rPr>
              <w:t xml:space="preserve"> Exposure Investigation who no longer live in Morgan, Lawrence and Limestone Counties. </w:t>
            </w:r>
          </w:p>
          <w:p w14:paraId="627BC582" w14:textId="77777777" w:rsidR="00FC2B81" w:rsidRPr="00181C42" w:rsidRDefault="00FC2B81" w:rsidP="00FC2B8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Calibri" w:hAnsi="Calibri"/>
                <w:sz w:val="24"/>
              </w:rPr>
            </w:pPr>
          </w:p>
          <w:p w14:paraId="4154EBC3" w14:textId="77777777" w:rsidR="00291783" w:rsidRPr="00EC3C70" w:rsidRDefault="00EC3C70" w:rsidP="00EC3C70">
            <w:pPr>
              <w:rPr>
                <w:sz w:val="24"/>
                <w:szCs w:val="24"/>
              </w:rPr>
            </w:pPr>
            <w:r w:rsidRPr="00EC3C70">
              <w:rPr>
                <w:sz w:val="24"/>
                <w:szCs w:val="24"/>
              </w:rPr>
              <w:t xml:space="preserve">ATSDR will target participants </w:t>
            </w:r>
            <w:r>
              <w:rPr>
                <w:sz w:val="24"/>
                <w:szCs w:val="24"/>
              </w:rPr>
              <w:t xml:space="preserve">from </w:t>
            </w:r>
            <w:r w:rsidR="0026252A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2010</w:t>
            </w:r>
            <w:r w:rsidRPr="00EC3C70">
              <w:rPr>
                <w:sz w:val="24"/>
                <w:szCs w:val="24"/>
              </w:rPr>
              <w:t xml:space="preserve"> </w:t>
            </w:r>
            <w:r w:rsidR="0026252A">
              <w:rPr>
                <w:sz w:val="24"/>
                <w:szCs w:val="24"/>
              </w:rPr>
              <w:t xml:space="preserve">EI </w:t>
            </w:r>
            <w:r w:rsidRPr="00EC3C70">
              <w:rPr>
                <w:sz w:val="24"/>
                <w:szCs w:val="24"/>
              </w:rPr>
              <w:t xml:space="preserve">(155 residents) for recruitment into this investigation. ATSDR will contact all prior </w:t>
            </w:r>
            <w:r w:rsidR="0026252A">
              <w:rPr>
                <w:sz w:val="24"/>
                <w:szCs w:val="24"/>
              </w:rPr>
              <w:t>EI</w:t>
            </w:r>
            <w:r w:rsidRPr="00EC3C70">
              <w:rPr>
                <w:sz w:val="24"/>
                <w:szCs w:val="24"/>
              </w:rPr>
              <w:t xml:space="preserve"> participants by phone to recruit them </w:t>
            </w:r>
            <w:r w:rsidR="0026252A">
              <w:rPr>
                <w:sz w:val="24"/>
                <w:szCs w:val="24"/>
              </w:rPr>
              <w:t xml:space="preserve">for this </w:t>
            </w:r>
            <w:r w:rsidRPr="00EC3C70">
              <w:rPr>
                <w:sz w:val="24"/>
                <w:szCs w:val="24"/>
              </w:rPr>
              <w:t>investigation. If telephone recruitment yields fewer than 75 participants, staff from ATSDR and local health agencies will hold a public meeting with the residents to attempt to recruit additional participants.</w:t>
            </w:r>
          </w:p>
          <w:p w14:paraId="71E56204" w14:textId="77777777" w:rsidR="00977D5F" w:rsidRPr="00BA4320" w:rsidRDefault="006C2E1C" w:rsidP="00B50EEF">
            <w:pPr>
              <w:rPr>
                <w:sz w:val="24"/>
                <w:szCs w:val="24"/>
                <w:u w:val="single"/>
              </w:rPr>
            </w:pPr>
            <w:r w:rsidRPr="00BA4320">
              <w:rPr>
                <w:sz w:val="24"/>
                <w:szCs w:val="24"/>
                <w:u w:val="single"/>
              </w:rPr>
              <w:t>Collection:</w:t>
            </w:r>
          </w:p>
          <w:p w14:paraId="07EE2CEA" w14:textId="77777777" w:rsidR="0076482D" w:rsidRDefault="0076482D" w:rsidP="00B50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participants will be provided a</w:t>
            </w:r>
            <w:r w:rsidR="006C23C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 w:rsidR="00854A8B">
              <w:rPr>
                <w:sz w:val="24"/>
                <w:szCs w:val="24"/>
              </w:rPr>
              <w:t>assent/consent/parental permission</w:t>
            </w:r>
            <w:r>
              <w:rPr>
                <w:sz w:val="24"/>
                <w:szCs w:val="24"/>
              </w:rPr>
              <w:t xml:space="preserve"> form to sign (</w:t>
            </w:r>
            <w:r w:rsidR="00E27222">
              <w:rPr>
                <w:sz w:val="24"/>
                <w:szCs w:val="24"/>
              </w:rPr>
              <w:t xml:space="preserve">Attachment </w:t>
            </w:r>
            <w:r w:rsidR="00B348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and will be asked </w:t>
            </w:r>
            <w:r w:rsidR="00E27222">
              <w:rPr>
                <w:sz w:val="24"/>
                <w:szCs w:val="24"/>
              </w:rPr>
              <w:t>questions to allow a better interpretation of the</w:t>
            </w:r>
            <w:r w:rsidR="00F3090F">
              <w:rPr>
                <w:sz w:val="24"/>
                <w:szCs w:val="24"/>
              </w:rPr>
              <w:t>ir</w:t>
            </w:r>
            <w:r w:rsidR="00E27222">
              <w:rPr>
                <w:sz w:val="24"/>
                <w:szCs w:val="24"/>
              </w:rPr>
              <w:t xml:space="preserve"> results.  The questionnaire to be used in the EI is attached (Attachment </w:t>
            </w:r>
            <w:r w:rsidR="00B348E2">
              <w:rPr>
                <w:sz w:val="24"/>
                <w:szCs w:val="24"/>
              </w:rPr>
              <w:t>4</w:t>
            </w:r>
            <w:r w:rsidR="00E27222">
              <w:rPr>
                <w:sz w:val="24"/>
                <w:szCs w:val="24"/>
              </w:rPr>
              <w:t>).</w:t>
            </w:r>
            <w:r w:rsidR="00854A8B">
              <w:rPr>
                <w:sz w:val="24"/>
                <w:szCs w:val="24"/>
              </w:rPr>
              <w:t xml:space="preserve">  </w:t>
            </w:r>
          </w:p>
          <w:p w14:paraId="573DD16B" w14:textId="5EAE2113" w:rsidR="001C2596" w:rsidRDefault="004E00D9" w:rsidP="004E00D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E00D9">
              <w:rPr>
                <w:sz w:val="24"/>
                <w:szCs w:val="24"/>
              </w:rPr>
              <w:t>The human subjects documentation is provided in Attachment 5. The EI is not considered a research study; its primary intent is public health practice.</w:t>
            </w:r>
            <w:r w:rsidR="00476802">
              <w:rPr>
                <w:sz w:val="24"/>
                <w:szCs w:val="24"/>
              </w:rPr>
              <w:t xml:space="preserve"> </w:t>
            </w:r>
            <w:r w:rsidR="00172B79">
              <w:rPr>
                <w:sz w:val="24"/>
                <w:szCs w:val="24"/>
              </w:rPr>
              <w:t xml:space="preserve">The </w:t>
            </w:r>
            <w:r w:rsidR="001C2596" w:rsidRPr="001C2596">
              <w:rPr>
                <w:sz w:val="24"/>
                <w:szCs w:val="24"/>
              </w:rPr>
              <w:t xml:space="preserve">primary intent </w:t>
            </w:r>
            <w:r w:rsidR="00172B79">
              <w:rPr>
                <w:sz w:val="24"/>
                <w:szCs w:val="24"/>
              </w:rPr>
              <w:t xml:space="preserve">of this EI </w:t>
            </w:r>
            <w:r w:rsidR="001C2596" w:rsidRPr="001C2596">
              <w:rPr>
                <w:sz w:val="24"/>
                <w:szCs w:val="24"/>
              </w:rPr>
              <w:t>is</w:t>
            </w:r>
            <w:r w:rsidR="00172B79">
              <w:rPr>
                <w:sz w:val="24"/>
                <w:szCs w:val="24"/>
              </w:rPr>
              <w:t xml:space="preserve"> to evaluate exposure to PFCs in the community. </w:t>
            </w:r>
            <w:r>
              <w:rPr>
                <w:sz w:val="24"/>
                <w:szCs w:val="24"/>
              </w:rPr>
              <w:t>C</w:t>
            </w:r>
            <w:r w:rsidR="00172B79">
              <w:rPr>
                <w:sz w:val="24"/>
                <w:szCs w:val="24"/>
              </w:rPr>
              <w:t xml:space="preserve">ollection of paired blood and urine samples will allow ATSDR staff to calculate biological half-life for each PFC species, thereby contributing to the broader scientific </w:t>
            </w:r>
            <w:r w:rsidR="000471DC">
              <w:rPr>
                <w:sz w:val="24"/>
                <w:szCs w:val="24"/>
              </w:rPr>
              <w:t>understanding of human exposures to PFCs in this community.</w:t>
            </w:r>
            <w:r w:rsidR="00172B79">
              <w:rPr>
                <w:sz w:val="24"/>
                <w:szCs w:val="24"/>
              </w:rPr>
              <w:t xml:space="preserve"> </w:t>
            </w:r>
            <w:r w:rsidR="000471DC" w:rsidRPr="000471DC">
              <w:rPr>
                <w:sz w:val="24"/>
                <w:szCs w:val="24"/>
              </w:rPr>
              <w:t>The results of this EI are not intended to be generalized and are applicable only to the sampled participants</w:t>
            </w:r>
            <w:r w:rsidR="00172B79">
              <w:rPr>
                <w:sz w:val="24"/>
                <w:szCs w:val="24"/>
              </w:rPr>
              <w:t xml:space="preserve"> </w:t>
            </w:r>
          </w:p>
          <w:p w14:paraId="7997C97D" w14:textId="0C9DAE7E" w:rsidR="0026252A" w:rsidRPr="0026252A" w:rsidRDefault="0026252A" w:rsidP="0026252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91783">
              <w:rPr>
                <w:rFonts w:ascii="Calibri" w:hAnsi="Calibri"/>
                <w:sz w:val="24"/>
              </w:rPr>
              <w:t xml:space="preserve">Participants in the investigation will be instructed to make </w:t>
            </w:r>
            <w:r w:rsidR="0048157E">
              <w:rPr>
                <w:rFonts w:ascii="Calibri" w:hAnsi="Calibri"/>
                <w:sz w:val="24"/>
              </w:rPr>
              <w:t>two</w:t>
            </w:r>
            <w:r w:rsidR="0048157E" w:rsidRPr="00291783">
              <w:rPr>
                <w:rFonts w:ascii="Calibri" w:hAnsi="Calibri"/>
                <w:sz w:val="24"/>
              </w:rPr>
              <w:t xml:space="preserve"> </w:t>
            </w:r>
            <w:r w:rsidRPr="00291783">
              <w:rPr>
                <w:rFonts w:ascii="Calibri" w:hAnsi="Calibri"/>
                <w:sz w:val="24"/>
              </w:rPr>
              <w:t>appointment</w:t>
            </w:r>
            <w:r w:rsidR="0048157E">
              <w:rPr>
                <w:rFonts w:ascii="Calibri" w:hAnsi="Calibri"/>
                <w:sz w:val="24"/>
              </w:rPr>
              <w:t>s – one to sign consent forms and receive urine collection materials and instructions, and a second</w:t>
            </w:r>
            <w:r w:rsidRPr="00291783">
              <w:rPr>
                <w:rFonts w:ascii="Calibri" w:hAnsi="Calibri"/>
                <w:color w:val="0000FF"/>
                <w:sz w:val="24"/>
              </w:rPr>
              <w:t xml:space="preserve"> </w:t>
            </w:r>
            <w:r w:rsidRPr="00291783">
              <w:rPr>
                <w:rFonts w:ascii="Calibri" w:hAnsi="Calibri"/>
                <w:sz w:val="24"/>
              </w:rPr>
              <w:t>to</w:t>
            </w:r>
            <w:r w:rsidR="00D75F8C">
              <w:rPr>
                <w:rFonts w:ascii="Calibri" w:hAnsi="Calibri"/>
                <w:sz w:val="24"/>
              </w:rPr>
              <w:t xml:space="preserve"> submit their urine sample,</w:t>
            </w:r>
            <w:r w:rsidRPr="00291783">
              <w:rPr>
                <w:rFonts w:ascii="Calibri" w:hAnsi="Calibri"/>
                <w:sz w:val="24"/>
              </w:rPr>
              <w:t xml:space="preserve"> have a blood sample drawn</w:t>
            </w:r>
            <w:r w:rsidR="00D75F8C">
              <w:rPr>
                <w:rFonts w:ascii="Calibri" w:hAnsi="Calibri"/>
                <w:sz w:val="24"/>
              </w:rPr>
              <w:t>,</w:t>
            </w:r>
            <w:r w:rsidR="0048157E">
              <w:rPr>
                <w:rFonts w:ascii="Calibri" w:hAnsi="Calibri"/>
                <w:sz w:val="24"/>
              </w:rPr>
              <w:t xml:space="preserve"> and complete a questionnaire</w:t>
            </w:r>
            <w:r w:rsidRPr="00291783">
              <w:rPr>
                <w:rFonts w:ascii="Calibri" w:hAnsi="Calibri"/>
                <w:sz w:val="24"/>
              </w:rPr>
              <w:t xml:space="preserve">. </w:t>
            </w:r>
          </w:p>
          <w:p w14:paraId="4F19B586" w14:textId="77777777" w:rsidR="006E344A" w:rsidRDefault="00B22001" w:rsidP="00B50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blood samples will be obtained using </w:t>
            </w:r>
            <w:r w:rsidR="0076482D">
              <w:rPr>
                <w:sz w:val="24"/>
                <w:szCs w:val="24"/>
              </w:rPr>
              <w:t>certified phlebotomists</w:t>
            </w:r>
            <w:r w:rsidR="005202A1">
              <w:rPr>
                <w:sz w:val="24"/>
                <w:szCs w:val="24"/>
              </w:rPr>
              <w:t xml:space="preserve"> at a designated location within the community</w:t>
            </w:r>
            <w:r w:rsidR="006E344A">
              <w:rPr>
                <w:sz w:val="24"/>
                <w:szCs w:val="24"/>
              </w:rPr>
              <w:t>.</w:t>
            </w:r>
          </w:p>
          <w:p w14:paraId="2855ABED" w14:textId="77777777" w:rsidR="00291783" w:rsidRDefault="0076482D" w:rsidP="00B50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ATSDR personnel will pack and ship </w:t>
            </w:r>
            <w:r w:rsidR="006E344A">
              <w:rPr>
                <w:sz w:val="24"/>
                <w:szCs w:val="24"/>
              </w:rPr>
              <w:t>all</w:t>
            </w:r>
            <w:r>
              <w:rPr>
                <w:sz w:val="24"/>
                <w:szCs w:val="24"/>
              </w:rPr>
              <w:t xml:space="preserve"> samples </w:t>
            </w:r>
            <w:r w:rsidR="00D3577B">
              <w:rPr>
                <w:sz w:val="24"/>
                <w:szCs w:val="24"/>
              </w:rPr>
              <w:t xml:space="preserve">overnight </w:t>
            </w:r>
            <w:r>
              <w:rPr>
                <w:sz w:val="24"/>
                <w:szCs w:val="24"/>
              </w:rPr>
              <w:t xml:space="preserve">to the </w:t>
            </w:r>
            <w:r w:rsidR="00D3577B">
              <w:rPr>
                <w:sz w:val="24"/>
                <w:szCs w:val="24"/>
              </w:rPr>
              <w:t>NCEH</w:t>
            </w:r>
            <w:r w:rsidR="006E344A">
              <w:rPr>
                <w:sz w:val="24"/>
                <w:szCs w:val="24"/>
              </w:rPr>
              <w:t xml:space="preserve"> or </w:t>
            </w:r>
            <w:r w:rsidR="005C4998">
              <w:rPr>
                <w:sz w:val="24"/>
                <w:szCs w:val="24"/>
              </w:rPr>
              <w:t>a contract</w:t>
            </w:r>
            <w:r w:rsidR="00D357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laboratory</w:t>
            </w:r>
            <w:r w:rsidR="006C23C0">
              <w:rPr>
                <w:sz w:val="24"/>
                <w:szCs w:val="24"/>
              </w:rPr>
              <w:t xml:space="preserve"> from the </w:t>
            </w:r>
            <w:r w:rsidR="006E344A">
              <w:rPr>
                <w:sz w:val="24"/>
                <w:szCs w:val="24"/>
              </w:rPr>
              <w:t xml:space="preserve">sample </w:t>
            </w:r>
            <w:r w:rsidR="006C23C0">
              <w:rPr>
                <w:sz w:val="24"/>
                <w:szCs w:val="24"/>
              </w:rPr>
              <w:t>collection site</w:t>
            </w:r>
            <w:r>
              <w:rPr>
                <w:sz w:val="24"/>
                <w:szCs w:val="24"/>
              </w:rPr>
              <w:t>.</w:t>
            </w:r>
          </w:p>
          <w:p w14:paraId="79B15931" w14:textId="1E96078A" w:rsidR="00F3090F" w:rsidRPr="00F3090F" w:rsidRDefault="00D75F8C" w:rsidP="00F3090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 xml:space="preserve">Urine samples will be collected by each participant at their home. </w:t>
            </w:r>
            <w:r w:rsidR="00F3090F">
              <w:rPr>
                <w:rFonts w:ascii="Calibri" w:hAnsi="Calibri"/>
                <w:sz w:val="24"/>
              </w:rPr>
              <w:t>Participants will</w:t>
            </w:r>
            <w:r w:rsidR="00F3090F" w:rsidRPr="004677FD">
              <w:rPr>
                <w:rFonts w:ascii="Calibri" w:hAnsi="Calibri"/>
                <w:sz w:val="24"/>
              </w:rPr>
              <w:t xml:space="preserve"> be instructed to collect a </w:t>
            </w:r>
            <w:r w:rsidR="00F3090F">
              <w:rPr>
                <w:rFonts w:ascii="Calibri" w:hAnsi="Calibri"/>
                <w:sz w:val="24"/>
              </w:rPr>
              <w:t xml:space="preserve">complete </w:t>
            </w:r>
            <w:r w:rsidR="00F3090F" w:rsidRPr="004677FD">
              <w:rPr>
                <w:rFonts w:ascii="Calibri" w:hAnsi="Calibri"/>
                <w:sz w:val="24"/>
              </w:rPr>
              <w:t>first-morning void</w:t>
            </w:r>
            <w:r w:rsidR="00F3090F">
              <w:rPr>
                <w:rFonts w:ascii="Calibri" w:hAnsi="Calibri"/>
                <w:sz w:val="24"/>
              </w:rPr>
              <w:t xml:space="preserve"> in a provided urine collection container on the morning of their scheduled blood testing appointment</w:t>
            </w:r>
            <w:r w:rsidR="00F3090F" w:rsidRPr="004677FD">
              <w:rPr>
                <w:rFonts w:ascii="Calibri" w:hAnsi="Calibri"/>
                <w:sz w:val="24"/>
              </w:rPr>
              <w:t xml:space="preserve">. The participant </w:t>
            </w:r>
            <w:r w:rsidR="00F3090F">
              <w:rPr>
                <w:rFonts w:ascii="Calibri" w:hAnsi="Calibri"/>
                <w:sz w:val="24"/>
              </w:rPr>
              <w:t>will be asked to</w:t>
            </w:r>
            <w:r w:rsidR="00F3090F" w:rsidRPr="004677FD">
              <w:rPr>
                <w:rFonts w:ascii="Calibri" w:hAnsi="Calibri"/>
                <w:sz w:val="24"/>
              </w:rPr>
              <w:t xml:space="preserve"> note the time of collection </w:t>
            </w:r>
            <w:r w:rsidR="00F3090F">
              <w:rPr>
                <w:rFonts w:ascii="Calibri" w:hAnsi="Calibri"/>
                <w:sz w:val="24"/>
              </w:rPr>
              <w:t>and the time of their last urinary void prior to the collected urinary void</w:t>
            </w:r>
            <w:r w:rsidR="00F3090F" w:rsidRPr="004677FD">
              <w:rPr>
                <w:rFonts w:ascii="Calibri" w:hAnsi="Calibri"/>
                <w:sz w:val="24"/>
              </w:rPr>
              <w:t xml:space="preserve"> on the urine </w:t>
            </w:r>
            <w:r w:rsidR="00F3090F">
              <w:rPr>
                <w:rFonts w:ascii="Calibri" w:hAnsi="Calibri"/>
                <w:sz w:val="24"/>
              </w:rPr>
              <w:t>collection log sheet</w:t>
            </w:r>
            <w:r w:rsidR="00F3090F" w:rsidRPr="004677FD">
              <w:rPr>
                <w:rFonts w:ascii="Calibri" w:hAnsi="Calibri"/>
                <w:sz w:val="24"/>
              </w:rPr>
              <w:t xml:space="preserve">. The urine </w:t>
            </w:r>
            <w:r w:rsidR="00F3090F">
              <w:rPr>
                <w:rFonts w:ascii="Calibri" w:hAnsi="Calibri"/>
                <w:sz w:val="24"/>
              </w:rPr>
              <w:t>container</w:t>
            </w:r>
            <w:r w:rsidR="00F3090F" w:rsidRPr="004677FD">
              <w:rPr>
                <w:rFonts w:ascii="Calibri" w:hAnsi="Calibri"/>
                <w:sz w:val="24"/>
              </w:rPr>
              <w:t xml:space="preserve"> should be capped, sealed in a plastic bag, and placed in a refrigerator</w:t>
            </w:r>
            <w:r w:rsidR="00F3090F">
              <w:rPr>
                <w:rFonts w:ascii="Calibri" w:hAnsi="Calibri"/>
                <w:sz w:val="24"/>
              </w:rPr>
              <w:t xml:space="preserve"> or cooler</w:t>
            </w:r>
            <w:r w:rsidR="00F3090F" w:rsidRPr="004677FD">
              <w:rPr>
                <w:rFonts w:ascii="Calibri" w:hAnsi="Calibri"/>
                <w:sz w:val="24"/>
              </w:rPr>
              <w:t xml:space="preserve"> until collected by ATSDR</w:t>
            </w:r>
            <w:r>
              <w:rPr>
                <w:rFonts w:ascii="Calibri" w:hAnsi="Calibri"/>
                <w:sz w:val="24"/>
              </w:rPr>
              <w:t xml:space="preserve"> at the blood collection appointment</w:t>
            </w:r>
            <w:r w:rsidR="00F3090F" w:rsidRPr="004677FD">
              <w:rPr>
                <w:rFonts w:ascii="Calibri" w:hAnsi="Calibri"/>
                <w:sz w:val="24"/>
              </w:rPr>
              <w:t>.</w:t>
            </w:r>
          </w:p>
          <w:p w14:paraId="23B7B28D" w14:textId="77777777" w:rsidR="00291783" w:rsidRPr="006E344A" w:rsidRDefault="00291783" w:rsidP="00B50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81C42">
              <w:rPr>
                <w:rFonts w:ascii="Calibri" w:hAnsi="Calibri"/>
                <w:sz w:val="24"/>
              </w:rPr>
              <w:t xml:space="preserve">Each participant will be asked to complete a </w:t>
            </w:r>
            <w:r w:rsidR="0026252A">
              <w:rPr>
                <w:rFonts w:ascii="Calibri" w:hAnsi="Calibri"/>
                <w:sz w:val="24"/>
              </w:rPr>
              <w:t>questionnaire</w:t>
            </w:r>
            <w:r w:rsidRPr="00181C42">
              <w:rPr>
                <w:rFonts w:ascii="Calibri" w:hAnsi="Calibri"/>
                <w:sz w:val="24"/>
              </w:rPr>
              <w:t xml:space="preserve"> (Attachment</w:t>
            </w:r>
            <w:r>
              <w:rPr>
                <w:rFonts w:ascii="Calibri" w:hAnsi="Calibri"/>
                <w:sz w:val="24"/>
              </w:rPr>
              <w:t xml:space="preserve"> 4</w:t>
            </w:r>
            <w:r w:rsidRPr="00181C42">
              <w:rPr>
                <w:rFonts w:ascii="Calibri" w:hAnsi="Calibri"/>
                <w:sz w:val="24"/>
              </w:rPr>
              <w:t>) to gather information on risk factors for exposure to PFCs through food pathways, contact with contaminated soil, or local well water use</w:t>
            </w:r>
            <w:r w:rsidRPr="00181C42">
              <w:rPr>
                <w:rFonts w:ascii="Calibri" w:hAnsi="Calibri"/>
                <w:color w:val="0000FF"/>
                <w:sz w:val="24"/>
              </w:rPr>
              <w:t>.</w:t>
            </w:r>
            <w:r w:rsidRPr="00181C42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Each participant will have their height, weight, and body fat percentage measured and recorded by an ATSDR staff person.</w:t>
            </w:r>
          </w:p>
          <w:p w14:paraId="5949878A" w14:textId="77777777" w:rsidR="00291783" w:rsidRDefault="00291783" w:rsidP="00291783">
            <w:pPr>
              <w:ind w:left="360"/>
              <w:rPr>
                <w:sz w:val="24"/>
                <w:szCs w:val="24"/>
                <w:u w:val="single"/>
              </w:rPr>
            </w:pPr>
          </w:p>
          <w:p w14:paraId="74E19B70" w14:textId="77777777" w:rsidR="006C2E1C" w:rsidRPr="00291783" w:rsidRDefault="006C2E1C" w:rsidP="00291783">
            <w:pPr>
              <w:ind w:left="360"/>
              <w:rPr>
                <w:sz w:val="24"/>
                <w:szCs w:val="24"/>
              </w:rPr>
            </w:pPr>
            <w:r w:rsidRPr="00291783">
              <w:rPr>
                <w:sz w:val="24"/>
                <w:szCs w:val="24"/>
                <w:u w:val="single"/>
              </w:rPr>
              <w:t>Analysis:</w:t>
            </w:r>
          </w:p>
          <w:p w14:paraId="0E14FD85" w14:textId="77777777" w:rsidR="006C2E1C" w:rsidRDefault="006C2E1C" w:rsidP="00B50EEF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blood samples will be </w:t>
            </w:r>
            <w:r w:rsidR="00BA09ED">
              <w:rPr>
                <w:sz w:val="24"/>
                <w:szCs w:val="24"/>
              </w:rPr>
              <w:t>analy</w:t>
            </w:r>
            <w:r w:rsidR="00E36E2D">
              <w:rPr>
                <w:sz w:val="24"/>
                <w:szCs w:val="24"/>
              </w:rPr>
              <w:t>z</w:t>
            </w:r>
            <w:r w:rsidR="00BA09ED">
              <w:rPr>
                <w:sz w:val="24"/>
                <w:szCs w:val="24"/>
              </w:rPr>
              <w:t xml:space="preserve">ed </w:t>
            </w:r>
            <w:r>
              <w:rPr>
                <w:sz w:val="24"/>
                <w:szCs w:val="24"/>
              </w:rPr>
              <w:t xml:space="preserve">by the NCEH laboratory </w:t>
            </w:r>
            <w:r w:rsidR="00AC47D1">
              <w:rPr>
                <w:sz w:val="24"/>
                <w:szCs w:val="24"/>
              </w:rPr>
              <w:t>using state-of-art laboratory methods</w:t>
            </w:r>
          </w:p>
          <w:p w14:paraId="564E8519" w14:textId="02F83BE9" w:rsidR="000A421C" w:rsidRDefault="00AC47D1" w:rsidP="000A421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6E344A">
              <w:rPr>
                <w:sz w:val="24"/>
                <w:szCs w:val="24"/>
              </w:rPr>
              <w:t xml:space="preserve">urine samples will be analyzed by </w:t>
            </w:r>
            <w:r w:rsidR="00172B79">
              <w:t>AXYS Analytical Services Ltd (AXYS)</w:t>
            </w:r>
            <w:r w:rsidR="00172B79" w:rsidDel="00172B79">
              <w:rPr>
                <w:sz w:val="24"/>
                <w:szCs w:val="24"/>
              </w:rPr>
              <w:t xml:space="preserve"> </w:t>
            </w:r>
            <w:r w:rsidR="006E344A">
              <w:rPr>
                <w:sz w:val="24"/>
                <w:szCs w:val="24"/>
              </w:rPr>
              <w:t xml:space="preserve">using highly sensitive laboratory methods. </w:t>
            </w:r>
          </w:p>
          <w:p w14:paraId="1D54E940" w14:textId="78EAA113" w:rsidR="000A421C" w:rsidRPr="000A421C" w:rsidRDefault="000A421C" w:rsidP="000A421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A421C">
              <w:rPr>
                <w:sz w:val="24"/>
              </w:rPr>
              <w:t>Given that PFCs are beginning to generate increased interest across the United States, de-identified data</w:t>
            </w:r>
            <w:r w:rsidR="00F3090F">
              <w:rPr>
                <w:sz w:val="24"/>
              </w:rPr>
              <w:t xml:space="preserve"> and samples</w:t>
            </w:r>
            <w:r w:rsidRPr="000A421C">
              <w:rPr>
                <w:sz w:val="24"/>
              </w:rPr>
              <w:t xml:space="preserve"> from this investigation will be retained for potential additional </w:t>
            </w:r>
            <w:r w:rsidRPr="000A421C">
              <w:rPr>
                <w:sz w:val="24"/>
              </w:rPr>
              <w:lastRenderedPageBreak/>
              <w:t xml:space="preserve">analysis in the future. </w:t>
            </w:r>
            <w:r w:rsidR="00172B79">
              <w:rPr>
                <w:sz w:val="24"/>
              </w:rPr>
              <w:t xml:space="preserve">Consent and assent forms for sample and data retention are provided in attachment 3. </w:t>
            </w:r>
          </w:p>
          <w:p w14:paraId="5D84F592" w14:textId="77777777" w:rsidR="006C2E1C" w:rsidRPr="00977D5F" w:rsidRDefault="006C2E1C" w:rsidP="00B50EEF">
            <w:pPr>
              <w:rPr>
                <w:sz w:val="24"/>
                <w:szCs w:val="24"/>
              </w:rPr>
            </w:pPr>
          </w:p>
        </w:tc>
      </w:tr>
      <w:tr w:rsidR="00977D5F" w14:paraId="3F917A7B" w14:textId="77777777" w:rsidTr="00B50EEF">
        <w:tc>
          <w:tcPr>
            <w:tcW w:w="3168" w:type="dxa"/>
            <w:vAlign w:val="center"/>
          </w:tcPr>
          <w:p w14:paraId="7F6B5B62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Information Collection Mode (in-person or remote):</w:t>
            </w:r>
          </w:p>
        </w:tc>
        <w:tc>
          <w:tcPr>
            <w:tcW w:w="7128" w:type="dxa"/>
            <w:vAlign w:val="center"/>
          </w:tcPr>
          <w:p w14:paraId="549DAA0C" w14:textId="77777777" w:rsidR="00977D5F" w:rsidRPr="00977D5F" w:rsidRDefault="00446811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In-person</w:t>
            </w:r>
          </w:p>
        </w:tc>
      </w:tr>
      <w:tr w:rsidR="00977D5F" w14:paraId="18318E13" w14:textId="77777777" w:rsidTr="00B50EEF">
        <w:tc>
          <w:tcPr>
            <w:tcW w:w="3168" w:type="dxa"/>
            <w:vAlign w:val="center"/>
          </w:tcPr>
          <w:p w14:paraId="4B149EA5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Plans for Payment to Participant (if applicable):</w:t>
            </w:r>
          </w:p>
        </w:tc>
        <w:tc>
          <w:tcPr>
            <w:tcW w:w="7128" w:type="dxa"/>
            <w:vAlign w:val="center"/>
          </w:tcPr>
          <w:p w14:paraId="7116F13C" w14:textId="77777777" w:rsidR="00977D5F" w:rsidRPr="00977D5F" w:rsidRDefault="00446811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</w:t>
            </w:r>
          </w:p>
        </w:tc>
      </w:tr>
      <w:tr w:rsidR="00977D5F" w14:paraId="1BF5CAEB" w14:textId="77777777" w:rsidTr="00B50EEF">
        <w:tc>
          <w:tcPr>
            <w:tcW w:w="3168" w:type="dxa"/>
            <w:vAlign w:val="center"/>
          </w:tcPr>
          <w:p w14:paraId="40242B5F" w14:textId="77777777" w:rsidR="00977D5F" w:rsidRDefault="00DD64AD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Privacy</w:t>
            </w:r>
            <w:r w:rsidR="00977D5F">
              <w:rPr>
                <w:b/>
                <w:sz w:val="24"/>
                <w:szCs w:val="24"/>
              </w:rPr>
              <w:t xml:space="preserve"> Protections:</w:t>
            </w:r>
          </w:p>
        </w:tc>
        <w:tc>
          <w:tcPr>
            <w:tcW w:w="7128" w:type="dxa"/>
            <w:vAlign w:val="center"/>
          </w:tcPr>
          <w:p w14:paraId="46A0A564" w14:textId="77777777" w:rsidR="00977D5F" w:rsidRPr="00977D5F" w:rsidRDefault="00DD64AD" w:rsidP="005A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</w:t>
            </w:r>
            <w:r w:rsidR="00446811">
              <w:rPr>
                <w:sz w:val="24"/>
                <w:szCs w:val="24"/>
              </w:rPr>
              <w:t xml:space="preserve"> will be protected to the fullest extent of the law.  </w:t>
            </w:r>
            <w:r w:rsidR="00797694" w:rsidRPr="000F454D">
              <w:rPr>
                <w:sz w:val="24"/>
                <w:szCs w:val="24"/>
              </w:rPr>
              <w:t xml:space="preserve">The consent forms contain information about </w:t>
            </w:r>
            <w:r>
              <w:rPr>
                <w:sz w:val="24"/>
                <w:szCs w:val="24"/>
              </w:rPr>
              <w:t>privacy</w:t>
            </w:r>
            <w:r w:rsidR="00797694" w:rsidRPr="000F454D">
              <w:rPr>
                <w:sz w:val="24"/>
                <w:szCs w:val="24"/>
              </w:rPr>
              <w:t xml:space="preserve"> expectations.</w:t>
            </w:r>
          </w:p>
        </w:tc>
      </w:tr>
      <w:tr w:rsidR="00977D5F" w14:paraId="36EC6194" w14:textId="77777777" w:rsidTr="00B50EEF">
        <w:tc>
          <w:tcPr>
            <w:tcW w:w="3168" w:type="dxa"/>
            <w:vAlign w:val="center"/>
          </w:tcPr>
          <w:p w14:paraId="3F7647D4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Ethical Concerns/Issues:</w:t>
            </w:r>
          </w:p>
        </w:tc>
        <w:tc>
          <w:tcPr>
            <w:tcW w:w="7128" w:type="dxa"/>
          </w:tcPr>
          <w:p w14:paraId="37AE5B2B" w14:textId="77777777" w:rsidR="00977D5F" w:rsidRPr="00977D5F" w:rsidRDefault="00C2426C" w:rsidP="006C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will be drawn from children</w:t>
            </w:r>
            <w:r w:rsidR="0026252A">
              <w:rPr>
                <w:sz w:val="24"/>
                <w:szCs w:val="24"/>
              </w:rPr>
              <w:t xml:space="preserve"> (older than 12 years)</w:t>
            </w:r>
            <w:r>
              <w:rPr>
                <w:sz w:val="24"/>
                <w:szCs w:val="24"/>
              </w:rPr>
              <w:t xml:space="preserve"> </w:t>
            </w:r>
            <w:r w:rsidR="006C23C0">
              <w:rPr>
                <w:sz w:val="24"/>
                <w:szCs w:val="24"/>
              </w:rPr>
              <w:t>and adults, which may</w:t>
            </w:r>
            <w:r>
              <w:rPr>
                <w:sz w:val="24"/>
                <w:szCs w:val="24"/>
              </w:rPr>
              <w:t xml:space="preserve"> cause some fear </w:t>
            </w:r>
            <w:r w:rsidR="006C23C0">
              <w:rPr>
                <w:sz w:val="24"/>
                <w:szCs w:val="24"/>
              </w:rPr>
              <w:t xml:space="preserve">and discomfort </w:t>
            </w:r>
            <w:r w:rsidR="00245FE8">
              <w:rPr>
                <w:sz w:val="24"/>
                <w:szCs w:val="24"/>
              </w:rPr>
              <w:t xml:space="preserve">for </w:t>
            </w:r>
            <w:r w:rsidR="006C23C0">
              <w:rPr>
                <w:sz w:val="24"/>
                <w:szCs w:val="24"/>
              </w:rPr>
              <w:t>the participants</w:t>
            </w:r>
            <w:r>
              <w:rPr>
                <w:sz w:val="24"/>
                <w:szCs w:val="24"/>
              </w:rPr>
              <w:t>.</w:t>
            </w:r>
          </w:p>
        </w:tc>
      </w:tr>
      <w:tr w:rsidR="00977D5F" w14:paraId="46690C71" w14:textId="77777777" w:rsidTr="00B50EEF">
        <w:tc>
          <w:tcPr>
            <w:tcW w:w="3168" w:type="dxa"/>
            <w:vAlign w:val="center"/>
          </w:tcPr>
          <w:p w14:paraId="25684641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Projected Time Frame:</w:t>
            </w:r>
          </w:p>
        </w:tc>
        <w:tc>
          <w:tcPr>
            <w:tcW w:w="7128" w:type="dxa"/>
          </w:tcPr>
          <w:p w14:paraId="2C5BFD23" w14:textId="4C16F52B" w:rsidR="00977D5F" w:rsidRDefault="005202A1" w:rsidP="005344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3447F">
              <w:rPr>
                <w:sz w:val="24"/>
                <w:szCs w:val="24"/>
              </w:rPr>
              <w:t xml:space="preserve">The EI will be conducted over a </w:t>
            </w:r>
            <w:r w:rsidR="0053447F" w:rsidRPr="0053447F">
              <w:rPr>
                <w:sz w:val="24"/>
                <w:szCs w:val="24"/>
              </w:rPr>
              <w:t xml:space="preserve">period of </w:t>
            </w:r>
            <w:r w:rsidR="00E36E2D">
              <w:rPr>
                <w:sz w:val="24"/>
                <w:szCs w:val="24"/>
              </w:rPr>
              <w:t>5</w:t>
            </w:r>
            <w:r w:rsidR="00E36E2D" w:rsidRPr="0053447F">
              <w:rPr>
                <w:sz w:val="24"/>
                <w:szCs w:val="24"/>
              </w:rPr>
              <w:t xml:space="preserve"> </w:t>
            </w:r>
            <w:r w:rsidR="0053447F" w:rsidRPr="0053447F">
              <w:rPr>
                <w:sz w:val="24"/>
                <w:szCs w:val="24"/>
              </w:rPr>
              <w:t>days (</w:t>
            </w:r>
            <w:r w:rsidR="00C439AF">
              <w:rPr>
                <w:sz w:val="24"/>
                <w:szCs w:val="24"/>
              </w:rPr>
              <w:t xml:space="preserve">Monday </w:t>
            </w:r>
            <w:r w:rsidR="0053447F" w:rsidRPr="0053447F">
              <w:rPr>
                <w:sz w:val="24"/>
                <w:szCs w:val="24"/>
              </w:rPr>
              <w:t xml:space="preserve">through </w:t>
            </w:r>
            <w:r w:rsidR="00C439AF">
              <w:rPr>
                <w:sz w:val="24"/>
                <w:szCs w:val="24"/>
              </w:rPr>
              <w:t>Friday</w:t>
            </w:r>
            <w:r w:rsidR="0053447F" w:rsidRPr="0053447F">
              <w:rPr>
                <w:sz w:val="24"/>
                <w:szCs w:val="24"/>
              </w:rPr>
              <w:t xml:space="preserve">).  Each </w:t>
            </w:r>
            <w:r w:rsidR="0048157E">
              <w:rPr>
                <w:sz w:val="24"/>
                <w:szCs w:val="24"/>
              </w:rPr>
              <w:t>appointment</w:t>
            </w:r>
            <w:r w:rsidR="0053447F" w:rsidRPr="0053447F">
              <w:rPr>
                <w:sz w:val="24"/>
                <w:szCs w:val="24"/>
              </w:rPr>
              <w:t xml:space="preserve"> will </w:t>
            </w:r>
            <w:r w:rsidR="0053447F">
              <w:rPr>
                <w:sz w:val="24"/>
                <w:szCs w:val="24"/>
              </w:rPr>
              <w:t xml:space="preserve">take approximately </w:t>
            </w:r>
            <w:r w:rsidR="0048157E">
              <w:rPr>
                <w:sz w:val="24"/>
                <w:szCs w:val="24"/>
              </w:rPr>
              <w:t>15</w:t>
            </w:r>
            <w:r w:rsidR="00E36E2D">
              <w:rPr>
                <w:sz w:val="24"/>
                <w:szCs w:val="24"/>
              </w:rPr>
              <w:t xml:space="preserve"> </w:t>
            </w:r>
            <w:r w:rsidR="0053447F">
              <w:rPr>
                <w:sz w:val="24"/>
                <w:szCs w:val="24"/>
              </w:rPr>
              <w:t>minutes per participant</w:t>
            </w:r>
            <w:r w:rsidR="0048157E">
              <w:rPr>
                <w:sz w:val="24"/>
                <w:szCs w:val="24"/>
              </w:rPr>
              <w:t xml:space="preserve">, </w:t>
            </w:r>
            <w:r w:rsidR="00D75F8C">
              <w:rPr>
                <w:sz w:val="24"/>
                <w:szCs w:val="24"/>
              </w:rPr>
              <w:t xml:space="preserve">and urine collection is expected to take no more than 5 minutes, </w:t>
            </w:r>
            <w:r w:rsidR="0048157E">
              <w:rPr>
                <w:sz w:val="24"/>
                <w:szCs w:val="24"/>
              </w:rPr>
              <w:t>for a total of 3</w:t>
            </w:r>
            <w:r w:rsidR="00D75F8C">
              <w:rPr>
                <w:sz w:val="24"/>
                <w:szCs w:val="24"/>
              </w:rPr>
              <w:t>5</w:t>
            </w:r>
            <w:r w:rsidR="0048157E">
              <w:rPr>
                <w:sz w:val="24"/>
                <w:szCs w:val="24"/>
              </w:rPr>
              <w:t xml:space="preserve"> minutes per participant</w:t>
            </w:r>
            <w:r w:rsidR="0053447F">
              <w:rPr>
                <w:sz w:val="24"/>
                <w:szCs w:val="24"/>
              </w:rPr>
              <w:t>.</w:t>
            </w:r>
          </w:p>
          <w:p w14:paraId="600AF32A" w14:textId="77777777" w:rsidR="0053447F" w:rsidRDefault="0053447F" w:rsidP="005344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participants will be provided results of the blood and urine sampling within</w:t>
            </w:r>
            <w:r w:rsidR="000A421C">
              <w:rPr>
                <w:sz w:val="24"/>
                <w:szCs w:val="24"/>
              </w:rPr>
              <w:t xml:space="preserve"> 6 months to one year</w:t>
            </w:r>
            <w:r>
              <w:rPr>
                <w:sz w:val="24"/>
                <w:szCs w:val="24"/>
              </w:rPr>
              <w:t xml:space="preserve"> </w:t>
            </w:r>
            <w:r w:rsidR="00245FE8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collection.</w:t>
            </w:r>
          </w:p>
          <w:p w14:paraId="1F1F8F17" w14:textId="77777777" w:rsidR="00245FE8" w:rsidRDefault="00245FE8" w:rsidP="005344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concentrations in blood and/or urine are found at levels of health concern, participants will be contacted sooner.</w:t>
            </w:r>
          </w:p>
          <w:p w14:paraId="18C1305D" w14:textId="77777777" w:rsidR="0053447F" w:rsidRPr="0053447F" w:rsidRDefault="0053447F" w:rsidP="000F454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EI </w:t>
            </w:r>
            <w:r w:rsidR="00D41F21">
              <w:rPr>
                <w:sz w:val="24"/>
                <w:szCs w:val="24"/>
              </w:rPr>
              <w:t xml:space="preserve">report </w:t>
            </w:r>
            <w:r>
              <w:rPr>
                <w:sz w:val="24"/>
                <w:szCs w:val="24"/>
              </w:rPr>
              <w:t>will be prepared</w:t>
            </w:r>
            <w:r w:rsidR="00E36E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cleared</w:t>
            </w:r>
            <w:r w:rsidR="00956EF2">
              <w:rPr>
                <w:sz w:val="24"/>
                <w:szCs w:val="24"/>
              </w:rPr>
              <w:t>, and released</w:t>
            </w:r>
            <w:r>
              <w:rPr>
                <w:sz w:val="24"/>
                <w:szCs w:val="24"/>
              </w:rPr>
              <w:t xml:space="preserve"> as soon as possible.</w:t>
            </w:r>
          </w:p>
        </w:tc>
      </w:tr>
      <w:tr w:rsidR="00977D5F" w14:paraId="112B0BBC" w14:textId="77777777" w:rsidTr="00B50EEF">
        <w:tc>
          <w:tcPr>
            <w:tcW w:w="3168" w:type="dxa"/>
            <w:vAlign w:val="center"/>
          </w:tcPr>
          <w:p w14:paraId="470F2EC8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Plans for Publication and Dissemination of Results:</w:t>
            </w:r>
          </w:p>
        </w:tc>
        <w:tc>
          <w:tcPr>
            <w:tcW w:w="7128" w:type="dxa"/>
          </w:tcPr>
          <w:p w14:paraId="2C827F6E" w14:textId="77777777" w:rsidR="000F454D" w:rsidRDefault="00C2426C" w:rsidP="00245FE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2426C">
              <w:rPr>
                <w:sz w:val="24"/>
                <w:szCs w:val="24"/>
              </w:rPr>
              <w:t xml:space="preserve">Blood lead and urine results will be provided to participants within </w:t>
            </w:r>
            <w:r w:rsidR="000A421C">
              <w:rPr>
                <w:sz w:val="24"/>
                <w:szCs w:val="24"/>
              </w:rPr>
              <w:t>6 months to one year</w:t>
            </w:r>
            <w:r w:rsidRPr="00C2426C">
              <w:rPr>
                <w:sz w:val="24"/>
                <w:szCs w:val="24"/>
              </w:rPr>
              <w:t xml:space="preserve"> of </w:t>
            </w:r>
            <w:r w:rsidR="007B07B7">
              <w:rPr>
                <w:sz w:val="24"/>
                <w:szCs w:val="24"/>
              </w:rPr>
              <w:t>specimen collection</w:t>
            </w:r>
            <w:r w:rsidRPr="00C2426C">
              <w:rPr>
                <w:sz w:val="24"/>
                <w:szCs w:val="24"/>
              </w:rPr>
              <w:t>.</w:t>
            </w:r>
          </w:p>
          <w:p w14:paraId="255F7175" w14:textId="77777777" w:rsidR="00245FE8" w:rsidRPr="00245FE8" w:rsidRDefault="00245FE8" w:rsidP="00245FE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concentrations in blood and/or urine are found at levels of health concern, participants will be contacted sooner.</w:t>
            </w:r>
          </w:p>
          <w:p w14:paraId="59906ED1" w14:textId="77777777" w:rsidR="00C439AF" w:rsidRDefault="0053447F" w:rsidP="00C439A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C2426C">
              <w:rPr>
                <w:sz w:val="24"/>
                <w:szCs w:val="24"/>
              </w:rPr>
              <w:t xml:space="preserve"> EI report will be prepared</w:t>
            </w:r>
            <w:r w:rsidR="00245FE8">
              <w:rPr>
                <w:sz w:val="24"/>
                <w:szCs w:val="24"/>
              </w:rPr>
              <w:t>,</w:t>
            </w:r>
            <w:r w:rsidR="00C2426C">
              <w:rPr>
                <w:sz w:val="24"/>
                <w:szCs w:val="24"/>
              </w:rPr>
              <w:t xml:space="preserve"> </w:t>
            </w:r>
            <w:r w:rsidR="001A5953">
              <w:rPr>
                <w:sz w:val="24"/>
                <w:szCs w:val="24"/>
              </w:rPr>
              <w:t>cleared</w:t>
            </w:r>
            <w:r w:rsidR="00245FE8">
              <w:rPr>
                <w:sz w:val="24"/>
                <w:szCs w:val="24"/>
              </w:rPr>
              <w:t xml:space="preserve"> and released</w:t>
            </w:r>
            <w:r w:rsidR="001A5953">
              <w:rPr>
                <w:sz w:val="24"/>
                <w:szCs w:val="24"/>
              </w:rPr>
              <w:t xml:space="preserve"> as soon as possible.</w:t>
            </w:r>
          </w:p>
          <w:p w14:paraId="14F8358C" w14:textId="77777777" w:rsidR="00C439AF" w:rsidRPr="00C2426C" w:rsidRDefault="0042677F" w:rsidP="0042677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</w:t>
            </w:r>
            <w:r w:rsidR="00C439AF">
              <w:rPr>
                <w:sz w:val="24"/>
                <w:szCs w:val="24"/>
              </w:rPr>
              <w:t xml:space="preserve"> findings from the </w:t>
            </w:r>
            <w:r>
              <w:rPr>
                <w:sz w:val="24"/>
                <w:szCs w:val="24"/>
              </w:rPr>
              <w:t>investigation</w:t>
            </w:r>
            <w:r w:rsidR="000A421C">
              <w:rPr>
                <w:sz w:val="24"/>
                <w:szCs w:val="24"/>
              </w:rPr>
              <w:t xml:space="preserve"> </w:t>
            </w:r>
            <w:r w:rsidR="00C439AF">
              <w:rPr>
                <w:sz w:val="24"/>
                <w:szCs w:val="24"/>
              </w:rPr>
              <w:t xml:space="preserve">will be submitted for publication in the peer-reviewed scientific literature. </w:t>
            </w:r>
            <w:r w:rsidR="00C439AF" w:rsidRPr="00C2426C">
              <w:rPr>
                <w:sz w:val="24"/>
                <w:szCs w:val="24"/>
              </w:rPr>
              <w:t xml:space="preserve"> </w:t>
            </w:r>
          </w:p>
        </w:tc>
      </w:tr>
      <w:tr w:rsidR="00977D5F" w14:paraId="64DBD520" w14:textId="77777777" w:rsidTr="00B50EEF">
        <w:tc>
          <w:tcPr>
            <w:tcW w:w="3168" w:type="dxa"/>
            <w:vAlign w:val="center"/>
          </w:tcPr>
          <w:p w14:paraId="3B6DF6E6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Burden Hours Requested:</w:t>
            </w:r>
          </w:p>
        </w:tc>
        <w:tc>
          <w:tcPr>
            <w:tcW w:w="7128" w:type="dxa"/>
          </w:tcPr>
          <w:p w14:paraId="04A5B9F6" w14:textId="139B2912" w:rsidR="00977D5F" w:rsidRPr="00977D5F" w:rsidRDefault="00D75F8C" w:rsidP="00045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 </w:t>
            </w:r>
            <w:r w:rsidR="0053447F">
              <w:rPr>
                <w:sz w:val="24"/>
                <w:szCs w:val="24"/>
              </w:rPr>
              <w:t>hours (</w:t>
            </w:r>
            <w:r w:rsidR="00C27B13">
              <w:rPr>
                <w:sz w:val="24"/>
                <w:szCs w:val="24"/>
              </w:rPr>
              <w:t>155</w:t>
            </w:r>
            <w:r w:rsidR="0053447F">
              <w:rPr>
                <w:sz w:val="24"/>
                <w:szCs w:val="24"/>
              </w:rPr>
              <w:t xml:space="preserve"> participants x </w:t>
            </w:r>
            <w:r w:rsidR="004815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="0053447F">
              <w:rPr>
                <w:sz w:val="24"/>
                <w:szCs w:val="24"/>
              </w:rPr>
              <w:t xml:space="preserve"> minutes per participant)</w:t>
            </w:r>
          </w:p>
        </w:tc>
      </w:tr>
    </w:tbl>
    <w:p w14:paraId="608C26C2" w14:textId="77777777" w:rsidR="00977D5F" w:rsidRPr="008C1299" w:rsidRDefault="00977D5F">
      <w:pPr>
        <w:rPr>
          <w:b/>
          <w:sz w:val="24"/>
          <w:szCs w:val="24"/>
        </w:rPr>
      </w:pPr>
    </w:p>
    <w:p w14:paraId="7BB7BD29" w14:textId="77777777" w:rsidR="008C26C6" w:rsidRPr="009F7507" w:rsidRDefault="008C26C6" w:rsidP="009F7507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ATTACHMENTS</w:t>
      </w:r>
    </w:p>
    <w:p w14:paraId="52E0C22F" w14:textId="77777777" w:rsidR="003266CE" w:rsidRDefault="003266CE" w:rsidP="002268E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Supporting Statement A</w:t>
      </w:r>
    </w:p>
    <w:p w14:paraId="13865B52" w14:textId="77777777" w:rsidR="003266CE" w:rsidRDefault="003266CE" w:rsidP="002268E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Supporting Statement B</w:t>
      </w:r>
    </w:p>
    <w:p w14:paraId="246A0EE4" w14:textId="77777777" w:rsidR="00B348E2" w:rsidRDefault="00F3090F" w:rsidP="002268E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Decatur</w:t>
      </w:r>
      <w:r w:rsidR="004D64A2">
        <w:rPr>
          <w:b/>
          <w:sz w:val="24"/>
          <w:szCs w:val="24"/>
        </w:rPr>
        <w:t xml:space="preserve"> EI </w:t>
      </w:r>
      <w:r w:rsidR="00B348E2">
        <w:rPr>
          <w:b/>
          <w:sz w:val="24"/>
          <w:szCs w:val="24"/>
        </w:rPr>
        <w:t>Assent/Consent/Parental Permission Forms</w:t>
      </w:r>
    </w:p>
    <w:p w14:paraId="13C9F9DA" w14:textId="77777777" w:rsidR="00F3090F" w:rsidRDefault="00F3090F" w:rsidP="00F3090F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F3090F">
        <w:rPr>
          <w:b/>
          <w:sz w:val="24"/>
          <w:szCs w:val="24"/>
        </w:rPr>
        <w:t>Adult Consent Form (≥ 18 years of age)</w:t>
      </w:r>
    </w:p>
    <w:p w14:paraId="4682DC70" w14:textId="77777777" w:rsidR="00077D5C" w:rsidRDefault="00077D5C" w:rsidP="00F3090F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Adult Consent Form for Sample Storage </w:t>
      </w:r>
      <w:r w:rsidRPr="00F3090F">
        <w:rPr>
          <w:b/>
          <w:sz w:val="24"/>
          <w:szCs w:val="24"/>
        </w:rPr>
        <w:t>(≥ 18 years of age)</w:t>
      </w:r>
      <w:r>
        <w:rPr>
          <w:b/>
          <w:sz w:val="24"/>
          <w:szCs w:val="24"/>
        </w:rPr>
        <w:t xml:space="preserve"> </w:t>
      </w:r>
    </w:p>
    <w:p w14:paraId="254F9007" w14:textId="77777777" w:rsidR="00F3090F" w:rsidRDefault="00F3090F" w:rsidP="00F3090F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F3090F">
        <w:rPr>
          <w:b/>
          <w:sz w:val="24"/>
          <w:szCs w:val="24"/>
        </w:rPr>
        <w:t>Assent Form for Children (12 - &lt; 18 Years)</w:t>
      </w:r>
    </w:p>
    <w:p w14:paraId="78552020" w14:textId="77777777" w:rsidR="00077D5C" w:rsidRPr="00077D5C" w:rsidRDefault="00077D5C" w:rsidP="00077D5C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Assent Form for Children for Sample Storage </w:t>
      </w:r>
      <w:r w:rsidRPr="00F3090F">
        <w:rPr>
          <w:b/>
          <w:sz w:val="24"/>
          <w:szCs w:val="24"/>
        </w:rPr>
        <w:t>(12 - &lt; 18 Years)</w:t>
      </w:r>
    </w:p>
    <w:p w14:paraId="74BE65AE" w14:textId="77777777" w:rsidR="00F3090F" w:rsidRDefault="00F3090F" w:rsidP="00F3090F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F3090F">
        <w:rPr>
          <w:b/>
          <w:sz w:val="24"/>
          <w:szCs w:val="24"/>
        </w:rPr>
        <w:t>Parental Permission Form for Children (12 - &lt; 18 Years) Participating in Investigation</w:t>
      </w:r>
    </w:p>
    <w:p w14:paraId="474FC05E" w14:textId="77777777" w:rsidR="00077D5C" w:rsidRPr="00F3090F" w:rsidRDefault="00077D5C" w:rsidP="00F3090F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Parental Permission Form for Sample Storage </w:t>
      </w:r>
      <w:r w:rsidRPr="00F3090F">
        <w:rPr>
          <w:b/>
          <w:sz w:val="24"/>
          <w:szCs w:val="24"/>
        </w:rPr>
        <w:t>for Children (12 - &lt; 18 Years) Participating in Investigation</w:t>
      </w:r>
    </w:p>
    <w:p w14:paraId="5993AF3D" w14:textId="77777777" w:rsidR="00804F11" w:rsidRPr="00BB5A4C" w:rsidRDefault="00F3090F" w:rsidP="00804F1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Decatur</w:t>
      </w:r>
      <w:r w:rsidR="007A07A6">
        <w:rPr>
          <w:b/>
          <w:sz w:val="24"/>
          <w:szCs w:val="24"/>
        </w:rPr>
        <w:t xml:space="preserve"> EI Questionnaire</w:t>
      </w:r>
    </w:p>
    <w:p w14:paraId="11B68FE1" w14:textId="77777777" w:rsidR="004D64A2" w:rsidRDefault="00F3090F" w:rsidP="004D64A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Decatur</w:t>
      </w:r>
      <w:r w:rsidR="009A02AB" w:rsidRPr="004D64A2">
        <w:rPr>
          <w:b/>
          <w:sz w:val="24"/>
          <w:szCs w:val="24"/>
        </w:rPr>
        <w:t xml:space="preserve"> E</w:t>
      </w:r>
      <w:r w:rsidR="00431C36" w:rsidRPr="004D64A2">
        <w:rPr>
          <w:b/>
          <w:sz w:val="24"/>
          <w:szCs w:val="24"/>
        </w:rPr>
        <w:t xml:space="preserve">I </w:t>
      </w:r>
      <w:r w:rsidR="00804F11" w:rsidRPr="004D64A2">
        <w:rPr>
          <w:b/>
          <w:sz w:val="24"/>
          <w:szCs w:val="24"/>
        </w:rPr>
        <w:t>Human Subjects</w:t>
      </w:r>
      <w:r w:rsidR="003F6968" w:rsidRPr="004D64A2">
        <w:rPr>
          <w:b/>
          <w:sz w:val="24"/>
          <w:szCs w:val="24"/>
        </w:rPr>
        <w:t xml:space="preserve"> Research</w:t>
      </w:r>
      <w:r w:rsidR="00804F11" w:rsidRPr="004D64A2">
        <w:rPr>
          <w:b/>
          <w:sz w:val="24"/>
          <w:szCs w:val="24"/>
        </w:rPr>
        <w:t xml:space="preserve"> </w:t>
      </w:r>
      <w:r w:rsidR="009A02AB" w:rsidRPr="004D64A2">
        <w:rPr>
          <w:b/>
          <w:sz w:val="24"/>
          <w:szCs w:val="24"/>
        </w:rPr>
        <w:t xml:space="preserve">Determination Form </w:t>
      </w:r>
    </w:p>
    <w:p w14:paraId="23BA609D" w14:textId="77777777" w:rsidR="00081384" w:rsidRDefault="00F3090F" w:rsidP="005D215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Decatur</w:t>
      </w:r>
      <w:r w:rsidR="003025C4" w:rsidRPr="00081384">
        <w:rPr>
          <w:b/>
          <w:sz w:val="24"/>
          <w:szCs w:val="24"/>
        </w:rPr>
        <w:t xml:space="preserve"> EI </w:t>
      </w:r>
      <w:r w:rsidR="004D64A2" w:rsidRPr="00081384">
        <w:rPr>
          <w:b/>
          <w:sz w:val="24"/>
          <w:szCs w:val="24"/>
        </w:rPr>
        <w:t>S</w:t>
      </w:r>
      <w:r w:rsidR="003025C4" w:rsidRPr="00081384">
        <w:rPr>
          <w:b/>
          <w:sz w:val="24"/>
          <w:szCs w:val="24"/>
        </w:rPr>
        <w:t>ample Results Letters</w:t>
      </w:r>
    </w:p>
    <w:p w14:paraId="40193184" w14:textId="77777777" w:rsidR="005D2153" w:rsidRPr="00081384" w:rsidRDefault="005D2153" w:rsidP="005D215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81384">
        <w:rPr>
          <w:b/>
          <w:sz w:val="24"/>
          <w:szCs w:val="24"/>
        </w:rPr>
        <w:t>Example of Prior Exposure Investigation Final Report</w:t>
      </w:r>
    </w:p>
    <w:p w14:paraId="218D5D90" w14:textId="77777777" w:rsidR="005D2153" w:rsidRDefault="005D2153" w:rsidP="005D2153">
      <w:pPr>
        <w:pStyle w:val="ListParagraph"/>
        <w:rPr>
          <w:b/>
          <w:sz w:val="24"/>
          <w:szCs w:val="24"/>
        </w:rPr>
      </w:pPr>
    </w:p>
    <w:sectPr w:rsidR="005D2153" w:rsidSect="00D809E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554"/>
    <w:multiLevelType w:val="hybridMultilevel"/>
    <w:tmpl w:val="1DF0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FB"/>
    <w:multiLevelType w:val="hybridMultilevel"/>
    <w:tmpl w:val="2FD2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3CB8"/>
    <w:multiLevelType w:val="hybridMultilevel"/>
    <w:tmpl w:val="60CE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2861"/>
    <w:multiLevelType w:val="hybridMultilevel"/>
    <w:tmpl w:val="8C26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57A5"/>
    <w:multiLevelType w:val="hybridMultilevel"/>
    <w:tmpl w:val="36F2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D47E9"/>
    <w:multiLevelType w:val="hybridMultilevel"/>
    <w:tmpl w:val="F9F6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C436F"/>
    <w:multiLevelType w:val="hybridMultilevel"/>
    <w:tmpl w:val="F678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95B21"/>
    <w:multiLevelType w:val="hybridMultilevel"/>
    <w:tmpl w:val="7D5A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7266C"/>
    <w:multiLevelType w:val="hybridMultilevel"/>
    <w:tmpl w:val="81505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02673"/>
    <w:multiLevelType w:val="hybridMultilevel"/>
    <w:tmpl w:val="7116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A7ADF"/>
    <w:multiLevelType w:val="hybridMultilevel"/>
    <w:tmpl w:val="4558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958F5"/>
    <w:multiLevelType w:val="hybridMultilevel"/>
    <w:tmpl w:val="CF22E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9942D5"/>
    <w:multiLevelType w:val="hybridMultilevel"/>
    <w:tmpl w:val="A8288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5694C"/>
    <w:multiLevelType w:val="hybridMultilevel"/>
    <w:tmpl w:val="88CC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3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8"/>
    <w:rsid w:val="000005DE"/>
    <w:rsid w:val="00013065"/>
    <w:rsid w:val="0004565A"/>
    <w:rsid w:val="000457B7"/>
    <w:rsid w:val="000471DC"/>
    <w:rsid w:val="000526FB"/>
    <w:rsid w:val="00066D15"/>
    <w:rsid w:val="0007663C"/>
    <w:rsid w:val="00077D5C"/>
    <w:rsid w:val="00081384"/>
    <w:rsid w:val="00085879"/>
    <w:rsid w:val="000A421C"/>
    <w:rsid w:val="000F454D"/>
    <w:rsid w:val="00105B25"/>
    <w:rsid w:val="0011153A"/>
    <w:rsid w:val="00114DF9"/>
    <w:rsid w:val="00125ED6"/>
    <w:rsid w:val="00134B62"/>
    <w:rsid w:val="00146801"/>
    <w:rsid w:val="001564CF"/>
    <w:rsid w:val="00172B79"/>
    <w:rsid w:val="00174505"/>
    <w:rsid w:val="00180960"/>
    <w:rsid w:val="001A5953"/>
    <w:rsid w:val="001C2596"/>
    <w:rsid w:val="001D505F"/>
    <w:rsid w:val="001E0EF2"/>
    <w:rsid w:val="001E5273"/>
    <w:rsid w:val="001E7826"/>
    <w:rsid w:val="002101B5"/>
    <w:rsid w:val="002268E8"/>
    <w:rsid w:val="00241D1E"/>
    <w:rsid w:val="00244B30"/>
    <w:rsid w:val="00245FE8"/>
    <w:rsid w:val="0026252A"/>
    <w:rsid w:val="00276B88"/>
    <w:rsid w:val="00281057"/>
    <w:rsid w:val="00291783"/>
    <w:rsid w:val="00293CDF"/>
    <w:rsid w:val="002A48EA"/>
    <w:rsid w:val="002A5D89"/>
    <w:rsid w:val="002B1BC4"/>
    <w:rsid w:val="002B7FAF"/>
    <w:rsid w:val="002C1792"/>
    <w:rsid w:val="002C3309"/>
    <w:rsid w:val="002C45BC"/>
    <w:rsid w:val="002C5F6F"/>
    <w:rsid w:val="002D005C"/>
    <w:rsid w:val="002D2DA8"/>
    <w:rsid w:val="003025C4"/>
    <w:rsid w:val="00314173"/>
    <w:rsid w:val="0032501F"/>
    <w:rsid w:val="003266CE"/>
    <w:rsid w:val="00340746"/>
    <w:rsid w:val="003542F5"/>
    <w:rsid w:val="003711F5"/>
    <w:rsid w:val="003809DF"/>
    <w:rsid w:val="00390236"/>
    <w:rsid w:val="003A2015"/>
    <w:rsid w:val="003B366F"/>
    <w:rsid w:val="003D408F"/>
    <w:rsid w:val="003F6968"/>
    <w:rsid w:val="00417156"/>
    <w:rsid w:val="0042677F"/>
    <w:rsid w:val="00431C36"/>
    <w:rsid w:val="00446811"/>
    <w:rsid w:val="00450BF4"/>
    <w:rsid w:val="00456DD7"/>
    <w:rsid w:val="004579F8"/>
    <w:rsid w:val="00473F86"/>
    <w:rsid w:val="00476802"/>
    <w:rsid w:val="0048157E"/>
    <w:rsid w:val="00486923"/>
    <w:rsid w:val="0049518C"/>
    <w:rsid w:val="004B252F"/>
    <w:rsid w:val="004D64A2"/>
    <w:rsid w:val="004E00D9"/>
    <w:rsid w:val="004E6C15"/>
    <w:rsid w:val="004F2DAD"/>
    <w:rsid w:val="005119AF"/>
    <w:rsid w:val="005202A1"/>
    <w:rsid w:val="00525F8A"/>
    <w:rsid w:val="0053447F"/>
    <w:rsid w:val="0054155A"/>
    <w:rsid w:val="00544D0B"/>
    <w:rsid w:val="00593A63"/>
    <w:rsid w:val="00594706"/>
    <w:rsid w:val="005956AA"/>
    <w:rsid w:val="005A3D6B"/>
    <w:rsid w:val="005B348D"/>
    <w:rsid w:val="005C4998"/>
    <w:rsid w:val="005D2153"/>
    <w:rsid w:val="005D258E"/>
    <w:rsid w:val="005E1D60"/>
    <w:rsid w:val="005F093E"/>
    <w:rsid w:val="005F62B4"/>
    <w:rsid w:val="0063667F"/>
    <w:rsid w:val="00652BD7"/>
    <w:rsid w:val="006565F3"/>
    <w:rsid w:val="006A1C2A"/>
    <w:rsid w:val="006B4CA3"/>
    <w:rsid w:val="006B5535"/>
    <w:rsid w:val="006C23C0"/>
    <w:rsid w:val="006C2D55"/>
    <w:rsid w:val="006C2E1C"/>
    <w:rsid w:val="006E344A"/>
    <w:rsid w:val="006F4D54"/>
    <w:rsid w:val="006F6D2F"/>
    <w:rsid w:val="00752494"/>
    <w:rsid w:val="00761B07"/>
    <w:rsid w:val="0076482D"/>
    <w:rsid w:val="00770C52"/>
    <w:rsid w:val="00771A77"/>
    <w:rsid w:val="007775E5"/>
    <w:rsid w:val="00797694"/>
    <w:rsid w:val="007A07A6"/>
    <w:rsid w:val="007A2157"/>
    <w:rsid w:val="007A595C"/>
    <w:rsid w:val="007B07B7"/>
    <w:rsid w:val="007B53F4"/>
    <w:rsid w:val="007E60F2"/>
    <w:rsid w:val="00804F11"/>
    <w:rsid w:val="00827EE9"/>
    <w:rsid w:val="00835250"/>
    <w:rsid w:val="00845DCD"/>
    <w:rsid w:val="008529CA"/>
    <w:rsid w:val="00854A8B"/>
    <w:rsid w:val="00881AA6"/>
    <w:rsid w:val="00885DD4"/>
    <w:rsid w:val="008B54E4"/>
    <w:rsid w:val="008C1299"/>
    <w:rsid w:val="008C26C6"/>
    <w:rsid w:val="008E286E"/>
    <w:rsid w:val="00920DBD"/>
    <w:rsid w:val="00933EF0"/>
    <w:rsid w:val="009402B9"/>
    <w:rsid w:val="00952433"/>
    <w:rsid w:val="00956EF2"/>
    <w:rsid w:val="00972778"/>
    <w:rsid w:val="009730FC"/>
    <w:rsid w:val="00977D5F"/>
    <w:rsid w:val="00990609"/>
    <w:rsid w:val="00992967"/>
    <w:rsid w:val="00996E9F"/>
    <w:rsid w:val="009A02AB"/>
    <w:rsid w:val="009A4C91"/>
    <w:rsid w:val="009E244C"/>
    <w:rsid w:val="009E4287"/>
    <w:rsid w:val="009E491C"/>
    <w:rsid w:val="009F7507"/>
    <w:rsid w:val="00A128D9"/>
    <w:rsid w:val="00A3626C"/>
    <w:rsid w:val="00A42E0B"/>
    <w:rsid w:val="00A52AD0"/>
    <w:rsid w:val="00A56EAC"/>
    <w:rsid w:val="00A73148"/>
    <w:rsid w:val="00AA7DE7"/>
    <w:rsid w:val="00AC3F36"/>
    <w:rsid w:val="00AC47D1"/>
    <w:rsid w:val="00AC57A7"/>
    <w:rsid w:val="00AC6349"/>
    <w:rsid w:val="00AD12BA"/>
    <w:rsid w:val="00AD2FF0"/>
    <w:rsid w:val="00B135C2"/>
    <w:rsid w:val="00B22001"/>
    <w:rsid w:val="00B348E2"/>
    <w:rsid w:val="00B50EEF"/>
    <w:rsid w:val="00B512C3"/>
    <w:rsid w:val="00B57193"/>
    <w:rsid w:val="00B65000"/>
    <w:rsid w:val="00B76ACB"/>
    <w:rsid w:val="00B95400"/>
    <w:rsid w:val="00BA09ED"/>
    <w:rsid w:val="00BA4320"/>
    <w:rsid w:val="00BB5A4C"/>
    <w:rsid w:val="00BF05F8"/>
    <w:rsid w:val="00BF1A54"/>
    <w:rsid w:val="00C2426C"/>
    <w:rsid w:val="00C27B13"/>
    <w:rsid w:val="00C439AF"/>
    <w:rsid w:val="00C55B5E"/>
    <w:rsid w:val="00C8371F"/>
    <w:rsid w:val="00CB69F1"/>
    <w:rsid w:val="00CB72A3"/>
    <w:rsid w:val="00CC6774"/>
    <w:rsid w:val="00D312D7"/>
    <w:rsid w:val="00D33409"/>
    <w:rsid w:val="00D3577B"/>
    <w:rsid w:val="00D41F21"/>
    <w:rsid w:val="00D43C37"/>
    <w:rsid w:val="00D56F90"/>
    <w:rsid w:val="00D70793"/>
    <w:rsid w:val="00D745E2"/>
    <w:rsid w:val="00D7489E"/>
    <w:rsid w:val="00D75F8C"/>
    <w:rsid w:val="00D809E7"/>
    <w:rsid w:val="00DA3458"/>
    <w:rsid w:val="00DA45A1"/>
    <w:rsid w:val="00DB5A15"/>
    <w:rsid w:val="00DD64AD"/>
    <w:rsid w:val="00DE0E8C"/>
    <w:rsid w:val="00DE13BE"/>
    <w:rsid w:val="00E04405"/>
    <w:rsid w:val="00E141E5"/>
    <w:rsid w:val="00E27222"/>
    <w:rsid w:val="00E34861"/>
    <w:rsid w:val="00E36E2D"/>
    <w:rsid w:val="00E47180"/>
    <w:rsid w:val="00E60946"/>
    <w:rsid w:val="00E72879"/>
    <w:rsid w:val="00EB0D65"/>
    <w:rsid w:val="00EC3C70"/>
    <w:rsid w:val="00EF656A"/>
    <w:rsid w:val="00EF6EF2"/>
    <w:rsid w:val="00F00F23"/>
    <w:rsid w:val="00F027EC"/>
    <w:rsid w:val="00F040A9"/>
    <w:rsid w:val="00F20D02"/>
    <w:rsid w:val="00F3090F"/>
    <w:rsid w:val="00F32AA2"/>
    <w:rsid w:val="00F60B52"/>
    <w:rsid w:val="00F70025"/>
    <w:rsid w:val="00F94491"/>
    <w:rsid w:val="00F95EF6"/>
    <w:rsid w:val="00FB57DA"/>
    <w:rsid w:val="00F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7522"/>
  <w15:docId w15:val="{D0A55F78-9620-4D52-969F-1CA1BE4C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F2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E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468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6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2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57DA"/>
    <w:rPr>
      <w:b/>
      <w:bCs/>
    </w:rPr>
  </w:style>
  <w:style w:type="character" w:styleId="FootnoteReference">
    <w:name w:val="footnote reference"/>
    <w:aliases w:val="fr"/>
    <w:basedOn w:val="DefaultParagraphFont"/>
    <w:uiPriority w:val="99"/>
    <w:rsid w:val="00FB57DA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FB57DA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95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0F23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oSpacing">
    <w:name w:val="No Spacing"/>
    <w:uiPriority w:val="1"/>
    <w:qFormat/>
    <w:rsid w:val="00EC3C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6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1301</Words>
  <Characters>7422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Scruton, Karen M. (ATSDR/DHAC/EISAB)</dc:creator>
  <cp:lastModifiedBy>Worley, Rachel R. (ATSDR/DCHI/SSB)</cp:lastModifiedBy>
  <cp:revision>2</cp:revision>
  <cp:lastPrinted>2015-07-30T18:40:00Z</cp:lastPrinted>
  <dcterms:created xsi:type="dcterms:W3CDTF">2015-08-04T14:48:00Z</dcterms:created>
  <dcterms:modified xsi:type="dcterms:W3CDTF">2015-08-04T14:48:00Z</dcterms:modified>
</cp:coreProperties>
</file>