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1B" w:rsidRDefault="004C171B" w:rsidP="004C171B">
      <w:pPr>
        <w:pStyle w:val="SOP-C1"/>
        <w:ind w:left="7200" w:firstLine="720"/>
        <w:rPr>
          <w:bC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494F057B" wp14:editId="77921DDE">
            <wp:extent cx="1511300" cy="88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EC" w:rsidRDefault="00A450EC" w:rsidP="00440CDE">
      <w:pPr>
        <w:pStyle w:val="SOP-C1"/>
        <w:jc w:val="center"/>
        <w:rPr>
          <w:rFonts w:eastAsiaTheme="majorEastAsia"/>
          <w:sz w:val="28"/>
          <w:szCs w:val="28"/>
        </w:rPr>
      </w:pPr>
      <w:r w:rsidRPr="0032789D">
        <w:rPr>
          <w:rFonts w:eastAsiaTheme="majorEastAsia"/>
          <w:sz w:val="28"/>
          <w:szCs w:val="28"/>
        </w:rPr>
        <w:t xml:space="preserve">NIH Toolbox </w:t>
      </w:r>
      <w:r w:rsidR="0032789D">
        <w:rPr>
          <w:rFonts w:eastAsiaTheme="majorEastAsia"/>
          <w:sz w:val="28"/>
          <w:szCs w:val="28"/>
        </w:rPr>
        <w:t xml:space="preserve">- </w:t>
      </w:r>
      <w:r w:rsidR="004D5FA3" w:rsidRPr="0032789D">
        <w:rPr>
          <w:rFonts w:eastAsiaTheme="majorEastAsia"/>
          <w:sz w:val="28"/>
          <w:szCs w:val="28"/>
        </w:rPr>
        <w:t>Vis</w:t>
      </w:r>
      <w:r w:rsidR="003364BA" w:rsidRPr="0032789D">
        <w:rPr>
          <w:rFonts w:eastAsiaTheme="majorEastAsia"/>
          <w:sz w:val="28"/>
          <w:szCs w:val="28"/>
        </w:rPr>
        <w:t>ual</w:t>
      </w:r>
      <w:r w:rsidR="00460828" w:rsidRPr="0032789D">
        <w:rPr>
          <w:rFonts w:eastAsiaTheme="majorEastAsia"/>
          <w:sz w:val="28"/>
          <w:szCs w:val="28"/>
        </w:rPr>
        <w:t xml:space="preserve"> Acuity Test</w:t>
      </w:r>
    </w:p>
    <w:p w:rsidR="00C860DD" w:rsidRPr="0032789D" w:rsidRDefault="00C860DD" w:rsidP="00440CDE">
      <w:pPr>
        <w:pStyle w:val="SOP-C1"/>
        <w:jc w:val="center"/>
        <w:rPr>
          <w:rFonts w:eastAsiaTheme="majorEastAsia"/>
          <w:sz w:val="28"/>
          <w:szCs w:val="28"/>
        </w:rPr>
      </w:pPr>
    </w:p>
    <w:tbl>
      <w:tblPr>
        <w:tblW w:w="85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80"/>
        <w:gridCol w:w="4749"/>
      </w:tblGrid>
      <w:tr w:rsidR="0032789D" w:rsidRPr="00C860DD" w:rsidTr="00C860DD">
        <w:trPr>
          <w:trHeight w:val="432"/>
        </w:trPr>
        <w:tc>
          <w:tcPr>
            <w:tcW w:w="3780" w:type="dxa"/>
            <w:vAlign w:val="center"/>
          </w:tcPr>
          <w:p w:rsidR="0032789D" w:rsidRPr="00C860DD" w:rsidRDefault="0032789D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Event Category:</w:t>
            </w:r>
          </w:p>
        </w:tc>
        <w:tc>
          <w:tcPr>
            <w:tcW w:w="4749" w:type="dxa"/>
            <w:vAlign w:val="center"/>
          </w:tcPr>
          <w:p w:rsidR="0032789D" w:rsidRPr="00C860DD" w:rsidRDefault="00971229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Time-Based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Event:</w:t>
            </w:r>
          </w:p>
        </w:tc>
        <w:tc>
          <w:tcPr>
            <w:tcW w:w="4749" w:type="dxa"/>
            <w:vAlign w:val="center"/>
          </w:tcPr>
          <w:p w:rsidR="00A450EC" w:rsidRPr="00C860DD" w:rsidRDefault="00A10504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36M, 60M</w:t>
            </w:r>
          </w:p>
        </w:tc>
      </w:tr>
      <w:tr w:rsidR="0032789D" w:rsidRPr="00C860DD" w:rsidTr="00C860DD">
        <w:trPr>
          <w:trHeight w:val="432"/>
        </w:trPr>
        <w:tc>
          <w:tcPr>
            <w:tcW w:w="3780" w:type="dxa"/>
            <w:vAlign w:val="center"/>
          </w:tcPr>
          <w:p w:rsidR="0032789D" w:rsidRPr="00C860DD" w:rsidRDefault="0032789D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Administration:</w:t>
            </w:r>
          </w:p>
        </w:tc>
        <w:tc>
          <w:tcPr>
            <w:tcW w:w="4749" w:type="dxa"/>
            <w:vAlign w:val="center"/>
          </w:tcPr>
          <w:p w:rsidR="0032789D" w:rsidRPr="00C860DD" w:rsidRDefault="00971229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N/A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Instrument Target:</w:t>
            </w:r>
          </w:p>
        </w:tc>
        <w:tc>
          <w:tcPr>
            <w:tcW w:w="4749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 xml:space="preserve">Child 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Instrument Respondent:</w:t>
            </w:r>
          </w:p>
        </w:tc>
        <w:tc>
          <w:tcPr>
            <w:tcW w:w="4749" w:type="dxa"/>
            <w:vAlign w:val="center"/>
          </w:tcPr>
          <w:p w:rsidR="00A450EC" w:rsidRPr="00C860DD" w:rsidRDefault="000A645F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Child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Domain:</w:t>
            </w:r>
          </w:p>
        </w:tc>
        <w:tc>
          <w:tcPr>
            <w:tcW w:w="4749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Physical Measures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Document Category:</w:t>
            </w:r>
          </w:p>
        </w:tc>
        <w:tc>
          <w:tcPr>
            <w:tcW w:w="4749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Physical Measure</w:t>
            </w:r>
          </w:p>
        </w:tc>
      </w:tr>
      <w:tr w:rsidR="0032789D" w:rsidRPr="00C860DD" w:rsidTr="00C860DD">
        <w:trPr>
          <w:trHeight w:val="432"/>
        </w:trPr>
        <w:tc>
          <w:tcPr>
            <w:tcW w:w="3780" w:type="dxa"/>
            <w:vAlign w:val="center"/>
          </w:tcPr>
          <w:p w:rsidR="0032789D" w:rsidRPr="00C860DD" w:rsidRDefault="0032789D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Mode (for this instrument*):</w:t>
            </w:r>
          </w:p>
        </w:tc>
        <w:tc>
          <w:tcPr>
            <w:tcW w:w="4749" w:type="dxa"/>
            <w:vAlign w:val="center"/>
          </w:tcPr>
          <w:p w:rsidR="0032789D" w:rsidRPr="00C860DD" w:rsidRDefault="00971229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 xml:space="preserve">In-Person, CAI; 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32789D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 xml:space="preserve">OMB Approved </w:t>
            </w:r>
            <w:r w:rsidR="00A450EC" w:rsidRPr="00C860DD">
              <w:rPr>
                <w:rFonts w:cs="Arial"/>
                <w:b/>
                <w:bCs/>
                <w:iCs/>
                <w:sz w:val="20"/>
                <w:szCs w:val="20"/>
              </w:rPr>
              <w:t>Mode</w:t>
            </w: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s</w:t>
            </w:r>
            <w:r w:rsidR="00A450EC" w:rsidRPr="00C860DD">
              <w:rPr>
                <w:rFonts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749" w:type="dxa"/>
            <w:vAlign w:val="center"/>
          </w:tcPr>
          <w:p w:rsidR="006169B4" w:rsidRPr="00C860DD" w:rsidRDefault="00A10504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 xml:space="preserve">In-Person, </w:t>
            </w:r>
            <w:r w:rsidR="00044158" w:rsidRPr="00C860DD">
              <w:rPr>
                <w:rFonts w:cs="Arial"/>
                <w:bCs/>
                <w:iCs/>
                <w:sz w:val="20"/>
                <w:szCs w:val="20"/>
              </w:rPr>
              <w:t xml:space="preserve">CAI; </w:t>
            </w:r>
          </w:p>
          <w:p w:rsidR="00A450EC" w:rsidRPr="00C860DD" w:rsidRDefault="00044158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Web-Based, CAI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Method:</w:t>
            </w:r>
          </w:p>
        </w:tc>
        <w:tc>
          <w:tcPr>
            <w:tcW w:w="4749" w:type="dxa"/>
            <w:vAlign w:val="center"/>
          </w:tcPr>
          <w:p w:rsidR="00A450EC" w:rsidRPr="00C860DD" w:rsidRDefault="004D5FA3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Data Collector Administered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A450EC" w:rsidP="00FB754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Estimated Administration Time:</w:t>
            </w:r>
          </w:p>
        </w:tc>
        <w:tc>
          <w:tcPr>
            <w:tcW w:w="4749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3</w:t>
            </w:r>
            <w:r w:rsidR="00236E70" w:rsidRPr="00C860DD">
              <w:rPr>
                <w:rFonts w:cs="Arial"/>
                <w:bCs/>
                <w:iCs/>
                <w:sz w:val="20"/>
                <w:szCs w:val="20"/>
              </w:rPr>
              <w:t xml:space="preserve"> minutes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A450EC" w:rsidP="0032789D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Multiple Child</w:t>
            </w:r>
            <w:r w:rsidR="0032789D" w:rsidRPr="00C860DD">
              <w:rPr>
                <w:rFonts w:cs="Arial"/>
                <w:b/>
                <w:bCs/>
                <w:iCs/>
                <w:sz w:val="20"/>
                <w:szCs w:val="20"/>
              </w:rPr>
              <w:t xml:space="preserve">/Sibling </w:t>
            </w: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Consideration:</w:t>
            </w:r>
          </w:p>
        </w:tc>
        <w:tc>
          <w:tcPr>
            <w:tcW w:w="4749" w:type="dxa"/>
            <w:vAlign w:val="center"/>
          </w:tcPr>
          <w:p w:rsidR="00A450EC" w:rsidRPr="00C860DD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Per Child</w:t>
            </w:r>
          </w:p>
        </w:tc>
      </w:tr>
      <w:tr w:rsidR="00294311" w:rsidRPr="00C860DD" w:rsidTr="00C860DD">
        <w:trPr>
          <w:trHeight w:val="432"/>
        </w:trPr>
        <w:tc>
          <w:tcPr>
            <w:tcW w:w="3780" w:type="dxa"/>
            <w:vAlign w:val="center"/>
          </w:tcPr>
          <w:p w:rsidR="00294311" w:rsidRPr="00C860DD" w:rsidRDefault="00294311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Special Considerations:</w:t>
            </w:r>
          </w:p>
        </w:tc>
        <w:tc>
          <w:tcPr>
            <w:tcW w:w="4749" w:type="dxa"/>
            <w:vAlign w:val="center"/>
          </w:tcPr>
          <w:p w:rsidR="00294311" w:rsidRPr="00C860DD" w:rsidRDefault="00971229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N/A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Del="009F731B" w:rsidRDefault="00A450EC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Version:</w:t>
            </w:r>
          </w:p>
        </w:tc>
        <w:tc>
          <w:tcPr>
            <w:tcW w:w="4749" w:type="dxa"/>
            <w:vAlign w:val="center"/>
          </w:tcPr>
          <w:p w:rsidR="00A450EC" w:rsidRPr="00C860DD" w:rsidDel="009F731B" w:rsidRDefault="00C07E13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1.0</w:t>
            </w:r>
          </w:p>
        </w:tc>
      </w:tr>
      <w:tr w:rsidR="00A450EC" w:rsidRPr="00C860DD" w:rsidTr="00C860DD">
        <w:trPr>
          <w:trHeight w:val="432"/>
        </w:trPr>
        <w:tc>
          <w:tcPr>
            <w:tcW w:w="3780" w:type="dxa"/>
            <w:vAlign w:val="center"/>
          </w:tcPr>
          <w:p w:rsidR="00A450EC" w:rsidRPr="00C860DD" w:rsidRDefault="004D5FA3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 xml:space="preserve">MDES </w:t>
            </w:r>
            <w:r w:rsidR="00A450EC" w:rsidRPr="00C860DD">
              <w:rPr>
                <w:rFonts w:cs="Arial"/>
                <w:b/>
                <w:bCs/>
                <w:iCs/>
                <w:sz w:val="20"/>
                <w:szCs w:val="20"/>
              </w:rPr>
              <w:t>Release:</w:t>
            </w:r>
          </w:p>
        </w:tc>
        <w:tc>
          <w:tcPr>
            <w:tcW w:w="4749" w:type="dxa"/>
            <w:vAlign w:val="center"/>
          </w:tcPr>
          <w:p w:rsidR="00A450EC" w:rsidRPr="00C860DD" w:rsidRDefault="004D5FA3" w:rsidP="006169B4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4.0</w:t>
            </w:r>
          </w:p>
        </w:tc>
      </w:tr>
      <w:tr w:rsidR="00C860DD" w:rsidRPr="00C860DD" w:rsidTr="00C860DD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0DD" w:rsidRPr="00C860DD" w:rsidRDefault="00C860DD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Publisher: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60DD" w:rsidRPr="00C860DD" w:rsidRDefault="00C860DD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NIH Toolbox</w:t>
            </w:r>
          </w:p>
        </w:tc>
      </w:tr>
      <w:tr w:rsidR="00C860DD" w:rsidRPr="00C860DD" w:rsidTr="00C860DD">
        <w:trPr>
          <w:trHeight w:val="432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60DD" w:rsidRPr="00C860DD" w:rsidRDefault="00C860DD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/>
                <w:bCs/>
                <w:iCs/>
                <w:sz w:val="20"/>
                <w:szCs w:val="20"/>
              </w:rPr>
              <w:t>NCS Contact: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DD" w:rsidRPr="00C860DD" w:rsidRDefault="00C860DD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  <w:szCs w:val="20"/>
              </w:rPr>
            </w:pPr>
            <w:r w:rsidRPr="00C860DD">
              <w:rPr>
                <w:rFonts w:cs="Arial"/>
                <w:bCs/>
                <w:iCs/>
                <w:sz w:val="20"/>
                <w:szCs w:val="20"/>
              </w:rPr>
              <w:t>Westat - 301-251-1500</w:t>
            </w:r>
          </w:p>
        </w:tc>
      </w:tr>
    </w:tbl>
    <w:p w:rsidR="0032789D" w:rsidRDefault="0032789D" w:rsidP="0032789D">
      <w:pPr>
        <w:pStyle w:val="C2-CtrSglSp"/>
        <w:ind w:left="-660" w:right="-560"/>
        <w:jc w:val="left"/>
        <w:outlineLvl w:val="0"/>
        <w:rPr>
          <w:sz w:val="20"/>
          <w:szCs w:val="20"/>
        </w:rPr>
      </w:pPr>
    </w:p>
    <w:p w:rsidR="0032789D" w:rsidRPr="00792E59" w:rsidRDefault="0032789D" w:rsidP="00C860DD">
      <w:pPr>
        <w:pStyle w:val="C2-CtrSglSp"/>
        <w:ind w:left="90" w:right="-560"/>
        <w:jc w:val="left"/>
        <w:outlineLvl w:val="0"/>
        <w:rPr>
          <w:rFonts w:cs="Arial"/>
          <w:bCs/>
          <w:iCs/>
          <w:sz w:val="20"/>
          <w:szCs w:val="20"/>
        </w:rPr>
        <w:sectPr w:rsidR="0032789D" w:rsidRPr="00792E59" w:rsidSect="008050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docGrid w:linePitch="299"/>
        </w:sectPr>
      </w:pPr>
      <w:r w:rsidRPr="00792E59">
        <w:rPr>
          <w:sz w:val="20"/>
          <w:szCs w:val="20"/>
        </w:rPr>
        <w:t>*This instrument is OMB-approved for multi-mode administration but this version of the instrument is designed for administration in this/these mode(s) only.</w:t>
      </w:r>
    </w:p>
    <w:p w:rsidR="00A450EC" w:rsidRPr="005C6453" w:rsidRDefault="00A450EC" w:rsidP="004C171B">
      <w:pPr>
        <w:pStyle w:val="SOP-C1"/>
        <w:jc w:val="center"/>
        <w:rPr>
          <w:bCs/>
        </w:rPr>
      </w:pPr>
    </w:p>
    <w:p w:rsidR="00440CDE" w:rsidRPr="00063D49" w:rsidRDefault="00D15E09" w:rsidP="00440CDE">
      <w:pPr>
        <w:pStyle w:val="SOP-C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Physical Measures </w:t>
      </w:r>
      <w:r w:rsidR="00E02592">
        <w:rPr>
          <w:sz w:val="32"/>
          <w:szCs w:val="32"/>
        </w:rPr>
        <w:t>Vis</w:t>
      </w:r>
      <w:r w:rsidR="00460828">
        <w:rPr>
          <w:sz w:val="32"/>
          <w:szCs w:val="32"/>
        </w:rPr>
        <w:t xml:space="preserve">ual Acuity </w:t>
      </w:r>
      <w:r w:rsidR="00E80757">
        <w:rPr>
          <w:sz w:val="32"/>
          <w:szCs w:val="32"/>
        </w:rPr>
        <w:t>Tes</w:t>
      </w:r>
      <w:r w:rsidR="00FB0D4F">
        <w:rPr>
          <w:sz w:val="32"/>
          <w:szCs w:val="32"/>
        </w:rPr>
        <w:t>t</w:t>
      </w:r>
    </w:p>
    <w:p w:rsidR="004C171B" w:rsidRDefault="004C171B" w:rsidP="004C171B">
      <w:pPr>
        <w:spacing w:line="240" w:lineRule="auto"/>
        <w:jc w:val="center"/>
        <w:rPr>
          <w:rFonts w:cs="Arial"/>
          <w:bCs/>
          <w:iCs/>
        </w:rPr>
      </w:pPr>
    </w:p>
    <w:p w:rsidR="002B7831" w:rsidRPr="00B7228C" w:rsidRDefault="002B7831" w:rsidP="002B7831">
      <w:pPr>
        <w:pStyle w:val="ms-rteelement-p"/>
        <w:shd w:val="clear" w:color="auto" w:fill="FFFFFF"/>
        <w:textAlignment w:val="top"/>
        <w:rPr>
          <w:color w:val="auto"/>
          <w:sz w:val="22"/>
          <w:szCs w:val="22"/>
        </w:rPr>
      </w:pPr>
      <w:r w:rsidRPr="00B7228C">
        <w:rPr>
          <w:color w:val="auto"/>
          <w:sz w:val="22"/>
          <w:szCs w:val="22"/>
        </w:rPr>
        <w:t xml:space="preserve">This test directly measures participants’ visual acuity, or distance vision. The participant is seated 12.5 feet away from a computer monitor at eye level, and letters (called “optotypes”) are displayed one at a time on the screen for the participant to identify, using both eyes at the same time. </w:t>
      </w:r>
    </w:p>
    <w:p w:rsidR="002B7831" w:rsidRPr="00B7228C" w:rsidRDefault="002B7831" w:rsidP="002B7831">
      <w:pPr>
        <w:pStyle w:val="ms-rteelement-p"/>
        <w:shd w:val="clear" w:color="auto" w:fill="FFFFFF"/>
        <w:textAlignment w:val="top"/>
        <w:rPr>
          <w:color w:val="auto"/>
          <w:sz w:val="22"/>
          <w:szCs w:val="22"/>
        </w:rPr>
      </w:pPr>
      <w:r w:rsidRPr="00B7228C">
        <w:rPr>
          <w:color w:val="auto"/>
          <w:sz w:val="22"/>
          <w:szCs w:val="22"/>
        </w:rPr>
        <w:t xml:space="preserve">As the participant successfully identifies optotypes of a given size, smaller ones appear on the screen, until the computer program ascertains the smallest-size optotype the participant can successfully see. Conversely, the program displays larger optotypes if the participant cannot see the letter size that is first displayed, until a size that he/she can accurately see is found. </w:t>
      </w:r>
    </w:p>
    <w:p w:rsidR="002B7831" w:rsidRPr="00B7228C" w:rsidRDefault="002B7831" w:rsidP="002B7831">
      <w:pPr>
        <w:pStyle w:val="ms-rteelement-p"/>
        <w:shd w:val="clear" w:color="auto" w:fill="FFFFFF"/>
        <w:textAlignment w:val="top"/>
        <w:rPr>
          <w:color w:val="auto"/>
          <w:sz w:val="22"/>
          <w:szCs w:val="22"/>
        </w:rPr>
      </w:pPr>
      <w:r w:rsidRPr="00B7228C">
        <w:rPr>
          <w:color w:val="auto"/>
          <w:sz w:val="22"/>
          <w:szCs w:val="22"/>
        </w:rPr>
        <w:t xml:space="preserve">For participants ages 3-7, only the letters H, O, T, and V are used, and children may point to a laminated card showing the letters if they cannot verbalize or cannot recall the letter names. </w:t>
      </w:r>
    </w:p>
    <w:p w:rsidR="009751D4" w:rsidRPr="00B7228C" w:rsidRDefault="002B7831" w:rsidP="002B7831">
      <w:pPr>
        <w:rPr>
          <w:szCs w:val="22"/>
        </w:rPr>
      </w:pPr>
      <w:r w:rsidRPr="00B7228C">
        <w:rPr>
          <w:rFonts w:cs="Arial"/>
          <w:szCs w:val="22"/>
        </w:rPr>
        <w:t>This test takes approximately three minutes to administer and is recommended for ages 3-85.</w:t>
      </w:r>
    </w:p>
    <w:sectPr w:rsidR="009751D4" w:rsidRPr="00B7228C" w:rsidSect="009E20A0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7C" w:rsidRDefault="001D6C7C" w:rsidP="004C171B">
      <w:pPr>
        <w:spacing w:line="240" w:lineRule="auto"/>
      </w:pPr>
      <w:r>
        <w:separator/>
      </w:r>
    </w:p>
  </w:endnote>
  <w:endnote w:type="continuationSeparator" w:id="0">
    <w:p w:rsidR="001D6C7C" w:rsidRDefault="001D6C7C" w:rsidP="004C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7E" w:rsidRDefault="00C67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D" w:rsidRDefault="0032789D" w:rsidP="002C76B3"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  <w:rPr>
        <w:rFonts w:cs="Arial"/>
        <w:sz w:val="16"/>
        <w:szCs w:val="18"/>
      </w:rPr>
    </w:pPr>
    <w:r w:rsidRPr="00460D71">
      <w:rPr>
        <w:rFonts w:cs="Arial"/>
        <w:sz w:val="16"/>
        <w:szCs w:val="18"/>
      </w:rPr>
      <w:t xml:space="preserve">Public reporting burden for this collection of information is estimated to average </w:t>
    </w:r>
    <w:r w:rsidR="000E2512">
      <w:rPr>
        <w:rFonts w:cs="Arial"/>
        <w:sz w:val="16"/>
        <w:szCs w:val="18"/>
      </w:rPr>
      <w:t>3</w:t>
    </w:r>
    <w:r>
      <w:rPr>
        <w:rFonts w:cs="Arial"/>
        <w:sz w:val="16"/>
        <w:szCs w:val="18"/>
      </w:rPr>
      <w:t xml:space="preserve"> </w:t>
    </w:r>
    <w:r w:rsidRPr="00D42A3F">
      <w:rPr>
        <w:rFonts w:cs="Arial"/>
        <w:sz w:val="16"/>
        <w:szCs w:val="18"/>
      </w:rPr>
      <w:t xml:space="preserve">minutes </w:t>
    </w:r>
    <w:r>
      <w:rPr>
        <w:rFonts w:cs="Arial"/>
        <w:sz w:val="16"/>
        <w:szCs w:val="18"/>
      </w:rPr>
      <w:t xml:space="preserve">(total) </w:t>
    </w:r>
    <w:r w:rsidRPr="00D42A3F">
      <w:rPr>
        <w:rFonts w:cs="Arial"/>
        <w:sz w:val="16"/>
        <w:szCs w:val="18"/>
      </w:rPr>
      <w:t>per</w:t>
    </w:r>
    <w:r w:rsidRPr="00460D71">
      <w:rPr>
        <w:rFonts w:cs="Arial"/>
        <w:sz w:val="16"/>
        <w:szCs w:val="18"/>
      </w:rPr>
      <w:t xml:space="preserve"> response, including the time for reviewing instructions, searching existing data sources, gathering and maintaining the data needed, and completing and reviewing the collection of information. </w:t>
    </w:r>
    <w:r w:rsidRPr="00460D71">
      <w:rPr>
        <w:rFonts w:cs="Arial"/>
        <w:b/>
        <w:bCs/>
        <w:sz w:val="16"/>
        <w:szCs w:val="18"/>
      </w:rPr>
      <w:t>An agency may not conduct or sponsor, and a person is not required to respond to, a collection of information unless it displays a currently valid OMB control number.</w:t>
    </w:r>
    <w:r w:rsidRPr="00460D71">
      <w:rPr>
        <w:rFonts w:cs="Arial"/>
        <w:sz w:val="16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460D71">
        <w:rPr>
          <w:rFonts w:cs="Arial"/>
          <w:sz w:val="16"/>
          <w:szCs w:val="18"/>
        </w:rPr>
        <w:t>MSC</w:t>
      </w:r>
    </w:smartTag>
    <w:r w:rsidRPr="00460D71">
      <w:rPr>
        <w:rFonts w:cs="Arial"/>
        <w:sz w:val="16"/>
        <w:szCs w:val="18"/>
      </w:rPr>
      <w:t xml:space="preserve"> 7974, Bethesda, MD 20892-7974, ATTN: PRA (0925-0593*).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D" w:rsidRPr="00A12391" w:rsidRDefault="0032789D" w:rsidP="00006599">
    <w:pPr>
      <w:pStyle w:val="Footer"/>
      <w:rPr>
        <w:sz w:val="18"/>
        <w:szCs w:val="18"/>
      </w:rPr>
    </w:pPr>
    <w:r>
      <w:rPr>
        <w:sz w:val="18"/>
        <w:szCs w:val="18"/>
      </w:rPr>
      <w:t>DOM Document Name Type of Document (Recruitment Groups), Month YYYY, V#.#</w:t>
    </w:r>
    <w:r w:rsidRPr="00A12391">
      <w:rPr>
        <w:sz w:val="18"/>
        <w:szCs w:val="18"/>
      </w:rPr>
      <w:tab/>
    </w:r>
    <w:r w:rsidRPr="00626516">
      <w:rPr>
        <w:sz w:val="18"/>
        <w:szCs w:val="18"/>
      </w:rPr>
      <w:fldChar w:fldCharType="begin"/>
    </w:r>
    <w:r w:rsidRPr="00626516">
      <w:rPr>
        <w:sz w:val="18"/>
        <w:szCs w:val="18"/>
      </w:rPr>
      <w:instrText xml:space="preserve"> PAGE   \* MERGEFORMAT </w:instrText>
    </w:r>
    <w:r w:rsidRPr="00626516">
      <w:rPr>
        <w:sz w:val="18"/>
        <w:szCs w:val="18"/>
      </w:rPr>
      <w:fldChar w:fldCharType="separate"/>
    </w:r>
    <w:r>
      <w:rPr>
        <w:noProof/>
        <w:sz w:val="18"/>
        <w:szCs w:val="18"/>
      </w:rPr>
      <w:t>i</w:t>
    </w:r>
    <w:r w:rsidRPr="00626516">
      <w:rPr>
        <w:sz w:val="18"/>
        <w:szCs w:val="18"/>
      </w:rPr>
      <w:fldChar w:fldCharType="end"/>
    </w:r>
  </w:p>
  <w:p w:rsidR="0032789D" w:rsidRDefault="003278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8C" w:rsidRDefault="00B7228C" w:rsidP="002C76B3">
    <w:pPr>
      <w:tabs>
        <w:tab w:val="center" w:pos="4320"/>
        <w:tab w:val="center" w:pos="4680"/>
        <w:tab w:val="right" w:pos="8640"/>
        <w:tab w:val="right" w:pos="9570"/>
      </w:tabs>
      <w:spacing w:line="240" w:lineRule="auto"/>
      <w:ind w:right="-115"/>
      <w:rPr>
        <w:rFonts w:cs="Arial"/>
        <w:sz w:val="16"/>
        <w:szCs w:val="18"/>
      </w:rPr>
    </w:pPr>
  </w:p>
  <w:p w:rsidR="00B7228C" w:rsidRPr="00B7228C" w:rsidRDefault="00236E70" w:rsidP="00B7228C">
    <w:pPr>
      <w:pStyle w:val="Footer"/>
      <w:rPr>
        <w:sz w:val="18"/>
        <w:szCs w:val="18"/>
      </w:rPr>
    </w:pPr>
    <w:r>
      <w:rPr>
        <w:sz w:val="18"/>
        <w:szCs w:val="18"/>
      </w:rPr>
      <w:t xml:space="preserve">PM </w:t>
    </w:r>
    <w:r w:rsidR="000E1D0D">
      <w:rPr>
        <w:sz w:val="18"/>
        <w:szCs w:val="18"/>
      </w:rPr>
      <w:t xml:space="preserve">NIH Toolbox </w:t>
    </w:r>
    <w:r w:rsidR="00B7228C">
      <w:rPr>
        <w:sz w:val="18"/>
        <w:szCs w:val="18"/>
      </w:rPr>
      <w:t>Vis</w:t>
    </w:r>
    <w:r w:rsidR="00460828">
      <w:rPr>
        <w:sz w:val="18"/>
        <w:szCs w:val="18"/>
      </w:rPr>
      <w:t xml:space="preserve">ual Acuity </w:t>
    </w:r>
    <w:r w:rsidR="00B7228C">
      <w:rPr>
        <w:sz w:val="18"/>
        <w:szCs w:val="18"/>
      </w:rPr>
      <w:t xml:space="preserve">Test, MDES </w:t>
    </w:r>
    <w:r w:rsidR="00460828">
      <w:rPr>
        <w:sz w:val="18"/>
        <w:szCs w:val="18"/>
      </w:rPr>
      <w:t>4.0</w:t>
    </w:r>
    <w:r w:rsidR="00B7228C">
      <w:rPr>
        <w:sz w:val="18"/>
        <w:szCs w:val="18"/>
      </w:rPr>
      <w:t>, V1.0</w:t>
    </w:r>
    <w:r w:rsidR="00B7228C">
      <w:rPr>
        <w:sz w:val="18"/>
        <w:szCs w:val="18"/>
      </w:rPr>
      <w:ptab w:relativeTo="margin" w:alignment="right" w:leader="none"/>
    </w:r>
    <w:r w:rsidR="00B7228C" w:rsidRPr="008050DA">
      <w:rPr>
        <w:sz w:val="18"/>
        <w:szCs w:val="18"/>
      </w:rPr>
      <w:fldChar w:fldCharType="begin"/>
    </w:r>
    <w:r w:rsidR="00B7228C" w:rsidRPr="008050DA">
      <w:rPr>
        <w:sz w:val="18"/>
        <w:szCs w:val="18"/>
      </w:rPr>
      <w:instrText xml:space="preserve"> PAGE   \* MERGEFORMAT </w:instrText>
    </w:r>
    <w:r w:rsidR="00B7228C" w:rsidRPr="008050DA">
      <w:rPr>
        <w:sz w:val="18"/>
        <w:szCs w:val="18"/>
      </w:rPr>
      <w:fldChar w:fldCharType="separate"/>
    </w:r>
    <w:r w:rsidR="00D92CC5">
      <w:rPr>
        <w:noProof/>
        <w:sz w:val="18"/>
        <w:szCs w:val="18"/>
      </w:rPr>
      <w:t>1</w:t>
    </w:r>
    <w:r w:rsidR="00B7228C" w:rsidRPr="008050D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7C" w:rsidRDefault="001D6C7C" w:rsidP="004C171B">
      <w:pPr>
        <w:spacing w:line="240" w:lineRule="auto"/>
      </w:pPr>
      <w:r>
        <w:separator/>
      </w:r>
    </w:p>
  </w:footnote>
  <w:footnote w:type="continuationSeparator" w:id="0">
    <w:p w:rsidR="001D6C7C" w:rsidRDefault="001D6C7C" w:rsidP="004C1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D" w:rsidRDefault="00D92C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2" o:spid="_x0000_s1028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D" w:rsidRPr="00160688" w:rsidRDefault="0032789D" w:rsidP="002C76B3">
    <w:pPr>
      <w:pStyle w:val="Header"/>
    </w:pPr>
    <w:r w:rsidRPr="00160688">
      <w:t>OMB #: 0925-0593</w:t>
    </w:r>
  </w:p>
  <w:p w:rsidR="0032789D" w:rsidRPr="00160688" w:rsidRDefault="0032789D" w:rsidP="002C76B3">
    <w:pPr>
      <w:pStyle w:val="Header"/>
    </w:pPr>
    <w:r w:rsidRPr="00160688">
      <w:tab/>
    </w:r>
    <w:r>
      <w:t xml:space="preserve"> </w:t>
    </w:r>
    <w:r>
      <w:tab/>
      <w:t xml:space="preserve">       OMB Expiration Date: 08/31/2014</w:t>
    </w:r>
  </w:p>
  <w:p w:rsidR="0032789D" w:rsidRPr="00160688" w:rsidRDefault="0032789D" w:rsidP="002C76B3">
    <w:pPr>
      <w:pStyle w:val="Header"/>
    </w:pPr>
    <w:r>
      <w:t xml:space="preserve">NIH Toolbox </w:t>
    </w:r>
    <w:r w:rsidR="00241D4A">
      <w:t>Visual Acuity Test</w:t>
    </w:r>
    <w:r w:rsidRPr="00160688">
      <w:t>, Phase 2</w:t>
    </w:r>
    <w:r>
      <w:t>g</w:t>
    </w:r>
  </w:p>
  <w:p w:rsidR="0032789D" w:rsidRDefault="003278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D" w:rsidRDefault="00D92CC5" w:rsidP="00170D25">
    <w:pPr>
      <w:pStyle w:val="Header"/>
      <w:ind w:right="0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1" o:spid="_x0000_s1027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32789D">
      <w:t>NCS Phase 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B63"/>
    <w:multiLevelType w:val="multilevel"/>
    <w:tmpl w:val="B240CE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B"/>
    <w:rsid w:val="00006599"/>
    <w:rsid w:val="00011305"/>
    <w:rsid w:val="00012043"/>
    <w:rsid w:val="00044158"/>
    <w:rsid w:val="0006682E"/>
    <w:rsid w:val="0007223B"/>
    <w:rsid w:val="00074286"/>
    <w:rsid w:val="00083446"/>
    <w:rsid w:val="00094051"/>
    <w:rsid w:val="000961BF"/>
    <w:rsid w:val="000A645F"/>
    <w:rsid w:val="000E1D0D"/>
    <w:rsid w:val="000E2512"/>
    <w:rsid w:val="0010517B"/>
    <w:rsid w:val="00120BA3"/>
    <w:rsid w:val="00143B30"/>
    <w:rsid w:val="00146A01"/>
    <w:rsid w:val="0015317A"/>
    <w:rsid w:val="00170D25"/>
    <w:rsid w:val="00184D84"/>
    <w:rsid w:val="001A64A9"/>
    <w:rsid w:val="001D6C7C"/>
    <w:rsid w:val="002150FF"/>
    <w:rsid w:val="00222884"/>
    <w:rsid w:val="00236E70"/>
    <w:rsid w:val="00241D4A"/>
    <w:rsid w:val="00294311"/>
    <w:rsid w:val="002B7831"/>
    <w:rsid w:val="002C3621"/>
    <w:rsid w:val="002C76B3"/>
    <w:rsid w:val="00311102"/>
    <w:rsid w:val="00325F13"/>
    <w:rsid w:val="0032789D"/>
    <w:rsid w:val="003364BA"/>
    <w:rsid w:val="003906B6"/>
    <w:rsid w:val="00440CDE"/>
    <w:rsid w:val="00460828"/>
    <w:rsid w:val="004761FD"/>
    <w:rsid w:val="004841E9"/>
    <w:rsid w:val="004C171B"/>
    <w:rsid w:val="004C393A"/>
    <w:rsid w:val="004D4465"/>
    <w:rsid w:val="004D5FA3"/>
    <w:rsid w:val="00542771"/>
    <w:rsid w:val="005446CC"/>
    <w:rsid w:val="0054487B"/>
    <w:rsid w:val="005A28AB"/>
    <w:rsid w:val="005E7CCE"/>
    <w:rsid w:val="006169B4"/>
    <w:rsid w:val="00671D67"/>
    <w:rsid w:val="006B7026"/>
    <w:rsid w:val="00706561"/>
    <w:rsid w:val="007546CA"/>
    <w:rsid w:val="00790A28"/>
    <w:rsid w:val="007C6081"/>
    <w:rsid w:val="007E0568"/>
    <w:rsid w:val="008050DA"/>
    <w:rsid w:val="00872B54"/>
    <w:rsid w:val="00876144"/>
    <w:rsid w:val="00910127"/>
    <w:rsid w:val="00950E62"/>
    <w:rsid w:val="00971229"/>
    <w:rsid w:val="00971400"/>
    <w:rsid w:val="009751D4"/>
    <w:rsid w:val="00981D0D"/>
    <w:rsid w:val="009E20A0"/>
    <w:rsid w:val="009F4EFC"/>
    <w:rsid w:val="00A10504"/>
    <w:rsid w:val="00A26035"/>
    <w:rsid w:val="00A425C6"/>
    <w:rsid w:val="00A450EC"/>
    <w:rsid w:val="00A52168"/>
    <w:rsid w:val="00A7792B"/>
    <w:rsid w:val="00A867C1"/>
    <w:rsid w:val="00A87F24"/>
    <w:rsid w:val="00A96DCC"/>
    <w:rsid w:val="00AA5190"/>
    <w:rsid w:val="00AB3881"/>
    <w:rsid w:val="00AE2597"/>
    <w:rsid w:val="00B21452"/>
    <w:rsid w:val="00B32D19"/>
    <w:rsid w:val="00B7228C"/>
    <w:rsid w:val="00B845A1"/>
    <w:rsid w:val="00BF0EE6"/>
    <w:rsid w:val="00BF1231"/>
    <w:rsid w:val="00BF1FD0"/>
    <w:rsid w:val="00C07E13"/>
    <w:rsid w:val="00C34BCB"/>
    <w:rsid w:val="00C67C7E"/>
    <w:rsid w:val="00C860DD"/>
    <w:rsid w:val="00C95F4F"/>
    <w:rsid w:val="00CC6340"/>
    <w:rsid w:val="00CD708C"/>
    <w:rsid w:val="00CF6043"/>
    <w:rsid w:val="00D032B2"/>
    <w:rsid w:val="00D15E09"/>
    <w:rsid w:val="00D42A3F"/>
    <w:rsid w:val="00D74FB1"/>
    <w:rsid w:val="00D91C94"/>
    <w:rsid w:val="00D92CC5"/>
    <w:rsid w:val="00DA2EE9"/>
    <w:rsid w:val="00DB5419"/>
    <w:rsid w:val="00DC1041"/>
    <w:rsid w:val="00DF19F7"/>
    <w:rsid w:val="00E02592"/>
    <w:rsid w:val="00E66101"/>
    <w:rsid w:val="00E80757"/>
    <w:rsid w:val="00E808E3"/>
    <w:rsid w:val="00EA3BDA"/>
    <w:rsid w:val="00ED11CC"/>
    <w:rsid w:val="00F04540"/>
    <w:rsid w:val="00F14F09"/>
    <w:rsid w:val="00F17F50"/>
    <w:rsid w:val="00FB0D4F"/>
    <w:rsid w:val="00FB24D2"/>
    <w:rsid w:val="00FB7544"/>
    <w:rsid w:val="00FD2959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qFormat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s-rteelement-p">
    <w:name w:val="ms-rteelement-p"/>
    <w:basedOn w:val="Normal"/>
    <w:rsid w:val="002B7831"/>
    <w:pPr>
      <w:spacing w:before="100" w:beforeAutospacing="1" w:after="100" w:afterAutospacing="1" w:line="240" w:lineRule="auto"/>
      <w:jc w:val="left"/>
    </w:pPr>
    <w:rPr>
      <w:rFonts w:cs="Arial"/>
      <w:color w:val="57617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1B"/>
    <w:pPr>
      <w:spacing w:after="0" w:line="240" w:lineRule="atLeast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link w:val="C2-CtrSglSpChar"/>
    <w:qFormat/>
    <w:rsid w:val="004C171B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4C171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171B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1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171B"/>
    <w:rPr>
      <w:rFonts w:ascii="Arial" w:eastAsia="Times New Roman" w:hAnsi="Arial" w:cs="Times New Roman"/>
      <w:sz w:val="24"/>
      <w:szCs w:val="20"/>
    </w:rPr>
  </w:style>
  <w:style w:type="character" w:customStyle="1" w:styleId="C2-CtrSglSpChar">
    <w:name w:val="C2-Ctr Sgl Sp Char"/>
    <w:link w:val="C2-CtrSglSp"/>
    <w:locked/>
    <w:rsid w:val="004C171B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C171B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C171B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C171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C171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TableText">
    <w:name w:val="Table Text"/>
    <w:basedOn w:val="Normal"/>
    <w:rsid w:val="004C171B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5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s-rteelement-p">
    <w:name w:val="ms-rteelement-p"/>
    <w:basedOn w:val="Normal"/>
    <w:rsid w:val="002B7831"/>
    <w:pPr>
      <w:spacing w:before="100" w:beforeAutospacing="1" w:after="100" w:afterAutospacing="1" w:line="240" w:lineRule="auto"/>
      <w:jc w:val="left"/>
    </w:pPr>
    <w:rPr>
      <w:rFonts w:cs="Arial"/>
      <w:color w:val="5761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F514A378.dotm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2013-05-23T19:17:00Z</dcterms:created>
  <dcterms:modified xsi:type="dcterms:W3CDTF">2013-11-06T23:04:00Z</dcterms:modified>
</cp:coreProperties>
</file>