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DC" w:rsidRDefault="00B02DDC" w:rsidP="00B02DDC">
      <w:pPr>
        <w:rPr>
          <w:rFonts w:ascii="Times New Roman" w:hAnsi="Times New Roman" w:cs="Times New Roman"/>
          <w:sz w:val="24"/>
          <w:szCs w:val="24"/>
        </w:rPr>
      </w:pPr>
      <w:r w:rsidRPr="00245587">
        <w:rPr>
          <w:rFonts w:ascii="Times New Roman" w:hAnsi="Times New Roman" w:cs="Times New Roman"/>
          <w:sz w:val="24"/>
          <w:szCs w:val="24"/>
        </w:rPr>
        <w:t>Appendix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3179"/>
        <w:gridCol w:w="4248"/>
      </w:tblGrid>
      <w:tr w:rsidR="001B73E9" w:rsidRPr="001B73E9" w:rsidTr="00AD6F38">
        <w:trPr>
          <w:trHeight w:val="77"/>
        </w:trPr>
        <w:tc>
          <w:tcPr>
            <w:tcW w:w="5000" w:type="pct"/>
            <w:gridSpan w:val="3"/>
            <w:shd w:val="clear" w:color="auto" w:fill="auto"/>
          </w:tcPr>
          <w:p w:rsidR="001B73E9" w:rsidRPr="001B73E9" w:rsidRDefault="001B73E9" w:rsidP="00AD6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E9">
              <w:rPr>
                <w:rFonts w:ascii="Times New Roman" w:hAnsi="Times New Roman" w:cs="Times New Roman"/>
                <w:b/>
              </w:rPr>
              <w:t xml:space="preserve">Measures </w:t>
            </w:r>
            <w:r w:rsidR="00AD6F38">
              <w:rPr>
                <w:rFonts w:ascii="Times New Roman" w:hAnsi="Times New Roman" w:cs="Times New Roman"/>
                <w:b/>
              </w:rPr>
              <w:t>Finalized in FY 2015 IPPS/LTCH</w:t>
            </w:r>
          </w:p>
        </w:tc>
      </w:tr>
      <w:tr w:rsidR="001B73E9" w:rsidRPr="001B73E9" w:rsidTr="00AD6F38">
        <w:trPr>
          <w:trHeight w:val="77"/>
        </w:trPr>
        <w:tc>
          <w:tcPr>
            <w:tcW w:w="1122" w:type="pct"/>
            <w:shd w:val="clear" w:color="auto" w:fill="auto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E9">
              <w:rPr>
                <w:rFonts w:ascii="Times New Roman" w:hAnsi="Times New Roman" w:cs="Times New Roman"/>
                <w:b/>
              </w:rPr>
              <w:t>Measure Domain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E9">
              <w:rPr>
                <w:rFonts w:ascii="Times New Roman" w:hAnsi="Times New Roman" w:cs="Times New Roman"/>
                <w:b/>
              </w:rPr>
              <w:t>NQF Endorsement Number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E9">
              <w:rPr>
                <w:rFonts w:ascii="Times New Roman" w:hAnsi="Times New Roman" w:cs="Times New Roman"/>
                <w:b/>
              </w:rPr>
              <w:t>Measure Name</w:t>
            </w:r>
          </w:p>
        </w:tc>
      </w:tr>
      <w:tr w:rsidR="00AD6F38" w:rsidRPr="001B73E9" w:rsidTr="00AD6F38">
        <w:trPr>
          <w:trHeight w:val="548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="00AD6F38" w:rsidRPr="001B73E9" w:rsidRDefault="00AD6F38" w:rsidP="001B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Safety</w:t>
            </w:r>
          </w:p>
        </w:tc>
        <w:tc>
          <w:tcPr>
            <w:tcW w:w="1660" w:type="pct"/>
            <w:shd w:val="clear" w:color="auto" w:fill="auto"/>
            <w:noWrap/>
            <w:vAlign w:val="center"/>
            <w:hideMark/>
          </w:tcPr>
          <w:p w:rsidR="00AD6F38" w:rsidRPr="001B73E9" w:rsidRDefault="00AD6F38" w:rsidP="001B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0139</w:t>
            </w:r>
          </w:p>
        </w:tc>
        <w:tc>
          <w:tcPr>
            <w:tcW w:w="2218" w:type="pct"/>
            <w:shd w:val="clear" w:color="auto" w:fill="auto"/>
            <w:vAlign w:val="center"/>
            <w:hideMark/>
          </w:tcPr>
          <w:p w:rsidR="00AD6F38" w:rsidRPr="001B73E9" w:rsidRDefault="00AD6F38" w:rsidP="001B7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Line-Associated Bloodstream Infection (CLABSI)</w:t>
            </w:r>
          </w:p>
        </w:tc>
      </w:tr>
      <w:tr w:rsidR="00AD6F38" w:rsidRPr="001B73E9" w:rsidTr="00AD6F38">
        <w:trPr>
          <w:trHeight w:val="77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Default="00AD6F38" w:rsidP="001B7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1B73E9" w:rsidRDefault="00AD6F38" w:rsidP="001B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0138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1B73E9" w:rsidRDefault="00AD6F38" w:rsidP="001B7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Catheter-Associated Urinary Tract Infection (CAUTI)</w:t>
            </w:r>
          </w:p>
        </w:tc>
      </w:tr>
      <w:tr w:rsidR="00AD6F38" w:rsidRPr="001B73E9" w:rsidTr="00AD6F38">
        <w:trPr>
          <w:trHeight w:val="77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Default="00AD6F38" w:rsidP="001B7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</w:tcPr>
          <w:p w:rsidR="00AD6F38" w:rsidRPr="00AD6F38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0753</w:t>
            </w:r>
          </w:p>
        </w:tc>
        <w:tc>
          <w:tcPr>
            <w:tcW w:w="2218" w:type="pct"/>
            <w:shd w:val="clear" w:color="auto" w:fill="auto"/>
          </w:tcPr>
          <w:p w:rsidR="00AD6F38" w:rsidRPr="00AD6F38" w:rsidRDefault="00AD6F38" w:rsidP="007B555E">
            <w:pPr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Harmonized Procedure Specific Surgical Site Infection (SSI) Outcome Measure</w:t>
            </w:r>
          </w:p>
        </w:tc>
      </w:tr>
      <w:tr w:rsidR="001B73E9" w:rsidRPr="001B73E9" w:rsidTr="00AD6F38">
        <w:trPr>
          <w:trHeight w:val="755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Cancer Specific Treatment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0223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1B73E9" w:rsidRPr="001B73E9" w:rsidRDefault="001B73E9" w:rsidP="001B73E9">
            <w:pPr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Adjuvant Chemotherapy is considered or administered within 4 months (120 days) of diagnosis to patients under the age of 80 with AJCC Stage III (lymph node positive) colon cancer</w:t>
            </w:r>
          </w:p>
        </w:tc>
      </w:tr>
      <w:tr w:rsidR="001B73E9" w:rsidRPr="001B73E9" w:rsidTr="00AD6F38">
        <w:trPr>
          <w:trHeight w:val="77"/>
        </w:trPr>
        <w:tc>
          <w:tcPr>
            <w:tcW w:w="1122" w:type="pct"/>
            <w:vMerge/>
            <w:shd w:val="clear" w:color="auto" w:fill="auto"/>
            <w:vAlign w:val="center"/>
          </w:tcPr>
          <w:p w:rsid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0559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1B73E9" w:rsidRPr="001B73E9" w:rsidRDefault="001B73E9" w:rsidP="001B73E9">
            <w:pPr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Combination Chemotherapy is considered or administered within 4 months (120 days) of diagnosis for women under 70 with AJCC T1c, or Stage II or III hormone receptor negative breast cancer</w:t>
            </w:r>
          </w:p>
        </w:tc>
      </w:tr>
      <w:tr w:rsidR="001B73E9" w:rsidRPr="001B73E9" w:rsidTr="00AD6F38">
        <w:trPr>
          <w:trHeight w:val="77"/>
        </w:trPr>
        <w:tc>
          <w:tcPr>
            <w:tcW w:w="1122" w:type="pct"/>
            <w:vMerge/>
            <w:shd w:val="clear" w:color="auto" w:fill="auto"/>
            <w:vAlign w:val="center"/>
          </w:tcPr>
          <w:p w:rsid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1B73E9" w:rsidRPr="001B73E9" w:rsidRDefault="001B73E9" w:rsidP="001B73E9">
            <w:pPr>
              <w:jc w:val="center"/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1B73E9" w:rsidRPr="001B73E9" w:rsidRDefault="001B73E9" w:rsidP="001B73E9">
            <w:pPr>
              <w:rPr>
                <w:rFonts w:ascii="Times New Roman" w:hAnsi="Times New Roman" w:cs="Times New Roman"/>
              </w:rPr>
            </w:pPr>
            <w:r w:rsidRPr="001B73E9">
              <w:rPr>
                <w:rFonts w:ascii="Times New Roman" w:hAnsi="Times New Roman" w:cs="Times New Roman"/>
              </w:rPr>
              <w:t>Adjuvant Hormonal Therapy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 xml:space="preserve">Improvement Project (SCIP)Surgical Care 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0218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 xml:space="preserve">Surgery Patients who Received Appropriate VTE Prophylaxis within 24 </w:t>
            </w:r>
            <w:proofErr w:type="spellStart"/>
            <w:r w:rsidRPr="00B02DDC">
              <w:rPr>
                <w:rFonts w:ascii="Times New Roman" w:hAnsi="Times New Roman" w:cs="Times New Roman"/>
              </w:rPr>
              <w:t>Hrs</w:t>
            </w:r>
            <w:proofErr w:type="spellEnd"/>
            <w:r w:rsidRPr="00B02DDC">
              <w:rPr>
                <w:rFonts w:ascii="Times New Roman" w:hAnsi="Times New Roman" w:cs="Times New Roman"/>
              </w:rPr>
              <w:t xml:space="preserve"> Prior to Surgery to 24 </w:t>
            </w:r>
            <w:proofErr w:type="spellStart"/>
            <w:r w:rsidRPr="00B02DDC">
              <w:rPr>
                <w:rFonts w:ascii="Times New Roman" w:hAnsi="Times New Roman" w:cs="Times New Roman"/>
              </w:rPr>
              <w:t>Hrs</w:t>
            </w:r>
            <w:proofErr w:type="spellEnd"/>
            <w:r w:rsidRPr="00B02DDC">
              <w:rPr>
                <w:rFonts w:ascii="Times New Roman" w:hAnsi="Times New Roman" w:cs="Times New Roman"/>
              </w:rPr>
              <w:t xml:space="preserve"> After Surgery End Time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0284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Surgery Patients on Beta Blocker Therapy Prior to Admission who received a Beta Blocker during the Perioperative Period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0453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Urinary Catheter Removed on Post-Operative Day 1 or Post-Operative Day 2 with Day Surgery Being Day Zero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0527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 xml:space="preserve">Prophylactic Antibiotic Received Within 1 </w:t>
            </w:r>
            <w:proofErr w:type="spellStart"/>
            <w:r w:rsidRPr="00B02DDC">
              <w:rPr>
                <w:rFonts w:ascii="Times New Roman" w:hAnsi="Times New Roman" w:cs="Times New Roman"/>
              </w:rPr>
              <w:t>Hr</w:t>
            </w:r>
            <w:proofErr w:type="spellEnd"/>
            <w:r w:rsidRPr="00B02DDC">
              <w:rPr>
                <w:rFonts w:ascii="Times New Roman" w:hAnsi="Times New Roman" w:cs="Times New Roman"/>
              </w:rPr>
              <w:t xml:space="preserve"> Prior to Surgical Incision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8E52FE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0528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Prophylactic Antibiotic Selection for Surgical Patients</w:t>
            </w:r>
          </w:p>
        </w:tc>
      </w:tr>
      <w:tr w:rsidR="00AD6F38" w:rsidRPr="00B02DDC" w:rsidTr="00606733">
        <w:trPr>
          <w:trHeight w:val="1283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0529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 xml:space="preserve">Prophylactic Antibiotic Discontinued Within 24 </w:t>
            </w:r>
            <w:proofErr w:type="spellStart"/>
            <w:r w:rsidRPr="00B02DDC">
              <w:rPr>
                <w:rFonts w:ascii="Times New Roman" w:hAnsi="Times New Roman" w:cs="Times New Roman"/>
              </w:rPr>
              <w:t>Hrs</w:t>
            </w:r>
            <w:proofErr w:type="spellEnd"/>
            <w:r w:rsidRPr="00B02DDC">
              <w:rPr>
                <w:rFonts w:ascii="Times New Roman" w:hAnsi="Times New Roman" w:cs="Times New Roman"/>
              </w:rPr>
              <w:t xml:space="preserve"> After Surgery End Time</w:t>
            </w:r>
          </w:p>
        </w:tc>
      </w:tr>
      <w:tr w:rsidR="00AD6F38" w:rsidRPr="00B02DDC" w:rsidTr="00DD29A0">
        <w:trPr>
          <w:trHeight w:val="645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="00AD6F38" w:rsidRPr="00B02DDC" w:rsidRDefault="00281A1A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Oncology Care Measures</w:t>
            </w:r>
          </w:p>
        </w:tc>
        <w:tc>
          <w:tcPr>
            <w:tcW w:w="1660" w:type="pct"/>
            <w:shd w:val="clear" w:color="auto" w:fill="auto"/>
            <w:noWrap/>
          </w:tcPr>
          <w:p w:rsidR="00AD6F38" w:rsidRPr="00AD6F38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0382</w:t>
            </w:r>
          </w:p>
        </w:tc>
        <w:tc>
          <w:tcPr>
            <w:tcW w:w="2218" w:type="pct"/>
            <w:shd w:val="clear" w:color="auto" w:fill="auto"/>
          </w:tcPr>
          <w:p w:rsidR="00AD6F38" w:rsidRPr="00AD6F38" w:rsidRDefault="00AD6F38" w:rsidP="009251FE">
            <w:pPr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Oncology-Radiation Dose Limits to Normal Tissues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0383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Oncology: Plan of Care for Pain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0384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Oncology: Pain Intensity Quantified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0390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Prostate Cancer-Adjuvant Hormonal Therapy for High-Risk Patients</w:t>
            </w:r>
          </w:p>
        </w:tc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0389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Prostate Cancer-Avoidance of Overuse Measure-Bone Scan for Staging Low-Risk Patients</w:t>
            </w:r>
          </w:p>
        </w:tc>
        <w:bookmarkStart w:id="0" w:name="_GoBack"/>
        <w:bookmarkEnd w:id="0"/>
      </w:tr>
      <w:tr w:rsidR="00AD6F38" w:rsidRPr="00B02DDC" w:rsidTr="00AD6F38">
        <w:trPr>
          <w:trHeight w:val="710"/>
        </w:trPr>
        <w:tc>
          <w:tcPr>
            <w:tcW w:w="1122" w:type="pct"/>
            <w:vMerge/>
            <w:shd w:val="clear" w:color="auto" w:fill="auto"/>
            <w:vAlign w:val="center"/>
          </w:tcPr>
          <w:p w:rsidR="00AD6F38" w:rsidRPr="00B02DDC" w:rsidRDefault="00AD6F38" w:rsidP="008E52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Patient Engagement/Patient Experience of Care</w:t>
            </w:r>
          </w:p>
        </w:tc>
        <w:tc>
          <w:tcPr>
            <w:tcW w:w="1660" w:type="pct"/>
            <w:shd w:val="clear" w:color="auto" w:fill="auto"/>
            <w:noWrap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0166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AD6F38" w:rsidRPr="00B02DDC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B02DDC">
              <w:rPr>
                <w:rFonts w:ascii="Times New Roman" w:hAnsi="Times New Roman" w:cs="Times New Roman"/>
              </w:rPr>
              <w:t>HCAHPS Patient Experience of Care Survey</w:t>
            </w:r>
          </w:p>
        </w:tc>
      </w:tr>
      <w:tr w:rsidR="00AD6F38" w:rsidRPr="00B02DDC" w:rsidTr="00A11E9D">
        <w:trPr>
          <w:trHeight w:val="710"/>
        </w:trPr>
        <w:tc>
          <w:tcPr>
            <w:tcW w:w="1122" w:type="pct"/>
            <w:shd w:val="clear" w:color="auto" w:fill="auto"/>
          </w:tcPr>
          <w:p w:rsidR="00AD6F38" w:rsidRPr="00AD6F38" w:rsidRDefault="00AD6F38" w:rsidP="00281A1A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Clinical Effectiveness</w:t>
            </w:r>
          </w:p>
        </w:tc>
        <w:tc>
          <w:tcPr>
            <w:tcW w:w="1660" w:type="pct"/>
            <w:shd w:val="clear" w:color="auto" w:fill="auto"/>
            <w:noWrap/>
          </w:tcPr>
          <w:p w:rsidR="00AD6F38" w:rsidRPr="00AD6F38" w:rsidRDefault="00AD6F38" w:rsidP="00AD6F38">
            <w:pPr>
              <w:jc w:val="center"/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2218" w:type="pct"/>
            <w:shd w:val="clear" w:color="auto" w:fill="auto"/>
          </w:tcPr>
          <w:p w:rsidR="00AD6F38" w:rsidRPr="00AD6F38" w:rsidRDefault="00AD6F38" w:rsidP="000804FD">
            <w:pPr>
              <w:rPr>
                <w:rFonts w:ascii="Times New Roman" w:hAnsi="Times New Roman" w:cs="Times New Roman"/>
              </w:rPr>
            </w:pPr>
            <w:r w:rsidRPr="00AD6F38">
              <w:rPr>
                <w:rFonts w:ascii="Times New Roman" w:hAnsi="Times New Roman" w:cs="Times New Roman"/>
              </w:rPr>
              <w:t xml:space="preserve">External Beam Radiotherapy (EBRT) </w:t>
            </w:r>
          </w:p>
        </w:tc>
      </w:tr>
    </w:tbl>
    <w:p w:rsidR="001B73E9" w:rsidRPr="00245587" w:rsidRDefault="001B73E9" w:rsidP="00B02DDC">
      <w:pPr>
        <w:rPr>
          <w:sz w:val="24"/>
          <w:szCs w:val="24"/>
        </w:rPr>
      </w:pPr>
    </w:p>
    <w:p w:rsidR="00B02DDC" w:rsidRDefault="00B02DDC" w:rsidP="00B02DDC">
      <w:pPr>
        <w:pStyle w:val="Default"/>
      </w:pPr>
    </w:p>
    <w:p w:rsidR="00B02DDC" w:rsidRDefault="00B02DDC" w:rsidP="00B02D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02DDC" w:rsidRDefault="00B02DDC" w:rsidP="00B02D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02DDC" w:rsidRDefault="00B02DDC"/>
    <w:sectPr w:rsidR="00B0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DC"/>
    <w:rsid w:val="001B73E9"/>
    <w:rsid w:val="001E277A"/>
    <w:rsid w:val="00245587"/>
    <w:rsid w:val="00281A1A"/>
    <w:rsid w:val="0052189A"/>
    <w:rsid w:val="00AD6F38"/>
    <w:rsid w:val="00B02DDC"/>
    <w:rsid w:val="00B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BARBARA CHOO</cp:lastModifiedBy>
  <cp:revision>2</cp:revision>
  <dcterms:created xsi:type="dcterms:W3CDTF">2014-08-04T17:51:00Z</dcterms:created>
  <dcterms:modified xsi:type="dcterms:W3CDTF">2014-08-04T17:51:00Z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-667819315</vt:i4>
  </property>
  <property fmtid="{D5CDD505-2E9C-101B-9397-08002B2CF9AE}" pid="3" name="_NewReviewCycle">
    <vt:lpwstr/>
  </property>
  <property fmtid="{D5CDD505-2E9C-101B-9397-08002B2CF9AE}" pid="4" name="_EmailSubject">
    <vt:lpwstr>Re: PCHQR PRA submission</vt:lpwstr>
  </property>
  <property fmtid="{D5CDD505-2E9C-101B-9397-08002B2CF9AE}" pid="5" name="_AuthorEmail">
    <vt:lpwstr>Barbara.Choo@cms.hhs.gov</vt:lpwstr>
  </property>
  <property fmtid="{D5CDD505-2E9C-101B-9397-08002B2CF9AE}" pid="6" name="_AuthorEmailDisplayName">
    <vt:lpwstr>Choo, Barbara C.(CMS/CCSQ)</vt:lpwstr>
  </property>
</Properties>
</file>