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918" w:rsidRDefault="007D3918" w:rsidP="007D3918">
      <w:pPr>
        <w:pStyle w:val="ListParagraph"/>
        <w:ind w:left="360"/>
        <w:jc w:val="center"/>
        <w:rPr>
          <w:b/>
        </w:rPr>
      </w:pPr>
      <w:bookmarkStart w:id="0" w:name="_GoBack"/>
      <w:bookmarkEnd w:id="0"/>
      <w:r>
        <w:rPr>
          <w:b/>
        </w:rPr>
        <w:t>PCHQR PRA</w:t>
      </w:r>
      <w:r w:rsidR="00CC0077">
        <w:rPr>
          <w:b/>
        </w:rPr>
        <w:t xml:space="preserve"> Appendix B</w:t>
      </w:r>
    </w:p>
    <w:p w:rsidR="00285035" w:rsidRPr="00151E80" w:rsidRDefault="007D3918" w:rsidP="007D3918">
      <w:pPr>
        <w:pStyle w:val="ListParagraph"/>
        <w:ind w:left="360"/>
        <w:jc w:val="center"/>
      </w:pPr>
      <w:r>
        <w:rPr>
          <w:b/>
        </w:rPr>
        <w:t xml:space="preserve">FY 2017 </w:t>
      </w:r>
      <w:r w:rsidR="00285035" w:rsidRPr="00151E80">
        <w:rPr>
          <w:b/>
        </w:rPr>
        <w:t>Burden Estimate (Total Hours &amp; Wages)</w:t>
      </w:r>
    </w:p>
    <w:p w:rsidR="00285035" w:rsidRPr="00151E80" w:rsidRDefault="00285035" w:rsidP="00285035">
      <w:pPr>
        <w:rPr>
          <w:u w:val="single"/>
        </w:rPr>
      </w:pPr>
    </w:p>
    <w:p w:rsidR="00935E16" w:rsidRPr="00151E80" w:rsidRDefault="00935E16" w:rsidP="00935E16">
      <w:pPr>
        <w:spacing w:line="276" w:lineRule="auto"/>
        <w:rPr>
          <w:rFonts w:eastAsiaTheme="minorHAnsi"/>
          <w:color w:val="000000"/>
        </w:rPr>
      </w:pPr>
    </w:p>
    <w:p w:rsidR="00935E16" w:rsidRPr="00151E80" w:rsidRDefault="00935E16" w:rsidP="00935E16">
      <w:pPr>
        <w:spacing w:line="276" w:lineRule="auto"/>
        <w:rPr>
          <w:rFonts w:eastAsiaTheme="minorHAnsi"/>
          <w:color w:val="000000"/>
        </w:rPr>
      </w:pPr>
      <w:r w:rsidRPr="00151E80">
        <w:rPr>
          <w:rFonts w:eastAsiaTheme="minorHAnsi"/>
          <w:color w:val="000000"/>
        </w:rPr>
        <w:t xml:space="preserve">We calculated the burden estimates for data collection related to the measures for the PCHQR Program based on the following data: </w:t>
      </w:r>
    </w:p>
    <w:p w:rsidR="00935E16" w:rsidRPr="00151E80" w:rsidRDefault="00935E16" w:rsidP="00935E16">
      <w:pPr>
        <w:spacing w:line="276" w:lineRule="auto"/>
        <w:rPr>
          <w:rFonts w:eastAsiaTheme="minorHAnsi"/>
          <w:color w:val="000000"/>
        </w:rPr>
      </w:pPr>
    </w:p>
    <w:p w:rsidR="00935E16" w:rsidRPr="00151E80" w:rsidRDefault="00935E16" w:rsidP="00935E16">
      <w:pPr>
        <w:pStyle w:val="ListParagraph"/>
        <w:numPr>
          <w:ilvl w:val="0"/>
          <w:numId w:val="9"/>
        </w:numPr>
        <w:autoSpaceDE w:val="0"/>
        <w:autoSpaceDN w:val="0"/>
        <w:adjustRightInd w:val="0"/>
        <w:spacing w:after="3" w:line="276" w:lineRule="auto"/>
        <w:rPr>
          <w:rFonts w:eastAsiaTheme="minorHAnsi"/>
          <w:color w:val="000000"/>
        </w:rPr>
      </w:pPr>
      <w:r w:rsidRPr="00151E80">
        <w:rPr>
          <w:rFonts w:eastAsiaTheme="minorHAnsi"/>
          <w:color w:val="000000"/>
        </w:rPr>
        <w:t>There are approximate</w:t>
      </w:r>
      <w:r w:rsidR="002F0C10">
        <w:rPr>
          <w:rFonts w:eastAsiaTheme="minorHAnsi"/>
          <w:color w:val="000000"/>
        </w:rPr>
        <w:t>ly 11 PCH facilities nationwide.</w:t>
      </w:r>
    </w:p>
    <w:p w:rsidR="00935E16" w:rsidRPr="00151E80" w:rsidRDefault="00935E16" w:rsidP="00935E16">
      <w:pPr>
        <w:pStyle w:val="ListParagraph"/>
        <w:numPr>
          <w:ilvl w:val="0"/>
          <w:numId w:val="9"/>
        </w:numPr>
        <w:autoSpaceDE w:val="0"/>
        <w:autoSpaceDN w:val="0"/>
        <w:adjustRightInd w:val="0"/>
        <w:spacing w:after="3" w:line="276" w:lineRule="auto"/>
        <w:rPr>
          <w:rFonts w:eastAsiaTheme="minorHAnsi"/>
          <w:color w:val="000000"/>
        </w:rPr>
      </w:pPr>
      <w:r w:rsidRPr="00151E80">
        <w:rPr>
          <w:rFonts w:eastAsiaTheme="minorHAnsi"/>
          <w:color w:val="000000"/>
        </w:rPr>
        <w:t>There are approximately 63,468</w:t>
      </w:r>
      <w:r w:rsidRPr="00151E80">
        <w:rPr>
          <w:rStyle w:val="FootnoteReference"/>
          <w:rFonts w:eastAsiaTheme="minorHAnsi"/>
          <w:color w:val="000000"/>
        </w:rPr>
        <w:footnoteReference w:id="1"/>
      </w:r>
      <w:r w:rsidRPr="00151E80">
        <w:rPr>
          <w:rFonts w:eastAsiaTheme="minorHAnsi"/>
          <w:color w:val="000000"/>
        </w:rPr>
        <w:t xml:space="preserve"> cancer cases across all PCHs per year </w:t>
      </w:r>
      <w:r w:rsidR="0009571E">
        <w:rPr>
          <w:rFonts w:eastAsiaTheme="minorHAnsi"/>
          <w:color w:val="000000"/>
        </w:rPr>
        <w:t>(beginning with FY 2017)</w:t>
      </w:r>
      <w:r w:rsidR="002F0C10">
        <w:rPr>
          <w:rFonts w:eastAsiaTheme="minorHAnsi"/>
          <w:color w:val="000000"/>
        </w:rPr>
        <w:t>.</w:t>
      </w:r>
    </w:p>
    <w:p w:rsidR="00935E16" w:rsidRPr="00151E80" w:rsidRDefault="00935E16" w:rsidP="00935E16">
      <w:pPr>
        <w:pStyle w:val="ListParagraph"/>
        <w:numPr>
          <w:ilvl w:val="0"/>
          <w:numId w:val="9"/>
        </w:numPr>
        <w:autoSpaceDE w:val="0"/>
        <w:autoSpaceDN w:val="0"/>
        <w:adjustRightInd w:val="0"/>
        <w:spacing w:after="3" w:line="276" w:lineRule="auto"/>
        <w:rPr>
          <w:rFonts w:eastAsiaTheme="minorHAnsi"/>
          <w:color w:val="000000"/>
        </w:rPr>
      </w:pPr>
      <w:r w:rsidRPr="00151E80">
        <w:rPr>
          <w:rFonts w:eastAsiaTheme="minorHAnsi"/>
          <w:color w:val="000000"/>
        </w:rPr>
        <w:t xml:space="preserve">The average PCH facility handles 5,770 </w:t>
      </w:r>
      <w:r w:rsidR="0009571E">
        <w:rPr>
          <w:rFonts w:eastAsiaTheme="minorHAnsi"/>
          <w:color w:val="000000"/>
        </w:rPr>
        <w:t>patients</w:t>
      </w:r>
      <w:r w:rsidR="0009571E" w:rsidRPr="00151E80">
        <w:rPr>
          <w:rFonts w:eastAsiaTheme="minorHAnsi"/>
          <w:color w:val="000000"/>
        </w:rPr>
        <w:t xml:space="preserve"> </w:t>
      </w:r>
      <w:r w:rsidR="002F0C10">
        <w:rPr>
          <w:rFonts w:eastAsiaTheme="minorHAnsi"/>
          <w:color w:val="000000"/>
        </w:rPr>
        <w:t>per year.</w:t>
      </w:r>
    </w:p>
    <w:p w:rsidR="00935E16" w:rsidRPr="00151E80" w:rsidRDefault="00935E16" w:rsidP="00935E16">
      <w:pPr>
        <w:pStyle w:val="ListParagraph"/>
        <w:numPr>
          <w:ilvl w:val="0"/>
          <w:numId w:val="9"/>
        </w:numPr>
        <w:autoSpaceDE w:val="0"/>
        <w:autoSpaceDN w:val="0"/>
        <w:adjustRightInd w:val="0"/>
        <w:spacing w:after="3" w:line="276" w:lineRule="auto"/>
        <w:rPr>
          <w:rFonts w:eastAsiaTheme="minorHAnsi"/>
          <w:color w:val="000000"/>
        </w:rPr>
      </w:pPr>
      <w:r w:rsidRPr="00151E80">
        <w:rPr>
          <w:rFonts w:eastAsiaTheme="minorHAnsi"/>
          <w:color w:val="000000"/>
        </w:rPr>
        <w:t>The average time spent per measure per case for chart abstraction and data submission is approximately one half of an hour</w:t>
      </w:r>
      <w:r w:rsidRPr="00151E80">
        <w:rPr>
          <w:rStyle w:val="FootnoteReference"/>
          <w:rFonts w:eastAsiaTheme="minorHAnsi"/>
          <w:color w:val="000000"/>
        </w:rPr>
        <w:footnoteReference w:id="2"/>
      </w:r>
      <w:r w:rsidR="002F0C10">
        <w:rPr>
          <w:rFonts w:eastAsiaTheme="minorHAnsi"/>
          <w:color w:val="000000"/>
        </w:rPr>
        <w:t>.</w:t>
      </w:r>
    </w:p>
    <w:p w:rsidR="00935E16" w:rsidRPr="00151E80" w:rsidRDefault="00935E16" w:rsidP="00935E16">
      <w:pPr>
        <w:pStyle w:val="ListParagraph"/>
        <w:numPr>
          <w:ilvl w:val="0"/>
          <w:numId w:val="9"/>
        </w:numPr>
        <w:autoSpaceDE w:val="0"/>
        <w:autoSpaceDN w:val="0"/>
        <w:adjustRightInd w:val="0"/>
        <w:spacing w:line="276" w:lineRule="auto"/>
        <w:rPr>
          <w:rFonts w:eastAsiaTheme="minorHAnsi"/>
          <w:color w:val="000000"/>
        </w:rPr>
      </w:pPr>
      <w:r w:rsidRPr="00151E80">
        <w:rPr>
          <w:rFonts w:eastAsiaTheme="minorHAnsi"/>
          <w:color w:val="000000"/>
        </w:rPr>
        <w:t>Hourly wage is $33 per hour, based on wage estimates for healthcare workers that are known to engage in chart abstraction</w:t>
      </w:r>
      <w:r w:rsidRPr="00151E80">
        <w:rPr>
          <w:rStyle w:val="FootnoteReference"/>
          <w:rFonts w:eastAsiaTheme="minorHAnsi"/>
          <w:color w:val="000000"/>
        </w:rPr>
        <w:footnoteReference w:id="3"/>
      </w:r>
      <w:r w:rsidR="009A173D">
        <w:rPr>
          <w:rFonts w:eastAsiaTheme="minorHAnsi"/>
          <w:color w:val="000000"/>
        </w:rPr>
        <w:t>.  Employee benefits and overhead costs are estimated at an additional $33 per hour, for a total cost of $66 per labor hour.</w:t>
      </w:r>
    </w:p>
    <w:p w:rsidR="00935E16" w:rsidRDefault="00935E16" w:rsidP="00935E16">
      <w:pPr>
        <w:pStyle w:val="ListParagraph"/>
        <w:numPr>
          <w:ilvl w:val="0"/>
          <w:numId w:val="9"/>
        </w:numPr>
        <w:autoSpaceDE w:val="0"/>
        <w:autoSpaceDN w:val="0"/>
        <w:adjustRightInd w:val="0"/>
        <w:spacing w:line="276" w:lineRule="auto"/>
        <w:rPr>
          <w:rFonts w:eastAsiaTheme="minorHAnsi"/>
          <w:color w:val="000000"/>
        </w:rPr>
      </w:pPr>
      <w:r w:rsidRPr="00151E80">
        <w:rPr>
          <w:rFonts w:eastAsiaTheme="minorHAnsi"/>
          <w:color w:val="000000"/>
        </w:rPr>
        <w:t>Personnel training requires one half of an hour for each new measu</w:t>
      </w:r>
      <w:r w:rsidR="00BA59B2">
        <w:rPr>
          <w:rFonts w:eastAsiaTheme="minorHAnsi"/>
          <w:color w:val="000000"/>
        </w:rPr>
        <w:t>re and one quarter of an hour for</w:t>
      </w:r>
      <w:r w:rsidRPr="00151E80">
        <w:rPr>
          <w:rFonts w:eastAsiaTheme="minorHAnsi"/>
          <w:color w:val="000000"/>
        </w:rPr>
        <w:t xml:space="preserve"> measure maintenance </w:t>
      </w:r>
      <w:r w:rsidR="00BA59B2">
        <w:rPr>
          <w:rFonts w:eastAsiaTheme="minorHAnsi"/>
          <w:color w:val="000000"/>
        </w:rPr>
        <w:t>of</w:t>
      </w:r>
      <w:r w:rsidRPr="00151E80">
        <w:rPr>
          <w:rFonts w:eastAsiaTheme="minorHAnsi"/>
          <w:color w:val="000000"/>
        </w:rPr>
        <w:t xml:space="preserve"> each existing measure</w:t>
      </w:r>
      <w:r w:rsidR="002F0C10">
        <w:rPr>
          <w:rFonts w:eastAsiaTheme="minorHAnsi"/>
          <w:color w:val="000000"/>
        </w:rPr>
        <w:t>.</w:t>
      </w:r>
    </w:p>
    <w:p w:rsidR="00CB588D" w:rsidRDefault="00CB588D" w:rsidP="00935E16">
      <w:pPr>
        <w:pStyle w:val="ListParagraph"/>
        <w:numPr>
          <w:ilvl w:val="0"/>
          <w:numId w:val="9"/>
        </w:numPr>
        <w:autoSpaceDE w:val="0"/>
        <w:autoSpaceDN w:val="0"/>
        <w:adjustRightInd w:val="0"/>
        <w:spacing w:line="276" w:lineRule="auto"/>
        <w:rPr>
          <w:rFonts w:eastAsiaTheme="minorHAnsi"/>
          <w:color w:val="000000"/>
        </w:rPr>
      </w:pPr>
      <w:r>
        <w:rPr>
          <w:rFonts w:eastAsiaTheme="minorHAnsi"/>
          <w:color w:val="000000"/>
        </w:rPr>
        <w:t xml:space="preserve">PCHs will require a maximum of </w:t>
      </w:r>
      <w:r w:rsidR="00692D37">
        <w:rPr>
          <w:rFonts w:eastAsiaTheme="minorHAnsi"/>
          <w:color w:val="000000"/>
        </w:rPr>
        <w:t>five</w:t>
      </w:r>
      <w:r>
        <w:rPr>
          <w:rFonts w:eastAsiaTheme="minorHAnsi"/>
          <w:color w:val="000000"/>
        </w:rPr>
        <w:t xml:space="preserve"> hours to tally and report population and sample count data</w:t>
      </w:r>
      <w:r w:rsidR="002F0C10">
        <w:rPr>
          <w:rFonts w:eastAsiaTheme="minorHAnsi"/>
          <w:color w:val="000000"/>
        </w:rPr>
        <w:t>.</w:t>
      </w:r>
    </w:p>
    <w:p w:rsidR="002F0C10" w:rsidRPr="00AD0DDE" w:rsidRDefault="002F0C10" w:rsidP="002F0C10">
      <w:pPr>
        <w:pStyle w:val="ListParagraph"/>
        <w:numPr>
          <w:ilvl w:val="0"/>
          <w:numId w:val="9"/>
        </w:numPr>
      </w:pPr>
      <w:r w:rsidRPr="00AD0DDE">
        <w:t>It is estimated that the</w:t>
      </w:r>
      <w:r>
        <w:t xml:space="preserve"> NOP, DACA, Extraordinary Circumstances Exception, and measure exception forms </w:t>
      </w:r>
      <w:r w:rsidRPr="00AD0DDE">
        <w:t xml:space="preserve">should take less than five minutes to complete </w:t>
      </w:r>
      <w:r>
        <w:t xml:space="preserve">and </w:t>
      </w:r>
      <w:r w:rsidRPr="00AD0DDE">
        <w:t xml:space="preserve">thus the burden related to this activity is negligible. </w:t>
      </w:r>
      <w:r>
        <w:t>However, we have estimated these administrative forms at a conservative estimate of 15 minutes per facility per year.</w:t>
      </w:r>
    </w:p>
    <w:p w:rsidR="00935E16" w:rsidRPr="00151E80" w:rsidRDefault="00935E16" w:rsidP="00935E16">
      <w:pPr>
        <w:spacing w:line="276" w:lineRule="auto"/>
        <w:rPr>
          <w:rFonts w:eastAsiaTheme="minorHAnsi"/>
          <w:color w:val="000000"/>
        </w:rPr>
      </w:pPr>
    </w:p>
    <w:p w:rsidR="007D3918" w:rsidRDefault="00935E16" w:rsidP="00935E16">
      <w:pPr>
        <w:spacing w:line="276" w:lineRule="auto"/>
        <w:rPr>
          <w:rFonts w:eastAsiaTheme="minorHAnsi"/>
          <w:color w:val="000000"/>
        </w:rPr>
      </w:pPr>
      <w:r w:rsidRPr="00151E80">
        <w:rPr>
          <w:rFonts w:eastAsiaTheme="minorHAnsi"/>
          <w:color w:val="000000"/>
        </w:rPr>
        <w:t xml:space="preserve">Our burden estimate calculations are based on the maximum required sample sizes per measure as specified in the </w:t>
      </w:r>
      <w:r w:rsidR="00692D37">
        <w:rPr>
          <w:rFonts w:eastAsiaTheme="minorHAnsi"/>
          <w:color w:val="000000"/>
        </w:rPr>
        <w:t xml:space="preserve">FY </w:t>
      </w:r>
      <w:r w:rsidRPr="00151E80">
        <w:rPr>
          <w:rFonts w:eastAsiaTheme="minorHAnsi"/>
          <w:color w:val="000000"/>
        </w:rPr>
        <w:t xml:space="preserve">2014 IPPS/LTCH PPS Final Rule and the </w:t>
      </w:r>
      <w:r w:rsidR="00692D37">
        <w:rPr>
          <w:rFonts w:eastAsiaTheme="minorHAnsi"/>
          <w:color w:val="000000"/>
        </w:rPr>
        <w:t xml:space="preserve">FY </w:t>
      </w:r>
      <w:r w:rsidRPr="00151E80">
        <w:rPr>
          <w:rFonts w:eastAsiaTheme="minorHAnsi"/>
          <w:color w:val="000000"/>
        </w:rPr>
        <w:t>2015 IPPS/LTCH PPS Proposed Rule (see Table A).</w:t>
      </w:r>
    </w:p>
    <w:p w:rsidR="007D3918" w:rsidRDefault="007D3918" w:rsidP="00935E16">
      <w:pPr>
        <w:spacing w:line="276" w:lineRule="auto"/>
        <w:rPr>
          <w:rFonts w:eastAsiaTheme="minorHAnsi"/>
          <w:color w:val="000000"/>
        </w:rPr>
      </w:pPr>
    </w:p>
    <w:p w:rsidR="00935E16" w:rsidRPr="00151E80" w:rsidRDefault="00935E16" w:rsidP="00935E16">
      <w:pPr>
        <w:spacing w:line="276" w:lineRule="auto"/>
        <w:rPr>
          <w:rFonts w:eastAsiaTheme="minorHAnsi"/>
          <w:color w:val="000000"/>
        </w:rPr>
      </w:pPr>
      <w:r w:rsidRPr="00151E80">
        <w:rPr>
          <w:rFonts w:eastAsiaTheme="minorHAnsi"/>
          <w:color w:val="000000"/>
        </w:rPr>
        <w:t>Table A</w:t>
      </w:r>
    </w:p>
    <w:tbl>
      <w:tblPr>
        <w:tblStyle w:val="TableGrid"/>
        <w:tblW w:w="9403" w:type="dxa"/>
        <w:tblLayout w:type="fixed"/>
        <w:tblLook w:val="04A0" w:firstRow="1" w:lastRow="0" w:firstColumn="1" w:lastColumn="0" w:noHBand="0" w:noVBand="1"/>
      </w:tblPr>
      <w:tblGrid>
        <w:gridCol w:w="1008"/>
        <w:gridCol w:w="4320"/>
        <w:gridCol w:w="2340"/>
        <w:gridCol w:w="1735"/>
      </w:tblGrid>
      <w:tr w:rsidR="00935E16" w:rsidTr="00326B88">
        <w:trPr>
          <w:trHeight w:val="648"/>
        </w:trPr>
        <w:tc>
          <w:tcPr>
            <w:tcW w:w="1008" w:type="dxa"/>
          </w:tcPr>
          <w:p w:rsidR="00935E16" w:rsidRPr="00935E16" w:rsidRDefault="00935E16" w:rsidP="00326B88">
            <w:pPr>
              <w:spacing w:line="276" w:lineRule="auto"/>
              <w:jc w:val="center"/>
              <w:rPr>
                <w:rFonts w:eastAsiaTheme="minorHAnsi"/>
                <w:b/>
                <w:color w:val="000000"/>
                <w:sz w:val="20"/>
                <w:szCs w:val="20"/>
              </w:rPr>
            </w:pPr>
            <w:r w:rsidRPr="00935E16">
              <w:rPr>
                <w:rFonts w:eastAsiaTheme="minorHAnsi"/>
                <w:b/>
                <w:color w:val="000000"/>
                <w:sz w:val="20"/>
                <w:szCs w:val="20"/>
              </w:rPr>
              <w:t>Measure Type</w:t>
            </w:r>
          </w:p>
        </w:tc>
        <w:tc>
          <w:tcPr>
            <w:tcW w:w="4320" w:type="dxa"/>
          </w:tcPr>
          <w:p w:rsidR="00935E16" w:rsidRPr="00935E16" w:rsidRDefault="00935E16" w:rsidP="00326B88">
            <w:pPr>
              <w:spacing w:line="276" w:lineRule="auto"/>
              <w:jc w:val="center"/>
              <w:rPr>
                <w:rFonts w:eastAsiaTheme="minorHAnsi"/>
                <w:b/>
                <w:color w:val="000000"/>
                <w:sz w:val="20"/>
                <w:szCs w:val="20"/>
              </w:rPr>
            </w:pPr>
            <w:r w:rsidRPr="00935E16">
              <w:rPr>
                <w:rFonts w:eastAsiaTheme="minorHAnsi"/>
                <w:b/>
                <w:color w:val="000000"/>
                <w:sz w:val="20"/>
                <w:szCs w:val="20"/>
              </w:rPr>
              <w:t>Measures</w:t>
            </w:r>
          </w:p>
        </w:tc>
        <w:tc>
          <w:tcPr>
            <w:tcW w:w="2340" w:type="dxa"/>
          </w:tcPr>
          <w:p w:rsidR="00935E16" w:rsidRPr="00935E16" w:rsidRDefault="00935E16" w:rsidP="00326B88">
            <w:pPr>
              <w:spacing w:line="276" w:lineRule="auto"/>
              <w:jc w:val="center"/>
              <w:rPr>
                <w:rFonts w:eastAsiaTheme="minorHAnsi"/>
                <w:b/>
                <w:color w:val="000000"/>
                <w:sz w:val="20"/>
                <w:szCs w:val="20"/>
              </w:rPr>
            </w:pPr>
            <w:r w:rsidRPr="00935E16">
              <w:rPr>
                <w:rFonts w:eastAsiaTheme="minorHAnsi"/>
                <w:b/>
                <w:color w:val="000000"/>
                <w:sz w:val="20"/>
                <w:szCs w:val="20"/>
              </w:rPr>
              <w:t xml:space="preserve">Expected Annual Sample Size per Measure </w:t>
            </w:r>
          </w:p>
        </w:tc>
        <w:tc>
          <w:tcPr>
            <w:tcW w:w="1735" w:type="dxa"/>
          </w:tcPr>
          <w:p w:rsidR="00935E16" w:rsidRPr="00935E16" w:rsidRDefault="00935E16" w:rsidP="00326B88">
            <w:pPr>
              <w:spacing w:line="276" w:lineRule="auto"/>
              <w:jc w:val="center"/>
              <w:rPr>
                <w:rFonts w:eastAsiaTheme="minorHAnsi"/>
                <w:b/>
                <w:color w:val="000000"/>
                <w:sz w:val="20"/>
                <w:szCs w:val="20"/>
              </w:rPr>
            </w:pPr>
            <w:r w:rsidRPr="00935E16">
              <w:rPr>
                <w:rFonts w:eastAsiaTheme="minorHAnsi"/>
                <w:b/>
                <w:color w:val="000000"/>
                <w:sz w:val="20"/>
                <w:szCs w:val="20"/>
              </w:rPr>
              <w:t xml:space="preserve"># of Cases/Events per Measure Type </w:t>
            </w:r>
          </w:p>
        </w:tc>
      </w:tr>
      <w:tr w:rsidR="00935E16" w:rsidTr="00326B88">
        <w:trPr>
          <w:trHeight w:val="290"/>
        </w:trPr>
        <w:tc>
          <w:tcPr>
            <w:tcW w:w="1008" w:type="dxa"/>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t>Census</w:t>
            </w:r>
          </w:p>
        </w:tc>
        <w:tc>
          <w:tcPr>
            <w:tcW w:w="4320" w:type="dxa"/>
          </w:tcPr>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NHSN Central Line-Associated Bloodstream Infection (CLABSI) Outcome Measure</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NHSN Catheter-Associated Urinary Tract Infection (CAUTI) Outcome Measure</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NHSN Surgical Site Infection (SSI) Outcome Measure</w:t>
            </w:r>
          </w:p>
          <w:p w:rsidR="00935E16" w:rsidRPr="00935E16" w:rsidRDefault="00935E16" w:rsidP="00326B88">
            <w:pPr>
              <w:spacing w:line="276" w:lineRule="auto"/>
              <w:rPr>
                <w:rFonts w:eastAsiaTheme="minorHAnsi"/>
                <w:color w:val="000000"/>
                <w:sz w:val="20"/>
                <w:szCs w:val="20"/>
              </w:rPr>
            </w:pPr>
            <w:r w:rsidRPr="00935E16">
              <w:rPr>
                <w:sz w:val="20"/>
                <w:szCs w:val="20"/>
              </w:rPr>
              <w:lastRenderedPageBreak/>
              <w:t>●</w:t>
            </w:r>
            <w:r w:rsidRPr="00935E16">
              <w:rPr>
                <w:rFonts w:eastAsiaTheme="minorHAnsi"/>
                <w:color w:val="000000"/>
                <w:sz w:val="20"/>
                <w:szCs w:val="20"/>
              </w:rPr>
              <w:t xml:space="preserve"> </w:t>
            </w:r>
            <w:r w:rsidRPr="00935E16">
              <w:rPr>
                <w:sz w:val="20"/>
                <w:szCs w:val="20"/>
              </w:rPr>
              <w:t>Adjuvant Chemotherapy is considered or administered within 4 months (120 days) of surgery to patients under the age of 80 with AJCC Stage III (lymph node positive) colon cancer</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w:t>
            </w:r>
            <w:r w:rsidRPr="00935E16">
              <w:rPr>
                <w:sz w:val="20"/>
                <w:szCs w:val="20"/>
              </w:rPr>
              <w:t>Combination Chemotherapy is considered or administered within 4 months  (120 days) of diagnosis for women under 70 with AJCC T1c, or Stage II or III hormone receptor negative Breast Cancer</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w:t>
            </w:r>
            <w:r w:rsidRPr="00935E16">
              <w:rPr>
                <w:sz w:val="20"/>
                <w:szCs w:val="20"/>
              </w:rPr>
              <w:t>Adjuvant Hormonal Therapy</w:t>
            </w:r>
          </w:p>
        </w:tc>
        <w:tc>
          <w:tcPr>
            <w:tcW w:w="2340" w:type="dxa"/>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lastRenderedPageBreak/>
              <w:t>5,770 (Full population</w:t>
            </w:r>
            <w:r w:rsidR="00FA390B">
              <w:rPr>
                <w:rFonts w:eastAsiaTheme="minorHAnsi"/>
                <w:color w:val="000000"/>
                <w:sz w:val="20"/>
                <w:szCs w:val="20"/>
              </w:rPr>
              <w:t xml:space="preserve"> sampling required for each of 6</w:t>
            </w:r>
            <w:r w:rsidRPr="00935E16">
              <w:rPr>
                <w:rFonts w:eastAsiaTheme="minorHAnsi"/>
                <w:color w:val="000000"/>
                <w:sz w:val="20"/>
                <w:szCs w:val="20"/>
              </w:rPr>
              <w:t xml:space="preserve"> census measures)</w:t>
            </w:r>
          </w:p>
        </w:tc>
        <w:tc>
          <w:tcPr>
            <w:tcW w:w="1735" w:type="dxa"/>
          </w:tcPr>
          <w:p w:rsidR="00935E16" w:rsidRPr="00935E16" w:rsidRDefault="00FA390B" w:rsidP="00326B88">
            <w:pPr>
              <w:spacing w:line="276" w:lineRule="auto"/>
              <w:rPr>
                <w:rFonts w:eastAsiaTheme="minorHAnsi"/>
                <w:color w:val="000000"/>
                <w:sz w:val="20"/>
                <w:szCs w:val="20"/>
              </w:rPr>
            </w:pPr>
            <w:r>
              <w:rPr>
                <w:rFonts w:eastAsiaTheme="minorHAnsi"/>
                <w:color w:val="000000"/>
                <w:sz w:val="20"/>
                <w:szCs w:val="20"/>
              </w:rPr>
              <w:t>34,620</w:t>
            </w:r>
          </w:p>
        </w:tc>
      </w:tr>
      <w:tr w:rsidR="00935E16" w:rsidTr="00326B88">
        <w:trPr>
          <w:trHeight w:val="290"/>
        </w:trPr>
        <w:tc>
          <w:tcPr>
            <w:tcW w:w="1008" w:type="dxa"/>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lastRenderedPageBreak/>
              <w:t>SCIP</w:t>
            </w:r>
          </w:p>
        </w:tc>
        <w:tc>
          <w:tcPr>
            <w:tcW w:w="4320" w:type="dxa"/>
          </w:tcPr>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Surgery Patients Who Received Appropriate VTE Prophylaxis within 24 </w:t>
            </w:r>
            <w:proofErr w:type="spellStart"/>
            <w:r w:rsidRPr="00935E16">
              <w:rPr>
                <w:rFonts w:eastAsiaTheme="minorHAnsi"/>
                <w:color w:val="000000"/>
                <w:sz w:val="20"/>
                <w:szCs w:val="20"/>
              </w:rPr>
              <w:t>Hrs</w:t>
            </w:r>
            <w:proofErr w:type="spellEnd"/>
            <w:r w:rsidRPr="00935E16">
              <w:rPr>
                <w:rFonts w:eastAsiaTheme="minorHAnsi"/>
                <w:color w:val="000000"/>
                <w:sz w:val="20"/>
                <w:szCs w:val="20"/>
              </w:rPr>
              <w:t xml:space="preserve"> Prior to Surgery to 24 </w:t>
            </w:r>
            <w:proofErr w:type="spellStart"/>
            <w:r w:rsidRPr="00935E16">
              <w:rPr>
                <w:rFonts w:eastAsiaTheme="minorHAnsi"/>
                <w:color w:val="000000"/>
                <w:sz w:val="20"/>
                <w:szCs w:val="20"/>
              </w:rPr>
              <w:t>Hrs</w:t>
            </w:r>
            <w:proofErr w:type="spellEnd"/>
            <w:r w:rsidRPr="00935E16">
              <w:rPr>
                <w:rFonts w:eastAsiaTheme="minorHAnsi"/>
                <w:color w:val="000000"/>
                <w:sz w:val="20"/>
                <w:szCs w:val="20"/>
              </w:rPr>
              <w:t xml:space="preserve"> After Surgery End Time</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Surgery Patients on Beta Blocker Therapy Prior to Admission Who Received a Beta Blocker during the Perioperative Period</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Urinary Catheter Removed on Post-Operative Day 1 or Post-Operative Day 2 with Day Surgery Being Day Zero</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Prophylactic Antibiotic Received Within 1 </w:t>
            </w:r>
            <w:proofErr w:type="spellStart"/>
            <w:r w:rsidRPr="00935E16">
              <w:rPr>
                <w:rFonts w:eastAsiaTheme="minorHAnsi"/>
                <w:color w:val="000000"/>
                <w:sz w:val="20"/>
                <w:szCs w:val="20"/>
              </w:rPr>
              <w:t>Hr</w:t>
            </w:r>
            <w:proofErr w:type="spellEnd"/>
            <w:r w:rsidRPr="00935E16">
              <w:rPr>
                <w:rFonts w:eastAsiaTheme="minorHAnsi"/>
                <w:color w:val="000000"/>
                <w:sz w:val="20"/>
                <w:szCs w:val="20"/>
              </w:rPr>
              <w:t xml:space="preserve"> Prior to Surgical Incision</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Prophylactic Antibiotic Selection for Surgical Patients</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Prophylactic Antibiotic Discontinued Within 24 </w:t>
            </w:r>
            <w:proofErr w:type="spellStart"/>
            <w:r w:rsidRPr="00935E16">
              <w:rPr>
                <w:rFonts w:eastAsiaTheme="minorHAnsi"/>
                <w:color w:val="000000"/>
                <w:sz w:val="20"/>
                <w:szCs w:val="20"/>
              </w:rPr>
              <w:t>Hrs</w:t>
            </w:r>
            <w:proofErr w:type="spellEnd"/>
            <w:r w:rsidRPr="00935E16">
              <w:rPr>
                <w:rFonts w:eastAsiaTheme="minorHAnsi"/>
                <w:color w:val="000000"/>
                <w:sz w:val="20"/>
                <w:szCs w:val="20"/>
              </w:rPr>
              <w:t xml:space="preserve"> After Surgery End Time</w:t>
            </w:r>
          </w:p>
        </w:tc>
        <w:tc>
          <w:tcPr>
            <w:tcW w:w="2340" w:type="dxa"/>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t>196 (Sample size requirement is capped at 49 cases per quarter, with 196 cases to be reported annually per each of 6 SCIP measures)*</w:t>
            </w:r>
          </w:p>
        </w:tc>
        <w:tc>
          <w:tcPr>
            <w:tcW w:w="1735" w:type="dxa"/>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t>1,176</w:t>
            </w:r>
          </w:p>
        </w:tc>
      </w:tr>
      <w:tr w:rsidR="00935E16" w:rsidTr="00326B88">
        <w:trPr>
          <w:trHeight w:val="589"/>
        </w:trPr>
        <w:tc>
          <w:tcPr>
            <w:tcW w:w="1008" w:type="dxa"/>
            <w:tcBorders>
              <w:bottom w:val="single" w:sz="4" w:space="0" w:color="auto"/>
            </w:tcBorders>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t>Oncology Care</w:t>
            </w:r>
          </w:p>
        </w:tc>
        <w:tc>
          <w:tcPr>
            <w:tcW w:w="4320" w:type="dxa"/>
            <w:tcBorders>
              <w:bottom w:val="single" w:sz="4" w:space="0" w:color="auto"/>
            </w:tcBorders>
          </w:tcPr>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Oncology-Radiation Dose Limits to Normal Tissues</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Oncology: Plan of Care for Pain</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Oncology: Pain Intensity Quantified</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Prostate Cancer-Adjuvant Hormonal Therapy for High-Risk Patients</w:t>
            </w:r>
          </w:p>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Prostate Cancer-Avoidance of Overuse Measure-Bone Scan for Staging Low-Risk Patients</w:t>
            </w:r>
          </w:p>
        </w:tc>
        <w:tc>
          <w:tcPr>
            <w:tcW w:w="2340" w:type="dxa"/>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t>100 (Sample size requirement is capped at 25 cases per quarter, with 100 cases to be reported annually per each of 5 Oncology Care measures)*</w:t>
            </w:r>
          </w:p>
        </w:tc>
        <w:tc>
          <w:tcPr>
            <w:tcW w:w="1735" w:type="dxa"/>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t>500</w:t>
            </w:r>
          </w:p>
        </w:tc>
      </w:tr>
      <w:tr w:rsidR="00FA390B" w:rsidTr="00326B88">
        <w:trPr>
          <w:trHeight w:val="589"/>
        </w:trPr>
        <w:tc>
          <w:tcPr>
            <w:tcW w:w="1008" w:type="dxa"/>
            <w:tcBorders>
              <w:bottom w:val="single" w:sz="4" w:space="0" w:color="auto"/>
            </w:tcBorders>
          </w:tcPr>
          <w:p w:rsidR="00FA390B" w:rsidRPr="00935E16" w:rsidRDefault="00FA390B" w:rsidP="00326B88">
            <w:pPr>
              <w:spacing w:line="276" w:lineRule="auto"/>
              <w:rPr>
                <w:rFonts w:eastAsiaTheme="minorHAnsi"/>
                <w:color w:val="000000"/>
                <w:sz w:val="20"/>
                <w:szCs w:val="20"/>
              </w:rPr>
            </w:pPr>
            <w:r>
              <w:rPr>
                <w:rFonts w:eastAsiaTheme="minorHAnsi"/>
                <w:color w:val="000000"/>
                <w:sz w:val="20"/>
                <w:szCs w:val="20"/>
              </w:rPr>
              <w:t>EBRT</w:t>
            </w:r>
          </w:p>
        </w:tc>
        <w:tc>
          <w:tcPr>
            <w:tcW w:w="4320" w:type="dxa"/>
            <w:tcBorders>
              <w:bottom w:val="single" w:sz="4" w:space="0" w:color="auto"/>
            </w:tcBorders>
          </w:tcPr>
          <w:p w:rsidR="00FA390B" w:rsidRPr="00935E16" w:rsidRDefault="00FA390B" w:rsidP="00326B88">
            <w:pPr>
              <w:spacing w:line="276" w:lineRule="auto"/>
              <w:rPr>
                <w:sz w:val="20"/>
                <w:szCs w:val="20"/>
              </w:rPr>
            </w:pPr>
            <w:r w:rsidRPr="00935E16">
              <w:rPr>
                <w:sz w:val="20"/>
                <w:szCs w:val="20"/>
              </w:rPr>
              <w:t>●</w:t>
            </w:r>
            <w:r w:rsidRPr="00935E16">
              <w:rPr>
                <w:rFonts w:eastAsiaTheme="minorHAnsi"/>
                <w:color w:val="000000"/>
                <w:sz w:val="20"/>
                <w:szCs w:val="20"/>
              </w:rPr>
              <w:t xml:space="preserve"> </w:t>
            </w:r>
            <w:r w:rsidRPr="00935E16">
              <w:rPr>
                <w:sz w:val="20"/>
                <w:szCs w:val="20"/>
              </w:rPr>
              <w:t>External Beam Radiotherapy for Bone Metastases</w:t>
            </w:r>
          </w:p>
        </w:tc>
        <w:tc>
          <w:tcPr>
            <w:tcW w:w="2340" w:type="dxa"/>
          </w:tcPr>
          <w:p w:rsidR="00FA390B" w:rsidRPr="00935E16" w:rsidRDefault="00FA390B" w:rsidP="00FA390B">
            <w:pPr>
              <w:spacing w:line="276" w:lineRule="auto"/>
              <w:rPr>
                <w:rFonts w:eastAsiaTheme="minorHAnsi"/>
                <w:color w:val="000000"/>
                <w:sz w:val="20"/>
                <w:szCs w:val="20"/>
              </w:rPr>
            </w:pPr>
            <w:r w:rsidRPr="00935E16">
              <w:rPr>
                <w:rFonts w:eastAsiaTheme="minorHAnsi"/>
                <w:color w:val="000000"/>
                <w:sz w:val="20"/>
                <w:szCs w:val="20"/>
              </w:rPr>
              <w:t>100 (Sample size requirement is capped at 25 cases per quarter, with 100 cases to be reported annually)*</w:t>
            </w:r>
          </w:p>
        </w:tc>
        <w:tc>
          <w:tcPr>
            <w:tcW w:w="1735" w:type="dxa"/>
          </w:tcPr>
          <w:p w:rsidR="00FA390B" w:rsidRPr="00935E16" w:rsidRDefault="00FA390B" w:rsidP="00326B88">
            <w:pPr>
              <w:spacing w:line="276" w:lineRule="auto"/>
              <w:rPr>
                <w:rFonts w:eastAsiaTheme="minorHAnsi"/>
                <w:color w:val="000000"/>
                <w:sz w:val="20"/>
                <w:szCs w:val="20"/>
              </w:rPr>
            </w:pPr>
            <w:r>
              <w:rPr>
                <w:rFonts w:eastAsiaTheme="minorHAnsi"/>
                <w:color w:val="000000"/>
                <w:sz w:val="20"/>
                <w:szCs w:val="20"/>
              </w:rPr>
              <w:t>100</w:t>
            </w:r>
          </w:p>
        </w:tc>
      </w:tr>
      <w:tr w:rsidR="00935E16" w:rsidTr="00326B88">
        <w:trPr>
          <w:trHeight w:val="290"/>
        </w:trPr>
        <w:tc>
          <w:tcPr>
            <w:tcW w:w="1008" w:type="dxa"/>
            <w:tcBorders>
              <w:bottom w:val="single" w:sz="4" w:space="0" w:color="auto"/>
            </w:tcBorders>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t>HCAHPS</w:t>
            </w:r>
          </w:p>
        </w:tc>
        <w:tc>
          <w:tcPr>
            <w:tcW w:w="4320" w:type="dxa"/>
            <w:tcBorders>
              <w:bottom w:val="single" w:sz="4" w:space="0" w:color="auto"/>
            </w:tcBorders>
          </w:tcPr>
          <w:p w:rsidR="00935E16" w:rsidRPr="00935E16" w:rsidRDefault="00935E16" w:rsidP="00326B88">
            <w:pPr>
              <w:spacing w:line="276" w:lineRule="auto"/>
              <w:rPr>
                <w:rFonts w:eastAsiaTheme="minorHAnsi"/>
                <w:color w:val="000000"/>
                <w:sz w:val="20"/>
                <w:szCs w:val="20"/>
              </w:rPr>
            </w:pPr>
            <w:r w:rsidRPr="00935E16">
              <w:rPr>
                <w:sz w:val="20"/>
                <w:szCs w:val="20"/>
              </w:rPr>
              <w:t>●</w:t>
            </w:r>
            <w:r w:rsidRPr="00935E16">
              <w:rPr>
                <w:rFonts w:eastAsiaTheme="minorHAnsi"/>
                <w:color w:val="000000"/>
                <w:sz w:val="20"/>
                <w:szCs w:val="20"/>
              </w:rPr>
              <w:t xml:space="preserve"> The HCAHPS Patient Experience of Care survey</w:t>
            </w:r>
          </w:p>
          <w:p w:rsidR="00935E16" w:rsidRPr="00935E16" w:rsidRDefault="00935E16" w:rsidP="00326B88">
            <w:pPr>
              <w:spacing w:line="276" w:lineRule="auto"/>
              <w:rPr>
                <w:rFonts w:eastAsiaTheme="minorHAnsi"/>
                <w:color w:val="000000"/>
                <w:sz w:val="20"/>
                <w:szCs w:val="20"/>
              </w:rPr>
            </w:pPr>
          </w:p>
        </w:tc>
        <w:tc>
          <w:tcPr>
            <w:tcW w:w="2340" w:type="dxa"/>
            <w:tcBorders>
              <w:bottom w:val="single" w:sz="4" w:space="0" w:color="auto"/>
            </w:tcBorders>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t>1200 (Sample size requirement is capped at 300 cases per quarter, with 1,200 cases to be reported annually for the HCAHPS survey)*</w:t>
            </w:r>
          </w:p>
        </w:tc>
        <w:tc>
          <w:tcPr>
            <w:tcW w:w="1735" w:type="dxa"/>
            <w:tcBorders>
              <w:bottom w:val="single" w:sz="4" w:space="0" w:color="auto"/>
            </w:tcBorders>
          </w:tcPr>
          <w:p w:rsidR="00935E16" w:rsidRPr="00935E16" w:rsidRDefault="00935E16" w:rsidP="00326B88">
            <w:pPr>
              <w:spacing w:line="276" w:lineRule="auto"/>
              <w:rPr>
                <w:rFonts w:eastAsiaTheme="minorHAnsi"/>
                <w:color w:val="000000"/>
                <w:sz w:val="20"/>
                <w:szCs w:val="20"/>
              </w:rPr>
            </w:pPr>
            <w:r w:rsidRPr="00935E16">
              <w:rPr>
                <w:rFonts w:eastAsiaTheme="minorHAnsi"/>
                <w:color w:val="000000"/>
                <w:sz w:val="20"/>
                <w:szCs w:val="20"/>
              </w:rPr>
              <w:t>1,200</w:t>
            </w:r>
          </w:p>
        </w:tc>
      </w:tr>
      <w:tr w:rsidR="00935E16" w:rsidTr="00326B88">
        <w:trPr>
          <w:trHeight w:val="290"/>
        </w:trPr>
        <w:tc>
          <w:tcPr>
            <w:tcW w:w="1008" w:type="dxa"/>
            <w:tcBorders>
              <w:top w:val="single" w:sz="4" w:space="0" w:color="auto"/>
              <w:left w:val="nil"/>
              <w:bottom w:val="nil"/>
              <w:right w:val="nil"/>
            </w:tcBorders>
          </w:tcPr>
          <w:p w:rsidR="00935E16" w:rsidRPr="00935E16" w:rsidRDefault="00935E16" w:rsidP="00326B88">
            <w:pPr>
              <w:spacing w:line="276" w:lineRule="auto"/>
              <w:rPr>
                <w:rFonts w:eastAsiaTheme="minorHAnsi"/>
                <w:b/>
                <w:color w:val="000000"/>
                <w:sz w:val="20"/>
                <w:szCs w:val="20"/>
              </w:rPr>
            </w:pPr>
          </w:p>
        </w:tc>
        <w:tc>
          <w:tcPr>
            <w:tcW w:w="4320" w:type="dxa"/>
            <w:tcBorders>
              <w:top w:val="single" w:sz="4" w:space="0" w:color="auto"/>
              <w:left w:val="nil"/>
              <w:bottom w:val="nil"/>
              <w:right w:val="single" w:sz="4" w:space="0" w:color="auto"/>
            </w:tcBorders>
          </w:tcPr>
          <w:p w:rsidR="00935E16" w:rsidRPr="00935E16" w:rsidRDefault="00935E16" w:rsidP="00326B88">
            <w:pPr>
              <w:spacing w:line="276" w:lineRule="auto"/>
              <w:rPr>
                <w:rFonts w:eastAsiaTheme="minorHAnsi"/>
                <w:b/>
                <w:color w:val="000000"/>
                <w:sz w:val="20"/>
                <w:szCs w:val="20"/>
              </w:rPr>
            </w:pPr>
          </w:p>
        </w:tc>
        <w:tc>
          <w:tcPr>
            <w:tcW w:w="2340" w:type="dxa"/>
            <w:tcBorders>
              <w:left w:val="single" w:sz="4" w:space="0" w:color="auto"/>
            </w:tcBorders>
          </w:tcPr>
          <w:p w:rsidR="00935E16" w:rsidRPr="00935E16" w:rsidRDefault="00935E16" w:rsidP="00326B88">
            <w:pPr>
              <w:spacing w:line="276" w:lineRule="auto"/>
              <w:rPr>
                <w:rFonts w:eastAsiaTheme="minorHAnsi"/>
                <w:b/>
                <w:color w:val="000000"/>
                <w:sz w:val="20"/>
                <w:szCs w:val="20"/>
              </w:rPr>
            </w:pPr>
            <w:r w:rsidRPr="00935E16">
              <w:rPr>
                <w:rFonts w:eastAsiaTheme="minorHAnsi"/>
                <w:b/>
                <w:color w:val="000000"/>
                <w:sz w:val="20"/>
                <w:szCs w:val="20"/>
              </w:rPr>
              <w:t xml:space="preserve">Total Cases/Events per PCH </w:t>
            </w:r>
          </w:p>
        </w:tc>
        <w:tc>
          <w:tcPr>
            <w:tcW w:w="1735" w:type="dxa"/>
          </w:tcPr>
          <w:p w:rsidR="00935E16" w:rsidRPr="00935E16" w:rsidRDefault="00FA390B" w:rsidP="00326B88">
            <w:pPr>
              <w:spacing w:line="276" w:lineRule="auto"/>
              <w:rPr>
                <w:rFonts w:eastAsiaTheme="minorHAnsi"/>
                <w:b/>
                <w:color w:val="000000"/>
                <w:sz w:val="20"/>
                <w:szCs w:val="20"/>
              </w:rPr>
            </w:pPr>
            <w:r>
              <w:rPr>
                <w:rFonts w:eastAsiaTheme="minorHAnsi"/>
                <w:b/>
                <w:color w:val="000000"/>
                <w:sz w:val="20"/>
                <w:szCs w:val="20"/>
              </w:rPr>
              <w:t>37,596</w:t>
            </w:r>
            <w:r w:rsidR="00935E16" w:rsidRPr="00935E16">
              <w:rPr>
                <w:rFonts w:eastAsiaTheme="minorHAnsi"/>
                <w:b/>
                <w:color w:val="000000"/>
                <w:sz w:val="20"/>
                <w:szCs w:val="20"/>
              </w:rPr>
              <w:t xml:space="preserve"> Cases/Events</w:t>
            </w:r>
          </w:p>
        </w:tc>
      </w:tr>
    </w:tbl>
    <w:p w:rsidR="00935E16" w:rsidRPr="00151E80" w:rsidRDefault="00935E16" w:rsidP="00935E16">
      <w:pPr>
        <w:spacing w:line="276" w:lineRule="auto"/>
        <w:rPr>
          <w:rFonts w:eastAsiaTheme="minorHAnsi"/>
          <w:color w:val="000000"/>
          <w:szCs w:val="23"/>
        </w:rPr>
      </w:pPr>
      <w:r w:rsidRPr="00151E80">
        <w:rPr>
          <w:rFonts w:eastAsiaTheme="minorHAnsi"/>
          <w:color w:val="000000"/>
          <w:szCs w:val="23"/>
        </w:rPr>
        <w:t>*PCHs may voluntarily submit more than the required sample size.</w:t>
      </w:r>
    </w:p>
    <w:p w:rsidR="00935E16" w:rsidRPr="00151E80" w:rsidRDefault="00935E16" w:rsidP="00935E16">
      <w:pPr>
        <w:spacing w:line="276" w:lineRule="auto"/>
        <w:rPr>
          <w:rFonts w:eastAsiaTheme="minorHAnsi"/>
          <w:color w:val="000000"/>
          <w:szCs w:val="23"/>
        </w:rPr>
      </w:pPr>
    </w:p>
    <w:p w:rsidR="00935E16" w:rsidRDefault="00935E16" w:rsidP="00935E16">
      <w:pPr>
        <w:spacing w:line="276" w:lineRule="auto"/>
        <w:rPr>
          <w:rFonts w:eastAsiaTheme="minorHAnsi"/>
          <w:color w:val="000000"/>
          <w:sz w:val="23"/>
          <w:szCs w:val="23"/>
        </w:rPr>
      </w:pPr>
      <w:r w:rsidRPr="00151E80">
        <w:rPr>
          <w:rFonts w:eastAsiaTheme="minorHAnsi"/>
          <w:color w:val="000000"/>
          <w:szCs w:val="23"/>
        </w:rPr>
        <w:lastRenderedPageBreak/>
        <w:t>We estimate tha</w:t>
      </w:r>
      <w:r w:rsidR="00FA390B">
        <w:rPr>
          <w:rFonts w:eastAsiaTheme="minorHAnsi"/>
          <w:color w:val="000000"/>
          <w:szCs w:val="23"/>
        </w:rPr>
        <w:t>t each PCH will report on 37,596</w:t>
      </w:r>
      <w:r w:rsidRPr="00151E80">
        <w:rPr>
          <w:rFonts w:eastAsiaTheme="minorHAnsi"/>
          <w:color w:val="000000"/>
          <w:szCs w:val="23"/>
        </w:rPr>
        <w:t xml:space="preserve"> cases across 19 measures which have been finalized or proposed for the PCHQR Program</w:t>
      </w:r>
      <w:r w:rsidR="00901557">
        <w:rPr>
          <w:rFonts w:eastAsiaTheme="minorHAnsi"/>
          <w:color w:val="000000"/>
          <w:szCs w:val="23"/>
        </w:rPr>
        <w:t xml:space="preserve"> beginning with FY 2017</w:t>
      </w:r>
      <w:r w:rsidRPr="00151E80">
        <w:rPr>
          <w:rFonts w:eastAsiaTheme="minorHAnsi"/>
          <w:color w:val="000000"/>
          <w:szCs w:val="23"/>
        </w:rPr>
        <w:t xml:space="preserve">. </w:t>
      </w:r>
      <w:r w:rsidR="00692D37">
        <w:rPr>
          <w:rFonts w:eastAsiaTheme="minorHAnsi"/>
          <w:color w:val="000000"/>
          <w:szCs w:val="23"/>
        </w:rPr>
        <w:t xml:space="preserve"> </w:t>
      </w:r>
      <w:r w:rsidRPr="00151E80">
        <w:rPr>
          <w:rFonts w:eastAsiaTheme="minorHAnsi"/>
          <w:color w:val="000000"/>
          <w:szCs w:val="23"/>
        </w:rPr>
        <w:t xml:space="preserve">With chart abstraction requiring an estimated 0.5 hours per case, we expect that each PCH will </w:t>
      </w:r>
      <w:r w:rsidR="00FA390B">
        <w:rPr>
          <w:rFonts w:eastAsiaTheme="minorHAnsi"/>
          <w:color w:val="000000"/>
          <w:szCs w:val="23"/>
        </w:rPr>
        <w:t>conduct 18,798</w:t>
      </w:r>
      <w:r w:rsidRPr="00151E80">
        <w:rPr>
          <w:rFonts w:eastAsiaTheme="minorHAnsi"/>
          <w:color w:val="000000"/>
          <w:szCs w:val="23"/>
        </w:rPr>
        <w:t xml:space="preserve"> hours of chart abstraction</w:t>
      </w:r>
      <w:r w:rsidR="009A173D">
        <w:rPr>
          <w:rFonts w:eastAsiaTheme="minorHAnsi"/>
          <w:color w:val="000000"/>
          <w:szCs w:val="23"/>
        </w:rPr>
        <w:t xml:space="preserve"> beginning with the FY 2017</w:t>
      </w:r>
      <w:r w:rsidRPr="00151E80">
        <w:rPr>
          <w:rFonts w:eastAsiaTheme="minorHAnsi"/>
          <w:color w:val="000000"/>
          <w:szCs w:val="23"/>
        </w:rPr>
        <w:t xml:space="preserve">. </w:t>
      </w:r>
      <w:r w:rsidR="00901557">
        <w:rPr>
          <w:rFonts w:eastAsiaTheme="minorHAnsi"/>
          <w:color w:val="000000"/>
          <w:szCs w:val="23"/>
        </w:rPr>
        <w:t xml:space="preserve"> </w:t>
      </w:r>
      <w:r w:rsidRPr="00151E80">
        <w:rPr>
          <w:rFonts w:eastAsiaTheme="minorHAnsi"/>
          <w:color w:val="000000"/>
          <w:szCs w:val="23"/>
        </w:rPr>
        <w:t xml:space="preserve">Additionally, we expect that each PCH will require 0.5 hours of training for the one newly proposed measure and 0.25 hours of measure maintenance for each of the 18 finalized measures, for a total of 5 hours for training and measure maintenance.  Finally, we estimate that each PCH will spend </w:t>
      </w:r>
      <w:r w:rsidR="00824031">
        <w:rPr>
          <w:rFonts w:eastAsiaTheme="minorHAnsi"/>
          <w:color w:val="000000"/>
          <w:szCs w:val="23"/>
        </w:rPr>
        <w:t xml:space="preserve">a maximum </w:t>
      </w:r>
      <w:r w:rsidR="00A229D0">
        <w:rPr>
          <w:rFonts w:eastAsiaTheme="minorHAnsi"/>
          <w:color w:val="000000"/>
          <w:szCs w:val="23"/>
        </w:rPr>
        <w:t xml:space="preserve">of 0.25 hours </w:t>
      </w:r>
      <w:r w:rsidR="002F0C10">
        <w:rPr>
          <w:rFonts w:eastAsiaTheme="minorHAnsi"/>
          <w:color w:val="000000"/>
          <w:szCs w:val="23"/>
        </w:rPr>
        <w:t xml:space="preserve">completing administrative forms and a maximum </w:t>
      </w:r>
      <w:r w:rsidR="00824031">
        <w:rPr>
          <w:rFonts w:eastAsiaTheme="minorHAnsi"/>
          <w:color w:val="000000"/>
          <w:szCs w:val="23"/>
        </w:rPr>
        <w:t>of 5 additional hours tallying and reporting population and sample size counts for</w:t>
      </w:r>
      <w:r w:rsidRPr="00151E80">
        <w:rPr>
          <w:rFonts w:eastAsiaTheme="minorHAnsi"/>
          <w:color w:val="000000"/>
          <w:szCs w:val="23"/>
        </w:rPr>
        <w:t xml:space="preserve"> the six SCIP measures and five Oncology Care measures in order to report population and sample size data (see Table B below). </w:t>
      </w:r>
      <w:r>
        <w:rPr>
          <w:rFonts w:eastAsiaTheme="minorHAnsi"/>
          <w:color w:val="000000"/>
          <w:sz w:val="23"/>
          <w:szCs w:val="23"/>
        </w:rPr>
        <w:br/>
      </w:r>
    </w:p>
    <w:p w:rsidR="008A3EC6" w:rsidRDefault="00935E16" w:rsidP="00935E16">
      <w:pPr>
        <w:spacing w:line="276" w:lineRule="auto"/>
        <w:rPr>
          <w:rFonts w:eastAsiaTheme="minorHAnsi"/>
          <w:color w:val="000000"/>
          <w:sz w:val="23"/>
          <w:szCs w:val="23"/>
        </w:rPr>
      </w:pPr>
      <w:r>
        <w:rPr>
          <w:rFonts w:eastAsiaTheme="minorHAnsi"/>
          <w:color w:val="000000"/>
          <w:sz w:val="23"/>
          <w:szCs w:val="23"/>
        </w:rPr>
        <w:t xml:space="preserve"> </w:t>
      </w:r>
    </w:p>
    <w:p w:rsidR="00935E16" w:rsidRDefault="00935E16" w:rsidP="00935E16">
      <w:pPr>
        <w:spacing w:line="276" w:lineRule="auto"/>
        <w:rPr>
          <w:rFonts w:eastAsiaTheme="minorHAnsi"/>
          <w:color w:val="000000"/>
          <w:sz w:val="23"/>
          <w:szCs w:val="23"/>
        </w:rPr>
      </w:pPr>
      <w:r>
        <w:rPr>
          <w:rFonts w:eastAsiaTheme="minorHAnsi"/>
          <w:color w:val="000000"/>
          <w:sz w:val="23"/>
          <w:szCs w:val="23"/>
        </w:rPr>
        <w:t xml:space="preserve">  Table B</w:t>
      </w:r>
    </w:p>
    <w:tbl>
      <w:tblPr>
        <w:tblStyle w:val="TableGrid"/>
        <w:tblW w:w="10683" w:type="dxa"/>
        <w:jc w:val="center"/>
        <w:tblLayout w:type="fixed"/>
        <w:tblLook w:val="04A0" w:firstRow="1" w:lastRow="0" w:firstColumn="1" w:lastColumn="0" w:noHBand="0" w:noVBand="1"/>
      </w:tblPr>
      <w:tblGrid>
        <w:gridCol w:w="1045"/>
        <w:gridCol w:w="1980"/>
        <w:gridCol w:w="3060"/>
        <w:gridCol w:w="2299"/>
        <w:gridCol w:w="2299"/>
      </w:tblGrid>
      <w:tr w:rsidR="002F0C10" w:rsidTr="009C63EB">
        <w:trPr>
          <w:trHeight w:val="620"/>
          <w:jc w:val="center"/>
        </w:trPr>
        <w:tc>
          <w:tcPr>
            <w:tcW w:w="1045" w:type="dxa"/>
            <w:tcBorders>
              <w:bottom w:val="single" w:sz="4" w:space="0" w:color="auto"/>
            </w:tcBorders>
          </w:tcPr>
          <w:p w:rsidR="002F0C10" w:rsidRPr="00020B95" w:rsidRDefault="002F0C10" w:rsidP="00326B88">
            <w:pPr>
              <w:spacing w:line="276" w:lineRule="auto"/>
              <w:jc w:val="center"/>
              <w:rPr>
                <w:rFonts w:eastAsiaTheme="minorHAnsi"/>
                <w:b/>
                <w:color w:val="000000"/>
                <w:sz w:val="23"/>
                <w:szCs w:val="23"/>
              </w:rPr>
            </w:pPr>
          </w:p>
        </w:tc>
        <w:tc>
          <w:tcPr>
            <w:tcW w:w="1980" w:type="dxa"/>
            <w:tcBorders>
              <w:bottom w:val="single" w:sz="4" w:space="0" w:color="auto"/>
            </w:tcBorders>
          </w:tcPr>
          <w:p w:rsidR="002F0C10" w:rsidRPr="00020B95" w:rsidRDefault="002F0C10" w:rsidP="00326B88">
            <w:pPr>
              <w:spacing w:line="276" w:lineRule="auto"/>
              <w:jc w:val="center"/>
              <w:rPr>
                <w:rFonts w:eastAsiaTheme="minorHAnsi"/>
                <w:b/>
                <w:color w:val="000000"/>
                <w:sz w:val="23"/>
                <w:szCs w:val="23"/>
              </w:rPr>
            </w:pPr>
            <w:r w:rsidRPr="00020B95">
              <w:rPr>
                <w:rFonts w:eastAsiaTheme="minorHAnsi"/>
                <w:b/>
                <w:color w:val="000000"/>
                <w:sz w:val="23"/>
                <w:szCs w:val="23"/>
              </w:rPr>
              <w:t>Chart Abstraction</w:t>
            </w:r>
          </w:p>
          <w:p w:rsidR="002F0C10" w:rsidRPr="00020B95" w:rsidRDefault="002F0C10" w:rsidP="00326B88">
            <w:pPr>
              <w:spacing w:line="276" w:lineRule="auto"/>
              <w:jc w:val="center"/>
              <w:rPr>
                <w:rFonts w:eastAsiaTheme="minorHAnsi"/>
                <w:b/>
                <w:color w:val="000000"/>
                <w:sz w:val="23"/>
                <w:szCs w:val="23"/>
              </w:rPr>
            </w:pPr>
            <w:r w:rsidRPr="00020B95">
              <w:rPr>
                <w:rFonts w:eastAsiaTheme="minorHAnsi"/>
                <w:b/>
                <w:color w:val="000000"/>
                <w:sz w:val="23"/>
                <w:szCs w:val="23"/>
              </w:rPr>
              <w:t xml:space="preserve">Hours </w:t>
            </w:r>
          </w:p>
        </w:tc>
        <w:tc>
          <w:tcPr>
            <w:tcW w:w="3060" w:type="dxa"/>
            <w:tcBorders>
              <w:bottom w:val="single" w:sz="4" w:space="0" w:color="auto"/>
            </w:tcBorders>
          </w:tcPr>
          <w:p w:rsidR="002F0C10" w:rsidRPr="00020B95" w:rsidRDefault="002F0C10" w:rsidP="00326B88">
            <w:pPr>
              <w:spacing w:line="276" w:lineRule="auto"/>
              <w:jc w:val="center"/>
              <w:rPr>
                <w:rFonts w:eastAsiaTheme="minorHAnsi"/>
                <w:b/>
                <w:color w:val="000000"/>
                <w:sz w:val="23"/>
                <w:szCs w:val="23"/>
              </w:rPr>
            </w:pPr>
            <w:r>
              <w:rPr>
                <w:rFonts w:eastAsiaTheme="minorHAnsi"/>
                <w:b/>
                <w:color w:val="000000"/>
                <w:sz w:val="23"/>
                <w:szCs w:val="23"/>
              </w:rPr>
              <w:t xml:space="preserve">New Measure </w:t>
            </w:r>
            <w:r w:rsidRPr="00020B95">
              <w:rPr>
                <w:rFonts w:eastAsiaTheme="minorHAnsi"/>
                <w:b/>
                <w:color w:val="000000"/>
                <w:sz w:val="23"/>
                <w:szCs w:val="23"/>
              </w:rPr>
              <w:t xml:space="preserve">Training </w:t>
            </w:r>
            <w:r>
              <w:rPr>
                <w:rFonts w:eastAsiaTheme="minorHAnsi"/>
                <w:b/>
                <w:color w:val="000000"/>
                <w:sz w:val="23"/>
                <w:szCs w:val="23"/>
              </w:rPr>
              <w:t xml:space="preserve">&amp; Measure Maintenance </w:t>
            </w:r>
            <w:r w:rsidRPr="00020B95">
              <w:rPr>
                <w:rFonts w:eastAsiaTheme="minorHAnsi"/>
                <w:b/>
                <w:color w:val="000000"/>
                <w:sz w:val="23"/>
                <w:szCs w:val="23"/>
              </w:rPr>
              <w:t>Hours</w:t>
            </w:r>
            <w:r>
              <w:rPr>
                <w:rFonts w:eastAsiaTheme="minorHAnsi"/>
                <w:b/>
                <w:color w:val="000000"/>
                <w:sz w:val="23"/>
                <w:szCs w:val="23"/>
              </w:rPr>
              <w:t xml:space="preserve"> </w:t>
            </w:r>
          </w:p>
        </w:tc>
        <w:tc>
          <w:tcPr>
            <w:tcW w:w="2299" w:type="dxa"/>
            <w:vAlign w:val="bottom"/>
          </w:tcPr>
          <w:p w:rsidR="002F0C10" w:rsidRDefault="002F0C10" w:rsidP="00326B88">
            <w:pPr>
              <w:spacing w:line="276" w:lineRule="auto"/>
              <w:jc w:val="center"/>
              <w:rPr>
                <w:rFonts w:ascii="Calibri" w:hAnsi="Calibri"/>
                <w:b/>
                <w:bCs/>
                <w:color w:val="000000"/>
                <w:sz w:val="22"/>
                <w:szCs w:val="22"/>
              </w:rPr>
            </w:pPr>
            <w:r w:rsidRPr="005E15C3">
              <w:rPr>
                <w:rFonts w:eastAsiaTheme="minorHAnsi"/>
                <w:b/>
                <w:color w:val="000000"/>
                <w:sz w:val="23"/>
                <w:szCs w:val="23"/>
              </w:rPr>
              <w:t>Population/</w:t>
            </w:r>
            <w:r>
              <w:rPr>
                <w:rFonts w:eastAsiaTheme="minorHAnsi"/>
                <w:b/>
                <w:color w:val="000000"/>
                <w:sz w:val="23"/>
                <w:szCs w:val="23"/>
              </w:rPr>
              <w:t xml:space="preserve"> </w:t>
            </w:r>
            <w:r w:rsidRPr="005E15C3">
              <w:rPr>
                <w:rFonts w:eastAsiaTheme="minorHAnsi"/>
                <w:b/>
                <w:color w:val="000000"/>
                <w:sz w:val="23"/>
                <w:szCs w:val="23"/>
              </w:rPr>
              <w:t xml:space="preserve">Sample Size Reporting </w:t>
            </w:r>
            <w:r>
              <w:rPr>
                <w:rFonts w:eastAsiaTheme="minorHAnsi"/>
                <w:b/>
                <w:color w:val="000000"/>
                <w:sz w:val="23"/>
                <w:szCs w:val="23"/>
              </w:rPr>
              <w:t>Hours</w:t>
            </w:r>
          </w:p>
        </w:tc>
        <w:tc>
          <w:tcPr>
            <w:tcW w:w="2299" w:type="dxa"/>
          </w:tcPr>
          <w:p w:rsidR="002F0C10" w:rsidRPr="005E15C3" w:rsidRDefault="002F0C10" w:rsidP="00326B88">
            <w:pPr>
              <w:spacing w:line="276" w:lineRule="auto"/>
              <w:jc w:val="center"/>
              <w:rPr>
                <w:rFonts w:eastAsiaTheme="minorHAnsi"/>
                <w:b/>
                <w:color w:val="000000"/>
                <w:sz w:val="23"/>
                <w:szCs w:val="23"/>
              </w:rPr>
            </w:pPr>
            <w:r>
              <w:rPr>
                <w:rFonts w:eastAsiaTheme="minorHAnsi"/>
                <w:b/>
                <w:color w:val="000000"/>
                <w:sz w:val="23"/>
                <w:szCs w:val="23"/>
              </w:rPr>
              <w:t>Administrative Forms</w:t>
            </w:r>
          </w:p>
        </w:tc>
      </w:tr>
      <w:tr w:rsidR="002F0C10" w:rsidRPr="00604874" w:rsidTr="009C63EB">
        <w:trPr>
          <w:trHeight w:val="313"/>
          <w:jc w:val="center"/>
        </w:trPr>
        <w:tc>
          <w:tcPr>
            <w:tcW w:w="1045" w:type="dxa"/>
            <w:tcBorders>
              <w:bottom w:val="single" w:sz="4" w:space="0" w:color="auto"/>
            </w:tcBorders>
          </w:tcPr>
          <w:p w:rsidR="002F0C10" w:rsidRPr="00604874" w:rsidRDefault="002F0C10" w:rsidP="00326B88">
            <w:pPr>
              <w:spacing w:line="276" w:lineRule="auto"/>
              <w:rPr>
                <w:rFonts w:eastAsiaTheme="minorHAnsi"/>
                <w:color w:val="000000"/>
                <w:sz w:val="23"/>
                <w:szCs w:val="23"/>
              </w:rPr>
            </w:pPr>
            <w:r w:rsidRPr="00604874">
              <w:rPr>
                <w:rFonts w:eastAsiaTheme="minorHAnsi"/>
                <w:color w:val="000000"/>
                <w:sz w:val="23"/>
                <w:szCs w:val="23"/>
              </w:rPr>
              <w:t>Hours per Task per PCH</w:t>
            </w:r>
          </w:p>
        </w:tc>
        <w:tc>
          <w:tcPr>
            <w:tcW w:w="1980" w:type="dxa"/>
            <w:tcBorders>
              <w:bottom w:val="single" w:sz="4" w:space="0" w:color="auto"/>
            </w:tcBorders>
          </w:tcPr>
          <w:p w:rsidR="002F0C10" w:rsidRPr="00604874" w:rsidRDefault="002F0C10" w:rsidP="00326B88">
            <w:pPr>
              <w:spacing w:line="276" w:lineRule="auto"/>
              <w:rPr>
                <w:rFonts w:eastAsiaTheme="minorHAnsi"/>
                <w:color w:val="000000"/>
                <w:sz w:val="23"/>
                <w:szCs w:val="23"/>
              </w:rPr>
            </w:pPr>
            <w:r>
              <w:rPr>
                <w:rFonts w:eastAsiaTheme="minorHAnsi"/>
                <w:color w:val="000000"/>
                <w:sz w:val="23"/>
                <w:szCs w:val="23"/>
              </w:rPr>
              <w:br/>
              <w:t>18,798</w:t>
            </w:r>
            <w:r w:rsidRPr="00604874">
              <w:rPr>
                <w:rFonts w:eastAsiaTheme="minorHAnsi"/>
                <w:color w:val="000000"/>
                <w:sz w:val="23"/>
                <w:szCs w:val="23"/>
              </w:rPr>
              <w:t xml:space="preserve"> Hours</w:t>
            </w:r>
          </w:p>
        </w:tc>
        <w:tc>
          <w:tcPr>
            <w:tcW w:w="3060" w:type="dxa"/>
            <w:tcBorders>
              <w:bottom w:val="single" w:sz="4" w:space="0" w:color="auto"/>
            </w:tcBorders>
          </w:tcPr>
          <w:p w:rsidR="002F0C10" w:rsidRPr="00604874" w:rsidRDefault="002F0C10" w:rsidP="00326B88">
            <w:pPr>
              <w:spacing w:line="276" w:lineRule="auto"/>
              <w:rPr>
                <w:rFonts w:eastAsiaTheme="minorHAnsi"/>
                <w:color w:val="000000"/>
                <w:sz w:val="23"/>
                <w:szCs w:val="23"/>
              </w:rPr>
            </w:pPr>
            <w:r w:rsidRPr="00604874">
              <w:rPr>
                <w:rFonts w:eastAsiaTheme="minorHAnsi"/>
                <w:color w:val="000000"/>
                <w:sz w:val="23"/>
                <w:szCs w:val="23"/>
              </w:rPr>
              <w:br/>
              <w:t>5 Hours</w:t>
            </w:r>
          </w:p>
        </w:tc>
        <w:tc>
          <w:tcPr>
            <w:tcW w:w="2299" w:type="dxa"/>
            <w:tcBorders>
              <w:bottom w:val="single" w:sz="4" w:space="0" w:color="auto"/>
            </w:tcBorders>
            <w:vAlign w:val="bottom"/>
          </w:tcPr>
          <w:p w:rsidR="00A229D0" w:rsidRDefault="00A229D0" w:rsidP="00326B88">
            <w:pPr>
              <w:spacing w:line="276" w:lineRule="auto"/>
              <w:rPr>
                <w:rFonts w:eastAsiaTheme="minorHAnsi"/>
                <w:color w:val="000000"/>
                <w:sz w:val="23"/>
                <w:szCs w:val="23"/>
              </w:rPr>
            </w:pPr>
          </w:p>
          <w:p w:rsidR="002F0C10" w:rsidRDefault="002F0C10" w:rsidP="00326B88">
            <w:pPr>
              <w:spacing w:line="276" w:lineRule="auto"/>
              <w:rPr>
                <w:rFonts w:eastAsiaTheme="minorHAnsi"/>
                <w:color w:val="000000"/>
                <w:sz w:val="23"/>
                <w:szCs w:val="23"/>
              </w:rPr>
            </w:pPr>
            <w:r>
              <w:rPr>
                <w:rFonts w:eastAsiaTheme="minorHAnsi"/>
                <w:color w:val="000000"/>
                <w:sz w:val="23"/>
                <w:szCs w:val="23"/>
              </w:rPr>
              <w:t>5</w:t>
            </w:r>
            <w:r w:rsidRPr="00604874">
              <w:rPr>
                <w:rFonts w:eastAsiaTheme="minorHAnsi"/>
                <w:color w:val="000000"/>
                <w:sz w:val="23"/>
                <w:szCs w:val="23"/>
              </w:rPr>
              <w:t xml:space="preserve"> Hours</w:t>
            </w:r>
          </w:p>
          <w:p w:rsidR="00A229D0" w:rsidRPr="00604874" w:rsidRDefault="00A229D0" w:rsidP="00326B88">
            <w:pPr>
              <w:spacing w:line="276" w:lineRule="auto"/>
              <w:rPr>
                <w:rFonts w:eastAsiaTheme="minorHAnsi"/>
                <w:color w:val="000000"/>
                <w:sz w:val="23"/>
                <w:szCs w:val="23"/>
              </w:rPr>
            </w:pPr>
          </w:p>
        </w:tc>
        <w:tc>
          <w:tcPr>
            <w:tcW w:w="2299" w:type="dxa"/>
          </w:tcPr>
          <w:p w:rsidR="002F0C10" w:rsidRDefault="002F0C10" w:rsidP="00326B88">
            <w:pPr>
              <w:spacing w:line="276" w:lineRule="auto"/>
              <w:rPr>
                <w:rFonts w:eastAsiaTheme="minorHAnsi"/>
                <w:color w:val="000000"/>
                <w:sz w:val="23"/>
                <w:szCs w:val="23"/>
              </w:rPr>
            </w:pPr>
          </w:p>
          <w:p w:rsidR="002F0C10" w:rsidRDefault="002F0C10" w:rsidP="00326B88">
            <w:pPr>
              <w:spacing w:line="276" w:lineRule="auto"/>
              <w:rPr>
                <w:rFonts w:eastAsiaTheme="minorHAnsi"/>
                <w:color w:val="000000"/>
                <w:sz w:val="23"/>
                <w:szCs w:val="23"/>
              </w:rPr>
            </w:pPr>
            <w:r>
              <w:rPr>
                <w:rFonts w:eastAsiaTheme="minorHAnsi"/>
                <w:color w:val="000000"/>
                <w:sz w:val="23"/>
                <w:szCs w:val="23"/>
              </w:rPr>
              <w:t>0.25 hours</w:t>
            </w:r>
          </w:p>
        </w:tc>
      </w:tr>
      <w:tr w:rsidR="002F0C10" w:rsidRPr="00604874" w:rsidTr="009C63EB">
        <w:trPr>
          <w:trHeight w:val="313"/>
          <w:jc w:val="center"/>
        </w:trPr>
        <w:tc>
          <w:tcPr>
            <w:tcW w:w="1045" w:type="dxa"/>
            <w:tcBorders>
              <w:top w:val="single" w:sz="4" w:space="0" w:color="auto"/>
              <w:left w:val="nil"/>
              <w:bottom w:val="nil"/>
              <w:right w:val="nil"/>
            </w:tcBorders>
          </w:tcPr>
          <w:p w:rsidR="002F0C10" w:rsidRPr="00604874" w:rsidRDefault="002F0C10" w:rsidP="00326B88">
            <w:pPr>
              <w:spacing w:line="276" w:lineRule="auto"/>
              <w:rPr>
                <w:rFonts w:eastAsiaTheme="minorHAnsi"/>
                <w:color w:val="000000"/>
                <w:sz w:val="23"/>
                <w:szCs w:val="23"/>
              </w:rPr>
            </w:pPr>
          </w:p>
        </w:tc>
        <w:tc>
          <w:tcPr>
            <w:tcW w:w="1980" w:type="dxa"/>
            <w:tcBorders>
              <w:top w:val="single" w:sz="4" w:space="0" w:color="auto"/>
              <w:left w:val="nil"/>
              <w:bottom w:val="nil"/>
              <w:right w:val="nil"/>
            </w:tcBorders>
          </w:tcPr>
          <w:p w:rsidR="002F0C10" w:rsidRDefault="002F0C10" w:rsidP="00326B88">
            <w:pPr>
              <w:spacing w:line="276" w:lineRule="auto"/>
              <w:rPr>
                <w:rFonts w:eastAsiaTheme="minorHAnsi"/>
                <w:color w:val="000000"/>
                <w:sz w:val="23"/>
                <w:szCs w:val="23"/>
              </w:rPr>
            </w:pPr>
          </w:p>
        </w:tc>
        <w:tc>
          <w:tcPr>
            <w:tcW w:w="3060" w:type="dxa"/>
            <w:tcBorders>
              <w:top w:val="single" w:sz="4" w:space="0" w:color="auto"/>
              <w:left w:val="nil"/>
              <w:bottom w:val="nil"/>
              <w:right w:val="single" w:sz="4" w:space="0" w:color="auto"/>
            </w:tcBorders>
          </w:tcPr>
          <w:p w:rsidR="002F0C10" w:rsidRPr="00604874" w:rsidRDefault="002F0C10" w:rsidP="00326B88">
            <w:pPr>
              <w:spacing w:line="276" w:lineRule="auto"/>
              <w:rPr>
                <w:rFonts w:eastAsiaTheme="minorHAnsi"/>
                <w:color w:val="000000"/>
                <w:sz w:val="23"/>
                <w:szCs w:val="23"/>
              </w:rPr>
            </w:pPr>
          </w:p>
        </w:tc>
        <w:tc>
          <w:tcPr>
            <w:tcW w:w="2299" w:type="dxa"/>
            <w:tcBorders>
              <w:left w:val="single" w:sz="4" w:space="0" w:color="auto"/>
              <w:bottom w:val="single" w:sz="4" w:space="0" w:color="auto"/>
            </w:tcBorders>
            <w:vAlign w:val="bottom"/>
          </w:tcPr>
          <w:p w:rsidR="002F0C10" w:rsidRPr="002F0C10" w:rsidRDefault="002F0C10" w:rsidP="00326B88">
            <w:pPr>
              <w:spacing w:line="276" w:lineRule="auto"/>
              <w:rPr>
                <w:rFonts w:eastAsiaTheme="minorHAnsi"/>
                <w:b/>
                <w:color w:val="000000"/>
                <w:sz w:val="23"/>
                <w:szCs w:val="23"/>
              </w:rPr>
            </w:pPr>
            <w:r w:rsidRPr="002F0C10">
              <w:rPr>
                <w:rFonts w:eastAsiaTheme="minorHAnsi"/>
                <w:b/>
                <w:color w:val="000000"/>
                <w:sz w:val="23"/>
                <w:szCs w:val="23"/>
              </w:rPr>
              <w:t>Total</w:t>
            </w:r>
          </w:p>
        </w:tc>
        <w:tc>
          <w:tcPr>
            <w:tcW w:w="2299" w:type="dxa"/>
            <w:tcBorders>
              <w:bottom w:val="single" w:sz="4" w:space="0" w:color="auto"/>
            </w:tcBorders>
          </w:tcPr>
          <w:p w:rsidR="002F0C10" w:rsidRPr="002F0C10" w:rsidRDefault="002F0C10" w:rsidP="00326B88">
            <w:pPr>
              <w:spacing w:line="276" w:lineRule="auto"/>
              <w:rPr>
                <w:rFonts w:eastAsiaTheme="minorHAnsi"/>
                <w:b/>
                <w:color w:val="000000"/>
                <w:sz w:val="23"/>
                <w:szCs w:val="23"/>
              </w:rPr>
            </w:pPr>
            <w:r w:rsidRPr="002F0C10">
              <w:rPr>
                <w:rFonts w:eastAsiaTheme="minorHAnsi"/>
                <w:b/>
                <w:color w:val="000000"/>
                <w:sz w:val="23"/>
                <w:szCs w:val="23"/>
              </w:rPr>
              <w:t>18,808</w:t>
            </w:r>
            <w:r w:rsidR="00A229D0">
              <w:rPr>
                <w:rFonts w:eastAsiaTheme="minorHAnsi"/>
                <w:b/>
                <w:color w:val="000000"/>
                <w:sz w:val="23"/>
                <w:szCs w:val="23"/>
              </w:rPr>
              <w:t>.25</w:t>
            </w:r>
          </w:p>
        </w:tc>
      </w:tr>
    </w:tbl>
    <w:p w:rsidR="00006F40" w:rsidRDefault="00006F40" w:rsidP="00604874">
      <w:pPr>
        <w:rPr>
          <w:rFonts w:eastAsiaTheme="minorHAnsi"/>
          <w:color w:val="000000"/>
          <w:szCs w:val="23"/>
        </w:rPr>
      </w:pPr>
    </w:p>
    <w:p w:rsidR="00935E16" w:rsidRPr="00151E80" w:rsidRDefault="00151D77" w:rsidP="00604874">
      <w:pPr>
        <w:rPr>
          <w:rFonts w:eastAsiaTheme="minorHAnsi"/>
          <w:color w:val="000000"/>
          <w:szCs w:val="23"/>
        </w:rPr>
      </w:pPr>
      <w:r w:rsidRPr="00151E80">
        <w:rPr>
          <w:rFonts w:eastAsiaTheme="minorHAnsi"/>
          <w:color w:val="000000"/>
          <w:szCs w:val="23"/>
        </w:rPr>
        <w:t>I</w:t>
      </w:r>
      <w:r w:rsidR="00294D3E" w:rsidRPr="00151E80">
        <w:rPr>
          <w:rFonts w:eastAsiaTheme="minorHAnsi"/>
          <w:color w:val="000000"/>
          <w:szCs w:val="23"/>
        </w:rPr>
        <w:t>n previous years, in order to determine a “worst-case scenario</w:t>
      </w:r>
      <w:r w:rsidR="00692D37">
        <w:rPr>
          <w:rFonts w:eastAsiaTheme="minorHAnsi"/>
          <w:color w:val="000000"/>
          <w:szCs w:val="23"/>
        </w:rPr>
        <w:t>,</w:t>
      </w:r>
      <w:r w:rsidR="00294D3E" w:rsidRPr="00151E80">
        <w:rPr>
          <w:rFonts w:eastAsiaTheme="minorHAnsi"/>
          <w:color w:val="000000"/>
          <w:szCs w:val="23"/>
        </w:rPr>
        <w:t>” we calculated burden based on the assumption that PCHs would report quality measure data on their full population for each quality measure.  In order to improve the accuracy of the burden calculation, sampling methodologies are considered in the calculation of burden for th</w:t>
      </w:r>
      <w:r w:rsidR="00692D37">
        <w:rPr>
          <w:rFonts w:eastAsiaTheme="minorHAnsi"/>
          <w:color w:val="000000"/>
          <w:szCs w:val="23"/>
        </w:rPr>
        <w:t>e</w:t>
      </w:r>
      <w:r w:rsidR="00294D3E" w:rsidRPr="00151E80">
        <w:rPr>
          <w:rFonts w:eastAsiaTheme="minorHAnsi"/>
          <w:color w:val="000000"/>
          <w:szCs w:val="23"/>
        </w:rPr>
        <w:t xml:space="preserve"> </w:t>
      </w:r>
      <w:r w:rsidR="00692D37">
        <w:rPr>
          <w:rFonts w:eastAsiaTheme="minorHAnsi"/>
          <w:color w:val="000000"/>
          <w:szCs w:val="23"/>
        </w:rPr>
        <w:t xml:space="preserve">FY </w:t>
      </w:r>
      <w:r w:rsidR="00294D3E" w:rsidRPr="00151E80">
        <w:rPr>
          <w:rFonts w:eastAsiaTheme="minorHAnsi"/>
          <w:color w:val="000000"/>
          <w:szCs w:val="23"/>
        </w:rPr>
        <w:t xml:space="preserve">2015 IPPS/LTCS PPS Proposed Rule for the five oncology care measures, six SCIP measures, and the HCAHPS survey.  </w:t>
      </w:r>
      <w:r w:rsidR="00FA390B">
        <w:rPr>
          <w:rFonts w:eastAsiaTheme="minorHAnsi"/>
          <w:color w:val="000000"/>
          <w:szCs w:val="23"/>
        </w:rPr>
        <w:t xml:space="preserve">We have also applied a sampling methodology in calculating burden for the newly finalized External Bean Radiotherapy for bone metastases measure. </w:t>
      </w:r>
      <w:r w:rsidR="00294D3E" w:rsidRPr="00151E80">
        <w:rPr>
          <w:rFonts w:eastAsiaTheme="minorHAnsi"/>
          <w:color w:val="000000"/>
          <w:szCs w:val="23"/>
        </w:rPr>
        <w:t>Based on the assumptions described above, we estimate that the annual hourly burden on each PCH for data collection, submission, and training for all quality measure and population/sample size data would be approxim</w:t>
      </w:r>
      <w:r w:rsidR="00265AA8" w:rsidRPr="00151E80">
        <w:rPr>
          <w:rFonts w:eastAsiaTheme="minorHAnsi"/>
          <w:color w:val="000000"/>
          <w:szCs w:val="23"/>
        </w:rPr>
        <w:t xml:space="preserve">ately </w:t>
      </w:r>
      <w:r w:rsidR="009C63EB">
        <w:rPr>
          <w:rFonts w:eastAsiaTheme="minorHAnsi"/>
          <w:color w:val="000000"/>
          <w:szCs w:val="23"/>
        </w:rPr>
        <w:t>18,808</w:t>
      </w:r>
      <w:r w:rsidR="00294D3E" w:rsidRPr="00151E80">
        <w:rPr>
          <w:rFonts w:eastAsiaTheme="minorHAnsi"/>
          <w:color w:val="000000"/>
          <w:szCs w:val="23"/>
        </w:rPr>
        <w:t xml:space="preserve"> hours.</w:t>
      </w:r>
      <w:r w:rsidR="00167494" w:rsidRPr="00151E80">
        <w:rPr>
          <w:rFonts w:eastAsiaTheme="minorHAnsi"/>
          <w:color w:val="000000"/>
          <w:szCs w:val="23"/>
        </w:rPr>
        <w:t xml:space="preserve">  </w:t>
      </w:r>
      <w:r w:rsidR="00935E16" w:rsidRPr="00151E80">
        <w:rPr>
          <w:rFonts w:eastAsiaTheme="minorHAnsi"/>
          <w:color w:val="000000"/>
          <w:szCs w:val="23"/>
        </w:rPr>
        <w:t xml:space="preserve">In total, we expect all 11 PCHs to experience a cumulative time burden of </w:t>
      </w:r>
      <w:r w:rsidR="009C63EB">
        <w:rPr>
          <w:rFonts w:eastAsiaTheme="minorHAnsi"/>
          <w:color w:val="000000"/>
          <w:szCs w:val="23"/>
        </w:rPr>
        <w:t>206,891</w:t>
      </w:r>
      <w:r w:rsidR="00935E16" w:rsidRPr="00151E80">
        <w:rPr>
          <w:rFonts w:eastAsiaTheme="minorHAnsi"/>
          <w:color w:val="000000"/>
          <w:szCs w:val="23"/>
        </w:rPr>
        <w:t xml:space="preserve"> hours</w:t>
      </w:r>
      <w:r w:rsidR="007A13F6">
        <w:rPr>
          <w:rFonts w:eastAsiaTheme="minorHAnsi"/>
          <w:color w:val="000000"/>
          <w:szCs w:val="23"/>
        </w:rPr>
        <w:t xml:space="preserve"> beginning with FY 2017</w:t>
      </w:r>
      <w:r w:rsidR="00935E16" w:rsidRPr="00151E80">
        <w:rPr>
          <w:rFonts w:eastAsiaTheme="minorHAnsi"/>
          <w:color w:val="000000"/>
          <w:szCs w:val="23"/>
        </w:rPr>
        <w:t xml:space="preserve">. </w:t>
      </w:r>
    </w:p>
    <w:p w:rsidR="007D3918" w:rsidRDefault="007D3918" w:rsidP="00935E16">
      <w:pPr>
        <w:spacing w:line="276" w:lineRule="auto"/>
        <w:rPr>
          <w:rFonts w:eastAsiaTheme="minorHAnsi"/>
          <w:color w:val="000000"/>
          <w:szCs w:val="23"/>
        </w:rPr>
      </w:pPr>
    </w:p>
    <w:p w:rsidR="00935E16" w:rsidRPr="00151E80" w:rsidRDefault="00935E16" w:rsidP="00935E16">
      <w:pPr>
        <w:spacing w:line="276" w:lineRule="auto"/>
        <w:rPr>
          <w:rFonts w:eastAsiaTheme="minorHAnsi"/>
          <w:color w:val="000000"/>
          <w:szCs w:val="23"/>
        </w:rPr>
      </w:pPr>
      <w:r w:rsidRPr="00151E80">
        <w:rPr>
          <w:rFonts w:eastAsiaTheme="minorHAnsi"/>
          <w:color w:val="000000"/>
          <w:szCs w:val="23"/>
        </w:rPr>
        <w:t>Table C</w:t>
      </w:r>
    </w:p>
    <w:tbl>
      <w:tblPr>
        <w:tblW w:w="10710" w:type="dxa"/>
        <w:tblInd w:w="-635" w:type="dxa"/>
        <w:tblLook w:val="04A0" w:firstRow="1" w:lastRow="0" w:firstColumn="1" w:lastColumn="0" w:noHBand="0" w:noVBand="1"/>
      </w:tblPr>
      <w:tblGrid>
        <w:gridCol w:w="1951"/>
        <w:gridCol w:w="1835"/>
        <w:gridCol w:w="2380"/>
        <w:gridCol w:w="2281"/>
        <w:gridCol w:w="2263"/>
      </w:tblGrid>
      <w:tr w:rsidR="009C63EB" w:rsidRPr="00BE3760" w:rsidTr="009C63EB">
        <w:trPr>
          <w:trHeight w:val="557"/>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63EB" w:rsidRPr="00BE3760" w:rsidRDefault="009C63EB" w:rsidP="00326B88">
            <w:pPr>
              <w:spacing w:line="276" w:lineRule="auto"/>
              <w:jc w:val="center"/>
              <w:rPr>
                <w:rFonts w:eastAsiaTheme="minorHAnsi"/>
                <w:b/>
                <w:color w:val="000000"/>
                <w:sz w:val="23"/>
                <w:szCs w:val="23"/>
              </w:rPr>
            </w:pPr>
          </w:p>
        </w:tc>
        <w:tc>
          <w:tcPr>
            <w:tcW w:w="1835" w:type="dxa"/>
            <w:tcBorders>
              <w:top w:val="single" w:sz="4" w:space="0" w:color="auto"/>
              <w:left w:val="nil"/>
              <w:bottom w:val="single" w:sz="4" w:space="0" w:color="auto"/>
              <w:right w:val="single" w:sz="4" w:space="0" w:color="auto"/>
            </w:tcBorders>
            <w:shd w:val="clear" w:color="auto" w:fill="auto"/>
            <w:vAlign w:val="bottom"/>
            <w:hideMark/>
          </w:tcPr>
          <w:p w:rsidR="009C63EB" w:rsidRPr="00BE3760" w:rsidRDefault="009C63EB" w:rsidP="00326B88">
            <w:pPr>
              <w:spacing w:line="276" w:lineRule="auto"/>
              <w:jc w:val="center"/>
              <w:rPr>
                <w:rFonts w:eastAsiaTheme="minorHAnsi"/>
                <w:b/>
                <w:color w:val="000000"/>
                <w:sz w:val="23"/>
                <w:szCs w:val="23"/>
              </w:rPr>
            </w:pPr>
            <w:r>
              <w:rPr>
                <w:rFonts w:eastAsiaTheme="minorHAnsi"/>
                <w:b/>
                <w:color w:val="000000"/>
                <w:sz w:val="23"/>
                <w:szCs w:val="23"/>
              </w:rPr>
              <w:t>Chart Abstraction Cost</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rsidR="009C63EB" w:rsidRPr="00BE3760" w:rsidRDefault="009C63EB" w:rsidP="00326B88">
            <w:pPr>
              <w:spacing w:line="276" w:lineRule="auto"/>
              <w:jc w:val="center"/>
              <w:rPr>
                <w:rFonts w:eastAsiaTheme="minorHAnsi"/>
                <w:b/>
                <w:color w:val="000000"/>
                <w:sz w:val="23"/>
                <w:szCs w:val="23"/>
              </w:rPr>
            </w:pPr>
            <w:r>
              <w:rPr>
                <w:rFonts w:eastAsiaTheme="minorHAnsi"/>
                <w:b/>
                <w:color w:val="000000"/>
                <w:sz w:val="23"/>
                <w:szCs w:val="23"/>
              </w:rPr>
              <w:t xml:space="preserve">New Measure </w:t>
            </w:r>
            <w:r w:rsidRPr="00BE3760">
              <w:rPr>
                <w:rFonts w:eastAsiaTheme="minorHAnsi"/>
                <w:b/>
                <w:color w:val="000000"/>
                <w:sz w:val="23"/>
                <w:szCs w:val="23"/>
              </w:rPr>
              <w:t xml:space="preserve">Training </w:t>
            </w:r>
            <w:r>
              <w:rPr>
                <w:rFonts w:eastAsiaTheme="minorHAnsi"/>
                <w:b/>
                <w:color w:val="000000"/>
                <w:sz w:val="23"/>
                <w:szCs w:val="23"/>
              </w:rPr>
              <w:t xml:space="preserve">&amp; Measure Maintenance Cost </w:t>
            </w:r>
          </w:p>
        </w:tc>
        <w:tc>
          <w:tcPr>
            <w:tcW w:w="2281" w:type="dxa"/>
            <w:tcBorders>
              <w:top w:val="single" w:sz="4" w:space="0" w:color="auto"/>
              <w:left w:val="nil"/>
              <w:bottom w:val="single" w:sz="4" w:space="0" w:color="auto"/>
              <w:right w:val="single" w:sz="4" w:space="0" w:color="auto"/>
            </w:tcBorders>
            <w:shd w:val="clear" w:color="auto" w:fill="auto"/>
            <w:vAlign w:val="bottom"/>
            <w:hideMark/>
          </w:tcPr>
          <w:p w:rsidR="009C63EB" w:rsidRPr="00BE3760" w:rsidRDefault="009C63EB" w:rsidP="00326B88">
            <w:pPr>
              <w:spacing w:line="276" w:lineRule="auto"/>
              <w:jc w:val="center"/>
              <w:rPr>
                <w:rFonts w:eastAsiaTheme="minorHAnsi"/>
                <w:b/>
                <w:color w:val="000000"/>
                <w:sz w:val="23"/>
                <w:szCs w:val="23"/>
              </w:rPr>
            </w:pPr>
            <w:r w:rsidRPr="00BE3760">
              <w:rPr>
                <w:rFonts w:eastAsiaTheme="minorHAnsi"/>
                <w:b/>
                <w:color w:val="000000"/>
                <w:sz w:val="23"/>
                <w:szCs w:val="23"/>
              </w:rPr>
              <w:t>Population/Sa</w:t>
            </w:r>
            <w:r>
              <w:rPr>
                <w:rFonts w:eastAsiaTheme="minorHAnsi"/>
                <w:b/>
                <w:color w:val="000000"/>
                <w:sz w:val="23"/>
                <w:szCs w:val="23"/>
              </w:rPr>
              <w:t xml:space="preserve">mple Size Reporting Cost </w:t>
            </w:r>
          </w:p>
        </w:tc>
        <w:tc>
          <w:tcPr>
            <w:tcW w:w="2263" w:type="dxa"/>
            <w:tcBorders>
              <w:top w:val="single" w:sz="4" w:space="0" w:color="auto"/>
              <w:left w:val="nil"/>
              <w:bottom w:val="single" w:sz="4" w:space="0" w:color="auto"/>
              <w:right w:val="single" w:sz="4" w:space="0" w:color="auto"/>
            </w:tcBorders>
          </w:tcPr>
          <w:p w:rsidR="009C63EB" w:rsidRDefault="009C63EB" w:rsidP="00326B88">
            <w:pPr>
              <w:spacing w:line="276" w:lineRule="auto"/>
              <w:jc w:val="center"/>
              <w:rPr>
                <w:rFonts w:eastAsiaTheme="minorHAnsi"/>
                <w:b/>
                <w:color w:val="000000"/>
                <w:sz w:val="23"/>
                <w:szCs w:val="23"/>
              </w:rPr>
            </w:pPr>
          </w:p>
          <w:p w:rsidR="009C63EB" w:rsidRPr="00BE3760" w:rsidRDefault="009C63EB" w:rsidP="00326B88">
            <w:pPr>
              <w:spacing w:line="276" w:lineRule="auto"/>
              <w:jc w:val="center"/>
              <w:rPr>
                <w:rFonts w:eastAsiaTheme="minorHAnsi"/>
                <w:b/>
                <w:color w:val="000000"/>
                <w:sz w:val="23"/>
                <w:szCs w:val="23"/>
              </w:rPr>
            </w:pPr>
            <w:r>
              <w:rPr>
                <w:rFonts w:eastAsiaTheme="minorHAnsi"/>
                <w:b/>
                <w:color w:val="000000"/>
                <w:sz w:val="23"/>
                <w:szCs w:val="23"/>
              </w:rPr>
              <w:t>Administrative Forms</w:t>
            </w:r>
          </w:p>
        </w:tc>
      </w:tr>
      <w:tr w:rsidR="009C63EB" w:rsidRPr="00BE3760" w:rsidTr="009C63EB">
        <w:trPr>
          <w:trHeight w:val="342"/>
        </w:trPr>
        <w:tc>
          <w:tcPr>
            <w:tcW w:w="1951"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9C63EB" w:rsidRPr="003A0740" w:rsidRDefault="009C63EB" w:rsidP="00326B88">
            <w:pPr>
              <w:spacing w:line="276" w:lineRule="auto"/>
              <w:jc w:val="center"/>
              <w:rPr>
                <w:rFonts w:eastAsiaTheme="minorHAnsi"/>
                <w:color w:val="000000"/>
                <w:sz w:val="23"/>
                <w:szCs w:val="23"/>
              </w:rPr>
            </w:pPr>
            <w:r>
              <w:rPr>
                <w:rFonts w:eastAsiaTheme="minorHAnsi"/>
                <w:color w:val="000000"/>
                <w:sz w:val="23"/>
                <w:szCs w:val="23"/>
              </w:rPr>
              <w:t xml:space="preserve">Cost per </w:t>
            </w:r>
            <w:r w:rsidRPr="003A0740">
              <w:rPr>
                <w:rFonts w:eastAsiaTheme="minorHAnsi"/>
                <w:color w:val="000000"/>
                <w:sz w:val="23"/>
                <w:szCs w:val="23"/>
              </w:rPr>
              <w:t xml:space="preserve">Task </w:t>
            </w:r>
            <w:r>
              <w:rPr>
                <w:rFonts w:eastAsiaTheme="minorHAnsi"/>
                <w:color w:val="000000"/>
                <w:sz w:val="23"/>
                <w:szCs w:val="23"/>
              </w:rPr>
              <w:t>p</w:t>
            </w:r>
            <w:r w:rsidRPr="003A0740">
              <w:rPr>
                <w:rFonts w:eastAsiaTheme="minorHAnsi"/>
                <w:color w:val="000000"/>
                <w:sz w:val="23"/>
                <w:szCs w:val="23"/>
              </w:rPr>
              <w:t>er PCH</w:t>
            </w:r>
          </w:p>
        </w:tc>
        <w:tc>
          <w:tcPr>
            <w:tcW w:w="1835" w:type="dxa"/>
            <w:tcBorders>
              <w:top w:val="single" w:sz="8" w:space="0" w:color="auto"/>
              <w:left w:val="nil"/>
              <w:bottom w:val="single" w:sz="4" w:space="0" w:color="auto"/>
              <w:right w:val="single" w:sz="4" w:space="0" w:color="auto"/>
            </w:tcBorders>
            <w:shd w:val="clear" w:color="auto" w:fill="auto"/>
            <w:hideMark/>
          </w:tcPr>
          <w:p w:rsidR="009C63EB" w:rsidRPr="00BE3760" w:rsidRDefault="009C63EB" w:rsidP="00326B88">
            <w:pPr>
              <w:spacing w:line="276" w:lineRule="auto"/>
              <w:jc w:val="center"/>
              <w:rPr>
                <w:rFonts w:eastAsiaTheme="minorHAnsi"/>
                <w:color w:val="000000"/>
                <w:sz w:val="23"/>
                <w:szCs w:val="23"/>
              </w:rPr>
            </w:pPr>
            <w:r>
              <w:t>$1,240,668</w:t>
            </w:r>
            <w:r w:rsidRPr="00555C6F">
              <w:t xml:space="preserve"> </w:t>
            </w:r>
          </w:p>
        </w:tc>
        <w:tc>
          <w:tcPr>
            <w:tcW w:w="2380" w:type="dxa"/>
            <w:tcBorders>
              <w:top w:val="single" w:sz="4" w:space="0" w:color="auto"/>
              <w:left w:val="nil"/>
              <w:bottom w:val="single" w:sz="4" w:space="0" w:color="auto"/>
              <w:right w:val="single" w:sz="4" w:space="0" w:color="auto"/>
            </w:tcBorders>
            <w:shd w:val="clear" w:color="auto" w:fill="auto"/>
            <w:hideMark/>
          </w:tcPr>
          <w:p w:rsidR="009C63EB" w:rsidRPr="00BE3760" w:rsidRDefault="009C63EB" w:rsidP="00326B88">
            <w:pPr>
              <w:spacing w:line="276" w:lineRule="auto"/>
              <w:jc w:val="center"/>
              <w:rPr>
                <w:rFonts w:eastAsiaTheme="minorHAnsi"/>
                <w:color w:val="000000"/>
                <w:sz w:val="23"/>
                <w:szCs w:val="23"/>
              </w:rPr>
            </w:pPr>
            <w:r w:rsidRPr="00555C6F">
              <w:t xml:space="preserve">$330 </w:t>
            </w:r>
          </w:p>
        </w:tc>
        <w:tc>
          <w:tcPr>
            <w:tcW w:w="2281" w:type="dxa"/>
            <w:tcBorders>
              <w:top w:val="single" w:sz="8" w:space="0" w:color="auto"/>
              <w:left w:val="nil"/>
              <w:bottom w:val="single" w:sz="4" w:space="0" w:color="auto"/>
              <w:right w:val="single" w:sz="4" w:space="0" w:color="auto"/>
            </w:tcBorders>
            <w:shd w:val="clear" w:color="auto" w:fill="auto"/>
            <w:hideMark/>
          </w:tcPr>
          <w:p w:rsidR="009C63EB" w:rsidRPr="00BE3760" w:rsidRDefault="009C63EB" w:rsidP="00844FBE">
            <w:pPr>
              <w:spacing w:line="276" w:lineRule="auto"/>
              <w:jc w:val="center"/>
              <w:rPr>
                <w:rFonts w:eastAsiaTheme="minorHAnsi"/>
                <w:color w:val="000000"/>
                <w:sz w:val="23"/>
                <w:szCs w:val="23"/>
              </w:rPr>
            </w:pPr>
            <w:r w:rsidRPr="00555C6F">
              <w:t xml:space="preserve">$330 </w:t>
            </w:r>
          </w:p>
        </w:tc>
        <w:tc>
          <w:tcPr>
            <w:tcW w:w="2263" w:type="dxa"/>
            <w:tcBorders>
              <w:top w:val="single" w:sz="8" w:space="0" w:color="auto"/>
              <w:left w:val="nil"/>
              <w:bottom w:val="single" w:sz="8" w:space="0" w:color="auto"/>
              <w:right w:val="single" w:sz="4" w:space="0" w:color="auto"/>
            </w:tcBorders>
          </w:tcPr>
          <w:p w:rsidR="009C63EB" w:rsidRPr="00555C6F" w:rsidRDefault="009C63EB" w:rsidP="00844FBE">
            <w:pPr>
              <w:spacing w:line="276" w:lineRule="auto"/>
              <w:jc w:val="center"/>
            </w:pPr>
            <w:r>
              <w:t>$17</w:t>
            </w:r>
          </w:p>
        </w:tc>
      </w:tr>
      <w:tr w:rsidR="009C63EB" w:rsidRPr="00BE3760" w:rsidTr="009C63EB">
        <w:trPr>
          <w:trHeight w:val="342"/>
        </w:trPr>
        <w:tc>
          <w:tcPr>
            <w:tcW w:w="1951" w:type="dxa"/>
            <w:tcBorders>
              <w:top w:val="single" w:sz="4" w:space="0" w:color="auto"/>
            </w:tcBorders>
            <w:shd w:val="clear" w:color="auto" w:fill="auto"/>
            <w:vAlign w:val="bottom"/>
          </w:tcPr>
          <w:p w:rsidR="009C63EB" w:rsidRPr="00BE3760" w:rsidRDefault="009C63EB" w:rsidP="00326B88">
            <w:pPr>
              <w:spacing w:line="276" w:lineRule="auto"/>
              <w:jc w:val="center"/>
              <w:rPr>
                <w:rFonts w:eastAsiaTheme="minorHAnsi"/>
                <w:b/>
                <w:color w:val="000000"/>
                <w:sz w:val="23"/>
                <w:szCs w:val="23"/>
              </w:rPr>
            </w:pPr>
          </w:p>
        </w:tc>
        <w:tc>
          <w:tcPr>
            <w:tcW w:w="1835" w:type="dxa"/>
            <w:tcBorders>
              <w:top w:val="single" w:sz="4" w:space="0" w:color="auto"/>
            </w:tcBorders>
            <w:shd w:val="clear" w:color="auto" w:fill="auto"/>
            <w:vAlign w:val="bottom"/>
          </w:tcPr>
          <w:p w:rsidR="009C63EB" w:rsidRPr="00BE3760" w:rsidRDefault="009C63EB" w:rsidP="00326B88">
            <w:pPr>
              <w:spacing w:line="276" w:lineRule="auto"/>
              <w:jc w:val="center"/>
              <w:rPr>
                <w:rFonts w:eastAsiaTheme="minorHAnsi"/>
                <w:color w:val="000000"/>
                <w:sz w:val="23"/>
                <w:szCs w:val="23"/>
              </w:rPr>
            </w:pPr>
          </w:p>
        </w:tc>
        <w:tc>
          <w:tcPr>
            <w:tcW w:w="2380" w:type="dxa"/>
            <w:tcBorders>
              <w:top w:val="single" w:sz="4" w:space="0" w:color="auto"/>
              <w:right w:val="single" w:sz="4" w:space="0" w:color="auto"/>
            </w:tcBorders>
            <w:shd w:val="clear" w:color="auto" w:fill="auto"/>
            <w:vAlign w:val="bottom"/>
          </w:tcPr>
          <w:p w:rsidR="009C63EB" w:rsidRPr="00BE3760" w:rsidRDefault="009C63EB" w:rsidP="00326B88">
            <w:pPr>
              <w:spacing w:line="276" w:lineRule="auto"/>
              <w:jc w:val="center"/>
              <w:rPr>
                <w:rFonts w:eastAsiaTheme="minorHAnsi"/>
                <w:color w:val="000000"/>
                <w:sz w:val="23"/>
                <w:szCs w:val="23"/>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bottom"/>
          </w:tcPr>
          <w:p w:rsidR="009C63EB" w:rsidRPr="00951D8E" w:rsidRDefault="009C63EB" w:rsidP="00326B88">
            <w:pPr>
              <w:spacing w:line="276" w:lineRule="auto"/>
              <w:jc w:val="center"/>
              <w:rPr>
                <w:rFonts w:eastAsiaTheme="minorHAnsi"/>
                <w:b/>
                <w:color w:val="000000"/>
                <w:sz w:val="23"/>
                <w:szCs w:val="23"/>
              </w:rPr>
            </w:pPr>
            <w:r w:rsidRPr="00ED4CA4">
              <w:rPr>
                <w:rFonts w:eastAsiaTheme="minorHAnsi"/>
                <w:b/>
                <w:color w:val="000000"/>
                <w:sz w:val="23"/>
                <w:szCs w:val="23"/>
              </w:rPr>
              <w:t xml:space="preserve">Total Cost </w:t>
            </w:r>
            <w:r>
              <w:rPr>
                <w:rFonts w:eastAsiaTheme="minorHAnsi"/>
                <w:b/>
                <w:color w:val="000000"/>
                <w:sz w:val="23"/>
                <w:szCs w:val="23"/>
              </w:rPr>
              <w:br/>
            </w:r>
            <w:r w:rsidRPr="00ED4CA4">
              <w:rPr>
                <w:rFonts w:eastAsiaTheme="minorHAnsi"/>
                <w:b/>
                <w:color w:val="000000"/>
                <w:sz w:val="23"/>
                <w:szCs w:val="23"/>
              </w:rPr>
              <w:t>per PCH</w:t>
            </w:r>
          </w:p>
        </w:tc>
        <w:tc>
          <w:tcPr>
            <w:tcW w:w="2263" w:type="dxa"/>
            <w:tcBorders>
              <w:top w:val="single" w:sz="8" w:space="0" w:color="auto"/>
              <w:left w:val="nil"/>
              <w:bottom w:val="single" w:sz="8" w:space="0" w:color="auto"/>
              <w:right w:val="single" w:sz="4" w:space="0" w:color="auto"/>
            </w:tcBorders>
          </w:tcPr>
          <w:p w:rsidR="009C63EB" w:rsidRDefault="009C63EB" w:rsidP="00326B88">
            <w:pPr>
              <w:spacing w:line="276" w:lineRule="auto"/>
              <w:jc w:val="center"/>
              <w:rPr>
                <w:rFonts w:eastAsiaTheme="minorHAnsi"/>
                <w:b/>
                <w:color w:val="000000"/>
                <w:sz w:val="23"/>
                <w:szCs w:val="23"/>
              </w:rPr>
            </w:pPr>
            <w:r w:rsidRPr="009C63EB">
              <w:rPr>
                <w:rFonts w:eastAsiaTheme="minorHAnsi"/>
                <w:b/>
                <w:color w:val="000000"/>
                <w:sz w:val="23"/>
                <w:szCs w:val="23"/>
              </w:rPr>
              <w:t>$1,241,345</w:t>
            </w:r>
          </w:p>
        </w:tc>
      </w:tr>
    </w:tbl>
    <w:p w:rsidR="006F3B15" w:rsidRDefault="006F3B15" w:rsidP="006F3B15">
      <w:pPr>
        <w:spacing w:line="276" w:lineRule="auto"/>
        <w:rPr>
          <w:rFonts w:eastAsiaTheme="minorHAnsi"/>
          <w:color w:val="000000"/>
          <w:sz w:val="23"/>
          <w:szCs w:val="23"/>
        </w:rPr>
      </w:pPr>
    </w:p>
    <w:p w:rsidR="00935E16" w:rsidRPr="00067CBE" w:rsidRDefault="006F3B15" w:rsidP="00935E16">
      <w:pPr>
        <w:spacing w:line="276" w:lineRule="auto"/>
        <w:rPr>
          <w:rFonts w:eastAsiaTheme="minorHAnsi"/>
          <w:color w:val="000000"/>
          <w:sz w:val="23"/>
          <w:szCs w:val="23"/>
        </w:rPr>
      </w:pPr>
      <w:r w:rsidRPr="006F3B15">
        <w:rPr>
          <w:rFonts w:eastAsiaTheme="minorHAnsi"/>
          <w:color w:val="000000"/>
          <w:szCs w:val="23"/>
        </w:rPr>
        <w:lastRenderedPageBreak/>
        <w:t>With an hourly cost of $</w:t>
      </w:r>
      <w:r w:rsidR="00AA1808">
        <w:rPr>
          <w:rFonts w:eastAsiaTheme="minorHAnsi"/>
          <w:color w:val="000000"/>
          <w:szCs w:val="23"/>
        </w:rPr>
        <w:t>66</w:t>
      </w:r>
      <w:r w:rsidRPr="006F3B15">
        <w:rPr>
          <w:rFonts w:eastAsiaTheme="minorHAnsi"/>
          <w:color w:val="000000"/>
          <w:szCs w:val="23"/>
        </w:rPr>
        <w:t xml:space="preserve"> per hour, we expect </w:t>
      </w:r>
      <w:r w:rsidR="00FA390B">
        <w:rPr>
          <w:rFonts w:eastAsiaTheme="minorHAnsi"/>
          <w:color w:val="000000"/>
          <w:szCs w:val="23"/>
        </w:rPr>
        <w:t>18,808</w:t>
      </w:r>
      <w:r w:rsidRPr="006F3B15">
        <w:rPr>
          <w:rFonts w:eastAsiaTheme="minorHAnsi"/>
          <w:color w:val="000000"/>
          <w:szCs w:val="23"/>
        </w:rPr>
        <w:t xml:space="preserve"> hours of chart abstraction, training, and population/sample size reporting</w:t>
      </w:r>
      <w:r w:rsidR="00372F46">
        <w:rPr>
          <w:rFonts w:eastAsiaTheme="minorHAnsi"/>
          <w:color w:val="000000"/>
          <w:szCs w:val="23"/>
        </w:rPr>
        <w:t>, and completing administrative forms</w:t>
      </w:r>
      <w:r w:rsidRPr="006F3B15">
        <w:rPr>
          <w:rFonts w:eastAsiaTheme="minorHAnsi"/>
          <w:color w:val="000000"/>
          <w:szCs w:val="23"/>
        </w:rPr>
        <w:t xml:space="preserve"> to cost each facility a maximum of $</w:t>
      </w:r>
      <w:r w:rsidR="00372F46">
        <w:rPr>
          <w:rFonts w:eastAsiaTheme="minorHAnsi"/>
          <w:color w:val="000000"/>
          <w:szCs w:val="23"/>
        </w:rPr>
        <w:t>1,241,345</w:t>
      </w:r>
      <w:r w:rsidRPr="006F3B15">
        <w:rPr>
          <w:rFonts w:eastAsiaTheme="minorHAnsi"/>
          <w:color w:val="000000"/>
          <w:szCs w:val="23"/>
        </w:rPr>
        <w:t xml:space="preserve"> annually (see Table C).</w:t>
      </w:r>
      <w:r w:rsidR="00067CBE">
        <w:rPr>
          <w:rFonts w:eastAsiaTheme="minorHAnsi"/>
          <w:color w:val="000000"/>
          <w:szCs w:val="23"/>
        </w:rPr>
        <w:br/>
      </w:r>
      <w:r w:rsidRPr="006F3B15">
        <w:rPr>
          <w:rFonts w:eastAsiaTheme="minorHAnsi"/>
          <w:color w:val="000000"/>
          <w:szCs w:val="23"/>
        </w:rPr>
        <w:t xml:space="preserve">  </w:t>
      </w:r>
      <w:r w:rsidR="00935E16">
        <w:rPr>
          <w:rFonts w:eastAsiaTheme="minorHAnsi"/>
          <w:color w:val="000000"/>
          <w:sz w:val="23"/>
          <w:szCs w:val="23"/>
        </w:rPr>
        <w:br/>
      </w:r>
      <w:r w:rsidR="00935E16" w:rsidRPr="00151E80">
        <w:rPr>
          <w:rFonts w:eastAsiaTheme="minorHAnsi"/>
          <w:color w:val="000000"/>
          <w:szCs w:val="23"/>
        </w:rPr>
        <w:t>Table D</w:t>
      </w:r>
    </w:p>
    <w:tbl>
      <w:tblPr>
        <w:tblStyle w:val="TableGrid"/>
        <w:tblW w:w="10800" w:type="dxa"/>
        <w:tblInd w:w="-635" w:type="dxa"/>
        <w:tblLook w:val="04A0" w:firstRow="1" w:lastRow="0" w:firstColumn="1" w:lastColumn="0" w:noHBand="0" w:noVBand="1"/>
      </w:tblPr>
      <w:tblGrid>
        <w:gridCol w:w="1530"/>
        <w:gridCol w:w="1530"/>
        <w:gridCol w:w="2160"/>
        <w:gridCol w:w="1890"/>
        <w:gridCol w:w="1890"/>
        <w:gridCol w:w="1800"/>
      </w:tblGrid>
      <w:tr w:rsidR="00912AFF" w:rsidTr="00912AFF">
        <w:tc>
          <w:tcPr>
            <w:tcW w:w="1530" w:type="dxa"/>
          </w:tcPr>
          <w:p w:rsidR="00912AFF" w:rsidRDefault="00912AFF" w:rsidP="00326B88">
            <w:pPr>
              <w:spacing w:line="276" w:lineRule="auto"/>
              <w:jc w:val="center"/>
              <w:rPr>
                <w:rFonts w:eastAsiaTheme="minorHAnsi"/>
                <w:color w:val="000000"/>
                <w:sz w:val="23"/>
                <w:szCs w:val="23"/>
              </w:rPr>
            </w:pPr>
          </w:p>
        </w:tc>
        <w:tc>
          <w:tcPr>
            <w:tcW w:w="1530" w:type="dxa"/>
          </w:tcPr>
          <w:p w:rsidR="00912AFF" w:rsidRPr="00020B95" w:rsidRDefault="00912AFF" w:rsidP="00326B88">
            <w:pPr>
              <w:spacing w:line="276" w:lineRule="auto"/>
              <w:jc w:val="center"/>
              <w:rPr>
                <w:rFonts w:eastAsiaTheme="minorHAnsi"/>
                <w:b/>
                <w:color w:val="000000"/>
                <w:sz w:val="23"/>
                <w:szCs w:val="23"/>
              </w:rPr>
            </w:pPr>
            <w:r>
              <w:rPr>
                <w:rFonts w:eastAsiaTheme="minorHAnsi"/>
                <w:b/>
                <w:color w:val="000000"/>
                <w:sz w:val="23"/>
                <w:szCs w:val="23"/>
              </w:rPr>
              <w:t xml:space="preserve">Total </w:t>
            </w:r>
            <w:r w:rsidRPr="00020B95">
              <w:rPr>
                <w:rFonts w:eastAsiaTheme="minorHAnsi"/>
                <w:b/>
                <w:color w:val="000000"/>
                <w:sz w:val="23"/>
                <w:szCs w:val="23"/>
              </w:rPr>
              <w:t>Chart Abstraction Costs</w:t>
            </w:r>
          </w:p>
        </w:tc>
        <w:tc>
          <w:tcPr>
            <w:tcW w:w="2160" w:type="dxa"/>
          </w:tcPr>
          <w:p w:rsidR="00912AFF" w:rsidRPr="00020B95" w:rsidRDefault="00912AFF" w:rsidP="00326B88">
            <w:pPr>
              <w:spacing w:line="276" w:lineRule="auto"/>
              <w:jc w:val="center"/>
              <w:rPr>
                <w:rFonts w:eastAsiaTheme="minorHAnsi"/>
                <w:b/>
                <w:color w:val="000000"/>
                <w:sz w:val="23"/>
                <w:szCs w:val="23"/>
              </w:rPr>
            </w:pPr>
            <w:r>
              <w:rPr>
                <w:rFonts w:eastAsiaTheme="minorHAnsi"/>
                <w:b/>
                <w:color w:val="000000"/>
                <w:sz w:val="23"/>
                <w:szCs w:val="23"/>
              </w:rPr>
              <w:t xml:space="preserve">Total New Measure </w:t>
            </w:r>
            <w:r w:rsidRPr="00020B95">
              <w:rPr>
                <w:rFonts w:eastAsiaTheme="minorHAnsi"/>
                <w:b/>
                <w:color w:val="000000"/>
                <w:sz w:val="23"/>
                <w:szCs w:val="23"/>
              </w:rPr>
              <w:t xml:space="preserve">Training </w:t>
            </w:r>
            <w:r>
              <w:rPr>
                <w:rFonts w:eastAsiaTheme="minorHAnsi"/>
                <w:b/>
                <w:color w:val="000000"/>
                <w:sz w:val="23"/>
                <w:szCs w:val="23"/>
              </w:rPr>
              <w:t xml:space="preserve">&amp; Measure Maintenance </w:t>
            </w:r>
            <w:r w:rsidRPr="00020B95">
              <w:rPr>
                <w:rFonts w:eastAsiaTheme="minorHAnsi"/>
                <w:b/>
                <w:color w:val="000000"/>
                <w:sz w:val="23"/>
                <w:szCs w:val="23"/>
              </w:rPr>
              <w:t>Costs</w:t>
            </w:r>
          </w:p>
        </w:tc>
        <w:tc>
          <w:tcPr>
            <w:tcW w:w="1890" w:type="dxa"/>
          </w:tcPr>
          <w:p w:rsidR="00912AFF" w:rsidRPr="00020B95" w:rsidRDefault="00912AFF" w:rsidP="00326B88">
            <w:pPr>
              <w:spacing w:line="276" w:lineRule="auto"/>
              <w:jc w:val="center"/>
              <w:rPr>
                <w:rFonts w:eastAsiaTheme="minorHAnsi"/>
                <w:b/>
                <w:color w:val="000000"/>
                <w:sz w:val="23"/>
                <w:szCs w:val="23"/>
              </w:rPr>
            </w:pPr>
            <w:r w:rsidRPr="00020B95">
              <w:rPr>
                <w:rFonts w:eastAsiaTheme="minorHAnsi"/>
                <w:b/>
                <w:color w:val="000000"/>
                <w:sz w:val="23"/>
                <w:szCs w:val="23"/>
              </w:rPr>
              <w:t xml:space="preserve">Total </w:t>
            </w:r>
            <w:r w:rsidRPr="00BE3760">
              <w:rPr>
                <w:rFonts w:eastAsiaTheme="minorHAnsi"/>
                <w:b/>
                <w:color w:val="000000"/>
                <w:sz w:val="23"/>
                <w:szCs w:val="23"/>
              </w:rPr>
              <w:t>Population/</w:t>
            </w:r>
            <w:r>
              <w:rPr>
                <w:rFonts w:eastAsiaTheme="minorHAnsi"/>
                <w:b/>
                <w:color w:val="000000"/>
                <w:sz w:val="23"/>
                <w:szCs w:val="23"/>
              </w:rPr>
              <w:t xml:space="preserve"> </w:t>
            </w:r>
            <w:r w:rsidRPr="00BE3760">
              <w:rPr>
                <w:rFonts w:eastAsiaTheme="minorHAnsi"/>
                <w:b/>
                <w:color w:val="000000"/>
                <w:sz w:val="23"/>
                <w:szCs w:val="23"/>
              </w:rPr>
              <w:t>Sample Size Reporting Cost</w:t>
            </w:r>
          </w:p>
        </w:tc>
        <w:tc>
          <w:tcPr>
            <w:tcW w:w="1890" w:type="dxa"/>
          </w:tcPr>
          <w:p w:rsidR="00912AFF" w:rsidRDefault="00912AFF" w:rsidP="00326B88">
            <w:pPr>
              <w:spacing w:line="276" w:lineRule="auto"/>
              <w:jc w:val="center"/>
              <w:rPr>
                <w:rFonts w:eastAsiaTheme="minorHAnsi"/>
                <w:b/>
                <w:color w:val="000000"/>
                <w:sz w:val="23"/>
                <w:szCs w:val="23"/>
              </w:rPr>
            </w:pPr>
            <w:r>
              <w:rPr>
                <w:rFonts w:eastAsiaTheme="minorHAnsi"/>
                <w:b/>
                <w:color w:val="000000"/>
                <w:sz w:val="23"/>
                <w:szCs w:val="23"/>
              </w:rPr>
              <w:t>Administrative Forms</w:t>
            </w:r>
          </w:p>
        </w:tc>
        <w:tc>
          <w:tcPr>
            <w:tcW w:w="1800" w:type="dxa"/>
          </w:tcPr>
          <w:p w:rsidR="00912AFF" w:rsidRPr="00020B95" w:rsidRDefault="00912AFF" w:rsidP="00326B88">
            <w:pPr>
              <w:spacing w:line="276" w:lineRule="auto"/>
              <w:jc w:val="center"/>
              <w:rPr>
                <w:rFonts w:eastAsiaTheme="minorHAnsi"/>
                <w:b/>
                <w:color w:val="000000"/>
                <w:sz w:val="23"/>
                <w:szCs w:val="23"/>
              </w:rPr>
            </w:pPr>
            <w:r>
              <w:rPr>
                <w:rFonts w:eastAsiaTheme="minorHAnsi"/>
                <w:b/>
                <w:color w:val="000000"/>
                <w:sz w:val="23"/>
                <w:szCs w:val="23"/>
              </w:rPr>
              <w:t>Total Costs</w:t>
            </w:r>
          </w:p>
        </w:tc>
      </w:tr>
      <w:tr w:rsidR="00912AFF" w:rsidTr="00912AFF">
        <w:tc>
          <w:tcPr>
            <w:tcW w:w="1530" w:type="dxa"/>
          </w:tcPr>
          <w:p w:rsidR="00912AFF" w:rsidRPr="00951D8E" w:rsidRDefault="00912AFF" w:rsidP="00326B88">
            <w:pPr>
              <w:spacing w:line="276" w:lineRule="auto"/>
              <w:rPr>
                <w:rFonts w:eastAsiaTheme="minorHAnsi"/>
                <w:color w:val="000000"/>
                <w:sz w:val="23"/>
                <w:szCs w:val="23"/>
              </w:rPr>
            </w:pPr>
            <w:r w:rsidRPr="00951D8E">
              <w:rPr>
                <w:rFonts w:eastAsiaTheme="minorHAnsi"/>
                <w:color w:val="000000"/>
                <w:sz w:val="23"/>
                <w:szCs w:val="23"/>
              </w:rPr>
              <w:t>Costs Across 11 PCHs</w:t>
            </w:r>
          </w:p>
        </w:tc>
        <w:tc>
          <w:tcPr>
            <w:tcW w:w="1530" w:type="dxa"/>
          </w:tcPr>
          <w:p w:rsidR="00912AFF" w:rsidRDefault="00912AFF" w:rsidP="00326B88">
            <w:pPr>
              <w:spacing w:line="276" w:lineRule="auto"/>
              <w:rPr>
                <w:rFonts w:eastAsiaTheme="minorHAnsi"/>
                <w:color w:val="000000"/>
                <w:sz w:val="23"/>
                <w:szCs w:val="23"/>
              </w:rPr>
            </w:pPr>
            <w:r>
              <w:t>$13,647,348</w:t>
            </w:r>
            <w:r w:rsidRPr="009564A7">
              <w:t xml:space="preserve"> </w:t>
            </w:r>
          </w:p>
        </w:tc>
        <w:tc>
          <w:tcPr>
            <w:tcW w:w="2160" w:type="dxa"/>
          </w:tcPr>
          <w:p w:rsidR="00912AFF" w:rsidRDefault="00912AFF" w:rsidP="00326B88">
            <w:pPr>
              <w:spacing w:line="276" w:lineRule="auto"/>
              <w:rPr>
                <w:rFonts w:eastAsiaTheme="minorHAnsi"/>
                <w:color w:val="000000"/>
                <w:sz w:val="23"/>
                <w:szCs w:val="23"/>
              </w:rPr>
            </w:pPr>
            <w:r w:rsidRPr="009564A7">
              <w:t xml:space="preserve">$3,630 </w:t>
            </w:r>
          </w:p>
        </w:tc>
        <w:tc>
          <w:tcPr>
            <w:tcW w:w="1890" w:type="dxa"/>
          </w:tcPr>
          <w:p w:rsidR="00912AFF" w:rsidRPr="003133FE" w:rsidRDefault="00912AFF" w:rsidP="00067CBE">
            <w:pPr>
              <w:spacing w:line="276" w:lineRule="auto"/>
              <w:rPr>
                <w:rFonts w:eastAsiaTheme="minorHAnsi"/>
                <w:color w:val="000000"/>
                <w:sz w:val="23"/>
                <w:szCs w:val="23"/>
              </w:rPr>
            </w:pPr>
            <w:r w:rsidRPr="009564A7">
              <w:t xml:space="preserve">$3,630 </w:t>
            </w:r>
          </w:p>
        </w:tc>
        <w:tc>
          <w:tcPr>
            <w:tcW w:w="1890" w:type="dxa"/>
          </w:tcPr>
          <w:p w:rsidR="00912AFF" w:rsidRPr="00912AFF" w:rsidRDefault="00912AFF" w:rsidP="00067CBE">
            <w:pPr>
              <w:spacing w:line="276" w:lineRule="auto"/>
            </w:pPr>
            <w:r w:rsidRPr="00912AFF">
              <w:t>$182</w:t>
            </w:r>
          </w:p>
        </w:tc>
        <w:tc>
          <w:tcPr>
            <w:tcW w:w="1800" w:type="dxa"/>
          </w:tcPr>
          <w:p w:rsidR="00912AFF" w:rsidRPr="00AA1808" w:rsidRDefault="00912AFF" w:rsidP="00067CBE">
            <w:pPr>
              <w:spacing w:line="276" w:lineRule="auto"/>
              <w:rPr>
                <w:b/>
                <w:color w:val="000000"/>
                <w:sz w:val="23"/>
                <w:szCs w:val="23"/>
              </w:rPr>
            </w:pPr>
            <w:r>
              <w:rPr>
                <w:b/>
              </w:rPr>
              <w:t>$13,654,790</w:t>
            </w:r>
          </w:p>
        </w:tc>
      </w:tr>
    </w:tbl>
    <w:p w:rsidR="00935E16" w:rsidRDefault="00935E16" w:rsidP="00935E16">
      <w:pPr>
        <w:spacing w:line="276" w:lineRule="auto"/>
        <w:rPr>
          <w:rFonts w:eastAsiaTheme="minorHAnsi"/>
        </w:rPr>
      </w:pPr>
    </w:p>
    <w:p w:rsidR="006F3B15" w:rsidRPr="006F3B15" w:rsidRDefault="006F3B15" w:rsidP="006F3B15">
      <w:pPr>
        <w:spacing w:line="276" w:lineRule="auto"/>
        <w:rPr>
          <w:szCs w:val="23"/>
        </w:rPr>
      </w:pPr>
      <w:r w:rsidRPr="006F3B15">
        <w:rPr>
          <w:szCs w:val="23"/>
        </w:rPr>
        <w:t>We estimate the total annual cost for all facilities to complete chart abstraction, population/</w:t>
      </w:r>
      <w:r w:rsidR="00D51FEE">
        <w:rPr>
          <w:szCs w:val="23"/>
        </w:rPr>
        <w:t xml:space="preserve"> </w:t>
      </w:r>
      <w:r w:rsidRPr="006F3B15">
        <w:rPr>
          <w:szCs w:val="23"/>
        </w:rPr>
        <w:t xml:space="preserve">sample size reporting, </w:t>
      </w:r>
      <w:r w:rsidR="0001455D">
        <w:rPr>
          <w:szCs w:val="23"/>
        </w:rPr>
        <w:t xml:space="preserve">administrative </w:t>
      </w:r>
      <w:r w:rsidRPr="006F3B15">
        <w:rPr>
          <w:szCs w:val="23"/>
        </w:rPr>
        <w:t>and training tasks for 19 quality measures to be $</w:t>
      </w:r>
      <w:r w:rsidR="0001455D">
        <w:rPr>
          <w:szCs w:val="23"/>
        </w:rPr>
        <w:t>13,654,790</w:t>
      </w:r>
      <w:r w:rsidRPr="006F3B15">
        <w:rPr>
          <w:szCs w:val="23"/>
        </w:rPr>
        <w:t xml:space="preserve"> (See Table D).  The actual expense may incrementally increase as the PCHQR Program adopts additional measures in future program years.</w:t>
      </w:r>
    </w:p>
    <w:p w:rsidR="006F3B15" w:rsidRPr="006F3B15" w:rsidRDefault="006F3B15" w:rsidP="006F3B15">
      <w:pPr>
        <w:spacing w:line="276" w:lineRule="auto"/>
        <w:rPr>
          <w:szCs w:val="23"/>
        </w:rPr>
      </w:pPr>
    </w:p>
    <w:p w:rsidR="006F3B15" w:rsidRDefault="006F3B15" w:rsidP="00935E16">
      <w:pPr>
        <w:spacing w:line="276" w:lineRule="auto"/>
        <w:rPr>
          <w:szCs w:val="23"/>
        </w:rPr>
      </w:pPr>
    </w:p>
    <w:p w:rsidR="006F3B15" w:rsidRPr="00AD0DDE" w:rsidRDefault="006F3B15" w:rsidP="00285035"/>
    <w:sectPr w:rsidR="006F3B15" w:rsidRPr="00AD0DDE" w:rsidSect="007D39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694" w:rsidRDefault="00C55694" w:rsidP="00285035">
      <w:r>
        <w:separator/>
      </w:r>
    </w:p>
  </w:endnote>
  <w:endnote w:type="continuationSeparator" w:id="0">
    <w:p w:rsidR="00C55694" w:rsidRDefault="00C55694"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E7" w:rsidRDefault="00F90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E7" w:rsidRDefault="00F90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E7" w:rsidRDefault="00F90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694" w:rsidRDefault="00C55694" w:rsidP="00285035">
      <w:r>
        <w:separator/>
      </w:r>
    </w:p>
  </w:footnote>
  <w:footnote w:type="continuationSeparator" w:id="0">
    <w:p w:rsidR="00C55694" w:rsidRDefault="00C55694" w:rsidP="00285035">
      <w:r>
        <w:continuationSeparator/>
      </w:r>
    </w:p>
  </w:footnote>
  <w:footnote w:id="1">
    <w:p w:rsidR="00935E16" w:rsidRDefault="00935E16">
      <w:pPr>
        <w:pStyle w:val="FootnoteText"/>
      </w:pPr>
      <w:r>
        <w:rPr>
          <w:rStyle w:val="FootnoteReference"/>
        </w:rPr>
        <w:footnoteRef/>
      </w:r>
      <w:r>
        <w:t xml:space="preserve"> </w:t>
      </w:r>
      <w:r>
        <w:rPr>
          <w:rFonts w:eastAsiaTheme="minorHAnsi"/>
          <w:color w:val="000000"/>
        </w:rPr>
        <w:t xml:space="preserve">FY2011 CMS </w:t>
      </w:r>
      <w:proofErr w:type="spellStart"/>
      <w:r>
        <w:rPr>
          <w:rFonts w:eastAsiaTheme="minorHAnsi"/>
          <w:color w:val="000000"/>
        </w:rPr>
        <w:t>MedPAR</w:t>
      </w:r>
      <w:proofErr w:type="spellEnd"/>
    </w:p>
  </w:footnote>
  <w:footnote w:id="2">
    <w:p w:rsidR="00935E16" w:rsidRPr="00935E16" w:rsidRDefault="00935E16" w:rsidP="00935E16">
      <w:pPr>
        <w:rPr>
          <w:rFonts w:eastAsiaTheme="minorHAnsi"/>
          <w:color w:val="000000"/>
          <w:sz w:val="20"/>
          <w:szCs w:val="20"/>
        </w:rPr>
      </w:pPr>
      <w:r w:rsidRPr="00CB588D">
        <w:rPr>
          <w:rStyle w:val="FootnoteReference"/>
        </w:rPr>
        <w:footnoteRef/>
      </w:r>
      <w:r w:rsidRPr="00935E16">
        <w:rPr>
          <w:rFonts w:eastAsiaTheme="minorHAnsi"/>
          <w:color w:val="000000"/>
          <w:sz w:val="20"/>
          <w:szCs w:val="20"/>
        </w:rPr>
        <w:t xml:space="preserve"> 2007 GAO measure abstraction work effort survey – GAO-07-320</w:t>
      </w:r>
    </w:p>
  </w:footnote>
  <w:footnote w:id="3">
    <w:p w:rsidR="00935E16" w:rsidRPr="00935E16" w:rsidRDefault="00935E16" w:rsidP="00935E16">
      <w:pPr>
        <w:rPr>
          <w:rFonts w:eastAsiaTheme="minorHAnsi"/>
          <w:color w:val="000000"/>
          <w:szCs w:val="20"/>
        </w:rPr>
      </w:pPr>
      <w:r w:rsidRPr="00CB588D">
        <w:rPr>
          <w:rStyle w:val="FootnoteReference"/>
        </w:rPr>
        <w:footnoteRef/>
      </w:r>
      <w:r w:rsidRPr="00935E16">
        <w:rPr>
          <w:rFonts w:eastAsiaTheme="minorHAnsi"/>
          <w:color w:val="000000"/>
          <w:sz w:val="20"/>
          <w:szCs w:val="20"/>
        </w:rPr>
        <w:t xml:space="preserve"> www.salary.com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E7" w:rsidRDefault="00F907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E7" w:rsidRDefault="00F907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E7" w:rsidRDefault="00F90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1"/>
  </w:num>
  <w:num w:numId="4">
    <w:abstractNumId w:val="0"/>
  </w:num>
  <w:num w:numId="5">
    <w:abstractNumId w:val="3"/>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243F"/>
    <w:rsid w:val="00006F40"/>
    <w:rsid w:val="00013064"/>
    <w:rsid w:val="00013653"/>
    <w:rsid w:val="00013D77"/>
    <w:rsid w:val="0001455D"/>
    <w:rsid w:val="00024065"/>
    <w:rsid w:val="00034F9D"/>
    <w:rsid w:val="0003762F"/>
    <w:rsid w:val="0005747A"/>
    <w:rsid w:val="00067CBE"/>
    <w:rsid w:val="0007426F"/>
    <w:rsid w:val="0009571E"/>
    <w:rsid w:val="00096F23"/>
    <w:rsid w:val="000A01D5"/>
    <w:rsid w:val="000B190D"/>
    <w:rsid w:val="000B21E1"/>
    <w:rsid w:val="000B6751"/>
    <w:rsid w:val="000C1B11"/>
    <w:rsid w:val="000E6144"/>
    <w:rsid w:val="000E6A91"/>
    <w:rsid w:val="00103C94"/>
    <w:rsid w:val="00107230"/>
    <w:rsid w:val="00114C15"/>
    <w:rsid w:val="00124026"/>
    <w:rsid w:val="00132B27"/>
    <w:rsid w:val="00151D77"/>
    <w:rsid w:val="00151E80"/>
    <w:rsid w:val="00167494"/>
    <w:rsid w:val="00193776"/>
    <w:rsid w:val="001B13F8"/>
    <w:rsid w:val="001C096E"/>
    <w:rsid w:val="001D2CE6"/>
    <w:rsid w:val="001F0D8B"/>
    <w:rsid w:val="001F2334"/>
    <w:rsid w:val="001F3D4B"/>
    <w:rsid w:val="00200B64"/>
    <w:rsid w:val="00203246"/>
    <w:rsid w:val="00203F7B"/>
    <w:rsid w:val="00205918"/>
    <w:rsid w:val="00210A90"/>
    <w:rsid w:val="0022048C"/>
    <w:rsid w:val="00263EDC"/>
    <w:rsid w:val="00265AA8"/>
    <w:rsid w:val="00274BD6"/>
    <w:rsid w:val="00285035"/>
    <w:rsid w:val="00294D3E"/>
    <w:rsid w:val="002B3883"/>
    <w:rsid w:val="002B5895"/>
    <w:rsid w:val="002F0C10"/>
    <w:rsid w:val="00303F7F"/>
    <w:rsid w:val="00313038"/>
    <w:rsid w:val="00316EC3"/>
    <w:rsid w:val="0035297A"/>
    <w:rsid w:val="00362009"/>
    <w:rsid w:val="00372F46"/>
    <w:rsid w:val="003773FF"/>
    <w:rsid w:val="00387E52"/>
    <w:rsid w:val="00390E58"/>
    <w:rsid w:val="003913BD"/>
    <w:rsid w:val="00393E07"/>
    <w:rsid w:val="003A1020"/>
    <w:rsid w:val="003B28C3"/>
    <w:rsid w:val="003C2749"/>
    <w:rsid w:val="003E7D50"/>
    <w:rsid w:val="00440D4B"/>
    <w:rsid w:val="00444D50"/>
    <w:rsid w:val="0044664B"/>
    <w:rsid w:val="0045038E"/>
    <w:rsid w:val="00456019"/>
    <w:rsid w:val="0046134C"/>
    <w:rsid w:val="00475BCE"/>
    <w:rsid w:val="004A29AA"/>
    <w:rsid w:val="004B45B6"/>
    <w:rsid w:val="004B56F7"/>
    <w:rsid w:val="004C3DCF"/>
    <w:rsid w:val="004D3549"/>
    <w:rsid w:val="004E7710"/>
    <w:rsid w:val="004F0232"/>
    <w:rsid w:val="00500B8F"/>
    <w:rsid w:val="0051284F"/>
    <w:rsid w:val="00554E09"/>
    <w:rsid w:val="00560903"/>
    <w:rsid w:val="005756DF"/>
    <w:rsid w:val="00590056"/>
    <w:rsid w:val="005A3227"/>
    <w:rsid w:val="005A4DD5"/>
    <w:rsid w:val="005A6E75"/>
    <w:rsid w:val="005B76F2"/>
    <w:rsid w:val="005F60AB"/>
    <w:rsid w:val="006011DF"/>
    <w:rsid w:val="00601596"/>
    <w:rsid w:val="00604874"/>
    <w:rsid w:val="00614125"/>
    <w:rsid w:val="006640AA"/>
    <w:rsid w:val="0067318B"/>
    <w:rsid w:val="006740B6"/>
    <w:rsid w:val="00692D37"/>
    <w:rsid w:val="00693AEF"/>
    <w:rsid w:val="006A2853"/>
    <w:rsid w:val="006A28F7"/>
    <w:rsid w:val="006A34AD"/>
    <w:rsid w:val="006C0103"/>
    <w:rsid w:val="006C0C29"/>
    <w:rsid w:val="006C6A2D"/>
    <w:rsid w:val="006D753F"/>
    <w:rsid w:val="006E0C4C"/>
    <w:rsid w:val="006E1CBC"/>
    <w:rsid w:val="006E4C32"/>
    <w:rsid w:val="006F3B15"/>
    <w:rsid w:val="006F6200"/>
    <w:rsid w:val="007045D2"/>
    <w:rsid w:val="00706C96"/>
    <w:rsid w:val="007124FC"/>
    <w:rsid w:val="00717032"/>
    <w:rsid w:val="00752161"/>
    <w:rsid w:val="00755771"/>
    <w:rsid w:val="007A13F6"/>
    <w:rsid w:val="007A769B"/>
    <w:rsid w:val="007B6F52"/>
    <w:rsid w:val="007C5F83"/>
    <w:rsid w:val="007D3918"/>
    <w:rsid w:val="007F204D"/>
    <w:rsid w:val="008046CE"/>
    <w:rsid w:val="00824031"/>
    <w:rsid w:val="0082763D"/>
    <w:rsid w:val="00832DBA"/>
    <w:rsid w:val="00844FBE"/>
    <w:rsid w:val="00885810"/>
    <w:rsid w:val="008A2E6A"/>
    <w:rsid w:val="008A3EC6"/>
    <w:rsid w:val="008B1360"/>
    <w:rsid w:val="008B538F"/>
    <w:rsid w:val="008C075C"/>
    <w:rsid w:val="008C1A0B"/>
    <w:rsid w:val="008E23DD"/>
    <w:rsid w:val="008E2F28"/>
    <w:rsid w:val="008F2943"/>
    <w:rsid w:val="00901557"/>
    <w:rsid w:val="00912AFF"/>
    <w:rsid w:val="00921A65"/>
    <w:rsid w:val="009352D2"/>
    <w:rsid w:val="00935E16"/>
    <w:rsid w:val="009379CC"/>
    <w:rsid w:val="00943951"/>
    <w:rsid w:val="009600B2"/>
    <w:rsid w:val="00963D2A"/>
    <w:rsid w:val="009721FE"/>
    <w:rsid w:val="00986494"/>
    <w:rsid w:val="009873BA"/>
    <w:rsid w:val="009A173D"/>
    <w:rsid w:val="009A281D"/>
    <w:rsid w:val="009A5646"/>
    <w:rsid w:val="009B2A27"/>
    <w:rsid w:val="009B409E"/>
    <w:rsid w:val="009B4E79"/>
    <w:rsid w:val="009C0D3A"/>
    <w:rsid w:val="009C129B"/>
    <w:rsid w:val="009C391E"/>
    <w:rsid w:val="009C4392"/>
    <w:rsid w:val="009C5477"/>
    <w:rsid w:val="009C63EB"/>
    <w:rsid w:val="009C661F"/>
    <w:rsid w:val="009C79B5"/>
    <w:rsid w:val="009E290D"/>
    <w:rsid w:val="009F0338"/>
    <w:rsid w:val="00A21A77"/>
    <w:rsid w:val="00A229D0"/>
    <w:rsid w:val="00A26781"/>
    <w:rsid w:val="00A32842"/>
    <w:rsid w:val="00A35DE2"/>
    <w:rsid w:val="00A43FCA"/>
    <w:rsid w:val="00A46B97"/>
    <w:rsid w:val="00A52E11"/>
    <w:rsid w:val="00A55392"/>
    <w:rsid w:val="00A7673A"/>
    <w:rsid w:val="00A823DB"/>
    <w:rsid w:val="00AA1808"/>
    <w:rsid w:val="00AC5D0A"/>
    <w:rsid w:val="00AD6363"/>
    <w:rsid w:val="00AE4A8E"/>
    <w:rsid w:val="00AF1955"/>
    <w:rsid w:val="00AF79EB"/>
    <w:rsid w:val="00B00B75"/>
    <w:rsid w:val="00B1654D"/>
    <w:rsid w:val="00B27539"/>
    <w:rsid w:val="00B47692"/>
    <w:rsid w:val="00B50605"/>
    <w:rsid w:val="00B57783"/>
    <w:rsid w:val="00B62E03"/>
    <w:rsid w:val="00B717BD"/>
    <w:rsid w:val="00B90D5D"/>
    <w:rsid w:val="00BA06E5"/>
    <w:rsid w:val="00BA59B2"/>
    <w:rsid w:val="00BA7C0C"/>
    <w:rsid w:val="00BC136E"/>
    <w:rsid w:val="00BC7A56"/>
    <w:rsid w:val="00BD5B48"/>
    <w:rsid w:val="00BF0BAC"/>
    <w:rsid w:val="00C1144A"/>
    <w:rsid w:val="00C131D4"/>
    <w:rsid w:val="00C13DDC"/>
    <w:rsid w:val="00C15ABB"/>
    <w:rsid w:val="00C17E9C"/>
    <w:rsid w:val="00C20833"/>
    <w:rsid w:val="00C30C7D"/>
    <w:rsid w:val="00C55694"/>
    <w:rsid w:val="00C72A3F"/>
    <w:rsid w:val="00C75983"/>
    <w:rsid w:val="00C8060B"/>
    <w:rsid w:val="00C946CB"/>
    <w:rsid w:val="00C9528C"/>
    <w:rsid w:val="00C96046"/>
    <w:rsid w:val="00CA6214"/>
    <w:rsid w:val="00CB588D"/>
    <w:rsid w:val="00CC0077"/>
    <w:rsid w:val="00CC479C"/>
    <w:rsid w:val="00CC668B"/>
    <w:rsid w:val="00CE2195"/>
    <w:rsid w:val="00CF0CEF"/>
    <w:rsid w:val="00CF3907"/>
    <w:rsid w:val="00D0613B"/>
    <w:rsid w:val="00D1645E"/>
    <w:rsid w:val="00D37AD0"/>
    <w:rsid w:val="00D407D6"/>
    <w:rsid w:val="00D47DB6"/>
    <w:rsid w:val="00D50680"/>
    <w:rsid w:val="00D51FEE"/>
    <w:rsid w:val="00D56936"/>
    <w:rsid w:val="00D72F26"/>
    <w:rsid w:val="00D76D48"/>
    <w:rsid w:val="00D83EEE"/>
    <w:rsid w:val="00DB4B55"/>
    <w:rsid w:val="00DC04E3"/>
    <w:rsid w:val="00DC17DF"/>
    <w:rsid w:val="00DD30AA"/>
    <w:rsid w:val="00DD524E"/>
    <w:rsid w:val="00DF7992"/>
    <w:rsid w:val="00DF7BC7"/>
    <w:rsid w:val="00E0537F"/>
    <w:rsid w:val="00E2514D"/>
    <w:rsid w:val="00E261B6"/>
    <w:rsid w:val="00E305D9"/>
    <w:rsid w:val="00E3435D"/>
    <w:rsid w:val="00E517A6"/>
    <w:rsid w:val="00E71BF1"/>
    <w:rsid w:val="00EA4C89"/>
    <w:rsid w:val="00EA7B59"/>
    <w:rsid w:val="00EB033F"/>
    <w:rsid w:val="00ED5DAF"/>
    <w:rsid w:val="00EE4E8F"/>
    <w:rsid w:val="00EF7B34"/>
    <w:rsid w:val="00F021E7"/>
    <w:rsid w:val="00F12F18"/>
    <w:rsid w:val="00F2789B"/>
    <w:rsid w:val="00F702EA"/>
    <w:rsid w:val="00F729F9"/>
    <w:rsid w:val="00F77908"/>
    <w:rsid w:val="00F907E7"/>
    <w:rsid w:val="00FA390B"/>
    <w:rsid w:val="00FA6ABC"/>
    <w:rsid w:val="00FB1389"/>
    <w:rsid w:val="00FB1A79"/>
    <w:rsid w:val="00FE4EF2"/>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nhideWhenUsed/>
    <w:qFormat/>
    <w:rsid w:val="006011DF"/>
    <w:rPr>
      <w:sz w:val="20"/>
      <w:szCs w:val="20"/>
    </w:rPr>
  </w:style>
  <w:style w:type="character" w:customStyle="1" w:styleId="FootnoteTextChar">
    <w:name w:val="Footnote Text Char"/>
    <w:aliases w:val="Char18 Char"/>
    <w:basedOn w:val="DefaultParagraphFont"/>
    <w:link w:val="FootnoteText"/>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8E2F28"/>
    <w:pPr>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nhideWhenUsed/>
    <w:qFormat/>
    <w:rsid w:val="006011DF"/>
    <w:rPr>
      <w:sz w:val="20"/>
      <w:szCs w:val="20"/>
    </w:rPr>
  </w:style>
  <w:style w:type="character" w:customStyle="1" w:styleId="FootnoteTextChar">
    <w:name w:val="Footnote Text Char"/>
    <w:aliases w:val="Char18 Char"/>
    <w:basedOn w:val="DefaultParagraphFont"/>
    <w:link w:val="FootnoteText"/>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8E2F28"/>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41088">
      <w:bodyDiv w:val="1"/>
      <w:marLeft w:val="0"/>
      <w:marRight w:val="0"/>
      <w:marTop w:val="0"/>
      <w:marBottom w:val="0"/>
      <w:divBdr>
        <w:top w:val="none" w:sz="0" w:space="0" w:color="auto"/>
        <w:left w:val="none" w:sz="0" w:space="0" w:color="auto"/>
        <w:bottom w:val="none" w:sz="0" w:space="0" w:color="auto"/>
        <w:right w:val="none" w:sz="0" w:space="0" w:color="auto"/>
      </w:divBdr>
      <w:divsChild>
        <w:div w:id="151416351">
          <w:marLeft w:val="0"/>
          <w:marRight w:val="0"/>
          <w:marTop w:val="0"/>
          <w:marBottom w:val="0"/>
          <w:divBdr>
            <w:top w:val="none" w:sz="0" w:space="0" w:color="auto"/>
            <w:left w:val="none" w:sz="0" w:space="0" w:color="auto"/>
            <w:bottom w:val="none" w:sz="0" w:space="0" w:color="auto"/>
            <w:right w:val="none" w:sz="0" w:space="0" w:color="auto"/>
          </w:divBdr>
          <w:divsChild>
            <w:div w:id="1023672790">
              <w:marLeft w:val="0"/>
              <w:marRight w:val="0"/>
              <w:marTop w:val="0"/>
              <w:marBottom w:val="0"/>
              <w:divBdr>
                <w:top w:val="none" w:sz="0" w:space="0" w:color="auto"/>
                <w:left w:val="none" w:sz="0" w:space="0" w:color="auto"/>
                <w:bottom w:val="none" w:sz="0" w:space="0" w:color="auto"/>
                <w:right w:val="none" w:sz="0" w:space="0" w:color="auto"/>
              </w:divBdr>
              <w:divsChild>
                <w:div w:id="1027028564">
                  <w:marLeft w:val="0"/>
                  <w:marRight w:val="0"/>
                  <w:marTop w:val="0"/>
                  <w:marBottom w:val="0"/>
                  <w:divBdr>
                    <w:top w:val="none" w:sz="0" w:space="0" w:color="auto"/>
                    <w:left w:val="none" w:sz="0" w:space="0" w:color="auto"/>
                    <w:bottom w:val="none" w:sz="0" w:space="0" w:color="auto"/>
                    <w:right w:val="none" w:sz="0" w:space="0" w:color="auto"/>
                  </w:divBdr>
                  <w:divsChild>
                    <w:div w:id="10409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A49E9-D2D1-4B1E-B389-B9EBB572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BARBARA CHOO</cp:lastModifiedBy>
  <cp:revision>2</cp:revision>
  <cp:lastPrinted>2014-02-24T18:55:00Z</cp:lastPrinted>
  <dcterms:created xsi:type="dcterms:W3CDTF">2014-07-24T17:47:00Z</dcterms:created>
  <dcterms:modified xsi:type="dcterms:W3CDTF">2014-07-24T17:47:00Z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1326617676</vt:i4>
  </property>
  <property fmtid="{D5CDD505-2E9C-101B-9397-08002B2CF9AE}" pid="4" name="_EmailSubject">
    <vt:lpwstr>PPS-Exempt Cancer Hospital Reporting (PCHQR) Program</vt:lpwstr>
  </property>
  <property fmtid="{D5CDD505-2E9C-101B-9397-08002B2CF9AE}" pid="5" name="_AuthorEmail">
    <vt:lpwstr>WILLIAM.PARHAM@cms.hhs.gov</vt:lpwstr>
  </property>
  <property fmtid="{D5CDD505-2E9C-101B-9397-08002B2CF9AE}" pid="6" name="_AuthorEmailDisplayName">
    <vt:lpwstr>Parham, William N. (CMS/OSORA)</vt:lpwstr>
  </property>
</Properties>
</file>