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E0CB6" w14:textId="77777777" w:rsidR="006B73CC" w:rsidRPr="00B52095" w:rsidRDefault="006B73CC">
      <w:pPr>
        <w:rPr>
          <w:rFonts w:ascii="Times New Roman" w:hAnsi="Times New Roman"/>
          <w:color w:val="000000" w:themeColor="text1"/>
          <w:sz w:val="24"/>
        </w:rPr>
      </w:pPr>
    </w:p>
    <w:p w14:paraId="36EA82C7" w14:textId="77777777" w:rsidR="006B73CC" w:rsidRPr="00B52095" w:rsidRDefault="00CB18B3">
      <w:pPr>
        <w:tabs>
          <w:tab w:val="center" w:pos="4680"/>
        </w:tabs>
        <w:rPr>
          <w:rFonts w:ascii="Times New Roman" w:hAnsi="Times New Roman"/>
          <w:color w:val="000000" w:themeColor="text1"/>
          <w:sz w:val="24"/>
        </w:rPr>
      </w:pPr>
      <w:r w:rsidRPr="00B52095">
        <w:rPr>
          <w:rFonts w:ascii="Times New Roman" w:hAnsi="Times New Roman"/>
          <w:color w:val="000000" w:themeColor="text1"/>
          <w:sz w:val="24"/>
        </w:rPr>
        <w:tab/>
        <w:t>THE SUPPORTING STATEMENT</w:t>
      </w:r>
    </w:p>
    <w:p w14:paraId="5DA7CBE8" w14:textId="77777777" w:rsidR="006B73CC" w:rsidRPr="00B52095" w:rsidRDefault="006B73CC">
      <w:pPr>
        <w:tabs>
          <w:tab w:val="left" w:pos="-720"/>
        </w:tabs>
        <w:rPr>
          <w:rFonts w:ascii="Times New Roman" w:hAnsi="Times New Roman"/>
          <w:color w:val="000000" w:themeColor="text1"/>
          <w:sz w:val="24"/>
        </w:rPr>
      </w:pPr>
    </w:p>
    <w:p w14:paraId="0946654B" w14:textId="77777777" w:rsidR="006B73CC" w:rsidRPr="00B52095" w:rsidRDefault="006B73CC">
      <w:pPr>
        <w:tabs>
          <w:tab w:val="left" w:pos="-720"/>
        </w:tabs>
        <w:rPr>
          <w:rFonts w:ascii="Times New Roman" w:hAnsi="Times New Roman"/>
          <w:color w:val="000000" w:themeColor="text1"/>
          <w:sz w:val="24"/>
        </w:rPr>
      </w:pPr>
    </w:p>
    <w:p w14:paraId="6CA891D6" w14:textId="77777777" w:rsidR="006B73CC" w:rsidRPr="00B52095" w:rsidRDefault="006B73CC">
      <w:pPr>
        <w:tabs>
          <w:tab w:val="left" w:pos="-720"/>
        </w:tabs>
        <w:rPr>
          <w:rFonts w:ascii="Times New Roman" w:hAnsi="Times New Roman"/>
          <w:b/>
          <w:color w:val="000000" w:themeColor="text1"/>
          <w:sz w:val="24"/>
        </w:rPr>
      </w:pPr>
    </w:p>
    <w:p w14:paraId="19EFA34C" w14:textId="77777777" w:rsidR="006B73CC" w:rsidRPr="00B52095" w:rsidRDefault="00CB18B3">
      <w:pPr>
        <w:tabs>
          <w:tab w:val="left" w:pos="-720"/>
        </w:tabs>
        <w:rPr>
          <w:rFonts w:ascii="Times New Roman" w:hAnsi="Times New Roman"/>
          <w:b/>
          <w:color w:val="000000" w:themeColor="text1"/>
          <w:sz w:val="24"/>
        </w:rPr>
      </w:pPr>
      <w:r w:rsidRPr="00B52095">
        <w:rPr>
          <w:rFonts w:ascii="Times New Roman" w:hAnsi="Times New Roman"/>
          <w:b/>
          <w:color w:val="000000" w:themeColor="text1"/>
          <w:sz w:val="24"/>
        </w:rPr>
        <w:t>Specific Instructions</w:t>
      </w:r>
    </w:p>
    <w:p w14:paraId="19586B76" w14:textId="77777777" w:rsidR="006B73CC" w:rsidRPr="00B52095" w:rsidRDefault="00CB18B3">
      <w:pPr>
        <w:tabs>
          <w:tab w:val="left" w:pos="-720"/>
        </w:tabs>
        <w:jc w:val="center"/>
        <w:rPr>
          <w:rFonts w:ascii="Times New Roman" w:hAnsi="Times New Roman"/>
          <w:b/>
          <w:color w:val="000000" w:themeColor="text1"/>
          <w:sz w:val="24"/>
        </w:rPr>
      </w:pPr>
      <w:r w:rsidRPr="00B52095">
        <w:rPr>
          <w:rFonts w:ascii="Times New Roman" w:hAnsi="Times New Roman"/>
          <w:b/>
          <w:color w:val="000000" w:themeColor="text1"/>
          <w:sz w:val="24"/>
        </w:rPr>
        <w:t>PART A – Justification</w:t>
      </w:r>
    </w:p>
    <w:p w14:paraId="701F40F7" w14:textId="77777777" w:rsidR="006B73CC" w:rsidRPr="00B52095" w:rsidRDefault="006B73CC">
      <w:pPr>
        <w:tabs>
          <w:tab w:val="left" w:pos="-720"/>
        </w:tabs>
        <w:rPr>
          <w:rFonts w:ascii="Times New Roman" w:hAnsi="Times New Roman"/>
          <w:b/>
          <w:color w:val="000000" w:themeColor="text1"/>
          <w:sz w:val="24"/>
        </w:rPr>
      </w:pPr>
    </w:p>
    <w:p w14:paraId="7A0C3F49" w14:textId="77777777" w:rsidR="006B73CC" w:rsidRPr="00B52095" w:rsidRDefault="00CB18B3">
      <w:pPr>
        <w:tabs>
          <w:tab w:val="left" w:pos="-720"/>
        </w:tabs>
        <w:rPr>
          <w:rFonts w:ascii="Times New Roman" w:hAnsi="Times New Roman"/>
          <w:b/>
          <w:color w:val="000000" w:themeColor="text1"/>
          <w:sz w:val="24"/>
        </w:rPr>
      </w:pPr>
      <w:r w:rsidRPr="00B52095">
        <w:rPr>
          <w:rFonts w:ascii="Times New Roman" w:hAnsi="Times New Roman"/>
          <w:b/>
          <w:color w:val="000000" w:themeColor="text1"/>
          <w:sz w:val="24"/>
        </w:rPr>
        <w:t>A.   Requests for approval shall:</w:t>
      </w:r>
    </w:p>
    <w:p w14:paraId="42E4C197" w14:textId="77777777" w:rsidR="006B73CC" w:rsidRPr="00B52095" w:rsidRDefault="006B73CC">
      <w:pPr>
        <w:tabs>
          <w:tab w:val="left" w:pos="-720"/>
        </w:tabs>
        <w:rPr>
          <w:rFonts w:ascii="Times New Roman" w:hAnsi="Times New Roman"/>
          <w:b/>
          <w:color w:val="000000" w:themeColor="text1"/>
          <w:sz w:val="24"/>
        </w:rPr>
      </w:pPr>
    </w:p>
    <w:p w14:paraId="5CE39140" w14:textId="77777777" w:rsidR="006B73CC" w:rsidRPr="00B52095" w:rsidRDefault="00CB18B3">
      <w:pPr>
        <w:tabs>
          <w:tab w:val="left" w:pos="-720"/>
          <w:tab w:val="left" w:pos="0"/>
        </w:tabs>
        <w:ind w:left="900" w:hanging="450"/>
        <w:rPr>
          <w:color w:val="000000" w:themeColor="text1"/>
        </w:rPr>
      </w:pPr>
      <w:r w:rsidRPr="00B52095">
        <w:rPr>
          <w:rFonts w:ascii="Times New Roman" w:hAnsi="Times New Roman"/>
          <w:b/>
          <w:color w:val="000000" w:themeColor="text1"/>
          <w:sz w:val="24"/>
        </w:rPr>
        <w:t>1.</w:t>
      </w:r>
      <w:r w:rsidRPr="00B52095">
        <w:rPr>
          <w:rFonts w:ascii="Times New Roman" w:hAnsi="Times New Roman"/>
          <w:b/>
          <w:color w:val="000000" w:themeColor="text1"/>
          <w:sz w:val="24"/>
        </w:rPr>
        <w:tab/>
        <w:t>Circumstances making the collection of Information Necessary - Required Data Elements for Paternity Establishment Affidavits (0970-0171)</w:t>
      </w:r>
    </w:p>
    <w:p w14:paraId="21482476" w14:textId="77777777" w:rsidR="006B73CC" w:rsidRPr="00B52095" w:rsidRDefault="006B73CC">
      <w:pPr>
        <w:tabs>
          <w:tab w:val="left" w:pos="-720"/>
          <w:tab w:val="left" w:pos="0"/>
        </w:tabs>
        <w:ind w:left="720" w:hanging="720"/>
        <w:rPr>
          <w:rFonts w:ascii="Times New Roman" w:hAnsi="Times New Roman"/>
          <w:color w:val="000000" w:themeColor="text1"/>
          <w:sz w:val="24"/>
        </w:rPr>
      </w:pPr>
    </w:p>
    <w:p w14:paraId="67AB7F08" w14:textId="77777777" w:rsidR="006B73CC" w:rsidRPr="00B52095" w:rsidRDefault="00CB18B3">
      <w:pPr>
        <w:tabs>
          <w:tab w:val="left" w:pos="-720"/>
          <w:tab w:val="left" w:pos="0"/>
        </w:tabs>
        <w:ind w:left="900"/>
        <w:rPr>
          <w:color w:val="000000" w:themeColor="text1"/>
        </w:rPr>
      </w:pPr>
      <w:r w:rsidRPr="00B52095">
        <w:rPr>
          <w:rFonts w:ascii="Times New Roman" w:hAnsi="Times New Roman"/>
          <w:color w:val="000000" w:themeColor="text1"/>
          <w:sz w:val="24"/>
        </w:rPr>
        <w:t xml:space="preserve">Section 331 of the Personal Responsibility and Work Opportunity Reconciliation Act (PRWORA) of 1996 (P.L. 104-193) amended section 466(a)(5) of the Social Security Act to impose new statutory requirements for a voluntary paternity acknowledgment process.  It requires the Secretary to promulgate regulations governing voluntary paternity establishment services and identifying the types of entities other than hospitals and birth record agencies that may be allowed to offer voluntary paternity establishment services.  States are required to adopt laws and procedures that are in accordance with statutory and regulatory provisions.  </w:t>
      </w:r>
    </w:p>
    <w:p w14:paraId="393550A4" w14:textId="77777777" w:rsidR="006B73CC" w:rsidRPr="00B52095" w:rsidRDefault="00CB18B3">
      <w:pPr>
        <w:tabs>
          <w:tab w:val="left" w:pos="-720"/>
          <w:tab w:val="left" w:pos="0"/>
        </w:tabs>
        <w:ind w:left="720" w:hanging="720"/>
        <w:rPr>
          <w:rFonts w:ascii="Times New Roman" w:hAnsi="Times New Roman"/>
          <w:color w:val="000000" w:themeColor="text1"/>
          <w:sz w:val="24"/>
        </w:rPr>
      </w:pPr>
      <w:r w:rsidRPr="00B52095">
        <w:rPr>
          <w:rFonts w:ascii="Times New Roman" w:hAnsi="Times New Roman"/>
          <w:color w:val="000000" w:themeColor="text1"/>
          <w:sz w:val="24"/>
        </w:rPr>
        <w:tab/>
      </w:r>
    </w:p>
    <w:p w14:paraId="4D636B49" w14:textId="77777777" w:rsidR="006B73CC" w:rsidRPr="00B52095" w:rsidRDefault="00CB18B3">
      <w:pPr>
        <w:tabs>
          <w:tab w:val="left" w:pos="-720"/>
          <w:tab w:val="left" w:pos="0"/>
        </w:tabs>
        <w:ind w:left="900"/>
        <w:rPr>
          <w:rFonts w:ascii="Times New Roman" w:hAnsi="Times New Roman"/>
          <w:color w:val="000000" w:themeColor="text1"/>
          <w:sz w:val="24"/>
        </w:rPr>
      </w:pPr>
      <w:r w:rsidRPr="00B52095">
        <w:rPr>
          <w:rFonts w:ascii="Times New Roman" w:hAnsi="Times New Roman"/>
          <w:color w:val="000000" w:themeColor="text1"/>
          <w:sz w:val="24"/>
        </w:rPr>
        <w:t>Section 452(a)(7) of the Act as amended by section 331 of PRWORA requires the Secretary of the Department of Health and Human Services to specify the minimum requirements of an affidavit to be used for the voluntary acknowledgment of paternity which shall include the Social Security Number of each parent. In addition, section 466(a)(5)(C)(iv) of the Act as amended by section 331 of PRWORA requires States to enact laws requiring the development and use of an affidavit for the voluntary acknowledgment of paternity which includes the minimum requirements of the affidavit specified by the Secretary under section 452(a)(7) and to give full faith and credit to such an affidavit signed in any other State according to its procedures.  The minimum data elements the Secretary is specifying are:</w:t>
      </w:r>
    </w:p>
    <w:p w14:paraId="7A17A2D6" w14:textId="77777777" w:rsidR="006B73CC" w:rsidRPr="00B52095" w:rsidRDefault="006B73CC">
      <w:pPr>
        <w:tabs>
          <w:tab w:val="left" w:pos="-720"/>
          <w:tab w:val="left" w:pos="0"/>
        </w:tabs>
        <w:ind w:left="720" w:hanging="720"/>
        <w:rPr>
          <w:rFonts w:ascii="Times New Roman" w:hAnsi="Times New Roman"/>
          <w:color w:val="000000" w:themeColor="text1"/>
          <w:sz w:val="24"/>
        </w:rPr>
      </w:pPr>
    </w:p>
    <w:p w14:paraId="77CEEB58"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Current full name of the mother, father, and child;</w:t>
      </w:r>
    </w:p>
    <w:p w14:paraId="582775B2"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Social Security Number of the mother and father;</w:t>
      </w:r>
    </w:p>
    <w:p w14:paraId="7CDB08B3"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Date of birth of mother, father, and child;</w:t>
      </w:r>
    </w:p>
    <w:p w14:paraId="79E9AF76"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Address of the mother and father;</w:t>
      </w:r>
    </w:p>
    <w:p w14:paraId="14FD4C90"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Birthplace of the child (city, county, and state);</w:t>
      </w:r>
    </w:p>
    <w:p w14:paraId="546EEC2E"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Brief explanation of the legal significance of signing a voluntary paternity affidavit and a statement that both parents have 60 days to rescind the paternity acknowledgment affidavit;</w:t>
      </w:r>
    </w:p>
    <w:p w14:paraId="3E677F92"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A clear statement signed by both parents indicating they understand that signing the paternity acknowledgment affidavit is voluntary and that they understand what their rights, responsibilities, alternatives, and consequences are;</w:t>
      </w:r>
    </w:p>
    <w:p w14:paraId="2395DC3B"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Signature lines for mother and father; and</w:t>
      </w:r>
    </w:p>
    <w:p w14:paraId="472E9541" w14:textId="77777777" w:rsidR="006B73CC" w:rsidRPr="00B52095" w:rsidRDefault="00CB18B3">
      <w:pPr>
        <w:tabs>
          <w:tab w:val="left" w:pos="-720"/>
          <w:tab w:val="left" w:pos="0"/>
        </w:tabs>
        <w:ind w:left="1440" w:hanging="540"/>
        <w:rPr>
          <w:rFonts w:ascii="Times New Roman" w:hAnsi="Times New Roman"/>
          <w:color w:val="000000" w:themeColor="text1"/>
          <w:sz w:val="24"/>
        </w:rPr>
      </w:pPr>
      <w:r w:rsidRPr="00B52095">
        <w:rPr>
          <w:rFonts w:ascii="Times New Roman" w:hAnsi="Times New Roman"/>
          <w:color w:val="000000" w:themeColor="text1"/>
          <w:sz w:val="24"/>
        </w:rPr>
        <w:t>•</w:t>
      </w:r>
      <w:r w:rsidRPr="00B52095">
        <w:rPr>
          <w:rFonts w:ascii="Times New Roman" w:hAnsi="Times New Roman"/>
          <w:color w:val="000000" w:themeColor="text1"/>
          <w:sz w:val="24"/>
        </w:rPr>
        <w:tab/>
        <w:t>Signature lines for witnesses or notaries.</w:t>
      </w:r>
    </w:p>
    <w:p w14:paraId="6120C5F0" w14:textId="77777777" w:rsidR="006B73CC" w:rsidRPr="00B52095" w:rsidRDefault="006B73CC">
      <w:pPr>
        <w:tabs>
          <w:tab w:val="left" w:pos="-720"/>
          <w:tab w:val="left" w:pos="0"/>
        </w:tabs>
        <w:ind w:left="1440" w:hanging="540"/>
        <w:rPr>
          <w:rFonts w:ascii="Times New Roman" w:hAnsi="Times New Roman"/>
          <w:color w:val="000000" w:themeColor="text1"/>
          <w:sz w:val="24"/>
        </w:rPr>
      </w:pPr>
    </w:p>
    <w:p w14:paraId="41567489" w14:textId="77777777" w:rsidR="006B73CC" w:rsidRPr="00B52095" w:rsidRDefault="006B73CC">
      <w:pPr>
        <w:tabs>
          <w:tab w:val="left" w:pos="-720"/>
          <w:tab w:val="left" w:pos="0"/>
          <w:tab w:val="left" w:pos="720"/>
        </w:tabs>
        <w:ind w:left="1440" w:hanging="1440"/>
        <w:rPr>
          <w:rFonts w:ascii="Times New Roman" w:hAnsi="Times New Roman"/>
          <w:color w:val="000000" w:themeColor="text1"/>
          <w:sz w:val="24"/>
        </w:rPr>
      </w:pPr>
    </w:p>
    <w:p w14:paraId="2CC17846" w14:textId="77777777" w:rsidR="006B73CC" w:rsidRPr="00B52095" w:rsidRDefault="00CB18B3">
      <w:pPr>
        <w:tabs>
          <w:tab w:val="left" w:pos="-720"/>
          <w:tab w:val="left" w:pos="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2.</w:t>
      </w:r>
      <w:r w:rsidRPr="00B52095">
        <w:rPr>
          <w:rFonts w:ascii="Times New Roman" w:hAnsi="Times New Roman"/>
          <w:b/>
          <w:color w:val="000000" w:themeColor="text1"/>
          <w:sz w:val="24"/>
        </w:rPr>
        <w:tab/>
        <w:t>Purpose and Use of the Information Collection</w:t>
      </w:r>
    </w:p>
    <w:p w14:paraId="152FDA5E" w14:textId="77777777" w:rsidR="006B73CC" w:rsidRPr="00B52095" w:rsidRDefault="006B73CC">
      <w:pPr>
        <w:tabs>
          <w:tab w:val="left" w:pos="-720"/>
          <w:tab w:val="left" w:pos="0"/>
        </w:tabs>
        <w:ind w:left="720" w:hanging="720"/>
        <w:rPr>
          <w:rFonts w:ascii="Times New Roman" w:hAnsi="Times New Roman"/>
          <w:b/>
          <w:color w:val="000000" w:themeColor="text1"/>
          <w:sz w:val="24"/>
        </w:rPr>
      </w:pPr>
    </w:p>
    <w:p w14:paraId="67D8FFD1" w14:textId="77777777" w:rsidR="006B73CC" w:rsidRPr="00B52095" w:rsidRDefault="00CB18B3">
      <w:pPr>
        <w:tabs>
          <w:tab w:val="left" w:pos="-720"/>
          <w:tab w:val="left" w:pos="900"/>
        </w:tabs>
        <w:ind w:left="900"/>
        <w:rPr>
          <w:color w:val="000000" w:themeColor="text1"/>
        </w:rPr>
      </w:pPr>
      <w:r w:rsidRPr="00B52095">
        <w:rPr>
          <w:rFonts w:ascii="Times New Roman" w:hAnsi="Times New Roman"/>
          <w:color w:val="000000" w:themeColor="text1"/>
          <w:sz w:val="24"/>
        </w:rPr>
        <w:t xml:space="preserve">The information will be used by state birth record agencies and state child support offices, if needed, to establish child support orders and locate parents for purposes of collecting child support.  </w:t>
      </w:r>
    </w:p>
    <w:p w14:paraId="0ADAF38F" w14:textId="77777777" w:rsidR="006B73CC" w:rsidRPr="00B52095" w:rsidRDefault="006B73CC">
      <w:pPr>
        <w:tabs>
          <w:tab w:val="left" w:pos="-720"/>
        </w:tabs>
        <w:rPr>
          <w:rFonts w:ascii="Times New Roman" w:hAnsi="Times New Roman"/>
          <w:color w:val="000000" w:themeColor="text1"/>
          <w:sz w:val="24"/>
        </w:rPr>
      </w:pPr>
    </w:p>
    <w:p w14:paraId="0CBE6761" w14:textId="77777777" w:rsidR="006B73CC" w:rsidRPr="00B52095" w:rsidRDefault="00CB18B3">
      <w:pPr>
        <w:tabs>
          <w:tab w:val="left" w:pos="-720"/>
        </w:tabs>
        <w:ind w:left="900" w:hanging="450"/>
        <w:rPr>
          <w:color w:val="000000" w:themeColor="text1"/>
        </w:rPr>
      </w:pPr>
      <w:r w:rsidRPr="00B52095">
        <w:rPr>
          <w:rFonts w:ascii="Times New Roman" w:hAnsi="Times New Roman"/>
          <w:b/>
          <w:color w:val="000000" w:themeColor="text1"/>
          <w:sz w:val="24"/>
        </w:rPr>
        <w:t>3.</w:t>
      </w:r>
      <w:r w:rsidRPr="00B52095">
        <w:rPr>
          <w:rFonts w:ascii="Times New Roman" w:hAnsi="Times New Roman"/>
          <w:b/>
          <w:color w:val="000000" w:themeColor="text1"/>
          <w:sz w:val="24"/>
        </w:rPr>
        <w:tab/>
        <w:t>Use of Improved Information Technology and Burden Reduction</w:t>
      </w:r>
    </w:p>
    <w:p w14:paraId="7F90B114" w14:textId="77777777" w:rsidR="006B73CC" w:rsidRPr="00B52095" w:rsidRDefault="006B73CC">
      <w:pPr>
        <w:tabs>
          <w:tab w:val="left" w:pos="-720"/>
        </w:tabs>
        <w:rPr>
          <w:rFonts w:ascii="Times New Roman" w:hAnsi="Times New Roman"/>
          <w:color w:val="000000" w:themeColor="text1"/>
          <w:sz w:val="24"/>
        </w:rPr>
      </w:pPr>
    </w:p>
    <w:p w14:paraId="6CE638FC"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 statute does not dictate the format states must use to collect this information.  It can be collected and distributed electronically or in paper form.</w:t>
      </w:r>
    </w:p>
    <w:p w14:paraId="57250AF7" w14:textId="77777777" w:rsidR="006B73CC" w:rsidRPr="00B52095" w:rsidRDefault="006B73CC">
      <w:pPr>
        <w:tabs>
          <w:tab w:val="left" w:pos="-720"/>
        </w:tabs>
        <w:rPr>
          <w:rFonts w:ascii="Times New Roman" w:hAnsi="Times New Roman"/>
          <w:color w:val="000000" w:themeColor="text1"/>
          <w:sz w:val="24"/>
        </w:rPr>
      </w:pPr>
    </w:p>
    <w:p w14:paraId="43228377" w14:textId="77777777" w:rsidR="006B73CC" w:rsidRPr="00B52095" w:rsidRDefault="006B73CC">
      <w:pPr>
        <w:tabs>
          <w:tab w:val="left" w:pos="-720"/>
        </w:tabs>
        <w:rPr>
          <w:rFonts w:ascii="Times New Roman" w:hAnsi="Times New Roman"/>
          <w:color w:val="000000" w:themeColor="text1"/>
          <w:sz w:val="24"/>
        </w:rPr>
      </w:pPr>
    </w:p>
    <w:p w14:paraId="1E1A4EFD" w14:textId="77777777" w:rsidR="006B73CC" w:rsidRPr="00B52095" w:rsidRDefault="00CB18B3">
      <w:pPr>
        <w:tabs>
          <w:tab w:val="left" w:pos="-72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4.</w:t>
      </w:r>
      <w:r w:rsidRPr="00B52095">
        <w:rPr>
          <w:rFonts w:ascii="Times New Roman" w:hAnsi="Times New Roman"/>
          <w:b/>
          <w:color w:val="000000" w:themeColor="text1"/>
          <w:sz w:val="24"/>
        </w:rPr>
        <w:tab/>
        <w:t>Efforts to Identify Duplication and Use of Similar Information</w:t>
      </w:r>
    </w:p>
    <w:p w14:paraId="725502D2" w14:textId="77777777" w:rsidR="006B73CC" w:rsidRPr="00B52095" w:rsidRDefault="006B73CC">
      <w:pPr>
        <w:tabs>
          <w:tab w:val="left" w:pos="-720"/>
        </w:tabs>
        <w:rPr>
          <w:rFonts w:ascii="Times New Roman" w:hAnsi="Times New Roman"/>
          <w:b/>
          <w:color w:val="000000" w:themeColor="text1"/>
          <w:sz w:val="24"/>
        </w:rPr>
      </w:pPr>
    </w:p>
    <w:p w14:paraId="425A13FF"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States must ensure that their existing affidavits contain the minimum required data elements and any optional elements the state may choose.</w:t>
      </w:r>
    </w:p>
    <w:p w14:paraId="14BDF215" w14:textId="77777777" w:rsidR="006B73CC" w:rsidRPr="00B52095" w:rsidRDefault="006B73CC">
      <w:pPr>
        <w:tabs>
          <w:tab w:val="left" w:pos="-720"/>
        </w:tabs>
        <w:rPr>
          <w:rFonts w:ascii="Times New Roman" w:hAnsi="Times New Roman"/>
          <w:color w:val="000000" w:themeColor="text1"/>
          <w:sz w:val="24"/>
        </w:rPr>
      </w:pPr>
    </w:p>
    <w:p w14:paraId="55FCDE4D" w14:textId="77777777" w:rsidR="006B73CC" w:rsidRPr="00B52095" w:rsidRDefault="006B73CC">
      <w:pPr>
        <w:tabs>
          <w:tab w:val="left" w:pos="-720"/>
        </w:tabs>
        <w:rPr>
          <w:rFonts w:ascii="Times New Roman" w:hAnsi="Times New Roman"/>
          <w:color w:val="000000" w:themeColor="text1"/>
          <w:sz w:val="24"/>
        </w:rPr>
      </w:pPr>
    </w:p>
    <w:p w14:paraId="60E92589" w14:textId="77777777" w:rsidR="006B73CC" w:rsidRPr="00B52095" w:rsidRDefault="00CB18B3">
      <w:pPr>
        <w:tabs>
          <w:tab w:val="left" w:pos="-72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5.</w:t>
      </w:r>
      <w:r w:rsidRPr="00B52095">
        <w:rPr>
          <w:rFonts w:ascii="Times New Roman" w:hAnsi="Times New Roman"/>
          <w:b/>
          <w:color w:val="000000" w:themeColor="text1"/>
          <w:sz w:val="24"/>
        </w:rPr>
        <w:tab/>
        <w:t>Impact on Small Businesses or Other Small Entities</w:t>
      </w:r>
    </w:p>
    <w:p w14:paraId="6B51D262" w14:textId="77777777" w:rsidR="006B73CC" w:rsidRPr="00B52095" w:rsidRDefault="006B73CC">
      <w:pPr>
        <w:tabs>
          <w:tab w:val="left" w:pos="-720"/>
        </w:tabs>
        <w:rPr>
          <w:rFonts w:ascii="Times New Roman" w:hAnsi="Times New Roman"/>
          <w:color w:val="000000" w:themeColor="text1"/>
          <w:sz w:val="24"/>
        </w:rPr>
      </w:pPr>
    </w:p>
    <w:p w14:paraId="3D00DCBB"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This collection of information does not impact small businesses. The information being requested has been held to the absolute minimum required by the statute and regulations.</w:t>
      </w:r>
    </w:p>
    <w:p w14:paraId="6520D7C2" w14:textId="77777777" w:rsidR="006B73CC" w:rsidRPr="00B52095" w:rsidRDefault="006B73CC">
      <w:pPr>
        <w:tabs>
          <w:tab w:val="left" w:pos="-720"/>
        </w:tabs>
        <w:rPr>
          <w:rFonts w:ascii="Times New Roman" w:hAnsi="Times New Roman"/>
          <w:color w:val="000000" w:themeColor="text1"/>
          <w:sz w:val="24"/>
        </w:rPr>
      </w:pPr>
    </w:p>
    <w:p w14:paraId="380227E9" w14:textId="77777777" w:rsidR="006B73CC" w:rsidRPr="00B52095" w:rsidRDefault="006B73CC">
      <w:pPr>
        <w:tabs>
          <w:tab w:val="left" w:pos="-720"/>
        </w:tabs>
        <w:rPr>
          <w:rFonts w:ascii="Times New Roman" w:hAnsi="Times New Roman"/>
          <w:color w:val="000000" w:themeColor="text1"/>
          <w:sz w:val="24"/>
        </w:rPr>
      </w:pPr>
    </w:p>
    <w:p w14:paraId="45C1E7D7" w14:textId="77777777" w:rsidR="006B73CC" w:rsidRPr="00B52095" w:rsidRDefault="00CB18B3">
      <w:pPr>
        <w:tabs>
          <w:tab w:val="left" w:pos="-72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6.</w:t>
      </w:r>
      <w:r w:rsidRPr="00B52095">
        <w:rPr>
          <w:rFonts w:ascii="Times New Roman" w:hAnsi="Times New Roman"/>
          <w:b/>
          <w:color w:val="000000" w:themeColor="text1"/>
          <w:sz w:val="24"/>
        </w:rPr>
        <w:tab/>
        <w:t>Consequences of Collecting the Information Less Frequently</w:t>
      </w:r>
    </w:p>
    <w:p w14:paraId="3AE806E9" w14:textId="77777777" w:rsidR="006B73CC" w:rsidRPr="00B52095" w:rsidRDefault="006B73CC">
      <w:pPr>
        <w:tabs>
          <w:tab w:val="left" w:pos="-720"/>
        </w:tabs>
        <w:rPr>
          <w:rFonts w:ascii="Times New Roman" w:hAnsi="Times New Roman"/>
          <w:b/>
          <w:color w:val="000000" w:themeColor="text1"/>
          <w:sz w:val="24"/>
        </w:rPr>
      </w:pPr>
    </w:p>
    <w:p w14:paraId="725DF062"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 statute requires States to enact laws requiring the development and use of an affidavit for the voluntary acknowledgment of paternity which include the minimum requirements of the affidavit specified by the Secretary and to give full faith and credit to such an affidavit signed in any other State according to its procedures.  One affidavit needs to be filled out for each paternity established.</w:t>
      </w:r>
    </w:p>
    <w:p w14:paraId="18DBD458" w14:textId="77777777" w:rsidR="006B73CC" w:rsidRPr="00B52095" w:rsidRDefault="006B73CC">
      <w:pPr>
        <w:tabs>
          <w:tab w:val="left" w:pos="-720"/>
        </w:tabs>
        <w:rPr>
          <w:rFonts w:ascii="Times New Roman" w:hAnsi="Times New Roman"/>
          <w:color w:val="000000" w:themeColor="text1"/>
          <w:sz w:val="24"/>
        </w:rPr>
      </w:pPr>
    </w:p>
    <w:p w14:paraId="446DE772" w14:textId="77777777" w:rsidR="006B73CC" w:rsidRPr="00B52095" w:rsidRDefault="006B73CC">
      <w:pPr>
        <w:tabs>
          <w:tab w:val="left" w:pos="-720"/>
        </w:tabs>
        <w:rPr>
          <w:rFonts w:ascii="Times New Roman" w:hAnsi="Times New Roman"/>
          <w:b/>
          <w:color w:val="000000" w:themeColor="text1"/>
          <w:sz w:val="24"/>
        </w:rPr>
      </w:pPr>
    </w:p>
    <w:p w14:paraId="4754D216" w14:textId="77777777" w:rsidR="006B73CC" w:rsidRPr="00B52095" w:rsidRDefault="00CB18B3">
      <w:pPr>
        <w:tabs>
          <w:tab w:val="left" w:pos="-72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7.</w:t>
      </w:r>
      <w:r w:rsidRPr="00B52095">
        <w:rPr>
          <w:rFonts w:ascii="Times New Roman" w:hAnsi="Times New Roman"/>
          <w:b/>
          <w:color w:val="000000" w:themeColor="text1"/>
          <w:sz w:val="24"/>
        </w:rPr>
        <w:tab/>
        <w:t>Special Circumstances Relating to the Guidelines of 5 CFR 1320.5</w:t>
      </w:r>
    </w:p>
    <w:p w14:paraId="1C0C6F62" w14:textId="77777777" w:rsidR="006B73CC" w:rsidRPr="00B52095" w:rsidRDefault="006B73CC">
      <w:pPr>
        <w:tabs>
          <w:tab w:val="left" w:pos="-720"/>
        </w:tabs>
        <w:rPr>
          <w:rFonts w:ascii="Times New Roman" w:hAnsi="Times New Roman"/>
          <w:b/>
          <w:color w:val="000000" w:themeColor="text1"/>
          <w:sz w:val="24"/>
        </w:rPr>
      </w:pPr>
    </w:p>
    <w:p w14:paraId="2419D0D4"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There are no special circumstances regarding the collection of this information.</w:t>
      </w:r>
    </w:p>
    <w:p w14:paraId="0D6D20C6" w14:textId="77777777" w:rsidR="006B73CC" w:rsidRPr="00B52095" w:rsidRDefault="006B73CC">
      <w:pPr>
        <w:tabs>
          <w:tab w:val="left" w:pos="-720"/>
        </w:tabs>
        <w:rPr>
          <w:rFonts w:ascii="Times New Roman" w:hAnsi="Times New Roman"/>
          <w:color w:val="000000" w:themeColor="text1"/>
          <w:sz w:val="24"/>
        </w:rPr>
      </w:pPr>
    </w:p>
    <w:p w14:paraId="2E8EF18C" w14:textId="77777777" w:rsidR="006B73CC" w:rsidRPr="00B52095" w:rsidRDefault="006B73CC">
      <w:pPr>
        <w:tabs>
          <w:tab w:val="left" w:pos="-720"/>
        </w:tabs>
        <w:rPr>
          <w:rFonts w:ascii="Times New Roman" w:hAnsi="Times New Roman"/>
          <w:color w:val="000000" w:themeColor="text1"/>
          <w:sz w:val="24"/>
        </w:rPr>
      </w:pPr>
    </w:p>
    <w:p w14:paraId="3CD54261" w14:textId="77777777" w:rsidR="006B73CC" w:rsidRPr="00B52095" w:rsidRDefault="00CB18B3">
      <w:pPr>
        <w:tabs>
          <w:tab w:val="left" w:pos="-720"/>
        </w:tabs>
        <w:ind w:left="900" w:hanging="450"/>
        <w:rPr>
          <w:rFonts w:ascii="Times New Roman" w:hAnsi="Times New Roman"/>
          <w:b/>
          <w:color w:val="000000" w:themeColor="text1"/>
          <w:sz w:val="24"/>
        </w:rPr>
      </w:pPr>
      <w:r w:rsidRPr="00B52095">
        <w:rPr>
          <w:rFonts w:ascii="Times New Roman" w:hAnsi="Times New Roman"/>
          <w:b/>
          <w:color w:val="000000" w:themeColor="text1"/>
          <w:sz w:val="24"/>
        </w:rPr>
        <w:t>8.</w:t>
      </w:r>
      <w:r w:rsidRPr="00B52095">
        <w:rPr>
          <w:rFonts w:ascii="Times New Roman" w:hAnsi="Times New Roman"/>
          <w:b/>
          <w:color w:val="000000" w:themeColor="text1"/>
          <w:sz w:val="24"/>
        </w:rPr>
        <w:tab/>
        <w:t>Comments in Response to the Federal Register Notice and Efforts to Consult Outside the Agency</w:t>
      </w:r>
    </w:p>
    <w:p w14:paraId="5C6057C2" w14:textId="77777777" w:rsidR="006B73CC" w:rsidRPr="00B52095" w:rsidRDefault="006B73CC">
      <w:pPr>
        <w:tabs>
          <w:tab w:val="left" w:pos="-720"/>
        </w:tabs>
        <w:rPr>
          <w:rFonts w:ascii="Times New Roman" w:hAnsi="Times New Roman"/>
          <w:color w:val="000000" w:themeColor="text1"/>
          <w:sz w:val="24"/>
        </w:rPr>
      </w:pPr>
    </w:p>
    <w:p w14:paraId="7713831E" w14:textId="2875BDF0" w:rsidR="006B73CC" w:rsidRPr="00B52095" w:rsidRDefault="00CB18B3">
      <w:pPr>
        <w:ind w:left="900"/>
        <w:rPr>
          <w:color w:val="000000" w:themeColor="text1"/>
        </w:rPr>
      </w:pPr>
      <w:r w:rsidRPr="00B52095">
        <w:rPr>
          <w:rFonts w:ascii="Times New Roman" w:hAnsi="Times New Roman"/>
          <w:color w:val="000000" w:themeColor="text1"/>
          <w:sz w:val="24"/>
          <w:szCs w:val="24"/>
        </w:rPr>
        <w:t xml:space="preserve">The first notice was published in the Federal Register on August 07, 2013 in Volume 78, Number 152 on page 48171.  </w:t>
      </w:r>
      <w:r w:rsidR="001419E0" w:rsidRPr="00B52095">
        <w:rPr>
          <w:rFonts w:ascii="Times New Roman" w:hAnsi="Times New Roman"/>
          <w:color w:val="000000" w:themeColor="text1"/>
          <w:sz w:val="24"/>
          <w:szCs w:val="24"/>
        </w:rPr>
        <w:t xml:space="preserve">The comments received can be combined into three </w:t>
      </w:r>
      <w:r w:rsidR="001419E0" w:rsidRPr="00B52095">
        <w:rPr>
          <w:rFonts w:ascii="Times New Roman" w:hAnsi="Times New Roman"/>
          <w:color w:val="000000" w:themeColor="text1"/>
          <w:sz w:val="24"/>
          <w:szCs w:val="24"/>
        </w:rPr>
        <w:lastRenderedPageBreak/>
        <w:t>basic comments:</w:t>
      </w:r>
      <w:r w:rsidRPr="00B52095">
        <w:rPr>
          <w:rFonts w:ascii="Times New Roman" w:hAnsi="Times New Roman"/>
          <w:color w:val="000000" w:themeColor="text1"/>
          <w:sz w:val="24"/>
          <w:szCs w:val="24"/>
        </w:rPr>
        <w:t xml:space="preserve">  </w:t>
      </w:r>
    </w:p>
    <w:p w14:paraId="429A0757" w14:textId="6AFBBC0E" w:rsidR="006B73CC" w:rsidRPr="00B52095" w:rsidRDefault="00CB18B3">
      <w:pPr>
        <w:pStyle w:val="ListParagraph"/>
        <w:numPr>
          <w:ilvl w:val="0"/>
          <w:numId w:val="1"/>
        </w:numPr>
        <w:rPr>
          <w:color w:val="000000" w:themeColor="text1"/>
        </w:rPr>
      </w:pPr>
      <w:r w:rsidRPr="00B52095">
        <w:rPr>
          <w:rFonts w:ascii="Times New Roman" w:hAnsi="Times New Roman"/>
          <w:b/>
          <w:color w:val="000000" w:themeColor="text1"/>
          <w:sz w:val="24"/>
          <w:szCs w:val="24"/>
        </w:rPr>
        <w:t xml:space="preserve">Comment:  </w:t>
      </w:r>
      <w:r w:rsidR="001419E0" w:rsidRPr="00B52095">
        <w:rPr>
          <w:rFonts w:ascii="Times New Roman" w:hAnsi="Times New Roman"/>
          <w:color w:val="000000" w:themeColor="text1"/>
          <w:sz w:val="24"/>
          <w:szCs w:val="24"/>
        </w:rPr>
        <w:t>Commen</w:t>
      </w:r>
      <w:bookmarkStart w:id="0" w:name="_GoBack"/>
      <w:bookmarkEnd w:id="0"/>
      <w:r w:rsidR="001419E0" w:rsidRPr="00B52095">
        <w:rPr>
          <w:rFonts w:ascii="Times New Roman" w:hAnsi="Times New Roman"/>
          <w:color w:val="000000" w:themeColor="text1"/>
          <w:sz w:val="24"/>
          <w:szCs w:val="24"/>
        </w:rPr>
        <w:t>ts in support of adding additional elements (e.g., availability of medical insurance, father’s employment, marital status, gender of the child, parent email address and cellular phone number, father’s last name at birth)</w:t>
      </w:r>
    </w:p>
    <w:p w14:paraId="2A186EBF" w14:textId="566A4E6F" w:rsidR="006B73CC" w:rsidRPr="00B52095" w:rsidRDefault="00CB18B3">
      <w:pPr>
        <w:ind w:left="1620"/>
        <w:rPr>
          <w:color w:val="000000" w:themeColor="text1"/>
        </w:rPr>
      </w:pPr>
      <w:r w:rsidRPr="00B52095">
        <w:rPr>
          <w:rFonts w:ascii="Times New Roman" w:hAnsi="Times New Roman"/>
          <w:b/>
          <w:color w:val="000000" w:themeColor="text1"/>
          <w:sz w:val="24"/>
          <w:szCs w:val="24"/>
        </w:rPr>
        <w:t xml:space="preserve">Response:  </w:t>
      </w:r>
      <w:r w:rsidR="001419E0" w:rsidRPr="00B52095">
        <w:rPr>
          <w:rFonts w:ascii="Times New Roman" w:hAnsi="Times New Roman"/>
          <w:color w:val="000000" w:themeColor="text1"/>
          <w:sz w:val="24"/>
          <w:szCs w:val="24"/>
        </w:rPr>
        <w:t xml:space="preserve">States can use any additional elements they choose to meet their program needs. </w:t>
      </w:r>
    </w:p>
    <w:p w14:paraId="065D5C93" w14:textId="2B757834" w:rsidR="006B73CC" w:rsidRPr="00B52095" w:rsidRDefault="00CB18B3">
      <w:pPr>
        <w:pStyle w:val="ListParagraph"/>
        <w:numPr>
          <w:ilvl w:val="0"/>
          <w:numId w:val="1"/>
        </w:numPr>
        <w:rPr>
          <w:color w:val="000000" w:themeColor="text1"/>
        </w:rPr>
      </w:pPr>
      <w:r w:rsidRPr="00B52095">
        <w:rPr>
          <w:rFonts w:ascii="Times New Roman" w:hAnsi="Times New Roman"/>
          <w:b/>
          <w:color w:val="000000" w:themeColor="text1"/>
          <w:sz w:val="24"/>
          <w:szCs w:val="24"/>
        </w:rPr>
        <w:t xml:space="preserve">Comment:  </w:t>
      </w:r>
      <w:r w:rsidR="001419E0" w:rsidRPr="00B52095">
        <w:rPr>
          <w:rFonts w:ascii="Times New Roman" w:hAnsi="Times New Roman"/>
          <w:color w:val="000000" w:themeColor="text1"/>
          <w:sz w:val="24"/>
          <w:szCs w:val="24"/>
        </w:rPr>
        <w:t xml:space="preserve">Comments recommending additional clarifications, disclosures, or statements be included with the purpose of making sure the signatories fully understand what they are signing, what the affidavit process involves, and what their rights are. </w:t>
      </w:r>
    </w:p>
    <w:p w14:paraId="46B515F2" w14:textId="60B45C0C" w:rsidR="006B73CC" w:rsidRPr="00B52095" w:rsidRDefault="00CB18B3">
      <w:pPr>
        <w:ind w:left="1620"/>
        <w:rPr>
          <w:color w:val="000000" w:themeColor="text1"/>
        </w:rPr>
      </w:pPr>
      <w:r w:rsidRPr="00B52095">
        <w:rPr>
          <w:rFonts w:ascii="Times New Roman" w:hAnsi="Times New Roman"/>
          <w:b/>
          <w:color w:val="000000" w:themeColor="text1"/>
          <w:sz w:val="24"/>
          <w:szCs w:val="24"/>
        </w:rPr>
        <w:t>Response:</w:t>
      </w:r>
      <w:r w:rsidRPr="00B52095">
        <w:rPr>
          <w:rFonts w:ascii="Times New Roman" w:hAnsi="Times New Roman"/>
          <w:color w:val="000000" w:themeColor="text1"/>
          <w:sz w:val="24"/>
          <w:szCs w:val="24"/>
        </w:rPr>
        <w:t xml:space="preserve">  </w:t>
      </w:r>
      <w:r w:rsidR="001419E0" w:rsidRPr="00B52095">
        <w:rPr>
          <w:rFonts w:ascii="Times New Roman" w:hAnsi="Times New Roman"/>
          <w:color w:val="000000" w:themeColor="text1"/>
          <w:sz w:val="24"/>
          <w:szCs w:val="24"/>
        </w:rPr>
        <w:t xml:space="preserve">We encourage states to include statements, disclosures, and other instructions on the forms they design that would meet their program needs. </w:t>
      </w:r>
    </w:p>
    <w:p w14:paraId="2C17B4A4" w14:textId="573F4CEE" w:rsidR="006B73CC" w:rsidRPr="00B52095" w:rsidRDefault="00CB18B3">
      <w:pPr>
        <w:pStyle w:val="ListParagraph"/>
        <w:numPr>
          <w:ilvl w:val="0"/>
          <w:numId w:val="1"/>
        </w:numPr>
        <w:rPr>
          <w:color w:val="000000" w:themeColor="text1"/>
        </w:rPr>
      </w:pPr>
      <w:r w:rsidRPr="00B52095">
        <w:rPr>
          <w:rFonts w:ascii="Times New Roman" w:hAnsi="Times New Roman"/>
          <w:b/>
          <w:color w:val="000000" w:themeColor="text1"/>
          <w:sz w:val="24"/>
          <w:szCs w:val="24"/>
        </w:rPr>
        <w:t>Comment:</w:t>
      </w:r>
      <w:r w:rsidRPr="00B52095">
        <w:rPr>
          <w:rFonts w:ascii="Times New Roman" w:hAnsi="Times New Roman"/>
          <w:color w:val="000000" w:themeColor="text1"/>
          <w:sz w:val="24"/>
          <w:szCs w:val="24"/>
        </w:rPr>
        <w:t xml:space="preserve"> </w:t>
      </w:r>
      <w:r w:rsidR="001419E0" w:rsidRPr="00B52095">
        <w:rPr>
          <w:rFonts w:ascii="Times New Roman" w:hAnsi="Times New Roman"/>
          <w:color w:val="000000" w:themeColor="text1"/>
          <w:sz w:val="24"/>
          <w:szCs w:val="24"/>
        </w:rPr>
        <w:t>Comments in support of a standard form for states to use especially to streamline the process of paternity establishment affidavits that involve multiple states.</w:t>
      </w:r>
      <w:r w:rsidR="001419E0" w:rsidRPr="00B52095">
        <w:rPr>
          <w:color w:val="000000" w:themeColor="text1"/>
        </w:rPr>
        <w:t xml:space="preserve"> </w:t>
      </w:r>
    </w:p>
    <w:p w14:paraId="2479B53F" w14:textId="32771FA1" w:rsidR="006B73CC" w:rsidRPr="00B52095" w:rsidRDefault="00CB18B3">
      <w:pPr>
        <w:ind w:left="1620"/>
        <w:rPr>
          <w:color w:val="000000" w:themeColor="text1"/>
        </w:rPr>
      </w:pPr>
      <w:r w:rsidRPr="00B52095">
        <w:rPr>
          <w:rFonts w:ascii="Times New Roman" w:hAnsi="Times New Roman"/>
          <w:b/>
          <w:color w:val="000000" w:themeColor="text1"/>
          <w:sz w:val="24"/>
          <w:szCs w:val="24"/>
        </w:rPr>
        <w:t>Response:</w:t>
      </w:r>
      <w:r w:rsidRPr="00B52095">
        <w:rPr>
          <w:rFonts w:ascii="Times New Roman" w:hAnsi="Times New Roman"/>
          <w:color w:val="000000" w:themeColor="text1"/>
          <w:sz w:val="24"/>
          <w:szCs w:val="24"/>
        </w:rPr>
        <w:t xml:space="preserve">  </w:t>
      </w:r>
      <w:r w:rsidR="001419E0" w:rsidRPr="00B52095">
        <w:rPr>
          <w:rFonts w:ascii="Times New Roman" w:hAnsi="Times New Roman"/>
          <w:color w:val="000000" w:themeColor="text1"/>
          <w:sz w:val="24"/>
          <w:szCs w:val="24"/>
        </w:rPr>
        <w:t>While a standard form has advantages especially in cases where paternity establishment involves multiple states, we are not requiring such a form to allow states flexibility in designing their form that would meet their program needs most effectively.</w:t>
      </w:r>
      <w:r w:rsidRPr="00B52095">
        <w:rPr>
          <w:rFonts w:ascii="Times New Roman" w:hAnsi="Times New Roman"/>
          <w:color w:val="000000" w:themeColor="text1"/>
          <w:sz w:val="24"/>
          <w:szCs w:val="24"/>
        </w:rPr>
        <w:t xml:space="preserve">  </w:t>
      </w:r>
    </w:p>
    <w:p w14:paraId="72473221" w14:textId="77777777" w:rsidR="006B73CC" w:rsidRPr="00B52095" w:rsidRDefault="006B73CC">
      <w:pPr>
        <w:ind w:left="1620"/>
        <w:rPr>
          <w:color w:val="000000" w:themeColor="text1"/>
        </w:rPr>
      </w:pPr>
    </w:p>
    <w:p w14:paraId="305B19A5" w14:textId="77777777" w:rsidR="006B73CC" w:rsidRPr="00B52095" w:rsidRDefault="00CB18B3">
      <w:pPr>
        <w:ind w:left="900"/>
        <w:rPr>
          <w:rFonts w:ascii="Times New Roman" w:hAnsi="Times New Roman"/>
          <w:color w:val="000000" w:themeColor="text1"/>
          <w:sz w:val="24"/>
          <w:szCs w:val="24"/>
        </w:rPr>
      </w:pPr>
      <w:r w:rsidRPr="00B52095">
        <w:rPr>
          <w:rFonts w:ascii="Times New Roman" w:hAnsi="Times New Roman"/>
          <w:color w:val="000000" w:themeColor="text1"/>
          <w:sz w:val="24"/>
          <w:szCs w:val="24"/>
        </w:rPr>
        <w:t>Additionally OCSE received several comments regarding paternity disestablishment.  OCSE does not have any regulations or official policy on this topic which is outside the scope of this PRA.</w:t>
      </w:r>
    </w:p>
    <w:p w14:paraId="31F399F2" w14:textId="77777777" w:rsidR="006B73CC" w:rsidRPr="00B52095" w:rsidRDefault="006B73CC">
      <w:pPr>
        <w:shd w:val="clear" w:color="auto" w:fill="FFFFFF"/>
        <w:tabs>
          <w:tab w:val="left" w:pos="-720"/>
        </w:tabs>
        <w:rPr>
          <w:rFonts w:ascii="Times New Roman" w:hAnsi="Times New Roman"/>
          <w:color w:val="000000" w:themeColor="text1"/>
          <w:sz w:val="24"/>
        </w:rPr>
      </w:pPr>
    </w:p>
    <w:p w14:paraId="6965ABEF" w14:textId="77777777" w:rsidR="006B73CC" w:rsidRPr="00B52095" w:rsidRDefault="00CB18B3">
      <w:pPr>
        <w:tabs>
          <w:tab w:val="left" w:pos="-720"/>
          <w:tab w:val="left" w:pos="0"/>
          <w:tab w:val="left" w:pos="900"/>
          <w:tab w:val="left" w:pos="990"/>
        </w:tabs>
        <w:ind w:left="990" w:hanging="540"/>
        <w:rPr>
          <w:color w:val="000000" w:themeColor="text1"/>
        </w:rPr>
      </w:pPr>
      <w:r w:rsidRPr="00B52095">
        <w:rPr>
          <w:rFonts w:ascii="Times New Roman" w:hAnsi="Times New Roman"/>
          <w:b/>
          <w:color w:val="000000" w:themeColor="text1"/>
          <w:sz w:val="24"/>
        </w:rPr>
        <w:t>9.</w:t>
      </w:r>
      <w:r w:rsidRPr="00B52095">
        <w:rPr>
          <w:rFonts w:ascii="Times New Roman" w:hAnsi="Times New Roman"/>
          <w:b/>
          <w:color w:val="000000" w:themeColor="text1"/>
          <w:sz w:val="24"/>
        </w:rPr>
        <w:tab/>
        <w:t>Explanation of Any Payment or Gift to Respondents</w:t>
      </w:r>
    </w:p>
    <w:p w14:paraId="7C81D38D" w14:textId="77777777" w:rsidR="006B73CC" w:rsidRPr="00B52095" w:rsidRDefault="006B73CC">
      <w:pPr>
        <w:tabs>
          <w:tab w:val="left" w:pos="-720"/>
        </w:tabs>
        <w:rPr>
          <w:rFonts w:ascii="Times New Roman" w:hAnsi="Times New Roman"/>
          <w:color w:val="000000" w:themeColor="text1"/>
          <w:sz w:val="24"/>
        </w:rPr>
      </w:pPr>
    </w:p>
    <w:p w14:paraId="1B9DBF5C"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There is no payment associated with the affidavit to acknowledge paternity.  The regulations allow payments of up to $20.00 to hospitals, birth record agencies, and other entities participating in the State's voluntary paternity establishment program for each voluntary acknowledgment of paternity recorded, but this is unrelated to this information collection.</w:t>
      </w:r>
    </w:p>
    <w:p w14:paraId="0DC2FF12" w14:textId="77777777" w:rsidR="006B73CC" w:rsidRPr="00B52095" w:rsidRDefault="006B73CC">
      <w:pPr>
        <w:tabs>
          <w:tab w:val="left" w:pos="-720"/>
        </w:tabs>
        <w:rPr>
          <w:rFonts w:ascii="Times New Roman" w:hAnsi="Times New Roman"/>
          <w:color w:val="000000" w:themeColor="text1"/>
          <w:sz w:val="24"/>
        </w:rPr>
      </w:pPr>
    </w:p>
    <w:p w14:paraId="0CC0166E" w14:textId="77777777" w:rsidR="006B73CC" w:rsidRPr="00B52095" w:rsidRDefault="006B73CC">
      <w:pPr>
        <w:tabs>
          <w:tab w:val="left" w:pos="-720"/>
        </w:tabs>
        <w:rPr>
          <w:rFonts w:ascii="Times New Roman" w:hAnsi="Times New Roman"/>
          <w:color w:val="000000" w:themeColor="text1"/>
          <w:sz w:val="24"/>
        </w:rPr>
      </w:pPr>
    </w:p>
    <w:p w14:paraId="402938FA" w14:textId="77777777" w:rsidR="006B73CC" w:rsidRPr="00B52095" w:rsidRDefault="00CB18B3">
      <w:pPr>
        <w:tabs>
          <w:tab w:val="left" w:pos="-720"/>
        </w:tabs>
        <w:ind w:left="900" w:hanging="540"/>
        <w:rPr>
          <w:color w:val="000000" w:themeColor="text1"/>
        </w:rPr>
      </w:pPr>
      <w:r w:rsidRPr="00B52095">
        <w:rPr>
          <w:rFonts w:ascii="Times New Roman" w:hAnsi="Times New Roman"/>
          <w:b/>
          <w:color w:val="000000" w:themeColor="text1"/>
          <w:sz w:val="24"/>
        </w:rPr>
        <w:t>10.</w:t>
      </w:r>
      <w:r w:rsidRPr="00B52095">
        <w:rPr>
          <w:rFonts w:ascii="Times New Roman" w:hAnsi="Times New Roman"/>
          <w:b/>
          <w:color w:val="000000" w:themeColor="text1"/>
          <w:sz w:val="24"/>
        </w:rPr>
        <w:tab/>
        <w:t>Assurance of Confidentiality Provided to Respondents</w:t>
      </w:r>
    </w:p>
    <w:p w14:paraId="087B9F72" w14:textId="77777777" w:rsidR="006B73CC" w:rsidRPr="00B52095" w:rsidRDefault="006B73CC">
      <w:pPr>
        <w:tabs>
          <w:tab w:val="left" w:pos="-720"/>
        </w:tabs>
        <w:rPr>
          <w:rFonts w:ascii="Times New Roman" w:hAnsi="Times New Roman"/>
          <w:color w:val="000000" w:themeColor="text1"/>
          <w:sz w:val="24"/>
        </w:rPr>
      </w:pPr>
    </w:p>
    <w:p w14:paraId="09A09CFA"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 xml:space="preserve">The confidentiality of the acknowledgments is determined by State law and practice. </w:t>
      </w:r>
      <w:r w:rsidRPr="00B52095">
        <w:rPr>
          <w:rFonts w:ascii="Times New Roman" w:hAnsi="Times New Roman"/>
          <w:color w:val="000000" w:themeColor="text1"/>
          <w:sz w:val="24"/>
          <w:szCs w:val="24"/>
        </w:rPr>
        <w:t>Therefore, information collected as part of the proposed data elements for paternity establishment affidavits will have the same protections afforded by each state to other documents containing similarly sensitive and private data.</w:t>
      </w:r>
      <w:r w:rsidRPr="00B52095">
        <w:rPr>
          <w:rFonts w:ascii="Arial Narrow" w:hAnsi="Arial Narrow"/>
          <w:color w:val="000000" w:themeColor="text1"/>
        </w:rPr>
        <w:t xml:space="preserve">  </w:t>
      </w:r>
    </w:p>
    <w:p w14:paraId="71B2DE03" w14:textId="77777777" w:rsidR="006B73CC" w:rsidRPr="00B52095" w:rsidRDefault="006B73CC">
      <w:pPr>
        <w:tabs>
          <w:tab w:val="left" w:pos="-720"/>
        </w:tabs>
        <w:rPr>
          <w:rFonts w:ascii="Times New Roman" w:hAnsi="Times New Roman"/>
          <w:b/>
          <w:color w:val="000000" w:themeColor="text1"/>
          <w:sz w:val="24"/>
        </w:rPr>
      </w:pPr>
    </w:p>
    <w:p w14:paraId="75FC05F5" w14:textId="77777777" w:rsidR="006B73CC" w:rsidRPr="00B52095" w:rsidRDefault="006B73CC">
      <w:pPr>
        <w:tabs>
          <w:tab w:val="left" w:pos="-720"/>
        </w:tabs>
        <w:rPr>
          <w:rFonts w:ascii="Times New Roman" w:hAnsi="Times New Roman"/>
          <w:b/>
          <w:color w:val="000000" w:themeColor="text1"/>
          <w:sz w:val="24"/>
        </w:rPr>
      </w:pPr>
    </w:p>
    <w:p w14:paraId="607D855B" w14:textId="77777777" w:rsidR="006B73CC" w:rsidRPr="00B52095" w:rsidRDefault="00CB18B3">
      <w:pPr>
        <w:tabs>
          <w:tab w:val="left" w:pos="-720"/>
        </w:tabs>
        <w:ind w:left="900" w:hanging="540"/>
        <w:rPr>
          <w:rFonts w:ascii="Times New Roman" w:hAnsi="Times New Roman"/>
          <w:b/>
          <w:color w:val="000000" w:themeColor="text1"/>
          <w:sz w:val="24"/>
        </w:rPr>
      </w:pPr>
      <w:r w:rsidRPr="00B52095">
        <w:rPr>
          <w:rFonts w:ascii="Times New Roman" w:hAnsi="Times New Roman"/>
          <w:b/>
          <w:color w:val="000000" w:themeColor="text1"/>
          <w:sz w:val="24"/>
        </w:rPr>
        <w:t>11.</w:t>
      </w:r>
      <w:r w:rsidRPr="00B52095">
        <w:rPr>
          <w:rFonts w:ascii="Times New Roman" w:hAnsi="Times New Roman"/>
          <w:b/>
          <w:color w:val="000000" w:themeColor="text1"/>
          <w:sz w:val="24"/>
        </w:rPr>
        <w:tab/>
        <w:t>Justification for Sensitive Questions</w:t>
      </w:r>
    </w:p>
    <w:p w14:paraId="4A71EFEA" w14:textId="77777777" w:rsidR="006B73CC" w:rsidRPr="00B52095" w:rsidRDefault="006B73CC">
      <w:pPr>
        <w:tabs>
          <w:tab w:val="left" w:pos="-720"/>
        </w:tabs>
        <w:rPr>
          <w:rFonts w:ascii="Times New Roman" w:hAnsi="Times New Roman"/>
          <w:b/>
          <w:color w:val="000000" w:themeColor="text1"/>
          <w:sz w:val="24"/>
        </w:rPr>
      </w:pPr>
    </w:p>
    <w:p w14:paraId="100DC784"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 xml:space="preserve">The affidavit to acknowledge paternity contains several data elements related to personal information about the parents and child.  These questions are asked specifically to collect information that could be used to identify and locate the </w:t>
      </w:r>
      <w:r w:rsidRPr="00B52095">
        <w:rPr>
          <w:rFonts w:ascii="Times New Roman" w:hAnsi="Times New Roman"/>
          <w:color w:val="000000" w:themeColor="text1"/>
          <w:sz w:val="24"/>
        </w:rPr>
        <w:lastRenderedPageBreak/>
        <w:t xml:space="preserve">noncustodial parent if that becomes necessary to collect child support at a later date. </w:t>
      </w:r>
    </w:p>
    <w:p w14:paraId="7BABCED1" w14:textId="77777777" w:rsidR="006B73CC" w:rsidRPr="00B52095" w:rsidRDefault="006B73CC">
      <w:pPr>
        <w:tabs>
          <w:tab w:val="left" w:pos="-720"/>
        </w:tabs>
        <w:rPr>
          <w:rFonts w:ascii="Times New Roman" w:hAnsi="Times New Roman"/>
          <w:color w:val="000000" w:themeColor="text1"/>
          <w:sz w:val="24"/>
        </w:rPr>
      </w:pPr>
    </w:p>
    <w:p w14:paraId="092A2D27" w14:textId="77777777" w:rsidR="006B73CC" w:rsidRPr="00B52095" w:rsidRDefault="006B73CC">
      <w:pPr>
        <w:tabs>
          <w:tab w:val="left" w:pos="-720"/>
        </w:tabs>
        <w:rPr>
          <w:rFonts w:ascii="Times New Roman" w:hAnsi="Times New Roman"/>
          <w:color w:val="000000" w:themeColor="text1"/>
          <w:sz w:val="24"/>
        </w:rPr>
      </w:pPr>
    </w:p>
    <w:p w14:paraId="3212E325" w14:textId="77777777" w:rsidR="006B73CC" w:rsidRPr="00B52095" w:rsidRDefault="00CB18B3">
      <w:pPr>
        <w:tabs>
          <w:tab w:val="left" w:pos="-720"/>
          <w:tab w:val="left" w:pos="0"/>
          <w:tab w:val="left" w:pos="900"/>
        </w:tabs>
        <w:ind w:left="900" w:hanging="540"/>
        <w:rPr>
          <w:color w:val="000000" w:themeColor="text1"/>
        </w:rPr>
      </w:pPr>
      <w:r w:rsidRPr="00B52095">
        <w:rPr>
          <w:rFonts w:ascii="Times New Roman" w:hAnsi="Times New Roman"/>
          <w:b/>
          <w:color w:val="000000" w:themeColor="text1"/>
          <w:sz w:val="24"/>
        </w:rPr>
        <w:t>12.</w:t>
      </w:r>
      <w:r w:rsidRPr="00B52095">
        <w:rPr>
          <w:rFonts w:ascii="Times New Roman" w:hAnsi="Times New Roman"/>
          <w:b/>
          <w:color w:val="000000" w:themeColor="text1"/>
          <w:sz w:val="24"/>
        </w:rPr>
        <w:tab/>
        <w:t>Estimates of Annualized Burden Hours and Costs</w:t>
      </w:r>
    </w:p>
    <w:p w14:paraId="19A0E234" w14:textId="77777777" w:rsidR="006B73CC" w:rsidRPr="00B52095" w:rsidRDefault="006B73CC">
      <w:pPr>
        <w:tabs>
          <w:tab w:val="left" w:pos="-720"/>
        </w:tabs>
        <w:rPr>
          <w:rFonts w:ascii="Times New Roman" w:hAnsi="Times New Roman"/>
          <w:color w:val="000000" w:themeColor="text1"/>
          <w:sz w:val="24"/>
        </w:rPr>
      </w:pPr>
    </w:p>
    <w:p w14:paraId="4C129D9C"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Our state partners estimate that it takes approximately 10 minutes (.166 hours) to help parents fill out an affidavit to be used for the voluntary acknowledgment of paternity. One affidavit is filled out for each paternity established.</w:t>
      </w:r>
    </w:p>
    <w:p w14:paraId="013556C6" w14:textId="77777777" w:rsidR="006B73CC" w:rsidRPr="00B52095" w:rsidRDefault="006B73CC">
      <w:pPr>
        <w:tabs>
          <w:tab w:val="left" w:pos="-720"/>
        </w:tabs>
        <w:rPr>
          <w:rFonts w:ascii="Times New Roman" w:hAnsi="Times New Roman"/>
          <w:color w:val="000000" w:themeColor="text1"/>
          <w:sz w:val="24"/>
        </w:rPr>
      </w:pPr>
    </w:p>
    <w:p w14:paraId="764E8906" w14:textId="77777777" w:rsidR="006B73CC" w:rsidRPr="00B52095" w:rsidRDefault="00CB18B3">
      <w:pPr>
        <w:tabs>
          <w:tab w:val="left" w:pos="-720"/>
        </w:tabs>
        <w:ind w:left="900"/>
        <w:rPr>
          <w:rFonts w:ascii="Times New Roman" w:hAnsi="Times New Roman" w:cs="Arial"/>
          <w:color w:val="000000" w:themeColor="text1"/>
          <w:sz w:val="24"/>
          <w:szCs w:val="24"/>
        </w:rPr>
      </w:pPr>
      <w:r w:rsidRPr="00B52095">
        <w:rPr>
          <w:rFonts w:ascii="Times New Roman" w:hAnsi="Times New Roman" w:cs="Arial"/>
          <w:color w:val="000000" w:themeColor="text1"/>
          <w:sz w:val="24"/>
          <w:szCs w:val="24"/>
        </w:rPr>
        <w:t>Number of Disclosers:</w:t>
      </w:r>
    </w:p>
    <w:p w14:paraId="3DEB93A2" w14:textId="77777777" w:rsidR="006B73CC" w:rsidRPr="00B52095" w:rsidRDefault="006B73CC">
      <w:pPr>
        <w:tabs>
          <w:tab w:val="left" w:pos="-720"/>
        </w:tabs>
        <w:ind w:left="900"/>
        <w:rPr>
          <w:rFonts w:ascii="Times New Roman" w:hAnsi="Times New Roman" w:cs="Arial"/>
          <w:color w:val="000000" w:themeColor="text1"/>
          <w:sz w:val="24"/>
          <w:szCs w:val="24"/>
        </w:rPr>
      </w:pPr>
    </w:p>
    <w:p w14:paraId="118B74D0" w14:textId="77777777" w:rsidR="006B73CC" w:rsidRPr="00B52095" w:rsidRDefault="00CB18B3">
      <w:pPr>
        <w:spacing w:after="240" w:line="240" w:lineRule="atLeast"/>
        <w:ind w:left="900"/>
        <w:textAlignment w:val="bottom"/>
        <w:rPr>
          <w:color w:val="000000" w:themeColor="text1"/>
        </w:rPr>
      </w:pPr>
      <w:r w:rsidRPr="00B52095">
        <w:rPr>
          <w:rFonts w:ascii="Times New Roman" w:hAnsi="Times New Roman" w:cs="Arial"/>
          <w:color w:val="000000" w:themeColor="text1"/>
          <w:sz w:val="24"/>
          <w:szCs w:val="24"/>
        </w:rPr>
        <w:t xml:space="preserve">The American Hospital Association reports that there were 5,724 private and public hospitals in 2011, the most recent year for which there is complete data.  We have decided to use the number of counties in the country in lieu of the number of birth record agencies, TANF agencies, Food Stamp offices, and child support agencies.  In February 2007, there were 3,143 counties in the 50 states.  The American Bar Association reports that there were 1,268,011 licensed lawyers in the country in 2013. The American Medical Association reports that in 2010, there were 954,224 licensed doctors in the country.  According to the 2008 Child Care Licensing Study:  Final Report, there were 329,882 licensed facilities in the United States.  In the past, we spoke with members of the child care resource and referral community to arrive at our estimate of 500 child care resource and referral centers.  We decided to use the number of Supplementary Feeding Programs for Women, Infants and Children (WIC centers) as an estimate of the number of public health clinics.  According to the 2012 Survey of WIC Participants, there were 2,300 WIC centers.  Previously, staff of the Department of Health and Human Services helped us to arrive at our estimate of 1,600 Community Action Agencies (Grantees). </w:t>
      </w:r>
    </w:p>
    <w:p w14:paraId="2E0D0390" w14:textId="77777777" w:rsidR="006B73CC" w:rsidRPr="00B52095" w:rsidRDefault="006B73CC">
      <w:pPr>
        <w:tabs>
          <w:tab w:val="left" w:pos="-720"/>
        </w:tabs>
        <w:ind w:left="720"/>
        <w:rPr>
          <w:rFonts w:ascii="Times New Roman" w:hAnsi="Times New Roman" w:cs="Arial"/>
          <w:color w:val="000000" w:themeColor="text1"/>
          <w:sz w:val="24"/>
          <w:szCs w:val="24"/>
        </w:rPr>
      </w:pPr>
    </w:p>
    <w:p w14:paraId="444E8766" w14:textId="77777777" w:rsidR="006B73CC" w:rsidRPr="00B52095" w:rsidRDefault="00CB18B3">
      <w:pPr>
        <w:tabs>
          <w:tab w:val="left" w:pos="-720"/>
        </w:tabs>
        <w:ind w:left="900"/>
        <w:rPr>
          <w:rFonts w:ascii="Times New Roman" w:hAnsi="Times New Roman" w:cs="Arial"/>
          <w:color w:val="000000" w:themeColor="text1"/>
          <w:sz w:val="24"/>
          <w:szCs w:val="24"/>
        </w:rPr>
      </w:pPr>
      <w:r w:rsidRPr="00B52095">
        <w:rPr>
          <w:rFonts w:ascii="Times New Roman" w:hAnsi="Times New Roman" w:cs="Arial"/>
          <w:color w:val="000000" w:themeColor="text1"/>
          <w:sz w:val="24"/>
          <w:szCs w:val="24"/>
        </w:rPr>
        <w:t>Number of Disclosures per Discloser</w:t>
      </w:r>
    </w:p>
    <w:p w14:paraId="13AD36F7" w14:textId="77777777" w:rsidR="006B73CC" w:rsidRPr="00B52095" w:rsidRDefault="006B73CC">
      <w:pPr>
        <w:tabs>
          <w:tab w:val="left" w:pos="-720"/>
        </w:tabs>
        <w:rPr>
          <w:rFonts w:ascii="Times New Roman" w:hAnsi="Times New Roman" w:cs="Arial"/>
          <w:color w:val="000000" w:themeColor="text1"/>
          <w:sz w:val="24"/>
          <w:szCs w:val="24"/>
        </w:rPr>
      </w:pPr>
    </w:p>
    <w:p w14:paraId="77224C36" w14:textId="77777777" w:rsidR="006B73CC" w:rsidRPr="00B52095" w:rsidRDefault="00CB18B3">
      <w:pPr>
        <w:tabs>
          <w:tab w:val="left" w:pos="-720"/>
        </w:tabs>
        <w:ind w:left="900"/>
        <w:rPr>
          <w:rFonts w:ascii="Times New Roman" w:hAnsi="Times New Roman" w:cs="Arial"/>
          <w:color w:val="000000" w:themeColor="text1"/>
          <w:sz w:val="24"/>
          <w:szCs w:val="24"/>
        </w:rPr>
      </w:pPr>
      <w:r w:rsidRPr="00B52095">
        <w:rPr>
          <w:rFonts w:ascii="Times New Roman" w:hAnsi="Times New Roman" w:cs="Arial"/>
          <w:color w:val="000000" w:themeColor="text1"/>
          <w:sz w:val="24"/>
          <w:szCs w:val="24"/>
        </w:rPr>
        <w:t xml:space="preserve">In addition to making voluntary paternity establishment services more broadly available, under the requirements of PRWORA, entities participating in a state's voluntary paternity establishment program have been able to help parents of newborn and older children establish paternity.  ACF's data indicates that there were 1,113,719 paternities voluntarily established in hospitals in 2010, the most recent year for which complete data is available.  This represents a decrease from our last OMB submission for this information collection.  In that same year, there were 1,445,399 out-of-wedlock births nationally.  This means that putative fathers voluntarily acknowledged paternity in approximately 77 percent of out-of-wedlock births.  </w:t>
      </w:r>
    </w:p>
    <w:p w14:paraId="79D2B371" w14:textId="77777777" w:rsidR="006B73CC" w:rsidRPr="00B52095" w:rsidRDefault="006B73CC">
      <w:pPr>
        <w:tabs>
          <w:tab w:val="left" w:pos="-720"/>
        </w:tabs>
        <w:rPr>
          <w:rFonts w:ascii="Times New Roman" w:hAnsi="Times New Roman" w:cs="Arial"/>
          <w:color w:val="000000" w:themeColor="text1"/>
          <w:sz w:val="24"/>
          <w:szCs w:val="24"/>
        </w:rPr>
      </w:pPr>
    </w:p>
    <w:p w14:paraId="233AF1C2" w14:textId="77777777" w:rsidR="006B73CC" w:rsidRPr="00B52095" w:rsidRDefault="00CB18B3">
      <w:pPr>
        <w:tabs>
          <w:tab w:val="left" w:pos="-720"/>
        </w:tabs>
        <w:ind w:left="900"/>
        <w:rPr>
          <w:rFonts w:ascii="Times New Roman" w:hAnsi="Times New Roman" w:cs="Arial"/>
          <w:color w:val="000000" w:themeColor="text1"/>
          <w:sz w:val="24"/>
          <w:szCs w:val="24"/>
        </w:rPr>
      </w:pPr>
      <w:r w:rsidRPr="00B52095">
        <w:rPr>
          <w:rFonts w:ascii="Times New Roman" w:hAnsi="Times New Roman" w:cs="Arial"/>
          <w:color w:val="000000" w:themeColor="text1"/>
          <w:sz w:val="24"/>
          <w:szCs w:val="24"/>
        </w:rPr>
        <w:t>We estimate that the majority of voluntary paternities will continue to be established in hospitals and that the second largest number of voluntary paternities will be established in TANF agency offices.  Therefore, we estimate that of the 1,113,719 paternities voluntarily established in 2010; 556,860 were established in hospitals, 278,430 were established in TANF agency offices, and the remainder was approximately evenly divided among the remaining entities.</w:t>
      </w:r>
    </w:p>
    <w:p w14:paraId="2759751F" w14:textId="77777777" w:rsidR="006B73CC" w:rsidRPr="00B52095" w:rsidRDefault="006B73CC">
      <w:pPr>
        <w:tabs>
          <w:tab w:val="left" w:pos="-720"/>
        </w:tabs>
        <w:rPr>
          <w:rFonts w:ascii="Times New Roman" w:hAnsi="Times New Roman" w:cs="Arial"/>
          <w:color w:val="000000" w:themeColor="text1"/>
          <w:sz w:val="24"/>
          <w:szCs w:val="24"/>
        </w:rPr>
      </w:pPr>
    </w:p>
    <w:p w14:paraId="2DEEF157" w14:textId="77777777" w:rsidR="006B73CC" w:rsidRPr="00B52095" w:rsidRDefault="00CB18B3">
      <w:pPr>
        <w:tabs>
          <w:tab w:val="left" w:pos="-720"/>
        </w:tabs>
        <w:ind w:left="900"/>
        <w:rPr>
          <w:rFonts w:ascii="Times New Roman" w:hAnsi="Times New Roman" w:cs="Arial"/>
          <w:color w:val="000000" w:themeColor="text1"/>
          <w:sz w:val="24"/>
          <w:szCs w:val="24"/>
        </w:rPr>
      </w:pPr>
      <w:r w:rsidRPr="00B52095">
        <w:rPr>
          <w:rFonts w:ascii="Times New Roman" w:hAnsi="Times New Roman" w:cs="Arial"/>
          <w:color w:val="000000" w:themeColor="text1"/>
          <w:sz w:val="24"/>
          <w:szCs w:val="24"/>
        </w:rPr>
        <w:t>Estimate of Burden Cost</w:t>
      </w:r>
    </w:p>
    <w:p w14:paraId="42AD7098" w14:textId="77777777" w:rsidR="006B73CC" w:rsidRPr="00B52095" w:rsidRDefault="006B73CC">
      <w:pPr>
        <w:widowControl/>
        <w:spacing w:before="100" w:after="100"/>
        <w:rPr>
          <w:rFonts w:ascii="Times New Roman" w:hAnsi="Times New Roman" w:cs="Arial"/>
          <w:color w:val="000000" w:themeColor="text1"/>
          <w:sz w:val="24"/>
          <w:szCs w:val="24"/>
        </w:rPr>
      </w:pPr>
    </w:p>
    <w:p w14:paraId="12C556D5" w14:textId="77777777" w:rsidR="006B73CC" w:rsidRPr="00B52095" w:rsidRDefault="00CB18B3">
      <w:pPr>
        <w:tabs>
          <w:tab w:val="left" w:pos="-720"/>
        </w:tabs>
        <w:spacing w:after="90"/>
        <w:ind w:left="900"/>
        <w:rPr>
          <w:color w:val="000000" w:themeColor="text1"/>
        </w:rPr>
      </w:pPr>
      <w:r w:rsidRPr="00B52095">
        <w:rPr>
          <w:rFonts w:ascii="Times New Roman" w:hAnsi="Times New Roman"/>
          <w:color w:val="000000" w:themeColor="text1"/>
          <w:sz w:val="24"/>
          <w:szCs w:val="24"/>
        </w:rPr>
        <w:t xml:space="preserve">The monetized burden cost is $50 times 189,332.23 hours, or </w:t>
      </w:r>
      <w:r w:rsidRPr="00B52095">
        <w:rPr>
          <w:rFonts w:ascii="Times New Roman" w:hAnsi="Times New Roman" w:cs="Arial"/>
          <w:color w:val="000000" w:themeColor="text1"/>
          <w:sz w:val="24"/>
          <w:szCs w:val="24"/>
        </w:rPr>
        <w:t>$9,466,612.</w:t>
      </w:r>
    </w:p>
    <w:p w14:paraId="37A0D42A" w14:textId="77777777" w:rsidR="006B73CC" w:rsidRPr="00B52095" w:rsidRDefault="00CB18B3">
      <w:pPr>
        <w:ind w:left="900"/>
        <w:rPr>
          <w:color w:val="000000" w:themeColor="text1"/>
        </w:rPr>
      </w:pPr>
      <w:r w:rsidRPr="00B52095">
        <w:rPr>
          <w:rFonts w:ascii="Times New Roman" w:hAnsi="Times New Roman"/>
          <w:color w:val="000000" w:themeColor="text1"/>
          <w:sz w:val="24"/>
          <w:szCs w:val="24"/>
        </w:rPr>
        <w:t>The monetized respondent cost is $8.50 times 1,113,179 respondents or $9,466,612</w:t>
      </w:r>
      <w:r w:rsidRPr="00B52095">
        <w:rPr>
          <w:rFonts w:ascii="Times New Roman" w:hAnsi="Times New Roman"/>
          <w:color w:val="000000" w:themeColor="text1"/>
        </w:rPr>
        <w:t>.</w:t>
      </w:r>
    </w:p>
    <w:p w14:paraId="2FF81E3C" w14:textId="77777777" w:rsidR="006B73CC" w:rsidRPr="00B52095" w:rsidRDefault="006B73CC">
      <w:pPr>
        <w:tabs>
          <w:tab w:val="left" w:pos="-720"/>
        </w:tabs>
        <w:spacing w:after="90"/>
        <w:rPr>
          <w:rFonts w:ascii="Times New Roman" w:hAnsi="Times New Roman"/>
          <w:color w:val="000000" w:themeColor="text1"/>
          <w:sz w:val="24"/>
        </w:rPr>
      </w:pPr>
    </w:p>
    <w:p w14:paraId="5CACA881" w14:textId="77777777" w:rsidR="006B73CC" w:rsidRPr="00B52095" w:rsidRDefault="00CB18B3">
      <w:pPr>
        <w:tabs>
          <w:tab w:val="left" w:pos="-720"/>
        </w:tabs>
        <w:spacing w:after="90"/>
        <w:ind w:left="630"/>
        <w:rPr>
          <w:rFonts w:ascii="Times New Roman" w:hAnsi="Times New Roman"/>
          <w:color w:val="000000" w:themeColor="text1"/>
          <w:sz w:val="24"/>
        </w:rPr>
      </w:pPr>
      <w:r w:rsidRPr="00B52095">
        <w:rPr>
          <w:rFonts w:ascii="Times New Roman" w:hAnsi="Times New Roman"/>
          <w:color w:val="000000" w:themeColor="text1"/>
          <w:sz w:val="24"/>
        </w:rPr>
        <w:t>ANNUAL BURDEN ESTIMATES</w:t>
      </w:r>
    </w:p>
    <w:tbl>
      <w:tblPr>
        <w:tblW w:w="9216" w:type="dxa"/>
        <w:tblInd w:w="750" w:type="dxa"/>
        <w:tblLayout w:type="fixed"/>
        <w:tblCellMar>
          <w:left w:w="10" w:type="dxa"/>
          <w:right w:w="10" w:type="dxa"/>
        </w:tblCellMar>
        <w:tblLook w:val="0000" w:firstRow="0" w:lastRow="0" w:firstColumn="0" w:lastColumn="0" w:noHBand="0" w:noVBand="0"/>
      </w:tblPr>
      <w:tblGrid>
        <w:gridCol w:w="1872"/>
        <w:gridCol w:w="1998"/>
        <w:gridCol w:w="1890"/>
        <w:gridCol w:w="1584"/>
        <w:gridCol w:w="1872"/>
      </w:tblGrid>
      <w:tr w:rsidR="00B52095" w:rsidRPr="00B52095" w14:paraId="6799519B" w14:textId="77777777">
        <w:trPr>
          <w:cantSplit/>
        </w:trPr>
        <w:tc>
          <w:tcPr>
            <w:tcW w:w="1872" w:type="dxa"/>
            <w:tcBorders>
              <w:top w:val="double" w:sz="6" w:space="0" w:color="000000"/>
              <w:left w:val="double" w:sz="6" w:space="0" w:color="000000"/>
              <w:bottom w:val="double" w:sz="6" w:space="0" w:color="000000"/>
            </w:tcBorders>
            <w:shd w:val="clear" w:color="auto" w:fill="auto"/>
            <w:tcMar>
              <w:top w:w="0" w:type="dxa"/>
              <w:left w:w="120" w:type="dxa"/>
              <w:bottom w:w="0" w:type="dxa"/>
              <w:right w:w="120" w:type="dxa"/>
            </w:tcMar>
          </w:tcPr>
          <w:p w14:paraId="66C94C5B" w14:textId="77777777" w:rsidR="006B73CC" w:rsidRPr="00B52095" w:rsidRDefault="00CB18B3">
            <w:pPr>
              <w:tabs>
                <w:tab w:val="left" w:pos="-720"/>
              </w:tabs>
              <w:snapToGrid w:val="0"/>
              <w:spacing w:before="90" w:after="54"/>
              <w:rPr>
                <w:color w:val="000000" w:themeColor="text1"/>
              </w:rPr>
            </w:pPr>
            <w:r w:rsidRPr="00B52095">
              <w:rPr>
                <w:rFonts w:ascii="Times New Roman" w:hAnsi="Times New Roman"/>
                <w:color w:val="000000" w:themeColor="text1"/>
                <w:sz w:val="24"/>
              </w:rPr>
              <w:t>INSTRUMENT</w:t>
            </w:r>
          </w:p>
        </w:tc>
        <w:tc>
          <w:tcPr>
            <w:tcW w:w="1998"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14:paraId="538323B0"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NUMBER OF RESPONDENTS</w:t>
            </w:r>
          </w:p>
        </w:tc>
        <w:tc>
          <w:tcPr>
            <w:tcW w:w="1890"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14:paraId="68FCEE9A"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NUMBER OF RESPONSES PER RESPONDENT</w:t>
            </w:r>
          </w:p>
        </w:tc>
        <w:tc>
          <w:tcPr>
            <w:tcW w:w="1584" w:type="dxa"/>
            <w:tcBorders>
              <w:top w:val="double" w:sz="6" w:space="0" w:color="000000"/>
              <w:left w:val="single" w:sz="8" w:space="0" w:color="000000"/>
              <w:bottom w:val="double" w:sz="6" w:space="0" w:color="000000"/>
            </w:tcBorders>
            <w:shd w:val="clear" w:color="auto" w:fill="auto"/>
            <w:tcMar>
              <w:top w:w="0" w:type="dxa"/>
              <w:left w:w="120" w:type="dxa"/>
              <w:bottom w:w="0" w:type="dxa"/>
              <w:right w:w="120" w:type="dxa"/>
            </w:tcMar>
          </w:tcPr>
          <w:p w14:paraId="4A5A77B7"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AVERAGE BURDEN HOURS PER RESPONSE</w:t>
            </w:r>
          </w:p>
        </w:tc>
        <w:tc>
          <w:tcPr>
            <w:tcW w:w="1872" w:type="dxa"/>
            <w:tcBorders>
              <w:top w:val="double" w:sz="6" w:space="0" w:color="000000"/>
              <w:left w:val="single" w:sz="8" w:space="0" w:color="000000"/>
              <w:bottom w:val="double" w:sz="6" w:space="0" w:color="000000"/>
              <w:right w:val="double" w:sz="6" w:space="0" w:color="000000"/>
            </w:tcBorders>
            <w:shd w:val="clear" w:color="auto" w:fill="auto"/>
            <w:tcMar>
              <w:top w:w="0" w:type="dxa"/>
              <w:left w:w="120" w:type="dxa"/>
              <w:bottom w:w="0" w:type="dxa"/>
              <w:right w:w="120" w:type="dxa"/>
            </w:tcMar>
          </w:tcPr>
          <w:p w14:paraId="0BAF854B"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TOTAL BURDEN HOURS</w:t>
            </w:r>
          </w:p>
        </w:tc>
      </w:tr>
      <w:tr w:rsidR="00B52095" w:rsidRPr="00B52095" w14:paraId="50C93442" w14:textId="77777777">
        <w:trPr>
          <w:cantSplit/>
        </w:trPr>
        <w:tc>
          <w:tcPr>
            <w:tcW w:w="1872"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14:paraId="7FDC8C75"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IC</w:t>
            </w:r>
          </w:p>
        </w:tc>
        <w:tc>
          <w:tcPr>
            <w:tcW w:w="1998"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14:paraId="4B056CF3" w14:textId="77777777" w:rsidR="006B73CC" w:rsidRPr="00B52095" w:rsidRDefault="00CB18B3">
            <w:pPr>
              <w:tabs>
                <w:tab w:val="left" w:pos="-720"/>
              </w:tabs>
              <w:snapToGrid w:val="0"/>
              <w:spacing w:before="90" w:after="54"/>
              <w:rPr>
                <w:color w:val="000000" w:themeColor="text1"/>
              </w:rPr>
            </w:pPr>
            <w:r w:rsidRPr="00B52095">
              <w:rPr>
                <w:rFonts w:ascii="Times New Roman" w:hAnsi="Times New Roman"/>
                <w:color w:val="000000" w:themeColor="text1"/>
                <w:sz w:val="24"/>
                <w:szCs w:val="24"/>
              </w:rPr>
              <w:t>1,113,719</w:t>
            </w:r>
          </w:p>
        </w:tc>
        <w:tc>
          <w:tcPr>
            <w:tcW w:w="1890"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14:paraId="2A317747"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1</w:t>
            </w:r>
          </w:p>
        </w:tc>
        <w:tc>
          <w:tcPr>
            <w:tcW w:w="1584"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14:paraId="46B99FD5"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0.17</w:t>
            </w:r>
          </w:p>
        </w:tc>
        <w:tc>
          <w:tcPr>
            <w:tcW w:w="1872" w:type="dxa"/>
            <w:tcBorders>
              <w:top w:val="double" w:sz="6" w:space="0" w:color="000000"/>
              <w:left w:val="double" w:sz="6" w:space="0" w:color="000000"/>
              <w:bottom w:val="double" w:sz="6" w:space="0" w:color="000000"/>
              <w:right w:val="double" w:sz="6" w:space="0" w:color="000000"/>
            </w:tcBorders>
            <w:shd w:val="clear" w:color="auto" w:fill="auto"/>
            <w:tcMar>
              <w:top w:w="0" w:type="dxa"/>
              <w:left w:w="120" w:type="dxa"/>
              <w:bottom w:w="0" w:type="dxa"/>
              <w:right w:w="120" w:type="dxa"/>
            </w:tcMar>
          </w:tcPr>
          <w:p w14:paraId="5A357B54" w14:textId="77777777" w:rsidR="006B73CC" w:rsidRPr="00B52095" w:rsidRDefault="00CB18B3">
            <w:pPr>
              <w:tabs>
                <w:tab w:val="left" w:pos="-720"/>
              </w:tabs>
              <w:snapToGrid w:val="0"/>
              <w:spacing w:before="90" w:after="54"/>
              <w:rPr>
                <w:rFonts w:ascii="Times New Roman" w:hAnsi="Times New Roman"/>
                <w:color w:val="000000" w:themeColor="text1"/>
                <w:sz w:val="24"/>
              </w:rPr>
            </w:pPr>
            <w:r w:rsidRPr="00B52095">
              <w:rPr>
                <w:rFonts w:ascii="Times New Roman" w:hAnsi="Times New Roman"/>
                <w:color w:val="000000" w:themeColor="text1"/>
                <w:sz w:val="24"/>
              </w:rPr>
              <w:t>189,332.23</w:t>
            </w:r>
          </w:p>
        </w:tc>
      </w:tr>
    </w:tbl>
    <w:p w14:paraId="51E6B3A6" w14:textId="77777777" w:rsidR="006B73CC" w:rsidRPr="00B52095" w:rsidRDefault="006B73CC">
      <w:pPr>
        <w:tabs>
          <w:tab w:val="left" w:pos="-720"/>
        </w:tabs>
        <w:rPr>
          <w:rFonts w:ascii="Times New Roman" w:hAnsi="Times New Roman"/>
          <w:color w:val="000000" w:themeColor="text1"/>
          <w:sz w:val="24"/>
        </w:rPr>
      </w:pPr>
    </w:p>
    <w:p w14:paraId="1A86C1D2" w14:textId="77777777" w:rsidR="006B73CC" w:rsidRPr="00B52095" w:rsidRDefault="006B73CC">
      <w:pPr>
        <w:tabs>
          <w:tab w:val="left" w:pos="-720"/>
        </w:tabs>
        <w:rPr>
          <w:rFonts w:ascii="Times New Roman" w:hAnsi="Times New Roman"/>
          <w:color w:val="000000" w:themeColor="text1"/>
          <w:sz w:val="24"/>
        </w:rPr>
      </w:pPr>
    </w:p>
    <w:p w14:paraId="3EC658F3" w14:textId="77777777" w:rsidR="006B73CC" w:rsidRPr="00B52095" w:rsidRDefault="006B73CC">
      <w:pPr>
        <w:tabs>
          <w:tab w:val="left" w:pos="-720"/>
        </w:tabs>
        <w:rPr>
          <w:rFonts w:ascii="Times New Roman" w:hAnsi="Times New Roman"/>
          <w:b/>
          <w:color w:val="000000" w:themeColor="text1"/>
          <w:sz w:val="24"/>
        </w:rPr>
      </w:pPr>
    </w:p>
    <w:p w14:paraId="5A4F3CF0" w14:textId="77777777" w:rsidR="006B73CC" w:rsidRPr="00B52095" w:rsidRDefault="00CB18B3">
      <w:pPr>
        <w:tabs>
          <w:tab w:val="left" w:pos="-720"/>
          <w:tab w:val="left" w:pos="90"/>
          <w:tab w:val="left" w:pos="900"/>
          <w:tab w:val="left" w:pos="990"/>
        </w:tabs>
        <w:ind w:left="900" w:hanging="630"/>
        <w:rPr>
          <w:rFonts w:ascii="Times New Roman" w:hAnsi="Times New Roman"/>
          <w:b/>
          <w:color w:val="000000" w:themeColor="text1"/>
          <w:sz w:val="24"/>
        </w:rPr>
      </w:pPr>
      <w:r w:rsidRPr="00B52095">
        <w:rPr>
          <w:rFonts w:ascii="Times New Roman" w:hAnsi="Times New Roman"/>
          <w:b/>
          <w:color w:val="000000" w:themeColor="text1"/>
          <w:sz w:val="24"/>
        </w:rPr>
        <w:t>13.      Estimates of Other Total Annual Cost Burden to Respondents and Record Keepers</w:t>
      </w:r>
      <w:r w:rsidRPr="00B52095">
        <w:rPr>
          <w:rFonts w:ascii="Times New Roman" w:hAnsi="Times New Roman"/>
          <w:b/>
          <w:color w:val="000000" w:themeColor="text1"/>
          <w:sz w:val="24"/>
        </w:rPr>
        <w:tab/>
      </w:r>
    </w:p>
    <w:p w14:paraId="2CE1BB26" w14:textId="77777777" w:rsidR="006B73CC" w:rsidRPr="00B52095" w:rsidRDefault="006B73CC">
      <w:pPr>
        <w:tabs>
          <w:tab w:val="left" w:pos="-720"/>
          <w:tab w:val="left" w:pos="0"/>
          <w:tab w:val="left" w:pos="720"/>
        </w:tabs>
        <w:ind w:left="1440" w:hanging="1440"/>
        <w:rPr>
          <w:rFonts w:ascii="Times New Roman" w:hAnsi="Times New Roman"/>
          <w:color w:val="000000" w:themeColor="text1"/>
          <w:sz w:val="24"/>
        </w:rPr>
      </w:pPr>
    </w:p>
    <w:p w14:paraId="6AD57339"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There are no capital or start-up costs associated with this information collection.  It will not be necessary to buy any new equipment or rent record storage facilities.  There are no direct monetary costs to disclosers other than their time to participate in the disclosure.</w:t>
      </w:r>
    </w:p>
    <w:p w14:paraId="19B24A6B" w14:textId="77777777" w:rsidR="006B73CC" w:rsidRPr="00B52095" w:rsidRDefault="006B73CC">
      <w:pPr>
        <w:tabs>
          <w:tab w:val="left" w:pos="-720"/>
        </w:tabs>
        <w:rPr>
          <w:rFonts w:ascii="Times New Roman" w:hAnsi="Times New Roman"/>
          <w:b/>
          <w:color w:val="000000" w:themeColor="text1"/>
          <w:sz w:val="24"/>
        </w:rPr>
      </w:pPr>
    </w:p>
    <w:p w14:paraId="67DDB652" w14:textId="77777777" w:rsidR="006B73CC" w:rsidRPr="00B52095" w:rsidRDefault="00CB18B3">
      <w:pPr>
        <w:tabs>
          <w:tab w:val="left" w:pos="-720"/>
        </w:tabs>
        <w:ind w:left="900" w:hanging="630"/>
        <w:rPr>
          <w:rFonts w:ascii="Times New Roman" w:hAnsi="Times New Roman"/>
          <w:b/>
          <w:color w:val="000000" w:themeColor="text1"/>
          <w:sz w:val="24"/>
        </w:rPr>
      </w:pPr>
      <w:r w:rsidRPr="00B52095">
        <w:rPr>
          <w:rFonts w:ascii="Times New Roman" w:hAnsi="Times New Roman"/>
          <w:b/>
          <w:color w:val="000000" w:themeColor="text1"/>
          <w:sz w:val="24"/>
        </w:rPr>
        <w:t>14.</w:t>
      </w:r>
      <w:r w:rsidRPr="00B52095">
        <w:rPr>
          <w:rFonts w:ascii="Times New Roman" w:hAnsi="Times New Roman"/>
          <w:b/>
          <w:color w:val="000000" w:themeColor="text1"/>
          <w:sz w:val="24"/>
        </w:rPr>
        <w:tab/>
        <w:t>Annualized Cost to the Federal Government</w:t>
      </w:r>
    </w:p>
    <w:p w14:paraId="3FA8649F" w14:textId="77777777" w:rsidR="006B73CC" w:rsidRPr="00B52095" w:rsidRDefault="006B73CC">
      <w:pPr>
        <w:tabs>
          <w:tab w:val="left" w:pos="-720"/>
        </w:tabs>
        <w:rPr>
          <w:rFonts w:ascii="Times New Roman" w:hAnsi="Times New Roman"/>
          <w:b/>
          <w:color w:val="000000" w:themeColor="text1"/>
          <w:sz w:val="24"/>
        </w:rPr>
      </w:pPr>
    </w:p>
    <w:p w14:paraId="64B191F4" w14:textId="190F7C58" w:rsidR="00694E44" w:rsidRPr="00B52095" w:rsidRDefault="00694E44" w:rsidP="00A00FB9">
      <w:pPr>
        <w:ind w:left="900"/>
        <w:rPr>
          <w:rFonts w:ascii="Times New Roman" w:hAnsi="Times New Roman"/>
          <w:color w:val="000000" w:themeColor="text1"/>
          <w:sz w:val="24"/>
          <w:szCs w:val="24"/>
        </w:rPr>
      </w:pPr>
      <w:commentRangeStart w:id="1"/>
      <w:r w:rsidRPr="00B52095">
        <w:rPr>
          <w:rFonts w:ascii="Times New Roman" w:hAnsi="Times New Roman"/>
          <w:color w:val="000000" w:themeColor="text1"/>
          <w:sz w:val="24"/>
        </w:rPr>
        <w:t>With the following a</w:t>
      </w:r>
      <w:r w:rsidRPr="00B52095">
        <w:rPr>
          <w:rFonts w:ascii="Times New Roman" w:hAnsi="Times New Roman"/>
          <w:color w:val="000000" w:themeColor="text1"/>
          <w:sz w:val="24"/>
          <w:szCs w:val="24"/>
        </w:rPr>
        <w:t>ssumptions:</w:t>
      </w:r>
    </w:p>
    <w:p w14:paraId="742A01BE" w14:textId="256DB1C2" w:rsidR="00694E44" w:rsidRPr="00B52095" w:rsidRDefault="00694E44" w:rsidP="00B52095">
      <w:pPr>
        <w:pStyle w:val="ListParagraph"/>
        <w:numPr>
          <w:ilvl w:val="0"/>
          <w:numId w:val="3"/>
        </w:numPr>
        <w:rPr>
          <w:color w:val="000000" w:themeColor="text1"/>
        </w:rPr>
      </w:pPr>
      <w:r w:rsidRPr="00B52095">
        <w:rPr>
          <w:rFonts w:ascii="Times New Roman" w:hAnsi="Times New Roman"/>
          <w:color w:val="000000" w:themeColor="text1"/>
          <w:sz w:val="24"/>
          <w:szCs w:val="24"/>
        </w:rPr>
        <w:t>1</w:t>
      </w:r>
      <w:r w:rsidR="00A00FB9" w:rsidRPr="00B52095">
        <w:rPr>
          <w:rFonts w:ascii="Times New Roman" w:hAnsi="Times New Roman"/>
          <w:color w:val="000000" w:themeColor="text1"/>
          <w:sz w:val="24"/>
          <w:szCs w:val="24"/>
        </w:rPr>
        <w:t xml:space="preserve"> hour per state to go to the state website, look up the form, doc</w:t>
      </w:r>
      <w:r w:rsidRPr="00B52095">
        <w:rPr>
          <w:rFonts w:ascii="Times New Roman" w:hAnsi="Times New Roman"/>
          <w:color w:val="000000" w:themeColor="text1"/>
          <w:sz w:val="24"/>
          <w:szCs w:val="24"/>
        </w:rPr>
        <w:t>ument the elements that are</w:t>
      </w:r>
      <w:r w:rsidR="00A00FB9" w:rsidRPr="00B52095">
        <w:rPr>
          <w:rFonts w:ascii="Times New Roman" w:hAnsi="Times New Roman"/>
          <w:color w:val="000000" w:themeColor="text1"/>
          <w:sz w:val="24"/>
          <w:szCs w:val="24"/>
        </w:rPr>
        <w:t xml:space="preserve"> use and confirm the information with the state</w:t>
      </w:r>
      <w:r w:rsidRPr="00B52095">
        <w:rPr>
          <w:rFonts w:ascii="Times New Roman" w:hAnsi="Times New Roman"/>
          <w:color w:val="000000" w:themeColor="text1"/>
          <w:sz w:val="24"/>
          <w:szCs w:val="24"/>
        </w:rPr>
        <w:t>.</w:t>
      </w:r>
    </w:p>
    <w:p w14:paraId="1CDE6FFE" w14:textId="77777777" w:rsidR="00694E44" w:rsidRPr="00B52095" w:rsidRDefault="00694E44" w:rsidP="00B52095">
      <w:pPr>
        <w:pStyle w:val="ListParagraph"/>
        <w:numPr>
          <w:ilvl w:val="0"/>
          <w:numId w:val="3"/>
        </w:numPr>
        <w:rPr>
          <w:color w:val="000000" w:themeColor="text1"/>
        </w:rPr>
      </w:pPr>
      <w:r w:rsidRPr="00B52095">
        <w:rPr>
          <w:rFonts w:ascii="Times New Roman" w:hAnsi="Times New Roman"/>
          <w:color w:val="000000" w:themeColor="text1"/>
          <w:sz w:val="24"/>
          <w:szCs w:val="24"/>
        </w:rPr>
        <w:t xml:space="preserve">Cost of the federal analyst is $33.06 per hour. </w:t>
      </w:r>
    </w:p>
    <w:p w14:paraId="3A28F2C4" w14:textId="48531465" w:rsidR="006B73CC" w:rsidRPr="00B52095" w:rsidRDefault="00694E44" w:rsidP="00B52095">
      <w:pPr>
        <w:ind w:left="960"/>
        <w:rPr>
          <w:color w:val="000000" w:themeColor="text1"/>
        </w:rPr>
      </w:pPr>
      <w:r w:rsidRPr="00B52095">
        <w:rPr>
          <w:rFonts w:ascii="Times New Roman" w:hAnsi="Times New Roman"/>
          <w:color w:val="000000" w:themeColor="text1"/>
          <w:sz w:val="24"/>
          <w:szCs w:val="24"/>
        </w:rPr>
        <w:t xml:space="preserve">The cost to the Federal Government would be $1,785.24.  </w:t>
      </w:r>
      <w:commentRangeEnd w:id="1"/>
    </w:p>
    <w:p w14:paraId="4FF61C39" w14:textId="77777777" w:rsidR="006B73CC" w:rsidRPr="00B52095" w:rsidRDefault="006B73CC">
      <w:pPr>
        <w:tabs>
          <w:tab w:val="left" w:pos="-720"/>
        </w:tabs>
        <w:rPr>
          <w:color w:val="000000" w:themeColor="text1"/>
        </w:rPr>
      </w:pPr>
    </w:p>
    <w:p w14:paraId="2FA59A70" w14:textId="77777777" w:rsidR="006B73CC" w:rsidRPr="00B52095" w:rsidRDefault="00CB18B3">
      <w:pPr>
        <w:tabs>
          <w:tab w:val="left" w:pos="-720"/>
          <w:tab w:val="left" w:pos="0"/>
          <w:tab w:val="left" w:pos="900"/>
        </w:tabs>
        <w:ind w:left="900" w:hanging="630"/>
        <w:rPr>
          <w:color w:val="000000" w:themeColor="text1"/>
        </w:rPr>
      </w:pPr>
      <w:r w:rsidRPr="00B52095">
        <w:rPr>
          <w:rFonts w:ascii="Times New Roman" w:hAnsi="Times New Roman"/>
          <w:b/>
          <w:color w:val="000000" w:themeColor="text1"/>
          <w:sz w:val="24"/>
        </w:rPr>
        <w:t>15.</w:t>
      </w:r>
      <w:r w:rsidRPr="00B52095">
        <w:rPr>
          <w:rFonts w:ascii="Times New Roman" w:hAnsi="Times New Roman"/>
          <w:b/>
          <w:color w:val="000000" w:themeColor="text1"/>
          <w:sz w:val="24"/>
        </w:rPr>
        <w:tab/>
        <w:t>Explanation of Program Changes or Adjustments</w:t>
      </w:r>
    </w:p>
    <w:p w14:paraId="7F228B75" w14:textId="77777777" w:rsidR="006B73CC" w:rsidRPr="00B52095" w:rsidRDefault="006B73CC">
      <w:pPr>
        <w:tabs>
          <w:tab w:val="left" w:pos="-720"/>
        </w:tabs>
        <w:rPr>
          <w:rFonts w:ascii="Times New Roman" w:hAnsi="Times New Roman"/>
          <w:color w:val="000000" w:themeColor="text1"/>
          <w:sz w:val="24"/>
        </w:rPr>
      </w:pPr>
    </w:p>
    <w:p w14:paraId="6B4D005C" w14:textId="77777777" w:rsidR="006B73CC" w:rsidRPr="00B52095" w:rsidRDefault="00CB18B3">
      <w:pPr>
        <w:tabs>
          <w:tab w:val="left" w:pos="-720"/>
        </w:tabs>
        <w:ind w:left="900"/>
        <w:rPr>
          <w:rFonts w:ascii="Times New Roman" w:hAnsi="Times New Roman"/>
          <w:color w:val="000000" w:themeColor="text1"/>
          <w:sz w:val="24"/>
        </w:rPr>
      </w:pPr>
      <w:r w:rsidRPr="00B52095">
        <w:rPr>
          <w:rFonts w:ascii="Times New Roman" w:hAnsi="Times New Roman"/>
          <w:color w:val="000000" w:themeColor="text1"/>
          <w:sz w:val="24"/>
        </w:rPr>
        <w:t>There are no program changes.</w:t>
      </w:r>
    </w:p>
    <w:p w14:paraId="0413C92E" w14:textId="77777777" w:rsidR="006B73CC" w:rsidRPr="00B52095" w:rsidRDefault="006B73CC">
      <w:pPr>
        <w:tabs>
          <w:tab w:val="left" w:pos="-720"/>
        </w:tabs>
        <w:ind w:left="900"/>
        <w:rPr>
          <w:rFonts w:ascii="Times New Roman" w:hAnsi="Times New Roman"/>
          <w:color w:val="000000" w:themeColor="text1"/>
          <w:sz w:val="24"/>
        </w:rPr>
      </w:pPr>
    </w:p>
    <w:p w14:paraId="061991A7" w14:textId="77777777" w:rsidR="006B73CC" w:rsidRPr="00B52095" w:rsidRDefault="00CB18B3">
      <w:pPr>
        <w:tabs>
          <w:tab w:val="left" w:pos="-720"/>
        </w:tabs>
        <w:ind w:left="900"/>
        <w:rPr>
          <w:rFonts w:ascii="Times New Roman" w:hAnsi="Times New Roman"/>
          <w:color w:val="000000" w:themeColor="text1"/>
          <w:sz w:val="24"/>
        </w:rPr>
      </w:pPr>
      <w:r w:rsidRPr="00B52095">
        <w:rPr>
          <w:rFonts w:ascii="Times New Roman" w:hAnsi="Times New Roman"/>
          <w:color w:val="000000" w:themeColor="text1"/>
          <w:sz w:val="24"/>
        </w:rPr>
        <w:t>There was an adjustment due to the increase in the number of out-of-wedlock births and a decrease in the number of unwed fathers that established paternity.  The decline is attributed to fewer acknowledgements being signed in the hospital.</w:t>
      </w:r>
    </w:p>
    <w:p w14:paraId="1DF56007" w14:textId="77777777" w:rsidR="006B73CC" w:rsidRPr="00B52095" w:rsidRDefault="006B73CC">
      <w:pPr>
        <w:tabs>
          <w:tab w:val="left" w:pos="-720"/>
        </w:tabs>
        <w:rPr>
          <w:rFonts w:ascii="Times New Roman" w:hAnsi="Times New Roman"/>
          <w:color w:val="000000" w:themeColor="text1"/>
          <w:sz w:val="24"/>
        </w:rPr>
      </w:pPr>
    </w:p>
    <w:p w14:paraId="6971B466" w14:textId="77777777" w:rsidR="006B73CC" w:rsidRPr="00B52095" w:rsidRDefault="00CB18B3">
      <w:pPr>
        <w:tabs>
          <w:tab w:val="left" w:pos="-720"/>
        </w:tabs>
        <w:ind w:left="900" w:hanging="630"/>
        <w:rPr>
          <w:color w:val="000000" w:themeColor="text1"/>
        </w:rPr>
      </w:pPr>
      <w:r w:rsidRPr="00B52095">
        <w:rPr>
          <w:rFonts w:ascii="Times New Roman" w:hAnsi="Times New Roman"/>
          <w:b/>
          <w:color w:val="000000" w:themeColor="text1"/>
          <w:sz w:val="24"/>
        </w:rPr>
        <w:t>16.</w:t>
      </w:r>
      <w:r w:rsidRPr="00B52095">
        <w:rPr>
          <w:rFonts w:ascii="Times New Roman" w:hAnsi="Times New Roman"/>
          <w:b/>
          <w:color w:val="000000" w:themeColor="text1"/>
          <w:sz w:val="24"/>
        </w:rPr>
        <w:tab/>
        <w:t>Plans for Tabulation and Publication and Project Time Schedule</w:t>
      </w:r>
    </w:p>
    <w:p w14:paraId="4A228E50" w14:textId="77777777" w:rsidR="006B73CC" w:rsidRPr="00B52095" w:rsidRDefault="006B73CC">
      <w:pPr>
        <w:tabs>
          <w:tab w:val="left" w:pos="-720"/>
        </w:tabs>
        <w:rPr>
          <w:rFonts w:ascii="Times New Roman" w:hAnsi="Times New Roman"/>
          <w:color w:val="000000" w:themeColor="text1"/>
          <w:sz w:val="24"/>
        </w:rPr>
      </w:pPr>
    </w:p>
    <w:p w14:paraId="2ABA6410"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Not applicable.</w:t>
      </w:r>
    </w:p>
    <w:p w14:paraId="4B9D7ADA" w14:textId="77777777" w:rsidR="006B73CC" w:rsidRPr="00B52095" w:rsidRDefault="006B73CC">
      <w:pPr>
        <w:tabs>
          <w:tab w:val="left" w:pos="-720"/>
        </w:tabs>
        <w:rPr>
          <w:rFonts w:ascii="Times New Roman" w:hAnsi="Times New Roman"/>
          <w:color w:val="000000" w:themeColor="text1"/>
          <w:sz w:val="24"/>
        </w:rPr>
      </w:pPr>
    </w:p>
    <w:p w14:paraId="737ECA25" w14:textId="77777777" w:rsidR="006B73CC" w:rsidRPr="00B52095" w:rsidRDefault="006B73CC">
      <w:pPr>
        <w:tabs>
          <w:tab w:val="left" w:pos="-720"/>
          <w:tab w:val="left" w:pos="0"/>
          <w:tab w:val="left" w:pos="720"/>
        </w:tabs>
        <w:ind w:left="1440" w:hanging="1440"/>
        <w:rPr>
          <w:rFonts w:ascii="Times New Roman" w:hAnsi="Times New Roman"/>
          <w:b/>
          <w:color w:val="000000" w:themeColor="text1"/>
          <w:sz w:val="24"/>
        </w:rPr>
      </w:pPr>
    </w:p>
    <w:p w14:paraId="621DDC2F" w14:textId="77777777" w:rsidR="006B73CC" w:rsidRPr="00B52095" w:rsidRDefault="00CB18B3">
      <w:pPr>
        <w:tabs>
          <w:tab w:val="left" w:pos="-720"/>
          <w:tab w:val="left" w:pos="0"/>
          <w:tab w:val="left" w:pos="900"/>
        </w:tabs>
        <w:ind w:left="1440" w:hanging="1170"/>
        <w:rPr>
          <w:color w:val="000000" w:themeColor="text1"/>
        </w:rPr>
      </w:pPr>
      <w:r w:rsidRPr="00B52095">
        <w:rPr>
          <w:rFonts w:ascii="Times New Roman" w:hAnsi="Times New Roman"/>
          <w:b/>
          <w:color w:val="000000" w:themeColor="text1"/>
          <w:sz w:val="24"/>
        </w:rPr>
        <w:t xml:space="preserve">17. </w:t>
      </w:r>
      <w:r w:rsidRPr="00B52095">
        <w:rPr>
          <w:rFonts w:ascii="Times New Roman" w:hAnsi="Times New Roman"/>
          <w:b/>
          <w:color w:val="000000" w:themeColor="text1"/>
          <w:sz w:val="24"/>
        </w:rPr>
        <w:tab/>
        <w:t>Reason(s) Display of OMB Expiration Date is Inappropriate</w:t>
      </w:r>
    </w:p>
    <w:p w14:paraId="2E94E2E6" w14:textId="77777777" w:rsidR="006B73CC" w:rsidRPr="00B52095" w:rsidRDefault="006B73CC">
      <w:pPr>
        <w:tabs>
          <w:tab w:val="left" w:pos="-720"/>
        </w:tabs>
        <w:rPr>
          <w:rFonts w:ascii="Times New Roman" w:hAnsi="Times New Roman"/>
          <w:color w:val="000000" w:themeColor="text1"/>
          <w:sz w:val="24"/>
        </w:rPr>
      </w:pPr>
    </w:p>
    <w:p w14:paraId="20D153A5"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Not applicable because there is no Federal form.</w:t>
      </w:r>
    </w:p>
    <w:p w14:paraId="19829C5D" w14:textId="77777777" w:rsidR="006B73CC" w:rsidRPr="00B52095" w:rsidRDefault="006B73CC">
      <w:pPr>
        <w:tabs>
          <w:tab w:val="left" w:pos="-720"/>
        </w:tabs>
        <w:rPr>
          <w:rFonts w:ascii="Times New Roman" w:hAnsi="Times New Roman"/>
          <w:color w:val="000000" w:themeColor="text1"/>
          <w:sz w:val="24"/>
        </w:rPr>
      </w:pPr>
    </w:p>
    <w:p w14:paraId="42B550D6" w14:textId="77777777" w:rsidR="006B73CC" w:rsidRPr="00B52095" w:rsidRDefault="006B73CC">
      <w:pPr>
        <w:tabs>
          <w:tab w:val="left" w:pos="-720"/>
          <w:tab w:val="left" w:pos="0"/>
        </w:tabs>
        <w:ind w:left="720" w:hanging="720"/>
        <w:rPr>
          <w:rFonts w:ascii="Times New Roman" w:hAnsi="Times New Roman"/>
          <w:b/>
          <w:color w:val="000000" w:themeColor="text1"/>
          <w:sz w:val="24"/>
        </w:rPr>
      </w:pPr>
    </w:p>
    <w:p w14:paraId="40EAEC4C" w14:textId="77777777" w:rsidR="006B73CC" w:rsidRPr="00B52095" w:rsidRDefault="00CB18B3">
      <w:pPr>
        <w:tabs>
          <w:tab w:val="left" w:pos="-720"/>
          <w:tab w:val="left" w:pos="0"/>
        </w:tabs>
        <w:ind w:left="900" w:hanging="630"/>
        <w:rPr>
          <w:rFonts w:ascii="Times New Roman" w:hAnsi="Times New Roman"/>
          <w:b/>
          <w:color w:val="000000" w:themeColor="text1"/>
          <w:sz w:val="24"/>
        </w:rPr>
      </w:pPr>
      <w:r w:rsidRPr="00B52095">
        <w:rPr>
          <w:rFonts w:ascii="Times New Roman" w:hAnsi="Times New Roman"/>
          <w:b/>
          <w:color w:val="000000" w:themeColor="text1"/>
          <w:sz w:val="24"/>
        </w:rPr>
        <w:t>18.</w:t>
      </w:r>
      <w:r w:rsidRPr="00B52095">
        <w:rPr>
          <w:rFonts w:ascii="Times New Roman" w:hAnsi="Times New Roman"/>
          <w:b/>
          <w:color w:val="000000" w:themeColor="text1"/>
          <w:sz w:val="24"/>
        </w:rPr>
        <w:tab/>
        <w:t>Exceptions to Certification for Paperwork Reduction Act Submission</w:t>
      </w:r>
    </w:p>
    <w:p w14:paraId="0F77EF30" w14:textId="77777777" w:rsidR="006B73CC" w:rsidRPr="00B52095" w:rsidRDefault="006B73CC">
      <w:pPr>
        <w:tabs>
          <w:tab w:val="left" w:pos="-720"/>
          <w:tab w:val="left" w:pos="0"/>
        </w:tabs>
        <w:ind w:left="720" w:hanging="720"/>
        <w:rPr>
          <w:rFonts w:ascii="Times New Roman" w:hAnsi="Times New Roman"/>
          <w:color w:val="000000" w:themeColor="text1"/>
          <w:sz w:val="24"/>
        </w:rPr>
      </w:pPr>
    </w:p>
    <w:p w14:paraId="071FB42C" w14:textId="77777777" w:rsidR="006B73CC" w:rsidRPr="00B52095" w:rsidRDefault="00CB18B3">
      <w:pPr>
        <w:tabs>
          <w:tab w:val="left" w:pos="-720"/>
        </w:tabs>
        <w:ind w:left="900"/>
        <w:rPr>
          <w:color w:val="000000" w:themeColor="text1"/>
        </w:rPr>
      </w:pPr>
      <w:r w:rsidRPr="00B52095">
        <w:rPr>
          <w:rFonts w:ascii="Times New Roman" w:hAnsi="Times New Roman"/>
          <w:color w:val="000000" w:themeColor="text1"/>
          <w:sz w:val="24"/>
        </w:rPr>
        <w:t>There are no exceptions to the certification statement.</w:t>
      </w:r>
    </w:p>
    <w:p w14:paraId="664FA425" w14:textId="77777777" w:rsidR="006B73CC" w:rsidRPr="00B52095" w:rsidRDefault="006B73CC">
      <w:pPr>
        <w:tabs>
          <w:tab w:val="left" w:pos="-720"/>
        </w:tabs>
        <w:rPr>
          <w:rFonts w:ascii="Times New Roman" w:hAnsi="Times New Roman"/>
          <w:color w:val="000000" w:themeColor="text1"/>
          <w:sz w:val="24"/>
        </w:rPr>
      </w:pPr>
    </w:p>
    <w:p w14:paraId="18590712" w14:textId="77777777" w:rsidR="006B73CC" w:rsidRPr="00B52095" w:rsidRDefault="006B73CC">
      <w:pPr>
        <w:tabs>
          <w:tab w:val="left" w:pos="-720"/>
        </w:tabs>
        <w:rPr>
          <w:rFonts w:ascii="Times New Roman" w:hAnsi="Times New Roman"/>
          <w:b/>
          <w:color w:val="000000" w:themeColor="text1"/>
          <w:sz w:val="24"/>
        </w:rPr>
      </w:pPr>
    </w:p>
    <w:p w14:paraId="2A70F909" w14:textId="77777777" w:rsidR="006B73CC" w:rsidRPr="00B52095" w:rsidRDefault="00CB18B3">
      <w:pPr>
        <w:tabs>
          <w:tab w:val="left" w:pos="-720"/>
        </w:tabs>
        <w:jc w:val="center"/>
        <w:rPr>
          <w:color w:val="000000" w:themeColor="text1"/>
        </w:rPr>
      </w:pPr>
      <w:r w:rsidRPr="00B52095">
        <w:rPr>
          <w:rFonts w:ascii="Times New Roman" w:hAnsi="Times New Roman"/>
          <w:color w:val="000000" w:themeColor="text1"/>
          <w:sz w:val="24"/>
        </w:rPr>
        <w:t>SUPPORTING STATEMENT:</w:t>
      </w:r>
    </w:p>
    <w:p w14:paraId="4B0E8A49" w14:textId="77777777" w:rsidR="006B73CC" w:rsidRPr="00B52095" w:rsidRDefault="006B73CC">
      <w:pPr>
        <w:tabs>
          <w:tab w:val="left" w:pos="-720"/>
        </w:tabs>
        <w:jc w:val="center"/>
        <w:rPr>
          <w:rFonts w:ascii="Times New Roman" w:hAnsi="Times New Roman"/>
          <w:b/>
          <w:color w:val="000000" w:themeColor="text1"/>
          <w:sz w:val="24"/>
        </w:rPr>
      </w:pPr>
    </w:p>
    <w:p w14:paraId="07DBFF52" w14:textId="77777777" w:rsidR="006B73CC" w:rsidRPr="00B52095" w:rsidRDefault="006B73CC">
      <w:pPr>
        <w:tabs>
          <w:tab w:val="left" w:pos="-720"/>
        </w:tabs>
        <w:jc w:val="center"/>
        <w:rPr>
          <w:rFonts w:ascii="Times New Roman" w:hAnsi="Times New Roman"/>
          <w:b/>
          <w:color w:val="000000" w:themeColor="text1"/>
          <w:sz w:val="24"/>
        </w:rPr>
      </w:pPr>
    </w:p>
    <w:p w14:paraId="1DDE9660" w14:textId="77777777" w:rsidR="006B73CC" w:rsidRPr="00B52095" w:rsidRDefault="00CB18B3">
      <w:pPr>
        <w:tabs>
          <w:tab w:val="left" w:pos="-720"/>
        </w:tabs>
        <w:jc w:val="center"/>
        <w:rPr>
          <w:rFonts w:ascii="Times New Roman" w:hAnsi="Times New Roman"/>
          <w:b/>
          <w:color w:val="000000" w:themeColor="text1"/>
          <w:sz w:val="24"/>
        </w:rPr>
      </w:pPr>
      <w:r w:rsidRPr="00B52095">
        <w:rPr>
          <w:rFonts w:ascii="Times New Roman" w:hAnsi="Times New Roman"/>
          <w:b/>
          <w:color w:val="000000" w:themeColor="text1"/>
          <w:sz w:val="24"/>
        </w:rPr>
        <w:t>PART B – COLLECTION OF INFORMATION EMPLOYING</w:t>
      </w:r>
    </w:p>
    <w:p w14:paraId="7F3BB371" w14:textId="77777777" w:rsidR="006B73CC" w:rsidRPr="00B52095" w:rsidRDefault="00CB18B3">
      <w:pPr>
        <w:tabs>
          <w:tab w:val="left" w:pos="-720"/>
        </w:tabs>
        <w:jc w:val="center"/>
        <w:rPr>
          <w:rFonts w:ascii="Times New Roman" w:hAnsi="Times New Roman"/>
          <w:b/>
          <w:color w:val="000000" w:themeColor="text1"/>
          <w:sz w:val="24"/>
        </w:rPr>
      </w:pPr>
      <w:r w:rsidRPr="00B52095">
        <w:rPr>
          <w:rFonts w:ascii="Times New Roman" w:hAnsi="Times New Roman"/>
          <w:b/>
          <w:color w:val="000000" w:themeColor="text1"/>
          <w:sz w:val="24"/>
        </w:rPr>
        <w:t>STATISTICAL METHODS</w:t>
      </w:r>
    </w:p>
    <w:p w14:paraId="305FFCB3" w14:textId="77777777" w:rsidR="006B73CC" w:rsidRPr="00B52095" w:rsidRDefault="006B73CC">
      <w:pPr>
        <w:tabs>
          <w:tab w:val="left" w:pos="-720"/>
        </w:tabs>
        <w:jc w:val="center"/>
        <w:rPr>
          <w:rFonts w:ascii="Times New Roman" w:hAnsi="Times New Roman"/>
          <w:b/>
          <w:color w:val="000000" w:themeColor="text1"/>
          <w:sz w:val="24"/>
        </w:rPr>
      </w:pPr>
    </w:p>
    <w:p w14:paraId="6D6E223C" w14:textId="77777777" w:rsidR="006B73CC" w:rsidRPr="00B52095" w:rsidRDefault="00CB18B3">
      <w:pPr>
        <w:pStyle w:val="BodyText"/>
        <w:rPr>
          <w:color w:val="000000" w:themeColor="text1"/>
        </w:rPr>
      </w:pPr>
      <w:r w:rsidRPr="00B52095">
        <w:rPr>
          <w:color w:val="000000" w:themeColor="text1"/>
        </w:rPr>
        <w:t xml:space="preserve">The information collection requirements outlined in this report do not employ the use of statistical methods. </w:t>
      </w:r>
    </w:p>
    <w:p w14:paraId="35245561" w14:textId="77777777" w:rsidR="006B73CC" w:rsidRPr="00B52095" w:rsidRDefault="006B73CC">
      <w:pPr>
        <w:tabs>
          <w:tab w:val="left" w:pos="-720"/>
        </w:tabs>
        <w:rPr>
          <w:rFonts w:ascii="Times New Roman" w:hAnsi="Times New Roman"/>
          <w:b/>
          <w:color w:val="000000" w:themeColor="text1"/>
          <w:sz w:val="24"/>
        </w:rPr>
      </w:pPr>
    </w:p>
    <w:p w14:paraId="4DEC2E33" w14:textId="77777777" w:rsidR="006B73CC" w:rsidRPr="00B52095" w:rsidRDefault="006B73CC">
      <w:pPr>
        <w:tabs>
          <w:tab w:val="left" w:pos="-720"/>
        </w:tabs>
        <w:rPr>
          <w:rFonts w:ascii="Times New Roman" w:hAnsi="Times New Roman"/>
          <w:b/>
          <w:color w:val="000000" w:themeColor="text1"/>
          <w:sz w:val="24"/>
        </w:rPr>
      </w:pPr>
    </w:p>
    <w:p w14:paraId="78B52AB3" w14:textId="77777777" w:rsidR="006B73CC" w:rsidRPr="00B52095" w:rsidRDefault="006B73CC">
      <w:pPr>
        <w:tabs>
          <w:tab w:val="left" w:pos="-720"/>
        </w:tabs>
        <w:rPr>
          <w:rFonts w:ascii="Times New Roman" w:hAnsi="Times New Roman"/>
          <w:b/>
          <w:color w:val="000000" w:themeColor="text1"/>
          <w:sz w:val="24"/>
        </w:rPr>
      </w:pPr>
    </w:p>
    <w:sectPr w:rsidR="006B73CC" w:rsidRPr="00B52095">
      <w:footerReference w:type="default" r:id="rId7"/>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8FCE0" w14:textId="77777777" w:rsidR="00CE701D" w:rsidRDefault="00CB18B3">
      <w:r>
        <w:separator/>
      </w:r>
    </w:p>
  </w:endnote>
  <w:endnote w:type="continuationSeparator" w:id="0">
    <w:p w14:paraId="5DFDF456" w14:textId="77777777" w:rsidR="00CE701D" w:rsidRDefault="00CB1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EB904" w14:textId="77777777" w:rsidR="00F569F1" w:rsidRDefault="00B52095">
    <w:pPr>
      <w:spacing w:before="140" w:line="100" w:lineRule="exact"/>
      <w:rPr>
        <w:sz w:val="10"/>
      </w:rPr>
    </w:pPr>
  </w:p>
  <w:p w14:paraId="55EC8E5E" w14:textId="77777777" w:rsidR="00F569F1" w:rsidRDefault="00B52095">
    <w:pPr>
      <w:tabs>
        <w:tab w:val="left" w:pos="-720"/>
      </w:tabs>
      <w:rPr>
        <w:sz w:val="24"/>
      </w:rPr>
    </w:pPr>
  </w:p>
  <w:p w14:paraId="6F1E83AA" w14:textId="77777777" w:rsidR="00F569F1" w:rsidRDefault="00CB18B3">
    <w:pPr>
      <w:tabs>
        <w:tab w:val="left" w:pos="-720"/>
      </w:tabs>
    </w:pPr>
    <w:r>
      <w:rPr>
        <w:noProof/>
      </w:rPr>
      <mc:AlternateContent>
        <mc:Choice Requires="wps">
          <w:drawing>
            <wp:anchor distT="0" distB="0" distL="114300" distR="114300" simplePos="0" relativeHeight="251659264" behindDoc="1" locked="0" layoutInCell="1" allowOverlap="1" wp14:anchorId="3FBFAB21" wp14:editId="3714DE34">
              <wp:simplePos x="0" y="0"/>
              <wp:positionH relativeFrom="margin">
                <wp:posOffset>19046</wp:posOffset>
              </wp:positionH>
              <wp:positionV relativeFrom="paragraph">
                <wp:posOffset>152403</wp:posOffset>
              </wp:positionV>
              <wp:extent cx="5904866" cy="152403"/>
              <wp:effectExtent l="0" t="0" r="634" b="0"/>
              <wp:wrapNone/>
              <wp:docPr id="1" name="Rectangle 1"/>
              <wp:cNvGraphicFramePr/>
              <a:graphic xmlns:a="http://schemas.openxmlformats.org/drawingml/2006/main">
                <a:graphicData uri="http://schemas.microsoft.com/office/word/2010/wordprocessingShape">
                  <wps:wsp>
                    <wps:cNvSpPr/>
                    <wps:spPr>
                      <a:xfrm>
                        <a:off x="0" y="0"/>
                        <a:ext cx="5904866" cy="152403"/>
                      </a:xfrm>
                      <a:prstGeom prst="rect">
                        <a:avLst/>
                      </a:prstGeom>
                      <a:noFill/>
                      <a:ln cap="flat">
                        <a:noFill/>
                        <a:prstDash val="solid"/>
                      </a:ln>
                    </wps:spPr>
                    <wps:txbx>
                      <w:txbxContent>
                        <w:p w14:paraId="369D3E84" w14:textId="77777777" w:rsidR="00F569F1" w:rsidRDefault="00CB18B3">
                          <w:pPr>
                            <w:tabs>
                              <w:tab w:val="center" w:pos="4650"/>
                            </w:tabs>
                            <w:jc w:val="both"/>
                          </w:pPr>
                          <w:r>
                            <w:rPr>
                              <w:sz w:val="24"/>
                            </w:rPr>
                            <w:tab/>
                          </w:r>
                          <w:r>
                            <w:rPr>
                              <w:sz w:val="24"/>
                            </w:rPr>
                            <w:fldChar w:fldCharType="begin"/>
                          </w:r>
                          <w:r>
                            <w:rPr>
                              <w:sz w:val="24"/>
                            </w:rPr>
                            <w:instrText xml:space="preserve"> PAGE \* ARABIC </w:instrText>
                          </w:r>
                          <w:r>
                            <w:rPr>
                              <w:sz w:val="24"/>
                            </w:rPr>
                            <w:fldChar w:fldCharType="separate"/>
                          </w:r>
                          <w:r w:rsidR="00B52095">
                            <w:rPr>
                              <w:noProof/>
                              <w:sz w:val="24"/>
                            </w:rPr>
                            <w:t>3</w:t>
                          </w:r>
                          <w:r>
                            <w:rPr>
                              <w:sz w:val="24"/>
                            </w:rPr>
                            <w:fldChar w:fldCharType="end"/>
                          </w:r>
                        </w:p>
                      </w:txbxContent>
                    </wps:txbx>
                    <wps:bodyPr vert="horz" wrap="square" lIns="0" tIns="0" rIns="0" bIns="0" anchor="t" anchorCtr="0" compatLnSpc="0">
                      <a:noAutofit/>
                    </wps:bodyPr>
                  </wps:wsp>
                </a:graphicData>
              </a:graphic>
            </wp:anchor>
          </w:drawing>
        </mc:Choice>
        <mc:Fallback>
          <w:pict>
            <v:rect w14:anchorId="3FBFAB21" id="Rectangle 1" o:spid="_x0000_s1026" style="position:absolute;margin-left:1.5pt;margin-top:12pt;width:464.95pt;height:1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" filled="f" stroked="f">
              <v:textbox inset="0,0,0,0">
                <w:txbxContent>
                  <w:p w14:paraId="369D3E84" w14:textId="77777777" w:rsidR="00F569F1" w:rsidRDefault="00CB18B3">
                    <w:pPr>
                      <w:tabs>
                        <w:tab w:val="center" w:pos="4650"/>
                      </w:tabs>
                      <w:jc w:val="both"/>
                    </w:pPr>
                    <w:r>
                      <w:rPr>
                        <w:sz w:val="24"/>
                      </w:rPr>
                      <w:tab/>
                    </w:r>
                    <w:r>
                      <w:rPr>
                        <w:sz w:val="24"/>
                      </w:rPr>
                      <w:fldChar w:fldCharType="begin"/>
                    </w:r>
                    <w:r>
                      <w:rPr>
                        <w:sz w:val="24"/>
                      </w:rPr>
                      <w:instrText xml:space="preserve"> PAGE \* ARABIC </w:instrText>
                    </w:r>
                    <w:r>
                      <w:rPr>
                        <w:sz w:val="24"/>
                      </w:rPr>
                      <w:fldChar w:fldCharType="separate"/>
                    </w:r>
                    <w:r w:rsidR="00B52095">
                      <w:rPr>
                        <w:noProof/>
                        <w:sz w:val="24"/>
                      </w:rPr>
                      <w:t>3</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80B67" w14:textId="77777777" w:rsidR="00CE701D" w:rsidRDefault="00CB18B3">
      <w:r>
        <w:rPr>
          <w:color w:val="000000"/>
        </w:rPr>
        <w:separator/>
      </w:r>
    </w:p>
  </w:footnote>
  <w:footnote w:type="continuationSeparator" w:id="0">
    <w:p w14:paraId="36DD9C30" w14:textId="77777777" w:rsidR="00CE701D" w:rsidRDefault="00CB1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20A1"/>
    <w:multiLevelType w:val="multilevel"/>
    <w:tmpl w:val="E082700C"/>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1">
    <w:nsid w:val="26D56817"/>
    <w:multiLevelType w:val="multilevel"/>
    <w:tmpl w:val="2ABA7858"/>
    <w:lvl w:ilvl="0">
      <w:numFmt w:val="bullet"/>
      <w:lvlText w:val=""/>
      <w:lvlJc w:val="left"/>
      <w:pPr>
        <w:ind w:left="1620" w:hanging="360"/>
      </w:pPr>
      <w:rPr>
        <w:rFonts w:ascii="Symbol" w:hAnsi="Symbol"/>
      </w:rPr>
    </w:lvl>
    <w:lvl w:ilvl="1">
      <w:numFmt w:val="bullet"/>
      <w:lvlText w:val="o"/>
      <w:lvlJc w:val="left"/>
      <w:pPr>
        <w:ind w:left="2340" w:hanging="360"/>
      </w:pPr>
      <w:rPr>
        <w:rFonts w:ascii="Courier New" w:hAnsi="Courier New" w:cs="Courier New"/>
      </w:rPr>
    </w:lvl>
    <w:lvl w:ilvl="2">
      <w:numFmt w:val="bullet"/>
      <w:lvlText w:val=""/>
      <w:lvlJc w:val="left"/>
      <w:pPr>
        <w:ind w:left="3060" w:hanging="360"/>
      </w:pPr>
      <w:rPr>
        <w:rFonts w:ascii="Wingdings" w:hAnsi="Wingdings"/>
      </w:rPr>
    </w:lvl>
    <w:lvl w:ilvl="3">
      <w:numFmt w:val="bullet"/>
      <w:lvlText w:val=""/>
      <w:lvlJc w:val="left"/>
      <w:pPr>
        <w:ind w:left="3780" w:hanging="360"/>
      </w:pPr>
      <w:rPr>
        <w:rFonts w:ascii="Symbol" w:hAnsi="Symbol"/>
      </w:rPr>
    </w:lvl>
    <w:lvl w:ilvl="4">
      <w:numFmt w:val="bullet"/>
      <w:lvlText w:val="o"/>
      <w:lvlJc w:val="left"/>
      <w:pPr>
        <w:ind w:left="4500" w:hanging="360"/>
      </w:pPr>
      <w:rPr>
        <w:rFonts w:ascii="Courier New" w:hAnsi="Courier New" w:cs="Courier New"/>
      </w:rPr>
    </w:lvl>
    <w:lvl w:ilvl="5">
      <w:numFmt w:val="bullet"/>
      <w:lvlText w:val=""/>
      <w:lvlJc w:val="left"/>
      <w:pPr>
        <w:ind w:left="5220" w:hanging="360"/>
      </w:pPr>
      <w:rPr>
        <w:rFonts w:ascii="Wingdings" w:hAnsi="Wingdings"/>
      </w:rPr>
    </w:lvl>
    <w:lvl w:ilvl="6">
      <w:numFmt w:val="bullet"/>
      <w:lvlText w:val=""/>
      <w:lvlJc w:val="left"/>
      <w:pPr>
        <w:ind w:left="5940" w:hanging="360"/>
      </w:pPr>
      <w:rPr>
        <w:rFonts w:ascii="Symbol" w:hAnsi="Symbol"/>
      </w:rPr>
    </w:lvl>
    <w:lvl w:ilvl="7">
      <w:numFmt w:val="bullet"/>
      <w:lvlText w:val="o"/>
      <w:lvlJc w:val="left"/>
      <w:pPr>
        <w:ind w:left="6660" w:hanging="360"/>
      </w:pPr>
      <w:rPr>
        <w:rFonts w:ascii="Courier New" w:hAnsi="Courier New" w:cs="Courier New"/>
      </w:rPr>
    </w:lvl>
    <w:lvl w:ilvl="8">
      <w:numFmt w:val="bullet"/>
      <w:lvlText w:val=""/>
      <w:lvlJc w:val="left"/>
      <w:pPr>
        <w:ind w:left="7380" w:hanging="360"/>
      </w:pPr>
      <w:rPr>
        <w:rFonts w:ascii="Wingdings" w:hAnsi="Wingdings"/>
      </w:rPr>
    </w:lvl>
  </w:abstractNum>
  <w:abstractNum w:abstractNumId="2">
    <w:nsid w:val="2A373D57"/>
    <w:multiLevelType w:val="hybridMultilevel"/>
    <w:tmpl w:val="032AE3E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CC"/>
    <w:rsid w:val="00083C33"/>
    <w:rsid w:val="001419E0"/>
    <w:rsid w:val="002C72B4"/>
    <w:rsid w:val="005869DF"/>
    <w:rsid w:val="00694E44"/>
    <w:rsid w:val="006B73CC"/>
    <w:rsid w:val="00A00FB9"/>
    <w:rsid w:val="00A56133"/>
    <w:rsid w:val="00B52095"/>
    <w:rsid w:val="00CB18B3"/>
    <w:rsid w:val="00CE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6D39"/>
  <w15:docId w15:val="{846F1227-DED6-4BF7-9FEF-A58CCF45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sz w:val="24"/>
    </w:rPr>
  </w:style>
  <w:style w:type="character" w:styleId="EndnoteReference">
    <w:name w:val="endnote reference"/>
    <w:basedOn w:val="DefaultParagraphFont"/>
    <w:rPr>
      <w:position w:val="0"/>
      <w:vertAlign w:val="superscript"/>
    </w:rPr>
  </w:style>
  <w:style w:type="paragraph" w:styleId="FootnoteText">
    <w:name w:val="footnote text"/>
    <w:basedOn w:val="Normal"/>
    <w:rPr>
      <w:sz w:val="24"/>
    </w:rPr>
  </w:style>
  <w:style w:type="character" w:styleId="FootnoteReference">
    <w:name w:val="footnote reference"/>
    <w:basedOn w:val="DefaultParagraphFont"/>
    <w:rPr>
      <w:position w:val="0"/>
      <w:vertAlign w:val="superscript"/>
    </w:rPr>
  </w:style>
  <w:style w:type="paragraph" w:styleId="TOC1">
    <w:name w:val="toc 1"/>
    <w:basedOn w:val="Normal"/>
    <w:next w:val="Normal"/>
    <w:autoRedefine/>
    <w:pPr>
      <w:tabs>
        <w:tab w:val="right" w:leader="dot" w:pos="9360"/>
      </w:tabs>
      <w:spacing w:before="480"/>
      <w:ind w:left="720" w:right="720" w:hanging="720"/>
    </w:pPr>
  </w:style>
  <w:style w:type="paragraph" w:styleId="TOC2">
    <w:name w:val="toc 2"/>
    <w:basedOn w:val="Normal"/>
    <w:next w:val="Normal"/>
    <w:autoRedefine/>
    <w:pPr>
      <w:tabs>
        <w:tab w:val="right" w:leader="dot" w:pos="9360"/>
      </w:tabs>
      <w:ind w:left="1440" w:right="720" w:hanging="720"/>
    </w:pPr>
  </w:style>
  <w:style w:type="paragraph" w:styleId="TOC3">
    <w:name w:val="toc 3"/>
    <w:basedOn w:val="Normal"/>
    <w:next w:val="Normal"/>
    <w:autoRedefine/>
    <w:pPr>
      <w:tabs>
        <w:tab w:val="right" w:leader="dot" w:pos="9360"/>
      </w:tabs>
      <w:ind w:left="2160" w:right="720" w:hanging="720"/>
    </w:pPr>
  </w:style>
  <w:style w:type="paragraph" w:styleId="TOC4">
    <w:name w:val="toc 4"/>
    <w:basedOn w:val="Normal"/>
    <w:next w:val="Normal"/>
    <w:autoRedefine/>
    <w:pPr>
      <w:tabs>
        <w:tab w:val="right" w:leader="dot" w:pos="9360"/>
      </w:tabs>
      <w:ind w:left="2880" w:right="720" w:hanging="720"/>
    </w:pPr>
  </w:style>
  <w:style w:type="paragraph" w:styleId="TOC5">
    <w:name w:val="toc 5"/>
    <w:basedOn w:val="Normal"/>
    <w:next w:val="Normal"/>
    <w:autoRedefine/>
    <w:pPr>
      <w:tabs>
        <w:tab w:val="right" w:leader="dot" w:pos="9360"/>
      </w:tabs>
      <w:ind w:left="3600" w:right="720" w:hanging="720"/>
    </w:pPr>
  </w:style>
  <w:style w:type="paragraph" w:styleId="TOC6">
    <w:name w:val="toc 6"/>
    <w:basedOn w:val="Normal"/>
    <w:next w:val="Normal"/>
    <w:autoRedefine/>
    <w:pPr>
      <w:tabs>
        <w:tab w:val="right" w:pos="9360"/>
      </w:tabs>
      <w:ind w:left="720" w:hanging="720"/>
    </w:pPr>
  </w:style>
  <w:style w:type="paragraph" w:styleId="TOC7">
    <w:name w:val="toc 7"/>
    <w:basedOn w:val="Normal"/>
    <w:next w:val="Normal"/>
    <w:autoRedefine/>
    <w:pPr>
      <w:ind w:left="720" w:hanging="720"/>
    </w:pPr>
  </w:style>
  <w:style w:type="paragraph" w:styleId="TOC8">
    <w:name w:val="toc 8"/>
    <w:basedOn w:val="Normal"/>
    <w:next w:val="Normal"/>
    <w:autoRedefine/>
    <w:pPr>
      <w:tabs>
        <w:tab w:val="right" w:pos="9360"/>
      </w:tabs>
      <w:ind w:left="720" w:hanging="720"/>
    </w:pPr>
  </w:style>
  <w:style w:type="paragraph" w:styleId="TOC9">
    <w:name w:val="toc 9"/>
    <w:basedOn w:val="Normal"/>
    <w:next w:val="Normal"/>
    <w:autoRedefine/>
    <w:pPr>
      <w:tabs>
        <w:tab w:val="right" w:leader="dot" w:pos="9360"/>
      </w:tabs>
      <w:ind w:left="720" w:hanging="720"/>
    </w:pPr>
  </w:style>
  <w:style w:type="paragraph" w:styleId="Index1">
    <w:name w:val="index 1"/>
    <w:basedOn w:val="Normal"/>
    <w:next w:val="Normal"/>
    <w:autoRedefine/>
    <w:pPr>
      <w:tabs>
        <w:tab w:val="right" w:leader="dot" w:pos="9360"/>
      </w:tabs>
      <w:ind w:left="1440" w:right="720" w:hanging="1440"/>
    </w:pPr>
  </w:style>
  <w:style w:type="paragraph" w:styleId="Index2">
    <w:name w:val="index 2"/>
    <w:basedOn w:val="Normal"/>
    <w:next w:val="Normal"/>
    <w:autoRedefine/>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Caption">
    <w:name w:val="caption"/>
    <w:basedOn w:val="Normal"/>
    <w:next w:val="Normal"/>
    <w:rPr>
      <w:sz w:val="24"/>
    </w:rPr>
  </w:style>
  <w:style w:type="character" w:customStyle="1" w:styleId="EquationCaption">
    <w:name w:val="_Equation Caption"/>
  </w:style>
  <w:style w:type="character" w:styleId="Hyperlink">
    <w:name w:val="Hyperlink"/>
    <w:basedOn w:val="DefaultParagraphFont"/>
    <w:rPr>
      <w:color w:val="0000FF"/>
      <w:u w:val="single"/>
    </w:rPr>
  </w:style>
  <w:style w:type="paragraph" w:styleId="BodyText">
    <w:name w:val="Body Text"/>
    <w:basedOn w:val="Normal"/>
    <w:pPr>
      <w:tabs>
        <w:tab w:val="left" w:pos="-720"/>
      </w:tabs>
      <w:jc w:val="center"/>
    </w:pPr>
    <w:rPr>
      <w:rFonts w:ascii="Times New Roman" w:hAnsi="Times New Roman"/>
      <w:sz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Courier New" w:hAnsi="Courier New"/>
    </w:rPr>
  </w:style>
  <w:style w:type="paragraph" w:styleId="ListParagraph">
    <w:name w:val="List Paragraph"/>
    <w:basedOn w:val="Normal"/>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rFonts w:ascii="Courier New" w:hAnsi="Courier New"/>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240681">
      <w:bodyDiv w:val="1"/>
      <w:marLeft w:val="0"/>
      <w:marRight w:val="0"/>
      <w:marTop w:val="0"/>
      <w:marBottom w:val="0"/>
      <w:divBdr>
        <w:top w:val="none" w:sz="0" w:space="0" w:color="auto"/>
        <w:left w:val="none" w:sz="0" w:space="0" w:color="auto"/>
        <w:bottom w:val="none" w:sz="0" w:space="0" w:color="auto"/>
        <w:right w:val="none" w:sz="0" w:space="0" w:color="auto"/>
      </w:divBdr>
    </w:div>
    <w:div w:id="2059237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9820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11519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Aykan, Hakan</cp:lastModifiedBy>
  <cp:revision>2</cp:revision>
  <cp:lastPrinted>2014-04-10T18:21:00Z</cp:lastPrinted>
  <dcterms:created xsi:type="dcterms:W3CDTF">2014-05-09T20:50:00Z</dcterms:created>
  <dcterms:modified xsi:type="dcterms:W3CDTF">2014-05-09T20:50:00Z</dcterms:modified>
</cp:coreProperties>
</file>