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34" w:rsidRDefault="00B77E34" w:rsidP="00B616EE">
      <w:pPr>
        <w:jc w:val="center"/>
        <w:rPr>
          <w:rFonts w:ascii="Times New Roman" w:hAnsi="Times New Roman" w:cs="Times New Roman"/>
          <w:b/>
          <w:sz w:val="24"/>
          <w:szCs w:val="24"/>
        </w:rPr>
      </w:pPr>
      <w:bookmarkStart w:id="0" w:name="_GoBack"/>
      <w:bookmarkEnd w:id="0"/>
    </w:p>
    <w:p w:rsidR="00D46AB8" w:rsidRDefault="002E2DAE" w:rsidP="00B616EE">
      <w:pPr>
        <w:jc w:val="center"/>
        <w:rPr>
          <w:rFonts w:ascii="Times New Roman" w:hAnsi="Times New Roman" w:cs="Times New Roman"/>
          <w:b/>
          <w:sz w:val="24"/>
          <w:szCs w:val="24"/>
        </w:rPr>
      </w:pPr>
      <w:r w:rsidRPr="001B15F0">
        <w:rPr>
          <w:rFonts w:ascii="Times New Roman" w:hAnsi="Times New Roman" w:cs="Times New Roman"/>
          <w:b/>
          <w:sz w:val="24"/>
          <w:szCs w:val="24"/>
        </w:rPr>
        <w:t>Procedures for Estimating in the Uniform Crime Reporting (UCR) Program</w:t>
      </w:r>
    </w:p>
    <w:p w:rsidR="001B15F0" w:rsidRPr="001B15F0" w:rsidRDefault="001B15F0" w:rsidP="00B616EE">
      <w:pPr>
        <w:jc w:val="center"/>
        <w:rPr>
          <w:rFonts w:ascii="Times New Roman" w:hAnsi="Times New Roman" w:cs="Times New Roman"/>
          <w:sz w:val="24"/>
          <w:szCs w:val="24"/>
        </w:rPr>
      </w:pPr>
      <w:r>
        <w:rPr>
          <w:rFonts w:ascii="Times New Roman" w:hAnsi="Times New Roman" w:cs="Times New Roman"/>
          <w:sz w:val="24"/>
          <w:szCs w:val="24"/>
        </w:rPr>
        <w:t>James H. Noonan, PhD</w:t>
      </w:r>
    </w:p>
    <w:p w:rsidR="00C40B6F" w:rsidRPr="00166399" w:rsidRDefault="003949D2" w:rsidP="0007111C">
      <w:pPr>
        <w:ind w:firstLine="720"/>
        <w:rPr>
          <w:rFonts w:ascii="Times New Roman" w:hAnsi="Times New Roman" w:cs="Times New Roman"/>
          <w:sz w:val="24"/>
          <w:szCs w:val="24"/>
        </w:rPr>
      </w:pPr>
      <w:r w:rsidRPr="00166399">
        <w:rPr>
          <w:rFonts w:ascii="Times New Roman" w:hAnsi="Times New Roman" w:cs="Times New Roman"/>
          <w:sz w:val="24"/>
          <w:szCs w:val="24"/>
        </w:rPr>
        <w:t>T</w:t>
      </w:r>
      <w:r w:rsidR="00507CA6" w:rsidRPr="00166399">
        <w:rPr>
          <w:rFonts w:ascii="Times New Roman" w:hAnsi="Times New Roman" w:cs="Times New Roman"/>
          <w:sz w:val="24"/>
          <w:szCs w:val="24"/>
        </w:rPr>
        <w:t>he UCR Progra</w:t>
      </w:r>
      <w:r w:rsidR="00AE3F09">
        <w:rPr>
          <w:rFonts w:ascii="Times New Roman" w:hAnsi="Times New Roman" w:cs="Times New Roman"/>
          <w:sz w:val="24"/>
          <w:szCs w:val="24"/>
        </w:rPr>
        <w:t>m will b</w:t>
      </w:r>
      <w:r w:rsidRPr="00166399">
        <w:rPr>
          <w:rFonts w:ascii="Times New Roman" w:hAnsi="Times New Roman" w:cs="Times New Roman"/>
          <w:sz w:val="24"/>
          <w:szCs w:val="24"/>
        </w:rPr>
        <w:t xml:space="preserve">egin offense estimation in the 2013 </w:t>
      </w:r>
      <w:r w:rsidRPr="00166399">
        <w:rPr>
          <w:rFonts w:ascii="Times New Roman" w:hAnsi="Times New Roman" w:cs="Times New Roman"/>
          <w:i/>
          <w:sz w:val="24"/>
          <w:szCs w:val="24"/>
        </w:rPr>
        <w:t xml:space="preserve">Crime in the United States </w:t>
      </w:r>
      <w:r w:rsidRPr="00166399">
        <w:rPr>
          <w:rFonts w:ascii="Times New Roman" w:hAnsi="Times New Roman" w:cs="Times New Roman"/>
          <w:sz w:val="24"/>
          <w:szCs w:val="24"/>
        </w:rPr>
        <w:t>(</w:t>
      </w:r>
      <w:r w:rsidRPr="00166399">
        <w:rPr>
          <w:rFonts w:ascii="Times New Roman" w:hAnsi="Times New Roman" w:cs="Times New Roman"/>
          <w:i/>
          <w:sz w:val="24"/>
          <w:szCs w:val="24"/>
        </w:rPr>
        <w:t>CIUS</w:t>
      </w:r>
      <w:r w:rsidRPr="00166399">
        <w:rPr>
          <w:rFonts w:ascii="Times New Roman" w:hAnsi="Times New Roman" w:cs="Times New Roman"/>
          <w:sz w:val="24"/>
          <w:szCs w:val="24"/>
        </w:rPr>
        <w:t xml:space="preserve">) publication.  </w:t>
      </w:r>
      <w:r w:rsidR="00137E98" w:rsidRPr="00166399">
        <w:rPr>
          <w:rFonts w:ascii="Times New Roman" w:hAnsi="Times New Roman" w:cs="Times New Roman"/>
          <w:sz w:val="24"/>
          <w:szCs w:val="24"/>
        </w:rPr>
        <w:t xml:space="preserve">The following </w:t>
      </w:r>
      <w:r w:rsidR="00AA2870">
        <w:rPr>
          <w:rFonts w:ascii="Times New Roman" w:hAnsi="Times New Roman" w:cs="Times New Roman"/>
          <w:sz w:val="24"/>
          <w:szCs w:val="24"/>
        </w:rPr>
        <w:t xml:space="preserve">information </w:t>
      </w:r>
      <w:r w:rsidR="00137E98" w:rsidRPr="00166399">
        <w:rPr>
          <w:rFonts w:ascii="Times New Roman" w:hAnsi="Times New Roman" w:cs="Times New Roman"/>
          <w:sz w:val="24"/>
          <w:szCs w:val="24"/>
        </w:rPr>
        <w:t xml:space="preserve">details the intended method for achieving </w:t>
      </w:r>
      <w:r w:rsidR="00B616EE">
        <w:rPr>
          <w:rFonts w:ascii="Times New Roman" w:hAnsi="Times New Roman" w:cs="Times New Roman"/>
          <w:sz w:val="24"/>
          <w:szCs w:val="24"/>
        </w:rPr>
        <w:t xml:space="preserve">a valid and reliable </w:t>
      </w:r>
      <w:r w:rsidR="00AE3F09">
        <w:rPr>
          <w:rFonts w:ascii="Times New Roman" w:hAnsi="Times New Roman" w:cs="Times New Roman"/>
          <w:sz w:val="24"/>
          <w:szCs w:val="24"/>
        </w:rPr>
        <w:t xml:space="preserve">estimate and uses an example of </w:t>
      </w:r>
      <w:r w:rsidR="00137E98" w:rsidRPr="00166399">
        <w:rPr>
          <w:rFonts w:ascii="Times New Roman" w:hAnsi="Times New Roman" w:cs="Times New Roman"/>
          <w:sz w:val="24"/>
          <w:szCs w:val="24"/>
        </w:rPr>
        <w:t>Arson offense estimation</w:t>
      </w:r>
      <w:r w:rsidR="00AE3F09">
        <w:rPr>
          <w:rFonts w:ascii="Times New Roman" w:hAnsi="Times New Roman" w:cs="Times New Roman"/>
          <w:sz w:val="24"/>
          <w:szCs w:val="24"/>
        </w:rPr>
        <w:t xml:space="preserve"> to demonstrate the employed statistical model</w:t>
      </w:r>
      <w:r w:rsidR="00137E98" w:rsidRPr="00166399">
        <w:rPr>
          <w:rFonts w:ascii="Times New Roman" w:hAnsi="Times New Roman" w:cs="Times New Roman"/>
          <w:sz w:val="24"/>
          <w:szCs w:val="24"/>
        </w:rPr>
        <w:t>.</w:t>
      </w:r>
    </w:p>
    <w:p w:rsidR="00137E98" w:rsidRPr="00166399" w:rsidRDefault="00137E98" w:rsidP="0007111C">
      <w:pPr>
        <w:ind w:firstLine="720"/>
        <w:rPr>
          <w:rFonts w:ascii="Times New Roman" w:hAnsi="Times New Roman" w:cs="Times New Roman"/>
          <w:sz w:val="24"/>
          <w:szCs w:val="24"/>
        </w:rPr>
      </w:pPr>
      <w:r w:rsidRPr="00166399">
        <w:rPr>
          <w:rFonts w:ascii="Times New Roman" w:hAnsi="Times New Roman" w:cs="Times New Roman"/>
          <w:sz w:val="24"/>
          <w:szCs w:val="24"/>
        </w:rPr>
        <w:t xml:space="preserve">Currently, the UCR Program </w:t>
      </w:r>
      <w:r w:rsidR="0033755B" w:rsidRPr="00166399">
        <w:rPr>
          <w:rFonts w:ascii="Times New Roman" w:hAnsi="Times New Roman" w:cs="Times New Roman"/>
          <w:sz w:val="24"/>
          <w:szCs w:val="24"/>
        </w:rPr>
        <w:t xml:space="preserve">publishes Arson offense </w:t>
      </w:r>
      <w:r w:rsidR="001B26A9">
        <w:rPr>
          <w:rFonts w:ascii="Times New Roman" w:hAnsi="Times New Roman" w:cs="Times New Roman"/>
          <w:sz w:val="24"/>
          <w:szCs w:val="24"/>
        </w:rPr>
        <w:t xml:space="preserve">data by agency population group, shown in </w:t>
      </w:r>
      <w:r w:rsidR="0033755B" w:rsidRPr="00166399">
        <w:rPr>
          <w:rFonts w:ascii="Times New Roman" w:hAnsi="Times New Roman" w:cs="Times New Roman"/>
          <w:sz w:val="24"/>
          <w:szCs w:val="24"/>
        </w:rPr>
        <w:t>Arson Table 1</w:t>
      </w:r>
      <w:r w:rsidR="0062091E">
        <w:rPr>
          <w:rFonts w:ascii="Times New Roman" w:hAnsi="Times New Roman" w:cs="Times New Roman"/>
          <w:sz w:val="24"/>
          <w:szCs w:val="24"/>
        </w:rPr>
        <w:t>, and by individual law enforcement agency</w:t>
      </w:r>
      <w:r w:rsidR="00AA2870">
        <w:rPr>
          <w:rFonts w:ascii="Times New Roman" w:hAnsi="Times New Roman" w:cs="Times New Roman"/>
          <w:sz w:val="24"/>
          <w:szCs w:val="24"/>
        </w:rPr>
        <w:t xml:space="preserve"> (</w:t>
      </w:r>
      <w:r w:rsidR="00AA2870">
        <w:rPr>
          <w:rFonts w:ascii="Times New Roman" w:hAnsi="Times New Roman" w:cs="Times New Roman"/>
          <w:i/>
          <w:sz w:val="24"/>
          <w:szCs w:val="24"/>
        </w:rPr>
        <w:t xml:space="preserve">CIUS </w:t>
      </w:r>
      <w:r w:rsidR="00AA2870">
        <w:rPr>
          <w:rFonts w:ascii="Times New Roman" w:hAnsi="Times New Roman" w:cs="Times New Roman"/>
          <w:sz w:val="24"/>
          <w:szCs w:val="24"/>
        </w:rPr>
        <w:t>Tables 8-12, not shown)</w:t>
      </w:r>
      <w:r w:rsidR="0033755B" w:rsidRPr="00166399">
        <w:rPr>
          <w:rFonts w:ascii="Times New Roman" w:hAnsi="Times New Roman" w:cs="Times New Roman"/>
          <w:sz w:val="24"/>
          <w:szCs w:val="24"/>
        </w:rPr>
        <w:t xml:space="preserve">.   Offense totals are represented as a rate per </w:t>
      </w:r>
      <w:r w:rsidR="00BE1055" w:rsidRPr="00166399">
        <w:rPr>
          <w:rFonts w:ascii="Times New Roman" w:hAnsi="Times New Roman" w:cs="Times New Roman"/>
          <w:sz w:val="24"/>
          <w:szCs w:val="24"/>
        </w:rPr>
        <w:t>100,000</w:t>
      </w:r>
      <w:r w:rsidR="002E2DAE">
        <w:rPr>
          <w:rFonts w:ascii="Times New Roman" w:hAnsi="Times New Roman" w:cs="Times New Roman"/>
          <w:sz w:val="24"/>
          <w:szCs w:val="24"/>
        </w:rPr>
        <w:t xml:space="preserve"> persons</w:t>
      </w:r>
      <w:r w:rsidR="00BE1055" w:rsidRPr="00166399">
        <w:rPr>
          <w:rFonts w:ascii="Times New Roman" w:hAnsi="Times New Roman" w:cs="Times New Roman"/>
          <w:sz w:val="24"/>
          <w:szCs w:val="24"/>
        </w:rPr>
        <w:t>.</w:t>
      </w:r>
      <w:r w:rsidR="00AA2870">
        <w:rPr>
          <w:rFonts w:ascii="Times New Roman" w:hAnsi="Times New Roman" w:cs="Times New Roman"/>
          <w:sz w:val="24"/>
          <w:szCs w:val="24"/>
        </w:rPr>
        <w:t xml:space="preserve"> </w:t>
      </w:r>
      <w:r w:rsidR="00BE1055" w:rsidRPr="00166399">
        <w:rPr>
          <w:rFonts w:ascii="Times New Roman" w:hAnsi="Times New Roman" w:cs="Times New Roman"/>
          <w:sz w:val="24"/>
          <w:szCs w:val="24"/>
        </w:rPr>
        <w:t xml:space="preserve"> Based on aggregated population group rates </w:t>
      </w:r>
      <w:r w:rsidR="002E2DAE">
        <w:rPr>
          <w:rFonts w:ascii="Times New Roman" w:hAnsi="Times New Roman" w:cs="Times New Roman"/>
          <w:sz w:val="24"/>
          <w:szCs w:val="24"/>
        </w:rPr>
        <w:t xml:space="preserve">in Arson Table 1 </w:t>
      </w:r>
      <w:r w:rsidR="00BE1055" w:rsidRPr="00166399">
        <w:rPr>
          <w:rFonts w:ascii="Times New Roman" w:hAnsi="Times New Roman" w:cs="Times New Roman"/>
          <w:sz w:val="24"/>
          <w:szCs w:val="24"/>
        </w:rPr>
        <w:t>and individual agency data, the UCR Program is capable of reporting agency imputations and national estimations</w:t>
      </w:r>
      <w:r w:rsidR="00AA2870">
        <w:rPr>
          <w:rFonts w:ascii="Times New Roman" w:hAnsi="Times New Roman" w:cs="Times New Roman"/>
          <w:sz w:val="24"/>
          <w:szCs w:val="24"/>
        </w:rPr>
        <w:t xml:space="preserve"> for arson offenses in its publications</w:t>
      </w:r>
      <w:r w:rsidR="00BE1055" w:rsidRPr="00166399">
        <w:rPr>
          <w:rFonts w:ascii="Times New Roman" w:hAnsi="Times New Roman" w:cs="Times New Roman"/>
          <w:sz w:val="24"/>
          <w:szCs w:val="24"/>
        </w:rPr>
        <w:t>.</w:t>
      </w:r>
    </w:p>
    <w:tbl>
      <w:tblPr>
        <w:tblW w:w="5940" w:type="dxa"/>
        <w:jc w:val="center"/>
        <w:tblInd w:w="93" w:type="dxa"/>
        <w:tblLook w:val="04A0" w:firstRow="1" w:lastRow="0" w:firstColumn="1" w:lastColumn="0" w:noHBand="0" w:noVBand="1"/>
      </w:tblPr>
      <w:tblGrid>
        <w:gridCol w:w="4160"/>
        <w:gridCol w:w="1780"/>
      </w:tblGrid>
      <w:tr w:rsidR="0033755B" w:rsidRPr="0033755B" w:rsidTr="000E26AB">
        <w:trPr>
          <w:trHeight w:val="375"/>
          <w:jc w:val="center"/>
        </w:trPr>
        <w:tc>
          <w:tcPr>
            <w:tcW w:w="4160" w:type="dxa"/>
            <w:tcBorders>
              <w:top w:val="nil"/>
              <w:left w:val="nil"/>
              <w:bottom w:val="single" w:sz="4" w:space="0" w:color="auto"/>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sz w:val="28"/>
                <w:szCs w:val="28"/>
              </w:rPr>
            </w:pPr>
            <w:r w:rsidRPr="0033755B">
              <w:rPr>
                <w:rFonts w:ascii="Times New Roman" w:eastAsia="Times New Roman" w:hAnsi="Times New Roman" w:cs="Times New Roman"/>
                <w:sz w:val="28"/>
                <w:szCs w:val="28"/>
              </w:rPr>
              <w:t>Arson Table 1</w:t>
            </w:r>
            <w:r w:rsidR="00166399">
              <w:rPr>
                <w:rStyle w:val="FootnoteReference"/>
                <w:rFonts w:ascii="Times New Roman" w:eastAsia="Times New Roman" w:hAnsi="Times New Roman" w:cs="Times New Roman"/>
                <w:sz w:val="28"/>
                <w:szCs w:val="28"/>
              </w:rPr>
              <w:footnoteReference w:id="1"/>
            </w:r>
          </w:p>
        </w:tc>
        <w:tc>
          <w:tcPr>
            <w:tcW w:w="1780" w:type="dxa"/>
            <w:tcBorders>
              <w:top w:val="nil"/>
              <w:left w:val="nil"/>
              <w:bottom w:val="single" w:sz="4" w:space="0" w:color="auto"/>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sz w:val="24"/>
                <w:szCs w:val="24"/>
              </w:rPr>
            </w:pPr>
            <w:r w:rsidRPr="0033755B">
              <w:rPr>
                <w:rFonts w:ascii="Times New Roman" w:eastAsia="Times New Roman" w:hAnsi="Times New Roman" w:cs="Times New Roman"/>
                <w:sz w:val="24"/>
                <w:szCs w:val="24"/>
              </w:rPr>
              <w:t> </w:t>
            </w:r>
          </w:p>
        </w:tc>
      </w:tr>
      <w:tr w:rsidR="0033755B" w:rsidRPr="0033755B" w:rsidTr="000E26AB">
        <w:trPr>
          <w:trHeight w:val="375"/>
          <w:jc w:val="center"/>
        </w:trPr>
        <w:tc>
          <w:tcPr>
            <w:tcW w:w="4160" w:type="dxa"/>
            <w:tcBorders>
              <w:top w:val="nil"/>
              <w:left w:val="nil"/>
              <w:bottom w:val="nil"/>
              <w:right w:val="nil"/>
            </w:tcBorders>
            <w:shd w:val="clear" w:color="000000" w:fill="FFFFFF"/>
            <w:noWrap/>
            <w:vAlign w:val="bottom"/>
            <w:hideMark/>
          </w:tcPr>
          <w:p w:rsidR="0033755B" w:rsidRPr="0033755B" w:rsidRDefault="0033755B" w:rsidP="0033755B">
            <w:pPr>
              <w:spacing w:after="0" w:line="240" w:lineRule="auto"/>
              <w:rPr>
                <w:rFonts w:ascii="Times New Roman" w:eastAsia="Times New Roman" w:hAnsi="Times New Roman" w:cs="Times New Roman"/>
                <w:b/>
                <w:bCs/>
                <w:sz w:val="28"/>
                <w:szCs w:val="28"/>
              </w:rPr>
            </w:pPr>
            <w:r w:rsidRPr="0033755B">
              <w:rPr>
                <w:rFonts w:ascii="Times New Roman" w:eastAsia="Times New Roman" w:hAnsi="Times New Roman" w:cs="Times New Roman"/>
                <w:b/>
                <w:bCs/>
                <w:sz w:val="28"/>
                <w:szCs w:val="28"/>
              </w:rPr>
              <w:t>Arson Rate</w:t>
            </w:r>
          </w:p>
        </w:tc>
        <w:tc>
          <w:tcPr>
            <w:tcW w:w="1780" w:type="dxa"/>
            <w:tcBorders>
              <w:top w:val="nil"/>
              <w:left w:val="nil"/>
              <w:bottom w:val="nil"/>
              <w:right w:val="nil"/>
            </w:tcBorders>
            <w:shd w:val="clear" w:color="000000" w:fill="FFFFFF"/>
            <w:noWrap/>
            <w:vAlign w:val="bottom"/>
            <w:hideMark/>
          </w:tcPr>
          <w:p w:rsidR="0033755B" w:rsidRPr="0033755B" w:rsidRDefault="0033755B" w:rsidP="0033755B">
            <w:pPr>
              <w:spacing w:after="0" w:line="240" w:lineRule="auto"/>
              <w:rPr>
                <w:rFonts w:ascii="Times New Roman" w:eastAsia="Times New Roman" w:hAnsi="Times New Roman" w:cs="Times New Roman"/>
                <w:sz w:val="24"/>
                <w:szCs w:val="24"/>
              </w:rPr>
            </w:pPr>
            <w:r w:rsidRPr="0033755B">
              <w:rPr>
                <w:rFonts w:ascii="Times New Roman" w:eastAsia="Times New Roman" w:hAnsi="Times New Roman" w:cs="Times New Roman"/>
                <w:sz w:val="24"/>
                <w:szCs w:val="24"/>
              </w:rPr>
              <w:t> </w:t>
            </w:r>
          </w:p>
        </w:tc>
      </w:tr>
      <w:tr w:rsidR="0033755B" w:rsidRPr="0033755B" w:rsidTr="000E26AB">
        <w:trPr>
          <w:trHeight w:val="315"/>
          <w:jc w:val="center"/>
        </w:trPr>
        <w:tc>
          <w:tcPr>
            <w:tcW w:w="4160" w:type="dxa"/>
            <w:tcBorders>
              <w:top w:val="nil"/>
              <w:left w:val="nil"/>
              <w:bottom w:val="nil"/>
              <w:right w:val="nil"/>
            </w:tcBorders>
            <w:shd w:val="clear" w:color="000000" w:fill="FFFFFF"/>
            <w:noWrap/>
            <w:vAlign w:val="bottom"/>
            <w:hideMark/>
          </w:tcPr>
          <w:p w:rsidR="0033755B" w:rsidRPr="0033755B" w:rsidRDefault="0033755B" w:rsidP="0033755B">
            <w:pPr>
              <w:spacing w:after="0" w:line="240" w:lineRule="auto"/>
              <w:rPr>
                <w:rFonts w:ascii="Times New Roman" w:eastAsia="Times New Roman" w:hAnsi="Times New Roman" w:cs="Times New Roman"/>
                <w:sz w:val="24"/>
                <w:szCs w:val="24"/>
              </w:rPr>
            </w:pPr>
            <w:r w:rsidRPr="0033755B">
              <w:rPr>
                <w:rFonts w:ascii="Times New Roman" w:eastAsia="Times New Roman" w:hAnsi="Times New Roman" w:cs="Times New Roman"/>
                <w:sz w:val="24"/>
                <w:szCs w:val="24"/>
              </w:rPr>
              <w:t>by Population Group, 2011</w:t>
            </w:r>
          </w:p>
        </w:tc>
        <w:tc>
          <w:tcPr>
            <w:tcW w:w="1780" w:type="dxa"/>
            <w:tcBorders>
              <w:top w:val="nil"/>
              <w:left w:val="nil"/>
              <w:bottom w:val="nil"/>
              <w:right w:val="nil"/>
            </w:tcBorders>
            <w:shd w:val="clear" w:color="000000" w:fill="FFFFFF"/>
            <w:noWrap/>
            <w:vAlign w:val="bottom"/>
            <w:hideMark/>
          </w:tcPr>
          <w:p w:rsidR="0033755B" w:rsidRPr="0033755B" w:rsidRDefault="0033755B" w:rsidP="0033755B">
            <w:pPr>
              <w:spacing w:after="0" w:line="240" w:lineRule="auto"/>
              <w:rPr>
                <w:rFonts w:ascii="Times New Roman" w:eastAsia="Times New Roman" w:hAnsi="Times New Roman" w:cs="Times New Roman"/>
                <w:sz w:val="24"/>
                <w:szCs w:val="24"/>
              </w:rPr>
            </w:pPr>
            <w:r w:rsidRPr="0033755B">
              <w:rPr>
                <w:rFonts w:ascii="Times New Roman" w:eastAsia="Times New Roman" w:hAnsi="Times New Roman" w:cs="Times New Roman"/>
                <w:sz w:val="24"/>
                <w:szCs w:val="24"/>
              </w:rPr>
              <w:t> </w:t>
            </w:r>
          </w:p>
        </w:tc>
      </w:tr>
      <w:tr w:rsidR="0033755B" w:rsidRPr="0033755B" w:rsidTr="000E26AB">
        <w:trPr>
          <w:trHeight w:val="600"/>
          <w:jc w:val="center"/>
        </w:trPr>
        <w:tc>
          <w:tcPr>
            <w:tcW w:w="5940" w:type="dxa"/>
            <w:gridSpan w:val="2"/>
            <w:tcBorders>
              <w:top w:val="nil"/>
              <w:left w:val="nil"/>
              <w:bottom w:val="single" w:sz="4" w:space="0" w:color="auto"/>
              <w:right w:val="nil"/>
            </w:tcBorders>
            <w:shd w:val="clear" w:color="000000" w:fill="FFFFFF"/>
            <w:vAlign w:val="bottom"/>
            <w:hideMark/>
          </w:tcPr>
          <w:p w:rsidR="0033755B" w:rsidRPr="0033755B" w:rsidRDefault="0033755B" w:rsidP="0033755B">
            <w:pPr>
              <w:spacing w:after="0" w:line="240" w:lineRule="auto"/>
              <w:rPr>
                <w:rFonts w:ascii="Times New Roman" w:eastAsia="Times New Roman" w:hAnsi="Times New Roman" w:cs="Times New Roman"/>
                <w:sz w:val="24"/>
                <w:szCs w:val="24"/>
              </w:rPr>
            </w:pPr>
            <w:r w:rsidRPr="0033755B">
              <w:rPr>
                <w:rFonts w:ascii="Times New Roman" w:eastAsia="Times New Roman" w:hAnsi="Times New Roman" w:cs="Times New Roman"/>
                <w:sz w:val="24"/>
                <w:szCs w:val="24"/>
              </w:rPr>
              <w:t xml:space="preserve">[13,045 agencies; 2011 estimated population                                                                                          </w:t>
            </w:r>
            <w:r w:rsidRPr="0033755B">
              <w:rPr>
                <w:rFonts w:ascii="Times New Roman" w:eastAsia="Times New Roman" w:hAnsi="Times New Roman" w:cs="Times New Roman"/>
                <w:sz w:val="24"/>
                <w:szCs w:val="24"/>
              </w:rPr>
              <w:br/>
              <w:t>263,872,098; rate per 100,000 inhabitants]</w:t>
            </w:r>
          </w:p>
        </w:tc>
      </w:tr>
      <w:tr w:rsidR="0033755B" w:rsidRPr="0033755B" w:rsidTr="000E26AB">
        <w:trPr>
          <w:trHeight w:val="375"/>
          <w:jc w:val="center"/>
        </w:trPr>
        <w:tc>
          <w:tcPr>
            <w:tcW w:w="4160" w:type="dxa"/>
            <w:tcBorders>
              <w:top w:val="nil"/>
              <w:left w:val="nil"/>
              <w:bottom w:val="single" w:sz="4" w:space="0" w:color="auto"/>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sz w:val="24"/>
                <w:szCs w:val="24"/>
              </w:rPr>
            </w:pPr>
            <w:r w:rsidRPr="0033755B">
              <w:rPr>
                <w:rFonts w:ascii="Times New Roman" w:eastAsia="Times New Roman" w:hAnsi="Times New Roman" w:cs="Times New Roman"/>
                <w:sz w:val="24"/>
                <w:szCs w:val="24"/>
              </w:rPr>
              <w:t>Population group</w:t>
            </w:r>
          </w:p>
        </w:tc>
        <w:tc>
          <w:tcPr>
            <w:tcW w:w="1780" w:type="dxa"/>
            <w:tcBorders>
              <w:top w:val="nil"/>
              <w:left w:val="nil"/>
              <w:bottom w:val="single" w:sz="4" w:space="0" w:color="auto"/>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sz w:val="24"/>
                <w:szCs w:val="24"/>
              </w:rPr>
            </w:pPr>
            <w:r w:rsidRPr="0033755B">
              <w:rPr>
                <w:rFonts w:ascii="Times New Roman" w:eastAsia="Times New Roman" w:hAnsi="Times New Roman" w:cs="Times New Roman"/>
                <w:sz w:val="24"/>
                <w:szCs w:val="24"/>
              </w:rPr>
              <w:t>Rate</w:t>
            </w:r>
          </w:p>
        </w:tc>
      </w:tr>
      <w:tr w:rsidR="0033755B" w:rsidRPr="0033755B" w:rsidTr="000E26AB">
        <w:trPr>
          <w:trHeight w:val="37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b/>
                <w:bCs/>
              </w:rPr>
            </w:pPr>
            <w:r w:rsidRPr="0033755B">
              <w:rPr>
                <w:rFonts w:ascii="Times New Roman" w:eastAsia="Times New Roman" w:hAnsi="Times New Roman" w:cs="Times New Roman"/>
                <w:b/>
                <w:bCs/>
              </w:rPr>
              <w:t>TOTAL ALL AGENCIES</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b/>
                <w:bCs/>
              </w:rPr>
            </w:pPr>
            <w:r w:rsidRPr="0033755B">
              <w:rPr>
                <w:rFonts w:ascii="Times New Roman" w:eastAsia="Times New Roman" w:hAnsi="Times New Roman" w:cs="Times New Roman"/>
                <w:b/>
                <w:bCs/>
              </w:rPr>
              <w:t>18.2</w:t>
            </w:r>
          </w:p>
        </w:tc>
      </w:tr>
      <w:tr w:rsidR="0033755B" w:rsidRPr="0033755B" w:rsidTr="000E26AB">
        <w:trPr>
          <w:trHeight w:val="37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bCs/>
              </w:rPr>
            </w:pPr>
            <w:r w:rsidRPr="0033755B">
              <w:rPr>
                <w:rFonts w:ascii="Times New Roman" w:eastAsia="Times New Roman" w:hAnsi="Times New Roman" w:cs="Times New Roman"/>
                <w:bCs/>
              </w:rPr>
              <w:t>TOTAL CITIES</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bCs/>
              </w:rPr>
            </w:pPr>
            <w:r w:rsidRPr="0033755B">
              <w:rPr>
                <w:rFonts w:ascii="Times New Roman" w:eastAsia="Times New Roman" w:hAnsi="Times New Roman" w:cs="Times New Roman"/>
                <w:bCs/>
              </w:rPr>
              <w:t>20.7</w:t>
            </w:r>
          </w:p>
        </w:tc>
      </w:tr>
      <w:tr w:rsidR="0033755B" w:rsidRPr="0033755B" w:rsidTr="000E26AB">
        <w:trPr>
          <w:trHeight w:val="37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rPr>
            </w:pPr>
            <w:r w:rsidRPr="0033755B">
              <w:rPr>
                <w:rFonts w:ascii="Times New Roman" w:eastAsia="Times New Roman" w:hAnsi="Times New Roman" w:cs="Times New Roman"/>
              </w:rPr>
              <w:t>Group I (250,000 and over)</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32.8</w:t>
            </w:r>
          </w:p>
        </w:tc>
      </w:tr>
      <w:tr w:rsidR="0033755B" w:rsidRPr="0033755B" w:rsidTr="000E26AB">
        <w:trPr>
          <w:trHeight w:val="255"/>
          <w:jc w:val="center"/>
        </w:trPr>
        <w:tc>
          <w:tcPr>
            <w:tcW w:w="4160" w:type="dxa"/>
            <w:tcBorders>
              <w:top w:val="nil"/>
              <w:left w:val="nil"/>
              <w:bottom w:val="nil"/>
              <w:right w:val="nil"/>
            </w:tcBorders>
            <w:shd w:val="clear" w:color="auto" w:fill="auto"/>
            <w:noWrap/>
            <w:vAlign w:val="bottom"/>
            <w:hideMark/>
          </w:tcPr>
          <w:p w:rsidR="0033755B" w:rsidRPr="0033755B" w:rsidRDefault="0033755B" w:rsidP="00166399">
            <w:pPr>
              <w:spacing w:after="0" w:line="240" w:lineRule="auto"/>
              <w:ind w:firstLineChars="100" w:firstLine="220"/>
              <w:rPr>
                <w:rFonts w:ascii="Times New Roman" w:eastAsia="Times New Roman" w:hAnsi="Times New Roman" w:cs="Times New Roman"/>
              </w:rPr>
            </w:pPr>
            <w:r w:rsidRPr="0033755B">
              <w:rPr>
                <w:rFonts w:ascii="Times New Roman" w:eastAsia="Times New Roman" w:hAnsi="Times New Roman" w:cs="Times New Roman"/>
              </w:rPr>
              <w:t xml:space="preserve">1,000,000 and over (Group I subset) </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28.2</w:t>
            </w:r>
          </w:p>
        </w:tc>
      </w:tr>
      <w:tr w:rsidR="0033755B" w:rsidRPr="0033755B" w:rsidTr="000E26AB">
        <w:trPr>
          <w:trHeight w:val="255"/>
          <w:jc w:val="center"/>
        </w:trPr>
        <w:tc>
          <w:tcPr>
            <w:tcW w:w="4160" w:type="dxa"/>
            <w:tcBorders>
              <w:top w:val="nil"/>
              <w:left w:val="nil"/>
              <w:bottom w:val="nil"/>
              <w:right w:val="nil"/>
            </w:tcBorders>
            <w:shd w:val="clear" w:color="auto" w:fill="auto"/>
            <w:noWrap/>
            <w:vAlign w:val="bottom"/>
            <w:hideMark/>
          </w:tcPr>
          <w:p w:rsidR="0033755B" w:rsidRPr="0033755B" w:rsidRDefault="0033755B" w:rsidP="00166399">
            <w:pPr>
              <w:spacing w:after="0" w:line="240" w:lineRule="auto"/>
              <w:ind w:firstLineChars="100" w:firstLine="220"/>
              <w:rPr>
                <w:rFonts w:ascii="Times New Roman" w:eastAsia="Times New Roman" w:hAnsi="Times New Roman" w:cs="Times New Roman"/>
              </w:rPr>
            </w:pPr>
            <w:r w:rsidRPr="0033755B">
              <w:rPr>
                <w:rFonts w:ascii="Times New Roman" w:eastAsia="Times New Roman" w:hAnsi="Times New Roman" w:cs="Times New Roman"/>
              </w:rPr>
              <w:t>500,000 to 999,999 (Group I subset)</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31.8</w:t>
            </w:r>
          </w:p>
        </w:tc>
      </w:tr>
      <w:tr w:rsidR="0033755B" w:rsidRPr="0033755B" w:rsidTr="000E26AB">
        <w:trPr>
          <w:trHeight w:val="255"/>
          <w:jc w:val="center"/>
        </w:trPr>
        <w:tc>
          <w:tcPr>
            <w:tcW w:w="4160" w:type="dxa"/>
            <w:tcBorders>
              <w:top w:val="nil"/>
              <w:left w:val="nil"/>
              <w:bottom w:val="nil"/>
              <w:right w:val="nil"/>
            </w:tcBorders>
            <w:shd w:val="clear" w:color="auto" w:fill="auto"/>
            <w:noWrap/>
            <w:vAlign w:val="bottom"/>
            <w:hideMark/>
          </w:tcPr>
          <w:p w:rsidR="0033755B" w:rsidRPr="0033755B" w:rsidRDefault="0033755B" w:rsidP="00166399">
            <w:pPr>
              <w:spacing w:after="0" w:line="240" w:lineRule="auto"/>
              <w:ind w:firstLineChars="100" w:firstLine="220"/>
              <w:rPr>
                <w:rFonts w:ascii="Times New Roman" w:eastAsia="Times New Roman" w:hAnsi="Times New Roman" w:cs="Times New Roman"/>
              </w:rPr>
            </w:pPr>
            <w:r w:rsidRPr="0033755B">
              <w:rPr>
                <w:rFonts w:ascii="Times New Roman" w:eastAsia="Times New Roman" w:hAnsi="Times New Roman" w:cs="Times New Roman"/>
              </w:rPr>
              <w:t>250,000 to 499,999 (Group I subset)</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38.6</w:t>
            </w:r>
          </w:p>
        </w:tc>
      </w:tr>
      <w:tr w:rsidR="0033755B" w:rsidRPr="0033755B" w:rsidTr="000E26AB">
        <w:trPr>
          <w:trHeight w:val="25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rPr>
            </w:pPr>
            <w:r w:rsidRPr="0033755B">
              <w:rPr>
                <w:rFonts w:ascii="Times New Roman" w:eastAsia="Times New Roman" w:hAnsi="Times New Roman" w:cs="Times New Roman"/>
              </w:rPr>
              <w:t>Group II (100,000 to 249,999)</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20.7</w:t>
            </w:r>
          </w:p>
        </w:tc>
      </w:tr>
      <w:tr w:rsidR="0033755B" w:rsidRPr="0033755B" w:rsidTr="000E26AB">
        <w:trPr>
          <w:trHeight w:val="25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rPr>
            </w:pPr>
            <w:r w:rsidRPr="0033755B">
              <w:rPr>
                <w:rFonts w:ascii="Times New Roman" w:eastAsia="Times New Roman" w:hAnsi="Times New Roman" w:cs="Times New Roman"/>
              </w:rPr>
              <w:t>Group III (50,000 to 99,999)</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16.9</w:t>
            </w:r>
          </w:p>
        </w:tc>
      </w:tr>
      <w:tr w:rsidR="0033755B" w:rsidRPr="0033755B" w:rsidTr="000E26AB">
        <w:trPr>
          <w:trHeight w:val="25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rPr>
            </w:pPr>
            <w:r w:rsidRPr="0033755B">
              <w:rPr>
                <w:rFonts w:ascii="Times New Roman" w:eastAsia="Times New Roman" w:hAnsi="Times New Roman" w:cs="Times New Roman"/>
              </w:rPr>
              <w:t>Group IV (25,000 to 49,999)</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14.9</w:t>
            </w:r>
          </w:p>
        </w:tc>
      </w:tr>
      <w:tr w:rsidR="0033755B" w:rsidRPr="0033755B" w:rsidTr="000E26AB">
        <w:trPr>
          <w:trHeight w:val="25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rPr>
            </w:pPr>
            <w:r w:rsidRPr="0033755B">
              <w:rPr>
                <w:rFonts w:ascii="Times New Roman" w:eastAsia="Times New Roman" w:hAnsi="Times New Roman" w:cs="Times New Roman"/>
              </w:rPr>
              <w:t>Group V (10,000 to 24,999)</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13.3</w:t>
            </w:r>
          </w:p>
        </w:tc>
      </w:tr>
      <w:tr w:rsidR="0033755B" w:rsidRPr="0033755B" w:rsidTr="000E26AB">
        <w:trPr>
          <w:trHeight w:val="25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rPr>
            </w:pPr>
            <w:r w:rsidRPr="0033755B">
              <w:rPr>
                <w:rFonts w:ascii="Times New Roman" w:eastAsia="Times New Roman" w:hAnsi="Times New Roman" w:cs="Times New Roman"/>
              </w:rPr>
              <w:t xml:space="preserve">Group VI (under 10,000)  </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20.3</w:t>
            </w:r>
          </w:p>
        </w:tc>
      </w:tr>
      <w:tr w:rsidR="0033755B" w:rsidRPr="0033755B" w:rsidTr="000E26AB">
        <w:trPr>
          <w:trHeight w:val="37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rPr>
            </w:pPr>
            <w:r w:rsidRPr="0033755B">
              <w:rPr>
                <w:rFonts w:ascii="Times New Roman" w:eastAsia="Times New Roman" w:hAnsi="Times New Roman" w:cs="Times New Roman"/>
              </w:rPr>
              <w:t>Metropolitan counties</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13.2</w:t>
            </w:r>
          </w:p>
        </w:tc>
      </w:tr>
      <w:tr w:rsidR="0033755B" w:rsidRPr="0033755B" w:rsidTr="000E26AB">
        <w:trPr>
          <w:trHeight w:val="375"/>
          <w:jc w:val="center"/>
        </w:trPr>
        <w:tc>
          <w:tcPr>
            <w:tcW w:w="416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rPr>
                <w:rFonts w:ascii="Times New Roman" w:eastAsia="Times New Roman" w:hAnsi="Times New Roman" w:cs="Times New Roman"/>
              </w:rPr>
            </w:pPr>
            <w:r w:rsidRPr="0033755B">
              <w:rPr>
                <w:rFonts w:ascii="Times New Roman" w:eastAsia="Times New Roman" w:hAnsi="Times New Roman" w:cs="Times New Roman"/>
              </w:rPr>
              <w:t>Nonmetropolitan counties</w:t>
            </w:r>
          </w:p>
        </w:tc>
        <w:tc>
          <w:tcPr>
            <w:tcW w:w="1780" w:type="dxa"/>
            <w:tcBorders>
              <w:top w:val="nil"/>
              <w:left w:val="nil"/>
              <w:bottom w:val="nil"/>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12.2</w:t>
            </w:r>
          </w:p>
        </w:tc>
      </w:tr>
      <w:tr w:rsidR="0033755B" w:rsidRPr="0033755B" w:rsidTr="000E26AB">
        <w:trPr>
          <w:trHeight w:val="375"/>
          <w:jc w:val="center"/>
        </w:trPr>
        <w:tc>
          <w:tcPr>
            <w:tcW w:w="4160" w:type="dxa"/>
            <w:tcBorders>
              <w:top w:val="nil"/>
              <w:left w:val="nil"/>
              <w:bottom w:val="single" w:sz="4" w:space="0" w:color="auto"/>
              <w:right w:val="nil"/>
            </w:tcBorders>
            <w:shd w:val="clear" w:color="auto" w:fill="auto"/>
            <w:noWrap/>
            <w:vAlign w:val="bottom"/>
            <w:hideMark/>
          </w:tcPr>
          <w:p w:rsidR="0033755B" w:rsidRPr="0033755B" w:rsidRDefault="0033755B" w:rsidP="002803A2">
            <w:pPr>
              <w:spacing w:after="0" w:line="240" w:lineRule="auto"/>
              <w:rPr>
                <w:rFonts w:ascii="Times New Roman" w:eastAsia="Times New Roman" w:hAnsi="Times New Roman" w:cs="Times New Roman"/>
              </w:rPr>
            </w:pPr>
            <w:r w:rsidRPr="0033755B">
              <w:rPr>
                <w:rFonts w:ascii="Times New Roman" w:eastAsia="Times New Roman" w:hAnsi="Times New Roman" w:cs="Times New Roman"/>
              </w:rPr>
              <w:t>Suburban areas</w:t>
            </w:r>
            <w:r w:rsidR="002803A2">
              <w:rPr>
                <w:rStyle w:val="FootnoteReference"/>
                <w:rFonts w:ascii="Times New Roman" w:eastAsia="Times New Roman" w:hAnsi="Times New Roman" w:cs="Times New Roman"/>
              </w:rPr>
              <w:footnoteReference w:id="2"/>
            </w:r>
          </w:p>
        </w:tc>
        <w:tc>
          <w:tcPr>
            <w:tcW w:w="1780" w:type="dxa"/>
            <w:tcBorders>
              <w:top w:val="nil"/>
              <w:left w:val="nil"/>
              <w:bottom w:val="single" w:sz="4" w:space="0" w:color="auto"/>
              <w:right w:val="nil"/>
            </w:tcBorders>
            <w:shd w:val="clear" w:color="auto" w:fill="auto"/>
            <w:noWrap/>
            <w:vAlign w:val="bottom"/>
            <w:hideMark/>
          </w:tcPr>
          <w:p w:rsidR="0033755B" w:rsidRPr="0033755B" w:rsidRDefault="0033755B" w:rsidP="0033755B">
            <w:pPr>
              <w:spacing w:after="0" w:line="240" w:lineRule="auto"/>
              <w:jc w:val="center"/>
              <w:rPr>
                <w:rFonts w:ascii="Times New Roman" w:eastAsia="Times New Roman" w:hAnsi="Times New Roman" w:cs="Times New Roman"/>
              </w:rPr>
            </w:pPr>
            <w:r w:rsidRPr="0033755B">
              <w:rPr>
                <w:rFonts w:ascii="Times New Roman" w:eastAsia="Times New Roman" w:hAnsi="Times New Roman" w:cs="Times New Roman"/>
              </w:rPr>
              <w:t>12.8</w:t>
            </w:r>
          </w:p>
        </w:tc>
      </w:tr>
    </w:tbl>
    <w:p w:rsidR="0033755B" w:rsidRPr="00FE2FB0" w:rsidRDefault="00D82A68" w:rsidP="00FE2FB0">
      <w:pPr>
        <w:pStyle w:val="Heading2"/>
        <w:rPr>
          <w:color w:val="auto"/>
        </w:rPr>
      </w:pPr>
      <w:r w:rsidRPr="00FE2FB0">
        <w:rPr>
          <w:color w:val="auto"/>
        </w:rPr>
        <w:lastRenderedPageBreak/>
        <w:t>N</w:t>
      </w:r>
      <w:r w:rsidR="00BE1055" w:rsidRPr="00FE2FB0">
        <w:rPr>
          <w:color w:val="auto"/>
        </w:rPr>
        <w:t>ational Estimation</w:t>
      </w:r>
    </w:p>
    <w:p w:rsidR="0007111C" w:rsidRDefault="00B23147" w:rsidP="0007111C">
      <w:pPr>
        <w:ind w:firstLine="720"/>
        <w:rPr>
          <w:rFonts w:ascii="Times New Roman" w:hAnsi="Times New Roman" w:cs="Times New Roman"/>
          <w:sz w:val="24"/>
          <w:szCs w:val="24"/>
        </w:rPr>
      </w:pPr>
      <w:r>
        <w:rPr>
          <w:rFonts w:ascii="Times New Roman" w:hAnsi="Times New Roman" w:cs="Times New Roman"/>
          <w:sz w:val="24"/>
          <w:szCs w:val="24"/>
        </w:rPr>
        <w:t>For 2012, 17,010 agencies reported data to the FBI, and of those 15,387 reported a complete 12 months of data.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However, for arson, only 6,292 reported 12 months of data which means the missing information must be imputed.   </w:t>
      </w:r>
      <w:r w:rsidR="00C86810">
        <w:rPr>
          <w:rFonts w:ascii="Times New Roman" w:hAnsi="Times New Roman" w:cs="Times New Roman"/>
          <w:sz w:val="24"/>
          <w:szCs w:val="24"/>
        </w:rPr>
        <w:t>National estimates</w:t>
      </w:r>
      <w:r w:rsidR="00BE1055" w:rsidRPr="00166399">
        <w:rPr>
          <w:rFonts w:ascii="Times New Roman" w:hAnsi="Times New Roman" w:cs="Times New Roman"/>
          <w:sz w:val="24"/>
          <w:szCs w:val="24"/>
        </w:rPr>
        <w:t xml:space="preserve"> for </w:t>
      </w:r>
      <w:r w:rsidR="00C86810">
        <w:rPr>
          <w:rFonts w:ascii="Times New Roman" w:hAnsi="Times New Roman" w:cs="Times New Roman"/>
          <w:sz w:val="24"/>
          <w:szCs w:val="24"/>
        </w:rPr>
        <w:t>offense</w:t>
      </w:r>
      <w:r w:rsidR="000E26AB">
        <w:rPr>
          <w:rFonts w:ascii="Times New Roman" w:hAnsi="Times New Roman" w:cs="Times New Roman"/>
          <w:sz w:val="24"/>
          <w:szCs w:val="24"/>
        </w:rPr>
        <w:t xml:space="preserve"> data will be computed by </w:t>
      </w:r>
      <w:r w:rsidR="0007111C">
        <w:rPr>
          <w:rFonts w:ascii="Times New Roman" w:hAnsi="Times New Roman" w:cs="Times New Roman"/>
          <w:sz w:val="24"/>
          <w:szCs w:val="24"/>
        </w:rPr>
        <w:t xml:space="preserve">summing agencies reporting a complete set of data with agencies </w:t>
      </w:r>
      <w:r w:rsidR="00C6023B">
        <w:rPr>
          <w:rFonts w:ascii="Times New Roman" w:hAnsi="Times New Roman" w:cs="Times New Roman"/>
          <w:sz w:val="24"/>
          <w:szCs w:val="24"/>
        </w:rPr>
        <w:t xml:space="preserve">who are estimated </w:t>
      </w:r>
      <w:r w:rsidR="000E26AB">
        <w:rPr>
          <w:rFonts w:ascii="Times New Roman" w:hAnsi="Times New Roman" w:cs="Times New Roman"/>
          <w:sz w:val="24"/>
          <w:szCs w:val="24"/>
        </w:rPr>
        <w:t xml:space="preserve">using </w:t>
      </w:r>
      <w:r w:rsidR="0007111C">
        <w:rPr>
          <w:rFonts w:ascii="Times New Roman" w:hAnsi="Times New Roman" w:cs="Times New Roman"/>
          <w:sz w:val="24"/>
          <w:szCs w:val="24"/>
        </w:rPr>
        <w:t xml:space="preserve">one of </w:t>
      </w:r>
      <w:r w:rsidR="000E26AB">
        <w:rPr>
          <w:rFonts w:ascii="Times New Roman" w:hAnsi="Times New Roman" w:cs="Times New Roman"/>
          <w:sz w:val="24"/>
          <w:szCs w:val="24"/>
        </w:rPr>
        <w:t xml:space="preserve">two </w:t>
      </w:r>
      <w:r w:rsidR="0007111C">
        <w:rPr>
          <w:rFonts w:ascii="Times New Roman" w:hAnsi="Times New Roman" w:cs="Times New Roman"/>
          <w:sz w:val="24"/>
          <w:szCs w:val="24"/>
        </w:rPr>
        <w:t xml:space="preserve">imputation </w:t>
      </w:r>
      <w:r w:rsidR="000E26AB">
        <w:rPr>
          <w:rFonts w:ascii="Times New Roman" w:hAnsi="Times New Roman" w:cs="Times New Roman"/>
          <w:sz w:val="24"/>
          <w:szCs w:val="24"/>
        </w:rPr>
        <w:t>methods</w:t>
      </w:r>
      <w:r w:rsidR="0023204D">
        <w:rPr>
          <w:rFonts w:ascii="Times New Roman" w:hAnsi="Times New Roman" w:cs="Times New Roman"/>
          <w:sz w:val="24"/>
          <w:szCs w:val="24"/>
        </w:rPr>
        <w:t xml:space="preserve"> based on the number of months the agency reported for the calendar year</w:t>
      </w:r>
      <w:r w:rsidR="0007111C">
        <w:rPr>
          <w:rFonts w:ascii="Times New Roman" w:hAnsi="Times New Roman" w:cs="Times New Roman"/>
          <w:sz w:val="24"/>
          <w:szCs w:val="24"/>
        </w:rPr>
        <w:t>.</w:t>
      </w:r>
      <w:r w:rsidR="000E26AB">
        <w:rPr>
          <w:rFonts w:ascii="Times New Roman" w:hAnsi="Times New Roman" w:cs="Times New Roman"/>
          <w:sz w:val="24"/>
          <w:szCs w:val="24"/>
        </w:rPr>
        <w:t xml:space="preserve"> </w:t>
      </w:r>
    </w:p>
    <w:tbl>
      <w:tblPr>
        <w:tblW w:w="5595" w:type="dxa"/>
        <w:jc w:val="center"/>
        <w:tblInd w:w="93" w:type="dxa"/>
        <w:tblLayout w:type="fixed"/>
        <w:tblLook w:val="04A0" w:firstRow="1" w:lastRow="0" w:firstColumn="1" w:lastColumn="0" w:noHBand="0" w:noVBand="1"/>
      </w:tblPr>
      <w:tblGrid>
        <w:gridCol w:w="1178"/>
        <w:gridCol w:w="1177"/>
        <w:gridCol w:w="990"/>
        <w:gridCol w:w="990"/>
        <w:gridCol w:w="1260"/>
      </w:tblGrid>
      <w:tr w:rsidR="0023204D" w:rsidRPr="000E26AB" w:rsidTr="007778C8">
        <w:trPr>
          <w:trHeight w:val="585"/>
          <w:jc w:val="center"/>
        </w:trPr>
        <w:tc>
          <w:tcPr>
            <w:tcW w:w="5595" w:type="dxa"/>
            <w:gridSpan w:val="5"/>
            <w:tcBorders>
              <w:top w:val="nil"/>
              <w:left w:val="nil"/>
              <w:bottom w:val="single" w:sz="4" w:space="0" w:color="auto"/>
              <w:right w:val="nil"/>
            </w:tcBorders>
            <w:shd w:val="clear" w:color="auto" w:fill="auto"/>
          </w:tcPr>
          <w:p w:rsidR="0023204D" w:rsidRDefault="0023204D" w:rsidP="007778C8">
            <w:r w:rsidRPr="000E26AB">
              <w:rPr>
                <w:rFonts w:ascii="Times New Roman" w:eastAsia="Times New Roman" w:hAnsi="Times New Roman" w:cs="Times New Roman"/>
                <w:sz w:val="28"/>
                <w:szCs w:val="28"/>
              </w:rPr>
              <w:t>Number of Agencies by Number of Months of Competed UCR Reporting</w:t>
            </w:r>
          </w:p>
        </w:tc>
      </w:tr>
      <w:tr w:rsidR="0023204D" w:rsidRPr="000E26AB" w:rsidTr="007778C8">
        <w:trPr>
          <w:trHeight w:val="70"/>
          <w:jc w:val="center"/>
        </w:trPr>
        <w:tc>
          <w:tcPr>
            <w:tcW w:w="5595" w:type="dxa"/>
            <w:gridSpan w:val="5"/>
            <w:tcBorders>
              <w:top w:val="nil"/>
              <w:left w:val="nil"/>
              <w:bottom w:val="single" w:sz="4" w:space="0" w:color="auto"/>
              <w:right w:val="nil"/>
            </w:tcBorders>
            <w:shd w:val="clear" w:color="auto" w:fill="auto"/>
          </w:tcPr>
          <w:p w:rsidR="0023204D" w:rsidRPr="000E26AB" w:rsidRDefault="0023204D" w:rsidP="007778C8">
            <w:pPr>
              <w:rPr>
                <w:rFonts w:ascii="Times New Roman" w:eastAsia="Times New Roman" w:hAnsi="Times New Roman" w:cs="Times New Roman"/>
                <w:sz w:val="2"/>
                <w:szCs w:val="2"/>
              </w:rPr>
            </w:pPr>
          </w:p>
        </w:tc>
      </w:tr>
      <w:tr w:rsidR="0023204D" w:rsidRPr="000E26AB" w:rsidTr="007778C8">
        <w:trPr>
          <w:trHeight w:val="510"/>
          <w:jc w:val="center"/>
        </w:trPr>
        <w:tc>
          <w:tcPr>
            <w:tcW w:w="1178"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Number of Months</w:t>
            </w:r>
          </w:p>
        </w:tc>
        <w:tc>
          <w:tcPr>
            <w:tcW w:w="1177" w:type="dxa"/>
            <w:tcBorders>
              <w:top w:val="single" w:sz="4" w:space="0" w:color="auto"/>
              <w:left w:val="nil"/>
              <w:bottom w:val="single" w:sz="8" w:space="0" w:color="000000"/>
              <w:right w:val="single" w:sz="4" w:space="0" w:color="000000"/>
            </w:tcBorders>
            <w:shd w:val="clear" w:color="auto" w:fill="auto"/>
            <w:vAlign w:val="bottom"/>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Frequency</w:t>
            </w:r>
          </w:p>
        </w:tc>
        <w:tc>
          <w:tcPr>
            <w:tcW w:w="990" w:type="dxa"/>
            <w:tcBorders>
              <w:top w:val="single" w:sz="4" w:space="0" w:color="auto"/>
              <w:left w:val="nil"/>
              <w:bottom w:val="single" w:sz="8" w:space="0" w:color="000000"/>
              <w:right w:val="single" w:sz="4" w:space="0" w:color="000000"/>
            </w:tcBorders>
            <w:shd w:val="clear" w:color="auto" w:fill="auto"/>
            <w:vAlign w:val="bottom"/>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Percent</w:t>
            </w:r>
          </w:p>
        </w:tc>
        <w:tc>
          <w:tcPr>
            <w:tcW w:w="990" w:type="dxa"/>
            <w:tcBorders>
              <w:top w:val="single" w:sz="4" w:space="0" w:color="auto"/>
              <w:left w:val="nil"/>
              <w:bottom w:val="single" w:sz="8" w:space="0" w:color="000000"/>
              <w:right w:val="single" w:sz="4" w:space="0" w:color="000000"/>
            </w:tcBorders>
            <w:shd w:val="clear" w:color="auto" w:fill="auto"/>
            <w:vAlign w:val="bottom"/>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Valid Percent</w:t>
            </w:r>
          </w:p>
        </w:tc>
        <w:tc>
          <w:tcPr>
            <w:tcW w:w="1260" w:type="dxa"/>
            <w:tcBorders>
              <w:top w:val="single" w:sz="4" w:space="0" w:color="auto"/>
              <w:left w:val="nil"/>
              <w:bottom w:val="single" w:sz="8" w:space="0" w:color="000000"/>
              <w:right w:val="single" w:sz="8" w:space="0" w:color="000000"/>
            </w:tcBorders>
            <w:shd w:val="clear" w:color="auto" w:fill="auto"/>
            <w:vAlign w:val="bottom"/>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Cumulative Percent</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1</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102</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2</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94</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1.2</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3</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141</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.8</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.8</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2.0</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4</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70</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2.4</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87</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2.9</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91</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3.4</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7</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108</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.6</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4.1</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8</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116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.7</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.7</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4.8</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9</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152</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5.6</w:t>
            </w:r>
          </w:p>
        </w:tc>
      </w:tr>
      <w:tr w:rsidR="0023204D" w:rsidRPr="000E26AB" w:rsidTr="007778C8">
        <w:trPr>
          <w:trHeight w:val="300"/>
          <w:jc w:val="center"/>
        </w:trPr>
        <w:tc>
          <w:tcPr>
            <w:tcW w:w="1178" w:type="dxa"/>
            <w:tcBorders>
              <w:top w:val="nil"/>
              <w:left w:val="single" w:sz="8" w:space="0" w:color="auto"/>
              <w:bottom w:val="nil"/>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10</w:t>
            </w:r>
          </w:p>
        </w:tc>
        <w:tc>
          <w:tcPr>
            <w:tcW w:w="1177"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226</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1.3</w:t>
            </w:r>
          </w:p>
        </w:tc>
        <w:tc>
          <w:tcPr>
            <w:tcW w:w="990" w:type="dxa"/>
            <w:tcBorders>
              <w:top w:val="nil"/>
              <w:left w:val="nil"/>
              <w:bottom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1.3</w:t>
            </w:r>
          </w:p>
        </w:tc>
        <w:tc>
          <w:tcPr>
            <w:tcW w:w="1260" w:type="dxa"/>
            <w:tcBorders>
              <w:top w:val="nil"/>
              <w:left w:val="nil"/>
              <w:bottom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7.0</w:t>
            </w:r>
          </w:p>
        </w:tc>
      </w:tr>
      <w:tr w:rsidR="0023204D" w:rsidRPr="000E26AB" w:rsidTr="008D0958">
        <w:trPr>
          <w:trHeight w:val="300"/>
          <w:jc w:val="center"/>
        </w:trPr>
        <w:tc>
          <w:tcPr>
            <w:tcW w:w="1178" w:type="dxa"/>
            <w:tcBorders>
              <w:top w:val="nil"/>
              <w:left w:val="single" w:sz="8" w:space="0" w:color="auto"/>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11</w:t>
            </w:r>
          </w:p>
        </w:tc>
        <w:tc>
          <w:tcPr>
            <w:tcW w:w="1177" w:type="dxa"/>
            <w:tcBorders>
              <w:top w:val="nil"/>
              <w:left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436</w:t>
            </w:r>
          </w:p>
        </w:tc>
        <w:tc>
          <w:tcPr>
            <w:tcW w:w="990" w:type="dxa"/>
            <w:tcBorders>
              <w:top w:val="nil"/>
              <w:left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2.6</w:t>
            </w:r>
          </w:p>
        </w:tc>
        <w:tc>
          <w:tcPr>
            <w:tcW w:w="990" w:type="dxa"/>
            <w:tcBorders>
              <w:top w:val="nil"/>
              <w:left w:val="nil"/>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2.6</w:t>
            </w:r>
          </w:p>
        </w:tc>
        <w:tc>
          <w:tcPr>
            <w:tcW w:w="1260" w:type="dxa"/>
            <w:tcBorders>
              <w:top w:val="nil"/>
              <w:left w:val="nil"/>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9.5</w:t>
            </w:r>
          </w:p>
        </w:tc>
      </w:tr>
      <w:tr w:rsidR="0023204D" w:rsidRPr="000E26AB" w:rsidTr="008D0958">
        <w:trPr>
          <w:trHeight w:val="300"/>
          <w:jc w:val="center"/>
        </w:trPr>
        <w:tc>
          <w:tcPr>
            <w:tcW w:w="1178" w:type="dxa"/>
            <w:tcBorders>
              <w:top w:val="nil"/>
              <w:left w:val="single" w:sz="8" w:space="0" w:color="auto"/>
              <w:bottom w:val="single" w:sz="4" w:space="0" w:color="auto"/>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12</w:t>
            </w:r>
          </w:p>
        </w:tc>
        <w:tc>
          <w:tcPr>
            <w:tcW w:w="1177" w:type="dxa"/>
            <w:tcBorders>
              <w:top w:val="nil"/>
              <w:left w:val="nil"/>
              <w:bottom w:val="single" w:sz="4" w:space="0" w:color="auto"/>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15</w:t>
            </w:r>
            <w:r>
              <w:rPr>
                <w:rFonts w:ascii="Times New Roman" w:eastAsia="Times New Roman" w:hAnsi="Times New Roman" w:cs="Times New Roman"/>
                <w:color w:val="000000"/>
              </w:rPr>
              <w:t>,</w:t>
            </w:r>
            <w:r w:rsidRPr="000E26AB">
              <w:rPr>
                <w:rFonts w:ascii="Times New Roman" w:eastAsia="Times New Roman" w:hAnsi="Times New Roman" w:cs="Times New Roman"/>
                <w:color w:val="000000"/>
              </w:rPr>
              <w:t>387</w:t>
            </w:r>
          </w:p>
        </w:tc>
        <w:tc>
          <w:tcPr>
            <w:tcW w:w="990" w:type="dxa"/>
            <w:tcBorders>
              <w:top w:val="nil"/>
              <w:left w:val="nil"/>
              <w:bottom w:val="single" w:sz="4" w:space="0" w:color="auto"/>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90.5</w:t>
            </w:r>
          </w:p>
        </w:tc>
        <w:tc>
          <w:tcPr>
            <w:tcW w:w="990" w:type="dxa"/>
            <w:tcBorders>
              <w:top w:val="nil"/>
              <w:left w:val="nil"/>
              <w:bottom w:val="single" w:sz="4" w:space="0" w:color="auto"/>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90.5</w:t>
            </w:r>
          </w:p>
        </w:tc>
        <w:tc>
          <w:tcPr>
            <w:tcW w:w="1260" w:type="dxa"/>
            <w:tcBorders>
              <w:top w:val="nil"/>
              <w:left w:val="nil"/>
              <w:bottom w:val="single" w:sz="4" w:space="0" w:color="auto"/>
              <w:right w:val="single" w:sz="8"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100.0</w:t>
            </w:r>
          </w:p>
        </w:tc>
      </w:tr>
      <w:tr w:rsidR="0023204D" w:rsidRPr="000E26AB" w:rsidTr="008D0958">
        <w:trPr>
          <w:trHeight w:val="315"/>
          <w:jc w:val="center"/>
        </w:trPr>
        <w:tc>
          <w:tcPr>
            <w:tcW w:w="1178" w:type="dxa"/>
            <w:tcBorders>
              <w:top w:val="single" w:sz="4" w:space="0" w:color="auto"/>
              <w:left w:val="single" w:sz="8" w:space="0" w:color="auto"/>
              <w:bottom w:val="single" w:sz="8" w:space="0" w:color="auto"/>
              <w:right w:val="single" w:sz="8" w:space="0" w:color="auto"/>
            </w:tcBorders>
            <w:shd w:val="clear" w:color="auto" w:fill="auto"/>
            <w:hideMark/>
          </w:tcPr>
          <w:p w:rsidR="0023204D" w:rsidRPr="000E26AB" w:rsidRDefault="0023204D" w:rsidP="007778C8">
            <w:pPr>
              <w:spacing w:after="0" w:line="240" w:lineRule="auto"/>
              <w:jc w:val="center"/>
              <w:rPr>
                <w:rFonts w:ascii="Times New Roman" w:eastAsia="Times New Roman" w:hAnsi="Times New Roman" w:cs="Times New Roman"/>
                <w:color w:val="000000"/>
              </w:rPr>
            </w:pPr>
            <w:r w:rsidRPr="000E26AB">
              <w:rPr>
                <w:rFonts w:ascii="Times New Roman" w:eastAsia="Times New Roman" w:hAnsi="Times New Roman" w:cs="Times New Roman"/>
                <w:color w:val="000000"/>
              </w:rPr>
              <w:t>Total</w:t>
            </w:r>
          </w:p>
        </w:tc>
        <w:tc>
          <w:tcPr>
            <w:tcW w:w="1177" w:type="dxa"/>
            <w:tcBorders>
              <w:top w:val="single" w:sz="4" w:space="0" w:color="auto"/>
              <w:left w:val="nil"/>
              <w:bottom w:val="single" w:sz="8" w:space="0" w:color="000000"/>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17</w:t>
            </w:r>
            <w:r>
              <w:rPr>
                <w:rFonts w:ascii="Times New Roman" w:eastAsia="Times New Roman" w:hAnsi="Times New Roman" w:cs="Times New Roman"/>
                <w:color w:val="000000"/>
              </w:rPr>
              <w:t>,</w:t>
            </w:r>
            <w:r w:rsidRPr="000E26AB">
              <w:rPr>
                <w:rFonts w:ascii="Times New Roman" w:eastAsia="Times New Roman" w:hAnsi="Times New Roman" w:cs="Times New Roman"/>
                <w:color w:val="000000"/>
              </w:rPr>
              <w:t>010</w:t>
            </w:r>
          </w:p>
        </w:tc>
        <w:tc>
          <w:tcPr>
            <w:tcW w:w="990" w:type="dxa"/>
            <w:tcBorders>
              <w:top w:val="single" w:sz="4" w:space="0" w:color="auto"/>
              <w:left w:val="nil"/>
              <w:bottom w:val="single" w:sz="8" w:space="0" w:color="000000"/>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100.0</w:t>
            </w:r>
          </w:p>
        </w:tc>
        <w:tc>
          <w:tcPr>
            <w:tcW w:w="990" w:type="dxa"/>
            <w:tcBorders>
              <w:top w:val="single" w:sz="4" w:space="0" w:color="auto"/>
              <w:left w:val="nil"/>
              <w:bottom w:val="single" w:sz="8" w:space="0" w:color="000000"/>
              <w:right w:val="single" w:sz="4" w:space="0" w:color="000000"/>
            </w:tcBorders>
            <w:shd w:val="clear" w:color="auto" w:fill="auto"/>
            <w:noWrap/>
            <w:hideMark/>
          </w:tcPr>
          <w:p w:rsidR="0023204D" w:rsidRPr="000E26AB" w:rsidRDefault="0023204D" w:rsidP="007778C8">
            <w:pPr>
              <w:spacing w:after="0" w:line="240" w:lineRule="auto"/>
              <w:jc w:val="right"/>
              <w:rPr>
                <w:rFonts w:ascii="Times New Roman" w:eastAsia="Times New Roman" w:hAnsi="Times New Roman" w:cs="Times New Roman"/>
                <w:color w:val="000000"/>
              </w:rPr>
            </w:pPr>
            <w:r w:rsidRPr="000E26AB">
              <w:rPr>
                <w:rFonts w:ascii="Times New Roman" w:eastAsia="Times New Roman" w:hAnsi="Times New Roman" w:cs="Times New Roman"/>
                <w:color w:val="000000"/>
              </w:rPr>
              <w:t>100.0</w:t>
            </w:r>
          </w:p>
        </w:tc>
        <w:tc>
          <w:tcPr>
            <w:tcW w:w="1260" w:type="dxa"/>
            <w:tcBorders>
              <w:top w:val="single" w:sz="4" w:space="0" w:color="auto"/>
              <w:left w:val="nil"/>
              <w:bottom w:val="single" w:sz="8" w:space="0" w:color="000000"/>
              <w:right w:val="single" w:sz="8" w:space="0" w:color="000000"/>
            </w:tcBorders>
            <w:shd w:val="clear" w:color="auto" w:fill="auto"/>
            <w:noWrap/>
            <w:vAlign w:val="center"/>
            <w:hideMark/>
          </w:tcPr>
          <w:p w:rsidR="0023204D" w:rsidRPr="000E26AB" w:rsidRDefault="0023204D" w:rsidP="007778C8">
            <w:pPr>
              <w:spacing w:after="0" w:line="240" w:lineRule="auto"/>
              <w:jc w:val="center"/>
              <w:rPr>
                <w:rFonts w:ascii="Times New Roman" w:eastAsia="Times New Roman" w:hAnsi="Times New Roman" w:cs="Times New Roman"/>
              </w:rPr>
            </w:pPr>
            <w:r w:rsidRPr="000E26AB">
              <w:rPr>
                <w:rFonts w:ascii="Times New Roman" w:eastAsia="Times New Roman" w:hAnsi="Times New Roman" w:cs="Times New Roman"/>
              </w:rPr>
              <w:t> </w:t>
            </w:r>
          </w:p>
        </w:tc>
      </w:tr>
    </w:tbl>
    <w:p w:rsidR="0023204D" w:rsidRDefault="0023204D" w:rsidP="0007111C">
      <w:pPr>
        <w:ind w:firstLine="720"/>
        <w:rPr>
          <w:rFonts w:ascii="Times New Roman" w:hAnsi="Times New Roman" w:cs="Times New Roman"/>
          <w:sz w:val="24"/>
          <w:szCs w:val="24"/>
        </w:rPr>
      </w:pPr>
    </w:p>
    <w:p w:rsidR="00C6023B" w:rsidRPr="00FE2FB0" w:rsidRDefault="00C6023B" w:rsidP="00FE2FB0">
      <w:pPr>
        <w:pStyle w:val="Heading2"/>
        <w:rPr>
          <w:color w:val="auto"/>
        </w:rPr>
      </w:pPr>
      <w:r w:rsidRPr="00FE2FB0">
        <w:rPr>
          <w:color w:val="auto"/>
        </w:rPr>
        <w:t>Imputation for Agencies with 3-11 Months of Data</w:t>
      </w:r>
    </w:p>
    <w:p w:rsidR="00B23147" w:rsidRDefault="000E26AB" w:rsidP="0007111C">
      <w:pPr>
        <w:ind w:firstLine="720"/>
        <w:rPr>
          <w:rFonts w:ascii="Times New Roman" w:hAnsi="Times New Roman" w:cs="Times New Roman"/>
          <w:sz w:val="24"/>
          <w:szCs w:val="24"/>
        </w:rPr>
      </w:pPr>
      <w:r>
        <w:rPr>
          <w:rFonts w:ascii="Times New Roman" w:hAnsi="Times New Roman" w:cs="Times New Roman"/>
          <w:sz w:val="24"/>
          <w:szCs w:val="24"/>
        </w:rPr>
        <w:t>For agencies reporting 3-11 months of data to the FBI</w:t>
      </w:r>
      <w:r w:rsidR="00B23147">
        <w:rPr>
          <w:rFonts w:ascii="Times New Roman" w:hAnsi="Times New Roman" w:cs="Times New Roman"/>
          <w:sz w:val="24"/>
          <w:szCs w:val="24"/>
        </w:rPr>
        <w:t>, it is assumed the agency best represents itself for imputing missing months.  As such, the follow formula will be used to impute the agency’s arson data:</w:t>
      </w:r>
    </w:p>
    <w:p w:rsidR="00166399" w:rsidRPr="0007111C" w:rsidRDefault="000E26AB" w:rsidP="000E26AB">
      <w:pPr>
        <w:rPr>
          <w:rFonts w:ascii="Times New Roman" w:hAnsi="Times New Roman" w:cs="Times New Roman"/>
          <w:sz w:val="24"/>
          <w:szCs w:val="24"/>
        </w:rPr>
      </w:pPr>
      <w:r>
        <w:rPr>
          <w:rFonts w:ascii="Times New Roman" w:hAnsi="Times New Roman" w:cs="Times New Roman"/>
          <w:sz w:val="24"/>
          <w:szCs w:val="24"/>
        </w:rPr>
        <w:t xml:space="preserve"> </w:t>
      </w:r>
      <m:oMath>
        <m:r>
          <m:rPr>
            <m:sty m:val="p"/>
          </m:rPr>
          <w:rPr>
            <w:rFonts w:ascii="Cambria Math" w:hAnsi="Cambria Math" w:cs="Times New Roman"/>
            <w:sz w:val="24"/>
            <w:szCs w:val="24"/>
          </w:rPr>
          <w:br/>
        </m:r>
      </m:oMath>
      <m:oMathPara>
        <m:oMath>
          <m:r>
            <w:rPr>
              <w:rFonts w:ascii="Cambria Math" w:hAnsi="Cambria Math" w:cs="Times New Roman"/>
              <w:sz w:val="24"/>
              <w:szCs w:val="24"/>
            </w:rPr>
            <m:t>Annual Reported Arson*</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Number of Reported Months</m:t>
              </m:r>
            </m:den>
          </m:f>
          <m:r>
            <w:rPr>
              <w:rFonts w:ascii="Cambria Math" w:hAnsi="Cambria Math" w:cs="Times New Roman"/>
              <w:sz w:val="24"/>
              <w:szCs w:val="24"/>
            </w:rPr>
            <m:t>=Estimated Arson Count</m:t>
          </m:r>
        </m:oMath>
      </m:oMathPara>
    </w:p>
    <w:p w:rsidR="0007111C" w:rsidRDefault="0007111C" w:rsidP="000E26AB">
      <w:pPr>
        <w:rPr>
          <w:rFonts w:ascii="Times New Roman" w:hAnsi="Times New Roman" w:cs="Times New Roman"/>
          <w:sz w:val="24"/>
          <w:szCs w:val="24"/>
        </w:rPr>
      </w:pPr>
    </w:p>
    <w:p w:rsidR="008D0958" w:rsidRDefault="008D0958" w:rsidP="0007111C">
      <w:pPr>
        <w:ind w:firstLine="720"/>
        <w:rPr>
          <w:rFonts w:ascii="Times New Roman" w:hAnsi="Times New Roman" w:cs="Times New Roman"/>
          <w:sz w:val="24"/>
          <w:szCs w:val="24"/>
        </w:rPr>
      </w:pPr>
    </w:p>
    <w:p w:rsidR="000E26AB" w:rsidRDefault="0007111C" w:rsidP="0007111C">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For example if an agency reported 15 arsons in </w:t>
      </w:r>
      <w:r w:rsidR="00971789">
        <w:rPr>
          <w:rFonts w:ascii="Times New Roman" w:hAnsi="Times New Roman" w:cs="Times New Roman"/>
          <w:sz w:val="24"/>
          <w:szCs w:val="24"/>
        </w:rPr>
        <w:t>seven</w:t>
      </w:r>
      <w:r>
        <w:rPr>
          <w:rFonts w:ascii="Times New Roman" w:hAnsi="Times New Roman" w:cs="Times New Roman"/>
          <w:sz w:val="24"/>
          <w:szCs w:val="24"/>
        </w:rPr>
        <w:t xml:space="preserve"> months of reporting there would be an estimated 26 arsons for the agency.</w:t>
      </w:r>
    </w:p>
    <w:p w:rsidR="0007111C" w:rsidRDefault="0007111C" w:rsidP="000E26AB">
      <w:pPr>
        <w:rPr>
          <w:rFonts w:ascii="Times New Roman" w:hAnsi="Times New Roman" w:cs="Times New Roman"/>
          <w:sz w:val="24"/>
          <w:szCs w:val="24"/>
        </w:rPr>
      </w:pPr>
      <m:oMathPara>
        <m:oMath>
          <m:r>
            <w:rPr>
              <w:rFonts w:ascii="Cambria Math" w:hAnsi="Cambria Math" w:cs="Times New Roman"/>
              <w:sz w:val="24"/>
              <w:szCs w:val="24"/>
            </w:rPr>
            <m:t>15*</m:t>
          </m:r>
          <m:f>
            <m:fPr>
              <m:ctrlPr>
                <w:rPr>
                  <w:rFonts w:ascii="Cambria Math" w:hAnsi="Cambria Math" w:cs="Times New Roman"/>
                  <w:i/>
                  <w:sz w:val="24"/>
                  <w:szCs w:val="24"/>
                </w:rPr>
              </m:ctrlPr>
            </m:fPr>
            <m:num>
              <m:r>
                <w:rPr>
                  <w:rFonts w:ascii="Cambria Math" w:hAnsi="Cambria Math" w:cs="Times New Roman"/>
                  <w:sz w:val="24"/>
                  <w:szCs w:val="24"/>
                </w:rPr>
                <m:t>12</m:t>
              </m:r>
            </m:num>
            <m:den>
              <m:r>
                <w:rPr>
                  <w:rFonts w:ascii="Cambria Math" w:hAnsi="Cambria Math" w:cs="Times New Roman"/>
                  <w:sz w:val="24"/>
                  <w:szCs w:val="24"/>
                </w:rPr>
                <m:t>7</m:t>
              </m:r>
            </m:den>
          </m:f>
          <m:r>
            <w:rPr>
              <w:rFonts w:ascii="Cambria Math" w:hAnsi="Cambria Math" w:cs="Times New Roman"/>
              <w:sz w:val="24"/>
              <w:szCs w:val="24"/>
            </w:rPr>
            <m:t xml:space="preserve">=25.7≅26 </m:t>
          </m:r>
        </m:oMath>
      </m:oMathPara>
    </w:p>
    <w:p w:rsidR="00C6023B" w:rsidRDefault="00C6023B" w:rsidP="00C6023B">
      <w:pPr>
        <w:rPr>
          <w:rFonts w:ascii="Times New Roman" w:hAnsi="Times New Roman" w:cs="Times New Roman"/>
          <w:sz w:val="24"/>
          <w:szCs w:val="24"/>
        </w:rPr>
      </w:pPr>
    </w:p>
    <w:p w:rsidR="00C6023B" w:rsidRPr="00FE2FB0" w:rsidRDefault="00C6023B" w:rsidP="00FE2FB0">
      <w:pPr>
        <w:pStyle w:val="Heading2"/>
        <w:rPr>
          <w:color w:val="auto"/>
        </w:rPr>
      </w:pPr>
      <w:r w:rsidRPr="00FE2FB0">
        <w:rPr>
          <w:color w:val="auto"/>
        </w:rPr>
        <w:t xml:space="preserve">Imputation for Agencies with Less Than </w:t>
      </w:r>
      <w:r w:rsidR="00971789">
        <w:rPr>
          <w:color w:val="auto"/>
        </w:rPr>
        <w:t>Three</w:t>
      </w:r>
      <w:r w:rsidRPr="00FE2FB0">
        <w:rPr>
          <w:color w:val="auto"/>
        </w:rPr>
        <w:t xml:space="preserve"> Months of Data</w:t>
      </w:r>
    </w:p>
    <w:p w:rsidR="00C6023B" w:rsidRDefault="00C6023B" w:rsidP="00C6023B">
      <w:pPr>
        <w:ind w:firstLine="720"/>
        <w:rPr>
          <w:rFonts w:ascii="Times New Roman" w:hAnsi="Times New Roman" w:cs="Times New Roman"/>
          <w:sz w:val="24"/>
          <w:szCs w:val="24"/>
        </w:rPr>
      </w:pPr>
      <w:r>
        <w:rPr>
          <w:rFonts w:ascii="Times New Roman" w:hAnsi="Times New Roman" w:cs="Times New Roman"/>
          <w:sz w:val="24"/>
          <w:szCs w:val="24"/>
        </w:rPr>
        <w:t xml:space="preserve">For agencies reporting less than </w:t>
      </w:r>
      <w:r w:rsidR="00971789">
        <w:rPr>
          <w:rFonts w:ascii="Times New Roman" w:hAnsi="Times New Roman" w:cs="Times New Roman"/>
          <w:sz w:val="24"/>
          <w:szCs w:val="24"/>
        </w:rPr>
        <w:t>three</w:t>
      </w:r>
      <w:r>
        <w:rPr>
          <w:rFonts w:ascii="Times New Roman" w:hAnsi="Times New Roman" w:cs="Times New Roman"/>
          <w:sz w:val="24"/>
          <w:szCs w:val="24"/>
        </w:rPr>
        <w:t xml:space="preserve"> months of data, the FBI UCR Program will impute the entire year of arson data based on the rate of arson per 100,000 persons within the agency’s population group multiplied by the agency’s population. </w:t>
      </w:r>
    </w:p>
    <w:p w:rsidR="00C6023B" w:rsidRDefault="00C6023B" w:rsidP="00C6023B">
      <w:pPr>
        <w:ind w:firstLine="720"/>
        <w:rPr>
          <w:rFonts w:ascii="Times New Roman" w:hAnsi="Times New Roman" w:cs="Times New Roman"/>
          <w:sz w:val="24"/>
          <w:szCs w:val="24"/>
        </w:rPr>
      </w:pPr>
      <m:oMathPara>
        <m:oMath>
          <m:r>
            <w:rPr>
              <w:rFonts w:ascii="Cambria Math" w:hAnsi="Cambria Math" w:cs="Times New Roman"/>
              <w:sz w:val="24"/>
              <w:szCs w:val="24"/>
            </w:rPr>
            <m:t>Population Group Arson Rate*</m:t>
          </m:r>
          <m:f>
            <m:fPr>
              <m:ctrlPr>
                <w:rPr>
                  <w:rFonts w:ascii="Cambria Math" w:hAnsi="Cambria Math" w:cs="Times New Roman"/>
                  <w:i/>
                  <w:sz w:val="24"/>
                  <w:szCs w:val="24"/>
                </w:rPr>
              </m:ctrlPr>
            </m:fPr>
            <m:num>
              <m:r>
                <w:rPr>
                  <w:rFonts w:ascii="Cambria Math" w:hAnsi="Cambria Math" w:cs="Times New Roman"/>
                  <w:sz w:val="24"/>
                  <w:szCs w:val="24"/>
                </w:rPr>
                <m:t>Agency Population</m:t>
              </m:r>
            </m:num>
            <m:den>
              <m:r>
                <w:rPr>
                  <w:rFonts w:ascii="Cambria Math" w:hAnsi="Cambria Math" w:cs="Times New Roman"/>
                  <w:sz w:val="24"/>
                  <w:szCs w:val="24"/>
                </w:rPr>
                <m:t>100,000</m:t>
              </m:r>
            </m:den>
          </m:f>
          <m:r>
            <w:rPr>
              <w:rFonts w:ascii="Cambria Math" w:hAnsi="Cambria Math" w:cs="Times New Roman"/>
              <w:sz w:val="24"/>
              <w:szCs w:val="24"/>
            </w:rPr>
            <m:t>=Estimated Arson Count</m:t>
          </m:r>
        </m:oMath>
      </m:oMathPara>
    </w:p>
    <w:p w:rsidR="00C6023B" w:rsidRPr="00166399" w:rsidRDefault="00C6023B" w:rsidP="00C6023B">
      <w:pPr>
        <w:ind w:firstLine="720"/>
        <w:rPr>
          <w:rFonts w:ascii="Times New Roman" w:hAnsi="Times New Roman" w:cs="Times New Roman"/>
          <w:sz w:val="24"/>
          <w:szCs w:val="24"/>
        </w:rPr>
      </w:pPr>
    </w:p>
    <w:p w:rsidR="00C6023B" w:rsidRDefault="00C6023B" w:rsidP="00C6023B">
      <w:pPr>
        <w:ind w:firstLine="720"/>
        <w:rPr>
          <w:rFonts w:ascii="Times New Roman" w:hAnsi="Times New Roman" w:cs="Times New Roman"/>
          <w:sz w:val="24"/>
          <w:szCs w:val="24"/>
        </w:rPr>
      </w:pPr>
      <w:r>
        <w:rPr>
          <w:rFonts w:ascii="Times New Roman" w:hAnsi="Times New Roman" w:cs="Times New Roman"/>
          <w:sz w:val="24"/>
          <w:szCs w:val="24"/>
        </w:rPr>
        <w:t xml:space="preserve">For example, Philadelphia arson data was not reported in 2012.  The arson rate for agencies over one million in population is 28.2 per 100,000 persons and Philadelphia has a population of </w:t>
      </w:r>
      <w:r w:rsidRPr="00C6023B">
        <w:rPr>
          <w:rFonts w:ascii="Times New Roman" w:hAnsi="Times New Roman" w:cs="Times New Roman"/>
          <w:sz w:val="24"/>
          <w:szCs w:val="24"/>
        </w:rPr>
        <w:t>1</w:t>
      </w:r>
      <w:r>
        <w:rPr>
          <w:rFonts w:ascii="Times New Roman" w:hAnsi="Times New Roman" w:cs="Times New Roman"/>
          <w:sz w:val="24"/>
          <w:szCs w:val="24"/>
        </w:rPr>
        <w:t>,</w:t>
      </w:r>
      <w:r w:rsidRPr="00C6023B">
        <w:rPr>
          <w:rFonts w:ascii="Times New Roman" w:hAnsi="Times New Roman" w:cs="Times New Roman"/>
          <w:sz w:val="24"/>
          <w:szCs w:val="24"/>
        </w:rPr>
        <w:t>538</w:t>
      </w:r>
      <w:r>
        <w:rPr>
          <w:rFonts w:ascii="Times New Roman" w:hAnsi="Times New Roman" w:cs="Times New Roman"/>
          <w:sz w:val="24"/>
          <w:szCs w:val="24"/>
        </w:rPr>
        <w:t>,</w:t>
      </w:r>
      <w:r w:rsidRPr="00C6023B">
        <w:rPr>
          <w:rFonts w:ascii="Times New Roman" w:hAnsi="Times New Roman" w:cs="Times New Roman"/>
          <w:sz w:val="24"/>
          <w:szCs w:val="24"/>
        </w:rPr>
        <w:t>957</w:t>
      </w:r>
      <w:r>
        <w:rPr>
          <w:rFonts w:ascii="Times New Roman" w:hAnsi="Times New Roman" w:cs="Times New Roman"/>
          <w:sz w:val="24"/>
          <w:szCs w:val="24"/>
        </w:rPr>
        <w:t xml:space="preserve"> persons. Therefore its estimated arson count for 2012 is 434.  </w:t>
      </w:r>
    </w:p>
    <w:p w:rsidR="00C6023B" w:rsidRDefault="0023204D" w:rsidP="000E26AB">
      <w:pPr>
        <w:rPr>
          <w:rFonts w:ascii="Times New Roman" w:hAnsi="Times New Roman" w:cs="Times New Roman"/>
          <w:sz w:val="24"/>
          <w:szCs w:val="24"/>
        </w:rPr>
      </w:pPr>
      <m:oMathPara>
        <m:oMath>
          <m:r>
            <w:rPr>
              <w:rFonts w:ascii="Cambria Math" w:hAnsi="Cambria Math" w:cs="Times New Roman"/>
              <w:sz w:val="24"/>
              <w:szCs w:val="24"/>
            </w:rPr>
            <m:t>28.2 *</m:t>
          </m:r>
          <m:f>
            <m:fPr>
              <m:ctrlPr>
                <w:rPr>
                  <w:rFonts w:ascii="Cambria Math" w:hAnsi="Cambria Math" w:cs="Times New Roman"/>
                  <w:i/>
                  <w:sz w:val="24"/>
                  <w:szCs w:val="24"/>
                </w:rPr>
              </m:ctrlPr>
            </m:fPr>
            <m:num>
              <m:r>
                <m:rPr>
                  <m:sty m:val="p"/>
                </m:rPr>
                <w:rPr>
                  <w:rFonts w:ascii="Cambria Math" w:hAnsi="Cambria Math" w:cs="Times New Roman"/>
                  <w:sz w:val="24"/>
                  <w:szCs w:val="24"/>
                </w:rPr>
                <m:t>1,538,957 persons</m:t>
              </m:r>
            </m:num>
            <m:den>
              <m:r>
                <w:rPr>
                  <w:rFonts w:ascii="Cambria Math" w:hAnsi="Cambria Math" w:cs="Times New Roman"/>
                  <w:sz w:val="24"/>
                  <w:szCs w:val="24"/>
                </w:rPr>
                <m:t>100,000</m:t>
              </m:r>
            </m:den>
          </m:f>
          <m:r>
            <w:rPr>
              <w:rFonts w:ascii="Cambria Math" w:hAnsi="Cambria Math" w:cs="Times New Roman"/>
              <w:sz w:val="24"/>
              <w:szCs w:val="24"/>
            </w:rPr>
            <m:t xml:space="preserve">=433.99≅434 </m:t>
          </m:r>
        </m:oMath>
      </m:oMathPara>
    </w:p>
    <w:p w:rsidR="0023204D" w:rsidRDefault="0023204D" w:rsidP="000E26AB">
      <w:pPr>
        <w:rPr>
          <w:rFonts w:ascii="Times New Roman" w:hAnsi="Times New Roman" w:cs="Times New Roman"/>
          <w:sz w:val="24"/>
          <w:szCs w:val="24"/>
        </w:rPr>
      </w:pPr>
    </w:p>
    <w:p w:rsidR="00C6023B" w:rsidRPr="00FE2FB0" w:rsidRDefault="0023204D" w:rsidP="00FE2FB0">
      <w:pPr>
        <w:pStyle w:val="Heading2"/>
        <w:rPr>
          <w:color w:val="auto"/>
        </w:rPr>
      </w:pPr>
      <w:r w:rsidRPr="00FE2FB0">
        <w:rPr>
          <w:color w:val="auto"/>
        </w:rPr>
        <w:t>Combining Estimates With Reported Totals</w:t>
      </w:r>
    </w:p>
    <w:p w:rsidR="00C6023B" w:rsidRDefault="0023204D" w:rsidP="000E26AB">
      <w:pPr>
        <w:rPr>
          <w:rFonts w:ascii="Times New Roman" w:hAnsi="Times New Roman" w:cs="Times New Roman"/>
          <w:sz w:val="24"/>
          <w:szCs w:val="24"/>
        </w:rPr>
      </w:pPr>
      <w:r>
        <w:rPr>
          <w:rFonts w:ascii="Times New Roman" w:hAnsi="Times New Roman" w:cs="Times New Roman"/>
          <w:sz w:val="24"/>
          <w:szCs w:val="24"/>
        </w:rPr>
        <w:tab/>
        <w:t>Once the agencies are imputed</w:t>
      </w:r>
      <w:r w:rsidR="00971789">
        <w:rPr>
          <w:rFonts w:ascii="Times New Roman" w:hAnsi="Times New Roman" w:cs="Times New Roman"/>
          <w:sz w:val="24"/>
          <w:szCs w:val="24"/>
        </w:rPr>
        <w:t>,</w:t>
      </w:r>
      <w:r>
        <w:rPr>
          <w:rFonts w:ascii="Times New Roman" w:hAnsi="Times New Roman" w:cs="Times New Roman"/>
          <w:sz w:val="24"/>
          <w:szCs w:val="24"/>
        </w:rPr>
        <w:t xml:space="preserve"> their arson totals will be summed </w:t>
      </w:r>
      <w:r w:rsidR="00971789">
        <w:rPr>
          <w:rFonts w:ascii="Times New Roman" w:hAnsi="Times New Roman" w:cs="Times New Roman"/>
          <w:sz w:val="24"/>
          <w:szCs w:val="24"/>
        </w:rPr>
        <w:t>with the agencies that reported</w:t>
      </w:r>
      <w:r>
        <w:rPr>
          <w:rFonts w:ascii="Times New Roman" w:hAnsi="Times New Roman" w:cs="Times New Roman"/>
          <w:sz w:val="24"/>
          <w:szCs w:val="24"/>
        </w:rPr>
        <w:t xml:space="preserve"> a complete 12 months of arson data to derive the national estimate.  For 2012, there were 53,941 reported arsons by 12 month agencies and 12,397 estimated arsons.  Therefore, the estimated number of arsons in the United States in 2012 is 66,338 arsons. </w:t>
      </w:r>
    </w:p>
    <w:p w:rsidR="000E26AB" w:rsidRPr="00903582" w:rsidRDefault="0023204D" w:rsidP="000E26AB">
      <w:pPr>
        <w:rPr>
          <w:rFonts w:ascii="Times New Roman" w:hAnsi="Times New Roman" w:cs="Times New Roman"/>
          <w:sz w:val="24"/>
          <w:szCs w:val="24"/>
        </w:rPr>
      </w:pPr>
      <m:oMathPara>
        <m:oMath>
          <m:r>
            <w:rPr>
              <w:rFonts w:ascii="Cambria Math" w:hAnsi="Cambria Math" w:cs="Times New Roman"/>
              <w:sz w:val="24"/>
              <w:szCs w:val="24"/>
            </w:rPr>
            <m:t>53,941 +12,397=66,338</m:t>
          </m:r>
        </m:oMath>
      </m:oMathPara>
    </w:p>
    <w:p w:rsidR="00903582" w:rsidRDefault="00903582" w:rsidP="000E26AB">
      <w:pPr>
        <w:rPr>
          <w:rFonts w:ascii="Times New Roman" w:hAnsi="Times New Roman" w:cs="Times New Roman"/>
          <w:sz w:val="24"/>
          <w:szCs w:val="24"/>
        </w:rPr>
      </w:pPr>
    </w:p>
    <w:p w:rsidR="00903582" w:rsidRPr="00FE2FB0" w:rsidRDefault="00903582" w:rsidP="00FE2FB0">
      <w:pPr>
        <w:pStyle w:val="Heading2"/>
        <w:rPr>
          <w:color w:val="auto"/>
        </w:rPr>
      </w:pPr>
      <w:r w:rsidRPr="00FE2FB0">
        <w:rPr>
          <w:color w:val="auto"/>
        </w:rPr>
        <w:t xml:space="preserve">Limitations and </w:t>
      </w:r>
      <w:r w:rsidR="00DA5E95" w:rsidRPr="00FE2FB0">
        <w:rPr>
          <w:color w:val="auto"/>
        </w:rPr>
        <w:t>Future I</w:t>
      </w:r>
      <w:r w:rsidRPr="00FE2FB0">
        <w:rPr>
          <w:color w:val="auto"/>
        </w:rPr>
        <w:t>mprovements</w:t>
      </w:r>
    </w:p>
    <w:p w:rsidR="00891FB9" w:rsidRDefault="00903582" w:rsidP="000E26AB">
      <w:pPr>
        <w:rPr>
          <w:rFonts w:ascii="Times New Roman" w:hAnsi="Times New Roman" w:cs="Times New Roman"/>
          <w:sz w:val="24"/>
          <w:szCs w:val="24"/>
        </w:rPr>
      </w:pPr>
      <w:r>
        <w:rPr>
          <w:rFonts w:ascii="Times New Roman" w:hAnsi="Times New Roman" w:cs="Times New Roman"/>
          <w:sz w:val="24"/>
          <w:szCs w:val="24"/>
        </w:rPr>
        <w:tab/>
        <w:t xml:space="preserve">The imputation method demonstrated in this paper’s estimation model is </w:t>
      </w:r>
      <w:r w:rsidR="00891FB9">
        <w:rPr>
          <w:rFonts w:ascii="Times New Roman" w:hAnsi="Times New Roman" w:cs="Times New Roman"/>
          <w:sz w:val="24"/>
          <w:szCs w:val="24"/>
        </w:rPr>
        <w:t>based on the assumption that agencies within population groups are most similar to one another.  Further study needs to be done to determine if regional characteristics of crime would help better stratify agencies into more representative groups.  Until other characteristics, such as poverty rates, employment rates, or other socioeconomic variables become attributable to specific agencies and statistically tested for validity, the best stratification variable the FBI UCR Program has is agency population group.</w:t>
      </w:r>
      <w:r w:rsidR="00DA5E95">
        <w:rPr>
          <w:rFonts w:ascii="Times New Roman" w:hAnsi="Times New Roman" w:cs="Times New Roman"/>
          <w:sz w:val="24"/>
          <w:szCs w:val="24"/>
        </w:rPr>
        <w:t xml:space="preserve">  The FBI UCR Program is also assuming that the best representation of </w:t>
      </w:r>
      <w:r w:rsidR="00DA5E95">
        <w:rPr>
          <w:rFonts w:ascii="Times New Roman" w:hAnsi="Times New Roman" w:cs="Times New Roman"/>
          <w:sz w:val="24"/>
          <w:szCs w:val="24"/>
        </w:rPr>
        <w:lastRenderedPageBreak/>
        <w:t xml:space="preserve">an agency’s missing data is the agency’s data reported in other months, but there is no evidence which definitively shows that a partial report’s own data qualifies as a representative sample.  </w:t>
      </w:r>
    </w:p>
    <w:p w:rsidR="00C162E8" w:rsidRDefault="00891FB9" w:rsidP="000E26AB">
      <w:pPr>
        <w:rPr>
          <w:rFonts w:ascii="Times New Roman" w:hAnsi="Times New Roman" w:cs="Times New Roman"/>
          <w:sz w:val="24"/>
          <w:szCs w:val="24"/>
        </w:rPr>
      </w:pPr>
      <w:r>
        <w:rPr>
          <w:rFonts w:ascii="Times New Roman" w:hAnsi="Times New Roman" w:cs="Times New Roman"/>
          <w:sz w:val="24"/>
          <w:szCs w:val="24"/>
        </w:rPr>
        <w:tab/>
        <w:t>Once new variables are tested and validated, other techniques for imputation may be used, such as regression analysis.</w:t>
      </w:r>
      <w:r w:rsidR="00DA5E95">
        <w:rPr>
          <w:rFonts w:ascii="Times New Roman" w:hAnsi="Times New Roman" w:cs="Times New Roman"/>
          <w:sz w:val="24"/>
          <w:szCs w:val="24"/>
        </w:rPr>
        <w:t xml:space="preserve">  Other types of imputation models, such as bootstrapping, are not currently available with the FBI UCR Program’s current technological or staffing resources, however, the Program is working toward a partnership with the Bureau of Justice Statistics </w:t>
      </w:r>
      <w:r w:rsidR="00F36E97">
        <w:rPr>
          <w:rFonts w:ascii="Times New Roman" w:hAnsi="Times New Roman" w:cs="Times New Roman"/>
          <w:sz w:val="24"/>
          <w:szCs w:val="24"/>
        </w:rPr>
        <w:t xml:space="preserve">(BJS) </w:t>
      </w:r>
      <w:r w:rsidR="00DA5E95">
        <w:rPr>
          <w:rFonts w:ascii="Times New Roman" w:hAnsi="Times New Roman" w:cs="Times New Roman"/>
          <w:sz w:val="24"/>
          <w:szCs w:val="24"/>
        </w:rPr>
        <w:t>which will allow for shared resources in the future which could handle more sophisticated and statistically valid and reliable methods.</w:t>
      </w:r>
      <w:r w:rsidR="00A77ED7">
        <w:rPr>
          <w:rFonts w:ascii="Times New Roman" w:hAnsi="Times New Roman" w:cs="Times New Roman"/>
          <w:sz w:val="24"/>
          <w:szCs w:val="24"/>
        </w:rPr>
        <w:t xml:space="preserve"> </w:t>
      </w:r>
      <w:r w:rsidR="00C162E8">
        <w:rPr>
          <w:rFonts w:ascii="Times New Roman" w:hAnsi="Times New Roman" w:cs="Times New Roman"/>
          <w:sz w:val="24"/>
          <w:szCs w:val="24"/>
        </w:rPr>
        <w:t xml:space="preserve"> Arson may have seasonal variation that will need to be studied and identified for use in future estimations.  </w:t>
      </w:r>
    </w:p>
    <w:p w:rsidR="001522EE" w:rsidRDefault="001522EE" w:rsidP="000E26AB">
      <w:pPr>
        <w:rPr>
          <w:rFonts w:ascii="Times New Roman" w:hAnsi="Times New Roman" w:cs="Times New Roman"/>
          <w:sz w:val="24"/>
          <w:szCs w:val="24"/>
        </w:rPr>
      </w:pPr>
      <w:r>
        <w:rPr>
          <w:rFonts w:ascii="Times New Roman" w:hAnsi="Times New Roman" w:cs="Times New Roman"/>
          <w:sz w:val="24"/>
          <w:szCs w:val="24"/>
        </w:rPr>
        <w:tab/>
        <w:t>The 3,012 agencies with zero-population are not represented in the imputation model, however, 530 reported arson,</w:t>
      </w:r>
      <w:r w:rsidR="00971789">
        <w:rPr>
          <w:rFonts w:ascii="Times New Roman" w:hAnsi="Times New Roman" w:cs="Times New Roman"/>
          <w:sz w:val="24"/>
          <w:szCs w:val="24"/>
        </w:rPr>
        <w:t xml:space="preserve"> and</w:t>
      </w:r>
      <w:r>
        <w:rPr>
          <w:rFonts w:ascii="Times New Roman" w:hAnsi="Times New Roman" w:cs="Times New Roman"/>
          <w:sz w:val="24"/>
          <w:szCs w:val="24"/>
        </w:rPr>
        <w:t xml:space="preserve"> 962 did not report any type of crime offense.  </w:t>
      </w:r>
      <w:r w:rsidR="00F0577B">
        <w:rPr>
          <w:rFonts w:ascii="Times New Roman" w:hAnsi="Times New Roman" w:cs="Times New Roman"/>
          <w:sz w:val="24"/>
          <w:szCs w:val="24"/>
        </w:rPr>
        <w:t xml:space="preserve">The proportion of </w:t>
      </w:r>
      <w:r>
        <w:rPr>
          <w:rFonts w:ascii="Times New Roman" w:hAnsi="Times New Roman" w:cs="Times New Roman"/>
          <w:sz w:val="24"/>
          <w:szCs w:val="24"/>
        </w:rPr>
        <w:t>the remaining 1</w:t>
      </w:r>
      <w:r w:rsidR="00971789">
        <w:rPr>
          <w:rFonts w:ascii="Times New Roman" w:hAnsi="Times New Roman" w:cs="Times New Roman"/>
          <w:sz w:val="24"/>
          <w:szCs w:val="24"/>
        </w:rPr>
        <w:t>,</w:t>
      </w:r>
      <w:r>
        <w:rPr>
          <w:rFonts w:ascii="Times New Roman" w:hAnsi="Times New Roman" w:cs="Times New Roman"/>
          <w:sz w:val="24"/>
          <w:szCs w:val="24"/>
        </w:rPr>
        <w:t>520 agencies which did report some type of crime offenses</w:t>
      </w:r>
      <w:r w:rsidR="00F0577B">
        <w:rPr>
          <w:rFonts w:ascii="Times New Roman" w:hAnsi="Times New Roman" w:cs="Times New Roman"/>
          <w:sz w:val="24"/>
          <w:szCs w:val="24"/>
        </w:rPr>
        <w:t xml:space="preserve"> but simply did not have any arson to report is unknown</w:t>
      </w:r>
      <w:r>
        <w:rPr>
          <w:rFonts w:ascii="Times New Roman" w:hAnsi="Times New Roman" w:cs="Times New Roman"/>
          <w:sz w:val="24"/>
          <w:szCs w:val="24"/>
        </w:rPr>
        <w:t>.</w:t>
      </w:r>
      <w:r w:rsidR="00F0577B">
        <w:rPr>
          <w:rFonts w:ascii="Times New Roman" w:hAnsi="Times New Roman" w:cs="Times New Roman"/>
          <w:sz w:val="24"/>
          <w:szCs w:val="24"/>
        </w:rPr>
        <w:t xml:space="preserve">  The FBI UCR Program will examine the value of longitudinal and ratio-based models for future estimation methods.  For example, there may be a reliable ratio of burglaries to arson which can best represent missing data, including those with zero-population.  Using an agency’s previous reporting patterns over the last </w:t>
      </w:r>
      <w:r w:rsidR="00971789">
        <w:rPr>
          <w:rFonts w:ascii="Times New Roman" w:hAnsi="Times New Roman" w:cs="Times New Roman"/>
          <w:sz w:val="24"/>
          <w:szCs w:val="24"/>
        </w:rPr>
        <w:t>five</w:t>
      </w:r>
      <w:r w:rsidR="00F0577B">
        <w:rPr>
          <w:rFonts w:ascii="Times New Roman" w:hAnsi="Times New Roman" w:cs="Times New Roman"/>
          <w:sz w:val="24"/>
          <w:szCs w:val="24"/>
        </w:rPr>
        <w:t xml:space="preserve"> years may also yield valuable estimation results, but these models are not yet tested.  Discussions concerning these methods with the </w:t>
      </w:r>
      <w:r w:rsidR="00F36E97">
        <w:rPr>
          <w:rFonts w:ascii="Times New Roman" w:hAnsi="Times New Roman" w:cs="Times New Roman"/>
          <w:sz w:val="24"/>
          <w:szCs w:val="24"/>
        </w:rPr>
        <w:t>BJS</w:t>
      </w:r>
      <w:r w:rsidR="00F0577B">
        <w:rPr>
          <w:rFonts w:ascii="Times New Roman" w:hAnsi="Times New Roman" w:cs="Times New Roman"/>
          <w:sz w:val="24"/>
          <w:szCs w:val="24"/>
        </w:rPr>
        <w:t xml:space="preserve"> showed there is value in examining new cross-sectional, longitudinal, and ratio models, but they will take some time to develop and validate.</w:t>
      </w:r>
    </w:p>
    <w:p w:rsidR="00DA5E95" w:rsidRDefault="00DA5E95" w:rsidP="000E26AB">
      <w:pPr>
        <w:rPr>
          <w:rFonts w:ascii="Times New Roman" w:hAnsi="Times New Roman" w:cs="Times New Roman"/>
          <w:sz w:val="24"/>
          <w:szCs w:val="24"/>
        </w:rPr>
      </w:pPr>
      <w:r>
        <w:rPr>
          <w:rFonts w:ascii="Times New Roman" w:hAnsi="Times New Roman" w:cs="Times New Roman"/>
          <w:sz w:val="24"/>
          <w:szCs w:val="24"/>
        </w:rPr>
        <w:tab/>
        <w:t>A final potential future improvement for nationally estimating crime data is testing UCR data for representativeness.  If the data are tested and found to support the idea that UCR data is a statistically representative sample of reported crime data, then sampling estimation models can be used to estimate national reported crime totals.  Of course, should the tests show the data is not representative, the other aforementioned imputation models will still be available to the FBI UCR Program to meet the need for determining national crime estimates.</w:t>
      </w:r>
    </w:p>
    <w:p w:rsidR="00DA5E95" w:rsidRDefault="00DA5E95" w:rsidP="000E26AB">
      <w:pPr>
        <w:rPr>
          <w:rFonts w:ascii="Times New Roman" w:hAnsi="Times New Roman" w:cs="Times New Roman"/>
          <w:sz w:val="24"/>
          <w:szCs w:val="24"/>
        </w:rPr>
      </w:pPr>
      <w:r>
        <w:rPr>
          <w:rFonts w:ascii="Times New Roman" w:hAnsi="Times New Roman" w:cs="Times New Roman"/>
          <w:sz w:val="24"/>
          <w:szCs w:val="24"/>
        </w:rPr>
        <w:tab/>
        <w:t>Given the limitations, this estimation proposal is proposed as the next step for the FBI UCR Program to enhance its value for estimating crime data.  It is not in</w:t>
      </w:r>
      <w:r w:rsidR="00971789">
        <w:rPr>
          <w:rFonts w:ascii="Times New Roman" w:hAnsi="Times New Roman" w:cs="Times New Roman"/>
          <w:sz w:val="24"/>
          <w:szCs w:val="24"/>
        </w:rPr>
        <w:t>t</w:t>
      </w:r>
      <w:r>
        <w:rPr>
          <w:rFonts w:ascii="Times New Roman" w:hAnsi="Times New Roman" w:cs="Times New Roman"/>
          <w:sz w:val="24"/>
          <w:szCs w:val="24"/>
        </w:rPr>
        <w:t>en</w:t>
      </w:r>
      <w:r w:rsidR="00971789">
        <w:rPr>
          <w:rFonts w:ascii="Times New Roman" w:hAnsi="Times New Roman" w:cs="Times New Roman"/>
          <w:sz w:val="24"/>
          <w:szCs w:val="24"/>
        </w:rPr>
        <w:t>d</w:t>
      </w:r>
      <w:r>
        <w:rPr>
          <w:rFonts w:ascii="Times New Roman" w:hAnsi="Times New Roman" w:cs="Times New Roman"/>
          <w:sz w:val="24"/>
          <w:szCs w:val="24"/>
        </w:rPr>
        <w:t xml:space="preserve">ed as a once-and-for-all solution for estimation.  </w:t>
      </w:r>
      <w:r w:rsidR="00F84DBB">
        <w:rPr>
          <w:rFonts w:ascii="Times New Roman" w:hAnsi="Times New Roman" w:cs="Times New Roman"/>
          <w:sz w:val="24"/>
          <w:szCs w:val="24"/>
        </w:rPr>
        <w:t xml:space="preserve">It is also expected that a current National Academy of Sciences and future partnering opportunities with the </w:t>
      </w:r>
      <w:r w:rsidR="00F36E97">
        <w:rPr>
          <w:rFonts w:ascii="Times New Roman" w:hAnsi="Times New Roman" w:cs="Times New Roman"/>
          <w:sz w:val="24"/>
          <w:szCs w:val="24"/>
        </w:rPr>
        <w:t>BJS</w:t>
      </w:r>
      <w:r w:rsidR="00F84DBB">
        <w:rPr>
          <w:rFonts w:ascii="Times New Roman" w:hAnsi="Times New Roman" w:cs="Times New Roman"/>
          <w:sz w:val="24"/>
          <w:szCs w:val="24"/>
        </w:rPr>
        <w:t xml:space="preserve"> and other UCR stakeholders will provide recommendations for estimation that are not currently considered or anticipated in this document.  </w:t>
      </w:r>
    </w:p>
    <w:p w:rsidR="00F84DBB" w:rsidRDefault="00F84DBB" w:rsidP="00F84DBB">
      <w:pPr>
        <w:ind w:firstLine="720"/>
        <w:rPr>
          <w:rFonts w:ascii="Times New Roman" w:hAnsi="Times New Roman" w:cs="Times New Roman"/>
          <w:sz w:val="24"/>
          <w:szCs w:val="24"/>
        </w:rPr>
      </w:pPr>
      <w:r w:rsidRPr="00F84DBB">
        <w:rPr>
          <w:rFonts w:ascii="Times New Roman" w:hAnsi="Times New Roman" w:cs="Times New Roman"/>
          <w:sz w:val="24"/>
          <w:szCs w:val="24"/>
        </w:rPr>
        <w:t>This</w:t>
      </w:r>
      <w:r>
        <w:rPr>
          <w:rFonts w:ascii="Times New Roman" w:hAnsi="Times New Roman" w:cs="Times New Roman"/>
          <w:sz w:val="24"/>
          <w:szCs w:val="24"/>
        </w:rPr>
        <w:t xml:space="preserve"> proposed </w:t>
      </w:r>
      <w:r w:rsidRPr="00F84DBB">
        <w:rPr>
          <w:rFonts w:ascii="Times New Roman" w:hAnsi="Times New Roman" w:cs="Times New Roman"/>
          <w:sz w:val="24"/>
          <w:szCs w:val="24"/>
        </w:rPr>
        <w:t>method also has other uses within the UCR Program, including providing estimations for other reported data collections, including Part I crimes, police employment data, arrest data, hate crime, cargo theft, human trafficking, and the Law Enforcement Officer</w:t>
      </w:r>
      <w:r w:rsidR="00971789">
        <w:rPr>
          <w:rFonts w:ascii="Times New Roman" w:hAnsi="Times New Roman" w:cs="Times New Roman"/>
          <w:sz w:val="24"/>
          <w:szCs w:val="24"/>
        </w:rPr>
        <w:t>s</w:t>
      </w:r>
      <w:r w:rsidRPr="00F84DBB">
        <w:rPr>
          <w:rFonts w:ascii="Times New Roman" w:hAnsi="Times New Roman" w:cs="Times New Roman"/>
          <w:sz w:val="24"/>
          <w:szCs w:val="24"/>
        </w:rPr>
        <w:t xml:space="preserve"> Killed and Assaulted program.  Specific methodological considerations need to be addressed for unique data concerns within each collection, but a method similar to the arson estimation example can be used as the base estimation model for those programs.   </w:t>
      </w:r>
    </w:p>
    <w:sectPr w:rsidR="00F84DBB" w:rsidSect="00D873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82" w:rsidRDefault="00567382" w:rsidP="00166399">
      <w:pPr>
        <w:spacing w:after="0" w:line="240" w:lineRule="auto"/>
      </w:pPr>
      <w:r>
        <w:separator/>
      </w:r>
    </w:p>
  </w:endnote>
  <w:endnote w:type="continuationSeparator" w:id="0">
    <w:p w:rsidR="00567382" w:rsidRDefault="00567382" w:rsidP="0016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958" w:rsidRPr="008D0958" w:rsidRDefault="008D0958">
    <w:pPr>
      <w:pStyle w:val="Footer"/>
      <w:rPr>
        <w:rFonts w:ascii="Times New Roman" w:hAnsi="Times New Roman" w:cs="Times New Roman"/>
      </w:rPr>
    </w:pPr>
    <w:r w:rsidRPr="008D0958">
      <w:rPr>
        <w:rFonts w:ascii="Times New Roman" w:hAnsi="Times New Roman" w:cs="Times New Roman"/>
      </w:rPr>
      <w:t>4/</w:t>
    </w:r>
    <w:r w:rsidR="00807357">
      <w:rPr>
        <w:rFonts w:ascii="Times New Roman" w:hAnsi="Times New Roman" w:cs="Times New Roman"/>
      </w:rPr>
      <w:t>3</w:t>
    </w:r>
    <w:r w:rsidRPr="008D0958">
      <w:rPr>
        <w:rFonts w:ascii="Times New Roman" w:hAnsi="Times New Roman" w:cs="Times New Roman"/>
      </w:rPr>
      <w:t>/2014</w:t>
    </w:r>
    <w:r w:rsidRPr="008D0958">
      <w:rPr>
        <w:rFonts w:ascii="Times New Roman" w:hAnsi="Times New Roman" w:cs="Times New Roman"/>
      </w:rPr>
      <w:tab/>
    </w:r>
    <w:r w:rsidRPr="008D0958">
      <w:rPr>
        <w:rFonts w:ascii="Times New Roman" w:hAnsi="Times New Roman" w:cs="Times New Roman"/>
      </w:rPr>
      <w:tab/>
    </w:r>
    <w:r w:rsidRPr="008D0958">
      <w:rPr>
        <w:rFonts w:ascii="Times New Roman" w:hAnsi="Times New Roman" w:cs="Times New Roman"/>
        <w:color w:val="808080" w:themeColor="background1" w:themeShade="80"/>
        <w:spacing w:val="60"/>
      </w:rPr>
      <w:t>Page</w:t>
    </w:r>
    <w:r w:rsidRPr="008D0958">
      <w:rPr>
        <w:rFonts w:ascii="Times New Roman" w:hAnsi="Times New Roman" w:cs="Times New Roman"/>
      </w:rPr>
      <w:t xml:space="preserve"> | </w:t>
    </w:r>
    <w:r w:rsidRPr="008D0958">
      <w:rPr>
        <w:rFonts w:ascii="Times New Roman" w:hAnsi="Times New Roman" w:cs="Times New Roman"/>
      </w:rPr>
      <w:fldChar w:fldCharType="begin"/>
    </w:r>
    <w:r w:rsidRPr="008D0958">
      <w:rPr>
        <w:rFonts w:ascii="Times New Roman" w:hAnsi="Times New Roman" w:cs="Times New Roman"/>
      </w:rPr>
      <w:instrText xml:space="preserve"> PAGE   \* MERGEFORMAT </w:instrText>
    </w:r>
    <w:r w:rsidRPr="008D0958">
      <w:rPr>
        <w:rFonts w:ascii="Times New Roman" w:hAnsi="Times New Roman" w:cs="Times New Roman"/>
      </w:rPr>
      <w:fldChar w:fldCharType="separate"/>
    </w:r>
    <w:r w:rsidR="00810AF3" w:rsidRPr="00810AF3">
      <w:rPr>
        <w:rFonts w:ascii="Times New Roman" w:hAnsi="Times New Roman" w:cs="Times New Roman"/>
        <w:b/>
        <w:bCs/>
        <w:noProof/>
      </w:rPr>
      <w:t>2</w:t>
    </w:r>
    <w:r w:rsidRPr="008D0958">
      <w:rPr>
        <w:rFonts w:ascii="Times New Roman" w:hAnsi="Times New Roman" w:cs="Times New Roman"/>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82" w:rsidRDefault="00567382" w:rsidP="00166399">
      <w:pPr>
        <w:spacing w:after="0" w:line="240" w:lineRule="auto"/>
      </w:pPr>
      <w:r>
        <w:separator/>
      </w:r>
    </w:p>
  </w:footnote>
  <w:footnote w:type="continuationSeparator" w:id="0">
    <w:p w:rsidR="00567382" w:rsidRDefault="00567382" w:rsidP="00166399">
      <w:pPr>
        <w:spacing w:after="0" w:line="240" w:lineRule="auto"/>
      </w:pPr>
      <w:r>
        <w:continuationSeparator/>
      </w:r>
    </w:p>
  </w:footnote>
  <w:footnote w:id="1">
    <w:p w:rsidR="00166399" w:rsidRPr="008D0958" w:rsidRDefault="00166399" w:rsidP="0062091E">
      <w:pPr>
        <w:pStyle w:val="FootnoteText"/>
        <w:rPr>
          <w:rFonts w:ascii="Times New Roman" w:hAnsi="Times New Roman" w:cs="Times New Roman"/>
        </w:rPr>
      </w:pPr>
      <w:r w:rsidRPr="008D0958">
        <w:rPr>
          <w:rStyle w:val="FootnoteReference"/>
          <w:rFonts w:ascii="Times New Roman" w:hAnsi="Times New Roman" w:cs="Times New Roman"/>
        </w:rPr>
        <w:footnoteRef/>
      </w:r>
      <w:r w:rsidRPr="008D0958">
        <w:rPr>
          <w:rFonts w:ascii="Times New Roman" w:hAnsi="Times New Roman" w:cs="Times New Roman"/>
        </w:rPr>
        <w:t xml:space="preserve"> US Federal Bureau of Investigation (2012).  </w:t>
      </w:r>
      <w:r w:rsidRPr="008D0958">
        <w:rPr>
          <w:rFonts w:ascii="Times New Roman" w:hAnsi="Times New Roman" w:cs="Times New Roman"/>
          <w:i/>
        </w:rPr>
        <w:t>Arson Table 1</w:t>
      </w:r>
      <w:r w:rsidR="00D82A68" w:rsidRPr="008D0958">
        <w:rPr>
          <w:rFonts w:ascii="Times New Roman" w:hAnsi="Times New Roman" w:cs="Times New Roman"/>
        </w:rPr>
        <w:t xml:space="preserve">.  Retrieved from </w:t>
      </w:r>
      <w:r w:rsidR="0062091E" w:rsidRPr="008D0958">
        <w:rPr>
          <w:rFonts w:ascii="Times New Roman" w:hAnsi="Times New Roman" w:cs="Times New Roman"/>
        </w:rPr>
        <w:t xml:space="preserve">http://www.fbi.gov/about </w:t>
      </w:r>
      <w:r w:rsidRPr="008D0958">
        <w:rPr>
          <w:rFonts w:ascii="Times New Roman" w:hAnsi="Times New Roman" w:cs="Times New Roman"/>
        </w:rPr>
        <w:t>us/cjis/ucr/crime-in-the-u.s/2011/crime-in-the-u.s.-2011/tables/arson-table-1</w:t>
      </w:r>
    </w:p>
  </w:footnote>
  <w:footnote w:id="2">
    <w:p w:rsidR="002803A2" w:rsidRDefault="002803A2">
      <w:pPr>
        <w:pStyle w:val="FootnoteText"/>
      </w:pPr>
      <w:r w:rsidRPr="008D0958">
        <w:rPr>
          <w:rStyle w:val="FootnoteReference"/>
          <w:rFonts w:ascii="Times New Roman" w:hAnsi="Times New Roman" w:cs="Times New Roman"/>
        </w:rPr>
        <w:footnoteRef/>
      </w:r>
      <w:r w:rsidRPr="008D0958">
        <w:rPr>
          <w:rFonts w:ascii="Times New Roman" w:hAnsi="Times New Roman" w:cs="Times New Roman"/>
        </w:rPr>
        <w:t xml:space="preserve"> </w:t>
      </w:r>
      <w:r w:rsidRPr="008D0958">
        <w:rPr>
          <w:rFonts w:ascii="Times New Roman" w:eastAsia="Times New Roman" w:hAnsi="Times New Roman" w:cs="Times New Roman"/>
        </w:rPr>
        <w:t>Suburban areas include law enforcement agencies in cities with less than 50,000 inhabitants and county law enforcement agencies that are within a Metropolitan Statistical Area.  Suburban areas exclude all metropolitan agencies associated with a principal city.  The agencies associated with suburban areas also appear in other groups within this table.</w:t>
      </w:r>
      <w:r w:rsidRPr="0033755B">
        <w:rPr>
          <w:rFonts w:ascii="Times New Roman" w:eastAsia="Times New Roman" w:hAnsi="Times New Roman" w:cs="Times New Roman"/>
        </w:rPr>
        <w:t xml:space="preserve">  </w:t>
      </w:r>
    </w:p>
  </w:footnote>
  <w:footnote w:id="3">
    <w:p w:rsidR="00B23147" w:rsidRPr="008D0958" w:rsidRDefault="00B23147">
      <w:pPr>
        <w:pStyle w:val="FootnoteText"/>
        <w:rPr>
          <w:rFonts w:ascii="Times New Roman" w:hAnsi="Times New Roman" w:cs="Times New Roman"/>
        </w:rPr>
      </w:pPr>
      <w:r w:rsidRPr="008D0958">
        <w:rPr>
          <w:rStyle w:val="FootnoteReference"/>
          <w:rFonts w:ascii="Times New Roman" w:hAnsi="Times New Roman" w:cs="Times New Roman"/>
        </w:rPr>
        <w:footnoteRef/>
      </w:r>
      <w:r w:rsidRPr="008D0958">
        <w:rPr>
          <w:rFonts w:ascii="Times New Roman" w:hAnsi="Times New Roman" w:cs="Times New Roman"/>
        </w:rPr>
        <w:t xml:space="preserve"> FBI UCR Program. (2010).  Crime by County Datafile.  Processed May 13, 2013.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6F"/>
    <w:rsid w:val="00010E04"/>
    <w:rsid w:val="0003740A"/>
    <w:rsid w:val="0007111C"/>
    <w:rsid w:val="00087D8C"/>
    <w:rsid w:val="000E26AB"/>
    <w:rsid w:val="00137E98"/>
    <w:rsid w:val="001522EE"/>
    <w:rsid w:val="00163D7D"/>
    <w:rsid w:val="00166399"/>
    <w:rsid w:val="001B15F0"/>
    <w:rsid w:val="001B26A9"/>
    <w:rsid w:val="00230448"/>
    <w:rsid w:val="0023204D"/>
    <w:rsid w:val="00267696"/>
    <w:rsid w:val="002713C5"/>
    <w:rsid w:val="002803A2"/>
    <w:rsid w:val="002E2DAE"/>
    <w:rsid w:val="00313FE5"/>
    <w:rsid w:val="0033755B"/>
    <w:rsid w:val="00346896"/>
    <w:rsid w:val="003949D2"/>
    <w:rsid w:val="004C058A"/>
    <w:rsid w:val="00501D95"/>
    <w:rsid w:val="00507CA6"/>
    <w:rsid w:val="00567382"/>
    <w:rsid w:val="005979C9"/>
    <w:rsid w:val="005C1BB3"/>
    <w:rsid w:val="0062091E"/>
    <w:rsid w:val="00682592"/>
    <w:rsid w:val="006C2899"/>
    <w:rsid w:val="006E6A4F"/>
    <w:rsid w:val="00746A28"/>
    <w:rsid w:val="0075354A"/>
    <w:rsid w:val="00774255"/>
    <w:rsid w:val="007C2D65"/>
    <w:rsid w:val="00807357"/>
    <w:rsid w:val="00810AF3"/>
    <w:rsid w:val="00824D4F"/>
    <w:rsid w:val="00883C3E"/>
    <w:rsid w:val="00891FB9"/>
    <w:rsid w:val="008D0958"/>
    <w:rsid w:val="008E48BB"/>
    <w:rsid w:val="00903582"/>
    <w:rsid w:val="00971789"/>
    <w:rsid w:val="009B0BAF"/>
    <w:rsid w:val="00A77ED7"/>
    <w:rsid w:val="00AA2870"/>
    <w:rsid w:val="00AE3F09"/>
    <w:rsid w:val="00AE6FC4"/>
    <w:rsid w:val="00B23147"/>
    <w:rsid w:val="00B616EE"/>
    <w:rsid w:val="00B6333A"/>
    <w:rsid w:val="00B77E34"/>
    <w:rsid w:val="00B85468"/>
    <w:rsid w:val="00B8607A"/>
    <w:rsid w:val="00BE1055"/>
    <w:rsid w:val="00C04B34"/>
    <w:rsid w:val="00C05621"/>
    <w:rsid w:val="00C10A4F"/>
    <w:rsid w:val="00C162E8"/>
    <w:rsid w:val="00C40B6F"/>
    <w:rsid w:val="00C6023B"/>
    <w:rsid w:val="00C86810"/>
    <w:rsid w:val="00CF1146"/>
    <w:rsid w:val="00D82A68"/>
    <w:rsid w:val="00D873B1"/>
    <w:rsid w:val="00D93F2C"/>
    <w:rsid w:val="00DA5E95"/>
    <w:rsid w:val="00E654ED"/>
    <w:rsid w:val="00EA69CC"/>
    <w:rsid w:val="00F0577B"/>
    <w:rsid w:val="00F11224"/>
    <w:rsid w:val="00F36E97"/>
    <w:rsid w:val="00F7696B"/>
    <w:rsid w:val="00F84DBB"/>
    <w:rsid w:val="00FA3870"/>
    <w:rsid w:val="00FB4F76"/>
    <w:rsid w:val="00FC47DA"/>
    <w:rsid w:val="00FE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E2F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399"/>
    <w:rPr>
      <w:color w:val="808080"/>
    </w:rPr>
  </w:style>
  <w:style w:type="paragraph" w:styleId="BalloonText">
    <w:name w:val="Balloon Text"/>
    <w:basedOn w:val="Normal"/>
    <w:link w:val="BalloonTextChar"/>
    <w:uiPriority w:val="99"/>
    <w:semiHidden/>
    <w:unhideWhenUsed/>
    <w:rsid w:val="0016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99"/>
    <w:rPr>
      <w:rFonts w:ascii="Tahoma" w:hAnsi="Tahoma" w:cs="Tahoma"/>
      <w:sz w:val="16"/>
      <w:szCs w:val="16"/>
    </w:rPr>
  </w:style>
  <w:style w:type="paragraph" w:styleId="FootnoteText">
    <w:name w:val="footnote text"/>
    <w:basedOn w:val="Normal"/>
    <w:link w:val="FootnoteTextChar"/>
    <w:uiPriority w:val="99"/>
    <w:semiHidden/>
    <w:unhideWhenUsed/>
    <w:rsid w:val="00166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399"/>
    <w:rPr>
      <w:sz w:val="20"/>
      <w:szCs w:val="20"/>
    </w:rPr>
  </w:style>
  <w:style w:type="character" w:styleId="FootnoteReference">
    <w:name w:val="footnote reference"/>
    <w:basedOn w:val="DefaultParagraphFont"/>
    <w:uiPriority w:val="99"/>
    <w:semiHidden/>
    <w:unhideWhenUsed/>
    <w:rsid w:val="00166399"/>
    <w:rPr>
      <w:vertAlign w:val="superscript"/>
    </w:rPr>
  </w:style>
  <w:style w:type="character" w:styleId="Hyperlink">
    <w:name w:val="Hyperlink"/>
    <w:basedOn w:val="DefaultParagraphFont"/>
    <w:uiPriority w:val="99"/>
    <w:unhideWhenUsed/>
    <w:rsid w:val="00D82A68"/>
    <w:rPr>
      <w:color w:val="0000FF" w:themeColor="hyperlink"/>
      <w:u w:val="single"/>
    </w:rPr>
  </w:style>
  <w:style w:type="character" w:customStyle="1" w:styleId="Heading2Char">
    <w:name w:val="Heading 2 Char"/>
    <w:basedOn w:val="DefaultParagraphFont"/>
    <w:link w:val="Heading2"/>
    <w:uiPriority w:val="9"/>
    <w:rsid w:val="00FE2F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D0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58"/>
  </w:style>
  <w:style w:type="paragraph" w:styleId="Footer">
    <w:name w:val="footer"/>
    <w:basedOn w:val="Normal"/>
    <w:link w:val="FooterChar"/>
    <w:uiPriority w:val="99"/>
    <w:unhideWhenUsed/>
    <w:rsid w:val="008D0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E2F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399"/>
    <w:rPr>
      <w:color w:val="808080"/>
    </w:rPr>
  </w:style>
  <w:style w:type="paragraph" w:styleId="BalloonText">
    <w:name w:val="Balloon Text"/>
    <w:basedOn w:val="Normal"/>
    <w:link w:val="BalloonTextChar"/>
    <w:uiPriority w:val="99"/>
    <w:semiHidden/>
    <w:unhideWhenUsed/>
    <w:rsid w:val="00166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399"/>
    <w:rPr>
      <w:rFonts w:ascii="Tahoma" w:hAnsi="Tahoma" w:cs="Tahoma"/>
      <w:sz w:val="16"/>
      <w:szCs w:val="16"/>
    </w:rPr>
  </w:style>
  <w:style w:type="paragraph" w:styleId="FootnoteText">
    <w:name w:val="footnote text"/>
    <w:basedOn w:val="Normal"/>
    <w:link w:val="FootnoteTextChar"/>
    <w:uiPriority w:val="99"/>
    <w:semiHidden/>
    <w:unhideWhenUsed/>
    <w:rsid w:val="00166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399"/>
    <w:rPr>
      <w:sz w:val="20"/>
      <w:szCs w:val="20"/>
    </w:rPr>
  </w:style>
  <w:style w:type="character" w:styleId="FootnoteReference">
    <w:name w:val="footnote reference"/>
    <w:basedOn w:val="DefaultParagraphFont"/>
    <w:uiPriority w:val="99"/>
    <w:semiHidden/>
    <w:unhideWhenUsed/>
    <w:rsid w:val="00166399"/>
    <w:rPr>
      <w:vertAlign w:val="superscript"/>
    </w:rPr>
  </w:style>
  <w:style w:type="character" w:styleId="Hyperlink">
    <w:name w:val="Hyperlink"/>
    <w:basedOn w:val="DefaultParagraphFont"/>
    <w:uiPriority w:val="99"/>
    <w:unhideWhenUsed/>
    <w:rsid w:val="00D82A68"/>
    <w:rPr>
      <w:color w:val="0000FF" w:themeColor="hyperlink"/>
      <w:u w:val="single"/>
    </w:rPr>
  </w:style>
  <w:style w:type="character" w:customStyle="1" w:styleId="Heading2Char">
    <w:name w:val="Heading 2 Char"/>
    <w:basedOn w:val="DefaultParagraphFont"/>
    <w:link w:val="Heading2"/>
    <w:uiPriority w:val="9"/>
    <w:rsid w:val="00FE2F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D0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958"/>
  </w:style>
  <w:style w:type="paragraph" w:styleId="Footer">
    <w:name w:val="footer"/>
    <w:basedOn w:val="Normal"/>
    <w:link w:val="FooterChar"/>
    <w:uiPriority w:val="99"/>
    <w:unhideWhenUsed/>
    <w:rsid w:val="008D0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228408">
      <w:bodyDiv w:val="1"/>
      <w:marLeft w:val="0"/>
      <w:marRight w:val="0"/>
      <w:marTop w:val="0"/>
      <w:marBottom w:val="0"/>
      <w:divBdr>
        <w:top w:val="none" w:sz="0" w:space="0" w:color="auto"/>
        <w:left w:val="none" w:sz="0" w:space="0" w:color="auto"/>
        <w:bottom w:val="none" w:sz="0" w:space="0" w:color="auto"/>
        <w:right w:val="none" w:sz="0" w:space="0" w:color="auto"/>
      </w:divBdr>
    </w:div>
    <w:div w:id="901404716">
      <w:bodyDiv w:val="1"/>
      <w:marLeft w:val="0"/>
      <w:marRight w:val="0"/>
      <w:marTop w:val="0"/>
      <w:marBottom w:val="0"/>
      <w:divBdr>
        <w:top w:val="none" w:sz="0" w:space="0" w:color="auto"/>
        <w:left w:val="none" w:sz="0" w:space="0" w:color="auto"/>
        <w:bottom w:val="none" w:sz="0" w:space="0" w:color="auto"/>
        <w:right w:val="none" w:sz="0" w:space="0" w:color="auto"/>
      </w:divBdr>
    </w:div>
    <w:div w:id="118636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E0F49-B178-4522-BE49-DE9B542B0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CJIS</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jnoonan</dc:creator>
  <cp:lastModifiedBy>phanning</cp:lastModifiedBy>
  <cp:revision>2</cp:revision>
  <cp:lastPrinted>2014-04-03T12:04:00Z</cp:lastPrinted>
  <dcterms:created xsi:type="dcterms:W3CDTF">2014-05-27T20:19:00Z</dcterms:created>
  <dcterms:modified xsi:type="dcterms:W3CDTF">2014-05-27T20:19:00Z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159984708</vt:i4>
  </property>
  <property fmtid="{D5CDD505-2E9C-101B-9397-08002B2CF9AE}" pid="3" name="_NewReviewCycle">
    <vt:lpwstr/>
  </property>
  <property fmtid="{D5CDD505-2E9C-101B-9397-08002B2CF9AE}" pid="4" name="_EmailSubject">
    <vt:lpwstr>1110-0004, 0005, and 0008</vt:lpwstr>
  </property>
  <property fmtid="{D5CDD505-2E9C-101B-9397-08002B2CF9AE}" pid="5" name="_AuthorEmail">
    <vt:lpwstr>Chad_A._Lallemand@omb.eop.gov</vt:lpwstr>
  </property>
  <property fmtid="{D5CDD505-2E9C-101B-9397-08002B2CF9AE}" pid="6" name="_AuthorEmailDisplayName">
    <vt:lpwstr>Lallemand, Chad A.</vt:lpwstr>
  </property>
  <property fmtid="{D5CDD505-2E9C-101B-9397-08002B2CF9AE}" pid="7" name="_ReviewingToolsShownOnce">
    <vt:lpwstr/>
  </property>
</Properties>
</file>