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BCB" w:rsidRDefault="005E5BCB" w:rsidP="005E5BCB">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Supporting Statement</w:t>
      </w:r>
    </w:p>
    <w:p w:rsidR="005E5BCB" w:rsidRDefault="005E5BCB" w:rsidP="005E5BCB">
      <w:pPr>
        <w:jc w:val="center"/>
        <w:rPr>
          <w:b/>
          <w:bCs/>
          <w:sz w:val="24"/>
          <w:szCs w:val="24"/>
        </w:rPr>
      </w:pPr>
      <w:r>
        <w:rPr>
          <w:b/>
          <w:bCs/>
          <w:sz w:val="24"/>
          <w:szCs w:val="24"/>
        </w:rPr>
        <w:t>Form NSD-3</w:t>
      </w:r>
    </w:p>
    <w:p w:rsidR="005E5BCB" w:rsidRDefault="005E5BCB" w:rsidP="005E5BCB">
      <w:pPr>
        <w:jc w:val="center"/>
        <w:rPr>
          <w:b/>
          <w:bCs/>
          <w:sz w:val="24"/>
          <w:szCs w:val="24"/>
        </w:rPr>
      </w:pPr>
      <w:r>
        <w:rPr>
          <w:b/>
          <w:bCs/>
          <w:sz w:val="24"/>
          <w:szCs w:val="24"/>
        </w:rPr>
        <w:t>OMB No. 1124-0006</w:t>
      </w:r>
    </w:p>
    <w:p w:rsidR="005E5BCB" w:rsidRDefault="005E5BCB" w:rsidP="005E5BCB">
      <w:pPr>
        <w:jc w:val="center"/>
        <w:rPr>
          <w:sz w:val="24"/>
          <w:szCs w:val="24"/>
        </w:rPr>
        <w:sectPr w:rsidR="005E5BCB" w:rsidSect="005E5BCB">
          <w:pgSz w:w="12240" w:h="15840"/>
          <w:pgMar w:top="1440" w:right="1440" w:bottom="1440" w:left="1440" w:header="1440" w:footer="1440" w:gutter="0"/>
          <w:cols w:space="720"/>
        </w:sectPr>
      </w:pPr>
    </w:p>
    <w:p w:rsidR="005E5BCB" w:rsidRDefault="005E5BCB" w:rsidP="005E5BCB">
      <w:pPr>
        <w:rPr>
          <w:b/>
          <w:bCs/>
          <w:sz w:val="24"/>
          <w:szCs w:val="24"/>
        </w:rPr>
      </w:pPr>
      <w:r>
        <w:rPr>
          <w:b/>
          <w:bCs/>
          <w:sz w:val="24"/>
          <w:szCs w:val="24"/>
        </w:rPr>
        <w:lastRenderedPageBreak/>
        <w:tab/>
      </w:r>
    </w:p>
    <w:p w:rsidR="005E5BCB" w:rsidRPr="005E5BCB" w:rsidRDefault="005E5BCB" w:rsidP="005E5BCB">
      <w:pPr>
        <w:pStyle w:val="ListParagraph"/>
        <w:numPr>
          <w:ilvl w:val="0"/>
          <w:numId w:val="1"/>
        </w:numPr>
        <w:tabs>
          <w:tab w:val="left" w:pos="720"/>
          <w:tab w:val="left" w:pos="1440"/>
          <w:tab w:val="left" w:pos="2160"/>
        </w:tabs>
        <w:rPr>
          <w:sz w:val="24"/>
          <w:szCs w:val="24"/>
        </w:rPr>
      </w:pPr>
      <w:r w:rsidRPr="005E5BCB">
        <w:rPr>
          <w:b/>
          <w:bCs/>
          <w:sz w:val="24"/>
          <w:szCs w:val="24"/>
        </w:rPr>
        <w:t>Justification</w:t>
      </w:r>
      <w:r w:rsidRPr="005E5BCB">
        <w:rPr>
          <w:sz w:val="24"/>
          <w:szCs w:val="24"/>
        </w:rPr>
        <w:tab/>
      </w:r>
    </w:p>
    <w:p w:rsidR="005E5BCB" w:rsidRPr="005E5BCB" w:rsidRDefault="005E5BCB" w:rsidP="005E5BCB">
      <w:pPr>
        <w:pStyle w:val="ListParagraph"/>
        <w:tabs>
          <w:tab w:val="left" w:pos="720"/>
          <w:tab w:val="left" w:pos="1440"/>
          <w:tab w:val="left" w:pos="2160"/>
        </w:tabs>
        <w:ind w:left="1080"/>
        <w:rPr>
          <w:sz w:val="24"/>
          <w:szCs w:val="24"/>
        </w:rPr>
      </w:pPr>
    </w:p>
    <w:p w:rsidR="005E5BCB" w:rsidRDefault="005E5BCB" w:rsidP="005E5BCB">
      <w:pPr>
        <w:rPr>
          <w:sz w:val="24"/>
          <w:szCs w:val="24"/>
        </w:rPr>
      </w:pPr>
    </w:p>
    <w:p w:rsidR="005E5BCB" w:rsidRDefault="005E5BCB" w:rsidP="005E5BCB">
      <w:pPr>
        <w:rPr>
          <w:sz w:val="24"/>
          <w:szCs w:val="24"/>
        </w:rPr>
        <w:sectPr w:rsidR="005E5BCB">
          <w:type w:val="continuous"/>
          <w:pgSz w:w="12240" w:h="15840"/>
          <w:pgMar w:top="1440" w:right="1440" w:bottom="1440" w:left="1440" w:header="1440" w:footer="1440" w:gutter="0"/>
          <w:cols w:space="720"/>
        </w:sectPr>
      </w:pPr>
    </w:p>
    <w:p w:rsidR="005E5BCB" w:rsidRDefault="005E5BCB" w:rsidP="005E5BCB">
      <w:pPr>
        <w:spacing w:line="480" w:lineRule="auto"/>
        <w:rPr>
          <w:sz w:val="24"/>
          <w:szCs w:val="24"/>
        </w:rPr>
      </w:pPr>
      <w:r>
        <w:rPr>
          <w:sz w:val="24"/>
          <w:szCs w:val="24"/>
        </w:rPr>
        <w:lastRenderedPageBreak/>
        <w:tab/>
      </w:r>
      <w:r>
        <w:rPr>
          <w:sz w:val="24"/>
          <w:szCs w:val="24"/>
        </w:rPr>
        <w:tab/>
        <w:t>1.  This form is a</w:t>
      </w:r>
      <w:r w:rsidR="00E7742E">
        <w:rPr>
          <w:sz w:val="24"/>
          <w:szCs w:val="24"/>
        </w:rPr>
        <w:t xml:space="preserve">n extension </w:t>
      </w:r>
      <w:r>
        <w:rPr>
          <w:sz w:val="24"/>
          <w:szCs w:val="24"/>
        </w:rPr>
        <w:t xml:space="preserve">to a currently approved collection and is the Exhibit A to registration statement filed by individuals and firms representing foreign principals pursuant to the Foreign Agents Registration Act of 1938, as amended, 22 U.S.C. 611, </w:t>
      </w:r>
      <w:r>
        <w:rPr>
          <w:sz w:val="24"/>
          <w:szCs w:val="24"/>
          <w:u w:val="single"/>
        </w:rPr>
        <w:t>et seq</w:t>
      </w:r>
      <w:r>
        <w:rPr>
          <w:sz w:val="24"/>
          <w:szCs w:val="24"/>
        </w:rPr>
        <w:t>. (FARA or the Act).  The use of this form is required by the provisions of the Act and provides the means for compliance with the statutory provisions.  The purpose of FARA is to protect the national defense, internal security, and foreign relations of the United States by requiring public disclosure by persons engaging in propaganda activities and other activities for or on behalf of foreign governments, foreign political parties, and other foreign principals so that the Government and the people of the United States may be informed of the identity of such persons and may appraise their statements and actions in the light of their associations and activities.</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tab/>
      </w:r>
      <w:r>
        <w:rPr>
          <w:sz w:val="24"/>
          <w:szCs w:val="24"/>
        </w:rPr>
        <w:tab/>
        <w:t xml:space="preserve">2.  The Exhibit A must set forth the information required to be disclosed concerning each foreign principal.  The information provided is maintained in the public office of the Registration Unit, Counterespionage Section, </w:t>
      </w:r>
      <w:proofErr w:type="gramStart"/>
      <w:r>
        <w:rPr>
          <w:sz w:val="24"/>
          <w:szCs w:val="24"/>
        </w:rPr>
        <w:t>National</w:t>
      </w:r>
      <w:proofErr w:type="gramEnd"/>
      <w:r>
        <w:rPr>
          <w:sz w:val="24"/>
          <w:szCs w:val="24"/>
        </w:rPr>
        <w:t xml:space="preserve"> Security Division where it is available for review by the public.</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tab/>
      </w:r>
      <w:r>
        <w:rPr>
          <w:sz w:val="24"/>
          <w:szCs w:val="24"/>
        </w:rPr>
        <w:tab/>
        <w:t xml:space="preserve">3. There has been an ongoing conversion of the FARA records system from a paper based filing system to a computerized filing system. Registration forms are available in a fillable format on the FARA website located at </w:t>
      </w:r>
      <w:hyperlink r:id="rId6" w:history="1">
        <w:r>
          <w:rPr>
            <w:rStyle w:val="SYSHYPERTEXT"/>
            <w:sz w:val="24"/>
            <w:szCs w:val="24"/>
          </w:rPr>
          <w:t>http://www.fara.gov</w:t>
        </w:r>
      </w:hyperlink>
      <w:r>
        <w:rPr>
          <w:sz w:val="24"/>
          <w:szCs w:val="24"/>
        </w:rPr>
        <w:t>. These forms were revised and submitted to OMB for 3 year renewal approvals in 2011, and now contain fillable-</w:t>
      </w:r>
      <w:proofErr w:type="spellStart"/>
      <w:r>
        <w:rPr>
          <w:sz w:val="24"/>
          <w:szCs w:val="24"/>
        </w:rPr>
        <w:t>fileable</w:t>
      </w:r>
      <w:proofErr w:type="spellEnd"/>
      <w:r>
        <w:rPr>
          <w:sz w:val="24"/>
          <w:szCs w:val="24"/>
        </w:rPr>
        <w:t xml:space="preserve"> </w:t>
      </w:r>
      <w:r>
        <w:rPr>
          <w:sz w:val="24"/>
          <w:szCs w:val="24"/>
        </w:rPr>
        <w:lastRenderedPageBreak/>
        <w:t xml:space="preserve">and electronic signature capabilities. Section 212 of PL. 110-81, the Honest Leadership and Open Government Act of 2007 (HLOGA), requires the Attorney General to provide registrants with the ability to file registration statements electronically. Following development, review, and testing, the FARA Registration Unit, with OMB approval, launched </w:t>
      </w:r>
      <w:r>
        <w:rPr>
          <w:i/>
          <w:iCs/>
          <w:sz w:val="24"/>
          <w:szCs w:val="24"/>
        </w:rPr>
        <w:t xml:space="preserve">FARA </w:t>
      </w:r>
      <w:proofErr w:type="spellStart"/>
      <w:r>
        <w:rPr>
          <w:i/>
          <w:iCs/>
          <w:sz w:val="24"/>
          <w:szCs w:val="24"/>
        </w:rPr>
        <w:t>eFile</w:t>
      </w:r>
      <w:proofErr w:type="spellEnd"/>
      <w:r>
        <w:rPr>
          <w:i/>
          <w:iCs/>
          <w:sz w:val="24"/>
          <w:szCs w:val="24"/>
        </w:rPr>
        <w:t xml:space="preserve"> </w:t>
      </w:r>
      <w:r>
        <w:rPr>
          <w:sz w:val="24"/>
          <w:szCs w:val="24"/>
        </w:rPr>
        <w:t xml:space="preserve">in 2011, an online system capable of accepting electronic submissions of registration forms, online payments, and invoice account management by registrants. </w:t>
      </w:r>
      <w:r>
        <w:rPr>
          <w:i/>
          <w:iCs/>
          <w:sz w:val="24"/>
          <w:szCs w:val="24"/>
        </w:rPr>
        <w:t xml:space="preserve">FARA </w:t>
      </w:r>
      <w:proofErr w:type="spellStart"/>
      <w:r>
        <w:rPr>
          <w:i/>
          <w:iCs/>
          <w:sz w:val="24"/>
          <w:szCs w:val="24"/>
        </w:rPr>
        <w:t>eFile</w:t>
      </w:r>
      <w:proofErr w:type="spellEnd"/>
      <w:r>
        <w:rPr>
          <w:i/>
          <w:iCs/>
          <w:sz w:val="24"/>
          <w:szCs w:val="24"/>
        </w:rPr>
        <w:t>,</w:t>
      </w:r>
      <w:r>
        <w:rPr>
          <w:sz w:val="24"/>
          <w:szCs w:val="24"/>
        </w:rPr>
        <w:t xml:space="preserve"> accessible through the FARA public website, provides instructions to assist registrants in completing, signing and submitting registration forms, as well as instructions on how to electronically pay the required registration fees by online credit card or ACH debit payments through the Department of Treasury pay.gov financial collection service. The </w:t>
      </w:r>
      <w:r>
        <w:rPr>
          <w:i/>
          <w:iCs/>
          <w:sz w:val="24"/>
          <w:szCs w:val="24"/>
        </w:rPr>
        <w:t xml:space="preserve">FARA </w:t>
      </w:r>
      <w:proofErr w:type="spellStart"/>
      <w:r>
        <w:rPr>
          <w:i/>
          <w:iCs/>
          <w:sz w:val="24"/>
          <w:szCs w:val="24"/>
        </w:rPr>
        <w:t>eFile</w:t>
      </w:r>
      <w:proofErr w:type="spellEnd"/>
      <w:r>
        <w:rPr>
          <w:i/>
          <w:iCs/>
          <w:sz w:val="24"/>
          <w:szCs w:val="24"/>
        </w:rPr>
        <w:t xml:space="preserve"> </w:t>
      </w:r>
      <w:r>
        <w:rPr>
          <w:sz w:val="24"/>
          <w:szCs w:val="24"/>
        </w:rPr>
        <w:t xml:space="preserve">system permits registrants to file registration forms and pay corresponding registration fees electronically to the FARA Registration Unit, 24 hours a day, 7 days a week.   </w:t>
      </w:r>
    </w:p>
    <w:p w:rsidR="005E5BCB" w:rsidRDefault="005E5BCB" w:rsidP="005E5BCB">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E5BCB" w:rsidRDefault="005E5BCB" w:rsidP="005E5BCB">
      <w:pPr>
        <w:spacing w:line="480" w:lineRule="auto"/>
        <w:rPr>
          <w:sz w:val="24"/>
          <w:szCs w:val="24"/>
        </w:rPr>
      </w:pPr>
      <w:r>
        <w:rPr>
          <w:sz w:val="24"/>
          <w:szCs w:val="24"/>
        </w:rPr>
        <w:tab/>
      </w:r>
      <w:r>
        <w:rPr>
          <w:sz w:val="24"/>
          <w:szCs w:val="24"/>
        </w:rPr>
        <w:tab/>
        <w:t>4.  A review of the National Security Division Forms Inventory Report revealed no duplication of efforts.  There is no other similar information currently available which can be used for this purpose.</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tab/>
      </w:r>
      <w:r>
        <w:rPr>
          <w:sz w:val="24"/>
          <w:szCs w:val="24"/>
        </w:rPr>
        <w:tab/>
        <w:t>5.  This collection of information does not have an impact on small businesses or other small entities.</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tab/>
      </w:r>
      <w:r>
        <w:rPr>
          <w:sz w:val="24"/>
          <w:szCs w:val="24"/>
        </w:rPr>
        <w:tab/>
        <w:t xml:space="preserve">6.  Copies of all Exhibit A to the registration statements furnished under the Act are public records and open to public inspection.  If this collection is not conducted, this information cannot be made available for public examination as required by statute.  </w:t>
      </w:r>
    </w:p>
    <w:p w:rsidR="005E5BCB" w:rsidRDefault="005E5BCB" w:rsidP="005E5BCB">
      <w:pPr>
        <w:spacing w:line="480" w:lineRule="auto"/>
        <w:rPr>
          <w:sz w:val="24"/>
          <w:szCs w:val="24"/>
        </w:rPr>
      </w:pPr>
      <w:r>
        <w:rPr>
          <w:sz w:val="24"/>
          <w:szCs w:val="24"/>
        </w:rPr>
        <w:lastRenderedPageBreak/>
        <w:tab/>
      </w:r>
      <w:r>
        <w:rPr>
          <w:sz w:val="24"/>
          <w:szCs w:val="24"/>
        </w:rPr>
        <w:tab/>
        <w:t xml:space="preserve">7.   Section 612(a) of the Act states that every person who becomes an agent of a foreign principal must, within ten days thereafter, file with the Attorney General </w:t>
      </w:r>
      <w:proofErr w:type="gramStart"/>
      <w:r>
        <w:rPr>
          <w:sz w:val="24"/>
          <w:szCs w:val="24"/>
        </w:rPr>
        <w:t>a  registration</w:t>
      </w:r>
      <w:proofErr w:type="gramEnd"/>
      <w:r>
        <w:rPr>
          <w:sz w:val="24"/>
          <w:szCs w:val="24"/>
        </w:rPr>
        <w:t xml:space="preserve"> statement.  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tab/>
      </w:r>
      <w:r>
        <w:rPr>
          <w:sz w:val="24"/>
          <w:szCs w:val="24"/>
        </w:rPr>
        <w:tab/>
        <w:t>8.  A 60-day notice and a 30-day notice were published in the Federal Register on November 12, 2013 and January 17, 2014, respectively, to solicit public comments on this information collection.  The form for this information collection was created internally in the National Security Division.  No comments from the general public concerning these Federal Register notices were received by OMB-OIRA or the FARA Registration Unit.</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tab/>
      </w:r>
      <w:r>
        <w:rPr>
          <w:sz w:val="24"/>
          <w:szCs w:val="24"/>
        </w:rPr>
        <w:tab/>
        <w:t>9.  No payment or gift is provided to respondents.</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tab/>
      </w:r>
      <w:r>
        <w:rPr>
          <w:sz w:val="24"/>
          <w:szCs w:val="24"/>
        </w:rPr>
        <w:tab/>
        <w:t>10.  The information provided is available to the public under the provisions of the Foreign Agents Registration Act, a disclosure statute.  No assurances are provided.</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tab/>
      </w:r>
      <w:r>
        <w:rPr>
          <w:sz w:val="24"/>
          <w:szCs w:val="24"/>
        </w:rPr>
        <w:tab/>
        <w:t>11.  There are no sensitive questions.</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tab/>
      </w:r>
      <w:r>
        <w:rPr>
          <w:sz w:val="24"/>
          <w:szCs w:val="24"/>
        </w:rPr>
        <w:tab/>
        <w:t>12.  The number of respondents is estimated to be 164 and the annual burden hours of 80 is based on the stated responses at .49 hours (29 minutes) per response.</w:t>
      </w:r>
    </w:p>
    <w:p w:rsidR="005E5BCB" w:rsidRDefault="005E5BCB" w:rsidP="005E5BCB">
      <w:pPr>
        <w:spacing w:line="480" w:lineRule="auto"/>
        <w:rPr>
          <w:sz w:val="24"/>
          <w:szCs w:val="24"/>
        </w:rPr>
      </w:pPr>
      <w:r>
        <w:rPr>
          <w:sz w:val="24"/>
          <w:szCs w:val="24"/>
        </w:rPr>
        <w:lastRenderedPageBreak/>
        <w:tab/>
      </w:r>
      <w:r>
        <w:rPr>
          <w:sz w:val="24"/>
          <w:szCs w:val="24"/>
        </w:rPr>
        <w:tab/>
        <w:t>13.  An estimate of the total annual cost burden to respondents or record keepers resulting from this collection of information varies widely depending upon the nature of the foreign agent’s activities for or in the interests of the foreign principal(s) represented, and the number of foreign principals represented during a particular reporting period.  Therefore, a general estimate of the total cost in responding to the forms is unavailable.</w:t>
      </w:r>
    </w:p>
    <w:p w:rsidR="005E5BCB" w:rsidRDefault="005E5BCB" w:rsidP="005E5BCB">
      <w:pPr>
        <w:spacing w:line="480" w:lineRule="auto"/>
        <w:rPr>
          <w:sz w:val="24"/>
          <w:szCs w:val="24"/>
        </w:rPr>
      </w:pPr>
      <w:r>
        <w:rPr>
          <w:sz w:val="24"/>
          <w:szCs w:val="24"/>
        </w:rPr>
        <w:tab/>
      </w:r>
      <w:r w:rsidR="000E1FB7">
        <w:rPr>
          <w:sz w:val="24"/>
          <w:szCs w:val="24"/>
        </w:rPr>
        <w:tab/>
      </w:r>
    </w:p>
    <w:p w:rsidR="005E5BCB" w:rsidRDefault="005E5BCB" w:rsidP="005E5BCB">
      <w:pPr>
        <w:spacing w:line="480" w:lineRule="auto"/>
        <w:rPr>
          <w:sz w:val="24"/>
          <w:szCs w:val="24"/>
        </w:rPr>
      </w:pPr>
      <w:r>
        <w:rPr>
          <w:sz w:val="24"/>
          <w:szCs w:val="24"/>
        </w:rPr>
        <w:tab/>
        <w:t xml:space="preserve">Pursuant to PL. 102-395 enacted on October 6, 1992, and established by regulations codified at 28 C.F.R. § 5.5, the Attorney General is authorized to establish fees to recover the cost of administering FARA. As part of the total annual cost burden to the respondents, a filing fee is charged for Exhibit A forms and for supplemental statement forms.  There is no registration fee for the registration statement, the Exhibit B to the registration statement, the short form registration statement, or the amendment to the registration statement. Each respondent is required to pay a filing fee of $305.00 for each Exhibit A filed, and is required to file this form each time the respondent obtains a new foreign principal.  The filing fees for each supplemental statement filed vary depending on the number of foreign principals represented by the respondent in a given six month period.  The respondent is required to pay $305.00 for each foreign principal represented during the six month reporting period.  While each respondent will pay a filing fee of at least $305.00 for each supplemental statement filed, some respondents may represent as many as 20 foreign principals and pay a filing fee of $6,100.00 for each supplemental statement filed.  The annual estimated cost, when considering only the filing fee, is at least $610, and will increase by an additional $610.00 for each foreign principal represented by the respondent during the year. The number of foreign principals represented in a given year varies.  It is estimated that annually there are approximately 1,225 foreign principals listed by </w:t>
      </w:r>
      <w:r>
        <w:rPr>
          <w:sz w:val="24"/>
          <w:szCs w:val="24"/>
        </w:rPr>
        <w:lastRenderedPageBreak/>
        <w:t>respondents on the registration forms. A total estimate of $373,625.00 is received annually in filing fees from all respondents.</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tab/>
        <w:t>When considering the total annual cost, the filing fee is only one cost burden to the respondent or record keeper.  Other costs associated with completing the registration forms vary widely depending on the nature of activities and number of foreign principals represented.  Respondents reporting for only one foreign principal and engaged in very little activity on behalf of the foreign principal may incur only minimal costs above the filing fee because the time and effort in completing the forms is minimal.  On the other hand, respondents who represent many foreign principals and are actively engaged in activities for those foreign principals incur greater costs in responding to the registration forms because more time and effort is required in responding.  These annual costs also vary widely and can include anything from minimal administrative costs to costly hourly attorney fees.  Therefore, a general estimate of these costs is unavailable.</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tab/>
      </w:r>
      <w:r>
        <w:rPr>
          <w:sz w:val="24"/>
          <w:szCs w:val="24"/>
        </w:rPr>
        <w:tab/>
        <w:t>14.  Below are the estimates of cost to the Federal Government in processing this information collection.</w:t>
      </w:r>
    </w:p>
    <w:p w:rsidR="005E5BCB" w:rsidRDefault="005E5BCB" w:rsidP="005E5BCB">
      <w:pPr>
        <w:rPr>
          <w:sz w:val="24"/>
          <w:szCs w:val="24"/>
        </w:rPr>
      </w:pPr>
      <w:r>
        <w:rPr>
          <w:sz w:val="24"/>
          <w:szCs w:val="24"/>
        </w:rPr>
        <w:tab/>
      </w:r>
      <w:r>
        <w:rPr>
          <w:sz w:val="24"/>
          <w:szCs w:val="24"/>
        </w:rPr>
        <w:tab/>
        <w:t>Printing</w:t>
      </w:r>
      <w:r>
        <w:rPr>
          <w:sz w:val="24"/>
          <w:szCs w:val="24"/>
        </w:rPr>
        <w:tab/>
      </w:r>
      <w:r>
        <w:rPr>
          <w:sz w:val="24"/>
          <w:szCs w:val="24"/>
        </w:rPr>
        <w:tab/>
      </w:r>
      <w:r>
        <w:rPr>
          <w:sz w:val="24"/>
          <w:szCs w:val="24"/>
        </w:rPr>
        <w:tab/>
      </w:r>
      <w:r>
        <w:rPr>
          <w:sz w:val="24"/>
          <w:szCs w:val="24"/>
        </w:rPr>
        <w:tab/>
        <w:t>$     22.00</w:t>
      </w:r>
    </w:p>
    <w:p w:rsidR="005E5BCB" w:rsidRDefault="005E5BCB" w:rsidP="005E5BCB">
      <w:pPr>
        <w:rPr>
          <w:sz w:val="24"/>
          <w:szCs w:val="24"/>
        </w:rPr>
      </w:pPr>
      <w:r>
        <w:rPr>
          <w:sz w:val="24"/>
          <w:szCs w:val="24"/>
        </w:rPr>
        <w:tab/>
      </w:r>
      <w:r>
        <w:rPr>
          <w:sz w:val="24"/>
          <w:szCs w:val="24"/>
        </w:rPr>
        <w:tab/>
        <w:t>Mailing</w:t>
      </w:r>
      <w:r>
        <w:rPr>
          <w:sz w:val="24"/>
          <w:szCs w:val="24"/>
        </w:rPr>
        <w:tab/>
      </w:r>
      <w:r>
        <w:rPr>
          <w:sz w:val="24"/>
          <w:szCs w:val="24"/>
        </w:rPr>
        <w:tab/>
      </w:r>
      <w:r>
        <w:rPr>
          <w:sz w:val="24"/>
          <w:szCs w:val="24"/>
        </w:rPr>
        <w:tab/>
      </w:r>
      <w:r>
        <w:rPr>
          <w:sz w:val="24"/>
          <w:szCs w:val="24"/>
        </w:rPr>
        <w:tab/>
        <w:t xml:space="preserve">       32.00</w:t>
      </w:r>
    </w:p>
    <w:p w:rsidR="005E5BCB" w:rsidRDefault="005E5BCB" w:rsidP="005E5BCB">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r>
      <w:r>
        <w:rPr>
          <w:sz w:val="24"/>
          <w:szCs w:val="24"/>
        </w:rPr>
        <w:tab/>
        <w:t>Professional Time</w:t>
      </w:r>
      <w:r>
        <w:rPr>
          <w:sz w:val="24"/>
          <w:szCs w:val="24"/>
        </w:rPr>
        <w:tab/>
      </w:r>
      <w:r>
        <w:rPr>
          <w:sz w:val="24"/>
          <w:szCs w:val="24"/>
        </w:rPr>
        <w:tab/>
        <w:t xml:space="preserve"> </w:t>
      </w:r>
      <w:r>
        <w:rPr>
          <w:sz w:val="24"/>
          <w:szCs w:val="24"/>
        </w:rPr>
        <w:tab/>
        <w:t>30,739.00</w:t>
      </w:r>
    </w:p>
    <w:p w:rsidR="005E5BCB" w:rsidRDefault="005E5BCB" w:rsidP="005E5BCB">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r>
      <w:r>
        <w:rPr>
          <w:sz w:val="24"/>
          <w:szCs w:val="24"/>
        </w:rPr>
        <w:tab/>
        <w:t>Clerical Time</w:t>
      </w:r>
      <w:r>
        <w:rPr>
          <w:sz w:val="24"/>
          <w:szCs w:val="24"/>
        </w:rPr>
        <w:tab/>
      </w:r>
      <w:r>
        <w:rPr>
          <w:sz w:val="24"/>
          <w:szCs w:val="24"/>
        </w:rPr>
        <w:tab/>
      </w:r>
      <w:r>
        <w:rPr>
          <w:sz w:val="24"/>
          <w:szCs w:val="24"/>
        </w:rPr>
        <w:tab/>
        <w:t xml:space="preserve"> </w:t>
      </w:r>
      <w:r>
        <w:rPr>
          <w:sz w:val="24"/>
          <w:szCs w:val="24"/>
        </w:rPr>
        <w:tab/>
        <w:t>15,479.00</w:t>
      </w:r>
    </w:p>
    <w:p w:rsidR="005E5BCB" w:rsidRDefault="005E5BCB" w:rsidP="005E5BCB">
      <w:pPr>
        <w:rPr>
          <w:sz w:val="24"/>
          <w:szCs w:val="24"/>
        </w:rPr>
      </w:pPr>
      <w:r>
        <w:rPr>
          <w:sz w:val="24"/>
          <w:szCs w:val="24"/>
        </w:rPr>
        <w:tab/>
      </w:r>
      <w:r>
        <w:rPr>
          <w:sz w:val="24"/>
          <w:szCs w:val="24"/>
        </w:rPr>
        <w:tab/>
        <w:t>Overhead</w:t>
      </w:r>
      <w:r>
        <w:rPr>
          <w:sz w:val="24"/>
          <w:szCs w:val="24"/>
        </w:rPr>
        <w:tab/>
      </w:r>
      <w:r>
        <w:rPr>
          <w:sz w:val="24"/>
          <w:szCs w:val="24"/>
        </w:rPr>
        <w:tab/>
      </w:r>
      <w:r>
        <w:rPr>
          <w:sz w:val="24"/>
          <w:szCs w:val="24"/>
        </w:rPr>
        <w:tab/>
      </w:r>
      <w:r>
        <w:rPr>
          <w:sz w:val="24"/>
          <w:szCs w:val="24"/>
        </w:rPr>
        <w:tab/>
        <w:t xml:space="preserve">     294.00</w:t>
      </w:r>
    </w:p>
    <w:p w:rsidR="005E5BCB" w:rsidRDefault="005E5BCB" w:rsidP="005E5BC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w:t>
      </w:r>
    </w:p>
    <w:p w:rsidR="005E5BCB" w:rsidRDefault="005E5BCB" w:rsidP="005E5BCB">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r>
      <w:r>
        <w:rPr>
          <w:sz w:val="24"/>
          <w:szCs w:val="24"/>
        </w:rPr>
        <w:tab/>
      </w:r>
      <w:r>
        <w:rPr>
          <w:sz w:val="24"/>
          <w:szCs w:val="24"/>
        </w:rPr>
        <w:tab/>
        <w:t>Total</w:t>
      </w:r>
      <w:r>
        <w:rPr>
          <w:sz w:val="24"/>
          <w:szCs w:val="24"/>
        </w:rPr>
        <w:tab/>
      </w:r>
      <w:r>
        <w:rPr>
          <w:sz w:val="24"/>
          <w:szCs w:val="24"/>
        </w:rPr>
        <w:tab/>
      </w:r>
      <w:r>
        <w:rPr>
          <w:sz w:val="24"/>
          <w:szCs w:val="24"/>
        </w:rPr>
        <w:tab/>
      </w:r>
      <w:r>
        <w:rPr>
          <w:sz w:val="24"/>
          <w:szCs w:val="24"/>
        </w:rPr>
        <w:tab/>
        <w:t>$46,566.00</w:t>
      </w:r>
    </w:p>
    <w:p w:rsidR="005E5BCB" w:rsidRDefault="005E5BCB" w:rsidP="005E5BCB">
      <w:pPr>
        <w:tabs>
          <w:tab w:val="left" w:pos="720"/>
          <w:tab w:val="left" w:pos="1440"/>
          <w:tab w:val="left" w:pos="2160"/>
          <w:tab w:val="left" w:pos="2880"/>
          <w:tab w:val="left" w:pos="3600"/>
          <w:tab w:val="left" w:pos="4320"/>
          <w:tab w:val="left" w:pos="5040"/>
        </w:tabs>
        <w:ind w:left="5040" w:hanging="5040"/>
        <w:rPr>
          <w:sz w:val="24"/>
          <w:szCs w:val="24"/>
        </w:rPr>
      </w:pPr>
    </w:p>
    <w:p w:rsidR="000E1FB7" w:rsidRDefault="000E1FB7" w:rsidP="005E5BCB">
      <w:pPr>
        <w:tabs>
          <w:tab w:val="left" w:pos="720"/>
          <w:tab w:val="left" w:pos="1440"/>
          <w:tab w:val="left" w:pos="2160"/>
          <w:tab w:val="left" w:pos="2880"/>
          <w:tab w:val="left" w:pos="3600"/>
          <w:tab w:val="left" w:pos="4320"/>
          <w:tab w:val="left" w:pos="5040"/>
        </w:tabs>
        <w:ind w:left="5040" w:hanging="5040"/>
        <w:rPr>
          <w:sz w:val="24"/>
          <w:szCs w:val="24"/>
        </w:rPr>
      </w:pPr>
    </w:p>
    <w:p w:rsidR="005E5BCB" w:rsidRDefault="005E5BCB" w:rsidP="005E5BCB">
      <w:pPr>
        <w:spacing w:line="480" w:lineRule="auto"/>
        <w:rPr>
          <w:sz w:val="24"/>
          <w:szCs w:val="24"/>
        </w:rPr>
      </w:pPr>
      <w:r>
        <w:rPr>
          <w:sz w:val="24"/>
          <w:szCs w:val="24"/>
        </w:rPr>
        <w:t xml:space="preserve">Note: In developing the congressionally-mandated </w:t>
      </w:r>
      <w:r>
        <w:rPr>
          <w:i/>
          <w:iCs/>
          <w:sz w:val="24"/>
          <w:szCs w:val="24"/>
        </w:rPr>
        <w:t xml:space="preserve">FARA </w:t>
      </w:r>
      <w:proofErr w:type="spellStart"/>
      <w:r>
        <w:rPr>
          <w:i/>
          <w:iCs/>
          <w:sz w:val="24"/>
          <w:szCs w:val="24"/>
        </w:rPr>
        <w:t>eFile</w:t>
      </w:r>
      <w:proofErr w:type="spellEnd"/>
      <w:r>
        <w:rPr>
          <w:sz w:val="24"/>
          <w:szCs w:val="24"/>
        </w:rPr>
        <w:t xml:space="preserve"> electronic filing system, the federal government invested considerable resources developing the computer code, screens, and </w:t>
      </w:r>
      <w:r>
        <w:rPr>
          <w:sz w:val="24"/>
          <w:szCs w:val="24"/>
        </w:rPr>
        <w:lastRenderedPageBreak/>
        <w:t xml:space="preserve">other digital features that work with the FARA forms allowing the system to function. Once operational in 2011, the costs for </w:t>
      </w:r>
      <w:r>
        <w:rPr>
          <w:i/>
          <w:iCs/>
          <w:sz w:val="24"/>
          <w:szCs w:val="24"/>
        </w:rPr>
        <w:t xml:space="preserve">FARA </w:t>
      </w:r>
      <w:proofErr w:type="spellStart"/>
      <w:r>
        <w:rPr>
          <w:i/>
          <w:iCs/>
          <w:sz w:val="24"/>
          <w:szCs w:val="24"/>
        </w:rPr>
        <w:t>eFile</w:t>
      </w:r>
      <w:proofErr w:type="spellEnd"/>
      <w:r>
        <w:rPr>
          <w:sz w:val="24"/>
          <w:szCs w:val="24"/>
        </w:rPr>
        <w:t xml:space="preserve"> development were greatly reduced. Since many technical projects involving the daily computer operations of the FARA Unit overlap, an exact figure for </w:t>
      </w:r>
      <w:r>
        <w:rPr>
          <w:i/>
          <w:iCs/>
          <w:sz w:val="24"/>
          <w:szCs w:val="24"/>
        </w:rPr>
        <w:t xml:space="preserve">FARA </w:t>
      </w:r>
      <w:proofErr w:type="spellStart"/>
      <w:r>
        <w:rPr>
          <w:i/>
          <w:iCs/>
          <w:sz w:val="24"/>
          <w:szCs w:val="24"/>
        </w:rPr>
        <w:t>eFile</w:t>
      </w:r>
      <w:proofErr w:type="spellEnd"/>
      <w:r>
        <w:rPr>
          <w:sz w:val="24"/>
          <w:szCs w:val="24"/>
        </w:rPr>
        <w:t xml:space="preserve"> development is unavailable. The cost for the last two years of software development by the prime contractor on this, and other FARA computer projects, totaled $1,173,860.00 ($673,500.00 for FY 2010 and $500,360.00 for FY 2009).</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tab/>
      </w:r>
      <w:r>
        <w:rPr>
          <w:sz w:val="24"/>
          <w:szCs w:val="24"/>
        </w:rPr>
        <w:tab/>
        <w:t>15.  The number of respondents varies depending on the number of persons acting as agents of foreign principals required to register under the Act, and depending upon the number of individuals acting as officials or employees or rendering assistance to a registrant for or in the interests of the latter’s foreign principal(s).</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tab/>
        <w:t>This is a</w:t>
      </w:r>
      <w:r w:rsidR="00BB75B0">
        <w:rPr>
          <w:sz w:val="24"/>
          <w:szCs w:val="24"/>
        </w:rPr>
        <w:t>n</w:t>
      </w:r>
      <w:bookmarkStart w:id="0" w:name="_GoBack"/>
      <w:bookmarkEnd w:id="0"/>
      <w:r>
        <w:rPr>
          <w:sz w:val="24"/>
          <w:szCs w:val="24"/>
        </w:rPr>
        <w:t xml:space="preserve"> e</w:t>
      </w:r>
      <w:r w:rsidR="00BB75B0">
        <w:rPr>
          <w:sz w:val="24"/>
          <w:szCs w:val="24"/>
        </w:rPr>
        <w:t>xtension</w:t>
      </w:r>
      <w:r>
        <w:rPr>
          <w:sz w:val="24"/>
          <w:szCs w:val="24"/>
        </w:rPr>
        <w:t xml:space="preserve"> to a currently approved collection. This information collection review (ICR) adds no further capabilities.</w:t>
      </w:r>
      <w:r>
        <w:rPr>
          <w:sz w:val="24"/>
          <w:szCs w:val="24"/>
        </w:rPr>
        <w:tab/>
      </w:r>
      <w:r>
        <w:rPr>
          <w:sz w:val="24"/>
          <w:szCs w:val="24"/>
        </w:rPr>
        <w:tab/>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rFonts w:ascii="Calibri" w:hAnsi="Calibri" w:cs="Calibri"/>
          <w:sz w:val="22"/>
          <w:szCs w:val="22"/>
        </w:rPr>
        <w:t>           </w:t>
      </w:r>
      <w:r>
        <w:rPr>
          <w:sz w:val="24"/>
          <w:szCs w:val="24"/>
        </w:rPr>
        <w:t xml:space="preserve"> The FARA </w:t>
      </w:r>
      <w:proofErr w:type="spellStart"/>
      <w:r>
        <w:rPr>
          <w:sz w:val="24"/>
          <w:szCs w:val="24"/>
        </w:rPr>
        <w:t>eFile</w:t>
      </w:r>
      <w:proofErr w:type="spellEnd"/>
      <w:r>
        <w:rPr>
          <w:sz w:val="24"/>
          <w:szCs w:val="24"/>
        </w:rPr>
        <w:t xml:space="preserve"> creates E-Signature versions of existing FARA forms (fillable-</w:t>
      </w:r>
      <w:proofErr w:type="spellStart"/>
      <w:r>
        <w:rPr>
          <w:sz w:val="24"/>
          <w:szCs w:val="24"/>
        </w:rPr>
        <w:t>fileable</w:t>
      </w:r>
      <w:proofErr w:type="spellEnd"/>
      <w:r>
        <w:rPr>
          <w:sz w:val="24"/>
          <w:szCs w:val="24"/>
        </w:rPr>
        <w:t xml:space="preserve">) along with associated screens allowing FARA registrants to complete, sign, and upload the forms, as well as pay the required filing fee using a credit or debit card.  The public burden in completing the FARA forms electronically is unaffected by </w:t>
      </w:r>
      <w:proofErr w:type="spellStart"/>
      <w:r>
        <w:rPr>
          <w:sz w:val="24"/>
          <w:szCs w:val="24"/>
        </w:rPr>
        <w:t>eFile</w:t>
      </w:r>
      <w:proofErr w:type="spellEnd"/>
      <w:r>
        <w:rPr>
          <w:sz w:val="24"/>
          <w:szCs w:val="24"/>
        </w:rPr>
        <w:t xml:space="preserve">. The time invested by the public in completing the required form remains the same, regardless of the method: paper-based or </w:t>
      </w:r>
      <w:proofErr w:type="spellStart"/>
      <w:r>
        <w:rPr>
          <w:sz w:val="24"/>
          <w:szCs w:val="24"/>
        </w:rPr>
        <w:t>eFile</w:t>
      </w:r>
      <w:proofErr w:type="spellEnd"/>
      <w:r>
        <w:rPr>
          <w:sz w:val="24"/>
          <w:szCs w:val="24"/>
        </w:rPr>
        <w:t>. </w:t>
      </w:r>
    </w:p>
    <w:p w:rsidR="005E5BCB" w:rsidRDefault="005E5BCB" w:rsidP="005E5BCB">
      <w:pPr>
        <w:spacing w:line="480" w:lineRule="auto"/>
        <w:rPr>
          <w:sz w:val="24"/>
          <w:szCs w:val="24"/>
        </w:rPr>
      </w:pPr>
    </w:p>
    <w:p w:rsidR="005E5BCB" w:rsidRDefault="005E5BCB" w:rsidP="005E5BCB">
      <w:pPr>
        <w:spacing w:line="480" w:lineRule="auto"/>
        <w:ind w:firstLine="720"/>
        <w:rPr>
          <w:sz w:val="24"/>
          <w:szCs w:val="24"/>
        </w:rPr>
      </w:pPr>
      <w:r>
        <w:rPr>
          <w:sz w:val="24"/>
          <w:szCs w:val="24"/>
        </w:rPr>
        <w:lastRenderedPageBreak/>
        <w:t xml:space="preserve">The burden reduction will be realized through the registration filing process. The filing process occurs immediately after the FARA form has been completed by the registrant, using either the paper-based version or the </w:t>
      </w:r>
      <w:proofErr w:type="spellStart"/>
      <w:r>
        <w:rPr>
          <w:sz w:val="24"/>
          <w:szCs w:val="24"/>
        </w:rPr>
        <w:t>eFile</w:t>
      </w:r>
      <w:proofErr w:type="spellEnd"/>
      <w:r>
        <w:rPr>
          <w:sz w:val="24"/>
          <w:szCs w:val="24"/>
        </w:rPr>
        <w:t xml:space="preserve"> method.  The filing process ends when the registrant has completed the package for delivery using the paper-based method or submitted it electronically using </w:t>
      </w:r>
      <w:proofErr w:type="spellStart"/>
      <w:r>
        <w:rPr>
          <w:sz w:val="24"/>
          <w:szCs w:val="24"/>
        </w:rPr>
        <w:t>eFile</w:t>
      </w:r>
      <w:proofErr w:type="spellEnd"/>
      <w:r>
        <w:rPr>
          <w:sz w:val="24"/>
          <w:szCs w:val="24"/>
        </w:rPr>
        <w:t xml:space="preserve">.  It is estimated that E-Signature reduces the burden by .01 hours or one (1) minute, and the administrative burden is reduced by .28 hours or seventeen (17) minutes.  Therefore, the estimated total burden reduction for the filing process for the exhibit A to registration statement form known as OMB Control Number 1124-0006 and form NSD-3, is  reduced by 18 minutes if the form is submitted to the Registration Unit through </w:t>
      </w:r>
      <w:proofErr w:type="spellStart"/>
      <w:r>
        <w:rPr>
          <w:sz w:val="24"/>
          <w:szCs w:val="24"/>
        </w:rPr>
        <w:t>eFile</w:t>
      </w:r>
      <w:proofErr w:type="spellEnd"/>
      <w:r>
        <w:rPr>
          <w:sz w:val="24"/>
          <w:szCs w:val="24"/>
        </w:rPr>
        <w:t xml:space="preserve">. </w:t>
      </w:r>
    </w:p>
    <w:p w:rsidR="005E5BCB" w:rsidRDefault="005E5BCB" w:rsidP="005E5BCB">
      <w:pPr>
        <w:spacing w:line="480" w:lineRule="auto"/>
        <w:rPr>
          <w:sz w:val="24"/>
          <w:szCs w:val="24"/>
        </w:rPr>
      </w:pPr>
      <w:r>
        <w:rPr>
          <w:sz w:val="24"/>
          <w:szCs w:val="24"/>
        </w:rPr>
        <w:tab/>
      </w:r>
    </w:p>
    <w:p w:rsidR="005E5BCB" w:rsidRDefault="005E5BCB" w:rsidP="005E5BCB">
      <w:pPr>
        <w:spacing w:line="480" w:lineRule="auto"/>
        <w:rPr>
          <w:sz w:val="24"/>
          <w:szCs w:val="24"/>
        </w:rPr>
      </w:pPr>
      <w:r>
        <w:rPr>
          <w:sz w:val="24"/>
          <w:szCs w:val="24"/>
        </w:rPr>
        <w:tab/>
      </w:r>
      <w:r>
        <w:rPr>
          <w:sz w:val="24"/>
          <w:szCs w:val="24"/>
        </w:rPr>
        <w:tab/>
        <w:t>16.  Section 621 of FARA, requires the Attorney General to report every six months to the Congress concerning the administration of the Act, as well as the nature, sources and content of informational materials disseminated and distributed by agents of foreign principals registered under the Act.  The text of the report lists, according to geographical area or nationality field, all agents who were registered at any time during the six month period, or who reported for the first time in that period activities, receipts or disbursements for the previous period.  It includes the identities of the agents and their foreign principal(s), a description of the agent's activities, a total figure for monies received, a description of any information materials disseminated, and a listing of all individual agents.</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tab/>
      </w:r>
      <w:r>
        <w:rPr>
          <w:sz w:val="24"/>
          <w:szCs w:val="24"/>
        </w:rPr>
        <w:tab/>
        <w:t>17. The expiration date OMB assigns for this ICR is entered into ROCIS and will be displayed on the FARA forms.</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lastRenderedPageBreak/>
        <w:tab/>
      </w:r>
      <w:r>
        <w:rPr>
          <w:sz w:val="24"/>
          <w:szCs w:val="24"/>
        </w:rPr>
        <w:tab/>
        <w:t xml:space="preserve">18. The </w:t>
      </w:r>
      <w:r>
        <w:rPr>
          <w:i/>
          <w:iCs/>
          <w:sz w:val="24"/>
          <w:szCs w:val="24"/>
        </w:rPr>
        <w:t xml:space="preserve">FARA </w:t>
      </w:r>
      <w:proofErr w:type="spellStart"/>
      <w:r>
        <w:rPr>
          <w:i/>
          <w:iCs/>
          <w:sz w:val="24"/>
          <w:szCs w:val="24"/>
        </w:rPr>
        <w:t>eFile</w:t>
      </w:r>
      <w:proofErr w:type="spellEnd"/>
      <w:r>
        <w:rPr>
          <w:sz w:val="24"/>
          <w:szCs w:val="24"/>
        </w:rPr>
        <w:t xml:space="preserve"> system utilizes improved versions of the OMB 1124 FARA forms containing electronic signature capabilities, corresponding </w:t>
      </w:r>
      <w:r>
        <w:rPr>
          <w:i/>
          <w:iCs/>
          <w:sz w:val="24"/>
          <w:szCs w:val="24"/>
        </w:rPr>
        <w:t xml:space="preserve">FARA </w:t>
      </w:r>
      <w:proofErr w:type="spellStart"/>
      <w:r>
        <w:rPr>
          <w:i/>
          <w:iCs/>
          <w:sz w:val="24"/>
          <w:szCs w:val="24"/>
        </w:rPr>
        <w:t>eFile</w:t>
      </w:r>
      <w:proofErr w:type="spellEnd"/>
      <w:r>
        <w:rPr>
          <w:i/>
          <w:iCs/>
          <w:sz w:val="24"/>
          <w:szCs w:val="24"/>
        </w:rPr>
        <w:t xml:space="preserve"> </w:t>
      </w:r>
      <w:r>
        <w:rPr>
          <w:sz w:val="24"/>
          <w:szCs w:val="24"/>
        </w:rPr>
        <w:t xml:space="preserve">webpage screens for intuitive online filing, credit card and ACH debit payment options, self-service invoicing account management, and Justice Management Division (JMD) deposit capabilities utilizing the Department of Treasury Pay.gov financial collection service. </w:t>
      </w:r>
      <w:r>
        <w:rPr>
          <w:i/>
          <w:iCs/>
          <w:sz w:val="24"/>
          <w:szCs w:val="24"/>
        </w:rPr>
        <w:t xml:space="preserve">FARA </w:t>
      </w:r>
      <w:proofErr w:type="spellStart"/>
      <w:r>
        <w:rPr>
          <w:i/>
          <w:iCs/>
          <w:sz w:val="24"/>
          <w:szCs w:val="24"/>
        </w:rPr>
        <w:t>eFile</w:t>
      </w:r>
      <w:proofErr w:type="spellEnd"/>
      <w:r>
        <w:rPr>
          <w:sz w:val="24"/>
          <w:szCs w:val="24"/>
        </w:rPr>
        <w:t xml:space="preserve"> works in conjunction with the FARA Registration Unit Data and Imaging System to ensure proper accounting of registration forms and payments and allowing for the electronic deposit of fees.</w:t>
      </w:r>
    </w:p>
    <w:p w:rsidR="005E5BCB" w:rsidRDefault="005E5BCB" w:rsidP="005E5BCB">
      <w:pPr>
        <w:spacing w:line="480" w:lineRule="auto"/>
        <w:rPr>
          <w:sz w:val="24"/>
          <w:szCs w:val="24"/>
        </w:rPr>
      </w:pPr>
      <w:r>
        <w:rPr>
          <w:sz w:val="24"/>
          <w:szCs w:val="24"/>
        </w:rPr>
        <w:tab/>
      </w:r>
    </w:p>
    <w:p w:rsidR="005E5BCB" w:rsidRDefault="005E5BCB" w:rsidP="005E5BCB">
      <w:pPr>
        <w:spacing w:line="480" w:lineRule="auto"/>
        <w:rPr>
          <w:sz w:val="24"/>
          <w:szCs w:val="24"/>
        </w:rPr>
      </w:pPr>
      <w:r>
        <w:rPr>
          <w:sz w:val="24"/>
          <w:szCs w:val="24"/>
        </w:rPr>
        <w:tab/>
        <w:t xml:space="preserve">The benefits </w:t>
      </w:r>
      <w:hyperlink r:id="rId7" w:history="1">
        <w:r w:rsidRPr="000E1FB7">
          <w:rPr>
            <w:rStyle w:val="SYSHYPERTEXT"/>
            <w:color w:val="auto"/>
            <w:sz w:val="24"/>
            <w:szCs w:val="24"/>
            <w:u w:val="none"/>
          </w:rPr>
          <w:t xml:space="preserve">of implementing </w:t>
        </w:r>
        <w:r w:rsidRPr="000E1FB7">
          <w:rPr>
            <w:rStyle w:val="SYSHYPERTEXT"/>
            <w:i/>
            <w:iCs/>
            <w:color w:val="auto"/>
            <w:sz w:val="24"/>
            <w:szCs w:val="24"/>
            <w:u w:val="none"/>
          </w:rPr>
          <w:t xml:space="preserve">FARA </w:t>
        </w:r>
        <w:proofErr w:type="spellStart"/>
        <w:r w:rsidRPr="000E1FB7">
          <w:rPr>
            <w:rStyle w:val="SYSHYPERTEXT"/>
            <w:i/>
            <w:iCs/>
            <w:color w:val="auto"/>
            <w:sz w:val="24"/>
            <w:szCs w:val="24"/>
            <w:u w:val="none"/>
          </w:rPr>
          <w:t>eFile</w:t>
        </w:r>
        <w:proofErr w:type="spellEnd"/>
        <w:r w:rsidRPr="000E1FB7">
          <w:rPr>
            <w:rStyle w:val="SYSHYPERTEXT"/>
            <w:i/>
            <w:iCs/>
            <w:color w:val="auto"/>
            <w:sz w:val="24"/>
            <w:szCs w:val="24"/>
            <w:u w:val="none"/>
          </w:rPr>
          <w:t xml:space="preserve"> </w:t>
        </w:r>
      </w:hyperlink>
      <w:r>
        <w:rPr>
          <w:sz w:val="24"/>
          <w:szCs w:val="24"/>
        </w:rPr>
        <w:t>include: convenience for the public, increased transparency of operations, adherence to the Paperwork Reduction Act (PRA) and HLOGA, and utilization of digitally-based and technically-advanced features as encouraged by the American people, industry, Congress, OMB, and DOJ that over time reduces burden, is more environmentally-friendly, and provides a streamlined process for users.</w:t>
      </w:r>
    </w:p>
    <w:p w:rsidR="005E5BCB" w:rsidRDefault="005E5BCB" w:rsidP="005E5BCB">
      <w:pPr>
        <w:spacing w:line="480" w:lineRule="auto"/>
        <w:rPr>
          <w:sz w:val="24"/>
          <w:szCs w:val="24"/>
        </w:rPr>
      </w:pPr>
      <w:r>
        <w:rPr>
          <w:sz w:val="24"/>
          <w:szCs w:val="24"/>
        </w:rPr>
        <w:tab/>
      </w:r>
      <w:r>
        <w:rPr>
          <w:sz w:val="24"/>
          <w:szCs w:val="24"/>
        </w:rPr>
        <w:tab/>
      </w:r>
      <w:r>
        <w:rPr>
          <w:sz w:val="24"/>
          <w:szCs w:val="24"/>
        </w:rPr>
        <w:tab/>
      </w:r>
    </w:p>
    <w:p w:rsidR="005E5BCB" w:rsidRDefault="005E5BCB" w:rsidP="005E5BCB">
      <w:pPr>
        <w:spacing w:line="480" w:lineRule="auto"/>
        <w:rPr>
          <w:sz w:val="24"/>
          <w:szCs w:val="24"/>
        </w:rPr>
      </w:pPr>
      <w:r>
        <w:rPr>
          <w:sz w:val="24"/>
          <w:szCs w:val="24"/>
        </w:rPr>
        <w:tab/>
      </w:r>
      <w:r>
        <w:rPr>
          <w:sz w:val="24"/>
          <w:szCs w:val="24"/>
        </w:rPr>
        <w:tab/>
        <w:t xml:space="preserve">19.  The NSD does not request an exception to the certification of this information collection.  </w:t>
      </w:r>
      <w:r>
        <w:rPr>
          <w:sz w:val="24"/>
          <w:szCs w:val="24"/>
        </w:rPr>
        <w:tab/>
      </w:r>
      <w:r>
        <w:rPr>
          <w:sz w:val="24"/>
          <w:szCs w:val="24"/>
        </w:rPr>
        <w:tab/>
      </w:r>
    </w:p>
    <w:p w:rsidR="005E5BCB" w:rsidRDefault="005E5BCB" w:rsidP="005E5BCB">
      <w:pPr>
        <w:spacing w:line="480" w:lineRule="auto"/>
        <w:rPr>
          <w:sz w:val="24"/>
          <w:szCs w:val="24"/>
        </w:rPr>
      </w:pPr>
      <w:r>
        <w:rPr>
          <w:sz w:val="24"/>
          <w:szCs w:val="24"/>
        </w:rPr>
        <w:br w:type="page"/>
      </w:r>
      <w:r>
        <w:rPr>
          <w:b/>
          <w:bCs/>
          <w:sz w:val="24"/>
          <w:szCs w:val="24"/>
        </w:rPr>
        <w:lastRenderedPageBreak/>
        <w:t>B.  Collection of Information Employing Statistical Methods.</w:t>
      </w: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rPr>
        <w:tab/>
        <w:t xml:space="preserve">This information collection does not employ statistical methods.  Section 2 of the Foreign Agents Registration Act of 1938, as amended, 22 U.S.C. 611, </w:t>
      </w:r>
      <w:r>
        <w:rPr>
          <w:sz w:val="24"/>
          <w:szCs w:val="24"/>
          <w:u w:val="single"/>
        </w:rPr>
        <w:t>et seq</w:t>
      </w:r>
      <w:r>
        <w:rPr>
          <w:sz w:val="24"/>
          <w:szCs w:val="24"/>
        </w:rPr>
        <w:t>. (the Act) sets forth the general requirements as to registration as well as the information which a registrant is required to supply in the registration statement</w:t>
      </w:r>
    </w:p>
    <w:p w:rsidR="005E5BCB" w:rsidRDefault="005E5BCB" w:rsidP="005E5BCB">
      <w:pPr>
        <w:spacing w:line="480" w:lineRule="auto"/>
        <w:rPr>
          <w:sz w:val="24"/>
          <w:szCs w:val="24"/>
        </w:rPr>
      </w:pPr>
    </w:p>
    <w:p w:rsidR="005E5BCB" w:rsidRDefault="005E5BCB" w:rsidP="005E5BCB">
      <w:pPr>
        <w:spacing w:line="480" w:lineRule="auto"/>
        <w:rPr>
          <w:b/>
          <w:bCs/>
          <w:sz w:val="24"/>
          <w:szCs w:val="24"/>
        </w:rPr>
      </w:pPr>
    </w:p>
    <w:p w:rsidR="005E5BCB" w:rsidRDefault="005E5BCB" w:rsidP="005E5BCB">
      <w:pPr>
        <w:spacing w:line="480" w:lineRule="auto"/>
        <w:rPr>
          <w:sz w:val="24"/>
          <w:szCs w:val="24"/>
        </w:rPr>
        <w:sectPr w:rsidR="005E5BCB">
          <w:type w:val="continuous"/>
          <w:pgSz w:w="12240" w:h="15840"/>
          <w:pgMar w:top="1440" w:right="1440" w:bottom="1440" w:left="1440" w:header="1440" w:footer="1440" w:gutter="0"/>
          <w:cols w:space="720"/>
        </w:sectPr>
      </w:pPr>
      <w:r>
        <w:rPr>
          <w:sz w:val="24"/>
          <w:szCs w:val="24"/>
        </w:rPr>
        <w:br w:type="page"/>
      </w:r>
    </w:p>
    <w:p w:rsidR="005E5BCB" w:rsidRDefault="005E5BCB" w:rsidP="005E5BCB">
      <w:pPr>
        <w:spacing w:line="480" w:lineRule="auto"/>
        <w:rPr>
          <w:b/>
          <w:bCs/>
          <w:sz w:val="24"/>
          <w:szCs w:val="24"/>
        </w:rPr>
      </w:pPr>
      <w:r>
        <w:rPr>
          <w:b/>
          <w:bCs/>
          <w:sz w:val="24"/>
          <w:szCs w:val="24"/>
        </w:rPr>
        <w:lastRenderedPageBreak/>
        <w:t>C.</w:t>
      </w:r>
      <w:r>
        <w:rPr>
          <w:b/>
          <w:bCs/>
          <w:sz w:val="24"/>
          <w:szCs w:val="24"/>
        </w:rPr>
        <w:tab/>
        <w:t>Certification and Signature.</w:t>
      </w:r>
    </w:p>
    <w:p w:rsidR="005E5BCB" w:rsidRDefault="005E5BCB" w:rsidP="005E5BCB">
      <w:pPr>
        <w:spacing w:line="480" w:lineRule="auto"/>
        <w:rPr>
          <w:b/>
          <w:bCs/>
          <w:sz w:val="24"/>
          <w:szCs w:val="24"/>
        </w:rPr>
      </w:pPr>
    </w:p>
    <w:p w:rsidR="005E5BCB" w:rsidRDefault="005E5BCB" w:rsidP="005E5BCB">
      <w:pPr>
        <w:spacing w:line="480" w:lineRule="auto"/>
        <w:jc w:val="center"/>
        <w:rPr>
          <w:b/>
          <w:bCs/>
          <w:sz w:val="24"/>
          <w:szCs w:val="24"/>
        </w:rPr>
      </w:pPr>
      <w:r>
        <w:rPr>
          <w:b/>
          <w:bCs/>
          <w:sz w:val="24"/>
          <w:szCs w:val="24"/>
        </w:rPr>
        <w:t>PAPERWORK CERTIFICATION</w:t>
      </w:r>
    </w:p>
    <w:p w:rsidR="005E5BCB" w:rsidRDefault="005E5BCB" w:rsidP="005E5BCB">
      <w:pPr>
        <w:spacing w:line="480" w:lineRule="auto"/>
        <w:rPr>
          <w:b/>
          <w:bCs/>
          <w:sz w:val="24"/>
          <w:szCs w:val="24"/>
        </w:rPr>
      </w:pPr>
    </w:p>
    <w:p w:rsidR="005E5BCB" w:rsidRDefault="005E5BCB" w:rsidP="005E5BCB">
      <w:pPr>
        <w:spacing w:line="480" w:lineRule="auto"/>
        <w:rPr>
          <w:sz w:val="24"/>
          <w:szCs w:val="24"/>
        </w:rPr>
      </w:pPr>
      <w:r>
        <w:rPr>
          <w:sz w:val="24"/>
          <w:szCs w:val="24"/>
        </w:rPr>
        <w:t>In submitting this request for Office of Management and Budget (OMB) approval, I certify that the requirements of the Privacy Act and OMB directives have been complied with including paperwork regulations, statistical standards or directives, and any other information policy directives promulgated under the Paperwork Reduction Act of 1995.</w:t>
      </w:r>
    </w:p>
    <w:p w:rsidR="005E5BCB" w:rsidRDefault="005E5BCB" w:rsidP="005E5BCB">
      <w:pPr>
        <w:spacing w:line="480" w:lineRule="auto"/>
        <w:rPr>
          <w:sz w:val="24"/>
          <w:szCs w:val="24"/>
        </w:rPr>
      </w:pPr>
    </w:p>
    <w:p w:rsidR="005E5BCB" w:rsidRDefault="005E5BCB" w:rsidP="005E5BCB">
      <w:pPr>
        <w:spacing w:line="480" w:lineRule="auto"/>
        <w:rPr>
          <w:sz w:val="24"/>
          <w:szCs w:val="24"/>
        </w:rPr>
      </w:pPr>
    </w:p>
    <w:p w:rsidR="005E5BCB" w:rsidRDefault="005E5BCB" w:rsidP="005E5BCB">
      <w:pPr>
        <w:spacing w:line="480" w:lineRule="auto"/>
        <w:rPr>
          <w:sz w:val="24"/>
          <w:szCs w:val="24"/>
        </w:rPr>
      </w:pPr>
      <w:r>
        <w:rPr>
          <w:sz w:val="24"/>
          <w:szCs w:val="24"/>
          <w:u w:val="single"/>
        </w:rPr>
        <w:t xml:space="preserve">_____________________                                                   </w:t>
      </w:r>
      <w:r w:rsidR="000E1FB7">
        <w:rPr>
          <w:sz w:val="24"/>
          <w:szCs w:val="24"/>
          <w:u w:val="single"/>
        </w:rPr>
        <w:t>_________</w:t>
      </w:r>
      <w:r>
        <w:rPr>
          <w:sz w:val="24"/>
          <w:szCs w:val="24"/>
        </w:rPr>
        <w:tab/>
      </w:r>
      <w:r>
        <w:rPr>
          <w:sz w:val="24"/>
          <w:szCs w:val="24"/>
        </w:rPr>
        <w:tab/>
      </w:r>
      <w:r>
        <w:rPr>
          <w:sz w:val="24"/>
          <w:szCs w:val="24"/>
        </w:rPr>
        <w:tab/>
      </w:r>
      <w:r>
        <w:rPr>
          <w:sz w:val="24"/>
          <w:szCs w:val="24"/>
          <w:u w:val="single"/>
        </w:rPr>
        <w:t xml:space="preserve">                              </w:t>
      </w:r>
    </w:p>
    <w:p w:rsidR="005E5BCB" w:rsidRDefault="005E5BCB" w:rsidP="000E1FB7">
      <w:pPr>
        <w:tabs>
          <w:tab w:val="left" w:pos="720"/>
          <w:tab w:val="left" w:pos="1440"/>
          <w:tab w:val="left" w:pos="2160"/>
          <w:tab w:val="left" w:pos="2880"/>
        </w:tabs>
        <w:ind w:left="2880" w:hanging="2880"/>
        <w:rPr>
          <w:sz w:val="24"/>
          <w:szCs w:val="24"/>
        </w:rPr>
      </w:pPr>
      <w:r>
        <w:rPr>
          <w:sz w:val="24"/>
          <w:szCs w:val="24"/>
        </w:rPr>
        <w:t>Heather H. Hunt, Chief</w:t>
      </w:r>
      <w:r>
        <w:rPr>
          <w:sz w:val="24"/>
          <w:szCs w:val="24"/>
        </w:rPr>
        <w:tab/>
      </w:r>
      <w:r>
        <w:rPr>
          <w:sz w:val="24"/>
          <w:szCs w:val="24"/>
        </w:rPr>
        <w:tab/>
      </w:r>
      <w:r>
        <w:rPr>
          <w:sz w:val="24"/>
          <w:szCs w:val="24"/>
        </w:rPr>
        <w:tab/>
      </w:r>
      <w:r>
        <w:rPr>
          <w:sz w:val="24"/>
          <w:szCs w:val="24"/>
        </w:rPr>
        <w:tab/>
      </w:r>
      <w:r w:rsidR="00E72852">
        <w:rPr>
          <w:sz w:val="24"/>
          <w:szCs w:val="24"/>
        </w:rPr>
        <w:t>February</w:t>
      </w:r>
      <w:r w:rsidR="000E1FB7">
        <w:rPr>
          <w:sz w:val="24"/>
          <w:szCs w:val="24"/>
        </w:rPr>
        <w:t xml:space="preserve"> 2</w:t>
      </w:r>
      <w:r w:rsidR="00E72852">
        <w:rPr>
          <w:sz w:val="24"/>
          <w:szCs w:val="24"/>
        </w:rPr>
        <w:t>5</w:t>
      </w:r>
      <w:r w:rsidR="000E1FB7">
        <w:rPr>
          <w:sz w:val="24"/>
          <w:szCs w:val="24"/>
        </w:rPr>
        <w:t>, 2014</w:t>
      </w:r>
    </w:p>
    <w:p w:rsidR="005E5BCB" w:rsidRDefault="005E5BCB" w:rsidP="000E1FB7">
      <w:pPr>
        <w:rPr>
          <w:sz w:val="24"/>
          <w:szCs w:val="24"/>
        </w:rPr>
      </w:pPr>
      <w:r>
        <w:rPr>
          <w:sz w:val="24"/>
          <w:szCs w:val="24"/>
        </w:rPr>
        <w:t>Registration Unit</w:t>
      </w:r>
    </w:p>
    <w:p w:rsidR="005E5BCB" w:rsidRDefault="005E5BCB" w:rsidP="000E1FB7">
      <w:pPr>
        <w:rPr>
          <w:sz w:val="24"/>
          <w:szCs w:val="24"/>
        </w:rPr>
      </w:pPr>
      <w:r>
        <w:rPr>
          <w:sz w:val="24"/>
          <w:szCs w:val="24"/>
        </w:rPr>
        <w:t>Counterespionage Section</w:t>
      </w:r>
    </w:p>
    <w:p w:rsidR="005E5BCB" w:rsidRDefault="005E5BCB" w:rsidP="000E1FB7">
      <w:pPr>
        <w:rPr>
          <w:sz w:val="24"/>
          <w:szCs w:val="24"/>
        </w:rPr>
      </w:pPr>
      <w:r>
        <w:rPr>
          <w:sz w:val="24"/>
          <w:szCs w:val="24"/>
        </w:rPr>
        <w:t>National Security Division</w:t>
      </w:r>
    </w:p>
    <w:p w:rsidR="005E5BCB" w:rsidRDefault="005E5BCB" w:rsidP="000E1FB7">
      <w:pPr>
        <w:rPr>
          <w:sz w:val="24"/>
          <w:szCs w:val="24"/>
        </w:rPr>
      </w:pPr>
      <w:r>
        <w:rPr>
          <w:sz w:val="24"/>
          <w:szCs w:val="24"/>
        </w:rPr>
        <w:t>Department of Justice</w:t>
      </w:r>
    </w:p>
    <w:p w:rsidR="005E5BCB" w:rsidRDefault="005E5BCB" w:rsidP="005E5BCB">
      <w:pPr>
        <w:spacing w:line="480" w:lineRule="auto"/>
        <w:rPr>
          <w:sz w:val="24"/>
          <w:szCs w:val="24"/>
        </w:rPr>
      </w:pPr>
    </w:p>
    <w:p w:rsidR="005E5BCB" w:rsidRDefault="005E5BCB" w:rsidP="005E5BCB">
      <w:pPr>
        <w:spacing w:line="480" w:lineRule="auto"/>
        <w:rPr>
          <w:sz w:val="24"/>
          <w:szCs w:val="24"/>
        </w:rPr>
      </w:pPr>
    </w:p>
    <w:p w:rsidR="007D3BA8" w:rsidRDefault="007D3BA8" w:rsidP="005E5BCB">
      <w:pPr>
        <w:spacing w:line="480" w:lineRule="auto"/>
      </w:pPr>
    </w:p>
    <w:sectPr w:rsidR="007D3BA8" w:rsidSect="00730B49">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722B2"/>
    <w:multiLevelType w:val="hybridMultilevel"/>
    <w:tmpl w:val="2DCEA766"/>
    <w:lvl w:ilvl="0" w:tplc="11C86B6A">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BCB"/>
    <w:rsid w:val="000E1FB7"/>
    <w:rsid w:val="005E5BCB"/>
    <w:rsid w:val="007D3BA8"/>
    <w:rsid w:val="00BB75B0"/>
    <w:rsid w:val="00E72852"/>
    <w:rsid w:val="00E7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BCB"/>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5E5BCB"/>
    <w:rPr>
      <w:color w:val="0000FF"/>
      <w:u w:val="single"/>
    </w:rPr>
  </w:style>
  <w:style w:type="paragraph" w:styleId="ListParagraph">
    <w:name w:val="List Paragraph"/>
    <w:basedOn w:val="Normal"/>
    <w:uiPriority w:val="34"/>
    <w:qFormat/>
    <w:rsid w:val="005E5B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BCB"/>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5E5BCB"/>
    <w:rPr>
      <w:color w:val="0000FF"/>
      <w:u w:val="single"/>
    </w:rPr>
  </w:style>
  <w:style w:type="paragraph" w:styleId="ListParagraph">
    <w:name w:val="List Paragraph"/>
    <w:basedOn w:val="Normal"/>
    <w:uiPriority w:val="34"/>
    <w:qFormat/>
    <w:rsid w:val="005E5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ar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r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timopugh</dc:creator>
  <cp:lastModifiedBy>timopugh</cp:lastModifiedBy>
  <cp:revision>2</cp:revision>
  <dcterms:created xsi:type="dcterms:W3CDTF">2014-02-25T15:11:00Z</dcterms:created>
  <dcterms:modified xsi:type="dcterms:W3CDTF">2014-02-25T15:11:00Z</dcterms:modified>
</cp:coreProperties>
</file>