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ajorHAnsi" w:hAnsiTheme="majorHAnsi"/>
          <w:szCs w:val="24"/>
        </w:rPr>
      </w:pPr>
      <w:r w:rsidRPr="007676DD">
        <w:rPr>
          <w:rFonts w:asciiTheme="majorHAnsi" w:hAnsiTheme="majorHAnsi"/>
          <w:szCs w:val="24"/>
        </w:rPr>
        <w:t>SUPPORTING STATEMENT</w:t>
      </w: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rPr>
      </w:pP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ajorHAnsi" w:hAnsiTheme="majorHAnsi"/>
          <w:szCs w:val="24"/>
        </w:rPr>
      </w:pPr>
      <w:r w:rsidRPr="007676DD">
        <w:rPr>
          <w:rFonts w:asciiTheme="majorHAnsi" w:hAnsiTheme="majorHAnsi"/>
          <w:szCs w:val="24"/>
        </w:rPr>
        <w:t>INTERNAL REVENUE SERVICE</w:t>
      </w: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ajorHAnsi" w:hAnsiTheme="majorHAnsi"/>
          <w:szCs w:val="24"/>
        </w:rPr>
      </w:pPr>
      <w:r w:rsidRPr="007676DD">
        <w:rPr>
          <w:rFonts w:asciiTheme="majorHAnsi" w:hAnsiTheme="majorHAnsi"/>
          <w:szCs w:val="24"/>
        </w:rPr>
        <w:t xml:space="preserve">STATISTICS OF </w:t>
      </w:r>
      <w:bookmarkStart w:id="0" w:name="_GoBack"/>
      <w:bookmarkEnd w:id="0"/>
      <w:r w:rsidRPr="007676DD">
        <w:rPr>
          <w:rFonts w:asciiTheme="majorHAnsi" w:hAnsiTheme="majorHAnsi"/>
          <w:szCs w:val="24"/>
        </w:rPr>
        <w:t>INCOME</w:t>
      </w:r>
    </w:p>
    <w:p w:rsidR="00820E12" w:rsidRPr="007676DD" w:rsidRDefault="00E51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ajorHAnsi" w:hAnsiTheme="majorHAnsi"/>
          <w:szCs w:val="24"/>
        </w:rPr>
      </w:pPr>
      <w:r w:rsidRPr="007676DD">
        <w:rPr>
          <w:rFonts w:asciiTheme="majorHAnsi" w:hAnsiTheme="majorHAnsi"/>
          <w:szCs w:val="24"/>
        </w:rPr>
        <w:t xml:space="preserve">Generic Clearance Approval Request for </w:t>
      </w:r>
      <w:r w:rsidR="00820E12" w:rsidRPr="007676DD">
        <w:rPr>
          <w:rFonts w:asciiTheme="majorHAnsi" w:hAnsiTheme="majorHAnsi"/>
          <w:szCs w:val="24"/>
        </w:rPr>
        <w:t>Cognitive and Psychological Research</w:t>
      </w:r>
    </w:p>
    <w:p w:rsidR="00820E12" w:rsidRPr="007676DD" w:rsidRDefault="00E51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ajorHAnsi" w:hAnsiTheme="majorHAnsi"/>
          <w:szCs w:val="24"/>
        </w:rPr>
      </w:pPr>
      <w:r w:rsidRPr="007676DD">
        <w:rPr>
          <w:rFonts w:asciiTheme="majorHAnsi" w:hAnsiTheme="majorHAnsi"/>
          <w:szCs w:val="24"/>
        </w:rPr>
        <w:t xml:space="preserve"> </w:t>
      </w:r>
      <w:r w:rsidR="00F94DC5" w:rsidRPr="007676DD">
        <w:rPr>
          <w:rFonts w:asciiTheme="majorHAnsi" w:hAnsiTheme="majorHAnsi"/>
          <w:szCs w:val="24"/>
        </w:rPr>
        <w:t>(</w:t>
      </w:r>
      <w:r w:rsidR="003309C6" w:rsidRPr="007676DD">
        <w:rPr>
          <w:rFonts w:asciiTheme="majorHAnsi" w:hAnsiTheme="majorHAnsi"/>
          <w:szCs w:val="24"/>
        </w:rPr>
        <w:t xml:space="preserve">March </w:t>
      </w:r>
      <w:r w:rsidR="00650F98" w:rsidRPr="007676DD">
        <w:rPr>
          <w:rFonts w:asciiTheme="majorHAnsi" w:hAnsiTheme="majorHAnsi"/>
          <w:szCs w:val="24"/>
        </w:rPr>
        <w:t>201</w:t>
      </w:r>
      <w:r w:rsidR="002F3E0E" w:rsidRPr="007676DD">
        <w:rPr>
          <w:rFonts w:asciiTheme="majorHAnsi" w:hAnsiTheme="majorHAnsi"/>
          <w:szCs w:val="24"/>
        </w:rPr>
        <w:t>4</w:t>
      </w:r>
      <w:r w:rsidR="00650F98" w:rsidRPr="007676DD">
        <w:rPr>
          <w:rFonts w:asciiTheme="majorHAnsi" w:hAnsiTheme="majorHAnsi"/>
          <w:szCs w:val="24"/>
        </w:rPr>
        <w:t xml:space="preserve"> </w:t>
      </w:r>
      <w:r w:rsidR="00820E12" w:rsidRPr="007676DD">
        <w:rPr>
          <w:rFonts w:asciiTheme="majorHAnsi" w:hAnsiTheme="majorHAnsi"/>
          <w:szCs w:val="24"/>
        </w:rPr>
        <w:t xml:space="preserve">through </w:t>
      </w:r>
      <w:r w:rsidR="003309C6" w:rsidRPr="007676DD">
        <w:rPr>
          <w:rFonts w:asciiTheme="majorHAnsi" w:hAnsiTheme="majorHAnsi"/>
          <w:szCs w:val="24"/>
        </w:rPr>
        <w:t xml:space="preserve">March </w:t>
      </w:r>
      <w:r w:rsidR="00650F98" w:rsidRPr="007676DD">
        <w:rPr>
          <w:rFonts w:asciiTheme="majorHAnsi" w:hAnsiTheme="majorHAnsi"/>
          <w:szCs w:val="24"/>
        </w:rPr>
        <w:t>201</w:t>
      </w:r>
      <w:r w:rsidR="002F3E0E" w:rsidRPr="007676DD">
        <w:rPr>
          <w:rFonts w:asciiTheme="majorHAnsi" w:hAnsiTheme="majorHAnsi"/>
          <w:szCs w:val="24"/>
        </w:rPr>
        <w:t>7</w:t>
      </w:r>
      <w:r w:rsidR="00820E12" w:rsidRPr="007676DD">
        <w:rPr>
          <w:rFonts w:asciiTheme="majorHAnsi" w:hAnsiTheme="majorHAnsi"/>
          <w:szCs w:val="24"/>
        </w:rPr>
        <w:t>)</w:t>
      </w: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rPr>
      </w:pP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rPr>
      </w:pPr>
      <w:r w:rsidRPr="007676DD">
        <w:rPr>
          <w:rFonts w:asciiTheme="majorHAnsi" w:hAnsiTheme="majorHAnsi"/>
          <w:szCs w:val="24"/>
        </w:rPr>
        <w:t>B.</w:t>
      </w:r>
      <w:r w:rsidRPr="007676DD">
        <w:rPr>
          <w:rFonts w:asciiTheme="majorHAnsi" w:hAnsiTheme="majorHAnsi"/>
          <w:szCs w:val="24"/>
        </w:rPr>
        <w:tab/>
        <w:t>Collection of Information Employing Statistical Methods</w:t>
      </w: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u w:val="single"/>
        </w:rPr>
      </w:pPr>
      <w:r w:rsidRPr="007676DD">
        <w:rPr>
          <w:rFonts w:asciiTheme="majorHAnsi" w:hAnsiTheme="majorHAnsi"/>
          <w:szCs w:val="24"/>
        </w:rPr>
        <w:t>1.</w:t>
      </w:r>
      <w:r w:rsidRPr="007676DD">
        <w:rPr>
          <w:rFonts w:asciiTheme="majorHAnsi" w:hAnsiTheme="majorHAnsi"/>
          <w:szCs w:val="24"/>
        </w:rPr>
        <w:tab/>
      </w:r>
      <w:r w:rsidRPr="007676DD">
        <w:rPr>
          <w:rFonts w:asciiTheme="majorHAnsi" w:hAnsiTheme="majorHAnsi"/>
          <w:szCs w:val="24"/>
          <w:u w:val="single"/>
        </w:rPr>
        <w:t>Sample Design</w:t>
      </w: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u w:val="single"/>
        </w:rPr>
      </w:pP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r w:rsidRPr="007676DD">
        <w:rPr>
          <w:rFonts w:asciiTheme="majorHAnsi" w:hAnsiTheme="majorHAnsi"/>
          <w:szCs w:val="24"/>
        </w:rPr>
        <w:t>The data collected will be used primarily for research activities that improve data collection processes, including tax forms and interactive technologies, rather than to produce estimates about the population.  The objective is to interview a variety of people, rather than a probability sample of the population or to conduct limited surveys of users and potential users of pilot technology.  For most of the research design activities concerning items applicable to the general population, respondents will be recruited by telephone or mail contact.  In some cases of surveys of potential users of pilot technologies, probability samples may be used.  Detailed sample designs will be provided separately for each of these cases.</w:t>
      </w: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r w:rsidRPr="007676DD">
        <w:rPr>
          <w:rFonts w:asciiTheme="majorHAnsi" w:hAnsiTheme="majorHAnsi"/>
          <w:szCs w:val="24"/>
        </w:rPr>
        <w:t>For testing some hypotheses, however, some initial screening of volunteers will be done to identify eligible respondents.  Eligible respondents are defined as those individuals who have not participated in more than three survey research projects and meet other necessary requirements.  Special attempts may be made to recruit from special groups if there are no volunteers from these groups as a result of the general recruiting effort.</w:t>
      </w: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szCs w:val="24"/>
          <w:u w:val="single"/>
        </w:rPr>
      </w:pPr>
      <w:r w:rsidRPr="007676DD">
        <w:rPr>
          <w:rFonts w:asciiTheme="majorHAnsi" w:hAnsiTheme="majorHAnsi"/>
          <w:szCs w:val="24"/>
        </w:rPr>
        <w:t>2.</w:t>
      </w:r>
      <w:r w:rsidRPr="007676DD">
        <w:rPr>
          <w:rFonts w:asciiTheme="majorHAnsi" w:hAnsiTheme="majorHAnsi"/>
          <w:szCs w:val="24"/>
        </w:rPr>
        <w:tab/>
      </w:r>
      <w:r w:rsidRPr="007676DD">
        <w:rPr>
          <w:rFonts w:asciiTheme="majorHAnsi" w:hAnsiTheme="majorHAnsi"/>
          <w:szCs w:val="24"/>
          <w:u w:val="single"/>
        </w:rPr>
        <w:t>Data Collection Procedures</w:t>
      </w: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szCs w:val="24"/>
          <w:u w:val="single"/>
        </w:rPr>
      </w:pP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i/>
          <w:szCs w:val="24"/>
        </w:rPr>
      </w:pPr>
      <w:r w:rsidRPr="007676DD">
        <w:rPr>
          <w:rFonts w:asciiTheme="majorHAnsi" w:hAnsiTheme="majorHAnsi"/>
          <w:i/>
          <w:szCs w:val="24"/>
        </w:rPr>
        <w:tab/>
        <w:t>Small Group Research</w:t>
      </w: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i/>
          <w:szCs w:val="24"/>
        </w:rPr>
      </w:pP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ajorHAnsi" w:hAnsiTheme="majorHAnsi"/>
          <w:szCs w:val="24"/>
        </w:rPr>
      </w:pPr>
      <w:r w:rsidRPr="007676DD">
        <w:rPr>
          <w:rFonts w:asciiTheme="majorHAnsi" w:hAnsiTheme="majorHAnsi"/>
          <w:szCs w:val="24"/>
        </w:rPr>
        <w:t>Recruitment: The external contractor will generally recruit respondents through telephone calls.  In most cases, the IRS will provide criteria to select appropriate respondents.  The public will have the choice of participating in the research.  Their participation is voluntary.  If the respondent possesses the desired characteristics, an interview is scheduled.</w:t>
      </w:r>
    </w:p>
    <w:p w:rsidR="00820E12" w:rsidRPr="007676DD" w:rsidRDefault="00B301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ajorHAnsi" w:hAnsiTheme="majorHAnsi"/>
          <w:szCs w:val="24"/>
        </w:rPr>
      </w:pPr>
      <w:r>
        <w:rPr>
          <w:rFonts w:asciiTheme="majorHAnsi" w:hAnsiTheme="majorHAnsi"/>
          <w:szCs w:val="24"/>
        </w:rPr>
        <w:t xml:space="preserve">In-person </w:t>
      </w:r>
      <w:r w:rsidR="00820E12" w:rsidRPr="007676DD">
        <w:rPr>
          <w:rFonts w:asciiTheme="majorHAnsi" w:hAnsiTheme="majorHAnsi"/>
          <w:szCs w:val="24"/>
        </w:rPr>
        <w:t xml:space="preserve">Interview:  Once an interview is scheduled, it is the responsibility of the respondent (from the public sector) to travel to the interview site. The rooms are private and soundproof to insure </w:t>
      </w:r>
      <w:r w:rsidR="00B22AEB" w:rsidRPr="007676DD">
        <w:rPr>
          <w:rFonts w:asciiTheme="majorHAnsi" w:hAnsiTheme="majorHAnsi"/>
          <w:szCs w:val="24"/>
        </w:rPr>
        <w:t>privacy</w:t>
      </w:r>
      <w:r w:rsidR="00820E12" w:rsidRPr="007676DD">
        <w:rPr>
          <w:rFonts w:asciiTheme="majorHAnsi" w:hAnsiTheme="majorHAnsi"/>
          <w:szCs w:val="24"/>
        </w:rPr>
        <w:t xml:space="preserve"> of the interview.  To reduce the number of no shows, scheduled volunteers will be sent a reminder letter giving the time of the interview and directions to the laboratory.  They should also receive a reminder telephone call before the interview.</w:t>
      </w: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szCs w:val="24"/>
        </w:rPr>
      </w:pP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ajorHAnsi" w:hAnsiTheme="majorHAnsi"/>
          <w:szCs w:val="24"/>
        </w:rPr>
      </w:pPr>
      <w:r w:rsidRPr="007676DD">
        <w:rPr>
          <w:rFonts w:asciiTheme="majorHAnsi" w:hAnsiTheme="majorHAnsi"/>
          <w:szCs w:val="24"/>
        </w:rPr>
        <w:t xml:space="preserve">When the respondent arrives, he/she will receive an explanation of the purpose of the interview and the procedures to be used.  The respondent will then be asked to read a brief description of the study or a description of the study will be presented orally. The respondent is then given an assurance of </w:t>
      </w:r>
      <w:r w:rsidR="00B22AEB" w:rsidRPr="007676DD">
        <w:rPr>
          <w:rFonts w:asciiTheme="majorHAnsi" w:hAnsiTheme="majorHAnsi"/>
          <w:szCs w:val="24"/>
        </w:rPr>
        <w:t>priva</w:t>
      </w:r>
      <w:r w:rsidR="00B30141">
        <w:rPr>
          <w:rFonts w:asciiTheme="majorHAnsi" w:hAnsiTheme="majorHAnsi"/>
          <w:szCs w:val="24"/>
        </w:rPr>
        <w:t>c</w:t>
      </w:r>
      <w:r w:rsidR="00B22AEB" w:rsidRPr="007676DD">
        <w:rPr>
          <w:rFonts w:asciiTheme="majorHAnsi" w:hAnsiTheme="majorHAnsi"/>
          <w:szCs w:val="24"/>
        </w:rPr>
        <w:t>y</w:t>
      </w:r>
      <w:r w:rsidRPr="007676DD">
        <w:rPr>
          <w:rFonts w:asciiTheme="majorHAnsi" w:hAnsiTheme="majorHAnsi"/>
          <w:szCs w:val="24"/>
        </w:rPr>
        <w:t xml:space="preserve"> to read.  This assurance is then reread orally by the interviewer to the respondent and the need for audio or video taping of the interview is explained.</w:t>
      </w: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szCs w:val="24"/>
        </w:rPr>
      </w:pP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ajorHAnsi" w:hAnsiTheme="majorHAnsi"/>
          <w:i/>
          <w:szCs w:val="24"/>
        </w:rPr>
      </w:pPr>
      <w:r w:rsidRPr="007676DD">
        <w:rPr>
          <w:rFonts w:asciiTheme="majorHAnsi" w:hAnsiTheme="majorHAnsi"/>
          <w:szCs w:val="24"/>
        </w:rPr>
        <w:t xml:space="preserve">Interviewing can last from 1/2 hour to 2 hours depending on the specific laboratory techniques being applied. </w:t>
      </w: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szCs w:val="24"/>
        </w:rPr>
      </w:pP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ajorHAnsi" w:hAnsiTheme="majorHAnsi"/>
          <w:szCs w:val="24"/>
        </w:rPr>
      </w:pPr>
      <w:r w:rsidRPr="007676DD">
        <w:rPr>
          <w:rFonts w:asciiTheme="majorHAnsi" w:hAnsiTheme="majorHAnsi"/>
          <w:szCs w:val="24"/>
        </w:rPr>
        <w:t>The selection of the laboratory technique, in turn, is determined by the hypotheses to be tested.  The most commonly used methods include concurrent and retrospective think-aloud interviews and focus group interviews.  In one-on-one think-aloud interviews, respondents are asked questions (pertinent to the tax form or procedure in question) and are asked to think-aloud about how and why they answered as they did.  The interviewer usually probes extensively to ascertain the degree of comprehension and the recall processes involved.</w:t>
      </w: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szCs w:val="24"/>
        </w:rPr>
      </w:pP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ajorHAnsi" w:hAnsiTheme="majorHAnsi"/>
          <w:szCs w:val="24"/>
        </w:rPr>
      </w:pPr>
      <w:r w:rsidRPr="007676DD">
        <w:rPr>
          <w:rFonts w:asciiTheme="majorHAnsi" w:hAnsiTheme="majorHAnsi"/>
          <w:szCs w:val="24"/>
        </w:rPr>
        <w:t>Focus group interviews usually consist of 6-10 people per group.  In these small group sessions, respondents are again asked questions (pertinent to the tax form or procedure in question) and are asked to respond openly to each based on their individual experience.  The moderator tries to involve everyone in each question to better understand attitudes, opinions, and concerns.</w:t>
      </w: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szCs w:val="24"/>
        </w:rPr>
      </w:pPr>
    </w:p>
    <w:p w:rsidR="00820E12"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ajorHAnsi" w:hAnsiTheme="majorHAnsi"/>
          <w:szCs w:val="24"/>
        </w:rPr>
      </w:pPr>
      <w:r w:rsidRPr="007676DD">
        <w:rPr>
          <w:rFonts w:asciiTheme="majorHAnsi" w:hAnsiTheme="majorHAnsi"/>
          <w:szCs w:val="24"/>
        </w:rPr>
        <w:t>Debriefing:  All respondents should be debriefed.  This procedure reiterates the purpose of the project and answers respondents' questions regarding the study.</w:t>
      </w:r>
    </w:p>
    <w:p w:rsidR="00B30141" w:rsidRDefault="00B301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ajorHAnsi" w:hAnsiTheme="majorHAnsi"/>
          <w:szCs w:val="24"/>
        </w:rPr>
      </w:pPr>
    </w:p>
    <w:p w:rsidR="00B30141" w:rsidRPr="007676DD" w:rsidRDefault="00B301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ajorHAnsi" w:hAnsiTheme="majorHAnsi"/>
          <w:szCs w:val="24"/>
        </w:rPr>
      </w:pPr>
      <w:r>
        <w:rPr>
          <w:rFonts w:asciiTheme="majorHAnsi" w:hAnsiTheme="majorHAnsi"/>
          <w:szCs w:val="24"/>
        </w:rPr>
        <w:t>As a cost-saving method, sometimes focus groups are held via telephone.  The interview techniques remain the same, adjusted slightly to accommodate participation via telephone as opposed to having all participants together in one room.</w:t>
      </w: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ajorHAnsi" w:hAnsiTheme="majorHAnsi"/>
          <w:szCs w:val="24"/>
        </w:rPr>
      </w:pPr>
    </w:p>
    <w:p w:rsidR="00820E12" w:rsidRPr="007676DD" w:rsidRDefault="00820E12" w:rsidP="00C54A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ajorHAnsi" w:hAnsiTheme="majorHAnsi"/>
          <w:i/>
          <w:szCs w:val="24"/>
        </w:rPr>
      </w:pPr>
      <w:r w:rsidRPr="007676DD">
        <w:rPr>
          <w:rFonts w:asciiTheme="majorHAnsi" w:hAnsiTheme="majorHAnsi"/>
          <w:szCs w:val="24"/>
        </w:rPr>
        <w:t>All respondents will be provided with an address to offer comments concerning the data collection process and the Office of Management and Budget (OMB) Control Number.</w:t>
      </w:r>
    </w:p>
    <w:p w:rsidR="00820E12" w:rsidRPr="007676DD" w:rsidRDefault="00820E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ajorHAnsi" w:hAnsiTheme="majorHAnsi"/>
          <w:szCs w:val="24"/>
        </w:rPr>
      </w:pP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szCs w:val="24"/>
          <w:u w:val="single"/>
        </w:rPr>
      </w:pPr>
      <w:r w:rsidRPr="007676DD">
        <w:rPr>
          <w:rFonts w:asciiTheme="majorHAnsi" w:hAnsiTheme="majorHAnsi"/>
          <w:szCs w:val="24"/>
        </w:rPr>
        <w:t>3.</w:t>
      </w:r>
      <w:r w:rsidRPr="007676DD">
        <w:rPr>
          <w:rFonts w:asciiTheme="majorHAnsi" w:hAnsiTheme="majorHAnsi"/>
          <w:szCs w:val="24"/>
        </w:rPr>
        <w:tab/>
      </w:r>
      <w:r w:rsidRPr="007676DD">
        <w:rPr>
          <w:rFonts w:asciiTheme="majorHAnsi" w:hAnsiTheme="majorHAnsi"/>
          <w:szCs w:val="24"/>
          <w:u w:val="single"/>
        </w:rPr>
        <w:t>Methods to Maximize Response Rates</w:t>
      </w: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szCs w:val="24"/>
          <w:u w:val="single"/>
        </w:rPr>
      </w:pP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ajorHAnsi" w:hAnsiTheme="majorHAnsi"/>
          <w:szCs w:val="24"/>
        </w:rPr>
      </w:pPr>
      <w:r w:rsidRPr="007676DD">
        <w:rPr>
          <w:rFonts w:asciiTheme="majorHAnsi" w:hAnsiTheme="majorHAnsi"/>
          <w:szCs w:val="24"/>
        </w:rPr>
        <w:t>As noted, to reduce the number of no-shows, scheduled volunteers will be sent a reminder letter giving the time of the interview and directions to the laboratory.  They will also receive a reminder telephone call before the interview.</w:t>
      </w: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szCs w:val="24"/>
        </w:rPr>
      </w:pP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szCs w:val="24"/>
          <w:u w:val="single"/>
        </w:rPr>
      </w:pPr>
      <w:r w:rsidRPr="007676DD">
        <w:rPr>
          <w:rFonts w:asciiTheme="majorHAnsi" w:hAnsiTheme="majorHAnsi"/>
          <w:szCs w:val="24"/>
        </w:rPr>
        <w:t>4.</w:t>
      </w:r>
      <w:r w:rsidRPr="007676DD">
        <w:rPr>
          <w:rFonts w:asciiTheme="majorHAnsi" w:hAnsiTheme="majorHAnsi"/>
          <w:szCs w:val="24"/>
        </w:rPr>
        <w:tab/>
      </w:r>
      <w:r w:rsidRPr="007676DD">
        <w:rPr>
          <w:rFonts w:asciiTheme="majorHAnsi" w:hAnsiTheme="majorHAnsi"/>
          <w:szCs w:val="24"/>
          <w:u w:val="single"/>
        </w:rPr>
        <w:t>Tests of Procedures and Methods</w:t>
      </w: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szCs w:val="24"/>
          <w:u w:val="single"/>
        </w:rPr>
      </w:pP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ajorHAnsi" w:hAnsiTheme="majorHAnsi"/>
          <w:szCs w:val="24"/>
        </w:rPr>
      </w:pPr>
      <w:r w:rsidRPr="007676DD">
        <w:rPr>
          <w:rFonts w:asciiTheme="majorHAnsi" w:hAnsiTheme="majorHAnsi"/>
          <w:szCs w:val="24"/>
        </w:rPr>
        <w:t xml:space="preserve">The tests proposed for research fall into a number of categories which cognitive psychologists utilize to confirm or reject research hypotheses.  Some of these tests include those tasks outlined by Michael W. </w:t>
      </w:r>
      <w:proofErr w:type="spellStart"/>
      <w:r w:rsidRPr="007676DD">
        <w:rPr>
          <w:rFonts w:asciiTheme="majorHAnsi" w:hAnsiTheme="majorHAnsi"/>
          <w:szCs w:val="24"/>
        </w:rPr>
        <w:t>Eysenck</w:t>
      </w:r>
      <w:proofErr w:type="spellEnd"/>
      <w:r w:rsidRPr="007676DD">
        <w:rPr>
          <w:rFonts w:asciiTheme="majorHAnsi" w:hAnsiTheme="majorHAnsi"/>
          <w:szCs w:val="24"/>
        </w:rPr>
        <w:t xml:space="preserve"> (1984) in </w:t>
      </w:r>
      <w:r w:rsidRPr="007676DD">
        <w:rPr>
          <w:rFonts w:asciiTheme="majorHAnsi" w:hAnsiTheme="majorHAnsi"/>
          <w:szCs w:val="24"/>
          <w:u w:val="single"/>
        </w:rPr>
        <w:t>A Handbook of Cognitive Psychology</w:t>
      </w:r>
      <w:r w:rsidRPr="007676DD">
        <w:rPr>
          <w:rFonts w:asciiTheme="majorHAnsi" w:hAnsiTheme="majorHAnsi"/>
          <w:szCs w:val="24"/>
        </w:rPr>
        <w:t xml:space="preserve">.  Some of the possible tests outlined are:  </w:t>
      </w: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szCs w:val="24"/>
        </w:rPr>
      </w:pPr>
    </w:p>
    <w:p w:rsidR="00820E12" w:rsidRPr="007676DD" w:rsidRDefault="00820E12" w:rsidP="00B80F6F">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szCs w:val="24"/>
        </w:rPr>
      </w:pPr>
      <w:r w:rsidRPr="007676DD">
        <w:rPr>
          <w:rFonts w:asciiTheme="majorHAnsi" w:hAnsiTheme="majorHAnsi"/>
          <w:szCs w:val="24"/>
        </w:rPr>
        <w:t>developing protocols, scenarios, and question probes--follow-up questions used to gain more information about respondents' strategies for answering questions,</w:t>
      </w:r>
    </w:p>
    <w:p w:rsidR="00820E12" w:rsidRPr="007676DD" w:rsidRDefault="00820E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ajorHAnsi" w:hAnsiTheme="majorHAnsi"/>
          <w:szCs w:val="24"/>
        </w:rPr>
      </w:pPr>
    </w:p>
    <w:p w:rsidR="00820E12" w:rsidRPr="007676DD" w:rsidRDefault="00820E12" w:rsidP="00B80F6F">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szCs w:val="24"/>
        </w:rPr>
      </w:pPr>
      <w:r w:rsidRPr="007676DD">
        <w:rPr>
          <w:rFonts w:asciiTheme="majorHAnsi" w:hAnsiTheme="majorHAnsi"/>
          <w:szCs w:val="24"/>
        </w:rPr>
        <w:t>concurrent think-aloud interview--respondents think aloud while answering questions and responses are probed extensively,</w:t>
      </w:r>
    </w:p>
    <w:p w:rsidR="00820E12" w:rsidRPr="007676DD" w:rsidRDefault="00820E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ajorHAnsi" w:hAnsiTheme="majorHAnsi"/>
          <w:szCs w:val="24"/>
        </w:rPr>
      </w:pPr>
    </w:p>
    <w:p w:rsidR="00820E12" w:rsidRPr="007676DD" w:rsidRDefault="00820E12" w:rsidP="00B80F6F">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szCs w:val="24"/>
        </w:rPr>
      </w:pPr>
      <w:r w:rsidRPr="007676DD">
        <w:rPr>
          <w:rFonts w:asciiTheme="majorHAnsi" w:hAnsiTheme="majorHAnsi"/>
          <w:szCs w:val="24"/>
        </w:rPr>
        <w:t>focus groups and individual interviews--Structured and unstructured discussion with groups or individuals,</w:t>
      </w:r>
    </w:p>
    <w:p w:rsidR="00820E12" w:rsidRPr="007676DD" w:rsidRDefault="00820E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ajorHAnsi" w:hAnsiTheme="majorHAnsi"/>
          <w:szCs w:val="24"/>
        </w:rPr>
      </w:pPr>
    </w:p>
    <w:p w:rsidR="00820E12" w:rsidRPr="007676DD" w:rsidRDefault="00820E12" w:rsidP="00B80F6F">
      <w:pPr>
        <w:numPr>
          <w:ilvl w:val="0"/>
          <w:numId w:val="10"/>
        </w:numPr>
        <w:tabs>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szCs w:val="24"/>
        </w:rPr>
      </w:pPr>
      <w:r w:rsidRPr="007676DD">
        <w:rPr>
          <w:rFonts w:asciiTheme="majorHAnsi" w:hAnsiTheme="majorHAnsi"/>
          <w:szCs w:val="24"/>
        </w:rPr>
        <w:t>retrospective think-aloud interview--respondents answer all questions first, then are asked how they arrived at their answer,</w:t>
      </w:r>
    </w:p>
    <w:p w:rsidR="00820E12" w:rsidRPr="007676DD" w:rsidRDefault="00820E12">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szCs w:val="24"/>
        </w:rPr>
      </w:pPr>
    </w:p>
    <w:p w:rsidR="00820E12" w:rsidRPr="007676DD" w:rsidRDefault="00820E12" w:rsidP="00B80F6F">
      <w:pPr>
        <w:numPr>
          <w:ilvl w:val="0"/>
          <w:numId w:val="10"/>
        </w:numPr>
        <w:tabs>
          <w:tab w:val="left" w:pos="0"/>
          <w:tab w:val="left" w:pos="1440"/>
          <w:tab w:val="left" w:pos="2160"/>
          <w:tab w:val="left" w:pos="2880"/>
          <w:tab w:val="left" w:pos="3600"/>
          <w:tab w:val="left" w:pos="4320"/>
          <w:tab w:val="left" w:pos="5040"/>
          <w:tab w:val="left" w:pos="5760"/>
          <w:tab w:val="left" w:pos="6480"/>
          <w:tab w:val="left" w:pos="7200"/>
        </w:tabs>
        <w:jc w:val="both"/>
        <w:rPr>
          <w:rFonts w:asciiTheme="majorHAnsi" w:hAnsiTheme="majorHAnsi"/>
          <w:szCs w:val="24"/>
        </w:rPr>
      </w:pPr>
      <w:r w:rsidRPr="007676DD">
        <w:rPr>
          <w:rFonts w:asciiTheme="majorHAnsi" w:hAnsiTheme="majorHAnsi"/>
          <w:szCs w:val="24"/>
        </w:rPr>
        <w:t>sorting ranking tasks--respondents sort lists or similar items into groups that go together and rank the items according to specified scale,</w:t>
      </w:r>
    </w:p>
    <w:p w:rsidR="00820E12" w:rsidRPr="007676DD" w:rsidRDefault="00820E1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Theme="majorHAnsi" w:hAnsiTheme="majorHAnsi"/>
          <w:szCs w:val="24"/>
        </w:rPr>
      </w:pPr>
    </w:p>
    <w:p w:rsidR="00820E12" w:rsidRPr="007676DD" w:rsidRDefault="00820E12" w:rsidP="00B80F6F">
      <w:pPr>
        <w:numPr>
          <w:ilvl w:val="0"/>
          <w:numId w:val="10"/>
        </w:numPr>
        <w:tabs>
          <w:tab w:val="left" w:pos="0"/>
          <w:tab w:val="left" w:pos="1440"/>
          <w:tab w:val="left" w:pos="2160"/>
          <w:tab w:val="left" w:pos="2880"/>
          <w:tab w:val="left" w:pos="3600"/>
          <w:tab w:val="left" w:pos="4320"/>
          <w:tab w:val="left" w:pos="5040"/>
          <w:tab w:val="left" w:pos="5760"/>
          <w:tab w:val="left" w:pos="6480"/>
          <w:tab w:val="left" w:pos="7200"/>
        </w:tabs>
        <w:jc w:val="both"/>
        <w:rPr>
          <w:rFonts w:asciiTheme="majorHAnsi" w:hAnsiTheme="majorHAnsi"/>
          <w:szCs w:val="24"/>
        </w:rPr>
      </w:pPr>
      <w:r w:rsidRPr="007676DD">
        <w:rPr>
          <w:rFonts w:asciiTheme="majorHAnsi" w:hAnsiTheme="majorHAnsi"/>
          <w:szCs w:val="24"/>
        </w:rPr>
        <w:t>confidence ratings--respondents relate the degree of confidence they have in the accuracy of their answers,</w:t>
      </w:r>
    </w:p>
    <w:p w:rsidR="00820E12" w:rsidRPr="007676DD" w:rsidRDefault="00820E1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Theme="majorHAnsi" w:hAnsiTheme="majorHAnsi"/>
          <w:szCs w:val="24"/>
        </w:rPr>
      </w:pPr>
    </w:p>
    <w:p w:rsidR="00820E12" w:rsidRPr="007676DD" w:rsidRDefault="00820E12" w:rsidP="00B80F6F">
      <w:pPr>
        <w:numPr>
          <w:ilvl w:val="0"/>
          <w:numId w:val="10"/>
        </w:numPr>
        <w:tabs>
          <w:tab w:val="left" w:pos="0"/>
          <w:tab w:val="left" w:pos="1440"/>
          <w:tab w:val="left" w:pos="2160"/>
          <w:tab w:val="left" w:pos="2880"/>
          <w:tab w:val="left" w:pos="3600"/>
          <w:tab w:val="left" w:pos="4320"/>
          <w:tab w:val="left" w:pos="5040"/>
          <w:tab w:val="left" w:pos="5760"/>
          <w:tab w:val="left" w:pos="6480"/>
          <w:tab w:val="left" w:pos="7200"/>
        </w:tabs>
        <w:jc w:val="both"/>
        <w:rPr>
          <w:rFonts w:asciiTheme="majorHAnsi" w:hAnsiTheme="majorHAnsi"/>
          <w:szCs w:val="24"/>
        </w:rPr>
      </w:pPr>
      <w:r w:rsidRPr="007676DD">
        <w:rPr>
          <w:rFonts w:asciiTheme="majorHAnsi" w:hAnsiTheme="majorHAnsi"/>
          <w:szCs w:val="24"/>
        </w:rPr>
        <w:t>memory cues--interviewer reads terms which are intended as aid to recall, and</w:t>
      </w: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720"/>
        <w:jc w:val="both"/>
        <w:rPr>
          <w:rFonts w:asciiTheme="majorHAnsi" w:hAnsiTheme="majorHAnsi"/>
          <w:szCs w:val="24"/>
        </w:rPr>
      </w:pPr>
    </w:p>
    <w:p w:rsidR="00820E12" w:rsidRPr="007676DD" w:rsidRDefault="00820E12" w:rsidP="00B80F6F">
      <w:pPr>
        <w:numPr>
          <w:ilvl w:val="0"/>
          <w:numId w:val="10"/>
        </w:numPr>
        <w:tabs>
          <w:tab w:val="left" w:pos="0"/>
          <w:tab w:val="left" w:pos="1440"/>
          <w:tab w:val="left" w:pos="2160"/>
          <w:tab w:val="left" w:pos="2880"/>
          <w:tab w:val="left" w:pos="3600"/>
          <w:tab w:val="left" w:pos="4320"/>
          <w:tab w:val="left" w:pos="5040"/>
          <w:tab w:val="left" w:pos="5760"/>
          <w:tab w:val="left" w:pos="6480"/>
          <w:tab w:val="left" w:pos="7200"/>
        </w:tabs>
        <w:jc w:val="both"/>
        <w:rPr>
          <w:rFonts w:asciiTheme="majorHAnsi" w:hAnsiTheme="majorHAnsi"/>
          <w:szCs w:val="24"/>
        </w:rPr>
      </w:pPr>
      <w:r w:rsidRPr="007676DD">
        <w:rPr>
          <w:rFonts w:asciiTheme="majorHAnsi" w:hAnsiTheme="majorHAnsi"/>
          <w:szCs w:val="24"/>
        </w:rPr>
        <w:t>response latency--measurement of the elapsed time between the presentation of the question and the respondents answer.</w:t>
      </w:r>
    </w:p>
    <w:sectPr w:rsidR="00820E12" w:rsidRPr="007676DD">
      <w:endnotePr>
        <w:numFmt w:val="decimal"/>
      </w:endnotePr>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49C8"/>
    <w:multiLevelType w:val="hybridMultilevel"/>
    <w:tmpl w:val="93140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FF5450"/>
    <w:multiLevelType w:val="hybridMultilevel"/>
    <w:tmpl w:val="19E4AB74"/>
    <w:lvl w:ilvl="0" w:tplc="18E8F038">
      <w:numFmt w:val="bullet"/>
      <w:lvlText w:val=""/>
      <w:lvlJc w:val="left"/>
      <w:pPr>
        <w:tabs>
          <w:tab w:val="num" w:pos="1440"/>
        </w:tabs>
        <w:ind w:left="1440" w:hanging="720"/>
      </w:pPr>
      <w:rPr>
        <w:rFonts w:ascii="WP MathA" w:eastAsia="Times New Roman" w:hAnsi="WP MathA" w:cs="Times New Roman" w:hint="default"/>
        <w:b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1E2502B"/>
    <w:multiLevelType w:val="singleLevel"/>
    <w:tmpl w:val="78966FAE"/>
    <w:lvl w:ilvl="0">
      <w:start w:val="8"/>
      <w:numFmt w:val="bullet"/>
      <w:lvlText w:val=""/>
      <w:lvlJc w:val="left"/>
      <w:pPr>
        <w:tabs>
          <w:tab w:val="num" w:pos="1440"/>
        </w:tabs>
        <w:ind w:left="1440" w:hanging="720"/>
      </w:pPr>
      <w:rPr>
        <w:rFonts w:ascii="WP MathA" w:hAnsi="WP MathA" w:hint="default"/>
        <w:b w:val="0"/>
      </w:rPr>
    </w:lvl>
  </w:abstractNum>
  <w:abstractNum w:abstractNumId="3">
    <w:nsid w:val="13B82CAB"/>
    <w:multiLevelType w:val="singleLevel"/>
    <w:tmpl w:val="9DDA4B14"/>
    <w:lvl w:ilvl="0">
      <w:start w:val="2"/>
      <w:numFmt w:val="lowerLetter"/>
      <w:lvlText w:val="%1."/>
      <w:lvlJc w:val="left"/>
      <w:pPr>
        <w:tabs>
          <w:tab w:val="num" w:pos="1440"/>
        </w:tabs>
        <w:ind w:left="1440" w:hanging="720"/>
      </w:pPr>
      <w:rPr>
        <w:rFonts w:hint="default"/>
      </w:rPr>
    </w:lvl>
  </w:abstractNum>
  <w:abstractNum w:abstractNumId="4">
    <w:nsid w:val="28B4376B"/>
    <w:multiLevelType w:val="singleLevel"/>
    <w:tmpl w:val="8C620E38"/>
    <w:lvl w:ilvl="0">
      <w:start w:val="1"/>
      <w:numFmt w:val="lowerLetter"/>
      <w:lvlText w:val=""/>
      <w:lvlJc w:val="left"/>
      <w:pPr>
        <w:tabs>
          <w:tab w:val="num" w:pos="360"/>
        </w:tabs>
        <w:ind w:left="360" w:hanging="360"/>
      </w:pPr>
      <w:rPr>
        <w:rFonts w:ascii="WP MathA" w:hAnsi="WP MathA" w:hint="default"/>
      </w:rPr>
    </w:lvl>
  </w:abstractNum>
  <w:abstractNum w:abstractNumId="5">
    <w:nsid w:val="402F0415"/>
    <w:multiLevelType w:val="hybridMultilevel"/>
    <w:tmpl w:val="7F60F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5DD030F"/>
    <w:multiLevelType w:val="hybridMultilevel"/>
    <w:tmpl w:val="05BC78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DF00A3E"/>
    <w:multiLevelType w:val="hybridMultilevel"/>
    <w:tmpl w:val="4DD098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A9D468B"/>
    <w:multiLevelType w:val="hybridMultilevel"/>
    <w:tmpl w:val="188AB002"/>
    <w:lvl w:ilvl="0" w:tplc="82DCC12A">
      <w:numFmt w:val="bullet"/>
      <w:lvlText w:val=""/>
      <w:lvlJc w:val="left"/>
      <w:pPr>
        <w:tabs>
          <w:tab w:val="num" w:pos="1080"/>
        </w:tabs>
        <w:ind w:left="1080" w:hanging="360"/>
      </w:pPr>
      <w:rPr>
        <w:rFonts w:ascii="WP MathA" w:eastAsia="Times New Roman" w:hAnsi="WP MathA" w:cs="Times New Roman" w:hint="default"/>
        <w:b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767C485B"/>
    <w:multiLevelType w:val="singleLevel"/>
    <w:tmpl w:val="0AD4B6E0"/>
    <w:lvl w:ilvl="0">
      <w:start w:val="8"/>
      <w:numFmt w:val="decimal"/>
      <w:lvlText w:val="%1."/>
      <w:lvlJc w:val="left"/>
      <w:pPr>
        <w:tabs>
          <w:tab w:val="num" w:pos="720"/>
        </w:tabs>
        <w:ind w:left="720" w:hanging="720"/>
      </w:pPr>
      <w:rPr>
        <w:rFonts w:hint="default"/>
        <w:u w:val="none"/>
      </w:rPr>
    </w:lvl>
  </w:abstractNum>
  <w:num w:numId="1">
    <w:abstractNumId w:val="3"/>
  </w:num>
  <w:num w:numId="2">
    <w:abstractNumId w:val="2"/>
  </w:num>
  <w:num w:numId="3">
    <w:abstractNumId w:val="9"/>
  </w:num>
  <w:num w:numId="4">
    <w:abstractNumId w:val="4"/>
  </w:num>
  <w:num w:numId="5">
    <w:abstractNumId w:val="6"/>
  </w:num>
  <w:num w:numId="6">
    <w:abstractNumId w:val="1"/>
  </w:num>
  <w:num w:numId="7">
    <w:abstractNumId w:val="0"/>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120"/>
    <w:rsid w:val="001E6F72"/>
    <w:rsid w:val="0029041C"/>
    <w:rsid w:val="002F121D"/>
    <w:rsid w:val="002F3E0E"/>
    <w:rsid w:val="003309C6"/>
    <w:rsid w:val="003478E1"/>
    <w:rsid w:val="004030CF"/>
    <w:rsid w:val="004F665F"/>
    <w:rsid w:val="00650F98"/>
    <w:rsid w:val="007676DD"/>
    <w:rsid w:val="007A2C85"/>
    <w:rsid w:val="007F07DD"/>
    <w:rsid w:val="008007DD"/>
    <w:rsid w:val="00806015"/>
    <w:rsid w:val="00820E12"/>
    <w:rsid w:val="00822AB3"/>
    <w:rsid w:val="00847C5E"/>
    <w:rsid w:val="008D4505"/>
    <w:rsid w:val="00905A00"/>
    <w:rsid w:val="009C26F9"/>
    <w:rsid w:val="00A00A40"/>
    <w:rsid w:val="00AD2AA6"/>
    <w:rsid w:val="00AE1DC4"/>
    <w:rsid w:val="00B02B30"/>
    <w:rsid w:val="00B22AEB"/>
    <w:rsid w:val="00B30141"/>
    <w:rsid w:val="00B365B7"/>
    <w:rsid w:val="00B80F6F"/>
    <w:rsid w:val="00C36440"/>
    <w:rsid w:val="00C54A45"/>
    <w:rsid w:val="00CD5DC9"/>
    <w:rsid w:val="00DD456B"/>
    <w:rsid w:val="00DF09A3"/>
    <w:rsid w:val="00E07C68"/>
    <w:rsid w:val="00E510D6"/>
    <w:rsid w:val="00E95CE1"/>
    <w:rsid w:val="00EB5AA4"/>
    <w:rsid w:val="00ED19AB"/>
    <w:rsid w:val="00F26A0F"/>
    <w:rsid w:val="00F851A0"/>
    <w:rsid w:val="00F94DC5"/>
    <w:rsid w:val="00FF1548"/>
    <w:rsid w:val="00FF6120"/>
    <w:rsid w:val="00FF6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Pr>
      <w:rFonts w:ascii="CG Times" w:hAnsi="CG Times"/>
      <w:b/>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outlineLvl w:val="1"/>
    </w:pPr>
    <w:rPr>
      <w:rFonts w:ascii="CG Times" w:hAnsi="CG Times"/>
      <w:b/>
    </w:rPr>
  </w:style>
  <w:style w:type="paragraph" w:styleId="Heading3">
    <w:name w:val="heading 3"/>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jc w:val="both"/>
      <w:outlineLvl w:val="2"/>
    </w:pPr>
    <w:rPr>
      <w:rFonts w:ascii="CG Times" w:hAnsi="CG 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Pr>
      <w:rFonts w:ascii="CG Times" w:hAnsi="CG Times"/>
      <w:b/>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CG Times" w:hAnsi="CG Times"/>
      <w:b/>
    </w:rPr>
  </w:style>
  <w:style w:type="paragraph" w:styleId="BodyTextIndent2">
    <w:name w:val="Body Text Indent 2"/>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s>
      <w:ind w:left="1440" w:hanging="720"/>
      <w:jc w:val="both"/>
    </w:pPr>
    <w:rPr>
      <w:rFonts w:ascii="CG Times" w:hAnsi="CG Times"/>
      <w:b/>
    </w:rPr>
  </w:style>
  <w:style w:type="paragraph" w:styleId="BodyTextIndent3">
    <w:name w:val="Body Text Indent 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080"/>
      <w:jc w:val="both"/>
    </w:pPr>
    <w:rPr>
      <w:rFonts w:ascii="CG Times" w:hAnsi="CG Times"/>
      <w:b/>
    </w:rPr>
  </w:style>
  <w:style w:type="paragraph" w:styleId="BlockText">
    <w:name w:val="Block Text"/>
    <w:basedOn w:val="Normal"/>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right="360"/>
      <w:jc w:val="both"/>
    </w:pPr>
    <w:rPr>
      <w:rFonts w:ascii="CG Times" w:hAnsi="CG Times"/>
      <w:b/>
    </w:rPr>
  </w:style>
  <w:style w:type="paragraph" w:styleId="BalloonText">
    <w:name w:val="Balloon Text"/>
    <w:basedOn w:val="Normal"/>
    <w:semiHidden/>
    <w:rsid w:val="00E95CE1"/>
    <w:rPr>
      <w:rFonts w:ascii="Tahoma" w:hAnsi="Tahoma" w:cs="Tahoma"/>
      <w:sz w:val="16"/>
      <w:szCs w:val="16"/>
    </w:rPr>
  </w:style>
  <w:style w:type="character" w:styleId="CommentReference">
    <w:name w:val="annotation reference"/>
    <w:basedOn w:val="DefaultParagraphFont"/>
    <w:rsid w:val="007676DD"/>
    <w:rPr>
      <w:sz w:val="16"/>
      <w:szCs w:val="16"/>
    </w:rPr>
  </w:style>
  <w:style w:type="paragraph" w:styleId="CommentText">
    <w:name w:val="annotation text"/>
    <w:basedOn w:val="Normal"/>
    <w:link w:val="CommentTextChar"/>
    <w:rsid w:val="007676DD"/>
    <w:rPr>
      <w:sz w:val="20"/>
    </w:rPr>
  </w:style>
  <w:style w:type="character" w:customStyle="1" w:styleId="CommentTextChar">
    <w:name w:val="Comment Text Char"/>
    <w:basedOn w:val="DefaultParagraphFont"/>
    <w:link w:val="CommentText"/>
    <w:rsid w:val="007676DD"/>
    <w:rPr>
      <w:rFonts w:ascii="Courier" w:hAnsi="Courier"/>
      <w:snapToGrid w:val="0"/>
    </w:rPr>
  </w:style>
  <w:style w:type="paragraph" w:styleId="CommentSubject">
    <w:name w:val="annotation subject"/>
    <w:basedOn w:val="CommentText"/>
    <w:next w:val="CommentText"/>
    <w:link w:val="CommentSubjectChar"/>
    <w:rsid w:val="007676DD"/>
    <w:rPr>
      <w:b/>
      <w:bCs/>
    </w:rPr>
  </w:style>
  <w:style w:type="character" w:customStyle="1" w:styleId="CommentSubjectChar">
    <w:name w:val="Comment Subject Char"/>
    <w:basedOn w:val="CommentTextChar"/>
    <w:link w:val="CommentSubject"/>
    <w:rsid w:val="007676DD"/>
    <w:rPr>
      <w:rFonts w:ascii="Courier" w:hAnsi="Courier"/>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Pr>
      <w:rFonts w:ascii="CG Times" w:hAnsi="CG Times"/>
      <w:b/>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outlineLvl w:val="1"/>
    </w:pPr>
    <w:rPr>
      <w:rFonts w:ascii="CG Times" w:hAnsi="CG Times"/>
      <w:b/>
    </w:rPr>
  </w:style>
  <w:style w:type="paragraph" w:styleId="Heading3">
    <w:name w:val="heading 3"/>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jc w:val="both"/>
      <w:outlineLvl w:val="2"/>
    </w:pPr>
    <w:rPr>
      <w:rFonts w:ascii="CG Times" w:hAnsi="CG 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Pr>
      <w:rFonts w:ascii="CG Times" w:hAnsi="CG Times"/>
      <w:b/>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CG Times" w:hAnsi="CG Times"/>
      <w:b/>
    </w:rPr>
  </w:style>
  <w:style w:type="paragraph" w:styleId="BodyTextIndent2">
    <w:name w:val="Body Text Indent 2"/>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s>
      <w:ind w:left="1440" w:hanging="720"/>
      <w:jc w:val="both"/>
    </w:pPr>
    <w:rPr>
      <w:rFonts w:ascii="CG Times" w:hAnsi="CG Times"/>
      <w:b/>
    </w:rPr>
  </w:style>
  <w:style w:type="paragraph" w:styleId="BodyTextIndent3">
    <w:name w:val="Body Text Indent 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080"/>
      <w:jc w:val="both"/>
    </w:pPr>
    <w:rPr>
      <w:rFonts w:ascii="CG Times" w:hAnsi="CG Times"/>
      <w:b/>
    </w:rPr>
  </w:style>
  <w:style w:type="paragraph" w:styleId="BlockText">
    <w:name w:val="Block Text"/>
    <w:basedOn w:val="Normal"/>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right="360"/>
      <w:jc w:val="both"/>
    </w:pPr>
    <w:rPr>
      <w:rFonts w:ascii="CG Times" w:hAnsi="CG Times"/>
      <w:b/>
    </w:rPr>
  </w:style>
  <w:style w:type="paragraph" w:styleId="BalloonText">
    <w:name w:val="Balloon Text"/>
    <w:basedOn w:val="Normal"/>
    <w:semiHidden/>
    <w:rsid w:val="00E95CE1"/>
    <w:rPr>
      <w:rFonts w:ascii="Tahoma" w:hAnsi="Tahoma" w:cs="Tahoma"/>
      <w:sz w:val="16"/>
      <w:szCs w:val="16"/>
    </w:rPr>
  </w:style>
  <w:style w:type="character" w:styleId="CommentReference">
    <w:name w:val="annotation reference"/>
    <w:basedOn w:val="DefaultParagraphFont"/>
    <w:rsid w:val="007676DD"/>
    <w:rPr>
      <w:sz w:val="16"/>
      <w:szCs w:val="16"/>
    </w:rPr>
  </w:style>
  <w:style w:type="paragraph" w:styleId="CommentText">
    <w:name w:val="annotation text"/>
    <w:basedOn w:val="Normal"/>
    <w:link w:val="CommentTextChar"/>
    <w:rsid w:val="007676DD"/>
    <w:rPr>
      <w:sz w:val="20"/>
    </w:rPr>
  </w:style>
  <w:style w:type="character" w:customStyle="1" w:styleId="CommentTextChar">
    <w:name w:val="Comment Text Char"/>
    <w:basedOn w:val="DefaultParagraphFont"/>
    <w:link w:val="CommentText"/>
    <w:rsid w:val="007676DD"/>
    <w:rPr>
      <w:rFonts w:ascii="Courier" w:hAnsi="Courier"/>
      <w:snapToGrid w:val="0"/>
    </w:rPr>
  </w:style>
  <w:style w:type="paragraph" w:styleId="CommentSubject">
    <w:name w:val="annotation subject"/>
    <w:basedOn w:val="CommentText"/>
    <w:next w:val="CommentText"/>
    <w:link w:val="CommentSubjectChar"/>
    <w:rsid w:val="007676DD"/>
    <w:rPr>
      <w:b/>
      <w:bCs/>
    </w:rPr>
  </w:style>
  <w:style w:type="character" w:customStyle="1" w:styleId="CommentSubjectChar">
    <w:name w:val="Comment Subject Char"/>
    <w:basedOn w:val="CommentTextChar"/>
    <w:link w:val="CommentSubject"/>
    <w:rsid w:val="007676DD"/>
    <w:rPr>
      <w:rFonts w:ascii="Courier" w:hAnsi="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207372">
      <w:bodyDiv w:val="1"/>
      <w:marLeft w:val="0"/>
      <w:marRight w:val="0"/>
      <w:marTop w:val="0"/>
      <w:marBottom w:val="0"/>
      <w:divBdr>
        <w:top w:val="none" w:sz="0" w:space="0" w:color="auto"/>
        <w:left w:val="none" w:sz="0" w:space="0" w:color="auto"/>
        <w:bottom w:val="none" w:sz="0" w:space="0" w:color="auto"/>
        <w:right w:val="none" w:sz="0" w:space="0" w:color="auto"/>
      </w:divBdr>
    </w:div>
    <w:div w:id="1336567002">
      <w:bodyDiv w:val="1"/>
      <w:marLeft w:val="0"/>
      <w:marRight w:val="0"/>
      <w:marTop w:val="0"/>
      <w:marBottom w:val="0"/>
      <w:divBdr>
        <w:top w:val="none" w:sz="0" w:space="0" w:color="auto"/>
        <w:left w:val="none" w:sz="0" w:space="0" w:color="auto"/>
        <w:bottom w:val="none" w:sz="0" w:space="0" w:color="auto"/>
        <w:right w:val="none" w:sz="0" w:space="0" w:color="auto"/>
      </w:divBdr>
    </w:div>
    <w:div w:id="210791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Statistics of Income</Company>
  <LinksUpToDate>false</LinksUpToDate>
  <CharactersWithSpaces>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mdsloa00</dc:creator>
  <cp:lastModifiedBy>Department of Treasury</cp:lastModifiedBy>
  <cp:revision>2</cp:revision>
  <cp:lastPrinted>2013-10-17T19:25:00Z</cp:lastPrinted>
  <dcterms:created xsi:type="dcterms:W3CDTF">2014-01-08T17:25:00Z</dcterms:created>
  <dcterms:modified xsi:type="dcterms:W3CDTF">2014-01-08T17:25:00Z</dcterms:modified>
</cp:coreProperties>
</file>