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33" w:rsidRPr="007814FB" w:rsidRDefault="00283433" w:rsidP="00283433">
      <w:pPr>
        <w:pStyle w:val="Title"/>
        <w:rPr>
          <w:rFonts w:asciiTheme="minorHAnsi" w:hAnsiTheme="minorHAnsi" w:cstheme="minorHAnsi"/>
          <w:sz w:val="22"/>
          <w:szCs w:val="22"/>
        </w:rPr>
      </w:pPr>
      <w:r w:rsidRPr="007814FB">
        <w:rPr>
          <w:rFonts w:asciiTheme="minorHAnsi" w:hAnsiTheme="minorHAnsi" w:cstheme="minorHAnsi"/>
          <w:sz w:val="22"/>
          <w:szCs w:val="22"/>
        </w:rPr>
        <w:t>OMB Supporting Statement</w:t>
      </w:r>
    </w:p>
    <w:p w:rsidR="00283433" w:rsidRPr="007814FB" w:rsidRDefault="00283433" w:rsidP="00283433">
      <w:pPr>
        <w:pStyle w:val="Title"/>
        <w:rPr>
          <w:rFonts w:asciiTheme="minorHAnsi" w:hAnsiTheme="minorHAnsi" w:cstheme="minorHAnsi"/>
          <w:sz w:val="22"/>
          <w:szCs w:val="22"/>
        </w:rPr>
      </w:pPr>
      <w:r w:rsidRPr="007814FB">
        <w:rPr>
          <w:rFonts w:asciiTheme="minorHAnsi" w:hAnsiTheme="minorHAnsi" w:cstheme="minorHAnsi"/>
          <w:sz w:val="22"/>
          <w:szCs w:val="22"/>
        </w:rPr>
        <w:t>IRS</w:t>
      </w:r>
      <w:r w:rsidR="00A64769" w:rsidRPr="007814FB">
        <w:rPr>
          <w:rFonts w:asciiTheme="minorHAnsi" w:hAnsiTheme="minorHAnsi" w:cstheme="minorHAnsi"/>
          <w:sz w:val="22"/>
          <w:szCs w:val="22"/>
        </w:rPr>
        <w:t xml:space="preserve"> SB/SE:</w:t>
      </w:r>
      <w:r w:rsidRPr="007814FB">
        <w:rPr>
          <w:rFonts w:asciiTheme="minorHAnsi" w:hAnsiTheme="minorHAnsi" w:cstheme="minorHAnsi"/>
          <w:sz w:val="22"/>
          <w:szCs w:val="22"/>
        </w:rPr>
        <w:t xml:space="preserve"> </w:t>
      </w:r>
      <w:r w:rsidR="00605825">
        <w:rPr>
          <w:rFonts w:asciiTheme="minorHAnsi" w:hAnsiTheme="minorHAnsi" w:cstheme="minorHAnsi"/>
          <w:sz w:val="22"/>
          <w:szCs w:val="22"/>
        </w:rPr>
        <w:t>Estate and Gift Tax</w:t>
      </w:r>
    </w:p>
    <w:p w:rsidR="00283433" w:rsidRPr="007814FB" w:rsidRDefault="00283433" w:rsidP="00283433">
      <w:pPr>
        <w:jc w:val="center"/>
        <w:rPr>
          <w:rFonts w:asciiTheme="minorHAnsi" w:hAnsiTheme="minorHAnsi" w:cstheme="minorHAnsi"/>
          <w:b/>
          <w:sz w:val="22"/>
          <w:szCs w:val="22"/>
        </w:rPr>
      </w:pPr>
      <w:r w:rsidRPr="007814FB">
        <w:rPr>
          <w:rFonts w:asciiTheme="minorHAnsi" w:hAnsiTheme="minorHAnsi" w:cstheme="minorHAnsi"/>
          <w:b/>
          <w:sz w:val="22"/>
          <w:szCs w:val="22"/>
        </w:rPr>
        <w:t>TAXPAYER FOCUS GROUPS</w:t>
      </w:r>
    </w:p>
    <w:p w:rsidR="00283433" w:rsidRPr="007814FB" w:rsidRDefault="00A3264C" w:rsidP="00283433">
      <w:pPr>
        <w:jc w:val="center"/>
        <w:rPr>
          <w:rFonts w:asciiTheme="minorHAnsi" w:hAnsiTheme="minorHAnsi" w:cstheme="minorHAnsi"/>
          <w:b/>
          <w:sz w:val="22"/>
          <w:szCs w:val="22"/>
        </w:rPr>
      </w:pPr>
      <w:r>
        <w:rPr>
          <w:rFonts w:asciiTheme="minorHAnsi" w:hAnsiTheme="minorHAnsi" w:cstheme="minorHAnsi"/>
          <w:b/>
          <w:sz w:val="22"/>
          <w:szCs w:val="22"/>
        </w:rPr>
        <w:t>April-June 2011</w:t>
      </w:r>
    </w:p>
    <w:p w:rsidR="00283433" w:rsidRPr="007814FB" w:rsidRDefault="00283433" w:rsidP="00283433">
      <w:pPr>
        <w:rPr>
          <w:rFonts w:asciiTheme="minorHAnsi" w:hAnsiTheme="minorHAnsi" w:cstheme="minorHAnsi"/>
          <w:b/>
          <w:sz w:val="22"/>
          <w:szCs w:val="22"/>
        </w:rPr>
      </w:pPr>
    </w:p>
    <w:p w:rsidR="00283433" w:rsidRPr="007814FB" w:rsidRDefault="00283433" w:rsidP="00283433">
      <w:pPr>
        <w:pStyle w:val="Heading1"/>
        <w:rPr>
          <w:rFonts w:asciiTheme="minorHAnsi" w:hAnsiTheme="minorHAnsi" w:cstheme="minorHAnsi"/>
          <w:sz w:val="22"/>
          <w:szCs w:val="22"/>
        </w:rPr>
      </w:pPr>
      <w:r w:rsidRPr="007814FB">
        <w:rPr>
          <w:rFonts w:asciiTheme="minorHAnsi" w:hAnsiTheme="minorHAnsi" w:cstheme="minorHAnsi"/>
          <w:sz w:val="22"/>
          <w:szCs w:val="22"/>
        </w:rPr>
        <w:t>Background</w:t>
      </w:r>
    </w:p>
    <w:p w:rsidR="00283433" w:rsidRPr="007814FB" w:rsidRDefault="00283433" w:rsidP="00283433">
      <w:pPr>
        <w:rPr>
          <w:rFonts w:asciiTheme="minorHAnsi" w:hAnsiTheme="minorHAnsi" w:cstheme="minorHAnsi"/>
          <w:sz w:val="22"/>
          <w:szCs w:val="22"/>
        </w:rPr>
      </w:pPr>
    </w:p>
    <w:p w:rsidR="00785B18" w:rsidRPr="007814FB" w:rsidRDefault="00785B18" w:rsidP="00785B18">
      <w:pPr>
        <w:jc w:val="both"/>
        <w:rPr>
          <w:rFonts w:asciiTheme="minorHAnsi" w:hAnsiTheme="minorHAnsi" w:cstheme="minorHAnsi"/>
          <w:sz w:val="22"/>
          <w:szCs w:val="22"/>
        </w:rPr>
      </w:pPr>
      <w:r w:rsidRPr="007814FB">
        <w:rPr>
          <w:rFonts w:asciiTheme="minorHAnsi" w:hAnsiTheme="minorHAnsi" w:cstheme="minorHAnsi"/>
          <w:sz w:val="22"/>
          <w:szCs w:val="22"/>
        </w:rPr>
        <w:t>As mandated by RRA 98, the IRS implemented a Service-wide effort to establish a system of balanced organizational performance measures. The IRS Balanced Measurement System</w:t>
      </w:r>
      <w:r w:rsidRPr="007814FB">
        <w:rPr>
          <w:rFonts w:asciiTheme="minorHAnsi" w:hAnsiTheme="minorHAnsi" w:cstheme="minorHAnsi"/>
          <w:b/>
          <w:sz w:val="22"/>
          <w:szCs w:val="22"/>
        </w:rPr>
        <w:t xml:space="preserve"> </w:t>
      </w:r>
      <w:r w:rsidRPr="007814FB">
        <w:rPr>
          <w:rFonts w:asciiTheme="minorHAnsi" w:hAnsiTheme="minorHAnsi" w:cstheme="minorHAnsi"/>
          <w:color w:val="000000"/>
          <w:sz w:val="22"/>
          <w:szCs w:val="22"/>
        </w:rPr>
        <w:t>rates the IRS, its managers and employees, on customer satisfaction, employee satisfaction, and business results.  This balanced measurement system draws on direct customer feedback, including independent surveys of customers and an annual census survey of employees.</w:t>
      </w:r>
      <w:r w:rsidRPr="007814FB">
        <w:rPr>
          <w:rFonts w:asciiTheme="minorHAnsi" w:hAnsiTheme="minorHAnsi" w:cstheme="minorHAnsi"/>
          <w:sz w:val="22"/>
          <w:szCs w:val="22"/>
        </w:rPr>
        <w:t xml:space="preserve"> The customer satisfaction portion of these performance standards necessitates the identification of </w:t>
      </w:r>
      <w:r w:rsidR="00A64769" w:rsidRPr="007814FB">
        <w:rPr>
          <w:rFonts w:asciiTheme="minorHAnsi" w:hAnsiTheme="minorHAnsi" w:cstheme="minorHAnsi"/>
          <w:sz w:val="22"/>
          <w:szCs w:val="22"/>
        </w:rPr>
        <w:t>SB/SE’s</w:t>
      </w:r>
      <w:r w:rsidRPr="007814FB">
        <w:rPr>
          <w:rFonts w:asciiTheme="minorHAnsi" w:hAnsiTheme="minorHAnsi" w:cstheme="minorHAnsi"/>
          <w:sz w:val="22"/>
          <w:szCs w:val="22"/>
        </w:rPr>
        <w:t xml:space="preserve"> customers and mechanism(s) for gauging the level of satisfaction with interactions and services of the Internal Revenue Service.  Further, Executive Order 12862 requires all government agencies to survey their customers and incorporate customer preferences in their process improvement efforts.  </w:t>
      </w:r>
    </w:p>
    <w:p w:rsidR="00785B18" w:rsidRPr="007814FB" w:rsidRDefault="00785B18" w:rsidP="00785B18">
      <w:pPr>
        <w:pStyle w:val="BodyText"/>
        <w:rPr>
          <w:rFonts w:asciiTheme="minorHAnsi" w:hAnsiTheme="minorHAnsi" w:cstheme="minorHAnsi"/>
          <w:sz w:val="22"/>
          <w:szCs w:val="22"/>
        </w:rPr>
      </w:pPr>
    </w:p>
    <w:p w:rsidR="00785B18" w:rsidRPr="007814FB" w:rsidRDefault="00A64769" w:rsidP="00785B18">
      <w:pPr>
        <w:rPr>
          <w:rFonts w:asciiTheme="minorHAnsi" w:hAnsiTheme="minorHAnsi" w:cstheme="minorHAnsi"/>
          <w:sz w:val="22"/>
          <w:szCs w:val="22"/>
        </w:rPr>
      </w:pPr>
      <w:r w:rsidRPr="007814FB">
        <w:rPr>
          <w:rFonts w:asciiTheme="minorHAnsi" w:hAnsiTheme="minorHAnsi" w:cstheme="minorHAnsi"/>
          <w:sz w:val="22"/>
          <w:szCs w:val="22"/>
        </w:rPr>
        <w:t>SB/SE</w:t>
      </w:r>
      <w:r w:rsidR="00785B18" w:rsidRPr="007814FB">
        <w:rPr>
          <w:rFonts w:asciiTheme="minorHAnsi" w:hAnsiTheme="minorHAnsi" w:cstheme="minorHAnsi"/>
          <w:sz w:val="22"/>
          <w:szCs w:val="22"/>
        </w:rPr>
        <w:t xml:space="preserve"> currently surveys </w:t>
      </w:r>
      <w:r w:rsidRPr="007814FB">
        <w:rPr>
          <w:rFonts w:asciiTheme="minorHAnsi" w:hAnsiTheme="minorHAnsi" w:cstheme="minorHAnsi"/>
          <w:sz w:val="22"/>
          <w:szCs w:val="22"/>
        </w:rPr>
        <w:t xml:space="preserve">customers who have </w:t>
      </w:r>
      <w:r w:rsidR="00605825">
        <w:rPr>
          <w:rFonts w:asciiTheme="minorHAnsi" w:hAnsiTheme="minorHAnsi" w:cstheme="minorHAnsi"/>
          <w:sz w:val="22"/>
          <w:szCs w:val="22"/>
        </w:rPr>
        <w:t xml:space="preserve">participated in an exam or audit </w:t>
      </w:r>
      <w:r w:rsidRPr="007814FB">
        <w:rPr>
          <w:rFonts w:asciiTheme="minorHAnsi" w:hAnsiTheme="minorHAnsi" w:cstheme="minorHAnsi"/>
          <w:sz w:val="22"/>
          <w:szCs w:val="22"/>
        </w:rPr>
        <w:t>for a variety of E</w:t>
      </w:r>
      <w:r w:rsidR="00605825">
        <w:rPr>
          <w:rFonts w:asciiTheme="minorHAnsi" w:hAnsiTheme="minorHAnsi" w:cstheme="minorHAnsi"/>
          <w:sz w:val="22"/>
          <w:szCs w:val="22"/>
        </w:rPr>
        <w:t xml:space="preserve">state and Gift </w:t>
      </w:r>
      <w:r w:rsidRPr="007814FB">
        <w:rPr>
          <w:rFonts w:asciiTheme="minorHAnsi" w:hAnsiTheme="minorHAnsi" w:cstheme="minorHAnsi"/>
          <w:sz w:val="22"/>
          <w:szCs w:val="22"/>
        </w:rPr>
        <w:t>Tax liabilities</w:t>
      </w:r>
      <w:r w:rsidR="00785B18" w:rsidRPr="007814FB">
        <w:rPr>
          <w:rFonts w:asciiTheme="minorHAnsi" w:hAnsiTheme="minorHAnsi" w:cstheme="minorHAnsi"/>
          <w:sz w:val="22"/>
          <w:szCs w:val="22"/>
        </w:rPr>
        <w:t xml:space="preserve">.  </w:t>
      </w:r>
      <w:r w:rsidRPr="007814FB">
        <w:rPr>
          <w:rFonts w:asciiTheme="minorHAnsi" w:hAnsiTheme="minorHAnsi" w:cstheme="minorHAnsi"/>
          <w:sz w:val="22"/>
          <w:szCs w:val="22"/>
        </w:rPr>
        <w:t>SB/SE</w:t>
      </w:r>
      <w:r w:rsidR="00785B18" w:rsidRPr="007814FB">
        <w:rPr>
          <w:rFonts w:asciiTheme="minorHAnsi" w:hAnsiTheme="minorHAnsi" w:cstheme="minorHAnsi"/>
          <w:sz w:val="22"/>
          <w:szCs w:val="22"/>
        </w:rPr>
        <w:t xml:space="preserve"> seeks to gain additional perspective </w:t>
      </w:r>
      <w:r w:rsidR="007814FB">
        <w:rPr>
          <w:rFonts w:asciiTheme="minorHAnsi" w:hAnsiTheme="minorHAnsi" w:cstheme="minorHAnsi"/>
          <w:sz w:val="22"/>
          <w:szCs w:val="22"/>
        </w:rPr>
        <w:t>from</w:t>
      </w:r>
      <w:r w:rsidR="00605825">
        <w:rPr>
          <w:rFonts w:asciiTheme="minorHAnsi" w:hAnsiTheme="minorHAnsi" w:cstheme="minorHAnsi"/>
          <w:sz w:val="22"/>
          <w:szCs w:val="22"/>
        </w:rPr>
        <w:t xml:space="preserve"> customers</w:t>
      </w:r>
      <w:r w:rsidR="007814FB">
        <w:rPr>
          <w:rFonts w:asciiTheme="minorHAnsi" w:hAnsiTheme="minorHAnsi" w:cstheme="minorHAnsi"/>
          <w:sz w:val="22"/>
          <w:szCs w:val="22"/>
        </w:rPr>
        <w:t xml:space="preserve"> </w:t>
      </w:r>
      <w:r w:rsidRPr="007814FB">
        <w:rPr>
          <w:rFonts w:asciiTheme="minorHAnsi" w:hAnsiTheme="minorHAnsi" w:cstheme="minorHAnsi"/>
          <w:sz w:val="22"/>
          <w:szCs w:val="22"/>
        </w:rPr>
        <w:t>to assist in developing a new version of the survey questionnaire.</w:t>
      </w:r>
      <w:r w:rsidR="008A0714">
        <w:rPr>
          <w:rFonts w:asciiTheme="minorHAnsi" w:hAnsiTheme="minorHAnsi" w:cstheme="minorHAnsi"/>
          <w:sz w:val="22"/>
          <w:szCs w:val="22"/>
        </w:rPr>
        <w:t xml:space="preserve"> </w:t>
      </w:r>
      <w:r w:rsidR="008A0714" w:rsidRPr="003D3B71">
        <w:rPr>
          <w:rFonts w:asciiTheme="minorHAnsi" w:hAnsiTheme="minorHAnsi" w:cstheme="minorHAnsi"/>
          <w:sz w:val="22"/>
          <w:szCs w:val="22"/>
        </w:rPr>
        <w:t>The feedback received will not institute new policy, yet will enable the Service to meet taxpayer needs effectively.</w:t>
      </w:r>
    </w:p>
    <w:p w:rsidR="00785B18" w:rsidRPr="007814FB" w:rsidRDefault="00785B18" w:rsidP="00785B18">
      <w:pPr>
        <w:rPr>
          <w:rFonts w:asciiTheme="minorHAnsi" w:hAnsiTheme="minorHAnsi" w:cstheme="minorHAnsi"/>
          <w:sz w:val="22"/>
          <w:szCs w:val="22"/>
        </w:rPr>
      </w:pPr>
    </w:p>
    <w:p w:rsidR="00283433" w:rsidRPr="007814FB" w:rsidRDefault="00283433" w:rsidP="00283433">
      <w:pPr>
        <w:pStyle w:val="Heading1"/>
        <w:rPr>
          <w:rFonts w:asciiTheme="minorHAnsi" w:hAnsiTheme="minorHAnsi" w:cstheme="minorHAnsi"/>
          <w:sz w:val="22"/>
          <w:szCs w:val="22"/>
        </w:rPr>
      </w:pPr>
      <w:r w:rsidRPr="007814FB">
        <w:rPr>
          <w:rFonts w:asciiTheme="minorHAnsi" w:hAnsiTheme="minorHAnsi" w:cstheme="minorHAnsi"/>
          <w:sz w:val="22"/>
          <w:szCs w:val="22"/>
        </w:rPr>
        <w:t>Research Methodology</w:t>
      </w:r>
    </w:p>
    <w:p w:rsidR="00283433" w:rsidRPr="007814FB" w:rsidRDefault="00283433" w:rsidP="00283433">
      <w:pPr>
        <w:rPr>
          <w:rFonts w:asciiTheme="minorHAnsi" w:hAnsiTheme="minorHAnsi" w:cstheme="minorHAnsi"/>
          <w:sz w:val="22"/>
          <w:szCs w:val="22"/>
        </w:rPr>
      </w:pPr>
    </w:p>
    <w:p w:rsidR="00283433" w:rsidRDefault="00283433" w:rsidP="00283433">
      <w:pPr>
        <w:rPr>
          <w:rFonts w:asciiTheme="minorHAnsi" w:hAnsiTheme="minorHAnsi" w:cstheme="minorHAnsi"/>
          <w:sz w:val="22"/>
          <w:szCs w:val="22"/>
        </w:rPr>
      </w:pPr>
      <w:r w:rsidRPr="007814FB">
        <w:rPr>
          <w:rFonts w:asciiTheme="minorHAnsi" w:hAnsiTheme="minorHAnsi" w:cstheme="minorHAnsi"/>
          <w:sz w:val="22"/>
          <w:szCs w:val="22"/>
        </w:rPr>
        <w:t xml:space="preserve">Focus groups use interview and discussion techniques, in a small group setting, to capture qualitative information.  While these discussions are not representative of any particular population, they are useful in identifying areas of concern and in gaining a better understanding of quantitative survey data.  </w:t>
      </w:r>
      <w:r w:rsidR="00A64769" w:rsidRPr="007814FB">
        <w:rPr>
          <w:rFonts w:asciiTheme="minorHAnsi" w:hAnsiTheme="minorHAnsi" w:cstheme="minorHAnsi"/>
          <w:sz w:val="22"/>
          <w:szCs w:val="22"/>
        </w:rPr>
        <w:t>SB/SE</w:t>
      </w:r>
      <w:r w:rsidRPr="007814FB">
        <w:rPr>
          <w:rFonts w:asciiTheme="minorHAnsi" w:hAnsiTheme="minorHAnsi" w:cstheme="minorHAnsi"/>
          <w:sz w:val="22"/>
          <w:szCs w:val="22"/>
        </w:rPr>
        <w:t xml:space="preserve"> </w:t>
      </w:r>
      <w:r w:rsidR="00605825" w:rsidRPr="007814FB">
        <w:rPr>
          <w:rFonts w:asciiTheme="minorHAnsi" w:hAnsiTheme="minorHAnsi" w:cstheme="minorHAnsi"/>
          <w:sz w:val="22"/>
          <w:szCs w:val="22"/>
        </w:rPr>
        <w:t xml:space="preserve">customers who have </w:t>
      </w:r>
      <w:r w:rsidR="00605825">
        <w:rPr>
          <w:rFonts w:asciiTheme="minorHAnsi" w:hAnsiTheme="minorHAnsi" w:cstheme="minorHAnsi"/>
          <w:sz w:val="22"/>
          <w:szCs w:val="22"/>
        </w:rPr>
        <w:t xml:space="preserve">participated in an exam or audit </w:t>
      </w:r>
      <w:r w:rsidR="00605825" w:rsidRPr="007814FB">
        <w:rPr>
          <w:rFonts w:asciiTheme="minorHAnsi" w:hAnsiTheme="minorHAnsi" w:cstheme="minorHAnsi"/>
          <w:sz w:val="22"/>
          <w:szCs w:val="22"/>
        </w:rPr>
        <w:t>for a variety of E</w:t>
      </w:r>
      <w:r w:rsidR="00605825">
        <w:rPr>
          <w:rFonts w:asciiTheme="minorHAnsi" w:hAnsiTheme="minorHAnsi" w:cstheme="minorHAnsi"/>
          <w:sz w:val="22"/>
          <w:szCs w:val="22"/>
        </w:rPr>
        <w:t xml:space="preserve">state and Gift </w:t>
      </w:r>
      <w:r w:rsidR="00605825" w:rsidRPr="007814FB">
        <w:rPr>
          <w:rFonts w:asciiTheme="minorHAnsi" w:hAnsiTheme="minorHAnsi" w:cstheme="minorHAnsi"/>
          <w:sz w:val="22"/>
          <w:szCs w:val="22"/>
        </w:rPr>
        <w:t xml:space="preserve">Tax liabilities </w:t>
      </w:r>
      <w:r w:rsidRPr="007814FB">
        <w:rPr>
          <w:rFonts w:asciiTheme="minorHAnsi" w:hAnsiTheme="minorHAnsi" w:cstheme="minorHAnsi"/>
          <w:sz w:val="22"/>
          <w:szCs w:val="22"/>
        </w:rPr>
        <w:t xml:space="preserve">will be recruited by private recruiting facilities from a list provided by the </w:t>
      </w:r>
      <w:r w:rsidR="00A64769" w:rsidRPr="007814FB">
        <w:rPr>
          <w:rFonts w:asciiTheme="minorHAnsi" w:hAnsiTheme="minorHAnsi" w:cstheme="minorHAnsi"/>
          <w:sz w:val="22"/>
          <w:szCs w:val="22"/>
        </w:rPr>
        <w:t>IRS</w:t>
      </w:r>
      <w:r w:rsidRPr="007814FB">
        <w:rPr>
          <w:rFonts w:asciiTheme="minorHAnsi" w:hAnsiTheme="minorHAnsi" w:cstheme="minorHAnsi"/>
          <w:sz w:val="22"/>
          <w:szCs w:val="22"/>
        </w:rPr>
        <w:t xml:space="preserve">.  </w:t>
      </w:r>
    </w:p>
    <w:p w:rsidR="00ED5F88" w:rsidRDefault="00ED5F88" w:rsidP="00283433">
      <w:pPr>
        <w:rPr>
          <w:rFonts w:asciiTheme="minorHAnsi" w:hAnsiTheme="minorHAnsi" w:cstheme="minorHAnsi"/>
          <w:sz w:val="22"/>
          <w:szCs w:val="22"/>
        </w:rPr>
      </w:pPr>
    </w:p>
    <w:p w:rsidR="00ED5F88" w:rsidRDefault="00ED5F88" w:rsidP="00ED5F88">
      <w:pPr>
        <w:rPr>
          <w:rFonts w:ascii="Calibri" w:hAnsi="Calibri" w:cs="Calibri"/>
          <w:sz w:val="22"/>
          <w:szCs w:val="22"/>
        </w:rPr>
      </w:pPr>
      <w:r>
        <w:rPr>
          <w:rFonts w:ascii="Calibri" w:hAnsi="Calibri" w:cs="Calibri"/>
          <w:sz w:val="22"/>
          <w:szCs w:val="22"/>
        </w:rPr>
        <w:t xml:space="preserve">A total of four focus groups will be held, with 6 participants in each group, for a total of 24 participants.  Assuming a 60% response rate, 40 taxpayers will be contacted to ask if they will participate in one of the focus groups. </w:t>
      </w:r>
    </w:p>
    <w:p w:rsidR="00ED5F88" w:rsidRPr="00A3264C" w:rsidRDefault="00ED5F88" w:rsidP="00283433">
      <w:pPr>
        <w:rPr>
          <w:rFonts w:asciiTheme="minorHAnsi" w:hAnsiTheme="minorHAnsi" w:cstheme="minorHAnsi"/>
          <w:sz w:val="22"/>
          <w:szCs w:val="22"/>
        </w:rPr>
      </w:pPr>
    </w:p>
    <w:p w:rsidR="00283433" w:rsidRPr="007814FB" w:rsidRDefault="00283433" w:rsidP="00283433">
      <w:pPr>
        <w:pStyle w:val="Heading1"/>
        <w:rPr>
          <w:rFonts w:asciiTheme="minorHAnsi" w:hAnsiTheme="minorHAnsi" w:cstheme="minorHAnsi"/>
          <w:sz w:val="22"/>
          <w:szCs w:val="22"/>
        </w:rPr>
      </w:pPr>
    </w:p>
    <w:p w:rsidR="00283433" w:rsidRPr="007814FB" w:rsidRDefault="00283433" w:rsidP="00283433">
      <w:pPr>
        <w:pStyle w:val="BodyText"/>
        <w:keepNext/>
        <w:rPr>
          <w:rFonts w:asciiTheme="minorHAnsi" w:hAnsiTheme="minorHAnsi" w:cstheme="minorHAnsi"/>
          <w:b/>
          <w:i w:val="0"/>
          <w:iCs/>
          <w:sz w:val="22"/>
          <w:szCs w:val="22"/>
        </w:rPr>
      </w:pPr>
      <w:r w:rsidRPr="007814FB">
        <w:rPr>
          <w:rFonts w:asciiTheme="minorHAnsi" w:hAnsiTheme="minorHAnsi" w:cstheme="minorHAnsi"/>
          <w:b/>
          <w:i w:val="0"/>
          <w:iCs/>
          <w:sz w:val="22"/>
          <w:szCs w:val="22"/>
        </w:rPr>
        <w:t>Data Collection Timeframe</w:t>
      </w:r>
    </w:p>
    <w:p w:rsidR="00283433" w:rsidRPr="007814FB" w:rsidRDefault="00283433" w:rsidP="00283433">
      <w:pPr>
        <w:keepNext/>
        <w:rPr>
          <w:rFonts w:asciiTheme="minorHAnsi" w:hAnsiTheme="minorHAnsi" w:cstheme="minorHAnsi"/>
          <w:sz w:val="22"/>
          <w:szCs w:val="22"/>
        </w:rPr>
      </w:pPr>
    </w:p>
    <w:p w:rsidR="00283433" w:rsidRPr="007814FB" w:rsidRDefault="00283433" w:rsidP="00283433">
      <w:pPr>
        <w:rPr>
          <w:rFonts w:asciiTheme="minorHAnsi" w:hAnsiTheme="minorHAnsi" w:cstheme="minorHAnsi"/>
          <w:sz w:val="22"/>
          <w:szCs w:val="22"/>
        </w:rPr>
      </w:pPr>
      <w:r w:rsidRPr="00A3264C">
        <w:rPr>
          <w:rFonts w:asciiTheme="minorHAnsi" w:hAnsiTheme="minorHAnsi" w:cstheme="minorHAnsi"/>
          <w:sz w:val="22"/>
          <w:szCs w:val="22"/>
        </w:rPr>
        <w:t xml:space="preserve">Recruiting will occur in </w:t>
      </w:r>
      <w:r w:rsidR="003D3B71">
        <w:rPr>
          <w:rFonts w:asciiTheme="minorHAnsi" w:hAnsiTheme="minorHAnsi" w:cstheme="minorHAnsi"/>
          <w:sz w:val="22"/>
          <w:szCs w:val="22"/>
        </w:rPr>
        <w:t>May</w:t>
      </w:r>
      <w:r w:rsidR="00A3264C" w:rsidRPr="00A3264C">
        <w:rPr>
          <w:rFonts w:asciiTheme="minorHAnsi" w:hAnsiTheme="minorHAnsi" w:cstheme="minorHAnsi"/>
          <w:sz w:val="22"/>
          <w:szCs w:val="22"/>
        </w:rPr>
        <w:t xml:space="preserve"> 2011</w:t>
      </w:r>
      <w:r w:rsidRPr="00A3264C">
        <w:rPr>
          <w:rFonts w:asciiTheme="minorHAnsi" w:hAnsiTheme="minorHAnsi" w:cstheme="minorHAnsi"/>
          <w:sz w:val="22"/>
          <w:szCs w:val="22"/>
        </w:rPr>
        <w:t xml:space="preserve"> and the focus groups will be held in </w:t>
      </w:r>
      <w:r w:rsidR="00A3264C" w:rsidRPr="00A3264C">
        <w:rPr>
          <w:rFonts w:asciiTheme="minorHAnsi" w:hAnsiTheme="minorHAnsi" w:cstheme="minorHAnsi"/>
          <w:sz w:val="22"/>
          <w:szCs w:val="22"/>
        </w:rPr>
        <w:t>May and June 2011</w:t>
      </w:r>
      <w:r w:rsidRPr="00A3264C">
        <w:rPr>
          <w:rFonts w:asciiTheme="minorHAnsi" w:hAnsiTheme="minorHAnsi" w:cstheme="minorHAnsi"/>
          <w:sz w:val="22"/>
          <w:szCs w:val="22"/>
        </w:rPr>
        <w:t>.</w:t>
      </w:r>
      <w:r w:rsidRPr="007814FB">
        <w:rPr>
          <w:rFonts w:asciiTheme="minorHAnsi" w:hAnsiTheme="minorHAnsi" w:cstheme="minorHAnsi"/>
          <w:sz w:val="22"/>
          <w:szCs w:val="22"/>
        </w:rPr>
        <w:t xml:space="preserve"> </w:t>
      </w:r>
    </w:p>
    <w:p w:rsidR="00283433" w:rsidRPr="007814FB" w:rsidRDefault="00283433" w:rsidP="00283433">
      <w:pPr>
        <w:rPr>
          <w:rFonts w:asciiTheme="minorHAnsi" w:hAnsiTheme="minorHAnsi" w:cstheme="minorHAnsi"/>
          <w:sz w:val="22"/>
          <w:szCs w:val="22"/>
        </w:rPr>
      </w:pPr>
    </w:p>
    <w:p w:rsidR="00283433" w:rsidRPr="007814FB" w:rsidRDefault="00283433" w:rsidP="00283433">
      <w:pPr>
        <w:pStyle w:val="Heading1"/>
        <w:rPr>
          <w:rFonts w:asciiTheme="minorHAnsi" w:hAnsiTheme="minorHAnsi" w:cstheme="minorHAnsi"/>
          <w:sz w:val="22"/>
          <w:szCs w:val="22"/>
        </w:rPr>
      </w:pPr>
      <w:r w:rsidRPr="007814FB">
        <w:rPr>
          <w:rFonts w:asciiTheme="minorHAnsi" w:hAnsiTheme="minorHAnsi" w:cstheme="minorHAnsi"/>
          <w:sz w:val="22"/>
          <w:szCs w:val="22"/>
        </w:rPr>
        <w:t>Standard Honoraria</w:t>
      </w:r>
    </w:p>
    <w:p w:rsidR="00283433" w:rsidRPr="007814FB" w:rsidRDefault="00283433" w:rsidP="00283433">
      <w:pPr>
        <w:keepNext/>
        <w:rPr>
          <w:rFonts w:asciiTheme="minorHAnsi" w:hAnsiTheme="minorHAnsi" w:cstheme="minorHAnsi"/>
          <w:sz w:val="22"/>
          <w:szCs w:val="22"/>
        </w:rPr>
      </w:pPr>
    </w:p>
    <w:p w:rsidR="00283433" w:rsidRPr="007814FB" w:rsidRDefault="00A64769" w:rsidP="00283433">
      <w:pPr>
        <w:pStyle w:val="BodyText2"/>
        <w:rPr>
          <w:rFonts w:asciiTheme="minorHAnsi" w:hAnsiTheme="minorHAnsi" w:cstheme="minorHAnsi"/>
          <w:sz w:val="22"/>
          <w:szCs w:val="22"/>
        </w:rPr>
      </w:pPr>
      <w:r w:rsidRPr="007814FB">
        <w:rPr>
          <w:rFonts w:asciiTheme="minorHAnsi" w:hAnsiTheme="minorHAnsi" w:cstheme="minorHAnsi"/>
          <w:sz w:val="22"/>
          <w:szCs w:val="22"/>
        </w:rPr>
        <w:t>SB/SE</w:t>
      </w:r>
      <w:r w:rsidR="00283433" w:rsidRPr="007814FB">
        <w:rPr>
          <w:rFonts w:asciiTheme="minorHAnsi" w:hAnsiTheme="minorHAnsi" w:cstheme="minorHAnsi"/>
          <w:sz w:val="22"/>
          <w:szCs w:val="22"/>
        </w:rPr>
        <w:t xml:space="preserve"> plans to conduct </w:t>
      </w:r>
      <w:r w:rsidRPr="007814FB">
        <w:rPr>
          <w:rFonts w:asciiTheme="minorHAnsi" w:hAnsiTheme="minorHAnsi" w:cstheme="minorHAnsi"/>
          <w:sz w:val="22"/>
          <w:szCs w:val="22"/>
        </w:rPr>
        <w:t>four</w:t>
      </w:r>
      <w:r w:rsidR="00283433" w:rsidRPr="007814FB">
        <w:rPr>
          <w:rFonts w:asciiTheme="minorHAnsi" w:hAnsiTheme="minorHAnsi" w:cstheme="minorHAnsi"/>
          <w:sz w:val="22"/>
          <w:szCs w:val="22"/>
        </w:rPr>
        <w:t xml:space="preserve"> telephone focus groups with </w:t>
      </w:r>
      <w:r w:rsidRPr="007814FB">
        <w:rPr>
          <w:rFonts w:asciiTheme="minorHAnsi" w:hAnsiTheme="minorHAnsi" w:cstheme="minorHAnsi"/>
          <w:sz w:val="22"/>
          <w:szCs w:val="22"/>
        </w:rPr>
        <w:t>SB/SE</w:t>
      </w:r>
      <w:r w:rsidR="00283433" w:rsidRPr="007814FB">
        <w:rPr>
          <w:rFonts w:asciiTheme="minorHAnsi" w:hAnsiTheme="minorHAnsi" w:cstheme="minorHAnsi"/>
          <w:sz w:val="22"/>
          <w:szCs w:val="22"/>
        </w:rPr>
        <w:t xml:space="preserve"> customers</w:t>
      </w:r>
      <w:r w:rsidRPr="007814FB">
        <w:rPr>
          <w:rFonts w:asciiTheme="minorHAnsi" w:hAnsiTheme="minorHAnsi" w:cstheme="minorHAnsi"/>
          <w:sz w:val="22"/>
          <w:szCs w:val="22"/>
        </w:rPr>
        <w:t>, with six customers participating per group.</w:t>
      </w:r>
      <w:r w:rsidR="00283433" w:rsidRPr="007814FB">
        <w:rPr>
          <w:rFonts w:asciiTheme="minorHAnsi" w:hAnsiTheme="minorHAnsi" w:cstheme="minorHAnsi"/>
          <w:sz w:val="22"/>
          <w:szCs w:val="22"/>
        </w:rPr>
        <w:t xml:space="preserve"> </w:t>
      </w:r>
    </w:p>
    <w:p w:rsidR="00283433" w:rsidRPr="007814FB" w:rsidRDefault="00283433" w:rsidP="00283433">
      <w:pPr>
        <w:rPr>
          <w:rFonts w:asciiTheme="minorHAnsi" w:hAnsiTheme="minorHAnsi" w:cstheme="minorHAnsi"/>
          <w:sz w:val="22"/>
          <w:szCs w:val="22"/>
        </w:rPr>
      </w:pPr>
    </w:p>
    <w:p w:rsidR="00A3264C" w:rsidRPr="007814FB" w:rsidRDefault="00A3264C" w:rsidP="00A3264C">
      <w:pPr>
        <w:rPr>
          <w:rFonts w:asciiTheme="minorHAnsi" w:hAnsiTheme="minorHAnsi" w:cstheme="minorHAnsi"/>
          <w:sz w:val="22"/>
          <w:szCs w:val="22"/>
        </w:rPr>
      </w:pPr>
      <w:r w:rsidRPr="007814FB">
        <w:rPr>
          <w:rFonts w:asciiTheme="minorHAnsi" w:hAnsiTheme="minorHAnsi" w:cstheme="minorHAnsi"/>
          <w:sz w:val="22"/>
          <w:szCs w:val="22"/>
        </w:rPr>
        <w:t xml:space="preserve">Traditional honorariums at the Service are $50-75. For this project, we </w:t>
      </w:r>
      <w:r>
        <w:rPr>
          <w:rFonts w:asciiTheme="minorHAnsi" w:hAnsiTheme="minorHAnsi" w:cstheme="minorHAnsi"/>
          <w:sz w:val="22"/>
          <w:szCs w:val="22"/>
        </w:rPr>
        <w:t xml:space="preserve">will offer a $50 as </w:t>
      </w:r>
      <w:r w:rsidRPr="007814FB">
        <w:rPr>
          <w:rFonts w:asciiTheme="minorHAnsi" w:hAnsiTheme="minorHAnsi" w:cstheme="minorHAnsi"/>
          <w:sz w:val="22"/>
          <w:szCs w:val="22"/>
        </w:rPr>
        <w:t>honorarium to make it possible to recruit the desired number of people with a broad range of perspectives.</w:t>
      </w:r>
    </w:p>
    <w:p w:rsidR="00283433" w:rsidRPr="007814FB" w:rsidRDefault="00283433" w:rsidP="00283433">
      <w:pPr>
        <w:rPr>
          <w:rFonts w:asciiTheme="minorHAnsi" w:hAnsiTheme="minorHAnsi" w:cstheme="minorHAnsi"/>
          <w:sz w:val="22"/>
          <w:szCs w:val="22"/>
        </w:rPr>
      </w:pPr>
    </w:p>
    <w:p w:rsidR="00A3264C" w:rsidRPr="007814FB" w:rsidRDefault="00A3264C" w:rsidP="00A3264C">
      <w:pPr>
        <w:pStyle w:val="Heading1"/>
        <w:rPr>
          <w:rFonts w:asciiTheme="minorHAnsi" w:hAnsiTheme="minorHAnsi" w:cstheme="minorHAnsi"/>
          <w:sz w:val="22"/>
          <w:szCs w:val="22"/>
        </w:rPr>
      </w:pPr>
      <w:r w:rsidRPr="007814FB">
        <w:rPr>
          <w:rFonts w:asciiTheme="minorHAnsi" w:hAnsiTheme="minorHAnsi" w:cstheme="minorHAnsi"/>
          <w:sz w:val="22"/>
          <w:szCs w:val="22"/>
        </w:rPr>
        <w:lastRenderedPageBreak/>
        <w:t>Estimated Burden Hours</w:t>
      </w:r>
    </w:p>
    <w:p w:rsidR="00A3264C" w:rsidRPr="007814FB" w:rsidRDefault="00A3264C" w:rsidP="00A3264C">
      <w:pPr>
        <w:keepNext/>
        <w:rPr>
          <w:rFonts w:asciiTheme="minorHAnsi" w:hAnsiTheme="minorHAnsi" w:cstheme="minorHAnsi"/>
          <w:sz w:val="22"/>
          <w:szCs w:val="22"/>
        </w:rPr>
      </w:pPr>
    </w:p>
    <w:p w:rsidR="00ED5F88" w:rsidRPr="007814FB" w:rsidRDefault="00ED5F88" w:rsidP="00ED5F88">
      <w:pPr>
        <w:rPr>
          <w:rFonts w:ascii="Calibri" w:hAnsi="Calibri" w:cs="Calibri"/>
          <w:sz w:val="22"/>
          <w:szCs w:val="22"/>
        </w:rPr>
      </w:pPr>
      <w:r w:rsidRPr="007814FB">
        <w:rPr>
          <w:rFonts w:ascii="Calibri" w:hAnsi="Calibri" w:cs="Calibri"/>
          <w:sz w:val="22"/>
          <w:szCs w:val="22"/>
          <w:u w:val="single"/>
        </w:rPr>
        <w:t>Participant Screening</w:t>
      </w:r>
      <w:r w:rsidRPr="007814FB">
        <w:rPr>
          <w:rFonts w:ascii="Calibri" w:hAnsi="Calibri" w:cs="Calibri"/>
          <w:sz w:val="22"/>
          <w:szCs w:val="22"/>
        </w:rPr>
        <w:t xml:space="preserve"> </w:t>
      </w:r>
    </w:p>
    <w:p w:rsidR="00ED5F88" w:rsidRPr="007814FB" w:rsidRDefault="00ED5F88" w:rsidP="00ED5F88">
      <w:pPr>
        <w:rPr>
          <w:rFonts w:ascii="Calibri" w:hAnsi="Calibri" w:cs="Calibri"/>
          <w:sz w:val="22"/>
          <w:szCs w:val="22"/>
        </w:rPr>
      </w:pPr>
      <w:r w:rsidRPr="007814FB">
        <w:rPr>
          <w:rFonts w:ascii="Calibri" w:hAnsi="Calibri" w:cs="Calibri"/>
          <w:sz w:val="22"/>
          <w:szCs w:val="22"/>
        </w:rPr>
        <w:t xml:space="preserve">Participant screening for the </w:t>
      </w:r>
      <w:r>
        <w:rPr>
          <w:rFonts w:ascii="Calibri" w:hAnsi="Calibri" w:cs="Calibri"/>
          <w:sz w:val="22"/>
          <w:szCs w:val="22"/>
        </w:rPr>
        <w:t>four</w:t>
      </w:r>
      <w:r w:rsidRPr="007814FB">
        <w:rPr>
          <w:rFonts w:ascii="Calibri" w:hAnsi="Calibri" w:cs="Calibri"/>
          <w:sz w:val="22"/>
          <w:szCs w:val="22"/>
        </w:rPr>
        <w:t xml:space="preserve"> focus groups is expected to take </w:t>
      </w:r>
      <w:r>
        <w:rPr>
          <w:rFonts w:ascii="Calibri" w:hAnsi="Calibri" w:cs="Calibri"/>
          <w:sz w:val="22"/>
          <w:szCs w:val="22"/>
        </w:rPr>
        <w:t>2</w:t>
      </w:r>
      <w:r w:rsidRPr="007814FB">
        <w:rPr>
          <w:rFonts w:ascii="Calibri" w:hAnsi="Calibri" w:cs="Calibri"/>
          <w:sz w:val="22"/>
          <w:szCs w:val="22"/>
        </w:rPr>
        <w:t xml:space="preserve"> hours.  This estimate is based on </w:t>
      </w:r>
      <w:r>
        <w:rPr>
          <w:rFonts w:ascii="Calibri" w:hAnsi="Calibri" w:cs="Calibri"/>
          <w:sz w:val="22"/>
          <w:szCs w:val="22"/>
        </w:rPr>
        <w:t>recruiting 6 participants per group, for a total of 24 participants</w:t>
      </w:r>
      <w:r w:rsidRPr="007814FB">
        <w:rPr>
          <w:rFonts w:ascii="Calibri" w:hAnsi="Calibri" w:cs="Calibri"/>
          <w:sz w:val="22"/>
          <w:szCs w:val="22"/>
        </w:rPr>
        <w:t xml:space="preserve">. This </w:t>
      </w:r>
      <w:r>
        <w:rPr>
          <w:rFonts w:ascii="Calibri" w:hAnsi="Calibri" w:cs="Calibri"/>
          <w:sz w:val="22"/>
          <w:szCs w:val="22"/>
        </w:rPr>
        <w:t xml:space="preserve">also </w:t>
      </w:r>
      <w:r w:rsidRPr="007814FB">
        <w:rPr>
          <w:rFonts w:ascii="Calibri" w:hAnsi="Calibri" w:cs="Calibri"/>
          <w:sz w:val="22"/>
          <w:szCs w:val="22"/>
        </w:rPr>
        <w:t xml:space="preserve">assumes that </w:t>
      </w:r>
      <w:r>
        <w:rPr>
          <w:rFonts w:ascii="Calibri" w:hAnsi="Calibri" w:cs="Calibri"/>
          <w:sz w:val="22"/>
          <w:szCs w:val="22"/>
        </w:rPr>
        <w:t>60% of those contacted will agree to participate in the groups, for a total of 40 screening contacts needed. Each screening contact should average three</w:t>
      </w:r>
      <w:r w:rsidRPr="007814FB">
        <w:rPr>
          <w:rFonts w:ascii="Calibri" w:hAnsi="Calibri" w:cs="Calibri"/>
          <w:sz w:val="22"/>
          <w:szCs w:val="22"/>
        </w:rPr>
        <w:t xml:space="preserve"> minutes per interview.</w:t>
      </w:r>
    </w:p>
    <w:p w:rsidR="00ED5F88" w:rsidRPr="007814FB" w:rsidRDefault="00ED5F88" w:rsidP="00ED5F88">
      <w:pPr>
        <w:rPr>
          <w:rFonts w:ascii="Calibri" w:hAnsi="Calibri" w:cs="Calibri"/>
          <w:sz w:val="22"/>
          <w:szCs w:val="22"/>
        </w:rPr>
      </w:pPr>
    </w:p>
    <w:p w:rsidR="00ED5F88" w:rsidRPr="007814FB" w:rsidRDefault="00ED5F88" w:rsidP="00ED5F88">
      <w:pPr>
        <w:ind w:firstLine="720"/>
        <w:rPr>
          <w:rFonts w:ascii="Calibri" w:hAnsi="Calibri" w:cs="Calibri"/>
          <w:sz w:val="22"/>
          <w:szCs w:val="22"/>
        </w:rPr>
      </w:pPr>
      <w:r>
        <w:rPr>
          <w:rFonts w:ascii="Calibri" w:hAnsi="Calibri" w:cs="Calibri"/>
          <w:sz w:val="22"/>
          <w:szCs w:val="22"/>
        </w:rPr>
        <w:t>(40 screening</w:t>
      </w:r>
      <w:r w:rsidRPr="007814FB">
        <w:rPr>
          <w:rFonts w:ascii="Calibri" w:hAnsi="Calibri" w:cs="Calibri"/>
          <w:sz w:val="22"/>
          <w:szCs w:val="22"/>
        </w:rPr>
        <w:t xml:space="preserve"> c</w:t>
      </w:r>
      <w:r>
        <w:rPr>
          <w:rFonts w:ascii="Calibri" w:hAnsi="Calibri" w:cs="Calibri"/>
          <w:sz w:val="22"/>
          <w:szCs w:val="22"/>
        </w:rPr>
        <w:t>ontacts X 3</w:t>
      </w:r>
      <w:r w:rsidRPr="007814FB">
        <w:rPr>
          <w:rFonts w:ascii="Calibri" w:hAnsi="Calibri" w:cs="Calibri"/>
          <w:sz w:val="22"/>
          <w:szCs w:val="22"/>
        </w:rPr>
        <w:t xml:space="preserve"> minutes</w:t>
      </w:r>
      <w:r>
        <w:rPr>
          <w:rFonts w:ascii="Calibri" w:hAnsi="Calibri" w:cs="Calibri"/>
          <w:sz w:val="22"/>
          <w:szCs w:val="22"/>
        </w:rPr>
        <w:t>) / 60 = 2</w:t>
      </w:r>
      <w:r w:rsidRPr="007814FB">
        <w:rPr>
          <w:rFonts w:ascii="Calibri" w:hAnsi="Calibri" w:cs="Calibri"/>
          <w:sz w:val="22"/>
          <w:szCs w:val="22"/>
        </w:rPr>
        <w:t xml:space="preserve"> hours </w:t>
      </w:r>
    </w:p>
    <w:p w:rsidR="00ED5F88" w:rsidRPr="007814FB" w:rsidRDefault="00ED5F88" w:rsidP="00ED5F88">
      <w:pPr>
        <w:rPr>
          <w:rFonts w:ascii="Calibri" w:hAnsi="Calibri" w:cs="Calibri"/>
          <w:sz w:val="22"/>
          <w:szCs w:val="22"/>
        </w:rPr>
      </w:pPr>
    </w:p>
    <w:p w:rsidR="00ED5F88" w:rsidRPr="007814FB" w:rsidRDefault="00ED5F88" w:rsidP="00ED5F88">
      <w:pPr>
        <w:pStyle w:val="Heading3"/>
        <w:rPr>
          <w:rFonts w:ascii="Calibri" w:hAnsi="Calibri" w:cs="Calibri"/>
          <w:sz w:val="22"/>
          <w:szCs w:val="22"/>
        </w:rPr>
      </w:pPr>
      <w:r w:rsidRPr="007814FB">
        <w:rPr>
          <w:rFonts w:ascii="Calibri" w:hAnsi="Calibri" w:cs="Calibri"/>
          <w:sz w:val="22"/>
          <w:szCs w:val="22"/>
        </w:rPr>
        <w:t>Focus Groups</w:t>
      </w:r>
    </w:p>
    <w:p w:rsidR="00ED5F88" w:rsidRPr="007814FB" w:rsidRDefault="00ED5F88" w:rsidP="00ED5F88">
      <w:pPr>
        <w:rPr>
          <w:rFonts w:ascii="Calibri" w:hAnsi="Calibri" w:cs="Calibri"/>
          <w:sz w:val="22"/>
          <w:szCs w:val="22"/>
        </w:rPr>
      </w:pPr>
      <w:r>
        <w:rPr>
          <w:rFonts w:ascii="Calibri" w:hAnsi="Calibri" w:cs="Calibri"/>
          <w:sz w:val="22"/>
          <w:szCs w:val="22"/>
        </w:rPr>
        <w:t>Focus group participation is expected to take 24 hours. A total of 24 participants are expected to participate in the four one-hour groups, with 6</w:t>
      </w:r>
      <w:r w:rsidRPr="007814FB">
        <w:rPr>
          <w:rFonts w:ascii="Calibri" w:hAnsi="Calibri" w:cs="Calibri"/>
          <w:sz w:val="22"/>
          <w:szCs w:val="22"/>
        </w:rPr>
        <w:t xml:space="preserve"> participants </w:t>
      </w:r>
      <w:r>
        <w:rPr>
          <w:rFonts w:ascii="Calibri" w:hAnsi="Calibri" w:cs="Calibri"/>
          <w:sz w:val="22"/>
          <w:szCs w:val="22"/>
        </w:rPr>
        <w:t>in each group</w:t>
      </w:r>
      <w:r w:rsidRPr="007814FB">
        <w:rPr>
          <w:rFonts w:ascii="Calibri" w:hAnsi="Calibri" w:cs="Calibri"/>
          <w:sz w:val="22"/>
          <w:szCs w:val="22"/>
        </w:rPr>
        <w:t>.</w:t>
      </w:r>
    </w:p>
    <w:p w:rsidR="00ED5F88" w:rsidRPr="007814FB" w:rsidRDefault="00ED5F88" w:rsidP="00ED5F88">
      <w:pPr>
        <w:rPr>
          <w:rFonts w:ascii="Calibri" w:hAnsi="Calibri" w:cs="Calibri"/>
          <w:sz w:val="22"/>
          <w:szCs w:val="22"/>
        </w:rPr>
      </w:pPr>
    </w:p>
    <w:p w:rsidR="00ED5F88" w:rsidRPr="007814FB" w:rsidRDefault="00ED5F88" w:rsidP="00ED5F88">
      <w:pPr>
        <w:keepNext/>
        <w:rPr>
          <w:rFonts w:ascii="Calibri" w:hAnsi="Calibri" w:cs="Calibri"/>
          <w:sz w:val="22"/>
          <w:szCs w:val="22"/>
        </w:rPr>
      </w:pPr>
      <w:r w:rsidRPr="007814FB">
        <w:rPr>
          <w:rFonts w:ascii="Calibri" w:hAnsi="Calibri" w:cs="Calibri"/>
          <w:sz w:val="22"/>
          <w:szCs w:val="22"/>
        </w:rPr>
        <w:t>(</w:t>
      </w:r>
      <w:r>
        <w:rPr>
          <w:rFonts w:ascii="Calibri" w:hAnsi="Calibri" w:cs="Calibri"/>
          <w:sz w:val="22"/>
          <w:szCs w:val="22"/>
        </w:rPr>
        <w:t>24</w:t>
      </w:r>
      <w:r w:rsidRPr="007814FB">
        <w:rPr>
          <w:rFonts w:ascii="Calibri" w:hAnsi="Calibri" w:cs="Calibri"/>
          <w:sz w:val="22"/>
          <w:szCs w:val="22"/>
        </w:rPr>
        <w:t xml:space="preserve"> participants X 1 hour group) = 24 hours</w:t>
      </w:r>
    </w:p>
    <w:p w:rsidR="00ED5F88" w:rsidRPr="007814FB" w:rsidRDefault="00ED5F88" w:rsidP="00ED5F88">
      <w:pPr>
        <w:rPr>
          <w:rFonts w:ascii="Calibri" w:hAnsi="Calibri" w:cs="Calibri"/>
          <w:sz w:val="22"/>
          <w:szCs w:val="22"/>
        </w:rPr>
      </w:pPr>
    </w:p>
    <w:p w:rsidR="00ED5F88" w:rsidRPr="007814FB" w:rsidRDefault="00ED5F88" w:rsidP="00ED5F88">
      <w:pPr>
        <w:pStyle w:val="Heading3"/>
        <w:rPr>
          <w:rFonts w:ascii="Calibri" w:hAnsi="Calibri" w:cs="Calibri"/>
          <w:sz w:val="22"/>
          <w:szCs w:val="22"/>
        </w:rPr>
      </w:pPr>
      <w:r w:rsidRPr="007814FB">
        <w:rPr>
          <w:rFonts w:ascii="Calibri" w:hAnsi="Calibri" w:cs="Calibri"/>
          <w:sz w:val="22"/>
          <w:szCs w:val="22"/>
        </w:rPr>
        <w:t>Grand Total</w:t>
      </w:r>
    </w:p>
    <w:p w:rsidR="00ED5F88" w:rsidRPr="007814FB" w:rsidRDefault="00ED5F88" w:rsidP="00ED5F88">
      <w:pPr>
        <w:keepNext/>
        <w:rPr>
          <w:rFonts w:ascii="Calibri" w:hAnsi="Calibri" w:cs="Calibri"/>
          <w:sz w:val="22"/>
          <w:szCs w:val="22"/>
        </w:rPr>
      </w:pPr>
    </w:p>
    <w:p w:rsidR="00ED5F88" w:rsidRPr="007814FB" w:rsidRDefault="00ED5F88" w:rsidP="00ED5F88">
      <w:pPr>
        <w:keepNext/>
        <w:rPr>
          <w:rFonts w:ascii="Calibri" w:hAnsi="Calibri" w:cs="Calibri"/>
          <w:color w:val="000000"/>
          <w:sz w:val="22"/>
          <w:szCs w:val="22"/>
        </w:rPr>
      </w:pPr>
      <w:r w:rsidRPr="007814FB">
        <w:rPr>
          <w:rFonts w:ascii="Calibri" w:hAnsi="Calibri" w:cs="Calibri"/>
          <w:b/>
          <w:color w:val="0000FF"/>
          <w:sz w:val="22"/>
          <w:szCs w:val="22"/>
        </w:rPr>
        <w:tab/>
      </w:r>
      <w:bookmarkStart w:id="0" w:name="OLE_LINK1"/>
      <w:r w:rsidRPr="007814FB">
        <w:rPr>
          <w:rFonts w:ascii="Calibri" w:hAnsi="Calibri" w:cs="Calibri"/>
          <w:color w:val="000000"/>
          <w:sz w:val="22"/>
          <w:szCs w:val="22"/>
        </w:rPr>
        <w:t xml:space="preserve">  </w:t>
      </w:r>
      <w:bookmarkEnd w:id="0"/>
      <w:r>
        <w:rPr>
          <w:rFonts w:ascii="Calibri" w:hAnsi="Calibri" w:cs="Calibri"/>
          <w:color w:val="000000"/>
          <w:sz w:val="22"/>
          <w:szCs w:val="22"/>
        </w:rPr>
        <w:t xml:space="preserve">  2</w:t>
      </w:r>
      <w:r w:rsidRPr="007814FB">
        <w:rPr>
          <w:rFonts w:ascii="Calibri" w:hAnsi="Calibri" w:cs="Calibri"/>
          <w:color w:val="000000"/>
          <w:sz w:val="22"/>
          <w:szCs w:val="22"/>
        </w:rPr>
        <w:t xml:space="preserve"> hours—participant screening</w:t>
      </w:r>
    </w:p>
    <w:p w:rsidR="00ED5F88" w:rsidRPr="007814FB" w:rsidRDefault="00ED5F88" w:rsidP="00ED5F88">
      <w:pPr>
        <w:keepNext/>
        <w:rPr>
          <w:rFonts w:ascii="Calibri" w:hAnsi="Calibri" w:cs="Calibri"/>
          <w:color w:val="000000"/>
          <w:sz w:val="22"/>
          <w:szCs w:val="22"/>
        </w:rPr>
      </w:pPr>
      <w:r w:rsidRPr="007814FB">
        <w:rPr>
          <w:rFonts w:ascii="Calibri" w:hAnsi="Calibri" w:cs="Calibri"/>
          <w:color w:val="000000"/>
          <w:sz w:val="22"/>
          <w:szCs w:val="22"/>
        </w:rPr>
        <w:tab/>
        <w:t xml:space="preserve">  </w:t>
      </w:r>
      <w:r w:rsidRPr="007814FB">
        <w:rPr>
          <w:rFonts w:ascii="Calibri" w:hAnsi="Calibri" w:cs="Calibri"/>
          <w:color w:val="000000"/>
          <w:sz w:val="22"/>
          <w:szCs w:val="22"/>
          <w:u w:val="single"/>
        </w:rPr>
        <w:t>24</w:t>
      </w:r>
      <w:r w:rsidRPr="007814FB">
        <w:rPr>
          <w:rFonts w:ascii="Calibri" w:hAnsi="Calibri" w:cs="Calibri"/>
          <w:color w:val="000000"/>
          <w:sz w:val="22"/>
          <w:szCs w:val="22"/>
        </w:rPr>
        <w:t xml:space="preserve"> hours—focus group participation</w:t>
      </w:r>
    </w:p>
    <w:p w:rsidR="00ED5F88" w:rsidRPr="007814FB" w:rsidRDefault="00ED5F88" w:rsidP="00ED5F88">
      <w:pPr>
        <w:rPr>
          <w:rFonts w:ascii="Calibri" w:hAnsi="Calibri" w:cs="Calibri"/>
          <w:color w:val="000000"/>
          <w:sz w:val="22"/>
          <w:szCs w:val="22"/>
        </w:rPr>
      </w:pPr>
      <w:r w:rsidRPr="007814FB">
        <w:rPr>
          <w:rFonts w:ascii="Calibri" w:hAnsi="Calibri" w:cs="Calibri"/>
          <w:color w:val="000000"/>
          <w:sz w:val="22"/>
          <w:szCs w:val="22"/>
        </w:rPr>
        <w:tab/>
      </w:r>
      <w:r>
        <w:rPr>
          <w:rFonts w:ascii="Calibri" w:hAnsi="Calibri" w:cs="Calibri"/>
          <w:color w:val="000000"/>
          <w:sz w:val="22"/>
          <w:szCs w:val="22"/>
        </w:rPr>
        <w:t xml:space="preserve">  26</w:t>
      </w:r>
      <w:r w:rsidRPr="007814FB">
        <w:rPr>
          <w:rFonts w:ascii="Calibri" w:hAnsi="Calibri" w:cs="Calibri"/>
          <w:color w:val="000000"/>
          <w:sz w:val="22"/>
          <w:szCs w:val="22"/>
        </w:rPr>
        <w:t xml:space="preserve"> hours total burden</w:t>
      </w:r>
    </w:p>
    <w:p w:rsidR="00ED5F88" w:rsidRDefault="00ED5F88" w:rsidP="00283433">
      <w:pPr>
        <w:keepNext/>
        <w:rPr>
          <w:rFonts w:asciiTheme="minorHAnsi" w:hAnsiTheme="minorHAnsi" w:cstheme="minorHAnsi"/>
          <w:b/>
          <w:color w:val="000000"/>
          <w:sz w:val="22"/>
          <w:szCs w:val="22"/>
        </w:rPr>
      </w:pPr>
    </w:p>
    <w:p w:rsidR="00283433" w:rsidRPr="007814FB" w:rsidRDefault="00283433" w:rsidP="00283433">
      <w:pPr>
        <w:keepNext/>
        <w:rPr>
          <w:rFonts w:asciiTheme="minorHAnsi" w:hAnsiTheme="minorHAnsi" w:cstheme="minorHAnsi"/>
          <w:b/>
          <w:color w:val="000000"/>
          <w:sz w:val="22"/>
          <w:szCs w:val="22"/>
        </w:rPr>
      </w:pPr>
      <w:r w:rsidRPr="007814FB">
        <w:rPr>
          <w:rFonts w:asciiTheme="minorHAnsi" w:hAnsiTheme="minorHAnsi" w:cstheme="minorHAnsi"/>
          <w:b/>
          <w:color w:val="000000"/>
          <w:sz w:val="22"/>
          <w:szCs w:val="22"/>
        </w:rPr>
        <w:t>Privacy, Security, and Disclosure</w:t>
      </w:r>
    </w:p>
    <w:p w:rsidR="00283433" w:rsidRPr="007814FB" w:rsidRDefault="00283433" w:rsidP="00283433">
      <w:pPr>
        <w:spacing w:before="100" w:beforeAutospacing="1" w:after="100" w:afterAutospacing="1"/>
        <w:rPr>
          <w:rFonts w:asciiTheme="minorHAnsi" w:hAnsiTheme="minorHAnsi" w:cstheme="minorHAnsi"/>
          <w:sz w:val="22"/>
          <w:szCs w:val="22"/>
        </w:rPr>
      </w:pPr>
      <w:r w:rsidRPr="007814FB">
        <w:rPr>
          <w:rFonts w:asciiTheme="minorHAnsi" w:hAnsiTheme="minorHAnsi" w:cstheme="minorHAnsi"/>
          <w:sz w:val="22"/>
          <w:szCs w:val="22"/>
        </w:rPr>
        <w:t>All participants will be subject to the provisions of the Taxpayer Bill of Rights II during this study and the contractor will ensure that all participants are treated fairly and appropriately.</w:t>
      </w:r>
    </w:p>
    <w:p w:rsidR="00283433" w:rsidRPr="007814FB" w:rsidRDefault="00283433" w:rsidP="00283433">
      <w:pPr>
        <w:spacing w:before="100" w:beforeAutospacing="1" w:after="100" w:afterAutospacing="1"/>
        <w:rPr>
          <w:rFonts w:asciiTheme="minorHAnsi" w:hAnsiTheme="minorHAnsi" w:cstheme="minorHAnsi"/>
          <w:sz w:val="22"/>
          <w:szCs w:val="22"/>
        </w:rPr>
      </w:pPr>
      <w:r w:rsidRPr="007814FB">
        <w:rPr>
          <w:rFonts w:asciiTheme="minorHAnsi" w:hAnsiTheme="minorHAnsi" w:cstheme="minorHAnsi"/>
          <w:sz w:val="22"/>
          <w:szCs w:val="22"/>
        </w:rPr>
        <w:t xml:space="preserve">The security of the data used in this project and the privacy of taxpayers will be carefully safeguarded at all times.  Security requirements are based on the Computer Security Act of 1987 and Office of Management and Budget Circular A-130, Appendices </w:t>
      </w:r>
      <w:proofErr w:type="gramStart"/>
      <w:r w:rsidRPr="007814FB">
        <w:rPr>
          <w:rFonts w:asciiTheme="minorHAnsi" w:hAnsiTheme="minorHAnsi" w:cstheme="minorHAnsi"/>
          <w:sz w:val="22"/>
          <w:szCs w:val="22"/>
        </w:rPr>
        <w:t>A</w:t>
      </w:r>
      <w:proofErr w:type="gramEnd"/>
      <w:r w:rsidRPr="007814FB">
        <w:rPr>
          <w:rFonts w:asciiTheme="minorHAnsi" w:hAnsiTheme="minorHAnsi" w:cstheme="minorHAnsi"/>
          <w:sz w:val="22"/>
          <w:szCs w:val="22"/>
        </w:rPr>
        <w:t xml:space="preserve">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283433" w:rsidRPr="007814FB" w:rsidRDefault="00283433" w:rsidP="00283433">
      <w:pPr>
        <w:spacing w:before="100" w:beforeAutospacing="1" w:after="100" w:afterAutospacing="1"/>
        <w:rPr>
          <w:rFonts w:asciiTheme="minorHAnsi" w:hAnsiTheme="minorHAnsi" w:cstheme="minorHAnsi"/>
          <w:sz w:val="22"/>
          <w:szCs w:val="22"/>
        </w:rPr>
      </w:pPr>
      <w:r w:rsidRPr="007814FB">
        <w:rPr>
          <w:rFonts w:asciiTheme="minorHAnsi" w:hAnsiTheme="minorHAnsi" w:cstheme="minorHAnsi"/>
          <w:sz w:val="22"/>
          <w:szCs w:val="22"/>
        </w:rPr>
        <w:t xml:space="preserve">The IRS will apply and meet fair information and record-keeping practices to ensure privacy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283433" w:rsidRPr="007814FB" w:rsidRDefault="00283433" w:rsidP="00283433">
      <w:pPr>
        <w:spacing w:before="100" w:beforeAutospacing="1" w:after="100" w:afterAutospacing="1"/>
        <w:rPr>
          <w:rFonts w:asciiTheme="minorHAnsi" w:hAnsiTheme="minorHAnsi" w:cstheme="minorHAnsi"/>
          <w:sz w:val="22"/>
          <w:szCs w:val="22"/>
        </w:rPr>
      </w:pPr>
      <w:r w:rsidRPr="007814FB">
        <w:rPr>
          <w:rFonts w:asciiTheme="minorHAnsi" w:hAnsiTheme="minorHAnsi" w:cstheme="minorHAnsi"/>
          <w:sz w:val="22"/>
          <w:szCs w:val="22"/>
        </w:rPr>
        <w:t>The focus group materials will not contain tax return or taxpayer information. Focus group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respondents.  We will apply the fair information and record-keeping practices to ensure protection of all respondents. The criterion for disclosure laid out in the Privacy Act, the Freedom of Information Act, and section 6103 of the Internal Revenue Code provides for the protection of information as well as its releases to authorized recipients.</w:t>
      </w:r>
    </w:p>
    <w:p w:rsidR="00ED5F88" w:rsidRPr="002E1AB6" w:rsidRDefault="00ED5F88" w:rsidP="00ED5F88">
      <w:pPr>
        <w:spacing w:before="100" w:beforeAutospacing="1" w:after="100" w:afterAutospacing="1"/>
        <w:rPr>
          <w:rFonts w:ascii="Calibri" w:eastAsia="Arial Unicode MS" w:hAnsi="Calibri" w:cs="Arial"/>
          <w:b/>
          <w:sz w:val="22"/>
          <w:szCs w:val="22"/>
        </w:rPr>
      </w:pPr>
      <w:r w:rsidRPr="002E1AB6">
        <w:rPr>
          <w:rFonts w:ascii="Calibri" w:eastAsia="Arial Unicode MS" w:hAnsi="Calibri" w:cs="Arial"/>
          <w:b/>
          <w:sz w:val="22"/>
          <w:szCs w:val="22"/>
        </w:rPr>
        <w:lastRenderedPageBreak/>
        <w:t>Other Information</w:t>
      </w:r>
    </w:p>
    <w:p w:rsidR="00ED5F88" w:rsidRPr="002E1AB6" w:rsidRDefault="00ED5F88" w:rsidP="00ED5F88">
      <w:pPr>
        <w:overflowPunct w:val="0"/>
        <w:autoSpaceDE w:val="0"/>
        <w:autoSpaceDN w:val="0"/>
        <w:adjustRightInd w:val="0"/>
        <w:textAlignment w:val="baseline"/>
        <w:rPr>
          <w:rFonts w:ascii="Calibri" w:hAnsi="Calibri" w:cs="Arial"/>
          <w:sz w:val="22"/>
          <w:szCs w:val="22"/>
        </w:rPr>
      </w:pPr>
      <w:r w:rsidRPr="002E1AB6">
        <w:rPr>
          <w:rFonts w:ascii="Calibri" w:hAnsi="Calibri" w:cs="Arial"/>
          <w:sz w:val="22"/>
          <w:szCs w:val="22"/>
        </w:rPr>
        <w:t>The following information will be provided to the Performance Planning and Analysis Section within 60 days after the close of the survey data collection operations:</w:t>
      </w:r>
    </w:p>
    <w:p w:rsidR="00ED5F88" w:rsidRPr="002E1AB6" w:rsidRDefault="00ED5F88" w:rsidP="00ED5F88">
      <w:pPr>
        <w:overflowPunct w:val="0"/>
        <w:autoSpaceDE w:val="0"/>
        <w:autoSpaceDN w:val="0"/>
        <w:adjustRightInd w:val="0"/>
        <w:ind w:left="720"/>
        <w:textAlignment w:val="baseline"/>
        <w:rPr>
          <w:rFonts w:ascii="Calibri" w:hAnsi="Calibri" w:cs="Arial"/>
          <w:sz w:val="22"/>
          <w:szCs w:val="22"/>
        </w:rPr>
      </w:pPr>
    </w:p>
    <w:p w:rsidR="00ED5F88" w:rsidRPr="002E1AB6"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Purpose</w:t>
      </w:r>
    </w:p>
    <w:p w:rsidR="00ED5F88" w:rsidRPr="002E1AB6"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Findings:  a brief summary of significant (important) findings that were evidenced in the survey results.</w:t>
      </w:r>
    </w:p>
    <w:p w:rsidR="00ED5F88" w:rsidRPr="002E1AB6"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Actions taken or lessons learned:  a brief summary of any actions taken or lessons learned as a result of the survey findings.</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Number of requests or attempts for taxpayer participation for surveys</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Number of questionnaires returned or number of focus group participants</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Date the data collection began</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Date the data collection ended</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Response rate</w:t>
      </w:r>
    </w:p>
    <w:p w:rsidR="00ED5F88"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color w:val="000000"/>
          <w:sz w:val="22"/>
          <w:szCs w:val="22"/>
        </w:rPr>
        <w:t>Actual burden hours</w:t>
      </w:r>
    </w:p>
    <w:p w:rsidR="00ED5F88" w:rsidRPr="002E1AB6" w:rsidRDefault="00ED5F88" w:rsidP="00ED5F88">
      <w:pPr>
        <w:numPr>
          <w:ilvl w:val="0"/>
          <w:numId w:val="1"/>
        </w:numPr>
        <w:spacing w:line="240" w:lineRule="atLeast"/>
        <w:rPr>
          <w:rFonts w:ascii="Calibri" w:hAnsi="Calibri" w:cs="Arial"/>
          <w:bCs/>
          <w:snapToGrid w:val="0"/>
          <w:color w:val="000000"/>
          <w:sz w:val="22"/>
          <w:szCs w:val="22"/>
        </w:rPr>
      </w:pPr>
      <w:r w:rsidRPr="002E1AB6">
        <w:rPr>
          <w:rFonts w:ascii="Calibri" w:hAnsi="Calibri" w:cs="Arial"/>
          <w:bCs/>
          <w:snapToGrid w:val="0"/>
          <w:sz w:val="22"/>
          <w:szCs w:val="22"/>
        </w:rPr>
        <w:t xml:space="preserve">Cost: </w:t>
      </w:r>
      <w:r w:rsidRPr="002E1AB6">
        <w:rPr>
          <w:rFonts w:ascii="Calibri" w:hAnsi="Calibri" w:cs="Arial"/>
          <w:snapToGrid w:val="0"/>
          <w:sz w:val="22"/>
          <w:szCs w:val="22"/>
        </w:rPr>
        <w:t>including reproduction costs, travel, overtime payments, stipends, and any other costs incurred as a direct result of the survey (does not include regular salaries of IRS employees or those of contractors).</w:t>
      </w:r>
    </w:p>
    <w:p w:rsidR="00ED5F88" w:rsidRPr="002E1AB6" w:rsidRDefault="00ED5F88" w:rsidP="00ED5F88">
      <w:pPr>
        <w:tabs>
          <w:tab w:val="left" w:pos="1080"/>
        </w:tabs>
        <w:overflowPunct w:val="0"/>
        <w:autoSpaceDE w:val="0"/>
        <w:autoSpaceDN w:val="0"/>
        <w:adjustRightInd w:val="0"/>
        <w:textAlignment w:val="baseline"/>
        <w:rPr>
          <w:rFonts w:ascii="Calibri" w:hAnsi="Calibri" w:cs="Arial"/>
          <w:sz w:val="22"/>
          <w:szCs w:val="22"/>
        </w:rPr>
      </w:pPr>
    </w:p>
    <w:p w:rsidR="00ED5F88" w:rsidRPr="002E1AB6" w:rsidRDefault="00ED5F88" w:rsidP="00ED5F88">
      <w:pPr>
        <w:tabs>
          <w:tab w:val="left" w:pos="1080"/>
        </w:tabs>
        <w:overflowPunct w:val="0"/>
        <w:autoSpaceDE w:val="0"/>
        <w:autoSpaceDN w:val="0"/>
        <w:adjustRightInd w:val="0"/>
        <w:textAlignment w:val="baseline"/>
        <w:rPr>
          <w:rFonts w:ascii="Calibri" w:hAnsi="Calibri" w:cs="Arial"/>
          <w:sz w:val="22"/>
          <w:szCs w:val="22"/>
        </w:rPr>
      </w:pPr>
      <w:r w:rsidRPr="002E1AB6">
        <w:rPr>
          <w:rFonts w:ascii="Calibri" w:hAnsi="Calibri" w:cs="Arial"/>
          <w:sz w:val="22"/>
          <w:szCs w:val="22"/>
        </w:rPr>
        <w:t xml:space="preserve">The estimated </w:t>
      </w:r>
      <w:r>
        <w:rPr>
          <w:rFonts w:ascii="Calibri" w:hAnsi="Calibri" w:cs="Arial"/>
          <w:sz w:val="22"/>
          <w:szCs w:val="22"/>
        </w:rPr>
        <w:t>cost for this project is $5,700</w:t>
      </w:r>
      <w:r w:rsidRPr="002E1AB6">
        <w:rPr>
          <w:rFonts w:ascii="Calibri" w:hAnsi="Calibri" w:cs="Arial"/>
          <w:sz w:val="22"/>
          <w:szCs w:val="22"/>
        </w:rPr>
        <w:t>.</w:t>
      </w:r>
    </w:p>
    <w:p w:rsidR="00ED5F88" w:rsidRDefault="00ED5F88" w:rsidP="00F51F10">
      <w:pPr>
        <w:pStyle w:val="Heading1"/>
        <w:rPr>
          <w:rFonts w:asciiTheme="minorHAnsi" w:hAnsiTheme="minorHAnsi" w:cstheme="minorHAnsi"/>
          <w:sz w:val="22"/>
          <w:szCs w:val="22"/>
        </w:rPr>
      </w:pPr>
    </w:p>
    <w:p w:rsidR="00283433" w:rsidRPr="007814FB" w:rsidRDefault="00283433" w:rsidP="00F51F10">
      <w:pPr>
        <w:pStyle w:val="Heading1"/>
        <w:rPr>
          <w:rFonts w:asciiTheme="minorHAnsi" w:hAnsiTheme="minorHAnsi" w:cstheme="minorHAnsi"/>
          <w:sz w:val="22"/>
          <w:szCs w:val="22"/>
        </w:rPr>
      </w:pPr>
      <w:r w:rsidRPr="007814FB">
        <w:rPr>
          <w:rFonts w:asciiTheme="minorHAnsi" w:hAnsiTheme="minorHAnsi" w:cstheme="minorHAnsi"/>
          <w:sz w:val="22"/>
          <w:szCs w:val="22"/>
        </w:rPr>
        <w:t>Contact</w:t>
      </w:r>
    </w:p>
    <w:p w:rsidR="00283433" w:rsidRPr="007814FB" w:rsidRDefault="00283433" w:rsidP="00283433">
      <w:pPr>
        <w:pStyle w:val="BodyText2"/>
        <w:rPr>
          <w:rFonts w:asciiTheme="minorHAnsi" w:hAnsiTheme="minorHAnsi" w:cstheme="minorHAnsi"/>
          <w:sz w:val="22"/>
          <w:szCs w:val="22"/>
        </w:rPr>
      </w:pPr>
      <w:r w:rsidRPr="007814FB">
        <w:rPr>
          <w:rFonts w:asciiTheme="minorHAnsi" w:hAnsiTheme="minorHAnsi" w:cstheme="minorHAnsi"/>
          <w:sz w:val="22"/>
          <w:szCs w:val="22"/>
        </w:rPr>
        <w:t>For questions regarding the study or discussion guide design, contact:</w:t>
      </w:r>
    </w:p>
    <w:p w:rsidR="00283433" w:rsidRPr="007814FB" w:rsidRDefault="00A3264C" w:rsidP="00283433">
      <w:pPr>
        <w:rPr>
          <w:rFonts w:asciiTheme="minorHAnsi" w:hAnsiTheme="minorHAnsi" w:cstheme="minorHAnsi"/>
          <w:sz w:val="22"/>
          <w:szCs w:val="22"/>
        </w:rPr>
      </w:pPr>
      <w:r>
        <w:rPr>
          <w:rFonts w:asciiTheme="minorHAnsi" w:hAnsiTheme="minorHAnsi" w:cstheme="minorHAnsi"/>
          <w:sz w:val="22"/>
          <w:szCs w:val="22"/>
        </w:rPr>
        <w:t>Beruria Novich</w:t>
      </w:r>
    </w:p>
    <w:p w:rsidR="00283433" w:rsidRPr="007814FB" w:rsidRDefault="00283433" w:rsidP="00283433">
      <w:pPr>
        <w:rPr>
          <w:rFonts w:asciiTheme="minorHAnsi" w:hAnsiTheme="minorHAnsi" w:cstheme="minorHAnsi"/>
          <w:sz w:val="22"/>
          <w:szCs w:val="22"/>
        </w:rPr>
      </w:pPr>
      <w:r w:rsidRPr="007814FB">
        <w:rPr>
          <w:rFonts w:asciiTheme="minorHAnsi" w:hAnsiTheme="minorHAnsi" w:cstheme="minorHAnsi"/>
          <w:sz w:val="22"/>
          <w:szCs w:val="22"/>
        </w:rPr>
        <w:t>Pacific Consulting Group</w:t>
      </w:r>
    </w:p>
    <w:p w:rsidR="00283433" w:rsidRPr="007814FB" w:rsidRDefault="007814FB" w:rsidP="00283433">
      <w:pPr>
        <w:rPr>
          <w:rFonts w:asciiTheme="minorHAnsi" w:hAnsiTheme="minorHAnsi" w:cstheme="minorHAnsi"/>
          <w:sz w:val="22"/>
          <w:szCs w:val="22"/>
        </w:rPr>
      </w:pPr>
      <w:r w:rsidRPr="007814FB">
        <w:rPr>
          <w:rFonts w:asciiTheme="minorHAnsi" w:hAnsiTheme="minorHAnsi" w:cstheme="minorHAnsi"/>
          <w:sz w:val="22"/>
          <w:szCs w:val="22"/>
        </w:rPr>
        <w:t>650-327-8108</w:t>
      </w:r>
    </w:p>
    <w:p w:rsidR="00283433" w:rsidRPr="00F51F10" w:rsidRDefault="00EF5386">
      <w:pPr>
        <w:rPr>
          <w:rFonts w:asciiTheme="minorHAnsi" w:hAnsiTheme="minorHAnsi" w:cstheme="minorHAnsi"/>
          <w:sz w:val="22"/>
          <w:szCs w:val="22"/>
        </w:rPr>
      </w:pPr>
      <w:hyperlink r:id="rId5" w:history="1">
        <w:r w:rsidR="00A3264C" w:rsidRPr="001F6A98">
          <w:rPr>
            <w:rStyle w:val="Hyperlink"/>
            <w:rFonts w:asciiTheme="minorHAnsi" w:hAnsiTheme="minorHAnsi" w:cstheme="minorHAnsi"/>
            <w:sz w:val="22"/>
            <w:szCs w:val="22"/>
          </w:rPr>
          <w:t>bnovich@pcgfirm.com</w:t>
        </w:r>
      </w:hyperlink>
    </w:p>
    <w:sectPr w:rsidR="00283433" w:rsidRPr="00F51F10" w:rsidSect="00C73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A0B"/>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83433"/>
    <w:rsid w:val="00113B44"/>
    <w:rsid w:val="00146909"/>
    <w:rsid w:val="00283433"/>
    <w:rsid w:val="003D3B71"/>
    <w:rsid w:val="004700B9"/>
    <w:rsid w:val="00605825"/>
    <w:rsid w:val="007323DE"/>
    <w:rsid w:val="00733C08"/>
    <w:rsid w:val="007814FB"/>
    <w:rsid w:val="00785B18"/>
    <w:rsid w:val="008A0714"/>
    <w:rsid w:val="00A3264C"/>
    <w:rsid w:val="00A64769"/>
    <w:rsid w:val="00C73582"/>
    <w:rsid w:val="00D41B70"/>
    <w:rsid w:val="00E930E4"/>
    <w:rsid w:val="00ED5F88"/>
    <w:rsid w:val="00EF5386"/>
    <w:rsid w:val="00F51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33"/>
    <w:rPr>
      <w:rFonts w:ascii="Times New Roman" w:eastAsia="Times New Roman" w:hAnsi="Times New Roman"/>
    </w:rPr>
  </w:style>
  <w:style w:type="paragraph" w:styleId="Heading1">
    <w:name w:val="heading 1"/>
    <w:basedOn w:val="Normal"/>
    <w:next w:val="Normal"/>
    <w:link w:val="Heading1Char"/>
    <w:qFormat/>
    <w:rsid w:val="00283433"/>
    <w:pPr>
      <w:keepNext/>
      <w:outlineLvl w:val="0"/>
    </w:pPr>
    <w:rPr>
      <w:rFonts w:ascii="Arial" w:hAnsi="Arial"/>
      <w:b/>
    </w:rPr>
  </w:style>
  <w:style w:type="paragraph" w:styleId="Heading3">
    <w:name w:val="heading 3"/>
    <w:basedOn w:val="Normal"/>
    <w:next w:val="Normal"/>
    <w:link w:val="Heading3Char"/>
    <w:qFormat/>
    <w:rsid w:val="00283433"/>
    <w:pPr>
      <w:keepNext/>
      <w:outlineLvl w:val="2"/>
    </w:pPr>
    <w:rPr>
      <w:rFonts w:ascii="Arial" w:hAnsi="Arial"/>
      <w:u w:val="single"/>
    </w:rPr>
  </w:style>
  <w:style w:type="paragraph" w:styleId="Heading4">
    <w:name w:val="heading 4"/>
    <w:basedOn w:val="Normal"/>
    <w:next w:val="Normal"/>
    <w:link w:val="Heading4Char"/>
    <w:uiPriority w:val="9"/>
    <w:semiHidden/>
    <w:unhideWhenUsed/>
    <w:qFormat/>
    <w:rsid w:val="0028343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433"/>
    <w:rPr>
      <w:rFonts w:ascii="Arial" w:eastAsia="Times New Roman" w:hAnsi="Arial" w:cs="Times New Roman"/>
      <w:b/>
      <w:sz w:val="20"/>
      <w:szCs w:val="20"/>
    </w:rPr>
  </w:style>
  <w:style w:type="character" w:customStyle="1" w:styleId="Heading3Char">
    <w:name w:val="Heading 3 Char"/>
    <w:basedOn w:val="DefaultParagraphFont"/>
    <w:link w:val="Heading3"/>
    <w:rsid w:val="00283433"/>
    <w:rPr>
      <w:rFonts w:ascii="Arial" w:eastAsia="Times New Roman" w:hAnsi="Arial" w:cs="Times New Roman"/>
      <w:sz w:val="20"/>
      <w:szCs w:val="20"/>
      <w:u w:val="single"/>
    </w:rPr>
  </w:style>
  <w:style w:type="paragraph" w:styleId="Title">
    <w:name w:val="Title"/>
    <w:basedOn w:val="Normal"/>
    <w:link w:val="TitleChar"/>
    <w:qFormat/>
    <w:rsid w:val="00283433"/>
    <w:pPr>
      <w:jc w:val="center"/>
    </w:pPr>
    <w:rPr>
      <w:rFonts w:ascii="Arial" w:hAnsi="Arial"/>
      <w:b/>
    </w:rPr>
  </w:style>
  <w:style w:type="character" w:customStyle="1" w:styleId="TitleChar">
    <w:name w:val="Title Char"/>
    <w:basedOn w:val="DefaultParagraphFont"/>
    <w:link w:val="Title"/>
    <w:rsid w:val="00283433"/>
    <w:rPr>
      <w:rFonts w:ascii="Arial" w:eastAsia="Times New Roman" w:hAnsi="Arial" w:cs="Times New Roman"/>
      <w:b/>
      <w:sz w:val="20"/>
      <w:szCs w:val="20"/>
    </w:rPr>
  </w:style>
  <w:style w:type="paragraph" w:styleId="BodyText">
    <w:name w:val="Body Text"/>
    <w:basedOn w:val="Normal"/>
    <w:link w:val="BodyTextChar"/>
    <w:rsid w:val="00283433"/>
    <w:rPr>
      <w:rFonts w:ascii="Arial" w:hAnsi="Arial"/>
      <w:i/>
      <w:sz w:val="16"/>
    </w:rPr>
  </w:style>
  <w:style w:type="character" w:customStyle="1" w:styleId="BodyTextChar">
    <w:name w:val="Body Text Char"/>
    <w:basedOn w:val="DefaultParagraphFont"/>
    <w:link w:val="BodyText"/>
    <w:rsid w:val="00283433"/>
    <w:rPr>
      <w:rFonts w:ascii="Arial" w:eastAsia="Times New Roman" w:hAnsi="Arial" w:cs="Times New Roman"/>
      <w:i/>
      <w:sz w:val="16"/>
      <w:szCs w:val="20"/>
    </w:rPr>
  </w:style>
  <w:style w:type="paragraph" w:styleId="BodyText2">
    <w:name w:val="Body Text 2"/>
    <w:basedOn w:val="Normal"/>
    <w:link w:val="BodyText2Char"/>
    <w:rsid w:val="00283433"/>
    <w:rPr>
      <w:rFonts w:ascii="Arial" w:hAnsi="Arial"/>
      <w:sz w:val="24"/>
    </w:rPr>
  </w:style>
  <w:style w:type="character" w:customStyle="1" w:styleId="BodyText2Char">
    <w:name w:val="Body Text 2 Char"/>
    <w:basedOn w:val="DefaultParagraphFont"/>
    <w:link w:val="BodyText2"/>
    <w:rsid w:val="00283433"/>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283433"/>
    <w:rPr>
      <w:rFonts w:ascii="Cambria" w:eastAsia="Times New Roman" w:hAnsi="Cambria" w:cs="Times New Roman"/>
      <w:b/>
      <w:bCs/>
      <w:i/>
      <w:iCs/>
      <w:color w:val="4F81BD"/>
      <w:sz w:val="20"/>
      <w:szCs w:val="20"/>
    </w:rPr>
  </w:style>
  <w:style w:type="character" w:styleId="Hyperlink">
    <w:name w:val="Hyperlink"/>
    <w:basedOn w:val="DefaultParagraphFont"/>
    <w:uiPriority w:val="99"/>
    <w:unhideWhenUsed/>
    <w:rsid w:val="002834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ovich@pcgfi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Links>
    <vt:vector size="6" baseType="variant">
      <vt:variant>
        <vt:i4>65594</vt:i4>
      </vt:variant>
      <vt:variant>
        <vt:i4>0</vt:i4>
      </vt:variant>
      <vt:variant>
        <vt:i4>0</vt:i4>
      </vt:variant>
      <vt:variant>
        <vt:i4>5</vt:i4>
      </vt:variant>
      <vt:variant>
        <vt:lpwstr>mailto:jschranz@pcgfirm.com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jschranz</dc:creator>
  <cp:lastModifiedBy>Novich, Beruria</cp:lastModifiedBy>
  <cp:revision>7</cp:revision>
  <dcterms:created xsi:type="dcterms:W3CDTF">2010-10-14T20:33:00Z</dcterms:created>
  <dcterms:modified xsi:type="dcterms:W3CDTF">2011-02-17T17:34:00Z</dcterms:modified>
</cp:coreProperties>
</file>