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DE2C54"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FERC-725</w:t>
      </w:r>
      <w:r w:rsidR="00471D61">
        <w:rPr>
          <w:rFonts w:ascii="Times New Roman" w:hAnsi="Times New Roman" w:cs="Times New Roman"/>
          <w:b/>
          <w:sz w:val="24"/>
          <w:szCs w:val="24"/>
        </w:rPr>
        <w:t>R</w:t>
      </w:r>
      <w:r w:rsidR="006533CF">
        <w:rPr>
          <w:rFonts w:ascii="Times New Roman" w:hAnsi="Times New Roman" w:cs="Times New Roman"/>
          <w:b/>
          <w:sz w:val="24"/>
          <w:szCs w:val="24"/>
        </w:rPr>
        <w:t xml:space="preserve">, </w:t>
      </w:r>
      <w:r w:rsidR="001C695B">
        <w:rPr>
          <w:rFonts w:ascii="Times New Roman" w:hAnsi="Times New Roman" w:cs="Times New Roman"/>
          <w:b/>
          <w:sz w:val="24"/>
          <w:szCs w:val="24"/>
        </w:rPr>
        <w:t>Mandat</w:t>
      </w:r>
      <w:r w:rsidR="00471D61">
        <w:rPr>
          <w:rFonts w:ascii="Times New Roman" w:hAnsi="Times New Roman" w:cs="Times New Roman"/>
          <w:b/>
          <w:sz w:val="24"/>
          <w:szCs w:val="24"/>
        </w:rPr>
        <w:t>ory Reliability Standards: Reliability Standard BAL-003-1</w:t>
      </w:r>
    </w:p>
    <w:p w:rsidR="007F6B50" w:rsidRDefault="00471D61" w:rsidP="006533CF">
      <w:pPr>
        <w:spacing w:after="0"/>
        <w:jc w:val="center"/>
        <w:rPr>
          <w:rFonts w:ascii="Times New Roman" w:hAnsi="Times New Roman" w:cs="Times New Roman"/>
          <w:b/>
          <w:sz w:val="24"/>
          <w:szCs w:val="24"/>
        </w:rPr>
      </w:pPr>
      <w:r>
        <w:rPr>
          <w:rFonts w:ascii="Times New Roman" w:hAnsi="Times New Roman" w:cs="Times New Roman"/>
          <w:b/>
          <w:sz w:val="24"/>
          <w:szCs w:val="24"/>
        </w:rPr>
        <w:t>Final Rule</w:t>
      </w:r>
      <w:r w:rsidR="00AF2B62">
        <w:rPr>
          <w:rFonts w:ascii="Times New Roman" w:hAnsi="Times New Roman" w:cs="Times New Roman"/>
          <w:b/>
          <w:sz w:val="24"/>
          <w:szCs w:val="24"/>
        </w:rPr>
        <w:t xml:space="preserve"> </w:t>
      </w:r>
      <w:r>
        <w:rPr>
          <w:rFonts w:ascii="Times New Roman" w:hAnsi="Times New Roman" w:cs="Times New Roman"/>
          <w:b/>
          <w:sz w:val="24"/>
          <w:szCs w:val="24"/>
        </w:rPr>
        <w:t>(in RM13-11</w:t>
      </w:r>
      <w:r w:rsidR="00527A96" w:rsidRPr="00CA6E34">
        <w:rPr>
          <w:rFonts w:ascii="Times New Roman" w:hAnsi="Times New Roman" w:cs="Times New Roman"/>
          <w:b/>
          <w:sz w:val="24"/>
          <w:szCs w:val="24"/>
        </w:rPr>
        <w:t xml:space="preserve">) </w:t>
      </w:r>
      <w:r w:rsidR="00860D9C">
        <w:rPr>
          <w:rFonts w:ascii="Times New Roman" w:hAnsi="Times New Roman" w:cs="Times New Roman"/>
          <w:b/>
          <w:sz w:val="24"/>
          <w:szCs w:val="24"/>
        </w:rPr>
        <w:t>issued January, 16</w:t>
      </w:r>
      <w:r>
        <w:rPr>
          <w:rFonts w:ascii="Times New Roman" w:hAnsi="Times New Roman" w:cs="Times New Roman"/>
          <w:b/>
          <w:sz w:val="24"/>
          <w:szCs w:val="24"/>
        </w:rPr>
        <w:t>, 2014</w:t>
      </w:r>
    </w:p>
    <w:p w:rsidR="006533CF" w:rsidRPr="006533CF" w:rsidRDefault="006533CF" w:rsidP="006533CF">
      <w:pPr>
        <w:spacing w:after="0"/>
        <w:jc w:val="center"/>
        <w:rPr>
          <w:rFonts w:ascii="Times New Roman" w:hAnsi="Times New Roman" w:cs="Times New Roman"/>
          <w:b/>
          <w:sz w:val="24"/>
          <w:szCs w:val="24"/>
        </w:rPr>
      </w:pPr>
    </w:p>
    <w:p w:rsidR="007F6B50" w:rsidRDefault="007F6B50" w:rsidP="00FD66F1">
      <w:pPr>
        <w:spacing w:after="0"/>
        <w:rPr>
          <w:rFonts w:ascii="Times New Roman" w:hAnsi="Times New Roman" w:cs="Times New Roman"/>
          <w:sz w:val="24"/>
          <w:szCs w:val="24"/>
        </w:rPr>
      </w:pPr>
    </w:p>
    <w:p w:rsidR="00244AE0" w:rsidRDefault="00244AE0" w:rsidP="00244AE0">
      <w:pPr>
        <w:spacing w:after="0"/>
        <w:rPr>
          <w:rFonts w:ascii="Times New Roman" w:hAnsi="Times New Roman" w:cs="Times New Roman"/>
          <w:bCs/>
          <w:sz w:val="24"/>
          <w:szCs w:val="24"/>
        </w:rPr>
      </w:pPr>
      <w:r w:rsidRPr="00244AE0">
        <w:rPr>
          <w:rFonts w:ascii="Times New Roman" w:hAnsi="Times New Roman" w:cs="Times New Roman"/>
          <w:sz w:val="24"/>
          <w:szCs w:val="24"/>
        </w:rPr>
        <w:t xml:space="preserve">The Federal Energy Regulatory Commission (Commission or FERC) requests Office of Management and Budget (OMB) review </w:t>
      </w:r>
      <w:r w:rsidR="004C7C82">
        <w:rPr>
          <w:rFonts w:ascii="Times New Roman" w:hAnsi="Times New Roman" w:cs="Times New Roman"/>
          <w:sz w:val="24"/>
          <w:szCs w:val="24"/>
        </w:rPr>
        <w:t xml:space="preserve">and approval </w:t>
      </w:r>
      <w:r w:rsidRPr="00244AE0">
        <w:rPr>
          <w:rFonts w:ascii="Times New Roman" w:hAnsi="Times New Roman" w:cs="Times New Roman"/>
          <w:sz w:val="24"/>
          <w:szCs w:val="24"/>
        </w:rPr>
        <w:t xml:space="preserve">of </w:t>
      </w:r>
      <w:r w:rsidRPr="00244AE0">
        <w:rPr>
          <w:rFonts w:ascii="Times New Roman" w:hAnsi="Times New Roman" w:cs="Times New Roman"/>
          <w:b/>
          <w:bCs/>
          <w:sz w:val="24"/>
          <w:szCs w:val="24"/>
        </w:rPr>
        <w:t>FERC</w:t>
      </w:r>
      <w:r w:rsidRPr="00244AE0">
        <w:rPr>
          <w:rFonts w:ascii="Times New Roman" w:hAnsi="Times New Roman" w:cs="Times New Roman"/>
          <w:b/>
          <w:bCs/>
          <w:sz w:val="24"/>
          <w:szCs w:val="24"/>
        </w:rPr>
        <w:noBreakHyphen/>
        <w:t>725</w:t>
      </w:r>
      <w:r w:rsidR="00471D61">
        <w:rPr>
          <w:rFonts w:ascii="Times New Roman" w:hAnsi="Times New Roman" w:cs="Times New Roman"/>
          <w:b/>
          <w:bCs/>
          <w:sz w:val="24"/>
          <w:szCs w:val="24"/>
        </w:rPr>
        <w:t>R</w:t>
      </w:r>
      <w:r w:rsidRPr="00244AE0">
        <w:rPr>
          <w:rFonts w:ascii="Times New Roman" w:hAnsi="Times New Roman" w:cs="Times New Roman"/>
          <w:b/>
          <w:bCs/>
          <w:sz w:val="24"/>
          <w:szCs w:val="24"/>
        </w:rPr>
        <w:t xml:space="preserve">, </w:t>
      </w:r>
      <w:r w:rsidR="001C695B">
        <w:rPr>
          <w:rFonts w:ascii="Times New Roman" w:hAnsi="Times New Roman" w:cs="Times New Roman"/>
          <w:b/>
          <w:sz w:val="24"/>
          <w:szCs w:val="24"/>
        </w:rPr>
        <w:t>Mandatory Rel</w:t>
      </w:r>
      <w:r w:rsidR="00471D61">
        <w:rPr>
          <w:rFonts w:ascii="Times New Roman" w:hAnsi="Times New Roman" w:cs="Times New Roman"/>
          <w:b/>
          <w:sz w:val="24"/>
          <w:szCs w:val="24"/>
        </w:rPr>
        <w:t>iability Standards: Reliability Standard BAL-003-1</w:t>
      </w:r>
      <w:r w:rsidR="00C95BDA">
        <w:rPr>
          <w:rFonts w:ascii="Times New Roman" w:hAnsi="Times New Roman" w:cs="Times New Roman"/>
          <w:bCs/>
          <w:sz w:val="24"/>
          <w:szCs w:val="24"/>
        </w:rPr>
        <w:t xml:space="preserve"> </w:t>
      </w:r>
      <w:r w:rsidR="00170EF9">
        <w:rPr>
          <w:rFonts w:ascii="Times New Roman" w:hAnsi="Times New Roman" w:cs="Times New Roman"/>
          <w:bCs/>
          <w:sz w:val="24"/>
          <w:szCs w:val="24"/>
        </w:rPr>
        <w:t>as contained in the Final Rule</w:t>
      </w:r>
      <w:r w:rsidR="00C95BDA">
        <w:rPr>
          <w:rFonts w:ascii="Times New Roman" w:hAnsi="Times New Roman" w:cs="Times New Roman"/>
          <w:bCs/>
          <w:sz w:val="24"/>
          <w:szCs w:val="24"/>
        </w:rPr>
        <w:t xml:space="preserve"> in Docket No. RM13</w:t>
      </w:r>
      <w:r w:rsidRPr="00244AE0">
        <w:rPr>
          <w:rFonts w:ascii="Times New Roman" w:hAnsi="Times New Roman" w:cs="Times New Roman"/>
          <w:bCs/>
          <w:sz w:val="24"/>
          <w:szCs w:val="24"/>
        </w:rPr>
        <w:t>-</w:t>
      </w:r>
      <w:r w:rsidR="00471D61">
        <w:rPr>
          <w:rFonts w:ascii="Times New Roman" w:hAnsi="Times New Roman" w:cs="Times New Roman"/>
          <w:bCs/>
          <w:sz w:val="24"/>
          <w:szCs w:val="24"/>
        </w:rPr>
        <w:t>11</w:t>
      </w:r>
      <w:r w:rsidR="00170EF9">
        <w:rPr>
          <w:rFonts w:ascii="Times New Roman" w:hAnsi="Times New Roman" w:cs="Times New Roman"/>
          <w:bCs/>
          <w:sz w:val="24"/>
          <w:szCs w:val="24"/>
        </w:rPr>
        <w:t>-000 (</w:t>
      </w:r>
      <w:r w:rsidR="00C95BDA" w:rsidRPr="00C95BDA">
        <w:rPr>
          <w:rFonts w:ascii="Times New Roman" w:hAnsi="Times New Roman" w:cs="Times New Roman"/>
          <w:bCs/>
          <w:sz w:val="24"/>
          <w:szCs w:val="24"/>
        </w:rPr>
        <w:t>Reliability Standard BAL-</w:t>
      </w:r>
      <w:r w:rsidR="00471D61">
        <w:rPr>
          <w:rFonts w:ascii="Times New Roman" w:hAnsi="Times New Roman" w:cs="Times New Roman"/>
          <w:bCs/>
          <w:sz w:val="24"/>
          <w:szCs w:val="24"/>
        </w:rPr>
        <w:t>003-1</w:t>
      </w:r>
      <w:r w:rsidR="00170EF9">
        <w:rPr>
          <w:rFonts w:ascii="Times New Roman" w:hAnsi="Times New Roman" w:cs="Times New Roman"/>
          <w:bCs/>
          <w:sz w:val="24"/>
          <w:szCs w:val="24"/>
        </w:rPr>
        <w:t>)</w:t>
      </w:r>
      <w:r w:rsidR="00AF22BA">
        <w:rPr>
          <w:rFonts w:ascii="Times New Roman" w:hAnsi="Times New Roman" w:cs="Times New Roman"/>
          <w:bCs/>
          <w:sz w:val="24"/>
          <w:szCs w:val="24"/>
        </w:rPr>
        <w:t xml:space="preserve"> (</w:t>
      </w:r>
      <w:hyperlink r:id="rId9" w:history="1">
        <w:r w:rsidR="00376108" w:rsidRPr="00482AF6">
          <w:rPr>
            <w:rStyle w:val="Hyperlink"/>
            <w:rFonts w:ascii="Times New Roman" w:hAnsi="Times New Roman" w:cs="Times New Roman"/>
            <w:bCs/>
            <w:sz w:val="24"/>
            <w:szCs w:val="24"/>
          </w:rPr>
          <w:t>http://elibrary.ferc.gov/idmws/common/OpenNat.asp?fileID=13439345</w:t>
        </w:r>
      </w:hyperlink>
      <w:r w:rsidR="00376108">
        <w:rPr>
          <w:rFonts w:ascii="Times New Roman" w:hAnsi="Times New Roman" w:cs="Times New Roman"/>
          <w:bCs/>
          <w:sz w:val="24"/>
          <w:szCs w:val="24"/>
        </w:rPr>
        <w:t>)</w:t>
      </w:r>
      <w:r w:rsidR="005B0AA8">
        <w:rPr>
          <w:rFonts w:ascii="Times New Roman" w:hAnsi="Times New Roman" w:cs="Times New Roman"/>
          <w:bCs/>
          <w:sz w:val="24"/>
          <w:szCs w:val="24"/>
        </w:rPr>
        <w:t>.</w:t>
      </w:r>
    </w:p>
    <w:p w:rsidR="00773AEB" w:rsidRDefault="00773AEB" w:rsidP="00FD66F1">
      <w:pPr>
        <w:spacing w:after="0"/>
        <w:rPr>
          <w:rFonts w:ascii="Times New Roman" w:hAnsi="Times New Roman" w:cs="Times New Roman"/>
          <w:sz w:val="24"/>
          <w:szCs w:val="24"/>
        </w:rPr>
      </w:pPr>
    </w:p>
    <w:p w:rsidR="00A72E7B" w:rsidRDefault="00ED084B" w:rsidP="00FD66F1">
      <w:pPr>
        <w:spacing w:after="0"/>
        <w:rPr>
          <w:rFonts w:ascii="Times New Roman" w:hAnsi="Times New Roman" w:cs="Times New Roman"/>
          <w:sz w:val="24"/>
          <w:szCs w:val="24"/>
        </w:rPr>
      </w:pPr>
      <w:r>
        <w:rPr>
          <w:rFonts w:ascii="Times New Roman" w:hAnsi="Times New Roman" w:cs="Times New Roman"/>
          <w:sz w:val="24"/>
          <w:szCs w:val="24"/>
        </w:rPr>
        <w:t>During the NOPR stage, we submitted this rule under a new collection number and control number because of other Commission proceedings also affecting the FERC-725A collection.  The FERC-725R only contains the information collection burden</w:t>
      </w:r>
      <w:r w:rsidR="001B6A73">
        <w:rPr>
          <w:rFonts w:ascii="Times New Roman" w:hAnsi="Times New Roman" w:cs="Times New Roman"/>
          <w:sz w:val="24"/>
          <w:szCs w:val="24"/>
        </w:rPr>
        <w:t xml:space="preserve"> that is new and a direct result of RM13-11. </w:t>
      </w:r>
    </w:p>
    <w:p w:rsidR="001B6A73" w:rsidRDefault="001B6A73" w:rsidP="00FD66F1">
      <w:pPr>
        <w:spacing w:after="0"/>
        <w:rPr>
          <w:rFonts w:ascii="Times New Roman" w:hAnsi="Times New Roman" w:cs="Times New Roman"/>
          <w:sz w:val="24"/>
          <w:szCs w:val="24"/>
        </w:rPr>
      </w:pP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1B6A73" w:rsidRPr="001B6A73" w:rsidRDefault="001B6A73" w:rsidP="001B6A73">
      <w:pPr>
        <w:spacing w:after="0"/>
        <w:rPr>
          <w:rFonts w:ascii="Times New Roman" w:hAnsi="Times New Roman" w:cs="Times New Roman"/>
          <w:sz w:val="24"/>
          <w:szCs w:val="24"/>
        </w:rPr>
      </w:pPr>
      <w:r w:rsidRPr="001B6A73">
        <w:rPr>
          <w:rFonts w:ascii="Times New Roman" w:hAnsi="Times New Roman" w:cs="Times New Roman"/>
          <w:sz w:val="24"/>
          <w:szCs w:val="24"/>
        </w:rPr>
        <w:t xml:space="preserve">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p>
    <w:p w:rsidR="001B6A73" w:rsidRPr="001B6A73" w:rsidRDefault="001B6A73" w:rsidP="001B6A73">
      <w:pPr>
        <w:spacing w:after="0"/>
        <w:rPr>
          <w:rFonts w:ascii="Times New Roman" w:hAnsi="Times New Roman" w:cs="Times New Roman"/>
          <w:sz w:val="24"/>
          <w:szCs w:val="24"/>
        </w:rPr>
      </w:pPr>
    </w:p>
    <w:p w:rsidR="001B6A73" w:rsidRPr="001B6A73" w:rsidRDefault="001B6A73" w:rsidP="001B6A73">
      <w:pPr>
        <w:spacing w:after="0"/>
        <w:rPr>
          <w:rFonts w:ascii="Times New Roman" w:hAnsi="Times New Roman" w:cs="Times New Roman"/>
          <w:sz w:val="24"/>
          <w:szCs w:val="24"/>
        </w:rPr>
      </w:pPr>
      <w:r w:rsidRPr="001B6A73">
        <w:rPr>
          <w:rFonts w:ascii="Times New Roman" w:hAnsi="Times New Roman" w:cs="Times New Roman"/>
          <w:sz w:val="24"/>
          <w:szCs w:val="24"/>
        </w:rPr>
        <w:t>On March 16, 2007, in Order No. 693, pursuant to section 215(d) of the FPA, the Commission approved 83 of 107 proposed Reliability Standards, six of the eight proposed regional differences, and the North American Electric Reliability Corpor</w:t>
      </w:r>
      <w:r w:rsidR="00904F52">
        <w:rPr>
          <w:rFonts w:ascii="Times New Roman" w:hAnsi="Times New Roman" w:cs="Times New Roman"/>
          <w:sz w:val="24"/>
          <w:szCs w:val="24"/>
        </w:rPr>
        <w:t>ation (NERC) Glossary of Terms u</w:t>
      </w:r>
      <w:r w:rsidRPr="001B6A73">
        <w:rPr>
          <w:rFonts w:ascii="Times New Roman" w:hAnsi="Times New Roman" w:cs="Times New Roman"/>
          <w:sz w:val="24"/>
          <w:szCs w:val="24"/>
        </w:rPr>
        <w:t xml:space="preserve">sed in Reliability Standards (NERC Glossary), including currently-effective BAL-003-0.  In addition, pursuant to section 215(d)(5) of the FPA, the Commission directed NERC, among other things, to develop modifications to BAL-003-0 to address certain issues identified by the Commission.  Specifically, the Commission directed NERC to develop a modification to BAL-003-0 through the Reliability Standards development process that: (1) includes Levels of Non-Compliance; (2) determines the appropriate periodicity of frequency response surveys necessary to ensure that Requirement R2 and other requirements of the Reliability Standard are being met, and to modify Measure M1 based on that determination and (3) defines the necessary amount of Frequency Response needed for Reliable Operation for each balancing authority with methods of obtaining and measuring that the frequency response is achieved. </w:t>
      </w:r>
    </w:p>
    <w:p w:rsidR="001B6A73" w:rsidRPr="001B6A73" w:rsidRDefault="001B6A73" w:rsidP="001B6A73">
      <w:pPr>
        <w:spacing w:after="0"/>
        <w:rPr>
          <w:rFonts w:ascii="Times New Roman" w:hAnsi="Times New Roman" w:cs="Times New Roman"/>
          <w:sz w:val="24"/>
          <w:szCs w:val="24"/>
        </w:rPr>
      </w:pPr>
    </w:p>
    <w:p w:rsidR="001B6A73" w:rsidRPr="001B6A73" w:rsidRDefault="001B6A73" w:rsidP="001B6A73">
      <w:pPr>
        <w:spacing w:after="0"/>
        <w:rPr>
          <w:rFonts w:ascii="Times New Roman" w:hAnsi="Times New Roman" w:cs="Times New Roman"/>
          <w:sz w:val="24"/>
          <w:szCs w:val="24"/>
        </w:rPr>
      </w:pPr>
      <w:r w:rsidRPr="001B6A73">
        <w:rPr>
          <w:rFonts w:ascii="Times New Roman" w:hAnsi="Times New Roman" w:cs="Times New Roman"/>
          <w:sz w:val="24"/>
          <w:szCs w:val="24"/>
        </w:rPr>
        <w:lastRenderedPageBreak/>
        <w:t xml:space="preserve">On March 18, 2010, the Commission established a six month compliance deadline for NERC to submit modifications to Reliability Standard BAL-003-0 responsive to the Commission’s directives in Order No. 693.   NERC requested rehearing and clarification.  On rehearing for further consideration, the Commission directed Commission staff to convene a technical conference to provide an opportunity for a public discussion regarding technical issues pertaining to the development of a frequency response requirement.   The Commission also directed NERC to submit a proposed schedule that includes firm deadlines for completing studies and analyses needed to develop a frequency response requirement, and for submission of a modified BAL-003-0 Reliability Standard responsive to the Commission directives in Order No. 693. </w:t>
      </w:r>
    </w:p>
    <w:p w:rsidR="001B6A73" w:rsidRPr="001B6A73" w:rsidRDefault="001B6A73" w:rsidP="001B6A73">
      <w:pPr>
        <w:spacing w:after="0"/>
        <w:rPr>
          <w:rFonts w:ascii="Times New Roman" w:hAnsi="Times New Roman" w:cs="Times New Roman"/>
          <w:sz w:val="24"/>
          <w:szCs w:val="24"/>
        </w:rPr>
      </w:pPr>
    </w:p>
    <w:p w:rsidR="001B6A73" w:rsidRPr="001B6A73" w:rsidRDefault="001B6A73" w:rsidP="001B6A73">
      <w:pPr>
        <w:spacing w:after="0"/>
        <w:rPr>
          <w:rFonts w:ascii="Times New Roman" w:hAnsi="Times New Roman" w:cs="Times New Roman"/>
          <w:sz w:val="24"/>
          <w:szCs w:val="24"/>
        </w:rPr>
      </w:pPr>
      <w:r w:rsidRPr="001B6A73">
        <w:rPr>
          <w:rFonts w:ascii="Times New Roman" w:hAnsi="Times New Roman" w:cs="Times New Roman"/>
          <w:sz w:val="24"/>
          <w:szCs w:val="24"/>
        </w:rPr>
        <w:t>On October 25, 2010, NERC submitted an action plan and estimated timelines for completing studies and analyses needed to develop a frequency response requirement.  NERC indicated that it would complete the revised Reliability Standard by May 2012.   On March 30, 2012, NERC submitted a motion for an extension of time to submit modifications, and on May 4, 2012, the Commission granted the request through May 2013.   NERC submitted its petition requesting appro</w:t>
      </w:r>
      <w:r>
        <w:rPr>
          <w:rFonts w:ascii="Times New Roman" w:hAnsi="Times New Roman" w:cs="Times New Roman"/>
          <w:sz w:val="24"/>
          <w:szCs w:val="24"/>
        </w:rPr>
        <w:t>val of approved</w:t>
      </w:r>
      <w:r w:rsidRPr="001B6A73">
        <w:rPr>
          <w:rFonts w:ascii="Times New Roman" w:hAnsi="Times New Roman" w:cs="Times New Roman"/>
          <w:sz w:val="24"/>
          <w:szCs w:val="24"/>
        </w:rPr>
        <w:t xml:space="preserve"> Reliability Standard BAL-003-1 on March 29, 2013.</w:t>
      </w:r>
    </w:p>
    <w:p w:rsidR="001B6A73" w:rsidRPr="001B6A73" w:rsidRDefault="001B6A73" w:rsidP="001B6A73">
      <w:pPr>
        <w:spacing w:after="0"/>
        <w:rPr>
          <w:rFonts w:ascii="Times New Roman" w:hAnsi="Times New Roman" w:cs="Times New Roman"/>
          <w:sz w:val="24"/>
          <w:szCs w:val="24"/>
        </w:rPr>
      </w:pPr>
    </w:p>
    <w:p w:rsidR="001B6A73" w:rsidRDefault="001B6A73" w:rsidP="001B6A73">
      <w:pPr>
        <w:spacing w:after="0"/>
        <w:rPr>
          <w:rFonts w:ascii="Times New Roman" w:hAnsi="Times New Roman" w:cs="Times New Roman"/>
          <w:sz w:val="24"/>
          <w:szCs w:val="24"/>
        </w:rPr>
      </w:pPr>
      <w:r w:rsidRPr="001B6A73">
        <w:rPr>
          <w:rFonts w:ascii="Times New Roman" w:hAnsi="Times New Roman" w:cs="Times New Roman"/>
          <w:sz w:val="24"/>
          <w:szCs w:val="24"/>
        </w:rPr>
        <w:t>Frequency response is a measure of an Interconnection’s ability to stabilize frequency immediately following the sudden loss of generation or load, and is a critical component of the reliable operation of the Bulk-Power System, particularly during disturbances and recoveries.  Frequency response is predominately provided by the automatic and autonomous actions of turbine-governors with some response being provided by changes in demand due to changes in frequency.</w:t>
      </w:r>
    </w:p>
    <w:p w:rsidR="00DE2C54" w:rsidRPr="00040FAB" w:rsidRDefault="001B6A73" w:rsidP="001B6A73">
      <w:pPr>
        <w:spacing w:after="0"/>
        <w:rPr>
          <w:rFonts w:ascii="Times New Roman" w:hAnsi="Times New Roman" w:cs="Times New Roman"/>
          <w:sz w:val="24"/>
          <w:szCs w:val="24"/>
        </w:rPr>
      </w:pPr>
      <w:r w:rsidRPr="001B6A73">
        <w:rPr>
          <w:rFonts w:ascii="Times New Roman" w:hAnsi="Times New Roman" w:cs="Times New Roman"/>
          <w:sz w:val="24"/>
          <w:szCs w:val="24"/>
        </w:rPr>
        <w:t xml:space="preserve">  </w:t>
      </w: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EB3E6F" w:rsidRDefault="00EB3E6F" w:rsidP="00EB3E6F">
      <w:pPr>
        <w:spacing w:after="0"/>
        <w:rPr>
          <w:rFonts w:ascii="Times New Roman" w:hAnsi="Times New Roman" w:cs="Times New Roman"/>
          <w:sz w:val="24"/>
          <w:szCs w:val="24"/>
        </w:rPr>
      </w:pPr>
    </w:p>
    <w:p w:rsidR="00F91747" w:rsidRDefault="0031704C" w:rsidP="00EB3E6F">
      <w:pPr>
        <w:spacing w:after="0"/>
        <w:rPr>
          <w:rFonts w:ascii="Times New Roman" w:hAnsi="Times New Roman" w:cs="Times New Roman"/>
          <w:sz w:val="24"/>
          <w:szCs w:val="24"/>
        </w:rPr>
      </w:pPr>
      <w:r>
        <w:rPr>
          <w:rFonts w:ascii="Times New Roman" w:hAnsi="Times New Roman" w:cs="Times New Roman"/>
          <w:sz w:val="24"/>
          <w:szCs w:val="24"/>
        </w:rPr>
        <w:t xml:space="preserve">Reliability Standard BAL-003-1 </w:t>
      </w:r>
      <w:r w:rsidR="002F148F">
        <w:rPr>
          <w:rFonts w:ascii="Times New Roman" w:hAnsi="Times New Roman" w:cs="Times New Roman"/>
          <w:sz w:val="24"/>
          <w:szCs w:val="24"/>
        </w:rPr>
        <w:t xml:space="preserve">requires Balancing Authorities and/or Reserve Sharing Groups </w:t>
      </w:r>
      <w:r w:rsidR="000724E4">
        <w:rPr>
          <w:rFonts w:ascii="Times New Roman" w:hAnsi="Times New Roman" w:cs="Times New Roman"/>
          <w:sz w:val="24"/>
          <w:szCs w:val="24"/>
        </w:rPr>
        <w:t>to</w:t>
      </w:r>
      <w:r w:rsidR="002F148F">
        <w:rPr>
          <w:rFonts w:ascii="Times New Roman" w:hAnsi="Times New Roman" w:cs="Times New Roman"/>
          <w:sz w:val="24"/>
          <w:szCs w:val="24"/>
        </w:rPr>
        <w:t xml:space="preserve"> </w:t>
      </w:r>
      <w:r>
        <w:rPr>
          <w:rFonts w:ascii="Times New Roman" w:hAnsi="Times New Roman" w:cs="Times New Roman"/>
          <w:sz w:val="24"/>
          <w:szCs w:val="24"/>
        </w:rPr>
        <w:t xml:space="preserve">collect certain information to establish the Interconnection Frequency Response Obligation and the Frequency Bias Setting for each balancing authority. </w:t>
      </w:r>
      <w:r w:rsidR="00822114">
        <w:rPr>
          <w:rFonts w:ascii="Times New Roman" w:hAnsi="Times New Roman" w:cs="Times New Roman"/>
          <w:sz w:val="24"/>
          <w:szCs w:val="24"/>
        </w:rPr>
        <w:t xml:space="preserve">  Each balancing authority reports its previous year Frequency Response Measure and Frequency Bias Setting to NERC, and revised Frequency Bias Settings are based on data from events the balancing authorities report on the proposed FRS Form 1.  The information provided on the FRS Form 1 is based on events which qualify for analyses, and NERC states that it will identify between 20 and 35 events in each Interconnection for calculating the Frequency Response Measure and Frequency Bias Setting.   The failure to collect this information could undermine the purpose of the Reliability Standard.  </w:t>
      </w:r>
      <w:r w:rsidR="002F148F">
        <w:rPr>
          <w:rFonts w:ascii="Times New Roman" w:hAnsi="Times New Roman" w:cs="Times New Roman"/>
          <w:sz w:val="24"/>
          <w:szCs w:val="24"/>
        </w:rPr>
        <w:t xml:space="preserve">  </w:t>
      </w:r>
    </w:p>
    <w:p w:rsidR="002D1814" w:rsidRPr="00EB3E6F" w:rsidRDefault="002D1814"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DESCRIBE ANY CONSIDERATION OF THE USE OF IMPROVED INFORMATION TECHNOLOGY TO REDUCE THE BURDEN AND TECHNICAL OR LEGAL OBSTACLES TO REDUCING BURDEN</w:t>
      </w:r>
    </w:p>
    <w:p w:rsidR="00EB3E6F" w:rsidRDefault="00EB3E6F" w:rsidP="00EB3E6F">
      <w:pPr>
        <w:spacing w:after="0"/>
        <w:rPr>
          <w:rFonts w:ascii="Times New Roman" w:hAnsi="Times New Roman" w:cs="Times New Roman"/>
          <w:sz w:val="24"/>
          <w:szCs w:val="24"/>
        </w:rPr>
      </w:pPr>
    </w:p>
    <w:p w:rsidR="005506B5" w:rsidRPr="005506B5" w:rsidRDefault="001B6A73" w:rsidP="005506B5">
      <w:pPr>
        <w:spacing w:after="0"/>
        <w:rPr>
          <w:rFonts w:ascii="Times New Roman" w:hAnsi="Times New Roman" w:cs="Times New Roman"/>
          <w:b/>
          <w:bCs/>
          <w:sz w:val="24"/>
          <w:szCs w:val="24"/>
        </w:rPr>
      </w:pPr>
      <w:r>
        <w:rPr>
          <w:rFonts w:ascii="Times New Roman" w:hAnsi="Times New Roman" w:cs="Times New Roman"/>
          <w:sz w:val="24"/>
          <w:szCs w:val="24"/>
        </w:rPr>
        <w:t>The use of current or improved technology is not covered in Reliability Standards.  Its use is, therefore, left to the discretion of each reporting entity.</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952276">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1608B5" w:rsidRDefault="005B6F0F" w:rsidP="001608B5">
      <w:pPr>
        <w:spacing w:after="0"/>
        <w:rPr>
          <w:rFonts w:ascii="Times New Roman" w:hAnsi="Times New Roman" w:cs="Times New Roman"/>
          <w:sz w:val="24"/>
          <w:szCs w:val="24"/>
        </w:rPr>
      </w:pPr>
      <w:r>
        <w:rPr>
          <w:rFonts w:ascii="Times New Roman" w:hAnsi="Times New Roman" w:cs="Times New Roman"/>
          <w:sz w:val="24"/>
          <w:szCs w:val="24"/>
        </w:rPr>
        <w:t>T</w:t>
      </w:r>
      <w:r w:rsidR="001B6A73">
        <w:rPr>
          <w:rFonts w:ascii="Times New Roman" w:hAnsi="Times New Roman" w:cs="Times New Roman"/>
          <w:sz w:val="24"/>
          <w:szCs w:val="24"/>
        </w:rPr>
        <w:t>he information collection requirements are unique to this reliability standard and to this information collection.  The Commission does not know of any duplication in the requirements.</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1B6A73" w:rsidRPr="001B6A73" w:rsidRDefault="001B6A73" w:rsidP="001B6A73">
      <w:pPr>
        <w:spacing w:after="0"/>
        <w:rPr>
          <w:rFonts w:ascii="Times New Roman" w:hAnsi="Times New Roman" w:cs="Times New Roman"/>
          <w:sz w:val="24"/>
          <w:szCs w:val="24"/>
        </w:rPr>
      </w:pPr>
      <w:r w:rsidRPr="001B6A73">
        <w:rPr>
          <w:rFonts w:ascii="Times New Roman" w:hAnsi="Times New Roman" w:cs="Times New Roman"/>
          <w:sz w:val="24"/>
          <w:szCs w:val="24"/>
        </w:rPr>
        <w:t xml:space="preserve">The NERC registry includes 132 individual Balancing Authorities.  Comparison of the NERC Compliance Registry with data submitted to the Energy Information Administration on Form EIA-861 indicates that, of these entities, 15 may qualify as small entities. </w:t>
      </w:r>
    </w:p>
    <w:p w:rsidR="001B6A73" w:rsidRPr="001B6A73" w:rsidRDefault="001B6A73" w:rsidP="001B6A73">
      <w:pPr>
        <w:spacing w:after="0"/>
        <w:rPr>
          <w:rFonts w:ascii="Times New Roman" w:hAnsi="Times New Roman" w:cs="Times New Roman"/>
          <w:sz w:val="24"/>
          <w:szCs w:val="24"/>
        </w:rPr>
      </w:pPr>
    </w:p>
    <w:p w:rsidR="001B6A73" w:rsidRPr="001B6A73" w:rsidRDefault="001B6A73" w:rsidP="001B6A73">
      <w:pPr>
        <w:spacing w:after="0"/>
        <w:rPr>
          <w:rFonts w:ascii="Times New Roman" w:hAnsi="Times New Roman" w:cs="Times New Roman"/>
          <w:sz w:val="24"/>
          <w:szCs w:val="24"/>
        </w:rPr>
      </w:pPr>
      <w:r w:rsidRPr="001B6A73">
        <w:rPr>
          <w:rFonts w:ascii="Times New Roman" w:hAnsi="Times New Roman" w:cs="Times New Roman"/>
          <w:sz w:val="24"/>
          <w:szCs w:val="24"/>
        </w:rPr>
        <w:t xml:space="preserve">The Commission estimates the annual regulatory burden </w:t>
      </w:r>
      <w:r w:rsidR="00745F27">
        <w:rPr>
          <w:rFonts w:ascii="Times New Roman" w:hAnsi="Times New Roman" w:cs="Times New Roman"/>
          <w:sz w:val="24"/>
          <w:szCs w:val="24"/>
        </w:rPr>
        <w:t>for compliance with the approved</w:t>
      </w:r>
      <w:r w:rsidRPr="001B6A73">
        <w:rPr>
          <w:rFonts w:ascii="Times New Roman" w:hAnsi="Times New Roman" w:cs="Times New Roman"/>
          <w:sz w:val="24"/>
          <w:szCs w:val="24"/>
        </w:rPr>
        <w:t xml:space="preserve"> Reliability Standard to be $13,560 per Balancing Authority.  This estimate for all Balancing Authorities was established using 28 events per year (more fully described in </w:t>
      </w:r>
      <w:r w:rsidR="00745F27">
        <w:rPr>
          <w:rFonts w:ascii="Times New Roman" w:hAnsi="Times New Roman" w:cs="Times New Roman"/>
          <w:sz w:val="24"/>
          <w:szCs w:val="24"/>
        </w:rPr>
        <w:t xml:space="preserve">Question </w:t>
      </w:r>
      <w:r w:rsidRPr="001B6A73">
        <w:rPr>
          <w:rFonts w:ascii="Times New Roman" w:hAnsi="Times New Roman" w:cs="Times New Roman"/>
          <w:sz w:val="24"/>
          <w:szCs w:val="24"/>
        </w:rPr>
        <w:t>#12), but smaller entities may have fewer events which qualify for analysis,  and the costs for these smaller entities may be reduc</w:t>
      </w:r>
      <w:r w:rsidR="00745F27">
        <w:rPr>
          <w:rFonts w:ascii="Times New Roman" w:hAnsi="Times New Roman" w:cs="Times New Roman"/>
          <w:sz w:val="24"/>
          <w:szCs w:val="24"/>
        </w:rPr>
        <w:t>ed.  Further, while the approved</w:t>
      </w:r>
      <w:r w:rsidRPr="001B6A73">
        <w:rPr>
          <w:rFonts w:ascii="Times New Roman" w:hAnsi="Times New Roman" w:cs="Times New Roman"/>
          <w:sz w:val="24"/>
          <w:szCs w:val="24"/>
        </w:rPr>
        <w:t xml:space="preserve"> Reliability Standard establishes a Balancing Authority’s Frequency Response Obligation, because Balancing Authorities are currently providing frequency response, we do not anticipate additional compliance costs.    </w:t>
      </w:r>
    </w:p>
    <w:p w:rsidR="001B6A73" w:rsidRPr="001B6A73" w:rsidRDefault="001B6A73" w:rsidP="001B6A73">
      <w:pPr>
        <w:spacing w:after="0"/>
        <w:rPr>
          <w:rFonts w:ascii="Times New Roman" w:hAnsi="Times New Roman" w:cs="Times New Roman"/>
          <w:sz w:val="24"/>
          <w:szCs w:val="24"/>
        </w:rPr>
      </w:pPr>
    </w:p>
    <w:p w:rsidR="00EB3E6F" w:rsidRDefault="001B6A73" w:rsidP="001B6A73">
      <w:pPr>
        <w:spacing w:after="0"/>
        <w:rPr>
          <w:rFonts w:ascii="Times New Roman" w:hAnsi="Times New Roman" w:cs="Times New Roman"/>
          <w:sz w:val="24"/>
          <w:szCs w:val="24"/>
        </w:rPr>
      </w:pPr>
      <w:r w:rsidRPr="001B6A73">
        <w:rPr>
          <w:rFonts w:ascii="Times New Roman" w:hAnsi="Times New Roman" w:cs="Times New Roman"/>
          <w:sz w:val="24"/>
          <w:szCs w:val="24"/>
        </w:rPr>
        <w:t>In general, small entities may reduce their burden by taking part in a joint registration organization or a coordinated functional registration.  These options allow an entity to share its compliance burden with other entities.</w:t>
      </w:r>
    </w:p>
    <w:p w:rsidR="001B6A73" w:rsidRPr="00EB3E6F" w:rsidRDefault="001B6A73" w:rsidP="001B6A73">
      <w:pPr>
        <w:spacing w:after="0"/>
        <w:rPr>
          <w:rFonts w:ascii="Times New Roman" w:hAnsi="Times New Roman" w:cs="Times New Roman"/>
          <w:sz w:val="24"/>
          <w:szCs w:val="24"/>
        </w:rPr>
      </w:pPr>
    </w:p>
    <w:p w:rsidR="007422D8" w:rsidRDefault="00EB3E6F" w:rsidP="00EB3E6F">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7422D8" w:rsidRPr="007422D8" w:rsidRDefault="007422D8" w:rsidP="007422D8">
      <w:pPr>
        <w:spacing w:after="0"/>
        <w:rPr>
          <w:rFonts w:ascii="Times New Roman" w:hAnsi="Times New Roman" w:cs="Times New Roman"/>
          <w:b/>
          <w:sz w:val="24"/>
          <w:szCs w:val="24"/>
        </w:rPr>
      </w:pPr>
    </w:p>
    <w:p w:rsidR="007422D8" w:rsidRDefault="00745F27" w:rsidP="00EB3E6F">
      <w:pPr>
        <w:spacing w:after="0"/>
        <w:rPr>
          <w:rFonts w:ascii="Times New Roman" w:hAnsi="Times New Roman" w:cs="Times New Roman"/>
          <w:sz w:val="24"/>
          <w:szCs w:val="24"/>
        </w:rPr>
      </w:pPr>
      <w:r>
        <w:rPr>
          <w:rFonts w:ascii="Times New Roman" w:hAnsi="Times New Roman" w:cs="Times New Roman"/>
          <w:sz w:val="24"/>
          <w:szCs w:val="24"/>
        </w:rPr>
        <w:t>If the requirements of this standard (and its associated information collection requirements) were performed less frequent</w:t>
      </w:r>
      <w:r w:rsidR="0031704C">
        <w:rPr>
          <w:rFonts w:ascii="Times New Roman" w:hAnsi="Times New Roman" w:cs="Times New Roman"/>
          <w:sz w:val="24"/>
          <w:szCs w:val="24"/>
        </w:rPr>
        <w:t>l</w:t>
      </w:r>
      <w:r>
        <w:rPr>
          <w:rFonts w:ascii="Times New Roman" w:hAnsi="Times New Roman" w:cs="Times New Roman"/>
          <w:sz w:val="24"/>
          <w:szCs w:val="24"/>
        </w:rPr>
        <w:t xml:space="preserve">y, NERC would not be provided the necessary information to </w:t>
      </w:r>
      <w:r>
        <w:rPr>
          <w:rFonts w:ascii="Times New Roman" w:hAnsi="Times New Roman" w:cs="Times New Roman"/>
          <w:sz w:val="24"/>
          <w:szCs w:val="24"/>
        </w:rPr>
        <w:lastRenderedPageBreak/>
        <w:t>appropriately calculate frequency response settings and measurements on the Bulk Electric System.</w:t>
      </w:r>
    </w:p>
    <w:p w:rsidR="0085599C" w:rsidRPr="00EB3E6F" w:rsidRDefault="0085599C"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745F27" w:rsidRPr="009468C0" w:rsidRDefault="00745F27" w:rsidP="00745F27">
      <w:pPr>
        <w:spacing w:after="0" w:line="240" w:lineRule="auto"/>
        <w:rPr>
          <w:rFonts w:ascii="Times New Roman" w:hAnsi="Times New Roman"/>
          <w:sz w:val="24"/>
          <w:szCs w:val="24"/>
        </w:rPr>
      </w:pPr>
      <w:r w:rsidRPr="009468C0">
        <w:rPr>
          <w:rFonts w:ascii="Times New Roman" w:hAnsi="Times New Roman"/>
          <w:sz w:val="24"/>
          <w:szCs w:val="24"/>
        </w:rPr>
        <w:t xml:space="preserve">There </w:t>
      </w:r>
      <w:r>
        <w:rPr>
          <w:rFonts w:ascii="Times New Roman" w:hAnsi="Times New Roman"/>
          <w:sz w:val="24"/>
          <w:szCs w:val="24"/>
        </w:rPr>
        <w:t>is one</w:t>
      </w:r>
      <w:r w:rsidRPr="009468C0">
        <w:rPr>
          <w:rFonts w:ascii="Times New Roman" w:hAnsi="Times New Roman"/>
          <w:sz w:val="24"/>
          <w:szCs w:val="24"/>
        </w:rPr>
        <w:t xml:space="preserve"> special circumstances as described in 5 CFR 1320.5(d)(2) related</w:t>
      </w:r>
      <w:r>
        <w:rPr>
          <w:rFonts w:ascii="Times New Roman" w:hAnsi="Times New Roman"/>
          <w:sz w:val="24"/>
          <w:szCs w:val="24"/>
        </w:rPr>
        <w:t xml:space="preserve"> to this information collection:</w:t>
      </w:r>
    </w:p>
    <w:p w:rsidR="00745F27" w:rsidRPr="009468C0" w:rsidRDefault="00745F27" w:rsidP="00745F27">
      <w:pPr>
        <w:spacing w:after="0" w:line="240" w:lineRule="auto"/>
        <w:rPr>
          <w:rFonts w:ascii="Times New Roman" w:hAnsi="Times New Roman"/>
          <w:sz w:val="24"/>
          <w:szCs w:val="24"/>
        </w:rPr>
      </w:pPr>
    </w:p>
    <w:p w:rsidR="00745F27" w:rsidRDefault="00745F27" w:rsidP="00745F27">
      <w:pPr>
        <w:spacing w:after="0" w:line="240" w:lineRule="auto"/>
        <w:rPr>
          <w:rFonts w:ascii="Times New Roman" w:hAnsi="Times New Roman"/>
          <w:sz w:val="24"/>
          <w:szCs w:val="24"/>
        </w:rPr>
      </w:pPr>
      <w:r>
        <w:rPr>
          <w:rFonts w:ascii="Times New Roman" w:hAnsi="Times New Roman"/>
          <w:sz w:val="24"/>
          <w:szCs w:val="24"/>
        </w:rPr>
        <w:t>The data retention requirement in the Reliability Standard BAL-003-1 says:</w:t>
      </w:r>
    </w:p>
    <w:p w:rsidR="00745F27" w:rsidRDefault="00745F27" w:rsidP="00745F27">
      <w:pPr>
        <w:spacing w:after="0" w:line="240" w:lineRule="auto"/>
        <w:rPr>
          <w:rFonts w:ascii="Times New Roman" w:hAnsi="Times New Roman"/>
          <w:sz w:val="24"/>
          <w:szCs w:val="24"/>
        </w:rPr>
      </w:pPr>
    </w:p>
    <w:p w:rsidR="00745F27" w:rsidRPr="009468C0" w:rsidRDefault="00745F27" w:rsidP="00745F27">
      <w:pPr>
        <w:autoSpaceDE w:val="0"/>
        <w:autoSpaceDN w:val="0"/>
        <w:adjustRightInd w:val="0"/>
        <w:spacing w:after="0" w:line="240" w:lineRule="auto"/>
        <w:ind w:left="720"/>
        <w:rPr>
          <w:rFonts w:ascii="Times New Roman" w:hAnsi="Times New Roman"/>
          <w:sz w:val="24"/>
          <w:szCs w:val="24"/>
        </w:rPr>
      </w:pPr>
      <w:r>
        <w:rPr>
          <w:rFonts w:ascii="Times New Roman" w:hAnsi="Times New Roman" w:cs="Times New Roman"/>
          <w:sz w:val="24"/>
          <w:szCs w:val="24"/>
        </w:rPr>
        <w:t>The Balancing Authority shall retain data or evidence to show compliance with Requirements R1, R2, R3 and R4, Measures M1, M2, M3 and M4 for the current year plus the previous three calendar years unless directed by its Compliance Enforcement Authority to retain specific evidence for a longer period of time as part of an investigation.</w:t>
      </w:r>
    </w:p>
    <w:p w:rsidR="00745F27" w:rsidRDefault="00745F27" w:rsidP="00745F27">
      <w:pPr>
        <w:spacing w:after="0" w:line="240" w:lineRule="auto"/>
        <w:rPr>
          <w:rFonts w:ascii="Times New Roman" w:hAnsi="Times New Roman"/>
          <w:sz w:val="24"/>
          <w:szCs w:val="24"/>
        </w:rPr>
      </w:pPr>
    </w:p>
    <w:p w:rsidR="00745F27" w:rsidRDefault="00745F27" w:rsidP="00745F27">
      <w:pPr>
        <w:spacing w:after="0" w:line="240" w:lineRule="auto"/>
        <w:rPr>
          <w:rFonts w:ascii="Times New Roman" w:hAnsi="Times New Roman"/>
          <w:sz w:val="24"/>
          <w:szCs w:val="24"/>
        </w:rPr>
      </w:pPr>
      <w:r>
        <w:rPr>
          <w:rFonts w:ascii="Times New Roman" w:hAnsi="Times New Roman"/>
          <w:sz w:val="24"/>
          <w:szCs w:val="24"/>
        </w:rPr>
        <w:t>This is the language adopted by the standards drafted team and approved by industry representatives during the balloting process.  As such, this is the data retention period deemed necessary for the reliability purposes contained in this standard.</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F12DC2" w:rsidRDefault="00EE41E5" w:rsidP="00EE41E5">
      <w:pPr>
        <w:spacing w:after="0"/>
        <w:rPr>
          <w:rFonts w:ascii="Times New Roman" w:hAnsi="Times New Roman" w:cs="Times New Roman"/>
          <w:sz w:val="24"/>
          <w:szCs w:val="24"/>
        </w:rPr>
      </w:pPr>
      <w:r>
        <w:rPr>
          <w:rFonts w:ascii="Times New Roman" w:hAnsi="Times New Roman" w:cs="Times New Roman"/>
          <w:sz w:val="24"/>
          <w:szCs w:val="24"/>
        </w:rPr>
        <w:t xml:space="preserve">The ERO, Regional Entities, and others work within a collaborative process to </w:t>
      </w:r>
      <w:r w:rsidR="00800EAC">
        <w:rPr>
          <w:rFonts w:ascii="Times New Roman" w:hAnsi="Times New Roman" w:cs="Times New Roman"/>
          <w:sz w:val="24"/>
          <w:szCs w:val="24"/>
        </w:rPr>
        <w:t>establish</w:t>
      </w:r>
      <w:r>
        <w:rPr>
          <w:rFonts w:ascii="Times New Roman" w:hAnsi="Times New Roman" w:cs="Times New Roman"/>
          <w:sz w:val="24"/>
          <w:szCs w:val="24"/>
        </w:rPr>
        <w:t xml:space="preserve"> Reliability Standards by jointly developing</w:t>
      </w:r>
      <w:r w:rsidR="00DE2296">
        <w:rPr>
          <w:rFonts w:ascii="Times New Roman" w:hAnsi="Times New Roman" w:cs="Times New Roman"/>
          <w:sz w:val="24"/>
          <w:szCs w:val="24"/>
        </w:rPr>
        <w:t xml:space="preserve"> and </w:t>
      </w:r>
      <w:r>
        <w:rPr>
          <w:rFonts w:ascii="Times New Roman" w:hAnsi="Times New Roman" w:cs="Times New Roman"/>
          <w:sz w:val="24"/>
          <w:szCs w:val="24"/>
        </w:rPr>
        <w:t>reviewing drafts</w:t>
      </w:r>
      <w:r w:rsidR="00CA6AB0">
        <w:rPr>
          <w:rFonts w:ascii="Times New Roman" w:hAnsi="Times New Roman" w:cs="Times New Roman"/>
          <w:sz w:val="24"/>
          <w:szCs w:val="24"/>
        </w:rPr>
        <w:t>, providing</w:t>
      </w:r>
      <w:r>
        <w:rPr>
          <w:rFonts w:ascii="Times New Roman" w:hAnsi="Times New Roman" w:cs="Times New Roman"/>
          <w:sz w:val="24"/>
          <w:szCs w:val="24"/>
        </w:rPr>
        <w:t xml:space="preserve"> </w:t>
      </w:r>
      <w:r w:rsidR="00800EAC">
        <w:rPr>
          <w:rFonts w:ascii="Times New Roman" w:hAnsi="Times New Roman" w:cs="Times New Roman"/>
          <w:sz w:val="24"/>
          <w:szCs w:val="24"/>
        </w:rPr>
        <w:t xml:space="preserve">responses to </w:t>
      </w:r>
      <w:r>
        <w:rPr>
          <w:rFonts w:ascii="Times New Roman" w:hAnsi="Times New Roman" w:cs="Times New Roman"/>
          <w:sz w:val="24"/>
          <w:szCs w:val="24"/>
        </w:rPr>
        <w:t xml:space="preserve">comments, </w:t>
      </w:r>
      <w:r w:rsidR="00DE2296">
        <w:rPr>
          <w:rFonts w:ascii="Times New Roman" w:hAnsi="Times New Roman" w:cs="Times New Roman"/>
          <w:sz w:val="24"/>
          <w:szCs w:val="24"/>
        </w:rPr>
        <w:t xml:space="preserve">vetting, and voting, </w:t>
      </w:r>
      <w:r>
        <w:rPr>
          <w:rFonts w:ascii="Times New Roman" w:hAnsi="Times New Roman" w:cs="Times New Roman"/>
          <w:sz w:val="24"/>
          <w:szCs w:val="24"/>
        </w:rPr>
        <w:t xml:space="preserve">and </w:t>
      </w:r>
      <w:r w:rsidR="00DE2296">
        <w:rPr>
          <w:rFonts w:ascii="Times New Roman" w:hAnsi="Times New Roman" w:cs="Times New Roman"/>
          <w:sz w:val="24"/>
          <w:szCs w:val="24"/>
        </w:rPr>
        <w:t xml:space="preserve">NERC’s </w:t>
      </w:r>
      <w:r>
        <w:rPr>
          <w:rFonts w:ascii="Times New Roman" w:hAnsi="Times New Roman" w:cs="Times New Roman"/>
          <w:sz w:val="24"/>
          <w:szCs w:val="24"/>
        </w:rPr>
        <w:t>sub</w:t>
      </w:r>
      <w:r w:rsidR="00046412">
        <w:rPr>
          <w:rFonts w:ascii="Times New Roman" w:hAnsi="Times New Roman" w:cs="Times New Roman"/>
          <w:sz w:val="24"/>
          <w:szCs w:val="24"/>
        </w:rPr>
        <w:t>mitting to FERC a final approved</w:t>
      </w:r>
      <w:r w:rsidR="00CA6AB0">
        <w:rPr>
          <w:rFonts w:ascii="Times New Roman" w:hAnsi="Times New Roman" w:cs="Times New Roman"/>
          <w:sz w:val="24"/>
          <w:szCs w:val="24"/>
        </w:rPr>
        <w:t xml:space="preserve"> standard for review</w:t>
      </w:r>
      <w:r w:rsidR="00046412">
        <w:rPr>
          <w:rFonts w:ascii="Times New Roman" w:hAnsi="Times New Roman" w:cs="Times New Roman"/>
          <w:sz w:val="24"/>
          <w:szCs w:val="24"/>
        </w:rPr>
        <w:t>.</w:t>
      </w:r>
    </w:p>
    <w:p w:rsidR="00046412" w:rsidRDefault="00046412" w:rsidP="00EE41E5">
      <w:pPr>
        <w:spacing w:after="0"/>
        <w:rPr>
          <w:rFonts w:ascii="Times New Roman" w:hAnsi="Times New Roman" w:cs="Times New Roman"/>
          <w:sz w:val="24"/>
          <w:szCs w:val="24"/>
        </w:rPr>
      </w:pPr>
    </w:p>
    <w:p w:rsidR="009B555B" w:rsidRPr="009B555B" w:rsidRDefault="00CA6AB0" w:rsidP="00EE41E5">
      <w:pPr>
        <w:spacing w:after="0"/>
        <w:rPr>
          <w:rFonts w:ascii="Times New Roman" w:hAnsi="Times New Roman" w:cs="Times New Roman"/>
          <w:sz w:val="24"/>
          <w:szCs w:val="24"/>
        </w:rPr>
      </w:pPr>
      <w:r>
        <w:rPr>
          <w:rFonts w:ascii="Times New Roman" w:hAnsi="Times New Roman" w:cs="Times New Roman"/>
          <w:sz w:val="24"/>
          <w:szCs w:val="24"/>
        </w:rPr>
        <w:t>The Co</w:t>
      </w:r>
      <w:r w:rsidR="00A41EB6">
        <w:rPr>
          <w:rFonts w:ascii="Times New Roman" w:hAnsi="Times New Roman" w:cs="Times New Roman"/>
          <w:sz w:val="24"/>
          <w:szCs w:val="24"/>
        </w:rPr>
        <w:t>mmission published this</w:t>
      </w:r>
      <w:r>
        <w:rPr>
          <w:rFonts w:ascii="Times New Roman" w:hAnsi="Times New Roman" w:cs="Times New Roman"/>
          <w:sz w:val="24"/>
          <w:szCs w:val="24"/>
        </w:rPr>
        <w:t xml:space="preserve"> rulemaking in the Federal Register to provide public utilities, state commissions, Federal agencies, and other interested parties an opportunity to submit data, comments, or suggestions</w:t>
      </w:r>
      <w:r w:rsidRPr="00CA6AB0">
        <w:rPr>
          <w:rStyle w:val="FootnoteReference"/>
          <w:rFonts w:ascii="Times New Roman" w:hAnsi="Times New Roman" w:cs="Times New Roman"/>
          <w:sz w:val="24"/>
          <w:szCs w:val="24"/>
          <w:vertAlign w:val="superscript"/>
        </w:rPr>
        <w:footnoteReference w:id="1"/>
      </w:r>
      <w:r>
        <w:rPr>
          <w:rFonts w:ascii="Times New Roman" w:hAnsi="Times New Roman" w:cs="Times New Roman"/>
          <w:sz w:val="24"/>
          <w:szCs w:val="24"/>
        </w:rPr>
        <w:t>.</w:t>
      </w:r>
    </w:p>
    <w:p w:rsidR="009B555B" w:rsidRDefault="009B555B" w:rsidP="00EE41E5">
      <w:pPr>
        <w:spacing w:after="0"/>
        <w:rPr>
          <w:rFonts w:ascii="Times New Roman" w:hAnsi="Times New Roman" w:cs="Times New Roman"/>
          <w:sz w:val="24"/>
          <w:szCs w:val="24"/>
          <w:highlight w:val="yellow"/>
        </w:rPr>
      </w:pPr>
    </w:p>
    <w:p w:rsidR="00046412" w:rsidRPr="009E6915" w:rsidRDefault="009B555B" w:rsidP="00EE41E5">
      <w:pPr>
        <w:spacing w:after="0"/>
        <w:rPr>
          <w:rFonts w:ascii="Times New Roman" w:hAnsi="Times New Roman" w:cs="Times New Roman"/>
          <w:sz w:val="24"/>
          <w:szCs w:val="24"/>
        </w:rPr>
      </w:pPr>
      <w:r w:rsidRPr="009E6915">
        <w:rPr>
          <w:rFonts w:ascii="Times New Roman" w:hAnsi="Times New Roman" w:cs="Times New Roman"/>
          <w:sz w:val="24"/>
          <w:szCs w:val="24"/>
        </w:rPr>
        <w:t>The Commiss</w:t>
      </w:r>
      <w:r w:rsidR="0074255F" w:rsidRPr="009E6915">
        <w:rPr>
          <w:rFonts w:ascii="Times New Roman" w:hAnsi="Times New Roman" w:cs="Times New Roman"/>
          <w:sz w:val="24"/>
          <w:szCs w:val="24"/>
        </w:rPr>
        <w:t xml:space="preserve">ion received comments responding to several issues raised in </w:t>
      </w:r>
      <w:r w:rsidRPr="009E6915">
        <w:rPr>
          <w:rFonts w:ascii="Times New Roman" w:hAnsi="Times New Roman" w:cs="Times New Roman"/>
          <w:sz w:val="24"/>
          <w:szCs w:val="24"/>
        </w:rPr>
        <w:t>the NOPR</w:t>
      </w:r>
      <w:r w:rsidR="0074255F" w:rsidRPr="009E6915">
        <w:rPr>
          <w:rFonts w:ascii="Times New Roman" w:hAnsi="Times New Roman" w:cs="Times New Roman"/>
          <w:sz w:val="24"/>
          <w:szCs w:val="24"/>
        </w:rPr>
        <w:t>, including the use of the median statistical method in determining the Frequency Response Measure, the determination of Interconnection Frequency Response Obligation, the methods of obtaining frequency response and the withdrawal of primary frequency response before secondary frequency response is activated</w:t>
      </w:r>
      <w:r w:rsidRPr="009E6915">
        <w:rPr>
          <w:rFonts w:ascii="Times New Roman" w:hAnsi="Times New Roman" w:cs="Times New Roman"/>
          <w:sz w:val="24"/>
          <w:szCs w:val="24"/>
        </w:rPr>
        <w:t>.</w:t>
      </w:r>
      <w:r w:rsidR="0074255F" w:rsidRPr="009E6915">
        <w:rPr>
          <w:rFonts w:ascii="Times New Roman" w:hAnsi="Times New Roman" w:cs="Times New Roman"/>
          <w:sz w:val="24"/>
          <w:szCs w:val="24"/>
        </w:rPr>
        <w:t xml:space="preserve">  The Commission did not receive any comments on the reporting burden estimates.   </w:t>
      </w:r>
      <w:r w:rsidRPr="009E6915">
        <w:rPr>
          <w:rFonts w:ascii="Times New Roman" w:hAnsi="Times New Roman" w:cs="Times New Roman"/>
          <w:sz w:val="24"/>
          <w:szCs w:val="24"/>
        </w:rPr>
        <w:t xml:space="preserve">  </w:t>
      </w:r>
    </w:p>
    <w:p w:rsidR="009F0569" w:rsidRPr="009E6915" w:rsidRDefault="009F0569" w:rsidP="00EB3E6F">
      <w:pPr>
        <w:spacing w:after="0"/>
        <w:rPr>
          <w:rFonts w:ascii="Times New Roman" w:hAnsi="Times New Roman" w:cs="Times New Roman"/>
          <w:sz w:val="24"/>
          <w:szCs w:val="24"/>
        </w:rPr>
      </w:pPr>
    </w:p>
    <w:p w:rsidR="005B0AA8" w:rsidRDefault="009F0569" w:rsidP="00EB3E6F">
      <w:pPr>
        <w:spacing w:after="0"/>
        <w:rPr>
          <w:rFonts w:ascii="Times New Roman" w:hAnsi="Times New Roman" w:cs="Times New Roman"/>
          <w:sz w:val="24"/>
          <w:szCs w:val="24"/>
        </w:rPr>
      </w:pPr>
      <w:r w:rsidRPr="009E6915">
        <w:rPr>
          <w:rFonts w:ascii="Times New Roman" w:hAnsi="Times New Roman" w:cs="Times New Roman"/>
          <w:sz w:val="24"/>
          <w:szCs w:val="24"/>
        </w:rPr>
        <w:lastRenderedPageBreak/>
        <w:t>For full review of a</w:t>
      </w:r>
      <w:r w:rsidR="005B0AA8" w:rsidRPr="009E6915">
        <w:rPr>
          <w:rFonts w:ascii="Times New Roman" w:hAnsi="Times New Roman" w:cs="Times New Roman"/>
          <w:sz w:val="24"/>
          <w:szCs w:val="24"/>
        </w:rPr>
        <w:t>ll of the c</w:t>
      </w:r>
      <w:r w:rsidRPr="009E6915">
        <w:rPr>
          <w:rFonts w:ascii="Times New Roman" w:hAnsi="Times New Roman" w:cs="Times New Roman"/>
          <w:sz w:val="24"/>
          <w:szCs w:val="24"/>
        </w:rPr>
        <w:t>omments and discussion, reference</w:t>
      </w:r>
      <w:r w:rsidR="005D0DBA" w:rsidRPr="009E6915">
        <w:rPr>
          <w:rFonts w:ascii="Times New Roman" w:hAnsi="Times New Roman" w:cs="Times New Roman"/>
          <w:sz w:val="24"/>
          <w:szCs w:val="24"/>
        </w:rPr>
        <w:t xml:space="preserve"> Paragraphs 28-</w:t>
      </w:r>
      <w:r w:rsidR="004E3DE6">
        <w:rPr>
          <w:rFonts w:ascii="Times New Roman" w:hAnsi="Times New Roman" w:cs="Times New Roman"/>
          <w:sz w:val="24"/>
          <w:szCs w:val="24"/>
        </w:rPr>
        <w:t>94</w:t>
      </w:r>
      <w:r w:rsidR="005B0AA8" w:rsidRPr="009E6915">
        <w:rPr>
          <w:rFonts w:ascii="Times New Roman" w:hAnsi="Times New Roman" w:cs="Times New Roman"/>
          <w:sz w:val="24"/>
          <w:szCs w:val="24"/>
        </w:rPr>
        <w:t xml:space="preserve"> in the Final Rule:</w:t>
      </w:r>
      <w:r w:rsidR="005B0AA8">
        <w:rPr>
          <w:rFonts w:ascii="Times New Roman" w:hAnsi="Times New Roman" w:cs="Times New Roman"/>
          <w:sz w:val="24"/>
          <w:szCs w:val="24"/>
        </w:rPr>
        <w:t xml:space="preserve"> </w:t>
      </w:r>
      <w:hyperlink r:id="rId10" w:history="1">
        <w:r w:rsidR="00DE0C93" w:rsidRPr="00482AF6">
          <w:rPr>
            <w:rStyle w:val="Hyperlink"/>
            <w:rFonts w:ascii="Times New Roman" w:hAnsi="Times New Roman" w:cs="Times New Roman"/>
            <w:bCs/>
            <w:sz w:val="24"/>
            <w:szCs w:val="24"/>
          </w:rPr>
          <w:t>http://elibrary.ferc.gov/idmws/common/OpenNat.asp?fileID=13439345</w:t>
        </w:r>
      </w:hyperlink>
      <w:r w:rsidR="00DE0C93">
        <w:rPr>
          <w:rStyle w:val="Hyperlink"/>
          <w:rFonts w:ascii="Times New Roman" w:hAnsi="Times New Roman" w:cs="Times New Roman"/>
          <w:bCs/>
          <w:sz w:val="24"/>
          <w:szCs w:val="24"/>
        </w:rPr>
        <w:t>.</w:t>
      </w:r>
    </w:p>
    <w:p w:rsidR="005B0AA8" w:rsidRPr="00EB3E6F" w:rsidRDefault="005B0AA8"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D80FBD" w:rsidRDefault="00CA6AB0" w:rsidP="00F12DC2">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00053E63">
        <w:rPr>
          <w:rFonts w:ascii="Times New Roman" w:hAnsi="Times New Roman" w:cs="Times New Roman"/>
          <w:sz w:val="24"/>
          <w:szCs w:val="24"/>
        </w:rPr>
        <w:t>no payments or gifts to the</w:t>
      </w:r>
      <w:r>
        <w:rPr>
          <w:rFonts w:ascii="Times New Roman" w:hAnsi="Times New Roman" w:cs="Times New Roman"/>
          <w:sz w:val="24"/>
          <w:szCs w:val="24"/>
        </w:rPr>
        <w:t xml:space="preserve"> respondents.</w:t>
      </w:r>
    </w:p>
    <w:p w:rsidR="00B31749" w:rsidRPr="00D80FBD" w:rsidRDefault="00B31749"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B31749" w:rsidRDefault="00A053F9" w:rsidP="00D80FBD">
      <w:pPr>
        <w:spacing w:after="0"/>
        <w:rPr>
          <w:rFonts w:ascii="Times New Roman" w:hAnsi="Times New Roman" w:cs="Times New Roman"/>
          <w:sz w:val="24"/>
          <w:szCs w:val="24"/>
        </w:rPr>
      </w:pPr>
      <w:r>
        <w:rPr>
          <w:rFonts w:ascii="Times New Roman" w:hAnsi="Times New Roman" w:cs="Times New Roman"/>
          <w:sz w:val="24"/>
          <w:szCs w:val="24"/>
        </w:rPr>
        <w:t>T</w:t>
      </w:r>
      <w:r w:rsidR="00B31749" w:rsidRPr="00B31749">
        <w:rPr>
          <w:rFonts w:ascii="Times New Roman" w:hAnsi="Times New Roman" w:cs="Times New Roman"/>
          <w:sz w:val="24"/>
          <w:szCs w:val="24"/>
        </w:rPr>
        <w:t>he Commission does not consider this information to be confidential.</w:t>
      </w:r>
    </w:p>
    <w:p w:rsidR="00B31749" w:rsidRPr="00D80FBD" w:rsidRDefault="00B31749"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B31749" w:rsidRPr="00B31749" w:rsidRDefault="00053E63" w:rsidP="00053E63">
      <w:pPr>
        <w:spacing w:after="0"/>
        <w:rPr>
          <w:rFonts w:ascii="Times New Roman" w:hAnsi="Times New Roman" w:cs="Times New Roman"/>
          <w:b/>
          <w:bCs/>
          <w:sz w:val="24"/>
          <w:szCs w:val="24"/>
        </w:rPr>
      </w:pPr>
      <w:r>
        <w:rPr>
          <w:rFonts w:ascii="Times New Roman" w:hAnsi="Times New Roman" w:cs="Times New Roman"/>
          <w:sz w:val="24"/>
          <w:szCs w:val="24"/>
        </w:rPr>
        <w:t>The Commission considers t</w:t>
      </w:r>
      <w:r w:rsidR="00FE54D1">
        <w:rPr>
          <w:rFonts w:ascii="Times New Roman" w:hAnsi="Times New Roman" w:cs="Times New Roman"/>
          <w:sz w:val="24"/>
          <w:szCs w:val="24"/>
        </w:rPr>
        <w:t>he questions within the approved</w:t>
      </w:r>
      <w:r>
        <w:rPr>
          <w:rFonts w:ascii="Times New Roman" w:hAnsi="Times New Roman" w:cs="Times New Roman"/>
          <w:sz w:val="24"/>
          <w:szCs w:val="24"/>
        </w:rPr>
        <w:t xml:space="preserve"> reliability standard neither sensitive in nature nor private.</w:t>
      </w:r>
    </w:p>
    <w:p w:rsidR="00B31749" w:rsidRPr="00D80FBD" w:rsidRDefault="00B31749"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F400D7" w:rsidRDefault="00F400D7" w:rsidP="00D80FBD">
      <w:pPr>
        <w:spacing w:after="0"/>
        <w:rPr>
          <w:rFonts w:ascii="Times New Roman" w:hAnsi="Times New Roman" w:cs="Times New Roman"/>
          <w:sz w:val="24"/>
          <w:szCs w:val="24"/>
        </w:rPr>
      </w:pPr>
    </w:p>
    <w:p w:rsidR="00A1284A" w:rsidRPr="00A1284A" w:rsidRDefault="00BB4408" w:rsidP="00A1284A">
      <w:pPr>
        <w:spacing w:after="0"/>
        <w:rPr>
          <w:rFonts w:ascii="Times New Roman" w:hAnsi="Times New Roman" w:cs="Times New Roman"/>
          <w:sz w:val="24"/>
          <w:szCs w:val="24"/>
        </w:rPr>
      </w:pPr>
      <w:r>
        <w:rPr>
          <w:rFonts w:ascii="Times New Roman" w:hAnsi="Times New Roman" w:cs="Times New Roman"/>
          <w:b/>
          <w:sz w:val="24"/>
          <w:szCs w:val="24"/>
        </w:rPr>
        <w:t>Final Rule in RM13-11</w:t>
      </w:r>
      <w:r w:rsidR="00FE4A4A" w:rsidRPr="00585BF5">
        <w:rPr>
          <w:rFonts w:ascii="Times New Roman" w:hAnsi="Times New Roman" w:cs="Times New Roman"/>
          <w:b/>
          <w:sz w:val="24"/>
          <w:szCs w:val="24"/>
        </w:rPr>
        <w:t>.</w:t>
      </w:r>
      <w:r w:rsidR="00FE4A4A">
        <w:rPr>
          <w:rFonts w:ascii="Times New Roman" w:hAnsi="Times New Roman" w:cs="Times New Roman"/>
          <w:sz w:val="24"/>
          <w:szCs w:val="24"/>
        </w:rPr>
        <w:t xml:space="preserve">  </w:t>
      </w:r>
      <w:r w:rsidR="00A1284A">
        <w:rPr>
          <w:rFonts w:ascii="Times New Roman" w:hAnsi="Times New Roman" w:cs="Times New Roman"/>
          <w:sz w:val="24"/>
          <w:szCs w:val="24"/>
        </w:rPr>
        <w:t>The approved</w:t>
      </w:r>
      <w:r w:rsidR="00A1284A" w:rsidRPr="00A1284A">
        <w:rPr>
          <w:rFonts w:ascii="Times New Roman" w:hAnsi="Times New Roman" w:cs="Times New Roman"/>
          <w:sz w:val="24"/>
          <w:szCs w:val="24"/>
        </w:rPr>
        <w:t xml:space="preserve"> Reliability Standard requires the collection of certain information to establish the Interconnection Frequency Response Obligation and the Frequency Bias Setting for each Balancing Authority.  Each Balancing Authority reports its previous year Frequency Response Measure and Frequency Bias Setting to NERC</w:t>
      </w:r>
      <w:r w:rsidR="006A104A">
        <w:rPr>
          <w:rFonts w:ascii="Times New Roman" w:hAnsi="Times New Roman" w:cs="Times New Roman"/>
          <w:sz w:val="24"/>
          <w:szCs w:val="24"/>
        </w:rPr>
        <w:t>.</w:t>
      </w:r>
      <w:r w:rsidR="00245520">
        <w:rPr>
          <w:rFonts w:ascii="Times New Roman" w:hAnsi="Times New Roman" w:cs="Times New Roman"/>
          <w:sz w:val="24"/>
          <w:szCs w:val="24"/>
        </w:rPr>
        <w:t xml:space="preserve"> </w:t>
      </w:r>
      <w:r w:rsidR="006A104A">
        <w:rPr>
          <w:rFonts w:ascii="Times New Roman" w:hAnsi="Times New Roman" w:cs="Times New Roman"/>
          <w:sz w:val="24"/>
          <w:szCs w:val="24"/>
        </w:rPr>
        <w:t>The</w:t>
      </w:r>
      <w:r w:rsidR="00A1284A" w:rsidRPr="00A1284A">
        <w:rPr>
          <w:rFonts w:ascii="Times New Roman" w:hAnsi="Times New Roman" w:cs="Times New Roman"/>
          <w:sz w:val="24"/>
          <w:szCs w:val="24"/>
        </w:rPr>
        <w:t xml:space="preserve"> revised Frequency Bias Settings are based on data from events the Balancing A</w:t>
      </w:r>
      <w:bookmarkStart w:id="0" w:name="_GoBack"/>
      <w:bookmarkEnd w:id="0"/>
      <w:r w:rsidR="00A1284A" w:rsidRPr="00A1284A">
        <w:rPr>
          <w:rFonts w:ascii="Times New Roman" w:hAnsi="Times New Roman" w:cs="Times New Roman"/>
          <w:sz w:val="24"/>
          <w:szCs w:val="24"/>
        </w:rPr>
        <w:t xml:space="preserve">uthorities report on the proposed FRS Form 1 and FRS Form 2.  Applicable entities file the FRS Form 1 and FRS Form 2 on an annual basis, as specified in Attachment 1 to Reliability Standard BAL-003-1.  The information provided on the FRS Form 1, supported by the FRS Form 2, is based on events which qualify for analyses, and NERC states that it will identify between 20 to 35 events in each Interconnection for calculating the Frequency Response Measure and Frequency Bias Setting and the Frequency Response Measure. </w:t>
      </w:r>
    </w:p>
    <w:p w:rsidR="00A1284A" w:rsidRPr="00A1284A" w:rsidRDefault="00A1284A" w:rsidP="00A1284A">
      <w:pPr>
        <w:spacing w:after="0"/>
        <w:rPr>
          <w:rFonts w:ascii="Times New Roman" w:hAnsi="Times New Roman" w:cs="Times New Roman"/>
          <w:sz w:val="24"/>
          <w:szCs w:val="24"/>
        </w:rPr>
      </w:pPr>
    </w:p>
    <w:p w:rsidR="00D80FBD" w:rsidRDefault="00A1284A" w:rsidP="00A1284A">
      <w:pPr>
        <w:spacing w:after="0"/>
        <w:rPr>
          <w:rFonts w:ascii="Times New Roman" w:hAnsi="Times New Roman" w:cs="Times New Roman"/>
          <w:sz w:val="24"/>
          <w:szCs w:val="24"/>
        </w:rPr>
      </w:pPr>
      <w:r w:rsidRPr="00A1284A">
        <w:rPr>
          <w:rFonts w:ascii="Times New Roman" w:hAnsi="Times New Roman" w:cs="Times New Roman"/>
          <w:sz w:val="24"/>
          <w:szCs w:val="24"/>
        </w:rPr>
        <w:t>Allotting eight hours for Balancing Authorities to compile the information on candidate events</w:t>
      </w:r>
      <w:r w:rsidR="009B0413" w:rsidRPr="00A1284A">
        <w:rPr>
          <w:rFonts w:ascii="Times New Roman" w:hAnsi="Times New Roman" w:cs="Times New Roman"/>
          <w:sz w:val="24"/>
          <w:szCs w:val="24"/>
        </w:rPr>
        <w:t>, multiplied</w:t>
      </w:r>
      <w:r w:rsidRPr="00A1284A">
        <w:rPr>
          <w:rFonts w:ascii="Times New Roman" w:hAnsi="Times New Roman" w:cs="Times New Roman"/>
          <w:sz w:val="24"/>
          <w:szCs w:val="24"/>
        </w:rPr>
        <w:t xml:space="preserve"> by 28 events per Balancing Authority per year yields 224 hours per year per Balancing Authority as the </w:t>
      </w:r>
      <w:r w:rsidR="009B0413">
        <w:rPr>
          <w:rFonts w:ascii="Times New Roman" w:hAnsi="Times New Roman" w:cs="Times New Roman"/>
          <w:sz w:val="24"/>
          <w:szCs w:val="24"/>
        </w:rPr>
        <w:t>paperwork</w:t>
      </w:r>
      <w:r w:rsidR="009B0413" w:rsidRPr="00A1284A">
        <w:rPr>
          <w:rFonts w:ascii="Times New Roman" w:hAnsi="Times New Roman" w:cs="Times New Roman"/>
          <w:sz w:val="24"/>
          <w:szCs w:val="24"/>
        </w:rPr>
        <w:t xml:space="preserve"> </w:t>
      </w:r>
      <w:r w:rsidRPr="00A1284A">
        <w:rPr>
          <w:rFonts w:ascii="Times New Roman" w:hAnsi="Times New Roman" w:cs="Times New Roman"/>
          <w:sz w:val="24"/>
          <w:szCs w:val="24"/>
        </w:rPr>
        <w:t>burden for compliance.   As of May 31, 2013, there are 132 registered Balancing Authorities.   Accordingly, the Commission estimates the annual regulatory burden for compliance with the proposed Reliability Standard to be $13,440 per Balancing Authority, with a total annual cost for all Balancing Authorities to be $1,774,080.</w:t>
      </w:r>
    </w:p>
    <w:p w:rsidR="005743F3" w:rsidRDefault="005743F3" w:rsidP="00A1284A">
      <w:pPr>
        <w:spacing w:after="0"/>
        <w:rPr>
          <w:rFonts w:ascii="Times New Roman" w:hAnsi="Times New Roman" w:cs="Times New Roman"/>
          <w:sz w:val="24"/>
          <w:szCs w:val="24"/>
        </w:rPr>
      </w:pPr>
    </w:p>
    <w:tbl>
      <w:tblPr>
        <w:tblpPr w:leftFromText="180" w:rightFromText="180" w:vertAnchor="text" w:horzAnchor="margin" w:tblpX="36" w:tblpY="22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530"/>
        <w:gridCol w:w="1710"/>
        <w:gridCol w:w="1620"/>
        <w:gridCol w:w="1350"/>
        <w:gridCol w:w="1260"/>
      </w:tblGrid>
      <w:tr w:rsidR="00D80FBD" w:rsidRPr="00D80FBD" w:rsidTr="00F43D22">
        <w:trPr>
          <w:cantSplit/>
          <w:trHeight w:val="347"/>
        </w:trPr>
        <w:tc>
          <w:tcPr>
            <w:tcW w:w="9288" w:type="dxa"/>
            <w:gridSpan w:val="6"/>
            <w:shd w:val="clear" w:color="auto" w:fill="D9D9D9"/>
            <w:vAlign w:val="center"/>
          </w:tcPr>
          <w:p w:rsidR="00D80FBD" w:rsidRPr="00D80FBD" w:rsidRDefault="00CF5365" w:rsidP="00CF53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FERC-725R</w:t>
            </w:r>
            <w:r w:rsidR="00FE4A4A">
              <w:rPr>
                <w:rFonts w:ascii="Times New Roman" w:hAnsi="Times New Roman" w:cs="Times New Roman"/>
                <w:b/>
                <w:sz w:val="24"/>
                <w:szCs w:val="24"/>
              </w:rPr>
              <w:t xml:space="preserve">, modified by </w:t>
            </w:r>
            <w:r>
              <w:rPr>
                <w:rFonts w:ascii="Times New Roman" w:hAnsi="Times New Roman" w:cs="Times New Roman"/>
                <w:b/>
                <w:sz w:val="24"/>
                <w:szCs w:val="24"/>
              </w:rPr>
              <w:t>RM13-11</w:t>
            </w:r>
            <w:r w:rsidR="001650DA">
              <w:rPr>
                <w:rFonts w:ascii="Times New Roman" w:hAnsi="Times New Roman" w:cs="Times New Roman"/>
                <w:b/>
                <w:sz w:val="24"/>
                <w:szCs w:val="24"/>
              </w:rPr>
              <w:t>-000</w:t>
            </w:r>
            <w:r w:rsidR="00D80FBD" w:rsidRPr="00D80FBD">
              <w:rPr>
                <w:rFonts w:ascii="Times New Roman" w:hAnsi="Times New Roman" w:cs="Times New Roman"/>
                <w:b/>
                <w:sz w:val="24"/>
                <w:szCs w:val="24"/>
              </w:rPr>
              <w:t>:</w:t>
            </w:r>
            <w:r w:rsidR="00AF22BA">
              <w:t xml:space="preserve"> </w:t>
            </w:r>
            <w:r>
              <w:rPr>
                <w:rFonts w:ascii="Times New Roman" w:hAnsi="Times New Roman" w:cs="Times New Roman"/>
                <w:b/>
                <w:sz w:val="24"/>
                <w:szCs w:val="24"/>
              </w:rPr>
              <w:t>Reliability Standard BAL-003-1 (Frequency Response and Frequency Bias Setting)</w:t>
            </w:r>
          </w:p>
        </w:tc>
      </w:tr>
      <w:tr w:rsidR="00D80FBD" w:rsidRPr="00D80FBD" w:rsidTr="00F43D22">
        <w:trPr>
          <w:cantSplit/>
          <w:trHeight w:val="1250"/>
        </w:trPr>
        <w:tc>
          <w:tcPr>
            <w:tcW w:w="1818" w:type="dxa"/>
            <w:shd w:val="clear" w:color="auto" w:fill="D9D9D9"/>
            <w:vAlign w:val="bottom"/>
          </w:tcPr>
          <w:p w:rsidR="00D80FBD" w:rsidRPr="00D80FBD" w:rsidRDefault="00D80FBD" w:rsidP="00D80FBD">
            <w:pPr>
              <w:spacing w:after="0" w:line="240" w:lineRule="auto"/>
              <w:rPr>
                <w:rFonts w:ascii="Times New Roman" w:hAnsi="Times New Roman" w:cs="Times New Roman"/>
                <w:b/>
                <w:sz w:val="24"/>
                <w:szCs w:val="24"/>
              </w:rPr>
            </w:pPr>
          </w:p>
        </w:tc>
        <w:tc>
          <w:tcPr>
            <w:tcW w:w="153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Respondents</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p>
        </w:tc>
        <w:tc>
          <w:tcPr>
            <w:tcW w:w="1710" w:type="dxa"/>
            <w:shd w:val="clear" w:color="auto" w:fill="D9D9D9"/>
            <w:vAlign w:val="bottom"/>
          </w:tcPr>
          <w:p w:rsidR="00D80FBD" w:rsidRPr="00D80FBD" w:rsidRDefault="00A125DF" w:rsidP="00D80F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One-Time</w:t>
            </w:r>
            <w:r w:rsidR="00396932">
              <w:rPr>
                <w:rFonts w:ascii="Times New Roman" w:hAnsi="Times New Roman" w:cs="Times New Roman"/>
                <w:b/>
                <w:sz w:val="24"/>
                <w:szCs w:val="24"/>
              </w:rPr>
              <w:t xml:space="preserve"> </w:t>
            </w:r>
            <w:r w:rsidR="00D80FBD" w:rsidRPr="00D80FBD">
              <w:rPr>
                <w:rFonts w:ascii="Times New Roman" w:hAnsi="Times New Roman" w:cs="Times New Roman"/>
                <w:b/>
                <w:sz w:val="24"/>
                <w:szCs w:val="24"/>
              </w:rPr>
              <w:t>Number of Responses Per Respondent</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(B)</w:t>
            </w:r>
          </w:p>
        </w:tc>
        <w:tc>
          <w:tcPr>
            <w:tcW w:w="162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Number of Responses</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r w:rsidR="007B0E32">
              <w:rPr>
                <w:rFonts w:ascii="Times New Roman" w:hAnsi="Times New Roman" w:cs="Times New Roman"/>
                <w:b/>
                <w:sz w:val="24"/>
                <w:szCs w:val="24"/>
              </w:rPr>
              <w:t xml:space="preserve"> </w:t>
            </w:r>
            <w:r w:rsidRPr="00D80FBD">
              <w:rPr>
                <w:rFonts w:ascii="Times New Roman" w:hAnsi="Times New Roman" w:cs="Times New Roman"/>
                <w:b/>
                <w:sz w:val="24"/>
                <w:szCs w:val="24"/>
              </w:rPr>
              <w:t>x(B)=(C)</w:t>
            </w:r>
          </w:p>
        </w:tc>
        <w:tc>
          <w:tcPr>
            <w:tcW w:w="135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Average Burden Hours per Response</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(D)</w:t>
            </w:r>
          </w:p>
        </w:tc>
        <w:tc>
          <w:tcPr>
            <w:tcW w:w="126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 xml:space="preserve">Estimated Total </w:t>
            </w:r>
            <w:r w:rsidR="00A125DF">
              <w:rPr>
                <w:rFonts w:ascii="Times New Roman" w:hAnsi="Times New Roman" w:cs="Times New Roman"/>
                <w:b/>
                <w:sz w:val="24"/>
                <w:szCs w:val="24"/>
              </w:rPr>
              <w:t>One-Time</w:t>
            </w:r>
            <w:r w:rsidRPr="00D80FBD">
              <w:rPr>
                <w:rFonts w:ascii="Times New Roman" w:hAnsi="Times New Roman" w:cs="Times New Roman"/>
                <w:b/>
                <w:sz w:val="24"/>
                <w:szCs w:val="24"/>
              </w:rPr>
              <w:t xml:space="preserve"> Burden</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(C)x(D)</w:t>
            </w:r>
          </w:p>
        </w:tc>
      </w:tr>
      <w:tr w:rsidR="007365BF" w:rsidRPr="00D80FBD" w:rsidTr="00CF5365">
        <w:trPr>
          <w:cantSplit/>
          <w:trHeight w:val="487"/>
        </w:trPr>
        <w:tc>
          <w:tcPr>
            <w:tcW w:w="1818" w:type="dxa"/>
          </w:tcPr>
          <w:p w:rsidR="007365BF" w:rsidRPr="00123531" w:rsidRDefault="00CF5365" w:rsidP="00F719A6">
            <w:pPr>
              <w:spacing w:after="0" w:line="240" w:lineRule="auto"/>
              <w:rPr>
                <w:rFonts w:ascii="Times New Roman" w:hAnsi="Times New Roman" w:cs="Times New Roman"/>
                <w:sz w:val="24"/>
                <w:szCs w:val="24"/>
              </w:rPr>
            </w:pPr>
            <w:r>
              <w:rPr>
                <w:rFonts w:ascii="Times New Roman" w:hAnsi="Times New Roman" w:cs="Times New Roman"/>
                <w:sz w:val="24"/>
                <w:szCs w:val="24"/>
              </w:rPr>
              <w:t>Annual Reporting</w:t>
            </w:r>
          </w:p>
        </w:tc>
        <w:tc>
          <w:tcPr>
            <w:tcW w:w="1530" w:type="dxa"/>
            <w:vAlign w:val="bottom"/>
          </w:tcPr>
          <w:p w:rsidR="007365BF" w:rsidRPr="00D80FBD" w:rsidRDefault="00CF5365" w:rsidP="007365BF">
            <w:pPr>
              <w:pStyle w:val="LegalFormat"/>
              <w:numPr>
                <w:ilvl w:val="0"/>
                <w:numId w:val="0"/>
              </w:numPr>
              <w:spacing w:line="240" w:lineRule="auto"/>
              <w:jc w:val="right"/>
              <w:rPr>
                <w:sz w:val="24"/>
                <w:u w:val="none"/>
              </w:rPr>
            </w:pPr>
            <w:r>
              <w:rPr>
                <w:sz w:val="24"/>
                <w:u w:val="none"/>
              </w:rPr>
              <w:t>132</w:t>
            </w:r>
          </w:p>
        </w:tc>
        <w:tc>
          <w:tcPr>
            <w:tcW w:w="1710" w:type="dxa"/>
            <w:vAlign w:val="bottom"/>
          </w:tcPr>
          <w:p w:rsidR="007365BF" w:rsidRPr="00D80FBD" w:rsidRDefault="00CF5365" w:rsidP="007365BF">
            <w:pPr>
              <w:pStyle w:val="LegalFormat"/>
              <w:numPr>
                <w:ilvl w:val="0"/>
                <w:numId w:val="0"/>
              </w:numPr>
              <w:spacing w:line="240" w:lineRule="auto"/>
              <w:jc w:val="right"/>
              <w:rPr>
                <w:sz w:val="24"/>
                <w:u w:val="none"/>
              </w:rPr>
            </w:pPr>
            <w:r>
              <w:rPr>
                <w:sz w:val="24"/>
                <w:u w:val="none"/>
              </w:rPr>
              <w:t>28</w:t>
            </w:r>
          </w:p>
        </w:tc>
        <w:tc>
          <w:tcPr>
            <w:tcW w:w="1620" w:type="dxa"/>
            <w:vAlign w:val="bottom"/>
          </w:tcPr>
          <w:p w:rsidR="007365BF" w:rsidRPr="00D80FBD" w:rsidRDefault="00CF5365" w:rsidP="007365BF">
            <w:pPr>
              <w:pStyle w:val="LegalFormat"/>
              <w:numPr>
                <w:ilvl w:val="0"/>
                <w:numId w:val="0"/>
              </w:numPr>
              <w:spacing w:line="240" w:lineRule="auto"/>
              <w:jc w:val="right"/>
              <w:rPr>
                <w:sz w:val="24"/>
                <w:u w:val="none"/>
              </w:rPr>
            </w:pPr>
            <w:r>
              <w:rPr>
                <w:sz w:val="24"/>
                <w:u w:val="none"/>
              </w:rPr>
              <w:t>3</w:t>
            </w:r>
            <w:r w:rsidR="009B0413">
              <w:rPr>
                <w:sz w:val="24"/>
                <w:u w:val="none"/>
              </w:rPr>
              <w:t>,</w:t>
            </w:r>
            <w:r>
              <w:rPr>
                <w:sz w:val="24"/>
                <w:u w:val="none"/>
              </w:rPr>
              <w:t>696</w:t>
            </w:r>
          </w:p>
        </w:tc>
        <w:tc>
          <w:tcPr>
            <w:tcW w:w="1350" w:type="dxa"/>
            <w:vAlign w:val="bottom"/>
          </w:tcPr>
          <w:p w:rsidR="007365BF" w:rsidRPr="00D80FBD" w:rsidRDefault="00CF5365" w:rsidP="007365BF">
            <w:pPr>
              <w:pStyle w:val="LegalFormat"/>
              <w:numPr>
                <w:ilvl w:val="0"/>
                <w:numId w:val="0"/>
              </w:numPr>
              <w:spacing w:line="240" w:lineRule="auto"/>
              <w:jc w:val="right"/>
              <w:rPr>
                <w:sz w:val="24"/>
                <w:u w:val="none"/>
              </w:rPr>
            </w:pPr>
            <w:r>
              <w:rPr>
                <w:sz w:val="24"/>
                <w:u w:val="none"/>
              </w:rPr>
              <w:t>8</w:t>
            </w:r>
          </w:p>
        </w:tc>
        <w:tc>
          <w:tcPr>
            <w:tcW w:w="1260" w:type="dxa"/>
            <w:vAlign w:val="bottom"/>
          </w:tcPr>
          <w:p w:rsidR="007365BF" w:rsidRPr="00D80FBD" w:rsidRDefault="00CF5365" w:rsidP="007365BF">
            <w:pPr>
              <w:pStyle w:val="LegalFormat"/>
              <w:numPr>
                <w:ilvl w:val="0"/>
                <w:numId w:val="0"/>
              </w:numPr>
              <w:spacing w:line="240" w:lineRule="auto"/>
              <w:jc w:val="right"/>
              <w:rPr>
                <w:sz w:val="24"/>
                <w:u w:val="none"/>
              </w:rPr>
            </w:pPr>
            <w:r>
              <w:rPr>
                <w:sz w:val="24"/>
                <w:u w:val="none"/>
              </w:rPr>
              <w:t>29,568</w:t>
            </w:r>
          </w:p>
        </w:tc>
      </w:tr>
      <w:tr w:rsidR="00CF5365" w:rsidRPr="00D80FBD" w:rsidTr="00CF5365">
        <w:trPr>
          <w:cantSplit/>
          <w:trHeight w:val="487"/>
        </w:trPr>
        <w:tc>
          <w:tcPr>
            <w:tcW w:w="1818" w:type="dxa"/>
          </w:tcPr>
          <w:p w:rsidR="00CF5365" w:rsidRDefault="00CF5365" w:rsidP="00F719A6">
            <w:pPr>
              <w:spacing w:after="0" w:line="240" w:lineRule="auto"/>
              <w:rPr>
                <w:rFonts w:ascii="Times New Roman" w:hAnsi="Times New Roman" w:cs="Times New Roman"/>
                <w:sz w:val="24"/>
                <w:szCs w:val="24"/>
              </w:rPr>
            </w:pPr>
            <w:r>
              <w:rPr>
                <w:rFonts w:ascii="Times New Roman" w:hAnsi="Times New Roman" w:cs="Times New Roman"/>
                <w:sz w:val="24"/>
                <w:szCs w:val="24"/>
              </w:rPr>
              <w:t>Data Retention</w:t>
            </w:r>
          </w:p>
        </w:tc>
        <w:tc>
          <w:tcPr>
            <w:tcW w:w="1530" w:type="dxa"/>
            <w:vAlign w:val="bottom"/>
          </w:tcPr>
          <w:p w:rsidR="00CF5365" w:rsidRDefault="00CF5365" w:rsidP="007365BF">
            <w:pPr>
              <w:pStyle w:val="LegalFormat"/>
              <w:numPr>
                <w:ilvl w:val="0"/>
                <w:numId w:val="0"/>
              </w:numPr>
              <w:spacing w:line="240" w:lineRule="auto"/>
              <w:jc w:val="right"/>
              <w:rPr>
                <w:sz w:val="24"/>
                <w:u w:val="none"/>
              </w:rPr>
            </w:pPr>
            <w:r>
              <w:rPr>
                <w:sz w:val="24"/>
                <w:u w:val="none"/>
              </w:rPr>
              <w:t>132</w:t>
            </w:r>
          </w:p>
        </w:tc>
        <w:tc>
          <w:tcPr>
            <w:tcW w:w="1710" w:type="dxa"/>
            <w:vAlign w:val="bottom"/>
          </w:tcPr>
          <w:p w:rsidR="00CF5365" w:rsidRDefault="00CF5365" w:rsidP="007365BF">
            <w:pPr>
              <w:pStyle w:val="LegalFormat"/>
              <w:numPr>
                <w:ilvl w:val="0"/>
                <w:numId w:val="0"/>
              </w:numPr>
              <w:spacing w:line="240" w:lineRule="auto"/>
              <w:jc w:val="right"/>
              <w:rPr>
                <w:sz w:val="24"/>
                <w:u w:val="none"/>
              </w:rPr>
            </w:pPr>
            <w:r>
              <w:rPr>
                <w:sz w:val="24"/>
                <w:u w:val="none"/>
              </w:rPr>
              <w:t>1</w:t>
            </w:r>
          </w:p>
        </w:tc>
        <w:tc>
          <w:tcPr>
            <w:tcW w:w="1620" w:type="dxa"/>
            <w:vAlign w:val="bottom"/>
          </w:tcPr>
          <w:p w:rsidR="00CF5365" w:rsidRDefault="00CF5365" w:rsidP="007365BF">
            <w:pPr>
              <w:pStyle w:val="LegalFormat"/>
              <w:numPr>
                <w:ilvl w:val="0"/>
                <w:numId w:val="0"/>
              </w:numPr>
              <w:spacing w:line="240" w:lineRule="auto"/>
              <w:jc w:val="right"/>
              <w:rPr>
                <w:sz w:val="24"/>
                <w:u w:val="none"/>
              </w:rPr>
            </w:pPr>
            <w:r>
              <w:rPr>
                <w:sz w:val="24"/>
                <w:u w:val="none"/>
              </w:rPr>
              <w:t>132</w:t>
            </w:r>
          </w:p>
        </w:tc>
        <w:tc>
          <w:tcPr>
            <w:tcW w:w="1350" w:type="dxa"/>
            <w:vAlign w:val="bottom"/>
          </w:tcPr>
          <w:p w:rsidR="00CF5365" w:rsidRDefault="00CF5365" w:rsidP="007365BF">
            <w:pPr>
              <w:pStyle w:val="LegalFormat"/>
              <w:numPr>
                <w:ilvl w:val="0"/>
                <w:numId w:val="0"/>
              </w:numPr>
              <w:spacing w:line="240" w:lineRule="auto"/>
              <w:jc w:val="right"/>
              <w:rPr>
                <w:sz w:val="24"/>
                <w:u w:val="none"/>
              </w:rPr>
            </w:pPr>
            <w:r>
              <w:rPr>
                <w:sz w:val="24"/>
                <w:u w:val="none"/>
              </w:rPr>
              <w:t>2</w:t>
            </w:r>
          </w:p>
        </w:tc>
        <w:tc>
          <w:tcPr>
            <w:tcW w:w="1260" w:type="dxa"/>
            <w:vAlign w:val="bottom"/>
          </w:tcPr>
          <w:p w:rsidR="00CF5365" w:rsidRDefault="00CF5365" w:rsidP="007365BF">
            <w:pPr>
              <w:pStyle w:val="LegalFormat"/>
              <w:numPr>
                <w:ilvl w:val="0"/>
                <w:numId w:val="0"/>
              </w:numPr>
              <w:spacing w:line="240" w:lineRule="auto"/>
              <w:jc w:val="right"/>
              <w:rPr>
                <w:sz w:val="24"/>
                <w:u w:val="none"/>
              </w:rPr>
            </w:pPr>
            <w:r>
              <w:rPr>
                <w:sz w:val="24"/>
                <w:u w:val="none"/>
              </w:rPr>
              <w:t>264</w:t>
            </w:r>
          </w:p>
        </w:tc>
      </w:tr>
      <w:tr w:rsidR="00CF5365" w:rsidRPr="00D80FBD" w:rsidTr="00CF5365">
        <w:trPr>
          <w:cantSplit/>
          <w:trHeight w:val="487"/>
        </w:trPr>
        <w:tc>
          <w:tcPr>
            <w:tcW w:w="1818" w:type="dxa"/>
          </w:tcPr>
          <w:p w:rsidR="00CF5365" w:rsidRDefault="00CF5365" w:rsidP="00F719A6">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530" w:type="dxa"/>
            <w:vAlign w:val="bottom"/>
          </w:tcPr>
          <w:p w:rsidR="00CF5365" w:rsidRDefault="00CF5365" w:rsidP="007365BF">
            <w:pPr>
              <w:pStyle w:val="LegalFormat"/>
              <w:numPr>
                <w:ilvl w:val="0"/>
                <w:numId w:val="0"/>
              </w:numPr>
              <w:spacing w:line="240" w:lineRule="auto"/>
              <w:jc w:val="right"/>
              <w:rPr>
                <w:sz w:val="24"/>
                <w:u w:val="none"/>
              </w:rPr>
            </w:pPr>
          </w:p>
        </w:tc>
        <w:tc>
          <w:tcPr>
            <w:tcW w:w="1710" w:type="dxa"/>
            <w:vAlign w:val="bottom"/>
          </w:tcPr>
          <w:p w:rsidR="00CF5365" w:rsidRDefault="00CF5365" w:rsidP="007365BF">
            <w:pPr>
              <w:pStyle w:val="LegalFormat"/>
              <w:numPr>
                <w:ilvl w:val="0"/>
                <w:numId w:val="0"/>
              </w:numPr>
              <w:spacing w:line="240" w:lineRule="auto"/>
              <w:jc w:val="right"/>
              <w:rPr>
                <w:sz w:val="24"/>
                <w:u w:val="none"/>
              </w:rPr>
            </w:pPr>
          </w:p>
        </w:tc>
        <w:tc>
          <w:tcPr>
            <w:tcW w:w="1620" w:type="dxa"/>
            <w:vAlign w:val="bottom"/>
          </w:tcPr>
          <w:p w:rsidR="00CF5365" w:rsidRDefault="00CF5365" w:rsidP="007365BF">
            <w:pPr>
              <w:pStyle w:val="LegalFormat"/>
              <w:numPr>
                <w:ilvl w:val="0"/>
                <w:numId w:val="0"/>
              </w:numPr>
              <w:spacing w:line="240" w:lineRule="auto"/>
              <w:jc w:val="right"/>
              <w:rPr>
                <w:sz w:val="24"/>
                <w:u w:val="none"/>
              </w:rPr>
            </w:pPr>
            <w:r>
              <w:rPr>
                <w:sz w:val="24"/>
                <w:u w:val="none"/>
              </w:rPr>
              <w:t>3</w:t>
            </w:r>
            <w:r w:rsidR="009B0413">
              <w:rPr>
                <w:sz w:val="24"/>
                <w:u w:val="none"/>
              </w:rPr>
              <w:t>,</w:t>
            </w:r>
            <w:r>
              <w:rPr>
                <w:sz w:val="24"/>
                <w:u w:val="none"/>
              </w:rPr>
              <w:t>828</w:t>
            </w:r>
          </w:p>
        </w:tc>
        <w:tc>
          <w:tcPr>
            <w:tcW w:w="1350" w:type="dxa"/>
            <w:vAlign w:val="bottom"/>
          </w:tcPr>
          <w:p w:rsidR="00CF5365" w:rsidRDefault="00CF5365" w:rsidP="007365BF">
            <w:pPr>
              <w:pStyle w:val="LegalFormat"/>
              <w:numPr>
                <w:ilvl w:val="0"/>
                <w:numId w:val="0"/>
              </w:numPr>
              <w:spacing w:line="240" w:lineRule="auto"/>
              <w:jc w:val="right"/>
              <w:rPr>
                <w:sz w:val="24"/>
                <w:u w:val="none"/>
              </w:rPr>
            </w:pPr>
          </w:p>
        </w:tc>
        <w:tc>
          <w:tcPr>
            <w:tcW w:w="1260" w:type="dxa"/>
            <w:vAlign w:val="bottom"/>
          </w:tcPr>
          <w:p w:rsidR="00CF5365" w:rsidRDefault="00CF5365" w:rsidP="007365BF">
            <w:pPr>
              <w:pStyle w:val="LegalFormat"/>
              <w:numPr>
                <w:ilvl w:val="0"/>
                <w:numId w:val="0"/>
              </w:numPr>
              <w:spacing w:line="240" w:lineRule="auto"/>
              <w:jc w:val="right"/>
              <w:rPr>
                <w:sz w:val="24"/>
                <w:u w:val="none"/>
              </w:rPr>
            </w:pPr>
            <w:r>
              <w:rPr>
                <w:sz w:val="24"/>
                <w:u w:val="none"/>
              </w:rPr>
              <w:t>29,832</w:t>
            </w:r>
          </w:p>
        </w:tc>
      </w:tr>
    </w:tbl>
    <w:p w:rsidR="0012528C" w:rsidRPr="0012528C" w:rsidRDefault="0012528C" w:rsidP="0012528C">
      <w:pPr>
        <w:widowControl w:val="0"/>
        <w:autoSpaceDE w:val="0"/>
        <w:autoSpaceDN w:val="0"/>
        <w:adjustRightInd w:val="0"/>
        <w:spacing w:after="0" w:line="240" w:lineRule="auto"/>
        <w:rPr>
          <w:rFonts w:ascii="Times New Roman" w:eastAsia="Times New Roman" w:hAnsi="Times New Roman" w:cs="Times New Roman"/>
          <w:sz w:val="24"/>
          <w:szCs w:val="24"/>
        </w:rPr>
      </w:pPr>
    </w:p>
    <w:p w:rsidR="0012528C" w:rsidRDefault="002F5959" w:rsidP="0012528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estimated</w:t>
      </w:r>
      <w:r w:rsidR="0012528C" w:rsidRPr="0012528C">
        <w:rPr>
          <w:rFonts w:ascii="Times New Roman" w:eastAsia="Times New Roman" w:hAnsi="Times New Roman" w:cs="Times New Roman"/>
          <w:sz w:val="24"/>
          <w:szCs w:val="24"/>
        </w:rPr>
        <w:t xml:space="preserve"> burden</w:t>
      </w:r>
      <w:r>
        <w:rPr>
          <w:rFonts w:ascii="Times New Roman" w:eastAsia="Times New Roman" w:hAnsi="Times New Roman" w:cs="Times New Roman"/>
          <w:sz w:val="24"/>
          <w:szCs w:val="24"/>
        </w:rPr>
        <w:t xml:space="preserve"> (as related to RM13-11</w:t>
      </w:r>
      <w:r w:rsidR="00993EB1">
        <w:rPr>
          <w:rFonts w:ascii="Times New Roman" w:eastAsia="Times New Roman" w:hAnsi="Times New Roman" w:cs="Times New Roman"/>
          <w:sz w:val="24"/>
          <w:szCs w:val="24"/>
        </w:rPr>
        <w:t>-000)</w:t>
      </w:r>
      <w:r w:rsidR="0012528C" w:rsidRPr="0012528C">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respondents is $1,789,920 [29,832 * $6</w:t>
      </w:r>
      <w:r w:rsidR="0012528C" w:rsidRPr="0012528C">
        <w:rPr>
          <w:rFonts w:ascii="Times New Roman" w:eastAsia="Times New Roman" w:hAnsi="Times New Roman" w:cs="Times New Roman"/>
          <w:sz w:val="24"/>
          <w:szCs w:val="24"/>
        </w:rPr>
        <w:t>0/hour</w:t>
      </w:r>
      <w:r w:rsidR="0012528C" w:rsidRPr="0012528C">
        <w:rPr>
          <w:rFonts w:ascii="Times New Roman" w:eastAsia="Times New Roman" w:hAnsi="Times New Roman" w:cs="Times New Roman"/>
          <w:b/>
          <w:sz w:val="24"/>
          <w:szCs w:val="24"/>
          <w:vertAlign w:val="superscript"/>
        </w:rPr>
        <w:footnoteReference w:id="2"/>
      </w:r>
      <w:r>
        <w:rPr>
          <w:rFonts w:ascii="Times New Roman" w:eastAsia="Times New Roman" w:hAnsi="Times New Roman" w:cs="Times New Roman"/>
          <w:sz w:val="24"/>
          <w:szCs w:val="24"/>
        </w:rPr>
        <w:t xml:space="preserve"> = $1,789,920</w:t>
      </w:r>
      <w:r w:rsidR="0012528C" w:rsidRPr="0012528C">
        <w:rPr>
          <w:rFonts w:ascii="Times New Roman" w:eastAsia="Times New Roman" w:hAnsi="Times New Roman" w:cs="Times New Roman"/>
          <w:sz w:val="24"/>
          <w:szCs w:val="24"/>
        </w:rPr>
        <w:t>].</w:t>
      </w:r>
    </w:p>
    <w:p w:rsidR="00782308" w:rsidRPr="002F5959" w:rsidRDefault="00782308" w:rsidP="00782308">
      <w:pPr>
        <w:spacing w:after="0"/>
      </w:pPr>
    </w:p>
    <w:p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1A067C" w:rsidRDefault="002F5959" w:rsidP="00E636D7">
      <w:pPr>
        <w:spacing w:after="0"/>
        <w:rPr>
          <w:rFonts w:ascii="Times New Roman" w:hAnsi="Times New Roman" w:cs="Times New Roman"/>
          <w:sz w:val="24"/>
          <w:szCs w:val="24"/>
        </w:rPr>
      </w:pPr>
      <w:r>
        <w:rPr>
          <w:rFonts w:ascii="Times New Roman" w:hAnsi="Times New Roman" w:cs="Times New Roman"/>
          <w:sz w:val="24"/>
          <w:szCs w:val="24"/>
        </w:rPr>
        <w:t xml:space="preserve">There </w:t>
      </w:r>
      <w:r w:rsidR="00D014C2">
        <w:rPr>
          <w:rFonts w:ascii="Times New Roman" w:hAnsi="Times New Roman" w:cs="Times New Roman"/>
          <w:sz w:val="24"/>
          <w:szCs w:val="24"/>
        </w:rPr>
        <w:t>is</w:t>
      </w:r>
      <w:r>
        <w:rPr>
          <w:rFonts w:ascii="Times New Roman" w:hAnsi="Times New Roman" w:cs="Times New Roman"/>
          <w:sz w:val="24"/>
          <w:szCs w:val="24"/>
        </w:rPr>
        <w:t xml:space="preserve"> no start-up or other non-labor hour cost associated with this Final Rule.  We assume that the information collection requirements associated with this final rule can be completed by entities using existing hardware and software.</w:t>
      </w:r>
    </w:p>
    <w:p w:rsidR="0097435D" w:rsidRDefault="0097435D" w:rsidP="00E636D7">
      <w:pPr>
        <w:spacing w:after="0"/>
        <w:rPr>
          <w:rFonts w:ascii="Times New Roman" w:hAnsi="Times New Roman" w:cs="Times New Roman"/>
          <w:sz w:val="24"/>
          <w:szCs w:val="24"/>
        </w:rPr>
      </w:pPr>
    </w:p>
    <w:p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8A21A4" w:rsidRDefault="008A21A4" w:rsidP="00A276F5">
      <w:pPr>
        <w:spacing w:after="0"/>
        <w:rPr>
          <w:rFonts w:ascii="Times New Roman" w:hAnsi="Times New Roman" w:cs="Times New Roman"/>
          <w:sz w:val="24"/>
          <w:szCs w:val="24"/>
        </w:rPr>
      </w:pPr>
    </w:p>
    <w:p w:rsidR="0044657C" w:rsidRDefault="0044657C" w:rsidP="00A276F5">
      <w:pPr>
        <w:spacing w:after="0"/>
        <w:rPr>
          <w:rFonts w:ascii="Times New Roman" w:hAnsi="Times New Roman" w:cs="Times New Roman"/>
          <w:sz w:val="24"/>
          <w:szCs w:val="24"/>
        </w:rPr>
      </w:pPr>
      <w:r>
        <w:rPr>
          <w:rFonts w:ascii="Times New Roman" w:hAnsi="Times New Roman" w:cs="Times New Roman"/>
          <w:sz w:val="24"/>
          <w:szCs w:val="24"/>
        </w:rPr>
        <w:t xml:space="preserve">The Regional Entities and NERC do most of the data processing, monitoring, and compliance work for reliability standards. </w:t>
      </w:r>
      <w:r w:rsidR="00E11A02">
        <w:rPr>
          <w:rFonts w:ascii="Times New Roman" w:hAnsi="Times New Roman" w:cs="Times New Roman"/>
          <w:sz w:val="24"/>
          <w:szCs w:val="24"/>
        </w:rPr>
        <w:t xml:space="preserve"> Any involvement by the Commiss</w:t>
      </w:r>
      <w:r>
        <w:rPr>
          <w:rFonts w:ascii="Times New Roman" w:hAnsi="Times New Roman" w:cs="Times New Roman"/>
          <w:sz w:val="24"/>
          <w:szCs w:val="24"/>
        </w:rPr>
        <w:t>ion is covered under the FERC-725 collection (OMB Control No. 1902-0225) and is not part of this information collection request.</w:t>
      </w:r>
    </w:p>
    <w:p w:rsidR="005348D8" w:rsidRDefault="005348D8" w:rsidP="00A276F5">
      <w:pPr>
        <w:spacing w:after="0"/>
        <w:rPr>
          <w:rFonts w:ascii="Times New Roman" w:hAnsi="Times New Roman" w:cs="Times New Roman"/>
          <w:sz w:val="24"/>
          <w:szCs w:val="24"/>
        </w:rPr>
      </w:pPr>
    </w:p>
    <w:p w:rsidR="005348D8" w:rsidRDefault="005348D8" w:rsidP="00A276F5">
      <w:pPr>
        <w:spacing w:after="0"/>
        <w:rPr>
          <w:rFonts w:ascii="Times New Roman" w:hAnsi="Times New Roman" w:cs="Times New Roman"/>
          <w:sz w:val="24"/>
          <w:szCs w:val="24"/>
        </w:rPr>
      </w:pPr>
      <w:r>
        <w:rPr>
          <w:rFonts w:ascii="Times New Roman" w:hAnsi="Times New Roman" w:cs="Times New Roman"/>
          <w:sz w:val="24"/>
          <w:szCs w:val="24"/>
        </w:rPr>
        <w:t>The Commission does incur the costs associated with obtaining OMB clearance under the Paperwork Reduction Act for this collection.  The Commission estimates $2,250 as the annual cost for this effort.</w:t>
      </w:r>
    </w:p>
    <w:p w:rsidR="0044657C" w:rsidRDefault="0044657C"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rsidTr="005F1C3C">
        <w:tc>
          <w:tcPr>
            <w:tcW w:w="3182" w:type="dxa"/>
            <w:shd w:val="clear" w:color="auto" w:fill="CCCCCC"/>
          </w:tcPr>
          <w:p w:rsidR="00A276F5" w:rsidRPr="00A276F5" w:rsidRDefault="00A276F5" w:rsidP="00A276F5">
            <w:pPr>
              <w:spacing w:after="0" w:line="240" w:lineRule="auto"/>
              <w:rPr>
                <w:rFonts w:ascii="Times New Roman" w:hAnsi="Times New Roman" w:cs="Times New Roman"/>
                <w:sz w:val="24"/>
                <w:szCs w:val="24"/>
              </w:rPr>
            </w:pPr>
          </w:p>
        </w:tc>
        <w:tc>
          <w:tcPr>
            <w:tcW w:w="3201"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r w:rsidR="00C03538">
              <w:rPr>
                <w:rFonts w:ascii="Times New Roman" w:hAnsi="Times New Roman" w:cs="Times New Roman"/>
                <w:b/>
                <w:sz w:val="24"/>
                <w:szCs w:val="24"/>
              </w:rPr>
              <w:t xml:space="preserve"> or Number of Hours</w:t>
            </w:r>
          </w:p>
        </w:tc>
        <w:tc>
          <w:tcPr>
            <w:tcW w:w="2995"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A276F5" w:rsidTr="005F1C3C">
        <w:tc>
          <w:tcPr>
            <w:tcW w:w="3182" w:type="dxa"/>
            <w:shd w:val="clear" w:color="auto" w:fill="auto"/>
          </w:tcPr>
          <w:p w:rsidR="00A276F5" w:rsidRPr="00A276F5" w:rsidRDefault="00A276F5" w:rsidP="00A276F5">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Pr="00A276F5">
              <w:rPr>
                <w:rStyle w:val="FootnoteReference"/>
                <w:rFonts w:ascii="Times New Roman" w:hAnsi="Times New Roman" w:cs="Times New Roman"/>
                <w:sz w:val="24"/>
                <w:szCs w:val="24"/>
                <w:vertAlign w:val="superscript"/>
              </w:rPr>
              <w:footnoteReference w:id="3"/>
            </w:r>
          </w:p>
        </w:tc>
        <w:tc>
          <w:tcPr>
            <w:tcW w:w="3201" w:type="dxa"/>
            <w:tcBorders>
              <w:bottom w:val="single" w:sz="4" w:space="0" w:color="auto"/>
            </w:tcBorders>
            <w:shd w:val="clear" w:color="auto" w:fill="auto"/>
            <w:vAlign w:val="center"/>
          </w:tcPr>
          <w:p w:rsidR="00A276F5" w:rsidRPr="00A276F5" w:rsidRDefault="00C27E47"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rsidR="00A276F5" w:rsidRPr="00A276F5" w:rsidRDefault="00526E5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5F1C3C" w:rsidRPr="00A276F5" w:rsidTr="005F1C3C">
        <w:tc>
          <w:tcPr>
            <w:tcW w:w="3182" w:type="dxa"/>
            <w:shd w:val="clear" w:color="auto" w:fill="auto"/>
          </w:tcPr>
          <w:p w:rsidR="005F1C3C" w:rsidRPr="00A276F5" w:rsidRDefault="00F400D7" w:rsidP="00A276F5">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r w:rsidR="00E301EB" w:rsidRPr="00AE5B29">
              <w:rPr>
                <w:rFonts w:ascii="Times New Roman" w:eastAsia="Times New Roman" w:hAnsi="Times New Roman" w:cs="Times New Roman"/>
                <w:sz w:val="24"/>
                <w:szCs w:val="24"/>
                <w:vertAlign w:val="superscript"/>
              </w:rPr>
              <w:footnoteReference w:id="4"/>
            </w:r>
          </w:p>
        </w:tc>
        <w:tc>
          <w:tcPr>
            <w:tcW w:w="3201" w:type="dxa"/>
            <w:vMerge w:val="restart"/>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7B0E32"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$2,250</w:t>
            </w:r>
          </w:p>
        </w:tc>
      </w:tr>
      <w:tr w:rsidR="005F1C3C" w:rsidRPr="00A276F5" w:rsidTr="005F1C3C">
        <w:tc>
          <w:tcPr>
            <w:tcW w:w="3182" w:type="dxa"/>
            <w:shd w:val="clear" w:color="auto" w:fill="auto"/>
          </w:tcPr>
          <w:p w:rsidR="005F1C3C" w:rsidRPr="00A276F5" w:rsidRDefault="005F1C3C"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7B0E32"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$2,250</w:t>
            </w:r>
          </w:p>
        </w:tc>
      </w:tr>
    </w:tbl>
    <w:p w:rsidR="00A276F5" w:rsidRDefault="00A276F5" w:rsidP="00A276F5">
      <w:pPr>
        <w:spacing w:after="0"/>
        <w:rPr>
          <w:rFonts w:ascii="Times New Roman" w:hAnsi="Times New Roman" w:cs="Times New Roman"/>
          <w:sz w:val="24"/>
          <w:szCs w:val="24"/>
        </w:rPr>
      </w:pPr>
    </w:p>
    <w:p w:rsidR="00A276F5" w:rsidRDefault="00A276F5" w:rsidP="00A276F5">
      <w:pPr>
        <w:spacing w:after="0"/>
        <w:rPr>
          <w:rFonts w:ascii="Times New Roman" w:hAnsi="Times New Roman" w:cs="Times New Roman"/>
          <w:sz w:val="24"/>
          <w:szCs w:val="24"/>
        </w:rPr>
      </w:pPr>
      <w:r>
        <w:rPr>
          <w:rFonts w:ascii="Times New Roman" w:hAnsi="Times New Roman" w:cs="Times New Roman"/>
          <w:sz w:val="24"/>
          <w:szCs w:val="24"/>
        </w:rPr>
        <w:lastRenderedPageBreak/>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r w:rsidR="00EE0389">
        <w:rPr>
          <w:rFonts w:ascii="Times New Roman" w:hAnsi="Times New Roman" w:cs="Times New Roman"/>
          <w:sz w:val="24"/>
          <w:szCs w:val="24"/>
        </w:rPr>
        <w:t xml:space="preserve">  </w:t>
      </w:r>
    </w:p>
    <w:p w:rsidR="00A276F5" w:rsidRPr="00A276F5" w:rsidRDefault="00A276F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0A33A7" w:rsidRDefault="000A33A7" w:rsidP="00A276F5">
      <w:pPr>
        <w:spacing w:after="0"/>
        <w:rPr>
          <w:rFonts w:ascii="Times New Roman" w:hAnsi="Times New Roman" w:cs="Times New Roman"/>
          <w:sz w:val="24"/>
          <w:szCs w:val="24"/>
        </w:rPr>
      </w:pPr>
    </w:p>
    <w:p w:rsidR="000A33A7" w:rsidRDefault="0075082E" w:rsidP="005348D8">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5348D8">
        <w:rPr>
          <w:rFonts w:ascii="Times New Roman" w:hAnsi="Times New Roman" w:cs="Times New Roman"/>
          <w:sz w:val="24"/>
          <w:szCs w:val="24"/>
        </w:rPr>
        <w:t>change in burden is due to a new annual reporting requirement for Balancing Authorities. The change in burden is necessary in order to meet the reliability purposes of the proposed standards.</w:t>
      </w:r>
    </w:p>
    <w:p w:rsidR="005348D8" w:rsidRDefault="005348D8" w:rsidP="005348D8">
      <w:pPr>
        <w:spacing w:after="0"/>
        <w:rPr>
          <w:rFonts w:ascii="Times New Roman" w:hAnsi="Times New Roman" w:cs="Times New Roman"/>
          <w:sz w:val="24"/>
          <w:szCs w:val="24"/>
        </w:rPr>
      </w:pPr>
    </w:p>
    <w:p w:rsidR="005348D8" w:rsidRDefault="005348D8" w:rsidP="005348D8">
      <w:pPr>
        <w:spacing w:after="0"/>
        <w:rPr>
          <w:rFonts w:ascii="Times New Roman" w:hAnsi="Times New Roman" w:cs="Times New Roman"/>
          <w:sz w:val="24"/>
          <w:szCs w:val="24"/>
        </w:rPr>
      </w:pPr>
      <w:r>
        <w:rPr>
          <w:rFonts w:ascii="Times New Roman" w:hAnsi="Times New Roman" w:cs="Times New Roman"/>
          <w:sz w:val="24"/>
          <w:szCs w:val="24"/>
        </w:rPr>
        <w:t>The following table shows burden inventory for the new FERC-725R because of the proposed rule.</w:t>
      </w:r>
    </w:p>
    <w:p w:rsidR="00B945E3" w:rsidRDefault="00B945E3"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rsidTr="005F1C3C">
        <w:trPr>
          <w:trHeight w:val="870"/>
        </w:trPr>
        <w:tc>
          <w:tcPr>
            <w:tcW w:w="2679" w:type="dxa"/>
            <w:shd w:val="clear" w:color="auto" w:fill="D9D9D9"/>
            <w:vAlign w:val="bottom"/>
          </w:tcPr>
          <w:p w:rsidR="00C01698" w:rsidRPr="00D80FBD" w:rsidRDefault="00C01698" w:rsidP="006048E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850E86">
              <w:rPr>
                <w:rFonts w:ascii="Times New Roman" w:hAnsi="Times New Roman" w:cs="Times New Roman"/>
                <w:b/>
                <w:sz w:val="24"/>
                <w:szCs w:val="24"/>
              </w:rPr>
              <w:t>725</w:t>
            </w:r>
            <w:r w:rsidR="005348D8">
              <w:rPr>
                <w:rFonts w:ascii="Times New Roman" w:hAnsi="Times New Roman" w:cs="Times New Roman"/>
                <w:b/>
                <w:sz w:val="24"/>
                <w:szCs w:val="24"/>
              </w:rPr>
              <w:t>R</w:t>
            </w:r>
          </w:p>
        </w:tc>
        <w:tc>
          <w:tcPr>
            <w:tcW w:w="1461"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rsidTr="005F1C3C">
        <w:trPr>
          <w:trHeight w:val="591"/>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C01698" w:rsidRPr="00FC440E" w:rsidRDefault="005348D8"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3,696</w:t>
            </w:r>
          </w:p>
        </w:tc>
        <w:tc>
          <w:tcPr>
            <w:tcW w:w="1620" w:type="dxa"/>
            <w:shd w:val="clear" w:color="auto" w:fill="auto"/>
            <w:vAlign w:val="center"/>
          </w:tcPr>
          <w:p w:rsidR="00C01698" w:rsidRPr="00D80FBD" w:rsidRDefault="005348D8"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5348D8"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5348D8"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3,696</w:t>
            </w:r>
          </w:p>
        </w:tc>
      </w:tr>
      <w:tr w:rsidR="00C01698" w:rsidRPr="00D80FBD" w:rsidTr="005F1C3C">
        <w:trPr>
          <w:trHeight w:val="575"/>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rsidR="00C01698" w:rsidRPr="00FC440E" w:rsidRDefault="005348D8"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29,832</w:t>
            </w:r>
          </w:p>
        </w:tc>
        <w:tc>
          <w:tcPr>
            <w:tcW w:w="1620" w:type="dxa"/>
            <w:shd w:val="clear" w:color="auto" w:fill="auto"/>
            <w:vAlign w:val="center"/>
          </w:tcPr>
          <w:p w:rsidR="00C01698" w:rsidRPr="00D80FBD" w:rsidRDefault="005348D8"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5348D8"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5348D8"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29,832</w:t>
            </w:r>
          </w:p>
        </w:tc>
      </w:tr>
      <w:tr w:rsidR="00C01698" w:rsidRPr="00D80FBD" w:rsidTr="005F1C3C">
        <w:trPr>
          <w:trHeight w:val="295"/>
        </w:trPr>
        <w:tc>
          <w:tcPr>
            <w:tcW w:w="2679" w:type="dxa"/>
            <w:tcBorders>
              <w:bottom w:val="single" w:sz="4" w:space="0" w:color="auto"/>
            </w:tcBorders>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C01698" w:rsidRPr="000C7221" w:rsidRDefault="00252919" w:rsidP="005F1C3C">
            <w:pPr>
              <w:spacing w:after="0" w:line="240" w:lineRule="auto"/>
              <w:jc w:val="right"/>
              <w:rPr>
                <w:rFonts w:ascii="Times New Roman" w:hAnsi="Times New Roman" w:cs="Times New Roman"/>
                <w:sz w:val="24"/>
                <w:szCs w:val="24"/>
                <w:highlight w:val="yellow"/>
              </w:rPr>
            </w:pPr>
            <w:r w:rsidRPr="0025291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C01698" w:rsidRPr="00D80FBD" w:rsidRDefault="00F91747"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C01698" w:rsidRPr="00D80FBD" w:rsidRDefault="00F91747"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C01698" w:rsidRPr="00D80FBD" w:rsidRDefault="00F91747"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r>
    </w:tbl>
    <w:p w:rsidR="00C01698" w:rsidRDefault="00C01698" w:rsidP="00A276F5">
      <w:pPr>
        <w:spacing w:after="0"/>
        <w:rPr>
          <w:rFonts w:ascii="Times New Roman" w:hAnsi="Times New Roman" w:cs="Times New Roman"/>
          <w:sz w:val="24"/>
          <w:szCs w:val="24"/>
        </w:rPr>
      </w:pPr>
    </w:p>
    <w:p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 xml:space="preserve">The format, label, and definitions of the table above follow the </w:t>
      </w:r>
      <w:r w:rsidR="00CE4C25">
        <w:rPr>
          <w:rFonts w:ascii="Times New Roman" w:hAnsi="Times New Roman" w:cs="Times New Roman"/>
          <w:sz w:val="24"/>
          <w:szCs w:val="24"/>
        </w:rPr>
        <w:t xml:space="preserve">Office of Management and Budget’s online submittal system for information collection requests. </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 xml:space="preserve">There are no tabulating, statistical or tabulating analysis or publication plans for the collection of information.  </w:t>
      </w:r>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 xml:space="preserve">It is not appropriate to display the expiration date for OMB approval </w:t>
      </w:r>
      <w:r w:rsidR="00454AC1" w:rsidRPr="005F6467">
        <w:rPr>
          <w:rFonts w:ascii="Times New Roman" w:hAnsi="Times New Roman" w:cs="Times New Roman"/>
          <w:sz w:val="24"/>
          <w:szCs w:val="24"/>
        </w:rPr>
        <w:t>o</w:t>
      </w:r>
      <w:r w:rsidR="00454AC1">
        <w:rPr>
          <w:rFonts w:ascii="Times New Roman" w:hAnsi="Times New Roman" w:cs="Times New Roman"/>
          <w:sz w:val="24"/>
          <w:szCs w:val="24"/>
        </w:rPr>
        <w:t>n</w:t>
      </w:r>
      <w:r w:rsidR="00454AC1" w:rsidRPr="005F6467">
        <w:rPr>
          <w:rFonts w:ascii="Times New Roman" w:hAnsi="Times New Roman" w:cs="Times New Roman"/>
          <w:sz w:val="24"/>
          <w:szCs w:val="24"/>
        </w:rPr>
        <w:t xml:space="preserve"> </w:t>
      </w:r>
      <w:r w:rsidRPr="005F6467">
        <w:rPr>
          <w:rFonts w:ascii="Times New Roman" w:hAnsi="Times New Roman" w:cs="Times New Roman"/>
          <w:sz w:val="24"/>
          <w:szCs w:val="24"/>
        </w:rPr>
        <w:t xml:space="preserve">the information collection.  The </w:t>
      </w:r>
      <w:r w:rsidR="000954E0">
        <w:rPr>
          <w:rFonts w:ascii="Times New Roman" w:hAnsi="Times New Roman" w:cs="Times New Roman"/>
          <w:sz w:val="24"/>
          <w:szCs w:val="24"/>
        </w:rPr>
        <w:t>information is not collected</w:t>
      </w:r>
      <w:r w:rsidRPr="005F6467">
        <w:rPr>
          <w:rFonts w:ascii="Times New Roman" w:hAnsi="Times New Roman" w:cs="Times New Roman"/>
          <w:sz w:val="24"/>
          <w:szCs w:val="24"/>
        </w:rPr>
        <w:t xml:space="preserve"> upon a standard form which would facilitate the display of the expiration date for OMB approval.</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lastRenderedPageBreak/>
        <w:t>The Commission does not use the data collected for this reporting requirement for statistical purposes.  Therefore, the Commission does not use as stated in item (i) of the certification to OMB "effective and efficient statistical survey methodology."  The information collected is case specific to each information collection.</w:t>
      </w:r>
    </w:p>
    <w:p w:rsidR="00414F32" w:rsidRPr="007A2F92" w:rsidRDefault="00414F32" w:rsidP="007A2F92">
      <w:pPr>
        <w:spacing w:after="0"/>
        <w:rPr>
          <w:rFonts w:ascii="Times New Roman" w:hAnsi="Times New Roman" w:cs="Times New Roman"/>
          <w:sz w:val="24"/>
          <w:szCs w:val="24"/>
        </w:rPr>
      </w:pPr>
    </w:p>
    <w:sectPr w:rsidR="00414F32" w:rsidRPr="007A2F9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4B2" w:rsidRDefault="00DF64B2" w:rsidP="00FD66F1">
      <w:pPr>
        <w:spacing w:after="0" w:line="240" w:lineRule="auto"/>
      </w:pPr>
      <w:r>
        <w:separator/>
      </w:r>
    </w:p>
  </w:endnote>
  <w:endnote w:type="continuationSeparator" w:id="0">
    <w:p w:rsidR="00DF64B2" w:rsidRDefault="00DF64B2"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4B2" w:rsidRDefault="00DF64B2" w:rsidP="00FD66F1">
      <w:pPr>
        <w:spacing w:after="0" w:line="240" w:lineRule="auto"/>
      </w:pPr>
      <w:r>
        <w:separator/>
      </w:r>
    </w:p>
  </w:footnote>
  <w:footnote w:type="continuationSeparator" w:id="0">
    <w:p w:rsidR="00DF64B2" w:rsidRDefault="00DF64B2" w:rsidP="00FD66F1">
      <w:pPr>
        <w:spacing w:after="0" w:line="240" w:lineRule="auto"/>
      </w:pPr>
      <w:r>
        <w:continuationSeparator/>
      </w:r>
    </w:p>
  </w:footnote>
  <w:footnote w:id="1">
    <w:p w:rsidR="00DF64B2" w:rsidRPr="005A177D" w:rsidRDefault="00DF64B2">
      <w:pPr>
        <w:pStyle w:val="FootnoteText"/>
      </w:pPr>
      <w:r w:rsidRPr="005A177D">
        <w:rPr>
          <w:rStyle w:val="FootnoteReference"/>
        </w:rPr>
        <w:footnoteRef/>
      </w:r>
      <w:r w:rsidRPr="005A177D">
        <w:t xml:space="preserve"> In accordance with 5 CFR 1320.11</w:t>
      </w:r>
    </w:p>
  </w:footnote>
  <w:footnote w:id="2">
    <w:p w:rsidR="00DF64B2" w:rsidRPr="00A3726A" w:rsidRDefault="00DF64B2" w:rsidP="0012528C">
      <w:pPr>
        <w:pStyle w:val="FootnoteText"/>
      </w:pPr>
      <w:r w:rsidRPr="006E3EFA">
        <w:rPr>
          <w:rStyle w:val="FootnoteReference"/>
        </w:rPr>
        <w:footnoteRef/>
      </w:r>
      <w:r w:rsidRPr="00A3726A">
        <w:t xml:space="preserve"> </w:t>
      </w:r>
      <w:r>
        <w:t>A</w:t>
      </w:r>
      <w:r w:rsidRPr="008A629A">
        <w:t>verage salary</w:t>
      </w:r>
      <w:r>
        <w:t xml:space="preserve"> (per hour) plus benefits per full-time equivalent employee</w:t>
      </w:r>
    </w:p>
  </w:footnote>
  <w:footnote w:id="3">
    <w:p w:rsidR="00DF64B2" w:rsidRPr="005A177D" w:rsidRDefault="00DF64B2" w:rsidP="00A276F5">
      <w:pPr>
        <w:pStyle w:val="FootnoteText"/>
      </w:pPr>
      <w:r w:rsidRPr="005A177D">
        <w:rPr>
          <w:rStyle w:val="FootnoteReference"/>
        </w:rPr>
        <w:footnoteRef/>
      </w:r>
      <w:r w:rsidRPr="005A177D">
        <w:t xml:space="preserve"> Based upon </w:t>
      </w:r>
      <w:r w:rsidRPr="00A47C8A">
        <w:t>2013 FTE average salary ($145,818 or $70/hour)</w:t>
      </w:r>
    </w:p>
  </w:footnote>
  <w:footnote w:id="4">
    <w:p w:rsidR="00E301EB" w:rsidRPr="005D5761" w:rsidRDefault="00E301EB" w:rsidP="00E301EB">
      <w:pPr>
        <w:pStyle w:val="FootnoteText"/>
      </w:pPr>
      <w:r w:rsidRPr="005D5761">
        <w:rPr>
          <w:rStyle w:val="FootnoteReference"/>
        </w:rPr>
        <w:footnoteRef/>
      </w:r>
      <w:r w:rsidRPr="005D5761">
        <w:t xml:space="preserve"> The Commission bases the cost of Paperwork Reduction Act administration on </w:t>
      </w:r>
      <w:r>
        <w:t xml:space="preserve">staff time, and other costs related to compliance with the </w:t>
      </w:r>
      <w:r w:rsidRPr="005D5761">
        <w:t>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916828"/>
      <w:docPartObj>
        <w:docPartGallery w:val="Page Numbers (Top of Page)"/>
        <w:docPartUnique/>
      </w:docPartObj>
    </w:sdtPr>
    <w:sdtEndPr>
      <w:rPr>
        <w:noProof/>
      </w:rPr>
    </w:sdtEndPr>
    <w:sdtContent>
      <w:p w:rsidR="00245520" w:rsidRDefault="00245520">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DF64B2" w:rsidRPr="001B6A73" w:rsidRDefault="00DF64B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4660F2"/>
    <w:multiLevelType w:val="hybridMultilevel"/>
    <w:tmpl w:val="A16E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06BE"/>
    <w:rsid w:val="00003ACA"/>
    <w:rsid w:val="00010D02"/>
    <w:rsid w:val="000131B6"/>
    <w:rsid w:val="00020AAB"/>
    <w:rsid w:val="00033472"/>
    <w:rsid w:val="00035845"/>
    <w:rsid w:val="00040FAB"/>
    <w:rsid w:val="00046412"/>
    <w:rsid w:val="00053E63"/>
    <w:rsid w:val="00056AB1"/>
    <w:rsid w:val="000576B9"/>
    <w:rsid w:val="0006507A"/>
    <w:rsid w:val="000724E4"/>
    <w:rsid w:val="00086B9E"/>
    <w:rsid w:val="000954E0"/>
    <w:rsid w:val="000A1A83"/>
    <w:rsid w:val="000A33A7"/>
    <w:rsid w:val="000B0C37"/>
    <w:rsid w:val="000B56F4"/>
    <w:rsid w:val="000C7221"/>
    <w:rsid w:val="000E034D"/>
    <w:rsid w:val="0010531D"/>
    <w:rsid w:val="001178C8"/>
    <w:rsid w:val="00123531"/>
    <w:rsid w:val="0012528C"/>
    <w:rsid w:val="00130CD4"/>
    <w:rsid w:val="001357F7"/>
    <w:rsid w:val="00143103"/>
    <w:rsid w:val="00151C09"/>
    <w:rsid w:val="00151EFB"/>
    <w:rsid w:val="001608B5"/>
    <w:rsid w:val="001641B7"/>
    <w:rsid w:val="001650DA"/>
    <w:rsid w:val="00170EF9"/>
    <w:rsid w:val="00181727"/>
    <w:rsid w:val="00185730"/>
    <w:rsid w:val="0019666F"/>
    <w:rsid w:val="001A067C"/>
    <w:rsid w:val="001B6A73"/>
    <w:rsid w:val="001C695B"/>
    <w:rsid w:val="001C710B"/>
    <w:rsid w:val="00221783"/>
    <w:rsid w:val="002273A2"/>
    <w:rsid w:val="002276F8"/>
    <w:rsid w:val="00244AE0"/>
    <w:rsid w:val="00245520"/>
    <w:rsid w:val="00252919"/>
    <w:rsid w:val="00252B5B"/>
    <w:rsid w:val="00253F0E"/>
    <w:rsid w:val="00264274"/>
    <w:rsid w:val="0026674D"/>
    <w:rsid w:val="00270088"/>
    <w:rsid w:val="00276D16"/>
    <w:rsid w:val="0028445A"/>
    <w:rsid w:val="0029046B"/>
    <w:rsid w:val="002B3F33"/>
    <w:rsid w:val="002B6123"/>
    <w:rsid w:val="002C15F5"/>
    <w:rsid w:val="002D1814"/>
    <w:rsid w:val="002D7931"/>
    <w:rsid w:val="002E08C0"/>
    <w:rsid w:val="002E76D6"/>
    <w:rsid w:val="002E793E"/>
    <w:rsid w:val="002F148F"/>
    <w:rsid w:val="002F5959"/>
    <w:rsid w:val="00313017"/>
    <w:rsid w:val="0031338D"/>
    <w:rsid w:val="00315356"/>
    <w:rsid w:val="003166C5"/>
    <w:rsid w:val="0031704C"/>
    <w:rsid w:val="00345BD0"/>
    <w:rsid w:val="00346746"/>
    <w:rsid w:val="003527EA"/>
    <w:rsid w:val="00357341"/>
    <w:rsid w:val="00360AFB"/>
    <w:rsid w:val="00361677"/>
    <w:rsid w:val="0036308F"/>
    <w:rsid w:val="00375C85"/>
    <w:rsid w:val="00376108"/>
    <w:rsid w:val="00377709"/>
    <w:rsid w:val="003847B0"/>
    <w:rsid w:val="00387BC1"/>
    <w:rsid w:val="00396932"/>
    <w:rsid w:val="003A35EA"/>
    <w:rsid w:val="003B251D"/>
    <w:rsid w:val="003C18B4"/>
    <w:rsid w:val="003C2ED2"/>
    <w:rsid w:val="003D12CC"/>
    <w:rsid w:val="003D4C1A"/>
    <w:rsid w:val="003D7A2F"/>
    <w:rsid w:val="003E3D05"/>
    <w:rsid w:val="003E45B6"/>
    <w:rsid w:val="003F5E0D"/>
    <w:rsid w:val="004019D6"/>
    <w:rsid w:val="00407D2C"/>
    <w:rsid w:val="00414F32"/>
    <w:rsid w:val="00420784"/>
    <w:rsid w:val="00420B0F"/>
    <w:rsid w:val="00431B81"/>
    <w:rsid w:val="0044264A"/>
    <w:rsid w:val="0044657C"/>
    <w:rsid w:val="00454AC1"/>
    <w:rsid w:val="00471D61"/>
    <w:rsid w:val="00497EE1"/>
    <w:rsid w:val="004A7822"/>
    <w:rsid w:val="004B198C"/>
    <w:rsid w:val="004B3C9E"/>
    <w:rsid w:val="004B4F26"/>
    <w:rsid w:val="004B5F04"/>
    <w:rsid w:val="004C4C89"/>
    <w:rsid w:val="004C5B85"/>
    <w:rsid w:val="004C7C82"/>
    <w:rsid w:val="004E3DE6"/>
    <w:rsid w:val="004F6977"/>
    <w:rsid w:val="00503C48"/>
    <w:rsid w:val="00522F69"/>
    <w:rsid w:val="00523CE6"/>
    <w:rsid w:val="00526A5B"/>
    <w:rsid w:val="00526E53"/>
    <w:rsid w:val="00527A96"/>
    <w:rsid w:val="0053287C"/>
    <w:rsid w:val="005348D8"/>
    <w:rsid w:val="005506B5"/>
    <w:rsid w:val="00563DAD"/>
    <w:rsid w:val="00571C5E"/>
    <w:rsid w:val="005743F3"/>
    <w:rsid w:val="0057700F"/>
    <w:rsid w:val="005834C1"/>
    <w:rsid w:val="00584C9A"/>
    <w:rsid w:val="00585BF5"/>
    <w:rsid w:val="00591F2C"/>
    <w:rsid w:val="00595CE7"/>
    <w:rsid w:val="005A0B1C"/>
    <w:rsid w:val="005A177D"/>
    <w:rsid w:val="005A2792"/>
    <w:rsid w:val="005A6588"/>
    <w:rsid w:val="005A7028"/>
    <w:rsid w:val="005B0AA8"/>
    <w:rsid w:val="005B0D27"/>
    <w:rsid w:val="005B6F0F"/>
    <w:rsid w:val="005B77CE"/>
    <w:rsid w:val="005C2880"/>
    <w:rsid w:val="005D0DBA"/>
    <w:rsid w:val="005D0E7F"/>
    <w:rsid w:val="005F147C"/>
    <w:rsid w:val="005F1C3C"/>
    <w:rsid w:val="005F6467"/>
    <w:rsid w:val="006048EF"/>
    <w:rsid w:val="006166FA"/>
    <w:rsid w:val="00620A29"/>
    <w:rsid w:val="0063418A"/>
    <w:rsid w:val="006446A2"/>
    <w:rsid w:val="006511E3"/>
    <w:rsid w:val="006533CF"/>
    <w:rsid w:val="00664BC0"/>
    <w:rsid w:val="00690136"/>
    <w:rsid w:val="006A104A"/>
    <w:rsid w:val="006C61FA"/>
    <w:rsid w:val="006E3688"/>
    <w:rsid w:val="00707633"/>
    <w:rsid w:val="007147A4"/>
    <w:rsid w:val="00716DA4"/>
    <w:rsid w:val="00720C35"/>
    <w:rsid w:val="007356AE"/>
    <w:rsid w:val="007365BF"/>
    <w:rsid w:val="007422D8"/>
    <w:rsid w:val="0074255F"/>
    <w:rsid w:val="00745F27"/>
    <w:rsid w:val="0075082E"/>
    <w:rsid w:val="00754AEA"/>
    <w:rsid w:val="00764924"/>
    <w:rsid w:val="00773AEB"/>
    <w:rsid w:val="0077583D"/>
    <w:rsid w:val="00782308"/>
    <w:rsid w:val="00787670"/>
    <w:rsid w:val="007A2F92"/>
    <w:rsid w:val="007B0E32"/>
    <w:rsid w:val="007C3378"/>
    <w:rsid w:val="007C751B"/>
    <w:rsid w:val="007E473A"/>
    <w:rsid w:val="007E7C0F"/>
    <w:rsid w:val="007F0B0B"/>
    <w:rsid w:val="007F43A0"/>
    <w:rsid w:val="007F6B50"/>
    <w:rsid w:val="00800EAC"/>
    <w:rsid w:val="0080107B"/>
    <w:rsid w:val="0080362C"/>
    <w:rsid w:val="00805AD4"/>
    <w:rsid w:val="008140D5"/>
    <w:rsid w:val="00822114"/>
    <w:rsid w:val="00824393"/>
    <w:rsid w:val="00830979"/>
    <w:rsid w:val="00841767"/>
    <w:rsid w:val="00842BCB"/>
    <w:rsid w:val="008435CF"/>
    <w:rsid w:val="00850238"/>
    <w:rsid w:val="00850E86"/>
    <w:rsid w:val="0085599C"/>
    <w:rsid w:val="00860D9C"/>
    <w:rsid w:val="008619E1"/>
    <w:rsid w:val="008652F2"/>
    <w:rsid w:val="00870A3E"/>
    <w:rsid w:val="0087322D"/>
    <w:rsid w:val="00875C68"/>
    <w:rsid w:val="00876057"/>
    <w:rsid w:val="00876F75"/>
    <w:rsid w:val="0089709C"/>
    <w:rsid w:val="008A21A4"/>
    <w:rsid w:val="008B136F"/>
    <w:rsid w:val="008C288D"/>
    <w:rsid w:val="008E7043"/>
    <w:rsid w:val="008E70CD"/>
    <w:rsid w:val="008F236F"/>
    <w:rsid w:val="008F6EAD"/>
    <w:rsid w:val="00904F52"/>
    <w:rsid w:val="00912DDB"/>
    <w:rsid w:val="00912EE7"/>
    <w:rsid w:val="00913517"/>
    <w:rsid w:val="00913A8B"/>
    <w:rsid w:val="00917E83"/>
    <w:rsid w:val="0092195F"/>
    <w:rsid w:val="009407B5"/>
    <w:rsid w:val="00952276"/>
    <w:rsid w:val="009550CD"/>
    <w:rsid w:val="00966825"/>
    <w:rsid w:val="00970FE4"/>
    <w:rsid w:val="0097435D"/>
    <w:rsid w:val="00987BEB"/>
    <w:rsid w:val="0099180E"/>
    <w:rsid w:val="00992512"/>
    <w:rsid w:val="009930F3"/>
    <w:rsid w:val="00993EB1"/>
    <w:rsid w:val="00995CE3"/>
    <w:rsid w:val="009B0413"/>
    <w:rsid w:val="009B555B"/>
    <w:rsid w:val="009C3DFC"/>
    <w:rsid w:val="009E1190"/>
    <w:rsid w:val="009E2AA5"/>
    <w:rsid w:val="009E6915"/>
    <w:rsid w:val="009E7664"/>
    <w:rsid w:val="009F0569"/>
    <w:rsid w:val="00A053F9"/>
    <w:rsid w:val="00A125DF"/>
    <w:rsid w:val="00A1284A"/>
    <w:rsid w:val="00A276F5"/>
    <w:rsid w:val="00A355D5"/>
    <w:rsid w:val="00A41EB6"/>
    <w:rsid w:val="00A47C8A"/>
    <w:rsid w:val="00A72E7B"/>
    <w:rsid w:val="00A73706"/>
    <w:rsid w:val="00A84AF8"/>
    <w:rsid w:val="00A96B65"/>
    <w:rsid w:val="00AA1AAD"/>
    <w:rsid w:val="00AB5BA8"/>
    <w:rsid w:val="00AC7191"/>
    <w:rsid w:val="00AD3DE5"/>
    <w:rsid w:val="00AD73BB"/>
    <w:rsid w:val="00AE07BA"/>
    <w:rsid w:val="00AE461D"/>
    <w:rsid w:val="00AF22BA"/>
    <w:rsid w:val="00AF2B62"/>
    <w:rsid w:val="00B169CE"/>
    <w:rsid w:val="00B21E18"/>
    <w:rsid w:val="00B31749"/>
    <w:rsid w:val="00B424F4"/>
    <w:rsid w:val="00B436A3"/>
    <w:rsid w:val="00B525FF"/>
    <w:rsid w:val="00B71F0F"/>
    <w:rsid w:val="00B75EB6"/>
    <w:rsid w:val="00B76DB3"/>
    <w:rsid w:val="00B92CFC"/>
    <w:rsid w:val="00B945E3"/>
    <w:rsid w:val="00B94AB6"/>
    <w:rsid w:val="00BA1C7D"/>
    <w:rsid w:val="00BA7C56"/>
    <w:rsid w:val="00BB4408"/>
    <w:rsid w:val="00BD78A5"/>
    <w:rsid w:val="00C01698"/>
    <w:rsid w:val="00C03538"/>
    <w:rsid w:val="00C15D03"/>
    <w:rsid w:val="00C24A0B"/>
    <w:rsid w:val="00C277C0"/>
    <w:rsid w:val="00C27E47"/>
    <w:rsid w:val="00C45F09"/>
    <w:rsid w:val="00C510DD"/>
    <w:rsid w:val="00C63CC8"/>
    <w:rsid w:val="00C70EB8"/>
    <w:rsid w:val="00C7505B"/>
    <w:rsid w:val="00C84516"/>
    <w:rsid w:val="00C949CC"/>
    <w:rsid w:val="00C95BDA"/>
    <w:rsid w:val="00CA59C3"/>
    <w:rsid w:val="00CA6AB0"/>
    <w:rsid w:val="00CA6E34"/>
    <w:rsid w:val="00CB313D"/>
    <w:rsid w:val="00CB5122"/>
    <w:rsid w:val="00CC1FA0"/>
    <w:rsid w:val="00CE3F27"/>
    <w:rsid w:val="00CE4C25"/>
    <w:rsid w:val="00CF360D"/>
    <w:rsid w:val="00CF5365"/>
    <w:rsid w:val="00CF54D6"/>
    <w:rsid w:val="00D00740"/>
    <w:rsid w:val="00D014C2"/>
    <w:rsid w:val="00D07B51"/>
    <w:rsid w:val="00D267E3"/>
    <w:rsid w:val="00D32B6F"/>
    <w:rsid w:val="00D41C76"/>
    <w:rsid w:val="00D55634"/>
    <w:rsid w:val="00D64C43"/>
    <w:rsid w:val="00D80FBD"/>
    <w:rsid w:val="00D93BB5"/>
    <w:rsid w:val="00DA40FC"/>
    <w:rsid w:val="00DC283A"/>
    <w:rsid w:val="00DC4E36"/>
    <w:rsid w:val="00DC50E0"/>
    <w:rsid w:val="00DD6006"/>
    <w:rsid w:val="00DE0C93"/>
    <w:rsid w:val="00DE2296"/>
    <w:rsid w:val="00DE2C54"/>
    <w:rsid w:val="00DE2E35"/>
    <w:rsid w:val="00DE5107"/>
    <w:rsid w:val="00DF1A23"/>
    <w:rsid w:val="00DF1C1A"/>
    <w:rsid w:val="00DF64B2"/>
    <w:rsid w:val="00E00A12"/>
    <w:rsid w:val="00E11A02"/>
    <w:rsid w:val="00E11CA6"/>
    <w:rsid w:val="00E11E68"/>
    <w:rsid w:val="00E140E6"/>
    <w:rsid w:val="00E14565"/>
    <w:rsid w:val="00E147A6"/>
    <w:rsid w:val="00E1582D"/>
    <w:rsid w:val="00E20612"/>
    <w:rsid w:val="00E301EB"/>
    <w:rsid w:val="00E33ACB"/>
    <w:rsid w:val="00E35FA2"/>
    <w:rsid w:val="00E54916"/>
    <w:rsid w:val="00E578BE"/>
    <w:rsid w:val="00E636D7"/>
    <w:rsid w:val="00E87A4F"/>
    <w:rsid w:val="00E917D9"/>
    <w:rsid w:val="00EA3188"/>
    <w:rsid w:val="00EB3E6F"/>
    <w:rsid w:val="00ED084B"/>
    <w:rsid w:val="00ED5560"/>
    <w:rsid w:val="00EE0389"/>
    <w:rsid w:val="00EE0B69"/>
    <w:rsid w:val="00EE1909"/>
    <w:rsid w:val="00EE2085"/>
    <w:rsid w:val="00EE41E5"/>
    <w:rsid w:val="00EE5934"/>
    <w:rsid w:val="00F12DC2"/>
    <w:rsid w:val="00F152DF"/>
    <w:rsid w:val="00F1616B"/>
    <w:rsid w:val="00F400D7"/>
    <w:rsid w:val="00F43D22"/>
    <w:rsid w:val="00F471CD"/>
    <w:rsid w:val="00F50D87"/>
    <w:rsid w:val="00F719A6"/>
    <w:rsid w:val="00F81C92"/>
    <w:rsid w:val="00F81E6E"/>
    <w:rsid w:val="00F91747"/>
    <w:rsid w:val="00FC440E"/>
    <w:rsid w:val="00FD66F1"/>
    <w:rsid w:val="00FE4A4A"/>
    <w:rsid w:val="00FE54D1"/>
    <w:rsid w:val="00FF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F6B50"/>
    <w:rPr>
      <w:color w:val="0000FF"/>
      <w:u w:val="single"/>
    </w:rPr>
  </w:style>
  <w:style w:type="character" w:styleId="FollowedHyperlink">
    <w:name w:val="FollowedHyperlink"/>
    <w:basedOn w:val="DefaultParagraphFont"/>
    <w:uiPriority w:val="99"/>
    <w:semiHidden/>
    <w:unhideWhenUsed/>
    <w:rsid w:val="009925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F6B50"/>
    <w:rPr>
      <w:color w:val="0000FF"/>
      <w:u w:val="single"/>
    </w:rPr>
  </w:style>
  <w:style w:type="character" w:styleId="FollowedHyperlink">
    <w:name w:val="FollowedHyperlink"/>
    <w:basedOn w:val="DefaultParagraphFont"/>
    <w:uiPriority w:val="99"/>
    <w:semiHidden/>
    <w:unhideWhenUsed/>
    <w:rsid w:val="00992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library.ferc.gov/idmws/common/OpenNat.asp?fileID=13439345" TargetMode="External"/><Relationship Id="rId4" Type="http://schemas.microsoft.com/office/2007/relationships/stylesWithEffects" Target="stylesWithEffects.xml"/><Relationship Id="rId9" Type="http://schemas.openxmlformats.org/officeDocument/2006/relationships/hyperlink" Target="http://elibrary.ferc.gov/idmws/common/OpenNat.asp?fileID=13439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45587-A043-4F97-AF84-7CD179CF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7A3DA59E</Template>
  <TotalTime>10</TotalTime>
  <Pages>8</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ferc</cp:lastModifiedBy>
  <cp:revision>3</cp:revision>
  <cp:lastPrinted>2012-10-02T14:10:00Z</cp:lastPrinted>
  <dcterms:created xsi:type="dcterms:W3CDTF">2014-01-28T13:17:00Z</dcterms:created>
  <dcterms:modified xsi:type="dcterms:W3CDTF">2014-01-28T19:21:00Z</dcterms:modified>
</cp:coreProperties>
</file>