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A11" w:rsidRPr="002E7E81" w:rsidRDefault="00BC3A11" w:rsidP="000A7825">
      <w:pPr>
        <w:pStyle w:val="CM12"/>
        <w:spacing w:line="276" w:lineRule="atLeast"/>
        <w:ind w:left="-630"/>
        <w:jc w:val="center"/>
        <w:rPr>
          <w:b/>
          <w:bCs/>
          <w:color w:val="000000"/>
        </w:rPr>
      </w:pPr>
      <w:r w:rsidRPr="002E7E81">
        <w:rPr>
          <w:b/>
          <w:bCs/>
          <w:color w:val="000000"/>
        </w:rPr>
        <w:t>CONSUMER FINANCIAL PROTECTION BUREAU</w:t>
      </w:r>
    </w:p>
    <w:p w:rsidR="00BC3A11" w:rsidRPr="002E7E81" w:rsidRDefault="00BC3A11" w:rsidP="000A7825">
      <w:pPr>
        <w:pStyle w:val="CM12"/>
        <w:spacing w:line="276" w:lineRule="atLeast"/>
        <w:ind w:left="-630"/>
        <w:jc w:val="center"/>
        <w:rPr>
          <w:b/>
          <w:bCs/>
          <w:color w:val="000000"/>
        </w:rPr>
      </w:pPr>
      <w:r w:rsidRPr="002E7E81">
        <w:rPr>
          <w:b/>
          <w:bCs/>
          <w:color w:val="000000"/>
        </w:rPr>
        <w:t>INFORMATION COLLECTION REQUEST - SUPPORTING STATEMENT</w:t>
      </w:r>
    </w:p>
    <w:p w:rsidR="00BC3A11" w:rsidRPr="002E7E81" w:rsidRDefault="00BC3A11" w:rsidP="000A7825">
      <w:pPr>
        <w:pStyle w:val="CM12"/>
        <w:spacing w:line="276" w:lineRule="atLeast"/>
        <w:ind w:left="-630"/>
        <w:jc w:val="center"/>
        <w:rPr>
          <w:b/>
          <w:bCs/>
          <w:color w:val="000000"/>
        </w:rPr>
      </w:pPr>
      <w:r w:rsidRPr="002E7E81">
        <w:rPr>
          <w:b/>
          <w:bCs/>
          <w:color w:val="000000"/>
        </w:rPr>
        <w:t xml:space="preserve">INTERSTATE LAND SALES FULL DISCLOSURE ACT </w:t>
      </w:r>
    </w:p>
    <w:p w:rsidR="00BC3A11" w:rsidRPr="002E7E81" w:rsidRDefault="00BC3A11" w:rsidP="000A7825">
      <w:pPr>
        <w:pStyle w:val="CM12"/>
        <w:spacing w:line="276" w:lineRule="atLeast"/>
        <w:ind w:left="-630"/>
        <w:jc w:val="center"/>
        <w:rPr>
          <w:b/>
          <w:bCs/>
          <w:color w:val="000000"/>
        </w:rPr>
      </w:pPr>
      <w:r w:rsidRPr="002E7E81">
        <w:rPr>
          <w:b/>
          <w:bCs/>
        </w:rPr>
        <w:t>(REGULATIONS J, K &amp; L) 12 CFR 1010, 1011, 1012</w:t>
      </w:r>
    </w:p>
    <w:p w:rsidR="00BC3A11" w:rsidRPr="002E7E81" w:rsidRDefault="00BC3A11" w:rsidP="000A7825">
      <w:pPr>
        <w:pStyle w:val="CM12"/>
        <w:spacing w:line="276" w:lineRule="atLeast"/>
        <w:ind w:left="-630"/>
        <w:jc w:val="center"/>
        <w:rPr>
          <w:color w:val="000000"/>
        </w:rPr>
      </w:pPr>
      <w:r w:rsidRPr="002E7E81">
        <w:rPr>
          <w:b/>
          <w:bCs/>
          <w:color w:val="000000"/>
        </w:rPr>
        <w:t>(OMB CONTROL NUMBER: 3170-</w:t>
      </w:r>
      <w:r w:rsidR="004742E0">
        <w:rPr>
          <w:b/>
          <w:bCs/>
          <w:color w:val="000000"/>
        </w:rPr>
        <w:t>0012</w:t>
      </w:r>
      <w:r w:rsidRPr="002E7E81">
        <w:rPr>
          <w:b/>
          <w:bCs/>
          <w:color w:val="000000"/>
        </w:rPr>
        <w:t xml:space="preserve">) </w:t>
      </w:r>
    </w:p>
    <w:p w:rsidR="00BC3A11" w:rsidRPr="002E7E81" w:rsidRDefault="00BC3A11" w:rsidP="000A7825">
      <w:pPr>
        <w:pStyle w:val="Default"/>
        <w:ind w:left="-630"/>
      </w:pPr>
    </w:p>
    <w:p w:rsidR="00BC3A11" w:rsidRPr="002E7E81" w:rsidRDefault="00BC3A11" w:rsidP="000A7825">
      <w:pPr>
        <w:pStyle w:val="Default"/>
      </w:pPr>
    </w:p>
    <w:p w:rsidR="00BC3A11" w:rsidRPr="002E7E81" w:rsidRDefault="00BC3A11" w:rsidP="000A7825">
      <w:pPr>
        <w:pStyle w:val="Default"/>
        <w:rPr>
          <w:b/>
          <w:u w:val="single"/>
        </w:rPr>
      </w:pPr>
      <w:r w:rsidRPr="002E7E81">
        <w:rPr>
          <w:b/>
          <w:u w:val="single"/>
        </w:rPr>
        <w:t>A.  JUSTIFICATION</w:t>
      </w:r>
    </w:p>
    <w:p w:rsidR="00BC3A11" w:rsidRPr="002E7E81" w:rsidRDefault="00BC3A11" w:rsidP="000A7825">
      <w:pPr>
        <w:pStyle w:val="Default"/>
      </w:pPr>
    </w:p>
    <w:p w:rsidR="00BC3A11" w:rsidRPr="002E7E81" w:rsidRDefault="00BC3A11" w:rsidP="000A7825">
      <w:pPr>
        <w:pStyle w:val="CM12"/>
        <w:rPr>
          <w:color w:val="000000"/>
        </w:rPr>
      </w:pPr>
      <w:r w:rsidRPr="002E7E81">
        <w:rPr>
          <w:b/>
          <w:bCs/>
          <w:color w:val="000000"/>
        </w:rPr>
        <w:t xml:space="preserve">1.  </w:t>
      </w:r>
      <w:r w:rsidRPr="002E7E81">
        <w:rPr>
          <w:b/>
          <w:bCs/>
          <w:color w:val="000000"/>
          <w:u w:val="single"/>
        </w:rPr>
        <w:t>Circumstances Necessitating the Data Collection</w:t>
      </w:r>
    </w:p>
    <w:p w:rsidR="00BC3A11" w:rsidRPr="002E7E81" w:rsidRDefault="00BC3A11" w:rsidP="000A7825">
      <w:pPr>
        <w:pStyle w:val="BodyText"/>
        <w:ind w:right="720"/>
        <w:rPr>
          <w:szCs w:val="24"/>
        </w:rPr>
      </w:pPr>
    </w:p>
    <w:p w:rsidR="00BC3A11" w:rsidRPr="002E7E81" w:rsidRDefault="00BC3A11" w:rsidP="002E7E81">
      <w:pPr>
        <w:pStyle w:val="BodyText"/>
        <w:ind w:right="720" w:firstLine="720"/>
        <w:rPr>
          <w:szCs w:val="24"/>
        </w:rPr>
      </w:pPr>
      <w:r w:rsidRPr="002E7E81">
        <w:rPr>
          <w:szCs w:val="24"/>
        </w:rPr>
        <w:t xml:space="preserve">The Interstate Land Sales Full Disclosure Act (ILSA) requires land developers to register subdivisions of 100 or more non-exempt lots or units and to provide each purchaser with a disclosure document designated as a property report, 15 U.S.C. 1703-1704.  ILSA protects consumers from fraud and abuse in the sale or lease of land, and was enacted in response to a nation-wide proliferation of developers of unimproved </w:t>
      </w:r>
      <w:proofErr w:type="gramStart"/>
      <w:r w:rsidRPr="002E7E81">
        <w:rPr>
          <w:szCs w:val="24"/>
        </w:rPr>
        <w:t>subdivisions</w:t>
      </w:r>
      <w:proofErr w:type="gramEnd"/>
      <w:r w:rsidRPr="002E7E81">
        <w:rPr>
          <w:szCs w:val="24"/>
        </w:rPr>
        <w:t xml:space="preserve"> who made elaborate, but fraudulent, claims about their land to unsuspecting lot purchasers.  Information is submitted to the Bureau of Consumer Financial Protection (CFPB) to assure compliance with ILSA and the implementing regulations.  The CFPB investigates developers who are not in compliance with the regulations.</w:t>
      </w:r>
    </w:p>
    <w:p w:rsidR="00BC3A11" w:rsidRPr="002E7E81" w:rsidRDefault="00BC3A11" w:rsidP="000A7825">
      <w:pPr>
        <w:pStyle w:val="BodyText"/>
        <w:ind w:right="720"/>
        <w:rPr>
          <w:szCs w:val="24"/>
        </w:rPr>
      </w:pPr>
    </w:p>
    <w:p w:rsidR="00BC3A11" w:rsidRPr="002E7E81" w:rsidRDefault="00BC3A11" w:rsidP="002E7E81">
      <w:pPr>
        <w:pStyle w:val="BodyTextIndent3"/>
        <w:tabs>
          <w:tab w:val="clear" w:pos="450"/>
          <w:tab w:val="left" w:pos="720"/>
        </w:tabs>
        <w:ind w:left="0" w:right="720" w:firstLine="0"/>
        <w:rPr>
          <w:szCs w:val="24"/>
        </w:rPr>
      </w:pPr>
      <w:r w:rsidRPr="002E7E81">
        <w:rPr>
          <w:szCs w:val="24"/>
        </w:rPr>
        <w:tab/>
      </w:r>
      <w:r w:rsidR="00CA2A0B">
        <w:rPr>
          <w:szCs w:val="24"/>
        </w:rPr>
        <w:t xml:space="preserve">The following list provides the relevant section of each statute and regulation requiring a collection of information:  </w:t>
      </w:r>
    </w:p>
    <w:p w:rsidR="00BC3A11" w:rsidRPr="002E7E81" w:rsidRDefault="00BC3A11" w:rsidP="000A7825">
      <w:pPr>
        <w:pStyle w:val="BodyTextIndent3"/>
        <w:ind w:left="0" w:right="720" w:firstLine="0"/>
        <w:rPr>
          <w:szCs w:val="24"/>
        </w:rPr>
      </w:pPr>
    </w:p>
    <w:p w:rsidR="00827FB8" w:rsidRDefault="00827FB8" w:rsidP="00827FB8">
      <w:pPr>
        <w:tabs>
          <w:tab w:val="left" w:pos="450"/>
          <w:tab w:val="left" w:pos="2160"/>
          <w:tab w:val="left" w:pos="2700"/>
          <w:tab w:val="left" w:pos="6480"/>
        </w:tabs>
        <w:ind w:left="450" w:right="720" w:hanging="450"/>
        <w:rPr>
          <w:sz w:val="24"/>
          <w:szCs w:val="24"/>
        </w:rPr>
      </w:pPr>
      <w:r w:rsidRPr="002E7E81">
        <w:rPr>
          <w:sz w:val="24"/>
          <w:szCs w:val="24"/>
        </w:rPr>
        <w:tab/>
        <w:t>Registration of Projects – 12 CFR 1010.100 - 1010.219 and 15 U.S.C. 1701</w:t>
      </w:r>
    </w:p>
    <w:p w:rsidR="00827FB8" w:rsidRDefault="00827FB8" w:rsidP="00827FB8">
      <w:pPr>
        <w:tabs>
          <w:tab w:val="left" w:pos="450"/>
          <w:tab w:val="left" w:pos="2160"/>
          <w:tab w:val="left" w:pos="2700"/>
          <w:tab w:val="left" w:pos="6480"/>
        </w:tabs>
        <w:ind w:left="450" w:right="720" w:hanging="450"/>
        <w:rPr>
          <w:sz w:val="24"/>
          <w:szCs w:val="24"/>
        </w:rPr>
      </w:pPr>
      <w:r>
        <w:rPr>
          <w:sz w:val="24"/>
          <w:szCs w:val="24"/>
        </w:rPr>
        <w:tab/>
        <w:t>MSA Exemption Certificate/Affirmation - 12 CFR 1010.13(a</w:t>
      </w:r>
      <w:proofErr w:type="gramStart"/>
      <w:r>
        <w:rPr>
          <w:sz w:val="24"/>
          <w:szCs w:val="24"/>
        </w:rPr>
        <w:t>)(</w:t>
      </w:r>
      <w:proofErr w:type="gramEnd"/>
      <w:r>
        <w:rPr>
          <w:sz w:val="24"/>
          <w:szCs w:val="24"/>
        </w:rPr>
        <w:t>9) and 15 U.S.C. 1702</w:t>
      </w:r>
    </w:p>
    <w:p w:rsidR="00827FB8" w:rsidRDefault="00827FB8" w:rsidP="00827FB8">
      <w:pPr>
        <w:tabs>
          <w:tab w:val="left" w:pos="450"/>
          <w:tab w:val="left" w:pos="2160"/>
          <w:tab w:val="left" w:pos="2700"/>
          <w:tab w:val="left" w:pos="6480"/>
        </w:tabs>
        <w:ind w:left="450" w:right="720" w:hanging="450"/>
        <w:rPr>
          <w:sz w:val="24"/>
          <w:szCs w:val="24"/>
        </w:rPr>
      </w:pPr>
      <w:r>
        <w:rPr>
          <w:sz w:val="24"/>
          <w:szCs w:val="24"/>
        </w:rPr>
        <w:tab/>
        <w:t>Option to Cancel Notification - 12 CFR 1010.15(b</w:t>
      </w:r>
      <w:proofErr w:type="gramStart"/>
      <w:r>
        <w:rPr>
          <w:sz w:val="24"/>
          <w:szCs w:val="24"/>
        </w:rPr>
        <w:t>)(</w:t>
      </w:r>
      <w:proofErr w:type="gramEnd"/>
      <w:r>
        <w:rPr>
          <w:sz w:val="24"/>
          <w:szCs w:val="24"/>
        </w:rPr>
        <w:t>5)(</w:t>
      </w:r>
      <w:proofErr w:type="spellStart"/>
      <w:r>
        <w:rPr>
          <w:sz w:val="24"/>
          <w:szCs w:val="24"/>
        </w:rPr>
        <w:t>i</w:t>
      </w:r>
      <w:proofErr w:type="spellEnd"/>
      <w:r>
        <w:rPr>
          <w:sz w:val="24"/>
          <w:szCs w:val="24"/>
        </w:rPr>
        <w:t>) and 15 U.S.C. 1703</w:t>
      </w:r>
    </w:p>
    <w:p w:rsidR="00827FB8" w:rsidRDefault="00827FB8" w:rsidP="00827FB8">
      <w:pPr>
        <w:tabs>
          <w:tab w:val="left" w:pos="450"/>
          <w:tab w:val="left" w:pos="2160"/>
          <w:tab w:val="left" w:pos="2700"/>
          <w:tab w:val="left" w:pos="6480"/>
        </w:tabs>
        <w:ind w:left="450" w:right="720" w:hanging="450"/>
        <w:rPr>
          <w:sz w:val="24"/>
          <w:szCs w:val="24"/>
        </w:rPr>
      </w:pPr>
      <w:r>
        <w:rPr>
          <w:sz w:val="24"/>
          <w:szCs w:val="24"/>
        </w:rPr>
        <w:tab/>
        <w:t>Sample Registration Format/ Lot Information and Sample Receipt - 12 CFR 1010.15(b</w:t>
      </w:r>
      <w:proofErr w:type="gramStart"/>
      <w:r>
        <w:rPr>
          <w:sz w:val="24"/>
          <w:szCs w:val="24"/>
        </w:rPr>
        <w:t>)(</w:t>
      </w:r>
      <w:proofErr w:type="gramEnd"/>
      <w:r>
        <w:rPr>
          <w:sz w:val="24"/>
          <w:szCs w:val="24"/>
        </w:rPr>
        <w:t>11)</w:t>
      </w:r>
      <w:r w:rsidRPr="00A03A10">
        <w:rPr>
          <w:sz w:val="24"/>
          <w:szCs w:val="24"/>
        </w:rPr>
        <w:t xml:space="preserve"> </w:t>
      </w:r>
      <w:r>
        <w:rPr>
          <w:sz w:val="24"/>
          <w:szCs w:val="24"/>
        </w:rPr>
        <w:t>and 15 U.S.C. 1705</w:t>
      </w:r>
    </w:p>
    <w:p w:rsidR="00827FB8" w:rsidRDefault="00827FB8" w:rsidP="00827FB8">
      <w:pPr>
        <w:tabs>
          <w:tab w:val="left" w:pos="450"/>
          <w:tab w:val="left" w:pos="2160"/>
          <w:tab w:val="left" w:pos="2700"/>
          <w:tab w:val="left" w:pos="6480"/>
        </w:tabs>
        <w:ind w:left="450" w:right="720" w:hanging="450"/>
        <w:rPr>
          <w:sz w:val="24"/>
          <w:szCs w:val="24"/>
        </w:rPr>
      </w:pPr>
      <w:r>
        <w:rPr>
          <w:sz w:val="24"/>
          <w:szCs w:val="24"/>
        </w:rPr>
        <w:tab/>
        <w:t>Advisory Opinion Affirmation - 12 CFR 1010.17(b</w:t>
      </w:r>
      <w:proofErr w:type="gramStart"/>
      <w:r>
        <w:rPr>
          <w:sz w:val="24"/>
          <w:szCs w:val="24"/>
        </w:rPr>
        <w:t>)(</w:t>
      </w:r>
      <w:proofErr w:type="gramEnd"/>
      <w:r>
        <w:rPr>
          <w:sz w:val="24"/>
          <w:szCs w:val="24"/>
        </w:rPr>
        <w:t>3)</w:t>
      </w:r>
      <w:r w:rsidRPr="00A03A10">
        <w:rPr>
          <w:sz w:val="24"/>
          <w:szCs w:val="24"/>
        </w:rPr>
        <w:t xml:space="preserve"> </w:t>
      </w:r>
      <w:r>
        <w:rPr>
          <w:sz w:val="24"/>
          <w:szCs w:val="24"/>
        </w:rPr>
        <w:t>and 15 U.S.C. 1702</w:t>
      </w:r>
    </w:p>
    <w:p w:rsidR="00827FB8" w:rsidRPr="002E7E81" w:rsidRDefault="00827FB8" w:rsidP="00827FB8">
      <w:pPr>
        <w:tabs>
          <w:tab w:val="left" w:pos="450"/>
          <w:tab w:val="left" w:pos="2160"/>
          <w:tab w:val="left" w:pos="2700"/>
          <w:tab w:val="left" w:pos="6480"/>
        </w:tabs>
        <w:ind w:left="450" w:right="720" w:hanging="450"/>
        <w:rPr>
          <w:sz w:val="24"/>
          <w:szCs w:val="24"/>
        </w:rPr>
      </w:pPr>
      <w:r>
        <w:rPr>
          <w:sz w:val="24"/>
          <w:szCs w:val="24"/>
        </w:rPr>
        <w:tab/>
        <w:t>Initial and Consolidated Fee Schedule - 12 CFR 1010.35(b)</w:t>
      </w:r>
      <w:r w:rsidRPr="00A03A10">
        <w:rPr>
          <w:sz w:val="24"/>
          <w:szCs w:val="24"/>
        </w:rPr>
        <w:t xml:space="preserve"> </w:t>
      </w:r>
      <w:r>
        <w:rPr>
          <w:sz w:val="24"/>
          <w:szCs w:val="24"/>
        </w:rPr>
        <w:t>and 15 U.S.C. 1704</w:t>
      </w:r>
    </w:p>
    <w:p w:rsidR="00827FB8" w:rsidRPr="002E7E81" w:rsidRDefault="00827FB8" w:rsidP="00827FB8">
      <w:pPr>
        <w:tabs>
          <w:tab w:val="left" w:pos="450"/>
          <w:tab w:val="left" w:pos="2160"/>
          <w:tab w:val="left" w:pos="2700"/>
          <w:tab w:val="left" w:pos="6480"/>
        </w:tabs>
        <w:ind w:left="450" w:right="720" w:hanging="450"/>
        <w:rPr>
          <w:sz w:val="24"/>
          <w:szCs w:val="24"/>
        </w:rPr>
      </w:pPr>
      <w:r w:rsidRPr="002E7E81">
        <w:rPr>
          <w:sz w:val="24"/>
          <w:szCs w:val="24"/>
        </w:rPr>
        <w:tab/>
        <w:t>Property Reports Receipts for Lots Sold in Registered Projects – 12 CFR 1010.118 and 15 U.S.C. 1707(a)</w:t>
      </w:r>
    </w:p>
    <w:p w:rsidR="00827FB8" w:rsidRDefault="00827FB8" w:rsidP="00827FB8">
      <w:pPr>
        <w:tabs>
          <w:tab w:val="left" w:pos="450"/>
          <w:tab w:val="left" w:pos="2160"/>
          <w:tab w:val="left" w:pos="2700"/>
          <w:tab w:val="left" w:pos="6480"/>
        </w:tabs>
        <w:ind w:left="450" w:right="720" w:hanging="450"/>
        <w:rPr>
          <w:sz w:val="24"/>
          <w:szCs w:val="24"/>
        </w:rPr>
      </w:pPr>
      <w:r w:rsidRPr="002E7E81">
        <w:rPr>
          <w:sz w:val="24"/>
          <w:szCs w:val="24"/>
        </w:rPr>
        <w:tab/>
        <w:t>Financial Statements (FS) – 12 CFR 1010.212(d) &amp; 12 CFR 1010.112 and 15 U.S.C. 1705</w:t>
      </w:r>
    </w:p>
    <w:p w:rsidR="00827FB8" w:rsidRPr="002E7E81" w:rsidRDefault="00827FB8" w:rsidP="00827FB8">
      <w:pPr>
        <w:tabs>
          <w:tab w:val="left" w:pos="450"/>
          <w:tab w:val="left" w:pos="2160"/>
          <w:tab w:val="left" w:pos="2700"/>
          <w:tab w:val="left" w:pos="6480"/>
        </w:tabs>
        <w:ind w:left="450" w:right="720" w:hanging="450"/>
        <w:rPr>
          <w:sz w:val="24"/>
          <w:szCs w:val="24"/>
        </w:rPr>
      </w:pPr>
      <w:r>
        <w:rPr>
          <w:sz w:val="24"/>
          <w:szCs w:val="24"/>
        </w:rPr>
        <w:tab/>
        <w:t>Unconditional Guarantee – 12 CFR 1010.212(g) and 15 U.S.C. 1705</w:t>
      </w:r>
    </w:p>
    <w:p w:rsidR="00827FB8" w:rsidRPr="002E7E81" w:rsidRDefault="00827FB8" w:rsidP="00827FB8">
      <w:pPr>
        <w:tabs>
          <w:tab w:val="left" w:pos="450"/>
          <w:tab w:val="left" w:pos="2160"/>
          <w:tab w:val="left" w:pos="2700"/>
          <w:tab w:val="left" w:pos="6480"/>
        </w:tabs>
        <w:ind w:right="720"/>
        <w:rPr>
          <w:sz w:val="24"/>
          <w:szCs w:val="24"/>
        </w:rPr>
      </w:pPr>
      <w:r w:rsidRPr="002E7E81">
        <w:rPr>
          <w:sz w:val="24"/>
          <w:szCs w:val="24"/>
        </w:rPr>
        <w:tab/>
        <w:t>Annual Reports for Registered Projects (AR) – 12 CFR 1010.310 and 15 U.S.C 1705</w:t>
      </w:r>
      <w:r w:rsidRPr="002E7E81">
        <w:rPr>
          <w:sz w:val="24"/>
          <w:szCs w:val="24"/>
        </w:rPr>
        <w:tab/>
      </w:r>
    </w:p>
    <w:p w:rsidR="00827FB8" w:rsidRPr="002E7E81" w:rsidRDefault="00827FB8" w:rsidP="00827FB8">
      <w:pPr>
        <w:tabs>
          <w:tab w:val="left" w:pos="450"/>
          <w:tab w:val="left" w:pos="2160"/>
          <w:tab w:val="left" w:pos="2700"/>
          <w:tab w:val="left" w:pos="6480"/>
        </w:tabs>
        <w:ind w:left="450" w:right="720" w:hanging="450"/>
        <w:rPr>
          <w:sz w:val="24"/>
          <w:szCs w:val="24"/>
        </w:rPr>
      </w:pPr>
      <w:r w:rsidRPr="002E7E81">
        <w:rPr>
          <w:sz w:val="24"/>
          <w:szCs w:val="24"/>
        </w:rPr>
        <w:tab/>
        <w:t>Exemption Filing (including Multiple Site Exemption Projects) – 12 CFR 1010.15 &amp; 1010.16 and 15 U.S.C. 1702(c)</w:t>
      </w:r>
    </w:p>
    <w:p w:rsidR="00827FB8" w:rsidRPr="002E7E81" w:rsidRDefault="00827FB8" w:rsidP="00827FB8">
      <w:pPr>
        <w:tabs>
          <w:tab w:val="left" w:pos="450"/>
          <w:tab w:val="left" w:pos="2160"/>
          <w:tab w:val="left" w:pos="2700"/>
          <w:tab w:val="left" w:pos="6480"/>
        </w:tabs>
        <w:ind w:left="450" w:right="720" w:hanging="450"/>
        <w:rPr>
          <w:sz w:val="24"/>
          <w:szCs w:val="24"/>
        </w:rPr>
      </w:pPr>
      <w:r w:rsidRPr="002E7E81">
        <w:rPr>
          <w:sz w:val="24"/>
          <w:szCs w:val="24"/>
        </w:rPr>
        <w:tab/>
        <w:t>Lot Information Statement and Property Report Receipts for Multiple Site Exemption Projects – 12 CFR 1010.15 and 15 U.S.C. 1702(c)</w:t>
      </w:r>
    </w:p>
    <w:p w:rsidR="00827FB8" w:rsidRPr="002E7E81" w:rsidRDefault="00827FB8" w:rsidP="00827FB8">
      <w:pPr>
        <w:tabs>
          <w:tab w:val="left" w:pos="450"/>
          <w:tab w:val="left" w:pos="2160"/>
          <w:tab w:val="left" w:pos="2700"/>
          <w:tab w:val="left" w:pos="6480"/>
        </w:tabs>
        <w:ind w:left="450" w:right="720" w:hanging="450"/>
        <w:rPr>
          <w:sz w:val="24"/>
          <w:szCs w:val="24"/>
        </w:rPr>
      </w:pPr>
      <w:r w:rsidRPr="002E7E81">
        <w:rPr>
          <w:sz w:val="24"/>
          <w:szCs w:val="24"/>
        </w:rPr>
        <w:tab/>
        <w:t>Annual Report for Exempted Projects – 12 CFR 1010.15(d) and 15 U.S.C. 1701</w:t>
      </w:r>
    </w:p>
    <w:p w:rsidR="00827FB8" w:rsidRPr="002E7E81" w:rsidRDefault="00827FB8" w:rsidP="00827FB8">
      <w:pPr>
        <w:tabs>
          <w:tab w:val="left" w:pos="450"/>
          <w:tab w:val="left" w:pos="2160"/>
          <w:tab w:val="left" w:pos="2700"/>
          <w:tab w:val="left" w:pos="6480"/>
        </w:tabs>
        <w:ind w:left="450" w:right="720" w:hanging="450"/>
        <w:rPr>
          <w:sz w:val="24"/>
          <w:szCs w:val="24"/>
        </w:rPr>
      </w:pPr>
      <w:r w:rsidRPr="002E7E81">
        <w:rPr>
          <w:sz w:val="24"/>
          <w:szCs w:val="24"/>
        </w:rPr>
        <w:tab/>
        <w:t>Advertising Disclaimers (AD) – 12 CFR 1011.50(a)</w:t>
      </w:r>
      <w:r>
        <w:rPr>
          <w:sz w:val="24"/>
          <w:szCs w:val="24"/>
        </w:rPr>
        <w:t xml:space="preserve"> and 15 U.S.C. 1703, 1705</w:t>
      </w:r>
    </w:p>
    <w:p w:rsidR="00827FB8" w:rsidRPr="002E7E81" w:rsidRDefault="00827FB8" w:rsidP="00827FB8">
      <w:pPr>
        <w:tabs>
          <w:tab w:val="left" w:pos="450"/>
          <w:tab w:val="left" w:pos="2160"/>
          <w:tab w:val="left" w:pos="2700"/>
          <w:tab w:val="left" w:pos="6480"/>
        </w:tabs>
        <w:ind w:left="450" w:right="720" w:hanging="450"/>
        <w:rPr>
          <w:sz w:val="24"/>
          <w:szCs w:val="24"/>
        </w:rPr>
      </w:pPr>
      <w:r w:rsidRPr="002E7E81">
        <w:rPr>
          <w:sz w:val="24"/>
          <w:szCs w:val="24"/>
        </w:rPr>
        <w:tab/>
        <w:t>Restrictive Covenants – 12 CFR 1010.109(f</w:t>
      </w:r>
      <w:proofErr w:type="gramStart"/>
      <w:r w:rsidRPr="002E7E81">
        <w:rPr>
          <w:sz w:val="24"/>
          <w:szCs w:val="24"/>
        </w:rPr>
        <w:t>)(</w:t>
      </w:r>
      <w:proofErr w:type="gramEnd"/>
      <w:r w:rsidRPr="002E7E81">
        <w:rPr>
          <w:sz w:val="24"/>
          <w:szCs w:val="24"/>
        </w:rPr>
        <w:t>1)(iii)</w:t>
      </w:r>
      <w:r>
        <w:rPr>
          <w:sz w:val="24"/>
          <w:szCs w:val="24"/>
        </w:rPr>
        <w:t xml:space="preserve"> and 15 U.S.C. 1705</w:t>
      </w:r>
    </w:p>
    <w:p w:rsidR="00827FB8" w:rsidRDefault="00827FB8" w:rsidP="00827FB8">
      <w:pPr>
        <w:tabs>
          <w:tab w:val="left" w:pos="450"/>
          <w:tab w:val="left" w:pos="2160"/>
          <w:tab w:val="left" w:pos="2700"/>
          <w:tab w:val="left" w:pos="6480"/>
        </w:tabs>
        <w:ind w:left="450" w:right="720" w:hanging="450"/>
        <w:rPr>
          <w:sz w:val="24"/>
          <w:szCs w:val="24"/>
        </w:rPr>
      </w:pPr>
      <w:r w:rsidRPr="002E7E81">
        <w:rPr>
          <w:sz w:val="24"/>
          <w:szCs w:val="24"/>
        </w:rPr>
        <w:t xml:space="preserve">        Voluntary Suspension Form – 12 CFR 1010.22</w:t>
      </w:r>
      <w:r>
        <w:rPr>
          <w:sz w:val="24"/>
          <w:szCs w:val="24"/>
        </w:rPr>
        <w:t xml:space="preserve"> and 15 U.S.C. 1702</w:t>
      </w:r>
    </w:p>
    <w:p w:rsidR="00827FB8" w:rsidRDefault="00827FB8" w:rsidP="00827FB8">
      <w:pPr>
        <w:tabs>
          <w:tab w:val="left" w:pos="450"/>
          <w:tab w:val="left" w:pos="2160"/>
          <w:tab w:val="left" w:pos="2700"/>
          <w:tab w:val="left" w:pos="6480"/>
        </w:tabs>
        <w:ind w:left="450" w:right="720" w:hanging="450"/>
        <w:rPr>
          <w:sz w:val="24"/>
          <w:szCs w:val="24"/>
        </w:rPr>
      </w:pPr>
      <w:r w:rsidRPr="004C381D">
        <w:rPr>
          <w:sz w:val="24"/>
          <w:szCs w:val="24"/>
        </w:rPr>
        <w:t xml:space="preserve"> </w:t>
      </w:r>
      <w:r>
        <w:rPr>
          <w:sz w:val="24"/>
          <w:szCs w:val="24"/>
        </w:rPr>
        <w:tab/>
        <w:t>Disclosure Document Certification - 12 CFR 1010.504(a</w:t>
      </w:r>
      <w:proofErr w:type="gramStart"/>
      <w:r>
        <w:rPr>
          <w:sz w:val="24"/>
          <w:szCs w:val="24"/>
        </w:rPr>
        <w:t>)(</w:t>
      </w:r>
      <w:proofErr w:type="gramEnd"/>
      <w:r>
        <w:rPr>
          <w:sz w:val="24"/>
          <w:szCs w:val="24"/>
        </w:rPr>
        <w:t>2) and 15 U.S.C. 1708</w:t>
      </w:r>
    </w:p>
    <w:p w:rsidR="00827FB8" w:rsidRDefault="00827FB8" w:rsidP="00827FB8">
      <w:pPr>
        <w:tabs>
          <w:tab w:val="left" w:pos="450"/>
          <w:tab w:val="left" w:pos="2160"/>
          <w:tab w:val="left" w:pos="2700"/>
          <w:tab w:val="left" w:pos="6480"/>
        </w:tabs>
        <w:ind w:left="450" w:right="720" w:hanging="450"/>
        <w:rPr>
          <w:sz w:val="24"/>
          <w:szCs w:val="24"/>
        </w:rPr>
      </w:pPr>
      <w:r>
        <w:rPr>
          <w:sz w:val="24"/>
          <w:szCs w:val="24"/>
        </w:rPr>
        <w:tab/>
        <w:t>Property Report Cover Page Language - 12 CFR 1010.558(a</w:t>
      </w:r>
      <w:proofErr w:type="gramStart"/>
      <w:r>
        <w:rPr>
          <w:sz w:val="24"/>
          <w:szCs w:val="24"/>
        </w:rPr>
        <w:t>)(</w:t>
      </w:r>
      <w:proofErr w:type="gramEnd"/>
      <w:r>
        <w:rPr>
          <w:sz w:val="24"/>
          <w:szCs w:val="24"/>
        </w:rPr>
        <w:t>1) and 15 U.S.C. 1703</w:t>
      </w:r>
    </w:p>
    <w:p w:rsidR="00827FB8" w:rsidRDefault="00827FB8" w:rsidP="00827FB8">
      <w:pPr>
        <w:tabs>
          <w:tab w:val="left" w:pos="450"/>
          <w:tab w:val="left" w:pos="2160"/>
          <w:tab w:val="left" w:pos="2700"/>
          <w:tab w:val="left" w:pos="6480"/>
        </w:tabs>
        <w:ind w:left="450" w:right="720" w:hanging="450"/>
        <w:rPr>
          <w:sz w:val="24"/>
          <w:szCs w:val="24"/>
        </w:rPr>
      </w:pPr>
      <w:r>
        <w:rPr>
          <w:sz w:val="24"/>
          <w:szCs w:val="24"/>
        </w:rPr>
        <w:lastRenderedPageBreak/>
        <w:tab/>
        <w:t>Revocation Rights Notification - 12 CFR 1010.559(a</w:t>
      </w:r>
      <w:proofErr w:type="gramStart"/>
      <w:r>
        <w:rPr>
          <w:sz w:val="24"/>
          <w:szCs w:val="24"/>
        </w:rPr>
        <w:t>)(</w:t>
      </w:r>
      <w:proofErr w:type="gramEnd"/>
      <w:r>
        <w:rPr>
          <w:sz w:val="24"/>
          <w:szCs w:val="24"/>
        </w:rPr>
        <w:t>1) and 15 U.S.C. 1703</w:t>
      </w:r>
    </w:p>
    <w:p w:rsidR="00BC3A11" w:rsidRDefault="00BC3A11" w:rsidP="004C381D">
      <w:pPr>
        <w:tabs>
          <w:tab w:val="left" w:pos="450"/>
          <w:tab w:val="left" w:pos="2160"/>
          <w:tab w:val="left" w:pos="2700"/>
          <w:tab w:val="left" w:pos="6480"/>
        </w:tabs>
        <w:ind w:right="720"/>
        <w:rPr>
          <w:sz w:val="24"/>
          <w:szCs w:val="24"/>
        </w:rPr>
      </w:pPr>
    </w:p>
    <w:p w:rsidR="00BC3A11" w:rsidRPr="00202188" w:rsidRDefault="00BC3A11" w:rsidP="008A4EE1">
      <w:pPr>
        <w:pStyle w:val="CM12"/>
        <w:spacing w:line="276" w:lineRule="atLeast"/>
      </w:pPr>
      <w:r w:rsidRPr="00202188">
        <w:rPr>
          <w:b/>
          <w:bCs/>
        </w:rPr>
        <w:t xml:space="preserve">2. </w:t>
      </w:r>
      <w:r>
        <w:rPr>
          <w:b/>
          <w:bCs/>
        </w:rPr>
        <w:t xml:space="preserve"> </w:t>
      </w:r>
      <w:r w:rsidRPr="00202188">
        <w:rPr>
          <w:b/>
          <w:bCs/>
          <w:u w:val="single"/>
        </w:rPr>
        <w:t>Use of the Information</w:t>
      </w:r>
    </w:p>
    <w:p w:rsidR="00BC3A11" w:rsidRPr="002E7E81" w:rsidRDefault="00BC3A11" w:rsidP="000A7825">
      <w:pPr>
        <w:tabs>
          <w:tab w:val="left" w:pos="1080"/>
          <w:tab w:val="left" w:pos="2160"/>
          <w:tab w:val="left" w:pos="3780"/>
          <w:tab w:val="left" w:pos="6930"/>
        </w:tabs>
        <w:ind w:right="720"/>
        <w:rPr>
          <w:sz w:val="24"/>
          <w:szCs w:val="24"/>
        </w:rPr>
      </w:pPr>
    </w:p>
    <w:p w:rsidR="00BC3A11" w:rsidRPr="002E7E81" w:rsidRDefault="00BC3A11" w:rsidP="002E7E81">
      <w:pPr>
        <w:pStyle w:val="BodyTextIndent3"/>
        <w:tabs>
          <w:tab w:val="clear" w:pos="450"/>
          <w:tab w:val="clear" w:pos="2700"/>
          <w:tab w:val="clear" w:pos="6480"/>
          <w:tab w:val="left" w:pos="720"/>
          <w:tab w:val="left" w:pos="3780"/>
        </w:tabs>
        <w:ind w:left="0" w:right="720" w:firstLine="0"/>
        <w:rPr>
          <w:szCs w:val="24"/>
        </w:rPr>
      </w:pPr>
      <w:r w:rsidRPr="002E7E81">
        <w:rPr>
          <w:szCs w:val="24"/>
        </w:rPr>
        <w:tab/>
        <w:t xml:space="preserve">The respondents are developers (or attorneys or others who work for them).  Developers must submit an initial Statement of Record (registration) to the CFPB and receive an effective date before they can offer lots for sale or lease.  The Statement of Record includes the proposed property report and additional information and documents that support the developer’s disclosures in the property report.  The developer is responsible for ensuring that the registration is accurate and does not omit information needed for a purchaser to make an informed decision.  Developers must give purchasers an effective property report before the purchaser signs the sales contract.  Developers must submit amendments to their registrations if any information in their initial registration changes.  They must also submit a consolidated filing if they offer additional lots for sale.  Each year the developer must submit an annual financial statement and an annual report that is prepared in the format required by Section 1010.310 of the regulations.  A developer may voluntarily suspend his registration by submitting a Voluntary Suspension form or through the Annual Report.  There are no other forms.  The CFPB </w:t>
      </w:r>
      <w:r w:rsidR="004E2C50">
        <w:rPr>
          <w:szCs w:val="24"/>
        </w:rPr>
        <w:t xml:space="preserve">conducts a facial </w:t>
      </w:r>
      <w:r w:rsidRPr="002E7E81">
        <w:rPr>
          <w:szCs w:val="24"/>
        </w:rPr>
        <w:t xml:space="preserve">review </w:t>
      </w:r>
      <w:r w:rsidR="004E2C50">
        <w:rPr>
          <w:szCs w:val="24"/>
        </w:rPr>
        <w:t xml:space="preserve">of </w:t>
      </w:r>
      <w:r w:rsidRPr="002E7E81">
        <w:rPr>
          <w:szCs w:val="24"/>
        </w:rPr>
        <w:t xml:space="preserve">the submissions.  The developer may request an Advisory Opinion if a developer has questions about the applicability of one of the exemptions from registration.  </w:t>
      </w:r>
      <w:r>
        <w:rPr>
          <w:szCs w:val="24"/>
        </w:rPr>
        <w:t>A</w:t>
      </w:r>
      <w:r w:rsidRPr="002E7E81">
        <w:rPr>
          <w:szCs w:val="24"/>
        </w:rPr>
        <w:t xml:space="preserve"> CFPB determination is required only if a developer claims an exemption from registration under the multiple site or substantial compliance exemption.  The other 24 exemptions are self determining.  Finally, the CFPB may require additional information from developers in response to investigations of complaints.</w:t>
      </w:r>
    </w:p>
    <w:p w:rsidR="00BC3A11" w:rsidRPr="002E7E81" w:rsidRDefault="00BC3A11" w:rsidP="000A7825">
      <w:pPr>
        <w:pStyle w:val="BodyTextIndent3"/>
        <w:tabs>
          <w:tab w:val="clear" w:pos="450"/>
          <w:tab w:val="clear" w:pos="2700"/>
          <w:tab w:val="clear" w:pos="6480"/>
          <w:tab w:val="left" w:pos="1080"/>
          <w:tab w:val="left" w:pos="3780"/>
          <w:tab w:val="left" w:pos="6930"/>
        </w:tabs>
        <w:ind w:left="0" w:right="720" w:firstLine="0"/>
        <w:rPr>
          <w:szCs w:val="24"/>
        </w:rPr>
      </w:pPr>
    </w:p>
    <w:p w:rsidR="00BC3A11" w:rsidRPr="002E7E81" w:rsidRDefault="00BC3A11" w:rsidP="002E7E81">
      <w:pPr>
        <w:pStyle w:val="BodyTextIndent3"/>
        <w:tabs>
          <w:tab w:val="clear" w:pos="450"/>
          <w:tab w:val="clear" w:pos="2700"/>
          <w:tab w:val="clear" w:pos="6480"/>
          <w:tab w:val="left" w:pos="720"/>
          <w:tab w:val="left" w:pos="3780"/>
          <w:tab w:val="left" w:pos="6930"/>
        </w:tabs>
        <w:ind w:left="0" w:right="720" w:firstLine="0"/>
        <w:rPr>
          <w:szCs w:val="24"/>
        </w:rPr>
      </w:pPr>
      <w:r w:rsidRPr="002E7E81">
        <w:rPr>
          <w:szCs w:val="24"/>
        </w:rPr>
        <w:tab/>
        <w:t xml:space="preserve">The Voluntary Suspension form is voluntary and is a convenient way for developers to voluntarily suspend their registration.  The form is not required and is not the only way that developers may close their registration.  They may also end their registration through their annual report.  </w:t>
      </w:r>
    </w:p>
    <w:p w:rsidR="00BC3A11" w:rsidRDefault="00BC3A11" w:rsidP="000A7825">
      <w:pPr>
        <w:pStyle w:val="BodyTextIndent3"/>
        <w:tabs>
          <w:tab w:val="clear" w:pos="450"/>
          <w:tab w:val="clear" w:pos="2700"/>
          <w:tab w:val="clear" w:pos="6480"/>
          <w:tab w:val="left" w:pos="1080"/>
          <w:tab w:val="left" w:pos="3780"/>
          <w:tab w:val="left" w:pos="6930"/>
        </w:tabs>
        <w:ind w:left="0" w:right="720" w:firstLine="0"/>
        <w:rPr>
          <w:szCs w:val="24"/>
        </w:rPr>
      </w:pPr>
      <w:r w:rsidRPr="002E7E81">
        <w:rPr>
          <w:szCs w:val="24"/>
        </w:rPr>
        <w:t xml:space="preserve"> </w:t>
      </w:r>
    </w:p>
    <w:p w:rsidR="00BC3A11" w:rsidRPr="00202188" w:rsidRDefault="00BC3A11" w:rsidP="00B133DF">
      <w:pPr>
        <w:pStyle w:val="Default"/>
        <w:rPr>
          <w:color w:val="auto"/>
        </w:rPr>
      </w:pPr>
      <w:r w:rsidRPr="00202188">
        <w:rPr>
          <w:b/>
          <w:bCs/>
        </w:rPr>
        <w:t xml:space="preserve">3. </w:t>
      </w:r>
      <w:r>
        <w:rPr>
          <w:b/>
          <w:bCs/>
        </w:rPr>
        <w:t xml:space="preserve"> </w:t>
      </w:r>
      <w:r w:rsidRPr="00202188">
        <w:rPr>
          <w:b/>
          <w:bCs/>
          <w:u w:val="single"/>
        </w:rPr>
        <w:t>Use of Information Technology</w:t>
      </w:r>
    </w:p>
    <w:p w:rsidR="00BC3A11" w:rsidRPr="002E7E81" w:rsidRDefault="00BC3A11" w:rsidP="000A7825">
      <w:pPr>
        <w:pStyle w:val="BodyTextIndent3"/>
        <w:tabs>
          <w:tab w:val="clear" w:pos="450"/>
          <w:tab w:val="clear" w:pos="2700"/>
          <w:tab w:val="clear" w:pos="6480"/>
          <w:tab w:val="left" w:pos="1080"/>
          <w:tab w:val="left" w:pos="3780"/>
          <w:tab w:val="left" w:pos="6930"/>
        </w:tabs>
        <w:ind w:left="0" w:right="720" w:firstLine="0"/>
        <w:rPr>
          <w:szCs w:val="24"/>
        </w:rPr>
      </w:pPr>
    </w:p>
    <w:p w:rsidR="00BC3A11" w:rsidRPr="002E7E81" w:rsidRDefault="00BC3A11" w:rsidP="00B133DF">
      <w:pPr>
        <w:pStyle w:val="BodyTextIndent3"/>
        <w:tabs>
          <w:tab w:val="clear" w:pos="450"/>
          <w:tab w:val="clear" w:pos="2700"/>
          <w:tab w:val="clear" w:pos="6480"/>
          <w:tab w:val="left" w:pos="1080"/>
          <w:tab w:val="left" w:pos="3780"/>
          <w:tab w:val="left" w:pos="6930"/>
        </w:tabs>
        <w:ind w:left="0" w:right="720" w:firstLine="720"/>
        <w:rPr>
          <w:szCs w:val="24"/>
        </w:rPr>
      </w:pPr>
      <w:r w:rsidRPr="002E7E81">
        <w:rPr>
          <w:szCs w:val="24"/>
        </w:rPr>
        <w:t xml:space="preserve">Ninety-nine percent of the transactions in this information requirement are constituted by third-party disclosures during land sales transactions.  Approximately 50% prepare documents electronically.  Of registrations submitted to the CFPB approximately </w:t>
      </w:r>
      <w:r w:rsidR="004F567E">
        <w:rPr>
          <w:szCs w:val="24"/>
        </w:rPr>
        <w:t>25%</w:t>
      </w:r>
      <w:r w:rsidRPr="002E7E81">
        <w:rPr>
          <w:szCs w:val="24"/>
        </w:rPr>
        <w:t xml:space="preserve"> are </w:t>
      </w:r>
      <w:r w:rsidR="004F567E">
        <w:rPr>
          <w:szCs w:val="24"/>
        </w:rPr>
        <w:t xml:space="preserve">at least partially </w:t>
      </w:r>
      <w:r w:rsidRPr="002E7E81">
        <w:rPr>
          <w:szCs w:val="24"/>
        </w:rPr>
        <w:t xml:space="preserve">submitted on CD or e-mail.  </w:t>
      </w:r>
    </w:p>
    <w:p w:rsidR="00BC3A11" w:rsidRDefault="00BC3A11" w:rsidP="000A7825">
      <w:pPr>
        <w:numPr>
          <w:ilvl w:val="12"/>
          <w:numId w:val="0"/>
        </w:numPr>
        <w:tabs>
          <w:tab w:val="left" w:pos="360"/>
          <w:tab w:val="left" w:pos="1080"/>
          <w:tab w:val="left" w:pos="2160"/>
          <w:tab w:val="left" w:pos="3780"/>
          <w:tab w:val="left" w:pos="6930"/>
        </w:tabs>
        <w:ind w:left="360" w:right="720" w:hanging="360"/>
        <w:rPr>
          <w:sz w:val="24"/>
          <w:szCs w:val="24"/>
        </w:rPr>
      </w:pPr>
    </w:p>
    <w:p w:rsidR="00BC3A11" w:rsidRPr="00202188" w:rsidRDefault="00BC3A11" w:rsidP="00B133DF">
      <w:pPr>
        <w:pStyle w:val="CM12"/>
        <w:spacing w:line="276" w:lineRule="atLeast"/>
      </w:pPr>
      <w:r w:rsidRPr="00202188">
        <w:rPr>
          <w:b/>
          <w:bCs/>
        </w:rPr>
        <w:t xml:space="preserve">4. </w:t>
      </w:r>
      <w:r>
        <w:rPr>
          <w:b/>
          <w:bCs/>
        </w:rPr>
        <w:t xml:space="preserve"> </w:t>
      </w:r>
      <w:r w:rsidRPr="00202188">
        <w:rPr>
          <w:b/>
          <w:bCs/>
          <w:u w:val="single"/>
        </w:rPr>
        <w:t>Efforts to Identify Duplication</w:t>
      </w:r>
    </w:p>
    <w:p w:rsidR="00BC3A11" w:rsidRDefault="00BC3A11" w:rsidP="000A7825">
      <w:pPr>
        <w:numPr>
          <w:ilvl w:val="12"/>
          <w:numId w:val="0"/>
        </w:numPr>
        <w:tabs>
          <w:tab w:val="left" w:pos="360"/>
          <w:tab w:val="left" w:pos="1080"/>
          <w:tab w:val="left" w:pos="2160"/>
          <w:tab w:val="left" w:pos="3780"/>
          <w:tab w:val="left" w:pos="6930"/>
        </w:tabs>
        <w:ind w:left="360" w:right="720" w:hanging="360"/>
        <w:rPr>
          <w:sz w:val="24"/>
          <w:szCs w:val="24"/>
        </w:rPr>
      </w:pPr>
    </w:p>
    <w:p w:rsidR="00BC3A11" w:rsidRPr="002E7E81" w:rsidRDefault="00BC3A11" w:rsidP="00B133DF">
      <w:pPr>
        <w:pStyle w:val="BodyTextIndent2"/>
        <w:tabs>
          <w:tab w:val="clear" w:pos="360"/>
          <w:tab w:val="clear" w:pos="450"/>
          <w:tab w:val="clear" w:pos="2700"/>
          <w:tab w:val="clear" w:pos="6480"/>
          <w:tab w:val="left" w:pos="1080"/>
          <w:tab w:val="left" w:pos="3780"/>
          <w:tab w:val="left" w:pos="6930"/>
        </w:tabs>
        <w:ind w:left="0" w:right="720" w:firstLine="720"/>
        <w:rPr>
          <w:szCs w:val="24"/>
        </w:rPr>
      </w:pPr>
      <w:r w:rsidRPr="002E7E81">
        <w:rPr>
          <w:szCs w:val="24"/>
        </w:rPr>
        <w:t>The State Certification Program is an effort to eliminate duplication.  Developers in States that have an equivalent and certified land sales program may file a certified copy of the State filing to meet Federal requirements.  In addition, 22 States accept a Federal registration as meeting State disclosure and consumer protection requirements.</w:t>
      </w:r>
    </w:p>
    <w:p w:rsidR="00BC3A11" w:rsidRDefault="00BC3A11" w:rsidP="00B133DF">
      <w:pPr>
        <w:pStyle w:val="Default"/>
        <w:rPr>
          <w:color w:val="auto"/>
        </w:rPr>
      </w:pPr>
    </w:p>
    <w:p w:rsidR="004742E0" w:rsidRDefault="004742E0" w:rsidP="00B133DF">
      <w:pPr>
        <w:pStyle w:val="Default"/>
        <w:rPr>
          <w:color w:val="auto"/>
        </w:rPr>
      </w:pPr>
    </w:p>
    <w:p w:rsidR="004742E0" w:rsidRDefault="004742E0" w:rsidP="00B133DF">
      <w:pPr>
        <w:pStyle w:val="Default"/>
        <w:rPr>
          <w:color w:val="auto"/>
        </w:rPr>
      </w:pPr>
    </w:p>
    <w:p w:rsidR="004742E0" w:rsidRPr="00202188" w:rsidRDefault="004742E0" w:rsidP="00B133DF">
      <w:pPr>
        <w:pStyle w:val="Default"/>
        <w:rPr>
          <w:color w:val="auto"/>
        </w:rPr>
      </w:pPr>
    </w:p>
    <w:p w:rsidR="00BC3A11" w:rsidRPr="00202188" w:rsidRDefault="00BC3A11" w:rsidP="00B133DF">
      <w:pPr>
        <w:pStyle w:val="CM12"/>
        <w:spacing w:line="276" w:lineRule="atLeast"/>
      </w:pPr>
      <w:r w:rsidRPr="00202188">
        <w:rPr>
          <w:b/>
          <w:bCs/>
        </w:rPr>
        <w:lastRenderedPageBreak/>
        <w:t xml:space="preserve">5. </w:t>
      </w:r>
      <w:r>
        <w:rPr>
          <w:b/>
          <w:bCs/>
        </w:rPr>
        <w:t xml:space="preserve"> </w:t>
      </w:r>
      <w:r w:rsidRPr="00202188">
        <w:rPr>
          <w:b/>
          <w:bCs/>
          <w:u w:val="single"/>
        </w:rPr>
        <w:t xml:space="preserve">Efforts to Minimize Burdens on Small Entities </w:t>
      </w:r>
    </w:p>
    <w:p w:rsidR="00BC3A11" w:rsidRDefault="00BC3A11" w:rsidP="00B133DF">
      <w:pPr>
        <w:tabs>
          <w:tab w:val="left" w:pos="1080"/>
          <w:tab w:val="left" w:pos="2160"/>
          <w:tab w:val="left" w:pos="3780"/>
          <w:tab w:val="left" w:pos="6930"/>
        </w:tabs>
        <w:ind w:right="720"/>
        <w:rPr>
          <w:sz w:val="24"/>
          <w:szCs w:val="24"/>
        </w:rPr>
      </w:pPr>
    </w:p>
    <w:p w:rsidR="00BC3A11" w:rsidRPr="00B133DF" w:rsidRDefault="00BC3A11" w:rsidP="00B133DF">
      <w:pPr>
        <w:tabs>
          <w:tab w:val="left" w:pos="1080"/>
          <w:tab w:val="left" w:pos="2160"/>
          <w:tab w:val="left" w:pos="3780"/>
          <w:tab w:val="left" w:pos="6930"/>
        </w:tabs>
        <w:ind w:right="720" w:firstLine="720"/>
        <w:rPr>
          <w:sz w:val="24"/>
          <w:szCs w:val="24"/>
        </w:rPr>
      </w:pPr>
      <w:r w:rsidRPr="00B133DF">
        <w:rPr>
          <w:sz w:val="24"/>
          <w:szCs w:val="24"/>
        </w:rPr>
        <w:t>The collection of this information does not impact small businesses.  Developers who have subdivisions of fewer than 100 lots are exempt from registration.  Almost all registered subdivisions have gross lot sales in excess of $2 million.</w:t>
      </w:r>
    </w:p>
    <w:p w:rsidR="00BC3A11" w:rsidRPr="00B133DF" w:rsidRDefault="00BC3A11" w:rsidP="000A7825">
      <w:pPr>
        <w:numPr>
          <w:ilvl w:val="12"/>
          <w:numId w:val="0"/>
        </w:numPr>
        <w:tabs>
          <w:tab w:val="left" w:pos="360"/>
          <w:tab w:val="left" w:pos="1080"/>
          <w:tab w:val="left" w:pos="2160"/>
          <w:tab w:val="left" w:pos="3780"/>
          <w:tab w:val="left" w:pos="6930"/>
        </w:tabs>
        <w:ind w:left="360" w:right="720" w:hanging="360"/>
        <w:rPr>
          <w:sz w:val="24"/>
          <w:szCs w:val="24"/>
        </w:rPr>
      </w:pPr>
    </w:p>
    <w:p w:rsidR="00BC3A11" w:rsidRPr="00B133DF" w:rsidRDefault="00BC3A11" w:rsidP="000A7825">
      <w:pPr>
        <w:numPr>
          <w:ilvl w:val="12"/>
          <w:numId w:val="0"/>
        </w:numPr>
        <w:tabs>
          <w:tab w:val="left" w:pos="360"/>
          <w:tab w:val="left" w:pos="1080"/>
          <w:tab w:val="left" w:pos="2160"/>
          <w:tab w:val="left" w:pos="3780"/>
          <w:tab w:val="left" w:pos="6930"/>
        </w:tabs>
        <w:ind w:left="360" w:right="720" w:hanging="360"/>
        <w:rPr>
          <w:sz w:val="24"/>
          <w:szCs w:val="24"/>
        </w:rPr>
      </w:pPr>
      <w:r w:rsidRPr="00B133DF">
        <w:rPr>
          <w:b/>
          <w:bCs/>
          <w:sz w:val="24"/>
          <w:szCs w:val="24"/>
        </w:rPr>
        <w:t xml:space="preserve">6.  </w:t>
      </w:r>
      <w:r w:rsidRPr="00B133DF">
        <w:rPr>
          <w:b/>
          <w:bCs/>
          <w:sz w:val="24"/>
          <w:szCs w:val="24"/>
          <w:u w:val="single"/>
        </w:rPr>
        <w:t>Consequences of Less Frequent Collection and Obstacles to Burden Reduction</w:t>
      </w:r>
    </w:p>
    <w:p w:rsidR="00BC3A11" w:rsidRPr="00B133DF" w:rsidRDefault="00BC3A11" w:rsidP="00B133DF">
      <w:pPr>
        <w:pStyle w:val="BodyTextIndent2"/>
        <w:tabs>
          <w:tab w:val="clear" w:pos="360"/>
          <w:tab w:val="clear" w:pos="450"/>
          <w:tab w:val="clear" w:pos="2700"/>
          <w:tab w:val="clear" w:pos="6480"/>
          <w:tab w:val="left" w:pos="1080"/>
          <w:tab w:val="left" w:pos="3780"/>
          <w:tab w:val="left" w:pos="6930"/>
        </w:tabs>
        <w:ind w:right="720"/>
        <w:rPr>
          <w:szCs w:val="24"/>
        </w:rPr>
      </w:pPr>
    </w:p>
    <w:p w:rsidR="00BC3A11" w:rsidRPr="002E7E81" w:rsidRDefault="00BC3A11" w:rsidP="00B133DF">
      <w:pPr>
        <w:pStyle w:val="BodyTextIndent2"/>
        <w:tabs>
          <w:tab w:val="clear" w:pos="360"/>
          <w:tab w:val="clear" w:pos="450"/>
          <w:tab w:val="clear" w:pos="2700"/>
          <w:tab w:val="clear" w:pos="6480"/>
          <w:tab w:val="left" w:pos="1080"/>
          <w:tab w:val="left" w:pos="3780"/>
          <w:tab w:val="left" w:pos="6930"/>
        </w:tabs>
        <w:ind w:left="0" w:right="720" w:firstLine="720"/>
        <w:rPr>
          <w:szCs w:val="24"/>
        </w:rPr>
      </w:pPr>
      <w:r>
        <w:rPr>
          <w:szCs w:val="24"/>
        </w:rPr>
        <w:t>T</w:t>
      </w:r>
      <w:r w:rsidRPr="00B133DF">
        <w:rPr>
          <w:szCs w:val="24"/>
        </w:rPr>
        <w:t>he frequency of the information</w:t>
      </w:r>
      <w:r w:rsidRPr="002E7E81">
        <w:rPr>
          <w:szCs w:val="24"/>
        </w:rPr>
        <w:t xml:space="preserve"> collection is determined by s</w:t>
      </w:r>
      <w:r>
        <w:rPr>
          <w:szCs w:val="24"/>
        </w:rPr>
        <w:t xml:space="preserve">tatute and/or regulation.  Less </w:t>
      </w:r>
      <w:r w:rsidRPr="002E7E81">
        <w:rPr>
          <w:szCs w:val="24"/>
        </w:rPr>
        <w:t>frequent collection of the information would result in a property report not having the current information and purchasers not having proper information on which to base their purchases.</w:t>
      </w:r>
    </w:p>
    <w:p w:rsidR="00BC3A11" w:rsidRDefault="00BC3A11" w:rsidP="000A7825">
      <w:pPr>
        <w:numPr>
          <w:ilvl w:val="12"/>
          <w:numId w:val="0"/>
        </w:numPr>
        <w:tabs>
          <w:tab w:val="left" w:pos="360"/>
          <w:tab w:val="left" w:pos="1080"/>
          <w:tab w:val="left" w:pos="2160"/>
          <w:tab w:val="left" w:pos="3780"/>
          <w:tab w:val="left" w:pos="6930"/>
        </w:tabs>
        <w:ind w:left="360" w:right="720" w:hanging="360"/>
        <w:rPr>
          <w:sz w:val="24"/>
          <w:szCs w:val="24"/>
        </w:rPr>
      </w:pPr>
    </w:p>
    <w:p w:rsidR="00BC3A11" w:rsidRPr="00202188" w:rsidRDefault="00BC3A11" w:rsidP="00B133DF">
      <w:pPr>
        <w:pStyle w:val="Default"/>
        <w:rPr>
          <w:b/>
          <w:bCs/>
          <w:u w:val="single"/>
        </w:rPr>
      </w:pPr>
      <w:r w:rsidRPr="00202188">
        <w:rPr>
          <w:b/>
          <w:bCs/>
        </w:rPr>
        <w:t xml:space="preserve">7. </w:t>
      </w:r>
      <w:r>
        <w:rPr>
          <w:b/>
          <w:bCs/>
        </w:rPr>
        <w:t xml:space="preserve"> </w:t>
      </w:r>
      <w:r w:rsidRPr="00202188">
        <w:rPr>
          <w:b/>
          <w:bCs/>
          <w:u w:val="single"/>
        </w:rPr>
        <w:t>Circumstances Requiring Special Information Collection</w:t>
      </w:r>
    </w:p>
    <w:p w:rsidR="00BC3A11" w:rsidRPr="00202188" w:rsidRDefault="00BC3A11" w:rsidP="00B133DF">
      <w:pPr>
        <w:pStyle w:val="Default"/>
        <w:rPr>
          <w:color w:val="auto"/>
        </w:rPr>
      </w:pPr>
    </w:p>
    <w:p w:rsidR="00BC3A11" w:rsidRDefault="00CA2A0B" w:rsidP="00CA2A0B">
      <w:pPr>
        <w:numPr>
          <w:ilvl w:val="12"/>
          <w:numId w:val="0"/>
        </w:numPr>
        <w:tabs>
          <w:tab w:val="left" w:pos="1080"/>
          <w:tab w:val="left" w:pos="2160"/>
          <w:tab w:val="left" w:pos="3780"/>
          <w:tab w:val="left" w:pos="6930"/>
        </w:tabs>
        <w:ind w:right="720" w:firstLine="720"/>
        <w:rPr>
          <w:sz w:val="24"/>
          <w:szCs w:val="24"/>
        </w:rPr>
      </w:pPr>
      <w:r>
        <w:rPr>
          <w:sz w:val="24"/>
          <w:szCs w:val="24"/>
        </w:rPr>
        <w:t>The collections of information in these interim final rules are consistent with the applicable guidelines contained in 5 CFR 1320.5(d</w:t>
      </w:r>
      <w:proofErr w:type="gramStart"/>
      <w:r>
        <w:rPr>
          <w:sz w:val="24"/>
          <w:szCs w:val="24"/>
        </w:rPr>
        <w:t>)(</w:t>
      </w:r>
      <w:proofErr w:type="gramEnd"/>
      <w:r>
        <w:rPr>
          <w:sz w:val="24"/>
          <w:szCs w:val="24"/>
        </w:rPr>
        <w:t xml:space="preserve">2). </w:t>
      </w:r>
    </w:p>
    <w:p w:rsidR="00CA2A0B" w:rsidRPr="002E7E81" w:rsidRDefault="00CA2A0B" w:rsidP="000A7825">
      <w:pPr>
        <w:numPr>
          <w:ilvl w:val="12"/>
          <w:numId w:val="0"/>
        </w:numPr>
        <w:tabs>
          <w:tab w:val="left" w:pos="360"/>
          <w:tab w:val="left" w:pos="1080"/>
          <w:tab w:val="left" w:pos="2160"/>
          <w:tab w:val="left" w:pos="3780"/>
          <w:tab w:val="left" w:pos="6930"/>
        </w:tabs>
        <w:ind w:left="360" w:right="720" w:hanging="360"/>
        <w:rPr>
          <w:sz w:val="24"/>
          <w:szCs w:val="24"/>
        </w:rPr>
      </w:pPr>
    </w:p>
    <w:p w:rsidR="00BC3A11" w:rsidRPr="00202188" w:rsidRDefault="00BC3A11" w:rsidP="00B133DF">
      <w:pPr>
        <w:pStyle w:val="CM12"/>
        <w:spacing w:line="276" w:lineRule="atLeast"/>
        <w:rPr>
          <w:b/>
          <w:bCs/>
          <w:u w:val="single"/>
        </w:rPr>
      </w:pPr>
      <w:r w:rsidRPr="00202188">
        <w:rPr>
          <w:b/>
          <w:bCs/>
        </w:rPr>
        <w:t xml:space="preserve">8. </w:t>
      </w:r>
      <w:r>
        <w:rPr>
          <w:b/>
          <w:bCs/>
        </w:rPr>
        <w:t xml:space="preserve"> </w:t>
      </w:r>
      <w:r>
        <w:rPr>
          <w:b/>
          <w:bCs/>
          <w:u w:val="single"/>
        </w:rPr>
        <w:t xml:space="preserve">Consultation </w:t>
      </w:r>
      <w:proofErr w:type="gramStart"/>
      <w:r>
        <w:rPr>
          <w:b/>
          <w:bCs/>
          <w:u w:val="single"/>
        </w:rPr>
        <w:t>Outside</w:t>
      </w:r>
      <w:proofErr w:type="gramEnd"/>
      <w:r>
        <w:rPr>
          <w:b/>
          <w:bCs/>
          <w:u w:val="single"/>
        </w:rPr>
        <w:t xml:space="preserve"> the Agency</w:t>
      </w:r>
    </w:p>
    <w:p w:rsidR="00BC3A11" w:rsidRDefault="00BC3A11" w:rsidP="00B133DF">
      <w:pPr>
        <w:tabs>
          <w:tab w:val="left" w:pos="1080"/>
          <w:tab w:val="left" w:pos="2160"/>
          <w:tab w:val="left" w:pos="3780"/>
          <w:tab w:val="left" w:pos="6930"/>
        </w:tabs>
        <w:ind w:right="720"/>
        <w:rPr>
          <w:sz w:val="24"/>
          <w:szCs w:val="24"/>
        </w:rPr>
      </w:pPr>
    </w:p>
    <w:p w:rsidR="004742E0" w:rsidRPr="004742E0" w:rsidRDefault="004742E0" w:rsidP="004742E0">
      <w:pPr>
        <w:tabs>
          <w:tab w:val="left" w:pos="720"/>
          <w:tab w:val="left" w:pos="1440"/>
          <w:tab w:val="left" w:pos="2880"/>
        </w:tabs>
        <w:ind w:right="720" w:firstLine="720"/>
        <w:rPr>
          <w:sz w:val="24"/>
          <w:szCs w:val="24"/>
        </w:rPr>
      </w:pPr>
      <w:r w:rsidRPr="004742E0">
        <w:rPr>
          <w:sz w:val="24"/>
          <w:szCs w:val="24"/>
        </w:rPr>
        <w:t>This notice of final rule was published in the Federal Register (7</w:t>
      </w:r>
      <w:r w:rsidR="005902D9">
        <w:rPr>
          <w:sz w:val="24"/>
          <w:szCs w:val="24"/>
        </w:rPr>
        <w:t>6</w:t>
      </w:r>
      <w:r w:rsidRPr="004742E0">
        <w:rPr>
          <w:sz w:val="24"/>
          <w:szCs w:val="24"/>
        </w:rPr>
        <w:t xml:space="preserve"> FR </w:t>
      </w:r>
      <w:r w:rsidR="005902D9">
        <w:rPr>
          <w:sz w:val="24"/>
          <w:szCs w:val="24"/>
        </w:rPr>
        <w:t>79486)</w:t>
      </w:r>
      <w:r w:rsidRPr="004742E0">
        <w:rPr>
          <w:sz w:val="24"/>
          <w:szCs w:val="24"/>
        </w:rPr>
        <w:t xml:space="preserve">, on </w:t>
      </w:r>
      <w:r w:rsidR="005902D9">
        <w:rPr>
          <w:sz w:val="24"/>
          <w:szCs w:val="24"/>
        </w:rPr>
        <w:t>December 21, 2012</w:t>
      </w:r>
      <w:r w:rsidRPr="004742E0">
        <w:rPr>
          <w:sz w:val="24"/>
          <w:szCs w:val="24"/>
        </w:rPr>
        <w:t xml:space="preserve">.    </w:t>
      </w:r>
    </w:p>
    <w:p w:rsidR="004742E0" w:rsidRPr="004742E0" w:rsidRDefault="004742E0" w:rsidP="004742E0">
      <w:pPr>
        <w:tabs>
          <w:tab w:val="left" w:pos="720"/>
          <w:tab w:val="left" w:pos="1440"/>
          <w:tab w:val="left" w:pos="2880"/>
        </w:tabs>
        <w:ind w:right="720"/>
        <w:rPr>
          <w:sz w:val="24"/>
          <w:szCs w:val="24"/>
        </w:rPr>
      </w:pPr>
      <w:r w:rsidRPr="004742E0">
        <w:rPr>
          <w:sz w:val="24"/>
          <w:szCs w:val="24"/>
        </w:rPr>
        <w:t xml:space="preserve"> </w:t>
      </w:r>
      <w:bookmarkStart w:id="0" w:name="_GoBack"/>
      <w:bookmarkEnd w:id="0"/>
    </w:p>
    <w:p w:rsidR="004742E0" w:rsidRPr="004742E0" w:rsidRDefault="004742E0" w:rsidP="004742E0">
      <w:pPr>
        <w:tabs>
          <w:tab w:val="left" w:pos="720"/>
          <w:tab w:val="left" w:pos="1440"/>
          <w:tab w:val="left" w:pos="2880"/>
        </w:tabs>
        <w:ind w:right="720" w:firstLine="720"/>
        <w:rPr>
          <w:sz w:val="24"/>
          <w:szCs w:val="24"/>
        </w:rPr>
      </w:pPr>
      <w:r w:rsidRPr="004742E0">
        <w:rPr>
          <w:sz w:val="24"/>
          <w:szCs w:val="24"/>
        </w:rPr>
        <w:t xml:space="preserve">In response to the Federal Register notice (77 FR 2685), dated January 19, 2012, we received no comments during the comment period regarding this interim final rule.  </w:t>
      </w:r>
    </w:p>
    <w:p w:rsidR="00BC3A11" w:rsidRPr="002E7E81" w:rsidRDefault="00BC3A11" w:rsidP="000A7825">
      <w:pPr>
        <w:tabs>
          <w:tab w:val="left" w:pos="720"/>
          <w:tab w:val="left" w:pos="1440"/>
          <w:tab w:val="left" w:pos="2880"/>
        </w:tabs>
        <w:ind w:right="720"/>
        <w:rPr>
          <w:i/>
          <w:sz w:val="24"/>
          <w:szCs w:val="24"/>
        </w:rPr>
      </w:pPr>
      <w:r w:rsidRPr="002E7E81">
        <w:rPr>
          <w:i/>
          <w:sz w:val="24"/>
          <w:szCs w:val="24"/>
        </w:rPr>
        <w:tab/>
      </w:r>
      <w:r w:rsidRPr="002E7E81">
        <w:rPr>
          <w:i/>
          <w:sz w:val="24"/>
          <w:szCs w:val="24"/>
        </w:rPr>
        <w:tab/>
      </w:r>
      <w:r w:rsidRPr="002E7E81">
        <w:rPr>
          <w:i/>
          <w:sz w:val="24"/>
          <w:szCs w:val="24"/>
        </w:rPr>
        <w:tab/>
      </w:r>
      <w:r w:rsidRPr="002E7E81">
        <w:rPr>
          <w:i/>
          <w:sz w:val="24"/>
          <w:szCs w:val="24"/>
        </w:rPr>
        <w:tab/>
      </w:r>
      <w:r w:rsidRPr="002E7E81">
        <w:rPr>
          <w:i/>
          <w:sz w:val="24"/>
          <w:szCs w:val="24"/>
        </w:rPr>
        <w:tab/>
      </w:r>
    </w:p>
    <w:p w:rsidR="00BC3A11" w:rsidRPr="00202188" w:rsidRDefault="00BC3A11" w:rsidP="00B133DF">
      <w:pPr>
        <w:pStyle w:val="Default"/>
        <w:tabs>
          <w:tab w:val="left" w:pos="720"/>
        </w:tabs>
        <w:rPr>
          <w:color w:val="auto"/>
        </w:rPr>
      </w:pPr>
      <w:r w:rsidRPr="00202188">
        <w:rPr>
          <w:b/>
          <w:bCs/>
          <w:color w:val="auto"/>
        </w:rPr>
        <w:t>9.</w:t>
      </w:r>
      <w:r w:rsidRPr="000467EC">
        <w:rPr>
          <w:b/>
          <w:bCs/>
          <w:color w:val="auto"/>
        </w:rPr>
        <w:t xml:space="preserve">  </w:t>
      </w:r>
      <w:r w:rsidRPr="00202188">
        <w:rPr>
          <w:b/>
          <w:bCs/>
          <w:color w:val="auto"/>
          <w:u w:val="single"/>
        </w:rPr>
        <w:t>Payments or Gifts to Respondents</w:t>
      </w:r>
    </w:p>
    <w:p w:rsidR="00BC3A11" w:rsidRPr="00202188" w:rsidRDefault="00BC3A11" w:rsidP="00B133DF">
      <w:pPr>
        <w:pStyle w:val="Default"/>
        <w:ind w:left="360"/>
        <w:rPr>
          <w:color w:val="auto"/>
        </w:rPr>
      </w:pPr>
    </w:p>
    <w:p w:rsidR="00BC3A11" w:rsidRPr="006222C7" w:rsidRDefault="00BC3A11" w:rsidP="006222C7">
      <w:pPr>
        <w:pStyle w:val="Default"/>
        <w:ind w:firstLine="720"/>
        <w:rPr>
          <w:color w:val="auto"/>
        </w:rPr>
      </w:pPr>
      <w:r w:rsidRPr="00202188">
        <w:rPr>
          <w:color w:val="auto"/>
        </w:rPr>
        <w:t>Not applicable.</w:t>
      </w:r>
      <w:r w:rsidRPr="002E7E81">
        <w:tab/>
      </w:r>
    </w:p>
    <w:p w:rsidR="00BC3A11" w:rsidRDefault="00BC3A11" w:rsidP="000A7825">
      <w:pPr>
        <w:tabs>
          <w:tab w:val="left" w:pos="360"/>
          <w:tab w:val="left" w:pos="1080"/>
          <w:tab w:val="left" w:pos="2160"/>
          <w:tab w:val="left" w:pos="3780"/>
          <w:tab w:val="left" w:pos="6930"/>
        </w:tabs>
        <w:ind w:right="720"/>
        <w:rPr>
          <w:sz w:val="24"/>
          <w:szCs w:val="24"/>
        </w:rPr>
      </w:pPr>
    </w:p>
    <w:p w:rsidR="00BC3A11" w:rsidRPr="00202188" w:rsidRDefault="00BC3A11" w:rsidP="00B133DF">
      <w:pPr>
        <w:pStyle w:val="Default"/>
        <w:rPr>
          <w:color w:val="auto"/>
        </w:rPr>
      </w:pPr>
      <w:proofErr w:type="gramStart"/>
      <w:r w:rsidRPr="00202188">
        <w:rPr>
          <w:b/>
          <w:bCs/>
          <w:color w:val="auto"/>
        </w:rPr>
        <w:t>10. &amp; 11.</w:t>
      </w:r>
      <w:proofErr w:type="gramEnd"/>
      <w:r w:rsidRPr="00202188">
        <w:rPr>
          <w:b/>
          <w:bCs/>
          <w:color w:val="auto"/>
        </w:rPr>
        <w:t xml:space="preserve"> </w:t>
      </w:r>
      <w:r>
        <w:rPr>
          <w:b/>
          <w:bCs/>
          <w:color w:val="auto"/>
        </w:rPr>
        <w:t xml:space="preserve"> </w:t>
      </w:r>
      <w:r w:rsidRPr="00202188">
        <w:rPr>
          <w:b/>
          <w:bCs/>
          <w:color w:val="auto"/>
          <w:u w:val="single"/>
        </w:rPr>
        <w:t xml:space="preserve">Assurances of Confidentiality/Justification </w:t>
      </w:r>
      <w:r>
        <w:rPr>
          <w:b/>
          <w:bCs/>
          <w:color w:val="auto"/>
          <w:u w:val="single"/>
        </w:rPr>
        <w:t>for</w:t>
      </w:r>
      <w:r w:rsidRPr="00202188">
        <w:rPr>
          <w:b/>
          <w:bCs/>
          <w:color w:val="auto"/>
          <w:u w:val="single"/>
        </w:rPr>
        <w:t xml:space="preserve"> Sensitive Questions</w:t>
      </w:r>
    </w:p>
    <w:p w:rsidR="00BC3A11" w:rsidRDefault="00BC3A11" w:rsidP="000A7825">
      <w:pPr>
        <w:tabs>
          <w:tab w:val="left" w:pos="360"/>
          <w:tab w:val="left" w:pos="1080"/>
          <w:tab w:val="left" w:pos="2160"/>
          <w:tab w:val="left" w:pos="3780"/>
          <w:tab w:val="left" w:pos="6930"/>
        </w:tabs>
        <w:ind w:right="720"/>
        <w:rPr>
          <w:sz w:val="24"/>
          <w:szCs w:val="24"/>
        </w:rPr>
      </w:pPr>
    </w:p>
    <w:p w:rsidR="00BC3A11" w:rsidRDefault="00BC3A11" w:rsidP="00B133DF">
      <w:pPr>
        <w:pStyle w:val="BodyTextIndent2"/>
        <w:tabs>
          <w:tab w:val="clear" w:pos="360"/>
          <w:tab w:val="clear" w:pos="450"/>
          <w:tab w:val="clear" w:pos="2700"/>
          <w:tab w:val="clear" w:pos="6480"/>
          <w:tab w:val="left" w:pos="720"/>
          <w:tab w:val="left" w:pos="3780"/>
          <w:tab w:val="left" w:pos="6930"/>
        </w:tabs>
        <w:ind w:left="0" w:right="720" w:firstLine="0"/>
        <w:rPr>
          <w:szCs w:val="24"/>
        </w:rPr>
      </w:pPr>
      <w:r>
        <w:rPr>
          <w:szCs w:val="24"/>
        </w:rPr>
        <w:tab/>
      </w:r>
      <w:r w:rsidRPr="002E7E81">
        <w:rPr>
          <w:szCs w:val="24"/>
        </w:rPr>
        <w:t>There is no assurance of confidentiality.  The information collected is filed with the CFPB and available to the public.</w:t>
      </w:r>
      <w:r>
        <w:rPr>
          <w:szCs w:val="24"/>
        </w:rPr>
        <w:t xml:space="preserve">  </w:t>
      </w:r>
      <w:r w:rsidRPr="002E7E81">
        <w:rPr>
          <w:szCs w:val="24"/>
        </w:rPr>
        <w:t>There is no sensitive information being requested</w:t>
      </w:r>
      <w:r>
        <w:rPr>
          <w:szCs w:val="24"/>
        </w:rPr>
        <w:t>.</w:t>
      </w:r>
    </w:p>
    <w:p w:rsidR="00BC3A11" w:rsidRDefault="00BC3A11" w:rsidP="00B133DF">
      <w:pPr>
        <w:tabs>
          <w:tab w:val="left" w:pos="1080"/>
          <w:tab w:val="left" w:pos="2160"/>
          <w:tab w:val="left" w:pos="3780"/>
          <w:tab w:val="left" w:pos="6930"/>
        </w:tabs>
        <w:ind w:right="720"/>
        <w:rPr>
          <w:sz w:val="24"/>
          <w:szCs w:val="24"/>
        </w:rPr>
      </w:pPr>
    </w:p>
    <w:p w:rsidR="006222C7" w:rsidRDefault="006222C7" w:rsidP="006222C7">
      <w:pPr>
        <w:pStyle w:val="Default"/>
      </w:pPr>
      <w:r w:rsidRPr="00B133DF">
        <w:rPr>
          <w:b/>
          <w:bCs/>
        </w:rPr>
        <w:t xml:space="preserve">12.  </w:t>
      </w:r>
      <w:r w:rsidRPr="00B133DF">
        <w:rPr>
          <w:b/>
          <w:bCs/>
          <w:u w:val="single"/>
        </w:rPr>
        <w:t>Estimated Burden of Information Collection</w:t>
      </w:r>
    </w:p>
    <w:p w:rsidR="006222C7" w:rsidRPr="002E7E81" w:rsidRDefault="006222C7" w:rsidP="006222C7">
      <w:pPr>
        <w:tabs>
          <w:tab w:val="left" w:pos="1080"/>
          <w:tab w:val="left" w:pos="2160"/>
          <w:tab w:val="left" w:pos="3780"/>
          <w:tab w:val="left" w:pos="6930"/>
        </w:tabs>
        <w:ind w:right="720"/>
        <w:rPr>
          <w:sz w:val="24"/>
          <w:szCs w:val="24"/>
        </w:rPr>
      </w:pPr>
    </w:p>
    <w:p w:rsidR="006222C7" w:rsidRPr="00C37575" w:rsidRDefault="006222C7" w:rsidP="006222C7">
      <w:pPr>
        <w:pStyle w:val="Default"/>
      </w:pPr>
      <w:r w:rsidRPr="00C37575">
        <w:rPr>
          <w:u w:val="single"/>
        </w:rPr>
        <w:t>Hours:</w:t>
      </w:r>
      <w:r>
        <w:t xml:space="preserve"> </w:t>
      </w:r>
      <w:r w:rsidR="004742E0">
        <w:t>34,653</w:t>
      </w:r>
    </w:p>
    <w:p w:rsidR="006222C7" w:rsidRPr="00C37575" w:rsidRDefault="006222C7" w:rsidP="006222C7">
      <w:pPr>
        <w:pStyle w:val="CM12"/>
        <w:spacing w:line="276" w:lineRule="atLeast"/>
      </w:pPr>
    </w:p>
    <w:p w:rsidR="006222C7" w:rsidRDefault="006222C7" w:rsidP="006222C7">
      <w:pPr>
        <w:pStyle w:val="CM13"/>
        <w:spacing w:line="276" w:lineRule="atLeast"/>
        <w:ind w:right="410" w:firstLine="720"/>
      </w:pPr>
      <w:r w:rsidRPr="00C37575">
        <w:t xml:space="preserve">CFPB’s estimate of </w:t>
      </w:r>
      <w:r>
        <w:t xml:space="preserve">the </w:t>
      </w:r>
      <w:r w:rsidRPr="00C37575">
        <w:t>burden for ongoing recordkeeping and disclosure</w:t>
      </w:r>
      <w:r>
        <w:t xml:space="preserve"> requirements under ILSA</w:t>
      </w:r>
      <w:r w:rsidRPr="00C37575">
        <w:t xml:space="preserve"> is based on the assumption that the </w:t>
      </w:r>
      <w:r>
        <w:t xml:space="preserve">total </w:t>
      </w:r>
      <w:r w:rsidRPr="00C37575">
        <w:t xml:space="preserve">ongoing burden for this regulation remains the same as it was before the regulation was restated by the CFPB.  Prior to the passage of the Dodd-Frank Act, </w:t>
      </w:r>
      <w:r w:rsidR="008D103D">
        <w:t>HUD’s</w:t>
      </w:r>
      <w:r w:rsidR="008D103D" w:rsidRPr="00C37575">
        <w:t xml:space="preserve"> </w:t>
      </w:r>
      <w:r w:rsidRPr="00C37575">
        <w:t xml:space="preserve">ongoing recordkeeping and disclosure burdens for </w:t>
      </w:r>
      <w:r>
        <w:t>ILSA</w:t>
      </w:r>
      <w:r w:rsidRPr="00C37575">
        <w:t xml:space="preserve"> w</w:t>
      </w:r>
      <w:r>
        <w:t xml:space="preserve">ere approximately </w:t>
      </w:r>
      <w:r w:rsidR="004742E0">
        <w:t>34,653</w:t>
      </w:r>
      <w:r>
        <w:t xml:space="preserve"> </w:t>
      </w:r>
      <w:r w:rsidRPr="00C37575">
        <w:t>hours.</w:t>
      </w:r>
      <w:r w:rsidR="004742E0">
        <w:rPr>
          <w:rFonts w:eastAsiaTheme="majorEastAsia"/>
        </w:rPr>
        <w:t xml:space="preserve">  </w:t>
      </w:r>
      <w:r w:rsidRPr="00C37575">
        <w:t xml:space="preserve">In light of the changes made by the Dodd-Frank Act, </w:t>
      </w:r>
      <w:r>
        <w:t>all 3</w:t>
      </w:r>
      <w:r w:rsidR="004742E0">
        <w:t>4,653</w:t>
      </w:r>
      <w:r w:rsidRPr="00C37575">
        <w:t xml:space="preserve"> hours of that burden is being </w:t>
      </w:r>
      <w:r w:rsidR="008D103D">
        <w:t>transferred</w:t>
      </w:r>
      <w:r w:rsidR="008D103D" w:rsidRPr="00C37575">
        <w:t xml:space="preserve"> </w:t>
      </w:r>
      <w:r w:rsidRPr="00C37575">
        <w:t xml:space="preserve">to the CFPB.  </w:t>
      </w:r>
    </w:p>
    <w:p w:rsidR="006222C7" w:rsidRPr="00C37575" w:rsidRDefault="006222C7" w:rsidP="006222C7">
      <w:pPr>
        <w:pStyle w:val="Default"/>
        <w:rPr>
          <w:color w:val="auto"/>
        </w:rPr>
      </w:pPr>
    </w:p>
    <w:p w:rsidR="001A3F34" w:rsidRPr="00866CE6" w:rsidRDefault="00294779" w:rsidP="001A3F34">
      <w:pPr>
        <w:pStyle w:val="Default"/>
        <w:ind w:firstLine="720"/>
      </w:pPr>
      <w:r w:rsidRPr="00CF49E9">
        <w:rPr>
          <w:color w:val="auto"/>
        </w:rPr>
        <w:lastRenderedPageBreak/>
        <w:t xml:space="preserve">In addition to the ongoing burden, the </w:t>
      </w:r>
      <w:proofErr w:type="spellStart"/>
      <w:r w:rsidRPr="00CF49E9">
        <w:rPr>
          <w:color w:val="auto"/>
        </w:rPr>
        <w:t>recodified</w:t>
      </w:r>
      <w:proofErr w:type="spellEnd"/>
      <w:r w:rsidRPr="00CF49E9">
        <w:rPr>
          <w:color w:val="auto"/>
        </w:rPr>
        <w:t xml:space="preserve"> </w:t>
      </w:r>
      <w:r>
        <w:rPr>
          <w:color w:val="auto"/>
        </w:rPr>
        <w:t xml:space="preserve">Regulations </w:t>
      </w:r>
      <w:r w:rsidRPr="00C37575">
        <w:rPr>
          <w:color w:val="auto"/>
        </w:rPr>
        <w:t xml:space="preserve">will impose a one-time burden on </w:t>
      </w:r>
      <w:r>
        <w:rPr>
          <w:color w:val="auto"/>
        </w:rPr>
        <w:t>entities</w:t>
      </w:r>
      <w:r w:rsidRPr="00C37575">
        <w:rPr>
          <w:color w:val="auto"/>
        </w:rPr>
        <w:t xml:space="preserve"> that need to change </w:t>
      </w:r>
      <w:r w:rsidR="001A3F34" w:rsidRPr="00913055">
        <w:t>forms and clauses</w:t>
      </w:r>
      <w:r w:rsidR="001A3F34" w:rsidRPr="00913055">
        <w:rPr>
          <w:iCs/>
        </w:rPr>
        <w:t xml:space="preserve"> with references to HUD replaced with the </w:t>
      </w:r>
      <w:r w:rsidR="00CA2A0B">
        <w:rPr>
          <w:iCs/>
        </w:rPr>
        <w:t>CFPB</w:t>
      </w:r>
      <w:r w:rsidR="00CA2A0B" w:rsidRPr="00913055">
        <w:rPr>
          <w:iCs/>
        </w:rPr>
        <w:t xml:space="preserve"> </w:t>
      </w:r>
      <w:r w:rsidR="001A3F34" w:rsidRPr="00913055">
        <w:rPr>
          <w:iCs/>
        </w:rPr>
        <w:t xml:space="preserve">and HUD addresses replaced with </w:t>
      </w:r>
      <w:r w:rsidR="00CA2A0B">
        <w:rPr>
          <w:iCs/>
        </w:rPr>
        <w:t>CFPB</w:t>
      </w:r>
      <w:r w:rsidR="00CA2A0B" w:rsidRPr="00913055">
        <w:rPr>
          <w:iCs/>
        </w:rPr>
        <w:t xml:space="preserve"> </w:t>
      </w:r>
      <w:r w:rsidR="001A3F34" w:rsidRPr="00913055">
        <w:rPr>
          <w:iCs/>
        </w:rPr>
        <w:t xml:space="preserve">addresses.  </w:t>
      </w:r>
      <w:r w:rsidR="001A3F34">
        <w:rPr>
          <w:iCs/>
        </w:rPr>
        <w:t xml:space="preserve">To implement these changes, </w:t>
      </w:r>
      <w:r w:rsidR="001A3F34" w:rsidRPr="00913055">
        <w:rPr>
          <w:iCs/>
        </w:rPr>
        <w:t xml:space="preserve">covered entities may need to make one-time revisions to document templates they use for ILSA compliance.  </w:t>
      </w:r>
      <w:r w:rsidR="001A3F34" w:rsidRPr="00A439CE">
        <w:t xml:space="preserve">The </w:t>
      </w:r>
      <w:r w:rsidR="00CA2A0B">
        <w:t>CFPB</w:t>
      </w:r>
      <w:r w:rsidR="00CA2A0B" w:rsidRPr="00A439CE">
        <w:t xml:space="preserve"> </w:t>
      </w:r>
      <w:r w:rsidR="001A3F34" w:rsidRPr="00A439CE">
        <w:t xml:space="preserve">believes that </w:t>
      </w:r>
      <w:r w:rsidR="001A3F34">
        <w:t xml:space="preserve">the associated burden and </w:t>
      </w:r>
      <w:r w:rsidR="001A3F34" w:rsidRPr="00A439CE">
        <w:t>costs for these changes will be minimal</w:t>
      </w:r>
      <w:r w:rsidR="001A3F34">
        <w:t xml:space="preserve">. It is the CFPB’s understanding that </w:t>
      </w:r>
      <w:r w:rsidR="001A3F34" w:rsidRPr="00A439CE">
        <w:t xml:space="preserve">a small set of entities </w:t>
      </w:r>
      <w:r w:rsidR="001A3F34">
        <w:t xml:space="preserve">maintain these forms and do so in accessible templates which can easily be modified on </w:t>
      </w:r>
      <w:r w:rsidR="001A3F34" w:rsidRPr="00A439CE">
        <w:t>in-house computers.</w:t>
      </w:r>
    </w:p>
    <w:p w:rsidR="001A3F34" w:rsidRDefault="001A3F34" w:rsidP="006222C7">
      <w:pPr>
        <w:pStyle w:val="Default"/>
        <w:rPr>
          <w:color w:val="auto"/>
          <w:u w:val="single"/>
        </w:rPr>
      </w:pPr>
    </w:p>
    <w:p w:rsidR="006222C7" w:rsidRPr="00C37575" w:rsidRDefault="006222C7" w:rsidP="006222C7">
      <w:pPr>
        <w:pStyle w:val="Default"/>
        <w:rPr>
          <w:color w:val="auto"/>
        </w:rPr>
      </w:pPr>
      <w:r w:rsidRPr="00C37575">
        <w:rPr>
          <w:color w:val="auto"/>
          <w:u w:val="single"/>
        </w:rPr>
        <w:t>Associated Labor Costs:</w:t>
      </w:r>
      <w:r>
        <w:rPr>
          <w:color w:val="auto"/>
        </w:rPr>
        <w:t xml:space="preserve">  $ 1,86</w:t>
      </w:r>
      <w:r w:rsidR="004742E0">
        <w:rPr>
          <w:color w:val="auto"/>
        </w:rPr>
        <w:t>8,562</w:t>
      </w:r>
    </w:p>
    <w:p w:rsidR="006222C7" w:rsidRPr="00C37575" w:rsidRDefault="006222C7" w:rsidP="006222C7">
      <w:pPr>
        <w:pStyle w:val="Default"/>
        <w:rPr>
          <w:color w:val="auto"/>
        </w:rPr>
      </w:pPr>
    </w:p>
    <w:p w:rsidR="006222C7" w:rsidRPr="00C37575" w:rsidRDefault="006222C7" w:rsidP="006222C7">
      <w:pPr>
        <w:pStyle w:val="Default"/>
        <w:ind w:firstLine="720"/>
        <w:rPr>
          <w:color w:val="auto"/>
        </w:rPr>
      </w:pPr>
      <w:r w:rsidRPr="00C37575">
        <w:rPr>
          <w:color w:val="auto"/>
        </w:rPr>
        <w:t xml:space="preserve">The CFPB calculated labor costs by applying appropriate hourly cost figures to the burden hours described above.  The hourly rates used are those associated with the burden hours </w:t>
      </w:r>
      <w:r>
        <w:rPr>
          <w:color w:val="auto"/>
        </w:rPr>
        <w:t>assumed</w:t>
      </w:r>
      <w:r w:rsidRPr="00C37575">
        <w:rPr>
          <w:color w:val="auto"/>
        </w:rPr>
        <w:t xml:space="preserve"> from </w:t>
      </w:r>
      <w:r>
        <w:rPr>
          <w:color w:val="auto"/>
        </w:rPr>
        <w:t>HUD.</w:t>
      </w:r>
    </w:p>
    <w:p w:rsidR="006222C7" w:rsidRPr="00C37575" w:rsidRDefault="006222C7" w:rsidP="006222C7">
      <w:pPr>
        <w:pStyle w:val="Default"/>
        <w:rPr>
          <w:color w:val="auto"/>
        </w:rPr>
      </w:pPr>
    </w:p>
    <w:p w:rsidR="00BC3A11" w:rsidRDefault="006222C7" w:rsidP="00827FB8">
      <w:pPr>
        <w:pStyle w:val="Default"/>
        <w:tabs>
          <w:tab w:val="left" w:pos="9360"/>
        </w:tabs>
        <w:ind w:firstLine="720"/>
        <w:rPr>
          <w:color w:val="auto"/>
        </w:rPr>
      </w:pPr>
      <w:r w:rsidRPr="00C37575">
        <w:rPr>
          <w:color w:val="auto"/>
        </w:rPr>
        <w:t>The CFPB estimates that the ongoing recordkeeping and disclosure costs</w:t>
      </w:r>
      <w:r>
        <w:rPr>
          <w:color w:val="auto"/>
        </w:rPr>
        <w:t xml:space="preserve"> allocated to the CFPB</w:t>
      </w:r>
      <w:r w:rsidRPr="00C37575">
        <w:rPr>
          <w:color w:val="auto"/>
        </w:rPr>
        <w:t xml:space="preserve"> un</w:t>
      </w:r>
      <w:r>
        <w:rPr>
          <w:color w:val="auto"/>
        </w:rPr>
        <w:t xml:space="preserve">der </w:t>
      </w:r>
      <w:r>
        <w:t>ILSA</w:t>
      </w:r>
      <w:r>
        <w:rPr>
          <w:color w:val="auto"/>
        </w:rPr>
        <w:t xml:space="preserve"> are $1,86</w:t>
      </w:r>
      <w:r w:rsidR="004742E0">
        <w:rPr>
          <w:color w:val="auto"/>
        </w:rPr>
        <w:t>8,562</w:t>
      </w:r>
      <w:r w:rsidRPr="00C37575">
        <w:rPr>
          <w:color w:val="auto"/>
        </w:rPr>
        <w:t xml:space="preserve">.  This estimate was calculated following </w:t>
      </w:r>
      <w:r>
        <w:rPr>
          <w:color w:val="auto"/>
        </w:rPr>
        <w:t>HUD’s</w:t>
      </w:r>
      <w:r w:rsidRPr="00C37575">
        <w:rPr>
          <w:color w:val="auto"/>
        </w:rPr>
        <w:t xml:space="preserve"> cost analysis. For a detailed breakdown of the cost analysis, please reference </w:t>
      </w:r>
      <w:r>
        <w:rPr>
          <w:color w:val="auto"/>
        </w:rPr>
        <w:t>HUD’s</w:t>
      </w:r>
      <w:r w:rsidRPr="00C37575">
        <w:rPr>
          <w:color w:val="auto"/>
        </w:rPr>
        <w:t xml:space="preserve"> supporting statement for </w:t>
      </w:r>
      <w:r>
        <w:t>ILSA</w:t>
      </w:r>
      <w:r w:rsidRPr="00C37575">
        <w:rPr>
          <w:color w:val="auto"/>
        </w:rPr>
        <w:t>.</w:t>
      </w:r>
    </w:p>
    <w:p w:rsidR="00BC3A11" w:rsidRDefault="00BC3A11" w:rsidP="00B133DF">
      <w:pPr>
        <w:pStyle w:val="Default"/>
        <w:ind w:right="720"/>
        <w:rPr>
          <w:color w:val="auto"/>
        </w:rPr>
      </w:pPr>
    </w:p>
    <w:p w:rsidR="00BC3A11" w:rsidRPr="00202188" w:rsidRDefault="00BC3A11" w:rsidP="00B133DF">
      <w:pPr>
        <w:pStyle w:val="CM12"/>
        <w:spacing w:line="276" w:lineRule="atLeast"/>
      </w:pPr>
      <w:r w:rsidRPr="00202188">
        <w:rPr>
          <w:b/>
          <w:bCs/>
        </w:rPr>
        <w:t xml:space="preserve">13. </w:t>
      </w:r>
      <w:r>
        <w:rPr>
          <w:b/>
          <w:bCs/>
        </w:rPr>
        <w:t xml:space="preserve"> </w:t>
      </w:r>
      <w:r w:rsidRPr="00202188">
        <w:rPr>
          <w:b/>
          <w:bCs/>
          <w:u w:val="single"/>
        </w:rPr>
        <w:t xml:space="preserve">Estimated Total Annual Cost Burden to </w:t>
      </w:r>
      <w:r>
        <w:rPr>
          <w:b/>
          <w:bCs/>
          <w:u w:val="single"/>
        </w:rPr>
        <w:t xml:space="preserve">Respondents or </w:t>
      </w:r>
      <w:proofErr w:type="spellStart"/>
      <w:r>
        <w:rPr>
          <w:b/>
          <w:bCs/>
          <w:u w:val="single"/>
        </w:rPr>
        <w:t>Recordkeepers</w:t>
      </w:r>
      <w:proofErr w:type="spellEnd"/>
    </w:p>
    <w:p w:rsidR="00BC3A11" w:rsidRPr="002E7E81" w:rsidRDefault="00BC3A11" w:rsidP="00B133DF">
      <w:pPr>
        <w:pStyle w:val="Default"/>
        <w:ind w:right="720"/>
        <w:rPr>
          <w:color w:val="auto"/>
        </w:rPr>
      </w:pPr>
    </w:p>
    <w:p w:rsidR="004742E0" w:rsidRPr="004742E0" w:rsidRDefault="004742E0" w:rsidP="004742E0">
      <w:pPr>
        <w:tabs>
          <w:tab w:val="left" w:pos="1170"/>
          <w:tab w:val="left" w:pos="2160"/>
          <w:tab w:val="left" w:pos="2700"/>
          <w:tab w:val="left" w:pos="3780"/>
          <w:tab w:val="left" w:pos="6930"/>
        </w:tabs>
        <w:ind w:right="720" w:firstLine="720"/>
        <w:rPr>
          <w:sz w:val="24"/>
          <w:szCs w:val="24"/>
        </w:rPr>
      </w:pPr>
      <w:r w:rsidRPr="004742E0">
        <w:rPr>
          <w:sz w:val="24"/>
          <w:szCs w:val="24"/>
        </w:rPr>
        <w:t xml:space="preserve">As suggested by OMB, our Federal Register notice dated January 19, 2012, requested public comments on estimates of cost burden that are not captured in the estimates of burden hours, i.e., estimates of capital or start-up costs and costs of operation, maintenance, and purchase of services to provide information.  However, we did not receive any responses from individuals on this subject.  As a result, estimates of these cost burdens are not available at this time. </w:t>
      </w:r>
    </w:p>
    <w:p w:rsidR="001F5EAE" w:rsidRPr="002E7E81" w:rsidRDefault="001F5EAE" w:rsidP="000A7825">
      <w:pPr>
        <w:tabs>
          <w:tab w:val="left" w:pos="1170"/>
          <w:tab w:val="left" w:pos="2160"/>
          <w:tab w:val="left" w:pos="2700"/>
          <w:tab w:val="left" w:pos="3780"/>
          <w:tab w:val="left" w:pos="6930"/>
        </w:tabs>
        <w:ind w:right="720"/>
        <w:rPr>
          <w:sz w:val="24"/>
          <w:szCs w:val="24"/>
        </w:rPr>
      </w:pPr>
    </w:p>
    <w:p w:rsidR="00BC3A11" w:rsidRPr="00202188" w:rsidRDefault="00BC3A11" w:rsidP="00B133DF">
      <w:pPr>
        <w:pStyle w:val="CM12"/>
        <w:spacing w:line="276" w:lineRule="atLeast"/>
      </w:pPr>
      <w:r w:rsidRPr="00202188">
        <w:rPr>
          <w:b/>
          <w:bCs/>
        </w:rPr>
        <w:t>14.</w:t>
      </w:r>
      <w:r>
        <w:rPr>
          <w:b/>
          <w:bCs/>
        </w:rPr>
        <w:t xml:space="preserve"> </w:t>
      </w:r>
      <w:r w:rsidRPr="00202188">
        <w:rPr>
          <w:b/>
          <w:bCs/>
        </w:rPr>
        <w:t xml:space="preserve"> </w:t>
      </w:r>
      <w:r w:rsidRPr="00202188">
        <w:rPr>
          <w:b/>
          <w:bCs/>
          <w:u w:val="single"/>
        </w:rPr>
        <w:t>Estimated Cost to the Federal Government</w:t>
      </w:r>
    </w:p>
    <w:p w:rsidR="001F5EAE" w:rsidRDefault="001F5EAE" w:rsidP="00B133DF">
      <w:pPr>
        <w:tabs>
          <w:tab w:val="left" w:pos="720"/>
          <w:tab w:val="left" w:pos="3780"/>
          <w:tab w:val="left" w:pos="6930"/>
        </w:tabs>
        <w:ind w:right="720"/>
        <w:rPr>
          <w:sz w:val="24"/>
          <w:szCs w:val="24"/>
        </w:rPr>
      </w:pPr>
    </w:p>
    <w:p w:rsidR="00BC3A11" w:rsidRPr="002E7E81" w:rsidRDefault="00BC3A11" w:rsidP="00B133DF">
      <w:pPr>
        <w:tabs>
          <w:tab w:val="left" w:pos="720"/>
          <w:tab w:val="left" w:pos="3780"/>
          <w:tab w:val="left" w:pos="6930"/>
        </w:tabs>
        <w:ind w:right="720"/>
        <w:rPr>
          <w:sz w:val="24"/>
          <w:szCs w:val="24"/>
        </w:rPr>
      </w:pPr>
      <w:r>
        <w:rPr>
          <w:sz w:val="24"/>
          <w:szCs w:val="24"/>
        </w:rPr>
        <w:tab/>
      </w:r>
      <w:r w:rsidR="008D103D">
        <w:rPr>
          <w:sz w:val="24"/>
          <w:szCs w:val="24"/>
        </w:rPr>
        <w:t>HUD</w:t>
      </w:r>
      <w:r w:rsidRPr="002E7E81">
        <w:rPr>
          <w:sz w:val="24"/>
          <w:szCs w:val="24"/>
        </w:rPr>
        <w:t xml:space="preserve"> </w:t>
      </w:r>
      <w:r w:rsidR="004E2C50">
        <w:rPr>
          <w:sz w:val="24"/>
          <w:szCs w:val="24"/>
        </w:rPr>
        <w:t xml:space="preserve">previously </w:t>
      </w:r>
      <w:r w:rsidRPr="002E7E81">
        <w:rPr>
          <w:sz w:val="24"/>
          <w:szCs w:val="24"/>
        </w:rPr>
        <w:t>estimate</w:t>
      </w:r>
      <w:r w:rsidR="004E2C50">
        <w:rPr>
          <w:sz w:val="24"/>
          <w:szCs w:val="24"/>
        </w:rPr>
        <w:t>d</w:t>
      </w:r>
      <w:r w:rsidRPr="002E7E81">
        <w:rPr>
          <w:sz w:val="24"/>
          <w:szCs w:val="24"/>
        </w:rPr>
        <w:t xml:space="preserve"> the total annualized cost to the Federal Government to be $2,149,380</w:t>
      </w:r>
      <w:r w:rsidR="002560DC">
        <w:rPr>
          <w:sz w:val="24"/>
          <w:szCs w:val="24"/>
        </w:rPr>
        <w:t xml:space="preserve"> </w:t>
      </w:r>
      <w:r w:rsidR="00294779">
        <w:rPr>
          <w:sz w:val="24"/>
          <w:szCs w:val="24"/>
        </w:rPr>
        <w:t>in 2007.</w:t>
      </w:r>
      <w:r w:rsidRPr="002E7E81">
        <w:rPr>
          <w:sz w:val="24"/>
          <w:szCs w:val="24"/>
        </w:rPr>
        <w:t xml:space="preserve">  Annual cost, however, i</w:t>
      </w:r>
      <w:r w:rsidR="004C381D">
        <w:rPr>
          <w:sz w:val="24"/>
          <w:szCs w:val="24"/>
        </w:rPr>
        <w:t>s</w:t>
      </w:r>
      <w:r w:rsidRPr="002E7E81">
        <w:rPr>
          <w:sz w:val="24"/>
          <w:szCs w:val="24"/>
        </w:rPr>
        <w:t xml:space="preserve"> partially offset by registration fees.  These fees totaled </w:t>
      </w:r>
      <w:r w:rsidR="008D103D">
        <w:rPr>
          <w:sz w:val="24"/>
          <w:szCs w:val="24"/>
        </w:rPr>
        <w:t xml:space="preserve">approximately </w:t>
      </w:r>
      <w:r w:rsidR="007B4702" w:rsidRPr="002E7E81">
        <w:rPr>
          <w:sz w:val="24"/>
          <w:szCs w:val="24"/>
        </w:rPr>
        <w:t>$</w:t>
      </w:r>
      <w:r w:rsidR="007B4702">
        <w:rPr>
          <w:sz w:val="24"/>
          <w:szCs w:val="24"/>
        </w:rPr>
        <w:t>681,000</w:t>
      </w:r>
      <w:r w:rsidR="007B4702" w:rsidRPr="002E7E81">
        <w:rPr>
          <w:sz w:val="24"/>
          <w:szCs w:val="24"/>
        </w:rPr>
        <w:t xml:space="preserve"> in 20</w:t>
      </w:r>
      <w:r w:rsidR="007B4702">
        <w:rPr>
          <w:sz w:val="24"/>
          <w:szCs w:val="24"/>
        </w:rPr>
        <w:t>07</w:t>
      </w:r>
      <w:r w:rsidR="004F567E">
        <w:rPr>
          <w:sz w:val="24"/>
          <w:szCs w:val="24"/>
        </w:rPr>
        <w:t>.</w:t>
      </w:r>
      <w:r w:rsidR="007B4702">
        <w:rPr>
          <w:rStyle w:val="FootnoteReference"/>
          <w:sz w:val="24"/>
          <w:szCs w:val="24"/>
        </w:rPr>
        <w:footnoteReference w:id="1"/>
      </w:r>
      <w:r w:rsidR="008D103D">
        <w:rPr>
          <w:sz w:val="24"/>
          <w:szCs w:val="24"/>
        </w:rPr>
        <w:t xml:space="preserve"> </w:t>
      </w:r>
    </w:p>
    <w:p w:rsidR="00BC3A11" w:rsidRDefault="00BC3A11" w:rsidP="002E7E81">
      <w:pPr>
        <w:tabs>
          <w:tab w:val="left" w:pos="720"/>
          <w:tab w:val="left" w:pos="2160"/>
          <w:tab w:val="left" w:pos="3780"/>
          <w:tab w:val="left" w:pos="6930"/>
        </w:tabs>
        <w:ind w:right="720"/>
        <w:rPr>
          <w:sz w:val="24"/>
          <w:szCs w:val="24"/>
        </w:rPr>
      </w:pPr>
    </w:p>
    <w:p w:rsidR="00BC3A11" w:rsidRDefault="00BC3A11" w:rsidP="00EC5CD0">
      <w:pPr>
        <w:pStyle w:val="Default"/>
        <w:rPr>
          <w:b/>
          <w:bCs/>
          <w:u w:val="single"/>
        </w:rPr>
      </w:pPr>
      <w:r w:rsidRPr="00202188">
        <w:rPr>
          <w:b/>
          <w:bCs/>
        </w:rPr>
        <w:t xml:space="preserve">15. </w:t>
      </w:r>
      <w:r>
        <w:rPr>
          <w:b/>
          <w:bCs/>
        </w:rPr>
        <w:t xml:space="preserve"> </w:t>
      </w:r>
      <w:r w:rsidRPr="00202188">
        <w:rPr>
          <w:b/>
          <w:bCs/>
          <w:u w:val="single"/>
        </w:rPr>
        <w:t>Program Changes or Adjustments</w:t>
      </w:r>
    </w:p>
    <w:p w:rsidR="00BC3A11" w:rsidRPr="00202188" w:rsidRDefault="00BC3A11" w:rsidP="00EC5CD0">
      <w:pPr>
        <w:pStyle w:val="Default"/>
        <w:rPr>
          <w:b/>
          <w:bCs/>
          <w:sz w:val="23"/>
          <w:szCs w:val="23"/>
          <w:u w:val="single"/>
        </w:rPr>
      </w:pPr>
    </w:p>
    <w:p w:rsidR="004742E0" w:rsidRPr="004742E0" w:rsidRDefault="004742E0" w:rsidP="004742E0">
      <w:pPr>
        <w:pStyle w:val="Default"/>
        <w:ind w:firstLine="720"/>
        <w:rPr>
          <w:sz w:val="23"/>
          <w:szCs w:val="23"/>
        </w:rPr>
      </w:pPr>
      <w:r w:rsidRPr="004742E0">
        <w:rPr>
          <w:sz w:val="23"/>
          <w:szCs w:val="23"/>
        </w:rPr>
        <w:t xml:space="preserve">There were no changes made to the document that resulted in any change to the burden previously reported to OMB. </w:t>
      </w:r>
    </w:p>
    <w:p w:rsidR="004742E0" w:rsidRPr="004742E0" w:rsidRDefault="004742E0" w:rsidP="004742E0">
      <w:pPr>
        <w:pStyle w:val="Default"/>
        <w:rPr>
          <w:sz w:val="23"/>
          <w:szCs w:val="23"/>
        </w:rPr>
      </w:pPr>
    </w:p>
    <w:p w:rsidR="004742E0" w:rsidRPr="004742E0" w:rsidRDefault="004742E0" w:rsidP="004742E0">
      <w:pPr>
        <w:pStyle w:val="Default"/>
        <w:ind w:firstLine="720"/>
        <w:rPr>
          <w:sz w:val="23"/>
          <w:szCs w:val="23"/>
        </w:rPr>
      </w:pPr>
      <w:r w:rsidRPr="004742E0">
        <w:rPr>
          <w:sz w:val="23"/>
          <w:szCs w:val="23"/>
        </w:rPr>
        <w:t>We are making this submission to renew the OMB approval.</w:t>
      </w:r>
    </w:p>
    <w:p w:rsidR="00BC3A11" w:rsidRPr="002E7E81" w:rsidRDefault="00BC3A11" w:rsidP="001A3F34">
      <w:pPr>
        <w:pStyle w:val="Default"/>
        <w:ind w:firstLine="720"/>
      </w:pPr>
    </w:p>
    <w:p w:rsidR="00BC3A11" w:rsidRPr="002E7E81" w:rsidRDefault="00BC3A11" w:rsidP="000A7825">
      <w:pPr>
        <w:pStyle w:val="CM12"/>
        <w:spacing w:line="276" w:lineRule="atLeast"/>
      </w:pPr>
      <w:r w:rsidRPr="002E7E81">
        <w:rPr>
          <w:b/>
          <w:bCs/>
        </w:rPr>
        <w:t xml:space="preserve">16.  </w:t>
      </w:r>
      <w:r w:rsidRPr="002E7E81">
        <w:rPr>
          <w:b/>
          <w:bCs/>
          <w:u w:val="single"/>
        </w:rPr>
        <w:t>Plans for Tabulation, Statistical Analysis, and Publication</w:t>
      </w:r>
    </w:p>
    <w:p w:rsidR="00BC3A11" w:rsidRPr="002E7E81" w:rsidRDefault="00BC3A11" w:rsidP="000A7825">
      <w:pPr>
        <w:pStyle w:val="CM12"/>
        <w:spacing w:line="276" w:lineRule="atLeast"/>
        <w:ind w:left="720"/>
      </w:pPr>
    </w:p>
    <w:p w:rsidR="00BC3A11" w:rsidRPr="002E7E81" w:rsidRDefault="00BC3A11" w:rsidP="000A7825">
      <w:pPr>
        <w:pStyle w:val="CM12"/>
        <w:spacing w:line="276" w:lineRule="atLeast"/>
        <w:ind w:left="720"/>
      </w:pPr>
      <w:r w:rsidRPr="002E7E81">
        <w:t xml:space="preserve">Not applicable. </w:t>
      </w:r>
    </w:p>
    <w:p w:rsidR="00BC3A11" w:rsidRDefault="00BC3A11" w:rsidP="000A7825">
      <w:pPr>
        <w:pStyle w:val="Default"/>
        <w:rPr>
          <w:b/>
          <w:bCs/>
          <w:color w:val="auto"/>
          <w:u w:val="single"/>
        </w:rPr>
      </w:pPr>
    </w:p>
    <w:p w:rsidR="004742E0" w:rsidRPr="002E7E81" w:rsidRDefault="004742E0" w:rsidP="000A7825">
      <w:pPr>
        <w:pStyle w:val="Default"/>
        <w:rPr>
          <w:b/>
          <w:bCs/>
          <w:color w:val="auto"/>
          <w:u w:val="single"/>
        </w:rPr>
      </w:pPr>
    </w:p>
    <w:p w:rsidR="00BC3A11" w:rsidRPr="002E7E81" w:rsidRDefault="00BC3A11" w:rsidP="000A7825">
      <w:pPr>
        <w:pStyle w:val="Default"/>
        <w:rPr>
          <w:b/>
          <w:bCs/>
          <w:color w:val="auto"/>
          <w:u w:val="single"/>
        </w:rPr>
      </w:pPr>
      <w:r w:rsidRPr="002E7E81">
        <w:rPr>
          <w:b/>
          <w:bCs/>
          <w:color w:val="auto"/>
        </w:rPr>
        <w:lastRenderedPageBreak/>
        <w:t xml:space="preserve">17.  </w:t>
      </w:r>
      <w:r w:rsidRPr="002E7E81">
        <w:rPr>
          <w:b/>
          <w:bCs/>
          <w:color w:val="auto"/>
          <w:u w:val="single"/>
        </w:rPr>
        <w:t>Display of Expiration Date</w:t>
      </w:r>
    </w:p>
    <w:p w:rsidR="00BC3A11" w:rsidRPr="002E7E81" w:rsidRDefault="00BC3A11" w:rsidP="000A7825">
      <w:pPr>
        <w:pStyle w:val="Default"/>
        <w:rPr>
          <w:b/>
          <w:bCs/>
          <w:color w:val="auto"/>
          <w:u w:val="single"/>
        </w:rPr>
      </w:pPr>
    </w:p>
    <w:p w:rsidR="004742E0" w:rsidRPr="004742E0" w:rsidRDefault="004742E0" w:rsidP="004742E0">
      <w:pPr>
        <w:pStyle w:val="Default"/>
      </w:pPr>
      <w:r w:rsidRPr="004742E0">
        <w:t>We believe that displaying the OMB expiration date is inappropriate because it could cause confusion by leading consumers to believe that the regulation sunsets as of the expiration date.  Consumers are not likely to be aware that the Bureau intends to request renewal of OMB approval and obtain a new expiration date before the old one expires.</w:t>
      </w:r>
    </w:p>
    <w:p w:rsidR="00BC3A11" w:rsidRPr="002E7E81" w:rsidRDefault="00BC3A11" w:rsidP="000A7825">
      <w:pPr>
        <w:pStyle w:val="Default"/>
        <w:rPr>
          <w:color w:val="auto"/>
        </w:rPr>
      </w:pPr>
    </w:p>
    <w:p w:rsidR="00BC3A11" w:rsidRPr="002E7E81" w:rsidRDefault="00BC3A11" w:rsidP="000A7825">
      <w:pPr>
        <w:pStyle w:val="Default"/>
      </w:pPr>
      <w:r w:rsidRPr="002E7E81">
        <w:rPr>
          <w:b/>
          <w:bCs/>
          <w:color w:val="auto"/>
        </w:rPr>
        <w:t xml:space="preserve">18.  </w:t>
      </w:r>
      <w:r w:rsidRPr="002E7E81">
        <w:rPr>
          <w:b/>
          <w:bCs/>
          <w:color w:val="auto"/>
          <w:u w:val="single"/>
        </w:rPr>
        <w:t>Exceptions to the Certification Requirement</w:t>
      </w:r>
    </w:p>
    <w:p w:rsidR="00BC3A11" w:rsidRPr="002E7E81" w:rsidRDefault="00BC3A11" w:rsidP="000A7825">
      <w:pPr>
        <w:rPr>
          <w:sz w:val="24"/>
          <w:szCs w:val="24"/>
        </w:rPr>
      </w:pPr>
    </w:p>
    <w:p w:rsidR="004742E0" w:rsidRPr="004742E0" w:rsidRDefault="004742E0" w:rsidP="004742E0">
      <w:pPr>
        <w:ind w:firstLine="720"/>
        <w:rPr>
          <w:sz w:val="24"/>
          <w:szCs w:val="24"/>
        </w:rPr>
      </w:pPr>
      <w:proofErr w:type="gramStart"/>
      <w:r w:rsidRPr="004742E0">
        <w:rPr>
          <w:sz w:val="24"/>
          <w:szCs w:val="24"/>
        </w:rPr>
        <w:t>None.</w:t>
      </w:r>
      <w:proofErr w:type="gramEnd"/>
    </w:p>
    <w:p w:rsidR="004742E0" w:rsidRPr="004742E0" w:rsidRDefault="004742E0" w:rsidP="004742E0">
      <w:pPr>
        <w:ind w:firstLine="720"/>
        <w:rPr>
          <w:sz w:val="24"/>
          <w:szCs w:val="24"/>
        </w:rPr>
      </w:pPr>
    </w:p>
    <w:p w:rsidR="004742E0" w:rsidRPr="004742E0" w:rsidRDefault="004742E0" w:rsidP="004742E0">
      <w:pPr>
        <w:ind w:firstLine="720"/>
        <w:rPr>
          <w:sz w:val="24"/>
          <w:szCs w:val="24"/>
        </w:rPr>
      </w:pPr>
      <w:r w:rsidRPr="004742E0">
        <w:rPr>
          <w:b/>
          <w:sz w:val="24"/>
          <w:szCs w:val="24"/>
          <w:u w:val="single"/>
        </w:rPr>
        <w:t>Note</w:t>
      </w:r>
      <w:r w:rsidRPr="004742E0">
        <w:rPr>
          <w:sz w:val="24"/>
          <w:szCs w:val="24"/>
        </w:rPr>
        <w:t>:</w:t>
      </w:r>
      <w:r w:rsidRPr="004742E0">
        <w:rPr>
          <w:sz w:val="24"/>
          <w:szCs w:val="24"/>
        </w:rPr>
        <w:tab/>
        <w:t>The following paragraph applies to all of the collections of information in this submission:</w:t>
      </w:r>
    </w:p>
    <w:p w:rsidR="004742E0" w:rsidRPr="004742E0" w:rsidRDefault="004742E0" w:rsidP="004742E0">
      <w:pPr>
        <w:ind w:firstLine="720"/>
        <w:rPr>
          <w:sz w:val="24"/>
          <w:szCs w:val="24"/>
        </w:rPr>
      </w:pPr>
    </w:p>
    <w:p w:rsidR="004742E0" w:rsidRPr="004742E0" w:rsidRDefault="004742E0" w:rsidP="004742E0">
      <w:pPr>
        <w:ind w:firstLine="720"/>
        <w:rPr>
          <w:sz w:val="24"/>
          <w:szCs w:val="24"/>
        </w:rPr>
      </w:pPr>
      <w:r w:rsidRPr="004742E0">
        <w:rPr>
          <w:sz w:val="24"/>
          <w:szCs w:val="24"/>
        </w:rPr>
        <w:t>An agency may not conduct or sponsor, and a person is not required to respond to, a collection of information unless the collection of information displays a valid OMB control number.</w:t>
      </w:r>
    </w:p>
    <w:p w:rsidR="004742E0" w:rsidRPr="004742E0" w:rsidRDefault="004742E0" w:rsidP="004742E0">
      <w:pPr>
        <w:ind w:firstLine="720"/>
        <w:rPr>
          <w:sz w:val="24"/>
          <w:szCs w:val="24"/>
        </w:rPr>
      </w:pPr>
    </w:p>
    <w:p w:rsidR="00BC3A11" w:rsidRPr="002E7E81" w:rsidRDefault="00BC3A11" w:rsidP="004742E0">
      <w:pPr>
        <w:ind w:firstLine="720"/>
        <w:rPr>
          <w:sz w:val="24"/>
          <w:szCs w:val="24"/>
        </w:rPr>
      </w:pPr>
    </w:p>
    <w:sectPr w:rsidR="00BC3A11" w:rsidRPr="002E7E81" w:rsidSect="000A782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80" w:footer="480" w:gutter="0"/>
      <w:cols w:space="480" w:equalWidth="0">
        <w:col w:w="10080"/>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33F" w:rsidRDefault="00CD033F">
      <w:r>
        <w:separator/>
      </w:r>
    </w:p>
  </w:endnote>
  <w:endnote w:type="continuationSeparator" w:id="0">
    <w:p w:rsidR="00CD033F" w:rsidRDefault="00CD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E9" w:rsidRDefault="00E57BEB">
    <w:pPr>
      <w:pStyle w:val="Footer"/>
      <w:framePr w:wrap="around" w:vAnchor="text" w:hAnchor="margin" w:xAlign="center" w:y="1"/>
      <w:rPr>
        <w:rStyle w:val="PageNumber"/>
      </w:rPr>
    </w:pPr>
    <w:r>
      <w:rPr>
        <w:rStyle w:val="PageNumber"/>
      </w:rPr>
      <w:fldChar w:fldCharType="begin"/>
    </w:r>
    <w:r w:rsidR="00CA51E9">
      <w:rPr>
        <w:rStyle w:val="PageNumber"/>
      </w:rPr>
      <w:instrText xml:space="preserve">PAGE  </w:instrText>
    </w:r>
    <w:r>
      <w:rPr>
        <w:rStyle w:val="PageNumber"/>
      </w:rPr>
      <w:fldChar w:fldCharType="separate"/>
    </w:r>
    <w:r w:rsidR="00CA51E9">
      <w:rPr>
        <w:rStyle w:val="PageNumber"/>
        <w:noProof/>
      </w:rPr>
      <w:t>5</w:t>
    </w:r>
    <w:r>
      <w:rPr>
        <w:rStyle w:val="PageNumber"/>
      </w:rPr>
      <w:fldChar w:fldCharType="end"/>
    </w:r>
  </w:p>
  <w:p w:rsidR="00CA51E9" w:rsidRDefault="00CA51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E9" w:rsidRDefault="00E57BEB">
    <w:pPr>
      <w:pStyle w:val="Footer"/>
      <w:framePr w:wrap="around" w:vAnchor="text" w:hAnchor="margin" w:xAlign="center" w:y="1"/>
      <w:rPr>
        <w:rStyle w:val="PageNumber"/>
      </w:rPr>
    </w:pPr>
    <w:r>
      <w:rPr>
        <w:rStyle w:val="PageNumber"/>
      </w:rPr>
      <w:fldChar w:fldCharType="begin"/>
    </w:r>
    <w:r w:rsidR="00CA51E9">
      <w:rPr>
        <w:rStyle w:val="PageNumber"/>
      </w:rPr>
      <w:instrText xml:space="preserve">PAGE  </w:instrText>
    </w:r>
    <w:r>
      <w:rPr>
        <w:rStyle w:val="PageNumber"/>
      </w:rPr>
      <w:fldChar w:fldCharType="separate"/>
    </w:r>
    <w:r w:rsidR="005902D9">
      <w:rPr>
        <w:rStyle w:val="PageNumber"/>
        <w:noProof/>
      </w:rPr>
      <w:t>3</w:t>
    </w:r>
    <w:r>
      <w:rPr>
        <w:rStyle w:val="PageNumber"/>
      </w:rPr>
      <w:fldChar w:fldCharType="end"/>
    </w:r>
  </w:p>
  <w:p w:rsidR="00CA51E9" w:rsidRDefault="00CA51E9">
    <w:pPr>
      <w:pStyle w:val="Footer"/>
      <w:tabs>
        <w:tab w:val="clear" w:pos="4320"/>
        <w:tab w:val="clear" w:pos="8640"/>
        <w:tab w:val="right" w:pos="10920"/>
      </w:tabs>
      <w:ind w:left="-120" w:right="-120"/>
    </w:pPr>
    <w:r>
      <w:rPr>
        <w:rFonts w:ascii="Helvetica" w:hAnsi="Helvetica"/>
        <w:b/>
        <w:sz w:val="18"/>
      </w:rPr>
      <w:tab/>
    </w:r>
  </w:p>
  <w:p w:rsidR="00CA51E9" w:rsidRDefault="00CA51E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CB1" w:rsidRDefault="008A5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33F" w:rsidRDefault="00CD033F">
      <w:r>
        <w:separator/>
      </w:r>
    </w:p>
  </w:footnote>
  <w:footnote w:type="continuationSeparator" w:id="0">
    <w:p w:rsidR="00CD033F" w:rsidRDefault="00CD033F">
      <w:r>
        <w:continuationSeparator/>
      </w:r>
    </w:p>
  </w:footnote>
  <w:footnote w:id="1">
    <w:p w:rsidR="00CA51E9" w:rsidRDefault="00CA51E9">
      <w:pPr>
        <w:pStyle w:val="FootnoteText"/>
      </w:pPr>
      <w:r>
        <w:rPr>
          <w:rStyle w:val="FootnoteReference"/>
        </w:rPr>
        <w:footnoteRef/>
      </w:r>
      <w:r>
        <w:t xml:space="preserve"> Although we realize the market has declined significantly post-2007, these numbers should give a rough estimate of the ratio of fees to costs for the government.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CB1" w:rsidRDefault="008A5C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CB1" w:rsidRDefault="008A5C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CB1" w:rsidRDefault="008A5C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5664812"/>
    <w:lvl w:ilvl="0">
      <w:numFmt w:val="decimal"/>
      <w:lvlText w:val="*"/>
      <w:lvlJc w:val="left"/>
      <w:rPr>
        <w:rFonts w:cs="Times New Roman"/>
      </w:rPr>
    </w:lvl>
  </w:abstractNum>
  <w:abstractNum w:abstractNumId="1">
    <w:nsid w:val="025F2BC0"/>
    <w:multiLevelType w:val="hybridMultilevel"/>
    <w:tmpl w:val="29E8F95A"/>
    <w:lvl w:ilvl="0" w:tplc="F56CE3C2">
      <w:start w:val="1"/>
      <w:numFmt w:val="decimal"/>
      <w:lvlText w:val="%1."/>
      <w:lvlJc w:val="left"/>
      <w:pPr>
        <w:tabs>
          <w:tab w:val="num" w:pos="360"/>
        </w:tabs>
        <w:ind w:left="36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05C3FB5"/>
    <w:multiLevelType w:val="singleLevel"/>
    <w:tmpl w:val="97BA2030"/>
    <w:lvl w:ilvl="0">
      <w:start w:val="1"/>
      <w:numFmt w:val="lowerLetter"/>
      <w:lvlText w:val="%1. "/>
      <w:legacy w:legacy="1" w:legacySpace="0" w:legacyIndent="240"/>
      <w:lvlJc w:val="left"/>
      <w:pPr>
        <w:ind w:left="492" w:hanging="240"/>
      </w:pPr>
      <w:rPr>
        <w:rFonts w:ascii="Helvetica" w:hAnsi="Helvetica" w:cs="Times New Roman" w:hint="default"/>
        <w:b w:val="0"/>
        <w:i w:val="0"/>
        <w:sz w:val="16"/>
        <w:u w:val="none"/>
      </w:rPr>
    </w:lvl>
  </w:abstractNum>
  <w:abstractNum w:abstractNumId="3">
    <w:nsid w:val="12503C84"/>
    <w:multiLevelType w:val="singleLevel"/>
    <w:tmpl w:val="C56EC252"/>
    <w:lvl w:ilvl="0">
      <w:start w:val="8"/>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4">
    <w:nsid w:val="19A4684B"/>
    <w:multiLevelType w:val="hybridMultilevel"/>
    <w:tmpl w:val="A01243F0"/>
    <w:lvl w:ilvl="0" w:tplc="8610B5FC">
      <w:start w:val="13"/>
      <w:numFmt w:val="decimal"/>
      <w:lvlText w:val="%1."/>
      <w:lvlJc w:val="left"/>
      <w:pPr>
        <w:tabs>
          <w:tab w:val="num" w:pos="360"/>
        </w:tabs>
        <w:ind w:left="36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A380AAB"/>
    <w:multiLevelType w:val="singleLevel"/>
    <w:tmpl w:val="C2967FF4"/>
    <w:lvl w:ilvl="0">
      <w:start w:val="1"/>
      <w:numFmt w:val="lowerRoman"/>
      <w:lvlText w:val="(%1) "/>
      <w:legacy w:legacy="1" w:legacySpace="0" w:legacyIndent="360"/>
      <w:lvlJc w:val="left"/>
      <w:pPr>
        <w:ind w:left="1080" w:hanging="360"/>
      </w:pPr>
      <w:rPr>
        <w:rFonts w:ascii="Times New Roman" w:hAnsi="Times New Roman" w:cs="Times New Roman" w:hint="default"/>
        <w:b w:val="0"/>
        <w:i w:val="0"/>
        <w:sz w:val="20"/>
        <w:u w:val="none"/>
      </w:rPr>
    </w:lvl>
  </w:abstractNum>
  <w:abstractNum w:abstractNumId="6">
    <w:nsid w:val="1DC369EC"/>
    <w:multiLevelType w:val="singleLevel"/>
    <w:tmpl w:val="97BA2030"/>
    <w:lvl w:ilvl="0">
      <w:start w:val="1"/>
      <w:numFmt w:val="lowerLetter"/>
      <w:lvlText w:val="%1. "/>
      <w:legacy w:legacy="1" w:legacySpace="0" w:legacyIndent="240"/>
      <w:lvlJc w:val="left"/>
      <w:pPr>
        <w:ind w:left="480" w:hanging="240"/>
      </w:pPr>
      <w:rPr>
        <w:rFonts w:ascii="Helvetica" w:hAnsi="Helvetica" w:cs="Times New Roman" w:hint="default"/>
        <w:b w:val="0"/>
        <w:i w:val="0"/>
        <w:sz w:val="16"/>
        <w:u w:val="none"/>
      </w:rPr>
    </w:lvl>
  </w:abstractNum>
  <w:abstractNum w:abstractNumId="7">
    <w:nsid w:val="1EF266DE"/>
    <w:multiLevelType w:val="singleLevel"/>
    <w:tmpl w:val="2A345A24"/>
    <w:lvl w:ilvl="0">
      <w:start w:val="2"/>
      <w:numFmt w:val="decimal"/>
      <w:lvlText w:val="%1. "/>
      <w:legacy w:legacy="1" w:legacySpace="0" w:legacyIndent="360"/>
      <w:lvlJc w:val="left"/>
      <w:pPr>
        <w:ind w:left="360" w:hanging="360"/>
      </w:pPr>
      <w:rPr>
        <w:rFonts w:ascii="Times New Roman" w:hAnsi="Times New Roman" w:cs="Times New Roman" w:hint="default"/>
        <w:b w:val="0"/>
        <w:i w:val="0"/>
        <w:sz w:val="20"/>
        <w:u w:val="none"/>
      </w:rPr>
    </w:lvl>
  </w:abstractNum>
  <w:abstractNum w:abstractNumId="8">
    <w:nsid w:val="2210796C"/>
    <w:multiLevelType w:val="hybridMultilevel"/>
    <w:tmpl w:val="D548E08E"/>
    <w:lvl w:ilvl="0" w:tplc="60DC3606">
      <w:start w:val="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69F553E"/>
    <w:multiLevelType w:val="hybridMultilevel"/>
    <w:tmpl w:val="21262A7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7CF5CEF"/>
    <w:multiLevelType w:val="singleLevel"/>
    <w:tmpl w:val="AE822F0C"/>
    <w:lvl w:ilvl="0">
      <w:start w:val="1"/>
      <w:numFmt w:val="upperLetter"/>
      <w:pStyle w:val="Heading2"/>
      <w:lvlText w:val="%1. "/>
      <w:legacy w:legacy="1" w:legacySpace="0" w:legacyIndent="360"/>
      <w:lvlJc w:val="left"/>
      <w:pPr>
        <w:ind w:left="360" w:hanging="360"/>
      </w:pPr>
      <w:rPr>
        <w:rFonts w:ascii="Times New Roman" w:hAnsi="Times New Roman" w:cs="Times New Roman" w:hint="default"/>
        <w:b w:val="0"/>
        <w:i w:val="0"/>
        <w:sz w:val="20"/>
        <w:u w:val="none"/>
      </w:rPr>
    </w:lvl>
  </w:abstractNum>
  <w:abstractNum w:abstractNumId="11">
    <w:nsid w:val="2DA55366"/>
    <w:multiLevelType w:val="hybridMultilevel"/>
    <w:tmpl w:val="6FBAC538"/>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565171A"/>
    <w:multiLevelType w:val="singleLevel"/>
    <w:tmpl w:val="DB6E8CBA"/>
    <w:lvl w:ilvl="0">
      <w:start w:val="1"/>
      <w:numFmt w:val="decimal"/>
      <w:lvlText w:val="%1. "/>
      <w:legacy w:legacy="1" w:legacySpace="0" w:legacyIndent="360"/>
      <w:lvlJc w:val="left"/>
      <w:pPr>
        <w:ind w:left="360" w:hanging="360"/>
      </w:pPr>
      <w:rPr>
        <w:rFonts w:ascii="Times New Roman" w:hAnsi="Times New Roman" w:cs="Times New Roman" w:hint="default"/>
        <w:b w:val="0"/>
        <w:i w:val="0"/>
        <w:sz w:val="20"/>
        <w:u w:val="none"/>
      </w:rPr>
    </w:lvl>
  </w:abstractNum>
  <w:abstractNum w:abstractNumId="13">
    <w:nsid w:val="35A114AE"/>
    <w:multiLevelType w:val="hybridMultilevel"/>
    <w:tmpl w:val="41FE1D1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7673A05"/>
    <w:multiLevelType w:val="singleLevel"/>
    <w:tmpl w:val="24CE746E"/>
    <w:lvl w:ilvl="0">
      <w:start w:val="7"/>
      <w:numFmt w:val="decimal"/>
      <w:lvlText w:val="%1. "/>
      <w:legacy w:legacy="1" w:legacySpace="0" w:legacyIndent="360"/>
      <w:lvlJc w:val="left"/>
      <w:pPr>
        <w:ind w:left="360" w:hanging="360"/>
      </w:pPr>
      <w:rPr>
        <w:rFonts w:ascii="Times New Roman" w:hAnsi="Times New Roman" w:cs="Times New Roman" w:hint="default"/>
        <w:b w:val="0"/>
        <w:i w:val="0"/>
        <w:sz w:val="18"/>
        <w:u w:val="none"/>
      </w:rPr>
    </w:lvl>
  </w:abstractNum>
  <w:abstractNum w:abstractNumId="15">
    <w:nsid w:val="38E608E8"/>
    <w:multiLevelType w:val="singleLevel"/>
    <w:tmpl w:val="C8ECB900"/>
    <w:lvl w:ilvl="0">
      <w:start w:val="1"/>
      <w:numFmt w:val="decimal"/>
      <w:lvlText w:val="%1."/>
      <w:legacy w:legacy="1" w:legacySpace="0" w:legacyIndent="360"/>
      <w:lvlJc w:val="left"/>
      <w:pPr>
        <w:ind w:left="1260" w:hanging="360"/>
      </w:pPr>
      <w:rPr>
        <w:rFonts w:cs="Times New Roman"/>
      </w:rPr>
    </w:lvl>
  </w:abstractNum>
  <w:abstractNum w:abstractNumId="16">
    <w:nsid w:val="3FBF46ED"/>
    <w:multiLevelType w:val="hybridMultilevel"/>
    <w:tmpl w:val="93CA206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BF06D91"/>
    <w:multiLevelType w:val="hybridMultilevel"/>
    <w:tmpl w:val="4544A68E"/>
    <w:lvl w:ilvl="0" w:tplc="CE6A61CE">
      <w:start w:val="15"/>
      <w:numFmt w:val="decimal"/>
      <w:lvlText w:val="%1."/>
      <w:lvlJc w:val="left"/>
      <w:pPr>
        <w:tabs>
          <w:tab w:val="num" w:pos="360"/>
        </w:tabs>
        <w:ind w:left="36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64F5E8E"/>
    <w:multiLevelType w:val="singleLevel"/>
    <w:tmpl w:val="959C186E"/>
    <w:lvl w:ilvl="0">
      <w:start w:val="14"/>
      <w:numFmt w:val="decimal"/>
      <w:lvlText w:val="%1."/>
      <w:legacy w:legacy="1" w:legacySpace="0" w:legacyIndent="360"/>
      <w:lvlJc w:val="left"/>
      <w:pPr>
        <w:ind w:left="360" w:hanging="360"/>
      </w:pPr>
      <w:rPr>
        <w:rFonts w:cs="Times New Roman"/>
      </w:rPr>
    </w:lvl>
  </w:abstractNum>
  <w:abstractNum w:abstractNumId="19">
    <w:nsid w:val="579715B1"/>
    <w:multiLevelType w:val="hybridMultilevel"/>
    <w:tmpl w:val="D41CBB32"/>
    <w:lvl w:ilvl="0" w:tplc="F56CE3C2">
      <w:start w:val="1"/>
      <w:numFmt w:val="decimal"/>
      <w:lvlText w:val="%1."/>
      <w:lvlJc w:val="left"/>
      <w:pPr>
        <w:tabs>
          <w:tab w:val="num" w:pos="360"/>
        </w:tabs>
        <w:ind w:left="360" w:hanging="360"/>
      </w:pPr>
      <w:rPr>
        <w:rFonts w:ascii="Times New Roman" w:hAnsi="Times New Roman" w:cs="Times New Roman" w:hint="default"/>
        <w:b w:val="0"/>
        <w:i w:val="0"/>
        <w:sz w:val="24"/>
      </w:rPr>
    </w:lvl>
    <w:lvl w:ilvl="1" w:tplc="1D862036">
      <w:start w:val="1"/>
      <w:numFmt w:val="bullet"/>
      <w:lvlText w:val=""/>
      <w:lvlJc w:val="left"/>
      <w:pPr>
        <w:tabs>
          <w:tab w:val="num" w:pos="720"/>
        </w:tabs>
        <w:ind w:left="720" w:hanging="360"/>
      </w:pPr>
      <w:rPr>
        <w:rFonts w:ascii="Symbol" w:hAnsi="Symbol" w:hint="default"/>
        <w:b w:val="0"/>
        <w:i w:val="0"/>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8A86FDF"/>
    <w:multiLevelType w:val="singleLevel"/>
    <w:tmpl w:val="12D26742"/>
    <w:lvl w:ilvl="0">
      <w:start w:val="15"/>
      <w:numFmt w:val="decimal"/>
      <w:lvlText w:val="%1."/>
      <w:legacy w:legacy="1" w:legacySpace="0" w:legacyIndent="360"/>
      <w:lvlJc w:val="left"/>
      <w:pPr>
        <w:ind w:left="360" w:hanging="360"/>
      </w:pPr>
      <w:rPr>
        <w:rFonts w:cs="Times New Roman"/>
      </w:rPr>
    </w:lvl>
  </w:abstractNum>
  <w:abstractNum w:abstractNumId="21">
    <w:nsid w:val="593D502B"/>
    <w:multiLevelType w:val="hybridMultilevel"/>
    <w:tmpl w:val="CC103A9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DD45931"/>
    <w:multiLevelType w:val="singleLevel"/>
    <w:tmpl w:val="C8ECB900"/>
    <w:lvl w:ilvl="0">
      <w:start w:val="1"/>
      <w:numFmt w:val="decimal"/>
      <w:lvlText w:val="%1."/>
      <w:legacy w:legacy="1" w:legacySpace="0" w:legacyIndent="360"/>
      <w:lvlJc w:val="left"/>
      <w:pPr>
        <w:ind w:left="1440" w:hanging="360"/>
      </w:pPr>
      <w:rPr>
        <w:rFonts w:cs="Times New Roman"/>
      </w:rPr>
    </w:lvl>
  </w:abstractNum>
  <w:abstractNum w:abstractNumId="23">
    <w:nsid w:val="637A1BF1"/>
    <w:multiLevelType w:val="hybridMultilevel"/>
    <w:tmpl w:val="2ED2A2B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4043C58"/>
    <w:multiLevelType w:val="singleLevel"/>
    <w:tmpl w:val="964EDDE8"/>
    <w:lvl w:ilvl="0">
      <w:start w:val="13"/>
      <w:numFmt w:val="decimal"/>
      <w:lvlText w:val="%1."/>
      <w:legacy w:legacy="1" w:legacySpace="0" w:legacyIndent="360"/>
      <w:lvlJc w:val="left"/>
      <w:pPr>
        <w:ind w:left="360" w:hanging="360"/>
      </w:pPr>
      <w:rPr>
        <w:rFonts w:cs="Times New Roman"/>
      </w:rPr>
    </w:lvl>
  </w:abstractNum>
  <w:abstractNum w:abstractNumId="25">
    <w:nsid w:val="6645270B"/>
    <w:multiLevelType w:val="hybridMultilevel"/>
    <w:tmpl w:val="1960E5AA"/>
    <w:lvl w:ilvl="0" w:tplc="4B9C34B0">
      <w:start w:val="14"/>
      <w:numFmt w:val="decimal"/>
      <w:lvlText w:val="%1."/>
      <w:lvlJc w:val="left"/>
      <w:pPr>
        <w:tabs>
          <w:tab w:val="num" w:pos="360"/>
        </w:tabs>
        <w:ind w:left="36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914049E"/>
    <w:multiLevelType w:val="hybridMultilevel"/>
    <w:tmpl w:val="95A2F112"/>
    <w:lvl w:ilvl="0" w:tplc="8610B5FC">
      <w:start w:val="13"/>
      <w:numFmt w:val="decimal"/>
      <w:lvlText w:val="%1."/>
      <w:lvlJc w:val="left"/>
      <w:pPr>
        <w:tabs>
          <w:tab w:val="num" w:pos="360"/>
        </w:tabs>
        <w:ind w:left="36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BDE3AB7"/>
    <w:multiLevelType w:val="hybridMultilevel"/>
    <w:tmpl w:val="B3FE9AB2"/>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BEE2EB1"/>
    <w:multiLevelType w:val="singleLevel"/>
    <w:tmpl w:val="060AF118"/>
    <w:lvl w:ilvl="0">
      <w:start w:val="3"/>
      <w:numFmt w:val="decimal"/>
      <w:lvlText w:val="%1. "/>
      <w:legacy w:legacy="1" w:legacySpace="0" w:legacyIndent="360"/>
      <w:lvlJc w:val="left"/>
      <w:pPr>
        <w:ind w:left="360" w:hanging="360"/>
      </w:pPr>
      <w:rPr>
        <w:rFonts w:ascii="Times New Roman" w:hAnsi="Times New Roman" w:cs="Times New Roman" w:hint="default"/>
        <w:b w:val="0"/>
        <w:i w:val="0"/>
        <w:sz w:val="20"/>
        <w:u w:val="none"/>
      </w:rPr>
    </w:lvl>
  </w:abstractNum>
  <w:abstractNum w:abstractNumId="29">
    <w:nsid w:val="7E931246"/>
    <w:multiLevelType w:val="singleLevel"/>
    <w:tmpl w:val="8A787D66"/>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num w:numId="1">
    <w:abstractNumId w:val="6"/>
  </w:num>
  <w:num w:numId="2">
    <w:abstractNumId w:val="2"/>
  </w:num>
  <w:num w:numId="3">
    <w:abstractNumId w:val="29"/>
  </w:num>
  <w:num w:numId="4">
    <w:abstractNumId w:val="5"/>
  </w:num>
  <w:num w:numId="5">
    <w:abstractNumId w:val="3"/>
  </w:num>
  <w:num w:numId="6">
    <w:abstractNumId w:val="3"/>
    <w:lvlOverride w:ilvl="0">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lvlOverride>
  </w:num>
  <w:num w:numId="7">
    <w:abstractNumId w:val="1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0"/>
  </w:num>
  <w:num w:numId="10">
    <w:abstractNumId w:val="12"/>
  </w:num>
  <w:num w:numId="11">
    <w:abstractNumId w:val="7"/>
  </w:num>
  <w:num w:numId="12">
    <w:abstractNumId w:val="15"/>
  </w:num>
  <w:num w:numId="13">
    <w:abstractNumId w:val="22"/>
  </w:num>
  <w:num w:numId="14">
    <w:abstractNumId w:val="28"/>
  </w:num>
  <w:num w:numId="15">
    <w:abstractNumId w:val="28"/>
    <w:lvlOverride w:ilvl="0">
      <w:lvl w:ilvl="0">
        <w:start w:val="1"/>
        <w:numFmt w:val="decimal"/>
        <w:lvlText w:val="%1. "/>
        <w:legacy w:legacy="1" w:legacySpace="0" w:legacyIndent="360"/>
        <w:lvlJc w:val="left"/>
        <w:pPr>
          <w:ind w:left="360" w:hanging="360"/>
        </w:pPr>
        <w:rPr>
          <w:rFonts w:ascii="Times New Roman" w:hAnsi="Times New Roman" w:cs="Times New Roman" w:hint="default"/>
          <w:b w:val="0"/>
          <w:i w:val="0"/>
          <w:sz w:val="20"/>
          <w:u w:val="none"/>
        </w:rPr>
      </w:lvl>
    </w:lvlOverride>
  </w:num>
  <w:num w:numId="16">
    <w:abstractNumId w:val="24"/>
  </w:num>
  <w:num w:numId="17">
    <w:abstractNumId w:val="18"/>
  </w:num>
  <w:num w:numId="18">
    <w:abstractNumId w:val="20"/>
  </w:num>
  <w:num w:numId="19">
    <w:abstractNumId w:val="27"/>
  </w:num>
  <w:num w:numId="20">
    <w:abstractNumId w:val="8"/>
  </w:num>
  <w:num w:numId="21">
    <w:abstractNumId w:val="9"/>
  </w:num>
  <w:num w:numId="22">
    <w:abstractNumId w:val="21"/>
  </w:num>
  <w:num w:numId="23">
    <w:abstractNumId w:val="13"/>
  </w:num>
  <w:num w:numId="24">
    <w:abstractNumId w:val="23"/>
  </w:num>
  <w:num w:numId="25">
    <w:abstractNumId w:val="11"/>
  </w:num>
  <w:num w:numId="26">
    <w:abstractNumId w:val="16"/>
  </w:num>
  <w:num w:numId="27">
    <w:abstractNumId w:val="19"/>
  </w:num>
  <w:num w:numId="28">
    <w:abstractNumId w:val="1"/>
  </w:num>
  <w:num w:numId="29">
    <w:abstractNumId w:val="4"/>
  </w:num>
  <w:num w:numId="30">
    <w:abstractNumId w:val="26"/>
  </w:num>
  <w:num w:numId="31">
    <w:abstractNumId w:val="17"/>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515A04"/>
    <w:rsid w:val="00010E97"/>
    <w:rsid w:val="00012BF9"/>
    <w:rsid w:val="00020124"/>
    <w:rsid w:val="0002097B"/>
    <w:rsid w:val="000467EC"/>
    <w:rsid w:val="00050E8B"/>
    <w:rsid w:val="000513A2"/>
    <w:rsid w:val="000963E3"/>
    <w:rsid w:val="000A7825"/>
    <w:rsid w:val="000F40E3"/>
    <w:rsid w:val="000F7B79"/>
    <w:rsid w:val="00105DEA"/>
    <w:rsid w:val="00141BAC"/>
    <w:rsid w:val="00155C41"/>
    <w:rsid w:val="00157346"/>
    <w:rsid w:val="00171C2B"/>
    <w:rsid w:val="00174F78"/>
    <w:rsid w:val="00191477"/>
    <w:rsid w:val="00193B03"/>
    <w:rsid w:val="00195F20"/>
    <w:rsid w:val="001A3F34"/>
    <w:rsid w:val="001A5F3F"/>
    <w:rsid w:val="001C0050"/>
    <w:rsid w:val="001C2E8E"/>
    <w:rsid w:val="001D7BC4"/>
    <w:rsid w:val="001F0EB9"/>
    <w:rsid w:val="001F5EAE"/>
    <w:rsid w:val="00202188"/>
    <w:rsid w:val="002053F6"/>
    <w:rsid w:val="002560DC"/>
    <w:rsid w:val="002733EE"/>
    <w:rsid w:val="00274CAC"/>
    <w:rsid w:val="002756AE"/>
    <w:rsid w:val="00276424"/>
    <w:rsid w:val="00294779"/>
    <w:rsid w:val="002A3381"/>
    <w:rsid w:val="002B7530"/>
    <w:rsid w:val="002E54E9"/>
    <w:rsid w:val="002E7E81"/>
    <w:rsid w:val="00350BDC"/>
    <w:rsid w:val="00392FCB"/>
    <w:rsid w:val="0039374B"/>
    <w:rsid w:val="003A25CF"/>
    <w:rsid w:val="003B15BA"/>
    <w:rsid w:val="003B195A"/>
    <w:rsid w:val="003B74AD"/>
    <w:rsid w:val="003C3CF9"/>
    <w:rsid w:val="003E7735"/>
    <w:rsid w:val="0042374B"/>
    <w:rsid w:val="00455B09"/>
    <w:rsid w:val="004742E0"/>
    <w:rsid w:val="00485DE5"/>
    <w:rsid w:val="004A1FC2"/>
    <w:rsid w:val="004C381D"/>
    <w:rsid w:val="004E2C50"/>
    <w:rsid w:val="004F17B3"/>
    <w:rsid w:val="004F567E"/>
    <w:rsid w:val="00515A04"/>
    <w:rsid w:val="005235EE"/>
    <w:rsid w:val="005773BA"/>
    <w:rsid w:val="005902D9"/>
    <w:rsid w:val="005B1129"/>
    <w:rsid w:val="005B45F0"/>
    <w:rsid w:val="005F355D"/>
    <w:rsid w:val="0061194C"/>
    <w:rsid w:val="00614EDA"/>
    <w:rsid w:val="006222C7"/>
    <w:rsid w:val="00624A34"/>
    <w:rsid w:val="006520A1"/>
    <w:rsid w:val="00654C8F"/>
    <w:rsid w:val="00663468"/>
    <w:rsid w:val="0066710F"/>
    <w:rsid w:val="006961EF"/>
    <w:rsid w:val="0070152C"/>
    <w:rsid w:val="00704FDF"/>
    <w:rsid w:val="00717921"/>
    <w:rsid w:val="0072011C"/>
    <w:rsid w:val="00733608"/>
    <w:rsid w:val="00756EEB"/>
    <w:rsid w:val="00773A13"/>
    <w:rsid w:val="00781409"/>
    <w:rsid w:val="00785B92"/>
    <w:rsid w:val="00792810"/>
    <w:rsid w:val="007B4702"/>
    <w:rsid w:val="007D3A9E"/>
    <w:rsid w:val="007F4B39"/>
    <w:rsid w:val="00827FB8"/>
    <w:rsid w:val="00834496"/>
    <w:rsid w:val="0084404D"/>
    <w:rsid w:val="00844C58"/>
    <w:rsid w:val="008502B1"/>
    <w:rsid w:val="008709AD"/>
    <w:rsid w:val="00875746"/>
    <w:rsid w:val="008A151D"/>
    <w:rsid w:val="008A331B"/>
    <w:rsid w:val="008A4EE1"/>
    <w:rsid w:val="008A5CB1"/>
    <w:rsid w:val="008D103D"/>
    <w:rsid w:val="008F7669"/>
    <w:rsid w:val="00907BA6"/>
    <w:rsid w:val="009348B6"/>
    <w:rsid w:val="009423C3"/>
    <w:rsid w:val="009552D1"/>
    <w:rsid w:val="009E54FF"/>
    <w:rsid w:val="009F1A05"/>
    <w:rsid w:val="009F3863"/>
    <w:rsid w:val="00A15B3D"/>
    <w:rsid w:val="00A40594"/>
    <w:rsid w:val="00A574ED"/>
    <w:rsid w:val="00AA63C7"/>
    <w:rsid w:val="00AB5135"/>
    <w:rsid w:val="00AE097A"/>
    <w:rsid w:val="00AE596C"/>
    <w:rsid w:val="00B133DF"/>
    <w:rsid w:val="00B25A17"/>
    <w:rsid w:val="00B43AF1"/>
    <w:rsid w:val="00B52760"/>
    <w:rsid w:val="00B83FC8"/>
    <w:rsid w:val="00B96E42"/>
    <w:rsid w:val="00BC3A11"/>
    <w:rsid w:val="00BE63B5"/>
    <w:rsid w:val="00C37575"/>
    <w:rsid w:val="00C45849"/>
    <w:rsid w:val="00C722B4"/>
    <w:rsid w:val="00C7720C"/>
    <w:rsid w:val="00C97D91"/>
    <w:rsid w:val="00CA2A0B"/>
    <w:rsid w:val="00CA51E9"/>
    <w:rsid w:val="00CC0AD2"/>
    <w:rsid w:val="00CC3CF9"/>
    <w:rsid w:val="00CD033F"/>
    <w:rsid w:val="00CD339F"/>
    <w:rsid w:val="00CF49E9"/>
    <w:rsid w:val="00CF5A4E"/>
    <w:rsid w:val="00D03B8E"/>
    <w:rsid w:val="00D15CAF"/>
    <w:rsid w:val="00D34ACD"/>
    <w:rsid w:val="00D54438"/>
    <w:rsid w:val="00DA2386"/>
    <w:rsid w:val="00DF4C0D"/>
    <w:rsid w:val="00E50613"/>
    <w:rsid w:val="00E51D88"/>
    <w:rsid w:val="00E57845"/>
    <w:rsid w:val="00E57BEB"/>
    <w:rsid w:val="00EC5CD0"/>
    <w:rsid w:val="00ED7AB1"/>
    <w:rsid w:val="00F16DB6"/>
    <w:rsid w:val="00F26581"/>
    <w:rsid w:val="00F55168"/>
    <w:rsid w:val="00F75BDD"/>
    <w:rsid w:val="00FB3749"/>
    <w:rsid w:val="00FB4670"/>
    <w:rsid w:val="00FC2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footnote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F20"/>
    <w:pPr>
      <w:overflowPunct w:val="0"/>
      <w:autoSpaceDE w:val="0"/>
      <w:autoSpaceDN w:val="0"/>
      <w:adjustRightInd w:val="0"/>
      <w:textAlignment w:val="baseline"/>
    </w:pPr>
    <w:rPr>
      <w:sz w:val="20"/>
      <w:szCs w:val="20"/>
    </w:rPr>
  </w:style>
  <w:style w:type="paragraph" w:styleId="Heading1">
    <w:name w:val="heading 1"/>
    <w:basedOn w:val="Normal"/>
    <w:next w:val="Normal"/>
    <w:link w:val="Heading1Char"/>
    <w:uiPriority w:val="99"/>
    <w:qFormat/>
    <w:rsid w:val="00195F20"/>
    <w:pPr>
      <w:keepNext/>
      <w:tabs>
        <w:tab w:val="left" w:pos="0"/>
        <w:tab w:val="left" w:pos="1080"/>
        <w:tab w:val="left" w:pos="2160"/>
        <w:tab w:val="left" w:pos="3780"/>
        <w:tab w:val="left" w:pos="6930"/>
      </w:tabs>
      <w:outlineLvl w:val="0"/>
    </w:pPr>
    <w:rPr>
      <w:b/>
      <w:bCs/>
      <w:sz w:val="24"/>
    </w:rPr>
  </w:style>
  <w:style w:type="paragraph" w:styleId="Heading2">
    <w:name w:val="heading 2"/>
    <w:basedOn w:val="Normal"/>
    <w:next w:val="Normal"/>
    <w:link w:val="Heading2Char"/>
    <w:uiPriority w:val="99"/>
    <w:qFormat/>
    <w:rsid w:val="00195F20"/>
    <w:pPr>
      <w:keepNext/>
      <w:numPr>
        <w:numId w:val="9"/>
      </w:numPr>
      <w:outlineLvl w:val="1"/>
    </w:pPr>
    <w:rPr>
      <w:b/>
      <w:bCs/>
      <w:sz w:val="24"/>
    </w:rPr>
  </w:style>
  <w:style w:type="paragraph" w:styleId="Heading3">
    <w:name w:val="heading 3"/>
    <w:basedOn w:val="Normal"/>
    <w:next w:val="Normal"/>
    <w:link w:val="Heading3Char"/>
    <w:uiPriority w:val="99"/>
    <w:qFormat/>
    <w:rsid w:val="00195F20"/>
    <w:pPr>
      <w:keepNext/>
      <w:tabs>
        <w:tab w:val="left" w:pos="360"/>
        <w:tab w:val="left" w:pos="1080"/>
        <w:tab w:val="left" w:pos="2160"/>
        <w:tab w:val="left" w:pos="3780"/>
        <w:tab w:val="left" w:pos="6930"/>
      </w:tabs>
      <w:outlineLvl w:val="2"/>
    </w:pPr>
    <w:rPr>
      <w:sz w:val="28"/>
    </w:rPr>
  </w:style>
  <w:style w:type="paragraph" w:styleId="Heading4">
    <w:name w:val="heading 4"/>
    <w:basedOn w:val="Normal"/>
    <w:next w:val="Normal"/>
    <w:link w:val="Heading4Char"/>
    <w:uiPriority w:val="99"/>
    <w:qFormat/>
    <w:rsid w:val="00195F20"/>
    <w:pPr>
      <w:keepNext/>
      <w:jc w:val="center"/>
      <w:outlineLvl w:val="3"/>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54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D254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D254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D2547"/>
    <w:rPr>
      <w:rFonts w:asciiTheme="minorHAnsi" w:eastAsiaTheme="minorEastAsia" w:hAnsiTheme="minorHAnsi" w:cstheme="minorBidi"/>
      <w:b/>
      <w:bCs/>
      <w:sz w:val="28"/>
      <w:szCs w:val="28"/>
    </w:rPr>
  </w:style>
  <w:style w:type="paragraph" w:styleId="BalloonText">
    <w:name w:val="Balloon Text"/>
    <w:basedOn w:val="Normal"/>
    <w:link w:val="BalloonTextChar"/>
    <w:uiPriority w:val="99"/>
    <w:rsid w:val="00F16DB6"/>
    <w:rPr>
      <w:rFonts w:ascii="Tahoma" w:hAnsi="Tahoma" w:cs="Tahoma"/>
      <w:sz w:val="16"/>
      <w:szCs w:val="16"/>
    </w:rPr>
  </w:style>
  <w:style w:type="character" w:customStyle="1" w:styleId="BalloonTextChar">
    <w:name w:val="Balloon Text Char"/>
    <w:basedOn w:val="DefaultParagraphFont"/>
    <w:link w:val="BalloonText"/>
    <w:uiPriority w:val="99"/>
    <w:locked/>
    <w:rsid w:val="00F16DB6"/>
    <w:rPr>
      <w:rFonts w:ascii="Tahoma" w:hAnsi="Tahoma" w:cs="Tahoma"/>
      <w:sz w:val="16"/>
      <w:szCs w:val="16"/>
    </w:rPr>
  </w:style>
  <w:style w:type="paragraph" w:styleId="Header">
    <w:name w:val="header"/>
    <w:basedOn w:val="Normal"/>
    <w:link w:val="HeaderChar"/>
    <w:uiPriority w:val="99"/>
    <w:rsid w:val="00195F20"/>
    <w:pPr>
      <w:tabs>
        <w:tab w:val="center" w:pos="4320"/>
        <w:tab w:val="right" w:pos="8640"/>
      </w:tabs>
    </w:pPr>
  </w:style>
  <w:style w:type="character" w:customStyle="1" w:styleId="HeaderChar">
    <w:name w:val="Header Char"/>
    <w:basedOn w:val="DefaultParagraphFont"/>
    <w:link w:val="Header"/>
    <w:uiPriority w:val="99"/>
    <w:semiHidden/>
    <w:rsid w:val="00ED2547"/>
    <w:rPr>
      <w:sz w:val="20"/>
      <w:szCs w:val="20"/>
    </w:rPr>
  </w:style>
  <w:style w:type="paragraph" w:styleId="Footer">
    <w:name w:val="footer"/>
    <w:basedOn w:val="Normal"/>
    <w:link w:val="FooterChar"/>
    <w:uiPriority w:val="99"/>
    <w:rsid w:val="00195F20"/>
    <w:pPr>
      <w:tabs>
        <w:tab w:val="center" w:pos="4320"/>
        <w:tab w:val="right" w:pos="8640"/>
      </w:tabs>
    </w:pPr>
  </w:style>
  <w:style w:type="character" w:customStyle="1" w:styleId="FooterChar">
    <w:name w:val="Footer Char"/>
    <w:basedOn w:val="DefaultParagraphFont"/>
    <w:link w:val="Footer"/>
    <w:uiPriority w:val="99"/>
    <w:semiHidden/>
    <w:rsid w:val="00ED2547"/>
    <w:rPr>
      <w:sz w:val="20"/>
      <w:szCs w:val="20"/>
    </w:rPr>
  </w:style>
  <w:style w:type="character" w:styleId="PageNumber">
    <w:name w:val="page number"/>
    <w:basedOn w:val="DefaultParagraphFont"/>
    <w:uiPriority w:val="99"/>
    <w:rsid w:val="00195F20"/>
    <w:rPr>
      <w:rFonts w:cs="Times New Roman"/>
    </w:rPr>
  </w:style>
  <w:style w:type="paragraph" w:styleId="BodyTextIndent">
    <w:name w:val="Body Text Indent"/>
    <w:basedOn w:val="Normal"/>
    <w:link w:val="BodyTextIndentChar"/>
    <w:uiPriority w:val="99"/>
    <w:rsid w:val="00195F20"/>
    <w:pPr>
      <w:tabs>
        <w:tab w:val="left" w:pos="1080"/>
        <w:tab w:val="left" w:pos="2160"/>
        <w:tab w:val="left" w:pos="2700"/>
        <w:tab w:val="left" w:pos="6480"/>
      </w:tabs>
      <w:ind w:left="1080" w:hanging="1080"/>
    </w:pPr>
    <w:rPr>
      <w:sz w:val="24"/>
    </w:rPr>
  </w:style>
  <w:style w:type="character" w:customStyle="1" w:styleId="BodyTextIndentChar">
    <w:name w:val="Body Text Indent Char"/>
    <w:basedOn w:val="DefaultParagraphFont"/>
    <w:link w:val="BodyTextIndent"/>
    <w:uiPriority w:val="99"/>
    <w:semiHidden/>
    <w:rsid w:val="00ED2547"/>
    <w:rPr>
      <w:sz w:val="20"/>
      <w:szCs w:val="20"/>
    </w:rPr>
  </w:style>
  <w:style w:type="paragraph" w:styleId="BodyText">
    <w:name w:val="Body Text"/>
    <w:basedOn w:val="Normal"/>
    <w:link w:val="BodyTextChar"/>
    <w:uiPriority w:val="99"/>
    <w:rsid w:val="00195F20"/>
    <w:rPr>
      <w:sz w:val="24"/>
    </w:rPr>
  </w:style>
  <w:style w:type="character" w:customStyle="1" w:styleId="BodyTextChar">
    <w:name w:val="Body Text Char"/>
    <w:basedOn w:val="DefaultParagraphFont"/>
    <w:link w:val="BodyText"/>
    <w:uiPriority w:val="99"/>
    <w:semiHidden/>
    <w:rsid w:val="00ED2547"/>
    <w:rPr>
      <w:sz w:val="20"/>
      <w:szCs w:val="20"/>
    </w:rPr>
  </w:style>
  <w:style w:type="paragraph" w:styleId="BodyTextIndent2">
    <w:name w:val="Body Text Indent 2"/>
    <w:basedOn w:val="Normal"/>
    <w:link w:val="BodyTextIndent2Char"/>
    <w:uiPriority w:val="99"/>
    <w:rsid w:val="00195F20"/>
    <w:pPr>
      <w:tabs>
        <w:tab w:val="left" w:pos="360"/>
        <w:tab w:val="left" w:pos="450"/>
        <w:tab w:val="left" w:pos="2160"/>
        <w:tab w:val="left" w:pos="2700"/>
        <w:tab w:val="left" w:pos="6480"/>
      </w:tabs>
      <w:ind w:left="360" w:hanging="360"/>
    </w:pPr>
    <w:rPr>
      <w:sz w:val="24"/>
    </w:rPr>
  </w:style>
  <w:style w:type="character" w:customStyle="1" w:styleId="BodyTextIndent2Char">
    <w:name w:val="Body Text Indent 2 Char"/>
    <w:basedOn w:val="DefaultParagraphFont"/>
    <w:link w:val="BodyTextIndent2"/>
    <w:uiPriority w:val="99"/>
    <w:semiHidden/>
    <w:rsid w:val="00ED2547"/>
    <w:rPr>
      <w:sz w:val="20"/>
      <w:szCs w:val="20"/>
    </w:rPr>
  </w:style>
  <w:style w:type="paragraph" w:styleId="BodyTextIndent3">
    <w:name w:val="Body Text Indent 3"/>
    <w:basedOn w:val="Normal"/>
    <w:link w:val="BodyTextIndent3Char"/>
    <w:uiPriority w:val="99"/>
    <w:rsid w:val="00195F20"/>
    <w:pPr>
      <w:tabs>
        <w:tab w:val="left" w:pos="450"/>
        <w:tab w:val="left" w:pos="2160"/>
        <w:tab w:val="left" w:pos="2700"/>
        <w:tab w:val="left" w:pos="6480"/>
      </w:tabs>
      <w:ind w:left="450" w:hanging="450"/>
    </w:pPr>
    <w:rPr>
      <w:sz w:val="24"/>
    </w:rPr>
  </w:style>
  <w:style w:type="character" w:customStyle="1" w:styleId="BodyTextIndent3Char">
    <w:name w:val="Body Text Indent 3 Char"/>
    <w:basedOn w:val="DefaultParagraphFont"/>
    <w:link w:val="BodyTextIndent3"/>
    <w:uiPriority w:val="99"/>
    <w:semiHidden/>
    <w:rsid w:val="00ED2547"/>
    <w:rPr>
      <w:sz w:val="16"/>
      <w:szCs w:val="16"/>
    </w:rPr>
  </w:style>
  <w:style w:type="paragraph" w:styleId="HTMLPreformatted">
    <w:name w:val="HTML Preformatted"/>
    <w:basedOn w:val="Normal"/>
    <w:link w:val="HTMLPreformattedChar"/>
    <w:uiPriority w:val="99"/>
    <w:rsid w:val="0019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D2547"/>
    <w:rPr>
      <w:rFonts w:ascii="Courier New" w:hAnsi="Courier New" w:cs="Courier New"/>
      <w:sz w:val="20"/>
      <w:szCs w:val="20"/>
    </w:rPr>
  </w:style>
  <w:style w:type="paragraph" w:styleId="BlockText">
    <w:name w:val="Block Text"/>
    <w:basedOn w:val="Normal"/>
    <w:uiPriority w:val="99"/>
    <w:rsid w:val="00195F20"/>
    <w:pPr>
      <w:tabs>
        <w:tab w:val="left" w:pos="240"/>
      </w:tabs>
      <w:spacing w:after="60"/>
      <w:ind w:left="120" w:right="-120"/>
    </w:pPr>
    <w:rPr>
      <w:sz w:val="22"/>
    </w:rPr>
  </w:style>
  <w:style w:type="character" w:styleId="FootnoteReference">
    <w:name w:val="footnote reference"/>
    <w:basedOn w:val="DefaultParagraphFont"/>
    <w:uiPriority w:val="99"/>
    <w:rsid w:val="009423C3"/>
    <w:rPr>
      <w:rFonts w:cs="Times New Roman"/>
      <w:vertAlign w:val="superscript"/>
    </w:rPr>
  </w:style>
  <w:style w:type="paragraph" w:customStyle="1" w:styleId="Default">
    <w:name w:val="Default"/>
    <w:rsid w:val="009423C3"/>
    <w:pPr>
      <w:widowControl w:val="0"/>
      <w:autoSpaceDE w:val="0"/>
      <w:autoSpaceDN w:val="0"/>
      <w:adjustRightInd w:val="0"/>
    </w:pPr>
    <w:rPr>
      <w:color w:val="000000"/>
      <w:sz w:val="24"/>
      <w:szCs w:val="24"/>
    </w:rPr>
  </w:style>
  <w:style w:type="paragraph" w:customStyle="1" w:styleId="CM13">
    <w:name w:val="CM13"/>
    <w:basedOn w:val="Default"/>
    <w:next w:val="Default"/>
    <w:uiPriority w:val="99"/>
    <w:rsid w:val="009423C3"/>
    <w:rPr>
      <w:color w:val="auto"/>
    </w:rPr>
  </w:style>
  <w:style w:type="paragraph" w:styleId="ListParagraph">
    <w:name w:val="List Paragraph"/>
    <w:basedOn w:val="Normal"/>
    <w:uiPriority w:val="99"/>
    <w:qFormat/>
    <w:rsid w:val="009423C3"/>
    <w:pPr>
      <w:ind w:left="720"/>
      <w:contextualSpacing/>
    </w:pPr>
  </w:style>
  <w:style w:type="paragraph" w:customStyle="1" w:styleId="CM12">
    <w:name w:val="CM12"/>
    <w:basedOn w:val="Default"/>
    <w:next w:val="Default"/>
    <w:uiPriority w:val="99"/>
    <w:rsid w:val="000A7825"/>
    <w:rPr>
      <w:color w:val="auto"/>
    </w:rPr>
  </w:style>
  <w:style w:type="character" w:styleId="CommentReference">
    <w:name w:val="annotation reference"/>
    <w:basedOn w:val="DefaultParagraphFont"/>
    <w:uiPriority w:val="99"/>
    <w:rsid w:val="00F16DB6"/>
    <w:rPr>
      <w:rFonts w:cs="Times New Roman"/>
      <w:sz w:val="16"/>
      <w:szCs w:val="16"/>
    </w:rPr>
  </w:style>
  <w:style w:type="paragraph" w:styleId="CommentText">
    <w:name w:val="annotation text"/>
    <w:basedOn w:val="Normal"/>
    <w:link w:val="CommentTextChar"/>
    <w:uiPriority w:val="99"/>
    <w:rsid w:val="00F16DB6"/>
  </w:style>
  <w:style w:type="character" w:customStyle="1" w:styleId="CommentTextChar">
    <w:name w:val="Comment Text Char"/>
    <w:basedOn w:val="DefaultParagraphFont"/>
    <w:link w:val="CommentText"/>
    <w:uiPriority w:val="99"/>
    <w:locked/>
    <w:rsid w:val="00F16DB6"/>
    <w:rPr>
      <w:rFonts w:cs="Times New Roman"/>
    </w:rPr>
  </w:style>
  <w:style w:type="paragraph" w:styleId="CommentSubject">
    <w:name w:val="annotation subject"/>
    <w:basedOn w:val="CommentText"/>
    <w:next w:val="CommentText"/>
    <w:link w:val="CommentSubjectChar"/>
    <w:uiPriority w:val="99"/>
    <w:rsid w:val="00F16DB6"/>
    <w:rPr>
      <w:b/>
      <w:bCs/>
    </w:rPr>
  </w:style>
  <w:style w:type="character" w:customStyle="1" w:styleId="CommentSubjectChar">
    <w:name w:val="Comment Subject Char"/>
    <w:basedOn w:val="CommentTextChar"/>
    <w:link w:val="CommentSubject"/>
    <w:uiPriority w:val="99"/>
    <w:locked/>
    <w:rsid w:val="00F16DB6"/>
    <w:rPr>
      <w:rFonts w:cs="Times New Roman"/>
      <w:b/>
      <w:bCs/>
    </w:rPr>
  </w:style>
  <w:style w:type="paragraph" w:styleId="FootnoteText">
    <w:name w:val="footnote text"/>
    <w:aliases w:val="Footnote Text Char1,Footnote Text Char Char"/>
    <w:basedOn w:val="Normal"/>
    <w:link w:val="FootnoteTextChar"/>
    <w:uiPriority w:val="99"/>
    <w:rsid w:val="00B133DF"/>
  </w:style>
  <w:style w:type="character" w:customStyle="1" w:styleId="FootnoteTextChar">
    <w:name w:val="Footnote Text Char"/>
    <w:aliases w:val="Footnote Text Char1 Char,Footnote Text Char Char Char"/>
    <w:basedOn w:val="DefaultParagraphFont"/>
    <w:link w:val="FootnoteText"/>
    <w:uiPriority w:val="99"/>
    <w:locked/>
    <w:rsid w:val="00B133D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footnote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F20"/>
    <w:pPr>
      <w:overflowPunct w:val="0"/>
      <w:autoSpaceDE w:val="0"/>
      <w:autoSpaceDN w:val="0"/>
      <w:adjustRightInd w:val="0"/>
      <w:textAlignment w:val="baseline"/>
    </w:pPr>
    <w:rPr>
      <w:sz w:val="20"/>
      <w:szCs w:val="20"/>
    </w:rPr>
  </w:style>
  <w:style w:type="paragraph" w:styleId="Heading1">
    <w:name w:val="heading 1"/>
    <w:basedOn w:val="Normal"/>
    <w:next w:val="Normal"/>
    <w:link w:val="Heading1Char"/>
    <w:uiPriority w:val="99"/>
    <w:qFormat/>
    <w:rsid w:val="00195F20"/>
    <w:pPr>
      <w:keepNext/>
      <w:tabs>
        <w:tab w:val="left" w:pos="0"/>
        <w:tab w:val="left" w:pos="1080"/>
        <w:tab w:val="left" w:pos="2160"/>
        <w:tab w:val="left" w:pos="3780"/>
        <w:tab w:val="left" w:pos="6930"/>
      </w:tabs>
      <w:outlineLvl w:val="0"/>
    </w:pPr>
    <w:rPr>
      <w:b/>
      <w:bCs/>
      <w:sz w:val="24"/>
    </w:rPr>
  </w:style>
  <w:style w:type="paragraph" w:styleId="Heading2">
    <w:name w:val="heading 2"/>
    <w:basedOn w:val="Normal"/>
    <w:next w:val="Normal"/>
    <w:link w:val="Heading2Char"/>
    <w:uiPriority w:val="99"/>
    <w:qFormat/>
    <w:rsid w:val="00195F20"/>
    <w:pPr>
      <w:keepNext/>
      <w:numPr>
        <w:numId w:val="9"/>
      </w:numPr>
      <w:outlineLvl w:val="1"/>
    </w:pPr>
    <w:rPr>
      <w:b/>
      <w:bCs/>
      <w:sz w:val="24"/>
    </w:rPr>
  </w:style>
  <w:style w:type="paragraph" w:styleId="Heading3">
    <w:name w:val="heading 3"/>
    <w:basedOn w:val="Normal"/>
    <w:next w:val="Normal"/>
    <w:link w:val="Heading3Char"/>
    <w:uiPriority w:val="99"/>
    <w:qFormat/>
    <w:rsid w:val="00195F20"/>
    <w:pPr>
      <w:keepNext/>
      <w:tabs>
        <w:tab w:val="left" w:pos="360"/>
        <w:tab w:val="left" w:pos="1080"/>
        <w:tab w:val="left" w:pos="2160"/>
        <w:tab w:val="left" w:pos="3780"/>
        <w:tab w:val="left" w:pos="6930"/>
      </w:tabs>
      <w:outlineLvl w:val="2"/>
    </w:pPr>
    <w:rPr>
      <w:sz w:val="28"/>
    </w:rPr>
  </w:style>
  <w:style w:type="paragraph" w:styleId="Heading4">
    <w:name w:val="heading 4"/>
    <w:basedOn w:val="Normal"/>
    <w:next w:val="Normal"/>
    <w:link w:val="Heading4Char"/>
    <w:uiPriority w:val="99"/>
    <w:qFormat/>
    <w:rsid w:val="00195F20"/>
    <w:pPr>
      <w:keepNext/>
      <w:jc w:val="center"/>
      <w:outlineLvl w:val="3"/>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54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D254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D254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D2547"/>
    <w:rPr>
      <w:rFonts w:asciiTheme="minorHAnsi" w:eastAsiaTheme="minorEastAsia" w:hAnsiTheme="minorHAnsi" w:cstheme="minorBidi"/>
      <w:b/>
      <w:bCs/>
      <w:sz w:val="28"/>
      <w:szCs w:val="28"/>
    </w:rPr>
  </w:style>
  <w:style w:type="paragraph" w:styleId="BalloonText">
    <w:name w:val="Balloon Text"/>
    <w:basedOn w:val="Normal"/>
    <w:link w:val="BalloonTextChar"/>
    <w:uiPriority w:val="99"/>
    <w:rsid w:val="00F16DB6"/>
    <w:rPr>
      <w:rFonts w:ascii="Tahoma" w:hAnsi="Tahoma" w:cs="Tahoma"/>
      <w:sz w:val="16"/>
      <w:szCs w:val="16"/>
    </w:rPr>
  </w:style>
  <w:style w:type="character" w:customStyle="1" w:styleId="BalloonTextChar">
    <w:name w:val="Balloon Text Char"/>
    <w:basedOn w:val="DefaultParagraphFont"/>
    <w:link w:val="BalloonText"/>
    <w:uiPriority w:val="99"/>
    <w:locked/>
    <w:rsid w:val="00F16DB6"/>
    <w:rPr>
      <w:rFonts w:ascii="Tahoma" w:hAnsi="Tahoma" w:cs="Tahoma"/>
      <w:sz w:val="16"/>
      <w:szCs w:val="16"/>
    </w:rPr>
  </w:style>
  <w:style w:type="paragraph" w:styleId="Header">
    <w:name w:val="header"/>
    <w:basedOn w:val="Normal"/>
    <w:link w:val="HeaderChar"/>
    <w:uiPriority w:val="99"/>
    <w:rsid w:val="00195F20"/>
    <w:pPr>
      <w:tabs>
        <w:tab w:val="center" w:pos="4320"/>
        <w:tab w:val="right" w:pos="8640"/>
      </w:tabs>
    </w:pPr>
  </w:style>
  <w:style w:type="character" w:customStyle="1" w:styleId="HeaderChar">
    <w:name w:val="Header Char"/>
    <w:basedOn w:val="DefaultParagraphFont"/>
    <w:link w:val="Header"/>
    <w:uiPriority w:val="99"/>
    <w:semiHidden/>
    <w:rsid w:val="00ED2547"/>
    <w:rPr>
      <w:sz w:val="20"/>
      <w:szCs w:val="20"/>
    </w:rPr>
  </w:style>
  <w:style w:type="paragraph" w:styleId="Footer">
    <w:name w:val="footer"/>
    <w:basedOn w:val="Normal"/>
    <w:link w:val="FooterChar"/>
    <w:uiPriority w:val="99"/>
    <w:rsid w:val="00195F20"/>
    <w:pPr>
      <w:tabs>
        <w:tab w:val="center" w:pos="4320"/>
        <w:tab w:val="right" w:pos="8640"/>
      </w:tabs>
    </w:pPr>
  </w:style>
  <w:style w:type="character" w:customStyle="1" w:styleId="FooterChar">
    <w:name w:val="Footer Char"/>
    <w:basedOn w:val="DefaultParagraphFont"/>
    <w:link w:val="Footer"/>
    <w:uiPriority w:val="99"/>
    <w:semiHidden/>
    <w:rsid w:val="00ED2547"/>
    <w:rPr>
      <w:sz w:val="20"/>
      <w:szCs w:val="20"/>
    </w:rPr>
  </w:style>
  <w:style w:type="character" w:styleId="PageNumber">
    <w:name w:val="page number"/>
    <w:basedOn w:val="DefaultParagraphFont"/>
    <w:uiPriority w:val="99"/>
    <w:rsid w:val="00195F20"/>
    <w:rPr>
      <w:rFonts w:cs="Times New Roman"/>
    </w:rPr>
  </w:style>
  <w:style w:type="paragraph" w:styleId="BodyTextIndent">
    <w:name w:val="Body Text Indent"/>
    <w:basedOn w:val="Normal"/>
    <w:link w:val="BodyTextIndentChar"/>
    <w:uiPriority w:val="99"/>
    <w:rsid w:val="00195F20"/>
    <w:pPr>
      <w:tabs>
        <w:tab w:val="left" w:pos="1080"/>
        <w:tab w:val="left" w:pos="2160"/>
        <w:tab w:val="left" w:pos="2700"/>
        <w:tab w:val="left" w:pos="6480"/>
      </w:tabs>
      <w:ind w:left="1080" w:hanging="1080"/>
    </w:pPr>
    <w:rPr>
      <w:sz w:val="24"/>
    </w:rPr>
  </w:style>
  <w:style w:type="character" w:customStyle="1" w:styleId="BodyTextIndentChar">
    <w:name w:val="Body Text Indent Char"/>
    <w:basedOn w:val="DefaultParagraphFont"/>
    <w:link w:val="BodyTextIndent"/>
    <w:uiPriority w:val="99"/>
    <w:semiHidden/>
    <w:rsid w:val="00ED2547"/>
    <w:rPr>
      <w:sz w:val="20"/>
      <w:szCs w:val="20"/>
    </w:rPr>
  </w:style>
  <w:style w:type="paragraph" w:styleId="BodyText">
    <w:name w:val="Body Text"/>
    <w:basedOn w:val="Normal"/>
    <w:link w:val="BodyTextChar"/>
    <w:uiPriority w:val="99"/>
    <w:rsid w:val="00195F20"/>
    <w:rPr>
      <w:sz w:val="24"/>
    </w:rPr>
  </w:style>
  <w:style w:type="character" w:customStyle="1" w:styleId="BodyTextChar">
    <w:name w:val="Body Text Char"/>
    <w:basedOn w:val="DefaultParagraphFont"/>
    <w:link w:val="BodyText"/>
    <w:uiPriority w:val="99"/>
    <w:semiHidden/>
    <w:rsid w:val="00ED2547"/>
    <w:rPr>
      <w:sz w:val="20"/>
      <w:szCs w:val="20"/>
    </w:rPr>
  </w:style>
  <w:style w:type="paragraph" w:styleId="BodyTextIndent2">
    <w:name w:val="Body Text Indent 2"/>
    <w:basedOn w:val="Normal"/>
    <w:link w:val="BodyTextIndent2Char"/>
    <w:uiPriority w:val="99"/>
    <w:rsid w:val="00195F20"/>
    <w:pPr>
      <w:tabs>
        <w:tab w:val="left" w:pos="360"/>
        <w:tab w:val="left" w:pos="450"/>
        <w:tab w:val="left" w:pos="2160"/>
        <w:tab w:val="left" w:pos="2700"/>
        <w:tab w:val="left" w:pos="6480"/>
      </w:tabs>
      <w:ind w:left="360" w:hanging="360"/>
    </w:pPr>
    <w:rPr>
      <w:sz w:val="24"/>
    </w:rPr>
  </w:style>
  <w:style w:type="character" w:customStyle="1" w:styleId="BodyTextIndent2Char">
    <w:name w:val="Body Text Indent 2 Char"/>
    <w:basedOn w:val="DefaultParagraphFont"/>
    <w:link w:val="BodyTextIndent2"/>
    <w:uiPriority w:val="99"/>
    <w:semiHidden/>
    <w:rsid w:val="00ED2547"/>
    <w:rPr>
      <w:sz w:val="20"/>
      <w:szCs w:val="20"/>
    </w:rPr>
  </w:style>
  <w:style w:type="paragraph" w:styleId="BodyTextIndent3">
    <w:name w:val="Body Text Indent 3"/>
    <w:basedOn w:val="Normal"/>
    <w:link w:val="BodyTextIndent3Char"/>
    <w:uiPriority w:val="99"/>
    <w:rsid w:val="00195F20"/>
    <w:pPr>
      <w:tabs>
        <w:tab w:val="left" w:pos="450"/>
        <w:tab w:val="left" w:pos="2160"/>
        <w:tab w:val="left" w:pos="2700"/>
        <w:tab w:val="left" w:pos="6480"/>
      </w:tabs>
      <w:ind w:left="450" w:hanging="450"/>
    </w:pPr>
    <w:rPr>
      <w:sz w:val="24"/>
    </w:rPr>
  </w:style>
  <w:style w:type="character" w:customStyle="1" w:styleId="BodyTextIndent3Char">
    <w:name w:val="Body Text Indent 3 Char"/>
    <w:basedOn w:val="DefaultParagraphFont"/>
    <w:link w:val="BodyTextIndent3"/>
    <w:uiPriority w:val="99"/>
    <w:semiHidden/>
    <w:rsid w:val="00ED2547"/>
    <w:rPr>
      <w:sz w:val="16"/>
      <w:szCs w:val="16"/>
    </w:rPr>
  </w:style>
  <w:style w:type="paragraph" w:styleId="HTMLPreformatted">
    <w:name w:val="HTML Preformatted"/>
    <w:basedOn w:val="Normal"/>
    <w:link w:val="HTMLPreformattedChar"/>
    <w:uiPriority w:val="99"/>
    <w:rsid w:val="0019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D2547"/>
    <w:rPr>
      <w:rFonts w:ascii="Courier New" w:hAnsi="Courier New" w:cs="Courier New"/>
      <w:sz w:val="20"/>
      <w:szCs w:val="20"/>
    </w:rPr>
  </w:style>
  <w:style w:type="paragraph" w:styleId="BlockText">
    <w:name w:val="Block Text"/>
    <w:basedOn w:val="Normal"/>
    <w:uiPriority w:val="99"/>
    <w:rsid w:val="00195F20"/>
    <w:pPr>
      <w:tabs>
        <w:tab w:val="left" w:pos="240"/>
      </w:tabs>
      <w:spacing w:after="60"/>
      <w:ind w:left="120" w:right="-120"/>
    </w:pPr>
    <w:rPr>
      <w:sz w:val="22"/>
    </w:rPr>
  </w:style>
  <w:style w:type="character" w:styleId="FootnoteReference">
    <w:name w:val="footnote reference"/>
    <w:basedOn w:val="DefaultParagraphFont"/>
    <w:uiPriority w:val="99"/>
    <w:rsid w:val="009423C3"/>
    <w:rPr>
      <w:rFonts w:cs="Times New Roman"/>
      <w:vertAlign w:val="superscript"/>
    </w:rPr>
  </w:style>
  <w:style w:type="paragraph" w:customStyle="1" w:styleId="Default">
    <w:name w:val="Default"/>
    <w:rsid w:val="009423C3"/>
    <w:pPr>
      <w:widowControl w:val="0"/>
      <w:autoSpaceDE w:val="0"/>
      <w:autoSpaceDN w:val="0"/>
      <w:adjustRightInd w:val="0"/>
    </w:pPr>
    <w:rPr>
      <w:color w:val="000000"/>
      <w:sz w:val="24"/>
      <w:szCs w:val="24"/>
    </w:rPr>
  </w:style>
  <w:style w:type="paragraph" w:customStyle="1" w:styleId="CM13">
    <w:name w:val="CM13"/>
    <w:basedOn w:val="Default"/>
    <w:next w:val="Default"/>
    <w:uiPriority w:val="99"/>
    <w:rsid w:val="009423C3"/>
    <w:rPr>
      <w:color w:val="auto"/>
    </w:rPr>
  </w:style>
  <w:style w:type="paragraph" w:styleId="ListParagraph">
    <w:name w:val="List Paragraph"/>
    <w:basedOn w:val="Normal"/>
    <w:uiPriority w:val="99"/>
    <w:qFormat/>
    <w:rsid w:val="009423C3"/>
    <w:pPr>
      <w:ind w:left="720"/>
      <w:contextualSpacing/>
    </w:pPr>
  </w:style>
  <w:style w:type="paragraph" w:customStyle="1" w:styleId="CM12">
    <w:name w:val="CM12"/>
    <w:basedOn w:val="Default"/>
    <w:next w:val="Default"/>
    <w:uiPriority w:val="99"/>
    <w:rsid w:val="000A7825"/>
    <w:rPr>
      <w:color w:val="auto"/>
    </w:rPr>
  </w:style>
  <w:style w:type="character" w:styleId="CommentReference">
    <w:name w:val="annotation reference"/>
    <w:basedOn w:val="DefaultParagraphFont"/>
    <w:uiPriority w:val="99"/>
    <w:rsid w:val="00F16DB6"/>
    <w:rPr>
      <w:rFonts w:cs="Times New Roman"/>
      <w:sz w:val="16"/>
      <w:szCs w:val="16"/>
    </w:rPr>
  </w:style>
  <w:style w:type="paragraph" w:styleId="CommentText">
    <w:name w:val="annotation text"/>
    <w:basedOn w:val="Normal"/>
    <w:link w:val="CommentTextChar"/>
    <w:uiPriority w:val="99"/>
    <w:rsid w:val="00F16DB6"/>
  </w:style>
  <w:style w:type="character" w:customStyle="1" w:styleId="CommentTextChar">
    <w:name w:val="Comment Text Char"/>
    <w:basedOn w:val="DefaultParagraphFont"/>
    <w:link w:val="CommentText"/>
    <w:uiPriority w:val="99"/>
    <w:locked/>
    <w:rsid w:val="00F16DB6"/>
    <w:rPr>
      <w:rFonts w:cs="Times New Roman"/>
    </w:rPr>
  </w:style>
  <w:style w:type="paragraph" w:styleId="CommentSubject">
    <w:name w:val="annotation subject"/>
    <w:basedOn w:val="CommentText"/>
    <w:next w:val="CommentText"/>
    <w:link w:val="CommentSubjectChar"/>
    <w:uiPriority w:val="99"/>
    <w:rsid w:val="00F16DB6"/>
    <w:rPr>
      <w:b/>
      <w:bCs/>
    </w:rPr>
  </w:style>
  <w:style w:type="character" w:customStyle="1" w:styleId="CommentSubjectChar">
    <w:name w:val="Comment Subject Char"/>
    <w:basedOn w:val="CommentTextChar"/>
    <w:link w:val="CommentSubject"/>
    <w:uiPriority w:val="99"/>
    <w:locked/>
    <w:rsid w:val="00F16DB6"/>
    <w:rPr>
      <w:rFonts w:cs="Times New Roman"/>
      <w:b/>
      <w:bCs/>
    </w:rPr>
  </w:style>
  <w:style w:type="paragraph" w:styleId="FootnoteText">
    <w:name w:val="footnote text"/>
    <w:aliases w:val="Footnote Text Char1,Footnote Text Char Char"/>
    <w:basedOn w:val="Normal"/>
    <w:link w:val="FootnoteTextChar"/>
    <w:uiPriority w:val="99"/>
    <w:rsid w:val="00B133DF"/>
  </w:style>
  <w:style w:type="character" w:customStyle="1" w:styleId="FootnoteTextChar">
    <w:name w:val="Footnote Text Char"/>
    <w:aliases w:val="Footnote Text Char1 Char,Footnote Text Char Char Char"/>
    <w:basedOn w:val="DefaultParagraphFont"/>
    <w:link w:val="FootnoteText"/>
    <w:uiPriority w:val="99"/>
    <w:locked/>
    <w:rsid w:val="00B133D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BBA17-85D5-42FC-8485-551C3596C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1579</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2011-10-21T21:02:00Z</dcterms:created>
  <dcterms:modified xsi:type="dcterms:W3CDTF">2012-04-30T17:50:00Z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20636f97-6b17-47bc-8ab4-e9991a88eb2d</vt:lpwstr>
  </property>
</Properties>
</file>