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Default="00490720">
      <w:pPr>
        <w:widowControl/>
        <w:autoSpaceDE/>
        <w:autoSpaceDN/>
        <w:adjustRightInd/>
        <w:rPr>
          <w:b/>
          <w:bCs/>
          <w:sz w:val="32"/>
          <w:szCs w:val="32"/>
        </w:rPr>
      </w:pPr>
    </w:p>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BF5EB7" w:rsidRPr="00A3298C" w:rsidRDefault="00BF5EB7" w:rsidP="00BF5EB7">
      <w:pPr>
        <w:tabs>
          <w:tab w:val="center" w:pos="4680"/>
        </w:tabs>
        <w:jc w:val="center"/>
        <w:rPr>
          <w:b/>
          <w:sz w:val="32"/>
          <w:szCs w:val="32"/>
        </w:rPr>
      </w:pPr>
      <w:r w:rsidRPr="00A3298C">
        <w:rPr>
          <w:b/>
          <w:sz w:val="32"/>
          <w:szCs w:val="32"/>
        </w:rPr>
        <w:t>National Survey of Children's Health:  Research to Support the Development of Mail and Internet Questionnaires with Measurement Equivalence (NSCH Redesign Project)</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w:t>
      </w:r>
      <w:r w:rsidRPr="00BF5EB7">
        <w:rPr>
          <w:b/>
          <w:bCs/>
          <w:sz w:val="32"/>
          <w:szCs w:val="32"/>
        </w:rPr>
        <w:t>. 09</w:t>
      </w:r>
      <w:r w:rsidR="00E34A1F" w:rsidRPr="00BF5EB7">
        <w:rPr>
          <w:b/>
          <w:bCs/>
          <w:sz w:val="32"/>
          <w:szCs w:val="32"/>
        </w:rPr>
        <w:t>15</w:t>
      </w:r>
      <w:r w:rsidRPr="00BF5EB7">
        <w:rPr>
          <w:b/>
          <w:bCs/>
          <w:sz w:val="32"/>
          <w:szCs w:val="32"/>
        </w:rPr>
        <w:t>-</w:t>
      </w:r>
      <w:r w:rsidR="00AD141C">
        <w:rPr>
          <w:b/>
          <w:bCs/>
          <w:sz w:val="32"/>
          <w:szCs w:val="32"/>
        </w:rPr>
        <w:t>0379</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CE5AA9">
        <w:rPr>
          <w:b/>
          <w:sz w:val="24"/>
        </w:rPr>
        <w:t>None</w:t>
      </w:r>
      <w:r w:rsidR="00BA1A0C" w:rsidRPr="00CE5AA9">
        <w:rPr>
          <w:b/>
          <w:sz w:val="24"/>
        </w:rPr>
        <w:t xml:space="preserve"> </w:t>
      </w: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rsidR="00286CD0" w:rsidRDefault="00286CD0" w:rsidP="00CA3DA6">
      <w:pPr>
        <w:spacing w:before="120"/>
        <w:rPr>
          <w:bCs/>
          <w:sz w:val="24"/>
        </w:rPr>
      </w:pPr>
    </w:p>
    <w:p w:rsidR="00045B26" w:rsidRPr="004D492E" w:rsidRDefault="00286CD0" w:rsidP="004D492E">
      <w:pPr>
        <w:spacing w:before="120"/>
        <w:rPr>
          <w:sz w:val="24"/>
        </w:rPr>
      </w:pPr>
      <w:r w:rsidRPr="004D492E">
        <w:rPr>
          <w:sz w:val="24"/>
        </w:rPr>
        <w:t>The Maternal and Child Health Bureau (MCHB) of the Health Resources and Services Administration (HRSA) of the United States Department of Health and Human Services (DHHS), is redesign</w:t>
      </w:r>
      <w:r w:rsidR="00045B26" w:rsidRPr="004D492E">
        <w:rPr>
          <w:sz w:val="24"/>
        </w:rPr>
        <w:t>ing</w:t>
      </w:r>
      <w:r w:rsidRPr="004D492E">
        <w:rPr>
          <w:sz w:val="24"/>
        </w:rPr>
        <w:t xml:space="preserve"> the National Survey of Children’s Health (NSCH) and National Survey of Children with Special Health Care Needs (NS-CSHCN) into a single combined survey</w:t>
      </w:r>
      <w:r w:rsidR="004D492E">
        <w:rPr>
          <w:sz w:val="24"/>
        </w:rPr>
        <w:t xml:space="preserve"> that </w:t>
      </w:r>
      <w:proofErr w:type="gramStart"/>
      <w:r w:rsidR="004D492E">
        <w:rPr>
          <w:sz w:val="24"/>
        </w:rPr>
        <w:t>will</w:t>
      </w:r>
      <w:proofErr w:type="gramEnd"/>
      <w:r w:rsidR="004D492E">
        <w:rPr>
          <w:sz w:val="24"/>
        </w:rPr>
        <w:t xml:space="preserve"> utilize </w:t>
      </w:r>
      <w:r w:rsidR="004D492E" w:rsidRPr="004D492E">
        <w:rPr>
          <w:sz w:val="24"/>
        </w:rPr>
        <w:t>an Address- Based Sampling (ABS) frame</w:t>
      </w:r>
      <w:r w:rsidR="004D492E">
        <w:rPr>
          <w:sz w:val="24"/>
        </w:rPr>
        <w:t xml:space="preserve">. Previously, </w:t>
      </w:r>
      <w:r w:rsidR="00124C02">
        <w:rPr>
          <w:sz w:val="24"/>
        </w:rPr>
        <w:t>these</w:t>
      </w:r>
      <w:r w:rsidR="00045B26" w:rsidRPr="004D492E">
        <w:rPr>
          <w:sz w:val="24"/>
        </w:rPr>
        <w:t xml:space="preserve"> surveys </w:t>
      </w:r>
      <w:r w:rsidR="004D492E">
        <w:rPr>
          <w:sz w:val="24"/>
        </w:rPr>
        <w:t>utilized</w:t>
      </w:r>
      <w:r w:rsidR="00045B26" w:rsidRPr="004D492E">
        <w:rPr>
          <w:sz w:val="24"/>
        </w:rPr>
        <w:t xml:space="preserve"> the State and Local Area Integrated Telephone Survey (SLAITS), a mechanism for conducting surveys that uses the same sampling frame as the National Immunization Survey.  This frame consisted primarily of telephone landline numbers, with some cell telephone supplementation, and utilized Random Digit Dialing (RDD) sampling techniques. These surveys were then conducted through telephone interviews using Computer Assisted Telephone Interview (CATI) software to collect data from households. </w:t>
      </w:r>
    </w:p>
    <w:p w:rsidR="00045B26" w:rsidRPr="004D492E" w:rsidRDefault="00045B26" w:rsidP="004D492E">
      <w:pPr>
        <w:rPr>
          <w:sz w:val="24"/>
        </w:rPr>
      </w:pPr>
    </w:p>
    <w:p w:rsidR="00045B26" w:rsidRPr="004D492E" w:rsidRDefault="00045B26" w:rsidP="004D492E">
      <w:pPr>
        <w:rPr>
          <w:sz w:val="24"/>
        </w:rPr>
      </w:pPr>
      <w:r w:rsidRPr="004D492E">
        <w:rPr>
          <w:sz w:val="24"/>
        </w:rPr>
        <w:t xml:space="preserve">The telephone interview approach utilized for these surveys allowed for a complex questionnaire as it ensured that skip patterns were properly followed. Furthermore, it protected against data entry error through preprogrammed range and logic checks on responses.  Interviewers were able to address respondent questions and concerns as they arose, helping reduce response error.  In recent years, declining willingness of the public to participate in surveys and changes in household telephone use has resulted in declining response rates in these and other surveys.  Of particular concern is the increasing prevalence of households that have substituted their landline telephone for wireless service only.  Efforts to include these non-landline households within the telephone sampling frames for the NSCH and NS-CSHCN have resulted in both an increase in costs and a substantial decline in response rates. </w:t>
      </w:r>
    </w:p>
    <w:p w:rsidR="00045B26" w:rsidRPr="004D492E" w:rsidRDefault="00045B26" w:rsidP="004D492E">
      <w:pPr>
        <w:rPr>
          <w:sz w:val="24"/>
        </w:rPr>
      </w:pPr>
    </w:p>
    <w:p w:rsidR="00286CD0" w:rsidRDefault="00045B26" w:rsidP="004D492E">
      <w:pPr>
        <w:spacing w:before="120"/>
        <w:rPr>
          <w:sz w:val="24"/>
        </w:rPr>
      </w:pPr>
      <w:r w:rsidRPr="004D492E">
        <w:rPr>
          <w:sz w:val="24"/>
        </w:rPr>
        <w:t xml:space="preserve">The decline in response rates and the increase in costs are no longer sustainable. Considerable work has already been done to determine how to address these </w:t>
      </w:r>
      <w:proofErr w:type="gramStart"/>
      <w:r w:rsidRPr="004D492E">
        <w:rPr>
          <w:sz w:val="24"/>
        </w:rPr>
        <w:t>concerns,</w:t>
      </w:r>
      <w:proofErr w:type="gramEnd"/>
      <w:r w:rsidRPr="004D492E">
        <w:rPr>
          <w:sz w:val="24"/>
        </w:rPr>
        <w:t xml:space="preserve"> and a decision has been reached to utilize a two-phase multimode data collection design for</w:t>
      </w:r>
      <w:r w:rsidR="004D492E">
        <w:rPr>
          <w:sz w:val="24"/>
        </w:rPr>
        <w:t xml:space="preserve"> a</w:t>
      </w:r>
      <w:r w:rsidRPr="004D492E">
        <w:rPr>
          <w:sz w:val="24"/>
        </w:rPr>
        <w:t xml:space="preserve"> combined survey, henceforth known as the NSCH. The NSCH will consist of two questionnaires: 1) an initial household screener to assess the presence of children in the home and facilitate the selection of a target child </w:t>
      </w:r>
      <w:r w:rsidR="0015297A">
        <w:rPr>
          <w:sz w:val="24"/>
        </w:rPr>
        <w:t>within</w:t>
      </w:r>
      <w:r w:rsidRPr="004D492E">
        <w:rPr>
          <w:sz w:val="24"/>
        </w:rPr>
        <w:t xml:space="preserve"> the household (with oversampling of children with special health care needs), and 2) a substantive topical questionnaire that combines selected content from the past NSCH and NS-CSHCN questionnaires along with some newly relevant content.  Mail is anticipated to be the primar</w:t>
      </w:r>
      <w:r w:rsidR="00BB5875">
        <w:rPr>
          <w:sz w:val="24"/>
        </w:rPr>
        <w:t>y mode of data collection, but web-based</w:t>
      </w:r>
      <w:r w:rsidRPr="004D492E">
        <w:rPr>
          <w:sz w:val="24"/>
        </w:rPr>
        <w:t xml:space="preserve"> administration will also be used, probably in a “web first” design</w:t>
      </w:r>
      <w:r w:rsidR="004D492E" w:rsidRPr="004D492E">
        <w:rPr>
          <w:sz w:val="24"/>
        </w:rPr>
        <w:t>.</w:t>
      </w:r>
      <w:r w:rsidR="004D492E">
        <w:rPr>
          <w:sz w:val="24"/>
        </w:rPr>
        <w:t xml:space="preserve"> </w:t>
      </w:r>
      <w:r w:rsidR="0015297A">
        <w:rPr>
          <w:sz w:val="24"/>
        </w:rPr>
        <w:t xml:space="preserve">This change </w:t>
      </w:r>
      <w:r w:rsidR="00E56730">
        <w:rPr>
          <w:sz w:val="24"/>
        </w:rPr>
        <w:t>in the mode of data collection, as well as revisions to the survey’s content, require</w:t>
      </w:r>
      <w:r w:rsidR="0015297A">
        <w:rPr>
          <w:sz w:val="24"/>
        </w:rPr>
        <w:t>s</w:t>
      </w:r>
      <w:r w:rsidR="00E56730">
        <w:rPr>
          <w:sz w:val="24"/>
        </w:rPr>
        <w:t xml:space="preserve"> a redesign of both the initial household screener and topical questionnaires. </w:t>
      </w:r>
    </w:p>
    <w:p w:rsidR="00E46837" w:rsidRPr="00E46837" w:rsidRDefault="00E46837" w:rsidP="004D492E">
      <w:pPr>
        <w:spacing w:before="120"/>
        <w:rPr>
          <w:sz w:val="24"/>
        </w:rPr>
      </w:pPr>
    </w:p>
    <w:p w:rsidR="00FD61EC" w:rsidRDefault="00FD61EC" w:rsidP="004D492E">
      <w:pPr>
        <w:spacing w:before="120"/>
        <w:rPr>
          <w:bCs/>
          <w:sz w:val="24"/>
        </w:rPr>
      </w:pPr>
      <w:r w:rsidRPr="003B2586">
        <w:rPr>
          <w:bCs/>
          <w:sz w:val="24"/>
        </w:rPr>
        <w:t>This submission requests approval for the following activities:</w:t>
      </w:r>
    </w:p>
    <w:p w:rsidR="008B383B" w:rsidRPr="00124C02" w:rsidRDefault="008B383B" w:rsidP="004D492E">
      <w:pPr>
        <w:spacing w:before="120"/>
        <w:rPr>
          <w:bCs/>
          <w:sz w:val="24"/>
        </w:rPr>
      </w:pPr>
    </w:p>
    <w:p w:rsidR="00B91B1C" w:rsidRPr="00124C02" w:rsidRDefault="00B91B1C" w:rsidP="004D492E">
      <w:pPr>
        <w:widowControl/>
        <w:numPr>
          <w:ilvl w:val="0"/>
          <w:numId w:val="44"/>
        </w:numPr>
        <w:autoSpaceDE/>
        <w:autoSpaceDN/>
        <w:adjustRightInd/>
        <w:jc w:val="both"/>
        <w:rPr>
          <w:sz w:val="24"/>
        </w:rPr>
      </w:pPr>
      <w:r w:rsidRPr="00124C02">
        <w:rPr>
          <w:sz w:val="24"/>
        </w:rPr>
        <w:t xml:space="preserve">Cognitive interviews to </w:t>
      </w:r>
      <w:r w:rsidR="00EF6B51" w:rsidRPr="00124C02">
        <w:rPr>
          <w:sz w:val="24"/>
        </w:rPr>
        <w:t>assess how respondents interpret survey items and response options and what difficulties they may face in completing the questionnaires</w:t>
      </w:r>
      <w:r w:rsidR="00124C02">
        <w:rPr>
          <w:sz w:val="24"/>
        </w:rPr>
        <w:t>.</w:t>
      </w:r>
    </w:p>
    <w:p w:rsidR="00B91B1C" w:rsidRPr="00124C02" w:rsidRDefault="00EF6B51" w:rsidP="004D492E">
      <w:pPr>
        <w:widowControl/>
        <w:numPr>
          <w:ilvl w:val="0"/>
          <w:numId w:val="44"/>
        </w:numPr>
        <w:autoSpaceDE/>
        <w:autoSpaceDN/>
        <w:adjustRightInd/>
        <w:jc w:val="both"/>
        <w:rPr>
          <w:sz w:val="24"/>
        </w:rPr>
      </w:pPr>
      <w:r w:rsidRPr="00124C02">
        <w:rPr>
          <w:sz w:val="24"/>
        </w:rPr>
        <w:t>Usability testing to assess response time</w:t>
      </w:r>
      <w:r w:rsidR="00070EC9">
        <w:rPr>
          <w:sz w:val="24"/>
        </w:rPr>
        <w:t>s</w:t>
      </w:r>
      <w:r w:rsidRPr="00124C02">
        <w:rPr>
          <w:sz w:val="24"/>
        </w:rPr>
        <w:t xml:space="preserve"> for items across data collection mode</w:t>
      </w:r>
      <w:r w:rsidR="00320C68" w:rsidRPr="00124C02">
        <w:rPr>
          <w:sz w:val="24"/>
        </w:rPr>
        <w:t>s</w:t>
      </w:r>
      <w:r w:rsidR="00070EC9">
        <w:rPr>
          <w:sz w:val="24"/>
        </w:rPr>
        <w:t xml:space="preserve">, respondent behaviors such as changing </w:t>
      </w:r>
      <w:r w:rsidR="0015297A">
        <w:rPr>
          <w:sz w:val="24"/>
        </w:rPr>
        <w:t>their initial</w:t>
      </w:r>
      <w:r w:rsidRPr="00124C02">
        <w:rPr>
          <w:sz w:val="24"/>
        </w:rPr>
        <w:t xml:space="preserve"> answer, and </w:t>
      </w:r>
      <w:r w:rsidR="00320C68" w:rsidRPr="00124C02">
        <w:rPr>
          <w:sz w:val="24"/>
        </w:rPr>
        <w:t xml:space="preserve">if </w:t>
      </w:r>
      <w:r w:rsidRPr="00124C02">
        <w:rPr>
          <w:sz w:val="24"/>
        </w:rPr>
        <w:t xml:space="preserve">difficulties </w:t>
      </w:r>
      <w:r w:rsidR="00320C68" w:rsidRPr="00124C02">
        <w:rPr>
          <w:sz w:val="24"/>
        </w:rPr>
        <w:t xml:space="preserve">exist </w:t>
      </w:r>
      <w:r w:rsidRPr="00124C02">
        <w:rPr>
          <w:sz w:val="24"/>
        </w:rPr>
        <w:t xml:space="preserve">in </w:t>
      </w:r>
      <w:r w:rsidR="00320C68" w:rsidRPr="00124C02">
        <w:rPr>
          <w:sz w:val="24"/>
        </w:rPr>
        <w:t xml:space="preserve">the navigation or </w:t>
      </w:r>
      <w:r w:rsidR="00BB5875">
        <w:rPr>
          <w:sz w:val="24"/>
        </w:rPr>
        <w:t>usage of web</w:t>
      </w:r>
      <w:r w:rsidR="00320C68" w:rsidRPr="00124C02">
        <w:rPr>
          <w:sz w:val="24"/>
        </w:rPr>
        <w:t xml:space="preserve"> and paper-based instruments</w:t>
      </w:r>
      <w:r w:rsidR="00124C02">
        <w:rPr>
          <w:sz w:val="24"/>
        </w:rPr>
        <w:t>.</w:t>
      </w:r>
    </w:p>
    <w:p w:rsidR="00D930A6" w:rsidRPr="00124C02" w:rsidRDefault="00070EC9" w:rsidP="004D492E">
      <w:pPr>
        <w:widowControl/>
        <w:numPr>
          <w:ilvl w:val="0"/>
          <w:numId w:val="44"/>
        </w:numPr>
        <w:autoSpaceDE/>
        <w:autoSpaceDN/>
        <w:adjustRightInd/>
        <w:jc w:val="both"/>
        <w:rPr>
          <w:sz w:val="24"/>
        </w:rPr>
      </w:pPr>
      <w:r>
        <w:rPr>
          <w:sz w:val="24"/>
        </w:rPr>
        <w:t xml:space="preserve">Validity testing that utilizes both </w:t>
      </w:r>
      <w:r w:rsidR="009831F0" w:rsidRPr="00124C02">
        <w:rPr>
          <w:sz w:val="24"/>
        </w:rPr>
        <w:t xml:space="preserve">test-retest and </w:t>
      </w:r>
      <w:r w:rsidR="00124C02" w:rsidRPr="00124C02">
        <w:rPr>
          <w:sz w:val="24"/>
        </w:rPr>
        <w:t>criterion-based methodologies in order t</w:t>
      </w:r>
      <w:r>
        <w:rPr>
          <w:sz w:val="24"/>
        </w:rPr>
        <w:t>o assess the validity of parent-report of</w:t>
      </w:r>
      <w:r w:rsidR="00124C02" w:rsidRPr="00124C02">
        <w:rPr>
          <w:sz w:val="24"/>
        </w:rPr>
        <w:t xml:space="preserve"> key indicators such as medical diagnoses and insurance status.</w:t>
      </w:r>
    </w:p>
    <w:p w:rsidR="00070EC9" w:rsidRDefault="00D930A6" w:rsidP="004D492E">
      <w:pPr>
        <w:widowControl/>
        <w:numPr>
          <w:ilvl w:val="0"/>
          <w:numId w:val="44"/>
        </w:numPr>
        <w:autoSpaceDE/>
        <w:autoSpaceDN/>
        <w:adjustRightInd/>
        <w:jc w:val="both"/>
        <w:rPr>
          <w:sz w:val="24"/>
        </w:rPr>
      </w:pPr>
      <w:r w:rsidRPr="00124C02">
        <w:rPr>
          <w:sz w:val="24"/>
        </w:rPr>
        <w:t>Limited</w:t>
      </w:r>
      <w:r w:rsidR="00756DA3">
        <w:rPr>
          <w:sz w:val="24"/>
        </w:rPr>
        <w:t xml:space="preserve"> field</w:t>
      </w:r>
      <w:r w:rsidRPr="00124C02">
        <w:rPr>
          <w:sz w:val="24"/>
        </w:rPr>
        <w:t xml:space="preserve"> testing of the data collection instruments </w:t>
      </w:r>
      <w:r w:rsidR="00124C02" w:rsidRPr="00124C02">
        <w:rPr>
          <w:sz w:val="24"/>
        </w:rPr>
        <w:t>to</w:t>
      </w:r>
      <w:r w:rsidRPr="00124C02">
        <w:rPr>
          <w:sz w:val="24"/>
        </w:rPr>
        <w:t xml:space="preserve"> </w:t>
      </w:r>
    </w:p>
    <w:p w:rsidR="00EF6B51" w:rsidRDefault="00070EC9" w:rsidP="00070EC9">
      <w:pPr>
        <w:widowControl/>
        <w:numPr>
          <w:ilvl w:val="1"/>
          <w:numId w:val="44"/>
        </w:numPr>
        <w:autoSpaceDE/>
        <w:autoSpaceDN/>
        <w:adjustRightInd/>
        <w:jc w:val="both"/>
        <w:rPr>
          <w:sz w:val="24"/>
        </w:rPr>
      </w:pPr>
      <w:r>
        <w:rPr>
          <w:sz w:val="24"/>
        </w:rPr>
        <w:t>E</w:t>
      </w:r>
      <w:r w:rsidR="00124C02" w:rsidRPr="00124C02">
        <w:rPr>
          <w:sz w:val="24"/>
        </w:rPr>
        <w:t xml:space="preserve">valuate the influence of </w:t>
      </w:r>
      <w:r w:rsidR="00D930A6" w:rsidRPr="00124C02">
        <w:rPr>
          <w:sz w:val="24"/>
        </w:rPr>
        <w:t>data collection mode and survey length on response rates</w:t>
      </w:r>
      <w:r w:rsidR="00124C02">
        <w:rPr>
          <w:sz w:val="24"/>
        </w:rPr>
        <w:t>.</w:t>
      </w:r>
    </w:p>
    <w:p w:rsidR="00FD61EC" w:rsidRPr="00A11CBE" w:rsidRDefault="00070EC9" w:rsidP="00A11CBE">
      <w:pPr>
        <w:widowControl/>
        <w:numPr>
          <w:ilvl w:val="1"/>
          <w:numId w:val="44"/>
        </w:numPr>
        <w:autoSpaceDE/>
        <w:autoSpaceDN/>
        <w:adjustRightInd/>
        <w:jc w:val="both"/>
        <w:rPr>
          <w:sz w:val="24"/>
        </w:rPr>
      </w:pPr>
      <w:r>
        <w:rPr>
          <w:sz w:val="24"/>
        </w:rPr>
        <w:t xml:space="preserve">Assess tendency of </w:t>
      </w:r>
      <w:r w:rsidRPr="00070EC9">
        <w:rPr>
          <w:sz w:val="24"/>
        </w:rPr>
        <w:t>estimates from the mail and internet-administered surveys to differ from estimates from telephone survey administration.</w:t>
      </w:r>
    </w:p>
    <w:p w:rsidR="009B3794" w:rsidRPr="00756DA3" w:rsidRDefault="009B3794" w:rsidP="00CA3DA6">
      <w:pPr>
        <w:numPr>
          <w:ilvl w:val="0"/>
          <w:numId w:val="2"/>
        </w:numPr>
        <w:tabs>
          <w:tab w:val="clear" w:pos="1080"/>
          <w:tab w:val="num" w:pos="360"/>
        </w:tabs>
        <w:spacing w:before="240"/>
        <w:ind w:left="360"/>
        <w:rPr>
          <w:b/>
          <w:sz w:val="24"/>
        </w:rPr>
      </w:pPr>
      <w:r>
        <w:rPr>
          <w:b/>
          <w:sz w:val="24"/>
          <w:u w:val="single"/>
        </w:rPr>
        <w:t>Purpose and Use of Information Collection</w:t>
      </w:r>
    </w:p>
    <w:p w:rsidR="00756DA3" w:rsidRPr="00B7519A" w:rsidRDefault="00A11CBE" w:rsidP="00756DA3">
      <w:pPr>
        <w:spacing w:before="240"/>
        <w:rPr>
          <w:sz w:val="24"/>
        </w:rPr>
      </w:pPr>
      <w:r>
        <w:rPr>
          <w:sz w:val="24"/>
        </w:rPr>
        <w:t>Data from the NSCH are used to measure progress on national performance and</w:t>
      </w:r>
      <w:r w:rsidR="009A1CB6">
        <w:rPr>
          <w:sz w:val="24"/>
        </w:rPr>
        <w:t xml:space="preserve"> outcome measures under </w:t>
      </w:r>
      <w:r w:rsidR="009A1CB6" w:rsidRPr="003C767D">
        <w:rPr>
          <w:sz w:val="24"/>
        </w:rPr>
        <w:t>Title V MCH Services Block Grant</w:t>
      </w:r>
      <w:r w:rsidR="009A1CB6">
        <w:rPr>
          <w:sz w:val="24"/>
        </w:rPr>
        <w:t xml:space="preserve">. It is therefore critical that HRSA assess </w:t>
      </w:r>
      <w:r w:rsidR="00B7519A">
        <w:rPr>
          <w:sz w:val="24"/>
        </w:rPr>
        <w:t>how changes in</w:t>
      </w:r>
      <w:r w:rsidR="0015297A">
        <w:rPr>
          <w:sz w:val="24"/>
        </w:rPr>
        <w:t xml:space="preserve"> the</w:t>
      </w:r>
      <w:r w:rsidR="00B7519A">
        <w:rPr>
          <w:sz w:val="24"/>
        </w:rPr>
        <w:t xml:space="preserve"> survey’s content, sampling frame, and data collection mode will impact the reliability and validity of such estimates.  </w:t>
      </w:r>
    </w:p>
    <w:p w:rsidR="00756DA3" w:rsidRDefault="00756DA3" w:rsidP="00756DA3">
      <w:pPr>
        <w:spacing w:before="240"/>
        <w:rPr>
          <w:b/>
          <w:sz w:val="24"/>
        </w:rPr>
      </w:pPr>
      <w:r w:rsidRPr="00FE3341">
        <w:rPr>
          <w:bCs/>
          <w:sz w:val="24"/>
        </w:rPr>
        <w:t>In the absence of these preliminary research activities, HRSA w</w:t>
      </w:r>
      <w:r>
        <w:rPr>
          <w:bCs/>
          <w:sz w:val="24"/>
        </w:rPr>
        <w:t>ould</w:t>
      </w:r>
      <w:r w:rsidRPr="00FE3341">
        <w:rPr>
          <w:bCs/>
          <w:sz w:val="24"/>
        </w:rPr>
        <w:t xml:space="preserve"> pursue </w:t>
      </w:r>
      <w:r w:rsidR="00DF21E0">
        <w:rPr>
          <w:bCs/>
          <w:sz w:val="24"/>
        </w:rPr>
        <w:t>research activities without pre</w:t>
      </w:r>
      <w:r w:rsidRPr="00FE3341">
        <w:rPr>
          <w:bCs/>
          <w:sz w:val="24"/>
        </w:rPr>
        <w:t>testing, which could lead to increased burden time for respondents</w:t>
      </w:r>
      <w:r w:rsidR="00B7519A">
        <w:rPr>
          <w:bCs/>
          <w:sz w:val="24"/>
        </w:rPr>
        <w:t xml:space="preserve">, decreased data quality, </w:t>
      </w:r>
      <w:r w:rsidRPr="00FE3341">
        <w:rPr>
          <w:bCs/>
          <w:sz w:val="24"/>
        </w:rPr>
        <w:t xml:space="preserve">and less efficient data collection procedures. </w:t>
      </w:r>
      <w:r w:rsidRPr="00FE3341">
        <w:rPr>
          <w:sz w:val="24"/>
        </w:rPr>
        <w:t xml:space="preserve">    </w:t>
      </w:r>
    </w:p>
    <w:p w:rsidR="00EF6FA0" w:rsidRDefault="009B3794" w:rsidP="00BB5875">
      <w:pPr>
        <w:numPr>
          <w:ilvl w:val="0"/>
          <w:numId w:val="2"/>
        </w:numPr>
        <w:tabs>
          <w:tab w:val="clear" w:pos="1080"/>
          <w:tab w:val="num" w:pos="360"/>
        </w:tabs>
        <w:spacing w:before="240"/>
        <w:ind w:left="360"/>
        <w:rPr>
          <w:sz w:val="24"/>
        </w:rPr>
      </w:pPr>
      <w:r>
        <w:rPr>
          <w:b/>
          <w:sz w:val="24"/>
          <w:u w:val="single"/>
        </w:rPr>
        <w:t>Use of Improved Information Technology and Burden Reduction</w:t>
      </w:r>
    </w:p>
    <w:p w:rsidR="00BB5875" w:rsidRPr="00BB5875" w:rsidRDefault="0029483C" w:rsidP="00BB5875">
      <w:pPr>
        <w:spacing w:before="240"/>
        <w:rPr>
          <w:sz w:val="24"/>
        </w:rPr>
      </w:pPr>
      <w:r>
        <w:rPr>
          <w:sz w:val="24"/>
        </w:rPr>
        <w:t>This data collection will assess the feasibility of</w:t>
      </w:r>
      <w:r w:rsidR="003F0975" w:rsidRPr="003F0975">
        <w:rPr>
          <w:sz w:val="24"/>
        </w:rPr>
        <w:t xml:space="preserve"> a web-based version of the questionnaire</w:t>
      </w:r>
      <w:r w:rsidR="00E3684A">
        <w:rPr>
          <w:sz w:val="24"/>
        </w:rPr>
        <w:t xml:space="preserve">, a data </w:t>
      </w:r>
      <w:r w:rsidR="00E17EA1">
        <w:rPr>
          <w:sz w:val="24"/>
        </w:rPr>
        <w:t>collection mod</w:t>
      </w:r>
      <w:r w:rsidR="00E3684A">
        <w:rPr>
          <w:sz w:val="24"/>
        </w:rPr>
        <w:t>e that</w:t>
      </w:r>
      <w:r w:rsidR="003F0975" w:rsidRPr="003F0975">
        <w:rPr>
          <w:sz w:val="24"/>
        </w:rPr>
        <w:t xml:space="preserve"> allows for features that will reduce</w:t>
      </w:r>
      <w:r w:rsidR="001A1799">
        <w:rPr>
          <w:sz w:val="24"/>
        </w:rPr>
        <w:t xml:space="preserve"> respondent burden.  In general</w:t>
      </w:r>
      <w:r w:rsidR="003F0975" w:rsidRPr="003F0975">
        <w:rPr>
          <w:sz w:val="24"/>
        </w:rPr>
        <w:t>, respondents find it less taxing to provide sensitive information about their children in self-administered survey</w:t>
      </w:r>
      <w:r w:rsidR="001A1799">
        <w:rPr>
          <w:sz w:val="24"/>
        </w:rPr>
        <w:t>s; h</w:t>
      </w:r>
      <w:r w:rsidR="003F0975" w:rsidRPr="003F0975">
        <w:rPr>
          <w:sz w:val="24"/>
        </w:rPr>
        <w:t xml:space="preserve">owever, because of the significant number of filter questions, paper and pencil versions of the survey appear quite lengthy.  The web-based survey allows for the programming of skip patterns similar to telephone interview version of the survey.  Thus, the web-based format allows for the comfort of self-administration with the ease of seeing and subsequently answering only questions relevant to a particular respondent.  </w:t>
      </w:r>
    </w:p>
    <w:p w:rsidR="009B3794" w:rsidRPr="00DF21E0"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rsidR="00DF21E0" w:rsidRDefault="00DF21E0" w:rsidP="00DF21E0">
      <w:pPr>
        <w:jc w:val="both"/>
        <w:rPr>
          <w:sz w:val="24"/>
        </w:rPr>
      </w:pPr>
    </w:p>
    <w:p w:rsidR="00DF21E0" w:rsidRPr="00DF21E0" w:rsidRDefault="00DF21E0" w:rsidP="00DF21E0">
      <w:pPr>
        <w:jc w:val="both"/>
        <w:rPr>
          <w:sz w:val="24"/>
        </w:rPr>
      </w:pPr>
      <w:r w:rsidRPr="00DF21E0">
        <w:rPr>
          <w:sz w:val="24"/>
        </w:rPr>
        <w:t xml:space="preserve">Efforts to identify </w:t>
      </w:r>
      <w:r>
        <w:rPr>
          <w:sz w:val="24"/>
        </w:rPr>
        <w:t xml:space="preserve">published information on a comparable redesign of a national survey that produces state-level </w:t>
      </w:r>
      <w:r w:rsidR="004D7233">
        <w:rPr>
          <w:sz w:val="24"/>
        </w:rPr>
        <w:t xml:space="preserve">estimates </w:t>
      </w:r>
      <w:r>
        <w:rPr>
          <w:sz w:val="24"/>
        </w:rPr>
        <w:t xml:space="preserve">on similar </w:t>
      </w:r>
      <w:r w:rsidR="004D7233">
        <w:rPr>
          <w:sz w:val="24"/>
        </w:rPr>
        <w:t>content areas were unsuccessful. It is unlikely that an entity external to HRSA would undergo research on the redesign of a survey overseen by the Maternal and Child Health Bureau.</w:t>
      </w:r>
    </w:p>
    <w:p w:rsidR="00DF21E0" w:rsidRDefault="00DF21E0" w:rsidP="00DF21E0">
      <w:pPr>
        <w:spacing w:before="240"/>
        <w:rPr>
          <w:b/>
          <w:sz w:val="24"/>
        </w:rPr>
      </w:pPr>
    </w:p>
    <w:p w:rsidR="009B3794"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rsidR="00B17E33" w:rsidRDefault="00B17E33" w:rsidP="001E75EF">
      <w:pPr>
        <w:tabs>
          <w:tab w:val="left" w:pos="3060"/>
        </w:tabs>
        <w:spacing w:before="120"/>
        <w:rPr>
          <w:color w:val="000000"/>
          <w:sz w:val="24"/>
        </w:rPr>
      </w:pPr>
      <w:r w:rsidRPr="00B17E33">
        <w:rPr>
          <w:sz w:val="24"/>
        </w:rPr>
        <w:t xml:space="preserve">The </w:t>
      </w:r>
      <w:r w:rsidR="00B7519A">
        <w:rPr>
          <w:sz w:val="24"/>
        </w:rPr>
        <w:t>data collection forms</w:t>
      </w:r>
      <w:r w:rsidRPr="00B17E33">
        <w:rPr>
          <w:sz w:val="24"/>
        </w:rPr>
        <w:t xml:space="preserve"> and procedures </w:t>
      </w:r>
      <w:r w:rsidR="00B7519A">
        <w:rPr>
          <w:sz w:val="24"/>
        </w:rPr>
        <w:t xml:space="preserve">of this project </w:t>
      </w:r>
      <w:r w:rsidRPr="00B17E33">
        <w:rPr>
          <w:sz w:val="24"/>
        </w:rPr>
        <w:t>will be designed to minimize burden on all respondents</w:t>
      </w:r>
      <w:r w:rsidR="00465323">
        <w:rPr>
          <w:sz w:val="24"/>
        </w:rPr>
        <w:t>. It is anticipated that approximately 30 health care providers</w:t>
      </w:r>
      <w:r w:rsidR="00BA15BE">
        <w:rPr>
          <w:sz w:val="24"/>
        </w:rPr>
        <w:t>, some of who</w:t>
      </w:r>
      <w:r w:rsidR="0084274B">
        <w:rPr>
          <w:sz w:val="24"/>
        </w:rPr>
        <w:t>m</w:t>
      </w:r>
      <w:r w:rsidR="00BA15BE">
        <w:rPr>
          <w:sz w:val="24"/>
        </w:rPr>
        <w:t xml:space="preserve"> may work for </w:t>
      </w:r>
      <w:r w:rsidR="00BA15BE" w:rsidRPr="00B17E33">
        <w:rPr>
          <w:sz w:val="24"/>
        </w:rPr>
        <w:t>small businesses or other small entities</w:t>
      </w:r>
      <w:r w:rsidR="00BA15BE">
        <w:rPr>
          <w:sz w:val="24"/>
        </w:rPr>
        <w:t xml:space="preserve">, </w:t>
      </w:r>
      <w:r w:rsidR="00465323">
        <w:rPr>
          <w:sz w:val="24"/>
        </w:rPr>
        <w:t>will be contacted to provide</w:t>
      </w:r>
      <w:r w:rsidR="00E46837">
        <w:rPr>
          <w:sz w:val="24"/>
        </w:rPr>
        <w:t xml:space="preserve"> documentation.</w:t>
      </w:r>
      <w:r w:rsidR="00465323">
        <w:rPr>
          <w:sz w:val="24"/>
        </w:rPr>
        <w:t xml:space="preserve"> </w:t>
      </w:r>
      <w:r w:rsidR="00D52B74">
        <w:rPr>
          <w:sz w:val="24"/>
        </w:rPr>
        <w:t xml:space="preserve"> </w:t>
      </w:r>
      <w:r w:rsidR="00D52B74">
        <w:rPr>
          <w:color w:val="000000"/>
          <w:sz w:val="24"/>
        </w:rPr>
        <w:t xml:space="preserve"> To minimize the </w:t>
      </w:r>
      <w:r w:rsidR="001E75EF">
        <w:rPr>
          <w:color w:val="000000"/>
          <w:sz w:val="24"/>
        </w:rPr>
        <w:t>burden</w:t>
      </w:r>
      <w:r w:rsidR="00D52B74">
        <w:rPr>
          <w:color w:val="000000"/>
          <w:sz w:val="24"/>
        </w:rPr>
        <w:t xml:space="preserve"> </w:t>
      </w:r>
      <w:r w:rsidR="001E75EF">
        <w:rPr>
          <w:color w:val="000000"/>
          <w:sz w:val="24"/>
        </w:rPr>
        <w:t>experienced by</w:t>
      </w:r>
      <w:r w:rsidR="00D52B74">
        <w:rPr>
          <w:color w:val="000000"/>
          <w:sz w:val="24"/>
        </w:rPr>
        <w:t xml:space="preserve"> these entities, </w:t>
      </w:r>
      <w:r w:rsidR="001E75EF">
        <w:rPr>
          <w:color w:val="000000"/>
          <w:sz w:val="24"/>
        </w:rPr>
        <w:t xml:space="preserve">the </w:t>
      </w:r>
      <w:r w:rsidR="00D52B74">
        <w:rPr>
          <w:color w:val="000000"/>
          <w:sz w:val="24"/>
        </w:rPr>
        <w:t xml:space="preserve">information being requested will be held to the absolute minimum required for </w:t>
      </w:r>
      <w:r w:rsidR="001E75EF">
        <w:rPr>
          <w:color w:val="000000"/>
          <w:sz w:val="24"/>
        </w:rPr>
        <w:t xml:space="preserve">the validation of parent-report. </w:t>
      </w:r>
    </w:p>
    <w:p w:rsidR="001E75EF" w:rsidRPr="001E75EF" w:rsidRDefault="001E75EF" w:rsidP="001E75EF">
      <w:pPr>
        <w:tabs>
          <w:tab w:val="left" w:pos="3060"/>
        </w:tabs>
        <w:spacing w:before="120"/>
        <w:rPr>
          <w:color w:val="000000"/>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rsidR="00544208" w:rsidRPr="00544208" w:rsidRDefault="00210418" w:rsidP="00210418">
      <w:pPr>
        <w:widowControl/>
        <w:spacing w:before="120" w:after="120"/>
        <w:rPr>
          <w:sz w:val="24"/>
        </w:rPr>
      </w:pPr>
      <w:r>
        <w:rPr>
          <w:sz w:val="24"/>
        </w:rPr>
        <w:t xml:space="preserve">This data collection is a </w:t>
      </w:r>
      <w:r w:rsidR="006D1999">
        <w:rPr>
          <w:sz w:val="24"/>
        </w:rPr>
        <w:t>one-time</w:t>
      </w:r>
      <w:r>
        <w:rPr>
          <w:sz w:val="24"/>
        </w:rPr>
        <w:t xml:space="preserve"> </w:t>
      </w:r>
      <w:r w:rsidR="006D1999">
        <w:rPr>
          <w:sz w:val="24"/>
        </w:rPr>
        <w:t>activity. One-</w:t>
      </w:r>
      <w:r w:rsidRPr="003B2586">
        <w:rPr>
          <w:sz w:val="24"/>
        </w:rPr>
        <w:t xml:space="preserve">time </w:t>
      </w:r>
      <w:r w:rsidR="006D1999">
        <w:rPr>
          <w:sz w:val="24"/>
        </w:rPr>
        <w:t>activities</w:t>
      </w:r>
      <w:r w:rsidRPr="003B2586">
        <w:rPr>
          <w:sz w:val="24"/>
        </w:rPr>
        <w:t xml:space="preserve"> cannot be conducted less frequently</w:t>
      </w:r>
      <w:r w:rsidR="006D1999">
        <w:rPr>
          <w:sz w:val="24"/>
        </w:rPr>
        <w:t>.</w:t>
      </w:r>
      <w:r w:rsidR="00BF5EB7">
        <w:rPr>
          <w:sz w:val="24"/>
        </w:rPr>
        <w:t xml:space="preserve"> </w:t>
      </w:r>
      <w:r w:rsidR="00BF5EB7" w:rsidRPr="00BF5EB7">
        <w:rPr>
          <w:sz w:val="24"/>
        </w:rPr>
        <w:t xml:space="preserve">The consequences of doing this </w:t>
      </w:r>
      <w:r w:rsidR="00BF5EB7">
        <w:rPr>
          <w:sz w:val="24"/>
        </w:rPr>
        <w:t xml:space="preserve">activity </w:t>
      </w:r>
      <w:r w:rsidR="00BF5EB7" w:rsidRPr="00BF5EB7">
        <w:rPr>
          <w:sz w:val="24"/>
        </w:rPr>
        <w:t xml:space="preserve">less frequently would be not </w:t>
      </w:r>
      <w:r w:rsidR="00BF5EB7">
        <w:rPr>
          <w:sz w:val="24"/>
        </w:rPr>
        <w:t>collecting these data</w:t>
      </w:r>
      <w:r w:rsidR="00BF5EB7" w:rsidRPr="00BF5EB7">
        <w:rPr>
          <w:sz w:val="24"/>
        </w:rPr>
        <w:t xml:space="preserve"> at all.</w:t>
      </w:r>
      <w:r w:rsidR="00BF5EB7">
        <w:t xml:space="preserve">  </w:t>
      </w:r>
    </w:p>
    <w:p w:rsidR="00416E98" w:rsidRDefault="00416E98" w:rsidP="00416E98">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rsidR="00416E98" w:rsidRPr="00416E98" w:rsidRDefault="00416E98" w:rsidP="00416E98">
      <w:pPr>
        <w:spacing w:before="120" w:after="120"/>
        <w:rPr>
          <w:sz w:val="24"/>
        </w:rPr>
      </w:pPr>
      <w:r>
        <w:rPr>
          <w:sz w:val="24"/>
        </w:rPr>
        <w:t>This data collection</w:t>
      </w:r>
      <w:r w:rsidRPr="00416E98">
        <w:rPr>
          <w:sz w:val="24"/>
        </w:rPr>
        <w:t xml:space="preserve"> will be consistent with the general information collection guidelines of 5 CFR 1320.5.  No special circumstances apply.</w:t>
      </w:r>
    </w:p>
    <w:p w:rsidR="009B3794" w:rsidRDefault="009B3794" w:rsidP="00CA3DA6">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C534E6" w:rsidRPr="00C534E6" w:rsidRDefault="00C534E6" w:rsidP="00C534E6">
      <w:pPr>
        <w:spacing w:before="120" w:after="120"/>
        <w:rPr>
          <w:b/>
          <w:sz w:val="24"/>
        </w:rPr>
      </w:pPr>
      <w:r w:rsidRPr="00C534E6">
        <w:rPr>
          <w:b/>
          <w:sz w:val="24"/>
        </w:rPr>
        <w:t>Section 8A:</w:t>
      </w:r>
    </w:p>
    <w:p w:rsidR="00C534E6" w:rsidRPr="00C534E6" w:rsidRDefault="00C534E6" w:rsidP="00C534E6">
      <w:pPr>
        <w:spacing w:before="120" w:after="120"/>
        <w:rPr>
          <w:sz w:val="24"/>
        </w:rPr>
      </w:pPr>
      <w:r w:rsidRPr="00C534E6">
        <w:rPr>
          <w:sz w:val="24"/>
        </w:rPr>
        <w:t xml:space="preserve">As required be 5 CFR 1320.8(d), a 60-day Federal Register Notice was published in the </w:t>
      </w:r>
      <w:r w:rsidRPr="00C534E6">
        <w:rPr>
          <w:i/>
          <w:iCs/>
          <w:sz w:val="24"/>
        </w:rPr>
        <w:t xml:space="preserve">Federal Register </w:t>
      </w:r>
      <w:r w:rsidRPr="00C534E6">
        <w:rPr>
          <w:sz w:val="24"/>
        </w:rPr>
        <w:t>on December 11, 2013, vol. 78, No. 238; pp. 75353. No substantive comments were received.</w:t>
      </w:r>
    </w:p>
    <w:p w:rsidR="00C534E6" w:rsidRDefault="00C534E6" w:rsidP="00C534E6">
      <w:pPr>
        <w:spacing w:before="120" w:after="120"/>
        <w:rPr>
          <w:b/>
          <w:sz w:val="24"/>
        </w:rPr>
      </w:pPr>
      <w:r w:rsidRPr="00C534E6">
        <w:rPr>
          <w:b/>
          <w:sz w:val="24"/>
        </w:rPr>
        <w:t>Section 8B:</w:t>
      </w:r>
    </w:p>
    <w:p w:rsidR="00B72BC1" w:rsidRPr="00B72BC1" w:rsidRDefault="00B72BC1" w:rsidP="00B72BC1">
      <w:pPr>
        <w:rPr>
          <w:sz w:val="24"/>
        </w:rPr>
      </w:pPr>
      <w:r w:rsidRPr="00B72BC1">
        <w:rPr>
          <w:sz w:val="24"/>
        </w:rPr>
        <w:t>A convenience sample of eight (8) individuals completed the questionnaires to assess questionnaire administration time.  Two of these individuals were parents of children with special health care needs; six of the individuals were parents of non-special health care needs children.  The questionnaires were completed between 7/9/2014 and 7/14/2014.  Name and contact information for these individuals is being omitted to protect respondent confidentiality.</w:t>
      </w:r>
    </w:p>
    <w:p w:rsidR="009B3794"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rsidR="00FB6A85" w:rsidRDefault="00FB6A85" w:rsidP="00FB6A85"/>
    <w:p w:rsidR="003F0975" w:rsidRDefault="003F0975" w:rsidP="003F0975">
      <w:pPr>
        <w:rPr>
          <w:sz w:val="24"/>
        </w:rPr>
      </w:pPr>
      <w:r>
        <w:rPr>
          <w:sz w:val="24"/>
        </w:rPr>
        <w:t>Respondents will receive monetary remuneration for their participation</w:t>
      </w:r>
      <w:r w:rsidRPr="00A62417">
        <w:rPr>
          <w:sz w:val="24"/>
        </w:rPr>
        <w:t xml:space="preserve"> in such a way that is congruent with other governmental surveys that use incentives and that have been approved by the Office of Management and Budget</w:t>
      </w:r>
      <w:r w:rsidR="00DE7490" w:rsidRPr="00C323A7">
        <w:rPr>
          <w:rStyle w:val="FootnoteReference"/>
          <w:sz w:val="24"/>
          <w:vertAlign w:val="superscript"/>
        </w:rPr>
        <w:footnoteReference w:id="1"/>
      </w:r>
      <w:r w:rsidRPr="00A62417">
        <w:rPr>
          <w:sz w:val="24"/>
        </w:rPr>
        <w:t>.</w:t>
      </w:r>
      <w:r w:rsidR="0039241B">
        <w:rPr>
          <w:sz w:val="24"/>
        </w:rPr>
        <w:t xml:space="preserve">  </w:t>
      </w:r>
      <w:r w:rsidR="0000277F">
        <w:rPr>
          <w:sz w:val="24"/>
        </w:rPr>
        <w:t>A detailed overview of remuneration amounts by respondent activities and burden estimates</w:t>
      </w:r>
      <w:r w:rsidR="0039241B" w:rsidRPr="00663BCE">
        <w:rPr>
          <w:sz w:val="24"/>
        </w:rPr>
        <w:t xml:space="preserve"> </w:t>
      </w:r>
      <w:r w:rsidR="00DB7B3E">
        <w:rPr>
          <w:sz w:val="24"/>
        </w:rPr>
        <w:t>is</w:t>
      </w:r>
      <w:r w:rsidR="0039241B" w:rsidRPr="00663BCE">
        <w:rPr>
          <w:sz w:val="24"/>
        </w:rPr>
        <w:t xml:space="preserve"> </w:t>
      </w:r>
      <w:r w:rsidR="0000277F">
        <w:rPr>
          <w:sz w:val="24"/>
        </w:rPr>
        <w:t>outlined in Table</w:t>
      </w:r>
      <w:r w:rsidR="0039241B" w:rsidRPr="00663BCE">
        <w:rPr>
          <w:sz w:val="24"/>
        </w:rPr>
        <w:t xml:space="preserve"> </w:t>
      </w:r>
      <w:r w:rsidR="0000277F">
        <w:rPr>
          <w:sz w:val="24"/>
        </w:rPr>
        <w:t>9</w:t>
      </w:r>
      <w:r w:rsidR="0039241B">
        <w:rPr>
          <w:sz w:val="24"/>
        </w:rPr>
        <w:t>A.</w:t>
      </w:r>
    </w:p>
    <w:p w:rsidR="003F0975" w:rsidRDefault="003F0975" w:rsidP="003F0975">
      <w:pPr>
        <w:rPr>
          <w:sz w:val="24"/>
        </w:rPr>
      </w:pPr>
    </w:p>
    <w:p w:rsidR="003F0975" w:rsidRDefault="003F0975" w:rsidP="003F0975">
      <w:r>
        <w:rPr>
          <w:sz w:val="24"/>
        </w:rPr>
        <w:t>Respondents who participate in cognitive interviews and v</w:t>
      </w:r>
      <w:r w:rsidRPr="003675E7">
        <w:rPr>
          <w:sz w:val="24"/>
        </w:rPr>
        <w:t xml:space="preserve">alidation tests </w:t>
      </w:r>
      <w:r>
        <w:rPr>
          <w:sz w:val="24"/>
        </w:rPr>
        <w:t>will each receive compensation up to $50 cash. Compensation will be provided to these respondents to both help encourage their participation and to thank them for their time and effort. Particularly, compensation is motivated by the following reasons:</w:t>
      </w:r>
    </w:p>
    <w:p w:rsidR="003F0975" w:rsidRDefault="003F0975" w:rsidP="003F0975">
      <w:pPr>
        <w:pStyle w:val="a"/>
        <w:widowControl/>
        <w:numPr>
          <w:ilvl w:val="3"/>
          <w:numId w:val="2"/>
        </w:numPr>
        <w:tabs>
          <w:tab w:val="left" w:pos="0"/>
        </w:tabs>
        <w:spacing w:before="120" w:after="120"/>
        <w:ind w:left="720"/>
      </w:pPr>
      <w:r>
        <w:t xml:space="preserve">This project requires substantial participation by </w:t>
      </w:r>
      <w:r w:rsidRPr="00E37D1E">
        <w:t xml:space="preserve">respondents </w:t>
      </w:r>
      <w:r>
        <w:t>with</w:t>
      </w:r>
      <w:r w:rsidRPr="00E37D1E">
        <w:t xml:space="preserve"> specific characteristics </w:t>
      </w:r>
      <w:r>
        <w:t xml:space="preserve">(e.g. child’s age, special health care need status, diagnosed medical conditions). </w:t>
      </w:r>
      <w:r w:rsidRPr="00E37D1E">
        <w:t xml:space="preserve">The more specific the </w:t>
      </w:r>
      <w:r>
        <w:t xml:space="preserve">characteristics, </w:t>
      </w:r>
      <w:r w:rsidRPr="00E37D1E">
        <w:t>the more difficult it is to recruit eligible respondents.</w:t>
      </w:r>
    </w:p>
    <w:p w:rsidR="003F0975" w:rsidRDefault="003F0975" w:rsidP="003F0975">
      <w:pPr>
        <w:pStyle w:val="a"/>
        <w:widowControl/>
        <w:numPr>
          <w:ilvl w:val="3"/>
          <w:numId w:val="2"/>
        </w:numPr>
        <w:tabs>
          <w:tab w:val="clear" w:pos="2880"/>
          <w:tab w:val="left" w:pos="0"/>
          <w:tab w:val="num" w:pos="720"/>
        </w:tabs>
        <w:spacing w:before="120" w:after="120"/>
        <w:ind w:left="720"/>
      </w:pPr>
      <w:r w:rsidRPr="00E37D1E">
        <w:t xml:space="preserve">Cognitive interviews require an unusual level of mental effort, as respondents are asked to explain their mental processes as they hear the question, discuss its meaning and any ambiguities, and describe why they answered the questions the way they did. </w:t>
      </w:r>
    </w:p>
    <w:p w:rsidR="003F0975" w:rsidRDefault="003F0975" w:rsidP="003F0975">
      <w:pPr>
        <w:pStyle w:val="a"/>
        <w:widowControl/>
        <w:numPr>
          <w:ilvl w:val="3"/>
          <w:numId w:val="2"/>
        </w:numPr>
        <w:tabs>
          <w:tab w:val="left" w:pos="0"/>
        </w:tabs>
        <w:spacing w:before="120" w:after="120"/>
        <w:ind w:left="720"/>
      </w:pPr>
      <w:r>
        <w:t xml:space="preserve">Compensation will help </w:t>
      </w:r>
      <w:r w:rsidRPr="002D5B9D">
        <w:t xml:space="preserve">thank </w:t>
      </w:r>
      <w:r>
        <w:t xml:space="preserve">participants </w:t>
      </w:r>
      <w:r w:rsidRPr="002D5B9D">
        <w:t xml:space="preserve">for their </w:t>
      </w:r>
      <w:r>
        <w:t xml:space="preserve">mental </w:t>
      </w:r>
      <w:r w:rsidRPr="002D5B9D">
        <w:t>effort</w:t>
      </w:r>
      <w:r>
        <w:t xml:space="preserve"> to answer questions</w:t>
      </w:r>
      <w:r w:rsidRPr="002D5B9D">
        <w:t xml:space="preserve"> </w:t>
      </w:r>
      <w:r>
        <w:t>and for any</w:t>
      </w:r>
      <w:r w:rsidRPr="002D5B9D">
        <w:t xml:space="preserve"> inconvenience</w:t>
      </w:r>
      <w:r>
        <w:t xml:space="preserve"> related to </w:t>
      </w:r>
      <w:r w:rsidRPr="00DB01DC">
        <w:t>travel</w:t>
      </w:r>
      <w:r>
        <w:t xml:space="preserve">ing </w:t>
      </w:r>
      <w:r w:rsidRPr="00DB01DC">
        <w:t xml:space="preserve">to the </w:t>
      </w:r>
      <w:r>
        <w:t xml:space="preserve">place where </w:t>
      </w:r>
      <w:r w:rsidRPr="00DB01DC">
        <w:t>interview</w:t>
      </w:r>
      <w:r>
        <w:t>s will be conducted in the city.</w:t>
      </w:r>
    </w:p>
    <w:p w:rsidR="003F0975" w:rsidRPr="000F5347" w:rsidRDefault="003F0975" w:rsidP="003F0975">
      <w:pPr>
        <w:pStyle w:val="a"/>
        <w:widowControl/>
        <w:numPr>
          <w:ilvl w:val="3"/>
          <w:numId w:val="2"/>
        </w:numPr>
        <w:tabs>
          <w:tab w:val="left" w:pos="0"/>
        </w:tabs>
        <w:spacing w:before="120" w:after="120"/>
        <w:ind w:left="720"/>
        <w:rPr>
          <w:rFonts w:ascii="Times" w:hAnsi="Times"/>
        </w:rPr>
      </w:pPr>
      <w:r w:rsidRPr="000F5347">
        <w:rPr>
          <w:rFonts w:ascii="Times" w:hAnsi="Times"/>
        </w:rPr>
        <w:t>All participants who start the interview will be able to receive the incentive payment; those who are scheduled but do not show up will not be compensated.</w:t>
      </w:r>
    </w:p>
    <w:p w:rsidR="00C710D4" w:rsidRDefault="003F0975" w:rsidP="00C710D4">
      <w:pPr>
        <w:rPr>
          <w:sz w:val="24"/>
        </w:rPr>
      </w:pPr>
      <w:r w:rsidRPr="003966BE">
        <w:rPr>
          <w:sz w:val="24"/>
        </w:rPr>
        <w:t xml:space="preserve">Respondents who participate in </w:t>
      </w:r>
      <w:r>
        <w:rPr>
          <w:sz w:val="24"/>
        </w:rPr>
        <w:t xml:space="preserve">the mode effects experiment </w:t>
      </w:r>
      <w:r w:rsidRPr="003966BE">
        <w:rPr>
          <w:sz w:val="24"/>
        </w:rPr>
        <w:t>will</w:t>
      </w:r>
      <w:r>
        <w:rPr>
          <w:sz w:val="24"/>
        </w:rPr>
        <w:t xml:space="preserve"> each</w:t>
      </w:r>
      <w:r w:rsidRPr="003966BE">
        <w:rPr>
          <w:sz w:val="24"/>
        </w:rPr>
        <w:t xml:space="preserve"> receive</w:t>
      </w:r>
      <w:r w:rsidRPr="00A14695">
        <w:rPr>
          <w:sz w:val="24"/>
          <w:szCs w:val="22"/>
        </w:rPr>
        <w:t xml:space="preserve"> </w:t>
      </w:r>
      <w:r>
        <w:rPr>
          <w:sz w:val="24"/>
          <w:szCs w:val="22"/>
        </w:rPr>
        <w:t xml:space="preserve">monetary incentives </w:t>
      </w:r>
      <w:r>
        <w:rPr>
          <w:sz w:val="24"/>
        </w:rPr>
        <w:t>up to $10</w:t>
      </w:r>
      <w:r w:rsidRPr="003966BE">
        <w:rPr>
          <w:sz w:val="24"/>
        </w:rPr>
        <w:t xml:space="preserve"> cash</w:t>
      </w:r>
      <w:r w:rsidR="00C710D4">
        <w:rPr>
          <w:sz w:val="24"/>
        </w:rPr>
        <w:t>.  The amount of the incentive is dependent on the mode condition the respondent is assigned to, and whether the respondent is eligible to complete the topical questionnaire</w:t>
      </w:r>
      <w:r>
        <w:rPr>
          <w:sz w:val="24"/>
        </w:rPr>
        <w:t>.</w:t>
      </w:r>
      <w:r w:rsidR="00C710D4">
        <w:rPr>
          <w:sz w:val="24"/>
        </w:rPr>
        <w:t xml:space="preserve">  Those</w:t>
      </w:r>
      <w:r w:rsidR="00C710D4" w:rsidRPr="00C710D4">
        <w:rPr>
          <w:sz w:val="24"/>
        </w:rPr>
        <w:t xml:space="preserve"> assigned to the mail mode will receive a $1 prepaid cash incentive with the mailed Screener packet</w:t>
      </w:r>
      <w:r w:rsidR="00C710D4">
        <w:rPr>
          <w:sz w:val="24"/>
        </w:rPr>
        <w:t>; those who</w:t>
      </w:r>
      <w:r w:rsidR="00C710D4" w:rsidRPr="00C710D4">
        <w:rPr>
          <w:sz w:val="24"/>
        </w:rPr>
        <w:t xml:space="preserve"> return a completed screener and who are eligible will receive a $2 prepaid cash incentive with the mailed Topical packet.  </w:t>
      </w:r>
      <w:r w:rsidR="00C710D4">
        <w:rPr>
          <w:sz w:val="24"/>
        </w:rPr>
        <w:t>For the web mode, potential respondents will</w:t>
      </w:r>
      <w:r w:rsidR="00C710D4" w:rsidRPr="00C710D4">
        <w:rPr>
          <w:sz w:val="24"/>
        </w:rPr>
        <w:t xml:space="preserve"> receive a $2 prepaid cash incentive with the mailed invitation letter.</w:t>
      </w:r>
      <w:r w:rsidR="00C710D4">
        <w:rPr>
          <w:sz w:val="24"/>
        </w:rPr>
        <w:t xml:space="preserve">  Those</w:t>
      </w:r>
      <w:r w:rsidR="00C710D4" w:rsidRPr="00C710D4">
        <w:rPr>
          <w:sz w:val="24"/>
        </w:rPr>
        <w:t xml:space="preserve"> assigned to the telephone mode will not receive any prepaid incentive</w:t>
      </w:r>
      <w:r w:rsidR="00C710D4">
        <w:rPr>
          <w:sz w:val="24"/>
        </w:rPr>
        <w:t xml:space="preserve">; however, refusal cases </w:t>
      </w:r>
      <w:r w:rsidR="00C710D4" w:rsidRPr="00C710D4">
        <w:rPr>
          <w:sz w:val="24"/>
        </w:rPr>
        <w:t xml:space="preserve">will be offered a $10 promised cash incentive. </w:t>
      </w:r>
    </w:p>
    <w:p w:rsidR="003F0975" w:rsidRDefault="003F0975" w:rsidP="00F72F0D">
      <w:pPr>
        <w:widowControl/>
        <w:autoSpaceDE/>
        <w:autoSpaceDN/>
        <w:adjustRightInd/>
      </w:pPr>
      <w:r w:rsidRPr="003966BE">
        <w:rPr>
          <w:sz w:val="24"/>
        </w:rPr>
        <w:t>Remuneration will be provided to these respo</w:t>
      </w:r>
      <w:r>
        <w:rPr>
          <w:sz w:val="24"/>
        </w:rPr>
        <w:t>ndents for the following reason</w:t>
      </w:r>
      <w:r w:rsidRPr="003966BE">
        <w:rPr>
          <w:sz w:val="24"/>
        </w:rPr>
        <w:t>:</w:t>
      </w:r>
    </w:p>
    <w:p w:rsidR="003F0975" w:rsidRDefault="003F0975" w:rsidP="003F0975">
      <w:pPr>
        <w:pStyle w:val="a"/>
        <w:widowControl/>
        <w:numPr>
          <w:ilvl w:val="3"/>
          <w:numId w:val="2"/>
        </w:numPr>
        <w:tabs>
          <w:tab w:val="clear" w:pos="2880"/>
          <w:tab w:val="left" w:pos="0"/>
          <w:tab w:val="num" w:pos="720"/>
        </w:tabs>
        <w:spacing w:before="120" w:after="120"/>
        <w:ind w:left="720"/>
      </w:pPr>
      <w:r>
        <w:t>Survey research indicates that incentives are a necessary and cost-effective expense for achieving a response rate that minimizes non-response bias.</w:t>
      </w:r>
      <w:r w:rsidR="008B20D0" w:rsidRPr="008B20D0">
        <w:rPr>
          <w:rStyle w:val="FootnoteReference"/>
          <w:vertAlign w:val="superscript"/>
        </w:rPr>
        <w:footnoteReference w:id="2"/>
      </w:r>
      <w:r>
        <w:t xml:space="preserve">  Due to a preponderance of such research, incentives were used in all previous administrations of the NSCH and NS-CSHCNs. </w:t>
      </w:r>
    </w:p>
    <w:p w:rsidR="003F0975" w:rsidRPr="00F72F0D" w:rsidRDefault="003F0975" w:rsidP="003F0975">
      <w:pPr>
        <w:pStyle w:val="a"/>
        <w:widowControl/>
        <w:numPr>
          <w:ilvl w:val="3"/>
          <w:numId w:val="2"/>
        </w:numPr>
        <w:tabs>
          <w:tab w:val="clear" w:pos="2880"/>
          <w:tab w:val="left" w:pos="0"/>
          <w:tab w:val="num" w:pos="720"/>
        </w:tabs>
        <w:spacing w:before="120" w:after="120"/>
        <w:ind w:left="720"/>
      </w:pPr>
      <w:r>
        <w:rPr>
          <w:rFonts w:ascii="TimesNewRoman" w:hAnsi="TimesNewRoman"/>
        </w:rPr>
        <w:t>Recent experimentation within a</w:t>
      </w:r>
      <w:r w:rsidRPr="00D94706">
        <w:rPr>
          <w:rFonts w:ascii="TimesNewRoman" w:hAnsi="TimesNewRoman"/>
        </w:rPr>
        <w:t xml:space="preserve"> general population mixed mode (web and mail) survey, </w:t>
      </w:r>
      <w:r>
        <w:rPr>
          <w:rFonts w:ascii="TimesNewRoman" w:hAnsi="TimesNewRoman"/>
        </w:rPr>
        <w:t xml:space="preserve">found that the use of a </w:t>
      </w:r>
      <w:r w:rsidRPr="00D94706">
        <w:rPr>
          <w:rFonts w:ascii="TimesNewRoman" w:hAnsi="TimesNewRoman"/>
        </w:rPr>
        <w:t>prepaid incenti</w:t>
      </w:r>
      <w:r>
        <w:rPr>
          <w:rFonts w:ascii="TimesNewRoman" w:hAnsi="TimesNewRoman"/>
        </w:rPr>
        <w:t xml:space="preserve">ve </w:t>
      </w:r>
      <w:r w:rsidRPr="00D94706">
        <w:rPr>
          <w:rFonts w:ascii="TimesNewRoman" w:hAnsi="TimesNewRoman"/>
        </w:rPr>
        <w:t>nearly doubled the response</w:t>
      </w:r>
      <w:r>
        <w:rPr>
          <w:rFonts w:ascii="TimesNewRoman" w:hAnsi="TimesNewRoman"/>
        </w:rPr>
        <w:t xml:space="preserve"> rate within that population</w:t>
      </w:r>
      <w:r w:rsidRPr="00D94706">
        <w:rPr>
          <w:rFonts w:ascii="TimesNewRoman" w:hAnsi="TimesNewRoman"/>
        </w:rPr>
        <w:t xml:space="preserve"> from 25% (no incentive) to 56% (with incentive)</w:t>
      </w:r>
      <w:r>
        <w:rPr>
          <w:rFonts w:ascii="TimesNewRoman" w:hAnsi="TimesNewRoman"/>
        </w:rPr>
        <w:t xml:space="preserve"> (Messer and </w:t>
      </w:r>
      <w:proofErr w:type="spellStart"/>
      <w:r>
        <w:rPr>
          <w:rFonts w:ascii="TimesNewRoman" w:hAnsi="TimesNewRoman"/>
        </w:rPr>
        <w:t>Dillman</w:t>
      </w:r>
      <w:proofErr w:type="spellEnd"/>
      <w:r>
        <w:rPr>
          <w:rFonts w:ascii="TimesNewRoman" w:hAnsi="TimesNewRoman"/>
        </w:rPr>
        <w:t xml:space="preserve"> </w:t>
      </w:r>
      <w:r w:rsidRPr="00D94706">
        <w:rPr>
          <w:rFonts w:ascii="TimesNewRoman" w:hAnsi="TimesNewRoman"/>
        </w:rPr>
        <w:t>2011)</w:t>
      </w:r>
      <w:r>
        <w:rPr>
          <w:rFonts w:ascii="TimesNewRoman" w:hAnsi="TimesNewRoman"/>
        </w:rPr>
        <w:t>.</w:t>
      </w:r>
    </w:p>
    <w:p w:rsidR="0039241B" w:rsidRDefault="0039241B" w:rsidP="0039241B">
      <w:pPr>
        <w:widowControl/>
        <w:tabs>
          <w:tab w:val="num" w:pos="720"/>
        </w:tabs>
        <w:rPr>
          <w:rFonts w:ascii="TimesNewRoman" w:hAnsi="TimesNewRoman"/>
        </w:rPr>
      </w:pPr>
      <w:r>
        <w:rPr>
          <w:rFonts w:ascii="TimesNewRoman" w:hAnsi="TimesNewRoman"/>
        </w:rPr>
        <w:t xml:space="preserve"> </w:t>
      </w:r>
    </w:p>
    <w:p w:rsidR="0039241B" w:rsidRDefault="0039241B">
      <w:pPr>
        <w:widowControl/>
        <w:autoSpaceDE/>
        <w:autoSpaceDN/>
        <w:adjustRightInd/>
        <w:rPr>
          <w:rFonts w:ascii="TimesNewRoman" w:hAnsi="TimesNewRoman"/>
        </w:rPr>
      </w:pPr>
      <w:r>
        <w:rPr>
          <w:rFonts w:ascii="TimesNewRoman" w:hAnsi="TimesNewRoman"/>
        </w:rPr>
        <w:br w:type="page"/>
      </w:r>
    </w:p>
    <w:p w:rsidR="0039241B" w:rsidRDefault="0039241B" w:rsidP="0039241B">
      <w:pPr>
        <w:widowControl/>
        <w:tabs>
          <w:tab w:val="num" w:pos="720"/>
        </w:tabs>
        <w:rPr>
          <w:rFonts w:ascii="TimesNewRoman" w:hAnsi="TimesNewRoman"/>
        </w:rPr>
      </w:pPr>
    </w:p>
    <w:p w:rsidR="0039241B" w:rsidRPr="00465A8E" w:rsidRDefault="0039241B" w:rsidP="0039241B">
      <w:pPr>
        <w:widowControl/>
        <w:tabs>
          <w:tab w:val="num" w:pos="720"/>
        </w:tabs>
        <w:rPr>
          <w:b/>
          <w:sz w:val="24"/>
          <w:u w:val="single"/>
        </w:rPr>
      </w:pPr>
      <w:r>
        <w:rPr>
          <w:b/>
          <w:sz w:val="24"/>
        </w:rPr>
        <w:t>9</w:t>
      </w:r>
      <w:r w:rsidRPr="000761DE">
        <w:rPr>
          <w:b/>
          <w:sz w:val="24"/>
        </w:rPr>
        <w:t xml:space="preserve">A.        </w:t>
      </w:r>
      <w:r w:rsidR="00CE51C3">
        <w:rPr>
          <w:b/>
          <w:sz w:val="24"/>
        </w:rPr>
        <w:t xml:space="preserve">Remuneration Amounts by </w:t>
      </w:r>
      <w:r w:rsidR="008F5B89">
        <w:rPr>
          <w:b/>
          <w:sz w:val="24"/>
        </w:rPr>
        <w:t xml:space="preserve">Respondent </w:t>
      </w:r>
      <w:r w:rsidR="00CE51C3">
        <w:rPr>
          <w:b/>
          <w:sz w:val="24"/>
        </w:rPr>
        <w:t xml:space="preserve">Burden </w:t>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880"/>
        <w:gridCol w:w="2664"/>
        <w:gridCol w:w="2394"/>
      </w:tblGrid>
      <w:tr w:rsidR="0039241B" w:rsidRPr="003321C8" w:rsidTr="005A4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39241B" w:rsidRPr="003321C8" w:rsidRDefault="0039241B" w:rsidP="005A4666">
            <w:pPr>
              <w:rPr>
                <w:rFonts w:ascii="Times New Roman" w:hAnsi="Times New Roman" w:cs="Times New Roman"/>
              </w:rPr>
            </w:pPr>
            <w:r w:rsidRPr="003321C8">
              <w:rPr>
                <w:rFonts w:ascii="Times New Roman" w:hAnsi="Times New Roman" w:cs="Times New Roman"/>
              </w:rPr>
              <w:t>Remuneration Amount</w:t>
            </w:r>
          </w:p>
        </w:tc>
        <w:tc>
          <w:tcPr>
            <w:tcW w:w="2880" w:type="dxa"/>
          </w:tcPr>
          <w:p w:rsidR="0039241B" w:rsidRPr="003321C8" w:rsidRDefault="0039241B" w:rsidP="005A46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Number of Respondents</w:t>
            </w:r>
          </w:p>
        </w:tc>
        <w:tc>
          <w:tcPr>
            <w:tcW w:w="2664" w:type="dxa"/>
          </w:tcPr>
          <w:p w:rsidR="0039241B" w:rsidRPr="003321C8" w:rsidRDefault="0039241B" w:rsidP="005A46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Burden per Respondent</w:t>
            </w:r>
          </w:p>
        </w:tc>
        <w:tc>
          <w:tcPr>
            <w:tcW w:w="2394" w:type="dxa"/>
          </w:tcPr>
          <w:p w:rsidR="0039241B" w:rsidRPr="003321C8" w:rsidRDefault="00CE51C3" w:rsidP="005A46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Activities</w:t>
            </w:r>
          </w:p>
        </w:tc>
      </w:tr>
      <w:tr w:rsidR="0039241B" w:rsidRPr="003321C8" w:rsidTr="005A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tcBorders>
          </w:tcPr>
          <w:p w:rsidR="0039241B" w:rsidRPr="003321C8" w:rsidRDefault="0039241B" w:rsidP="005A4666">
            <w:pPr>
              <w:rPr>
                <w:rFonts w:ascii="Times New Roman" w:hAnsi="Times New Roman" w:cs="Times New Roman"/>
              </w:rPr>
            </w:pPr>
            <w:r w:rsidRPr="003321C8">
              <w:rPr>
                <w:rFonts w:ascii="Times New Roman" w:hAnsi="Times New Roman" w:cs="Times New Roman"/>
              </w:rPr>
              <w:t>$</w:t>
            </w:r>
            <w:r w:rsidR="00BE3BB6">
              <w:rPr>
                <w:rFonts w:ascii="Times New Roman" w:hAnsi="Times New Roman" w:cs="Times New Roman"/>
              </w:rPr>
              <w:t>3</w:t>
            </w:r>
            <w:r w:rsidRPr="003321C8">
              <w:rPr>
                <w:rFonts w:ascii="Times New Roman" w:hAnsi="Times New Roman" w:cs="Times New Roman"/>
              </w:rPr>
              <w:t>0</w:t>
            </w:r>
          </w:p>
        </w:tc>
        <w:tc>
          <w:tcPr>
            <w:tcW w:w="2880" w:type="dxa"/>
            <w:tcBorders>
              <w:top w:val="none" w:sz="0" w:space="0" w:color="auto"/>
              <w:bottom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120</w:t>
            </w:r>
          </w:p>
        </w:tc>
        <w:tc>
          <w:tcPr>
            <w:tcW w:w="2664" w:type="dxa"/>
            <w:tcBorders>
              <w:top w:val="none" w:sz="0" w:space="0" w:color="auto"/>
              <w:bottom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60 minutes</w:t>
            </w:r>
          </w:p>
        </w:tc>
        <w:tc>
          <w:tcPr>
            <w:tcW w:w="2394" w:type="dxa"/>
            <w:tcBorders>
              <w:top w:val="none" w:sz="0" w:space="0" w:color="auto"/>
              <w:bottom w:val="none" w:sz="0" w:space="0" w:color="auto"/>
              <w:right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Cognitive Interview/Usability Testing Respondents</w:t>
            </w:r>
          </w:p>
        </w:tc>
      </w:tr>
      <w:tr w:rsidR="0039241B" w:rsidRPr="003321C8" w:rsidTr="005A4666">
        <w:tc>
          <w:tcPr>
            <w:cnfStyle w:val="001000000000" w:firstRow="0" w:lastRow="0" w:firstColumn="1" w:lastColumn="0" w:oddVBand="0" w:evenVBand="0" w:oddHBand="0" w:evenHBand="0" w:firstRowFirstColumn="0" w:firstRowLastColumn="0" w:lastRowFirstColumn="0" w:lastRowLastColumn="0"/>
            <w:tcW w:w="1638" w:type="dxa"/>
          </w:tcPr>
          <w:p w:rsidR="0039241B" w:rsidRPr="003321C8" w:rsidRDefault="0039241B" w:rsidP="005A4666">
            <w:pPr>
              <w:rPr>
                <w:rFonts w:ascii="Times New Roman" w:hAnsi="Times New Roman" w:cs="Times New Roman"/>
              </w:rPr>
            </w:pPr>
            <w:r w:rsidRPr="003321C8">
              <w:rPr>
                <w:rFonts w:ascii="Times New Roman" w:hAnsi="Times New Roman" w:cs="Times New Roman"/>
              </w:rPr>
              <w:t>$1</w:t>
            </w:r>
          </w:p>
        </w:tc>
        <w:tc>
          <w:tcPr>
            <w:tcW w:w="2880" w:type="dxa"/>
          </w:tcPr>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2,250</w:t>
            </w:r>
          </w:p>
        </w:tc>
        <w:tc>
          <w:tcPr>
            <w:tcW w:w="2664" w:type="dxa"/>
          </w:tcPr>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4 minutes</w:t>
            </w:r>
          </w:p>
        </w:tc>
        <w:tc>
          <w:tcPr>
            <w:tcW w:w="2394" w:type="dxa"/>
          </w:tcPr>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Prepaid incentive for mail mode Screener respondents</w:t>
            </w:r>
          </w:p>
        </w:tc>
      </w:tr>
      <w:tr w:rsidR="0039241B" w:rsidRPr="003321C8" w:rsidTr="005A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tcBorders>
          </w:tcPr>
          <w:p w:rsidR="0039241B" w:rsidRPr="003321C8" w:rsidRDefault="0039241B" w:rsidP="005A4666">
            <w:pPr>
              <w:rPr>
                <w:rFonts w:ascii="Times New Roman" w:hAnsi="Times New Roman" w:cs="Times New Roman"/>
              </w:rPr>
            </w:pPr>
            <w:r w:rsidRPr="003321C8">
              <w:rPr>
                <w:rFonts w:ascii="Times New Roman" w:hAnsi="Times New Roman" w:cs="Times New Roman"/>
              </w:rPr>
              <w:t>$2</w:t>
            </w:r>
          </w:p>
        </w:tc>
        <w:tc>
          <w:tcPr>
            <w:tcW w:w="2880" w:type="dxa"/>
            <w:tcBorders>
              <w:top w:val="none" w:sz="0" w:space="0" w:color="auto"/>
              <w:bottom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842</w:t>
            </w:r>
          </w:p>
        </w:tc>
        <w:tc>
          <w:tcPr>
            <w:tcW w:w="2664" w:type="dxa"/>
            <w:tcBorders>
              <w:top w:val="none" w:sz="0" w:space="0" w:color="auto"/>
              <w:bottom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18-30 minutes</w:t>
            </w:r>
            <w:r w:rsidRPr="003321C8">
              <w:rPr>
                <w:rFonts w:ascii="Times New Roman" w:hAnsi="Times New Roman" w:cs="Times New Roman"/>
                <w:vertAlign w:val="superscript"/>
              </w:rPr>
              <w:t>*</w:t>
            </w:r>
          </w:p>
        </w:tc>
        <w:tc>
          <w:tcPr>
            <w:tcW w:w="2394" w:type="dxa"/>
            <w:tcBorders>
              <w:top w:val="none" w:sz="0" w:space="0" w:color="auto"/>
              <w:bottom w:val="none" w:sz="0" w:space="0" w:color="auto"/>
              <w:right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Prepaid incentive for mail mode Topical respondents.  Burden varies depending on questionnaire version received (Long vs. Short; 0-5 vs. 6-11 vs. 12-17)</w:t>
            </w:r>
          </w:p>
        </w:tc>
      </w:tr>
      <w:tr w:rsidR="0039241B" w:rsidRPr="003321C8" w:rsidTr="005A4666">
        <w:tc>
          <w:tcPr>
            <w:cnfStyle w:val="001000000000" w:firstRow="0" w:lastRow="0" w:firstColumn="1" w:lastColumn="0" w:oddVBand="0" w:evenVBand="0" w:oddHBand="0" w:evenHBand="0" w:firstRowFirstColumn="0" w:firstRowLastColumn="0" w:lastRowFirstColumn="0" w:lastRowLastColumn="0"/>
            <w:tcW w:w="1638" w:type="dxa"/>
          </w:tcPr>
          <w:p w:rsidR="0039241B" w:rsidRPr="003321C8" w:rsidRDefault="0039241B" w:rsidP="005A4666">
            <w:pPr>
              <w:rPr>
                <w:rFonts w:ascii="Times New Roman" w:hAnsi="Times New Roman" w:cs="Times New Roman"/>
              </w:rPr>
            </w:pPr>
            <w:r w:rsidRPr="003321C8">
              <w:rPr>
                <w:rFonts w:ascii="Times New Roman" w:hAnsi="Times New Roman" w:cs="Times New Roman"/>
              </w:rPr>
              <w:t>$2</w:t>
            </w:r>
          </w:p>
        </w:tc>
        <w:tc>
          <w:tcPr>
            <w:tcW w:w="2880" w:type="dxa"/>
          </w:tcPr>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2,250</w:t>
            </w:r>
          </w:p>
        </w:tc>
        <w:tc>
          <w:tcPr>
            <w:tcW w:w="2664" w:type="dxa"/>
          </w:tcPr>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4-30 minutes</w:t>
            </w:r>
            <w:r w:rsidRPr="003321C8">
              <w:rPr>
                <w:rFonts w:ascii="Times New Roman" w:hAnsi="Times New Roman" w:cs="Times New Roman"/>
                <w:vertAlign w:val="superscript"/>
              </w:rPr>
              <w:t>^</w:t>
            </w:r>
          </w:p>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94" w:type="dxa"/>
          </w:tcPr>
          <w:p w:rsidR="0039241B" w:rsidRPr="003321C8" w:rsidRDefault="0039241B" w:rsidP="005A4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Prepaid incentive for web mode respondents.  Burden varies depending on whether respondent screens in for Topical and on Topical questionnaire version received (Long vs. Short; 0-5 vs. 6-11 vs. 12-17).</w:t>
            </w:r>
          </w:p>
        </w:tc>
      </w:tr>
      <w:tr w:rsidR="0039241B" w:rsidRPr="003321C8" w:rsidTr="005A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tcBorders>
          </w:tcPr>
          <w:p w:rsidR="0039241B" w:rsidRPr="003321C8" w:rsidRDefault="0039241B" w:rsidP="005A4666">
            <w:pPr>
              <w:rPr>
                <w:rFonts w:ascii="Times New Roman" w:hAnsi="Times New Roman" w:cs="Times New Roman"/>
              </w:rPr>
            </w:pPr>
            <w:r w:rsidRPr="003321C8">
              <w:rPr>
                <w:rFonts w:ascii="Times New Roman" w:hAnsi="Times New Roman" w:cs="Times New Roman"/>
              </w:rPr>
              <w:t>$10</w:t>
            </w:r>
          </w:p>
        </w:tc>
        <w:tc>
          <w:tcPr>
            <w:tcW w:w="2880" w:type="dxa"/>
            <w:tcBorders>
              <w:top w:val="none" w:sz="0" w:space="0" w:color="auto"/>
              <w:bottom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80</w:t>
            </w:r>
          </w:p>
        </w:tc>
        <w:tc>
          <w:tcPr>
            <w:tcW w:w="2664" w:type="dxa"/>
            <w:tcBorders>
              <w:top w:val="none" w:sz="0" w:space="0" w:color="auto"/>
              <w:bottom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4-30 minutes</w:t>
            </w:r>
            <w:r w:rsidRPr="003321C8">
              <w:rPr>
                <w:rFonts w:ascii="Times New Roman" w:hAnsi="Times New Roman" w:cs="Times New Roman"/>
                <w:vertAlign w:val="superscript"/>
              </w:rPr>
              <w:t>^</w:t>
            </w:r>
          </w:p>
        </w:tc>
        <w:tc>
          <w:tcPr>
            <w:tcW w:w="2394" w:type="dxa"/>
            <w:tcBorders>
              <w:top w:val="none" w:sz="0" w:space="0" w:color="auto"/>
              <w:bottom w:val="none" w:sz="0" w:space="0" w:color="auto"/>
              <w:right w:val="none" w:sz="0" w:space="0" w:color="auto"/>
            </w:tcBorders>
          </w:tcPr>
          <w:p w:rsidR="0039241B" w:rsidRPr="003321C8" w:rsidRDefault="0039241B" w:rsidP="005A46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21C8">
              <w:rPr>
                <w:rFonts w:ascii="Times New Roman" w:hAnsi="Times New Roman" w:cs="Times New Roman"/>
              </w:rPr>
              <w:t>Paid incentive to phone refusal cases.  Burden varies depending on whether respondent screens in for Topical and on Topical questionnaire version received (Long vs. Short; 0-5 vs. 6-11 vs. 12-17).</w:t>
            </w:r>
          </w:p>
        </w:tc>
      </w:tr>
    </w:tbl>
    <w:p w:rsidR="0039241B" w:rsidRDefault="0039241B" w:rsidP="0039241B">
      <w:pPr>
        <w:ind w:left="180" w:hanging="180"/>
      </w:pPr>
      <w:r w:rsidRPr="003321C8">
        <w:rPr>
          <w:vertAlign w:val="superscript"/>
        </w:rPr>
        <w:t>*</w:t>
      </w:r>
      <w:r w:rsidRPr="003321C8">
        <w:t xml:space="preserve"> 0-5 Long = 30 minutes; 6-11 Long = 27 minutes; 12-17 Long = 27 minutes; 0-5 Short = 22 minutes; 6-11 Short = 18 minutes; 12-17 Short = 22 minutes.</w:t>
      </w:r>
    </w:p>
    <w:p w:rsidR="0039241B" w:rsidRPr="003321C8" w:rsidRDefault="0039241B" w:rsidP="0039241B">
      <w:pPr>
        <w:ind w:left="180" w:hanging="180"/>
      </w:pPr>
      <w:r w:rsidRPr="003321C8">
        <w:rPr>
          <w:vertAlign w:val="superscript"/>
        </w:rPr>
        <w:t>^</w:t>
      </w:r>
      <w:r>
        <w:rPr>
          <w:vertAlign w:val="superscript"/>
        </w:rPr>
        <w:t xml:space="preserve"> </w:t>
      </w:r>
      <w:r>
        <w:t xml:space="preserve">Screener = 4 minutes; </w:t>
      </w:r>
      <w:r w:rsidRPr="003321C8">
        <w:t>0-5 Long = 30 minutes; 6-11 Long = 27 minutes; 12-17 Long = 27 minutes; 0-5 Short = 22 minutes; 6-11 Short = 18 minutes; 12-17 Short = 22 minutes.</w:t>
      </w:r>
    </w:p>
    <w:p w:rsidR="0039241B" w:rsidRDefault="0039241B">
      <w:pPr>
        <w:widowControl/>
        <w:autoSpaceDE/>
        <w:autoSpaceDN/>
        <w:adjustRightInd/>
        <w:rPr>
          <w:sz w:val="24"/>
        </w:rPr>
      </w:pPr>
      <w:r>
        <w:br w:type="page"/>
      </w:r>
    </w:p>
    <w:p w:rsidR="009B3794" w:rsidRPr="00132870"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rsidR="00132870" w:rsidRPr="00070EC9" w:rsidRDefault="00544208" w:rsidP="00070EC9">
      <w:pPr>
        <w:spacing w:before="120" w:after="120"/>
        <w:rPr>
          <w:sz w:val="24"/>
        </w:rPr>
      </w:pPr>
      <w:r w:rsidRPr="00544208">
        <w:rPr>
          <w:sz w:val="24"/>
        </w:rPr>
        <w:t xml:space="preserve">Data will be kept private to the extent allowed by law.  Individuals and organizations will be assured of the confidentiality of their replies under Section 934(c) of the Public Health Service Act, </w:t>
      </w:r>
      <w:proofErr w:type="gramStart"/>
      <w:r w:rsidRPr="00544208">
        <w:rPr>
          <w:sz w:val="24"/>
        </w:rPr>
        <w:t>42 USC 299c-3(c)</w:t>
      </w:r>
      <w:proofErr w:type="gramEnd"/>
      <w:r w:rsidRPr="00544208">
        <w:rPr>
          <w:sz w:val="24"/>
        </w:rPr>
        <w:t xml:space="preserve">.  They will be told the purposes for which the information is collected and that, in accordance with this statute, any identifiable information about them will not be used or disclosed for any other purpose. </w:t>
      </w:r>
    </w:p>
    <w:p w:rsidR="009B3794"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rsidR="009B3794" w:rsidRPr="00A52C82" w:rsidRDefault="00A43802" w:rsidP="00A43802">
      <w:pPr>
        <w:widowControl/>
        <w:tabs>
          <w:tab w:val="num" w:pos="360"/>
        </w:tabs>
        <w:spacing w:before="12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 participation is entirely voluntary and individuals are free to refrain from answering any question that they do not feel comfortable responding to</w:t>
      </w:r>
      <w:r w:rsidR="00FB5CCB">
        <w:rPr>
          <w:sz w:val="24"/>
        </w:rPr>
        <w:t xml:space="preserve">.  </w:t>
      </w:r>
      <w:r w:rsidR="00320663">
        <w:rPr>
          <w:sz w:val="24"/>
        </w:rPr>
        <w:t>I</w:t>
      </w:r>
      <w:r w:rsidRPr="00A43802">
        <w:rPr>
          <w:sz w:val="24"/>
        </w:rPr>
        <w:t xml:space="preserve">tems related to race and </w:t>
      </w:r>
      <w:proofErr w:type="gramStart"/>
      <w:r w:rsidRPr="00A43802">
        <w:rPr>
          <w:sz w:val="24"/>
        </w:rPr>
        <w:t>ethnicity</w:t>
      </w:r>
      <w:r w:rsidR="00320663">
        <w:rPr>
          <w:sz w:val="24"/>
        </w:rPr>
        <w:t xml:space="preserve"> are</w:t>
      </w:r>
      <w:proofErr w:type="gramEnd"/>
      <w:r w:rsidR="00320663">
        <w:rPr>
          <w:sz w:val="24"/>
        </w:rPr>
        <w:t xml:space="preserve"> included; however, t</w:t>
      </w:r>
      <w:r w:rsidRPr="00A43802">
        <w:rPr>
          <w:sz w:val="24"/>
        </w:rPr>
        <w:t xml:space="preserve">he </w:t>
      </w:r>
      <w:r>
        <w:rPr>
          <w:sz w:val="24"/>
        </w:rPr>
        <w:t xml:space="preserve">U.S. Department of Health &amp; Human Services </w:t>
      </w:r>
      <w:r w:rsidRPr="00A43802">
        <w:rPr>
          <w:sz w:val="24"/>
        </w:rPr>
        <w:t>(</w:t>
      </w:r>
      <w:r w:rsidR="009B3794" w:rsidRPr="00A43802">
        <w:rPr>
          <w:sz w:val="24"/>
        </w:rPr>
        <w:t>HHS</w:t>
      </w:r>
      <w:r w:rsidRPr="00A43802">
        <w:rPr>
          <w:sz w:val="24"/>
        </w:rPr>
        <w:t>)</w:t>
      </w:r>
      <w:r w:rsidR="009B3794" w:rsidRPr="00A43802">
        <w:rPr>
          <w:sz w:val="24"/>
        </w:rPr>
        <w:t xml:space="preserve"> requires that race </w:t>
      </w:r>
      <w:r w:rsidR="009B3794" w:rsidRPr="00A43802">
        <w:rPr>
          <w:sz w:val="24"/>
          <w:u w:val="single"/>
        </w:rPr>
        <w:t>and</w:t>
      </w:r>
      <w:r w:rsidR="009B3794" w:rsidRPr="00A43802">
        <w:rPr>
          <w:sz w:val="24"/>
        </w:rPr>
        <w:t xml:space="preserve"> ethnicity be collected </w:t>
      </w:r>
      <w:r w:rsidR="00472847" w:rsidRPr="00A43802">
        <w:rPr>
          <w:sz w:val="24"/>
        </w:rPr>
        <w:t xml:space="preserve">on </w:t>
      </w:r>
      <w:r w:rsidR="009B3794" w:rsidRPr="00A43802">
        <w:rPr>
          <w:sz w:val="24"/>
        </w:rPr>
        <w:t xml:space="preserve">all HHS data collection instruments. </w:t>
      </w:r>
    </w:p>
    <w:p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p w:rsidR="00663BCE" w:rsidRDefault="00663BCE">
      <w:pPr>
        <w:widowControl/>
        <w:autoSpaceDE/>
        <w:autoSpaceDN/>
        <w:adjustRightInd/>
        <w:rPr>
          <w:i/>
          <w:color w:val="002060"/>
          <w:sz w:val="24"/>
        </w:rPr>
      </w:pPr>
    </w:p>
    <w:p w:rsidR="00663BCE" w:rsidRDefault="00663BCE" w:rsidP="00663BCE">
      <w:pPr>
        <w:rPr>
          <w:sz w:val="24"/>
        </w:rPr>
      </w:pPr>
      <w:r w:rsidRPr="00663BCE">
        <w:rPr>
          <w:sz w:val="24"/>
        </w:rPr>
        <w:t xml:space="preserve">Estimates of annualized hour burden and annualized cost to respondents are laid out in Tables </w:t>
      </w:r>
      <w:r>
        <w:rPr>
          <w:sz w:val="24"/>
        </w:rPr>
        <w:t>12A</w:t>
      </w:r>
      <w:r w:rsidRPr="00663BCE">
        <w:rPr>
          <w:sz w:val="24"/>
        </w:rPr>
        <w:t xml:space="preserve"> and </w:t>
      </w:r>
      <w:r>
        <w:rPr>
          <w:sz w:val="24"/>
        </w:rPr>
        <w:t>12B</w:t>
      </w:r>
      <w:r w:rsidRPr="00663BCE">
        <w:rPr>
          <w:sz w:val="24"/>
        </w:rPr>
        <w:t xml:space="preserve">, respectively.  The total number of estimated respondents is </w:t>
      </w:r>
      <w:r w:rsidR="00DD1696">
        <w:rPr>
          <w:sz w:val="24"/>
        </w:rPr>
        <w:t>9,</w:t>
      </w:r>
      <w:r w:rsidR="00704A6B">
        <w:rPr>
          <w:sz w:val="24"/>
        </w:rPr>
        <w:t>486</w:t>
      </w:r>
      <w:r w:rsidRPr="00663BCE">
        <w:rPr>
          <w:sz w:val="24"/>
        </w:rPr>
        <w:t xml:space="preserve"> annually.  The total number of annual burden hours is </w:t>
      </w:r>
      <w:r w:rsidR="00DD1696">
        <w:rPr>
          <w:sz w:val="24"/>
        </w:rPr>
        <w:t>1,5</w:t>
      </w:r>
      <w:r w:rsidR="00DE6DD8">
        <w:rPr>
          <w:sz w:val="24"/>
        </w:rPr>
        <w:t>95</w:t>
      </w:r>
      <w:r w:rsidRPr="00663BCE">
        <w:rPr>
          <w:sz w:val="24"/>
        </w:rPr>
        <w:t xml:space="preserve">. The estimated total annual respondent cost is </w:t>
      </w:r>
      <w:r w:rsidR="00DE6DD8" w:rsidRPr="00DE6DD8">
        <w:rPr>
          <w:sz w:val="24"/>
        </w:rPr>
        <w:t>$16,734.30</w:t>
      </w:r>
      <w:r w:rsidRPr="00DE6DD8">
        <w:rPr>
          <w:sz w:val="24"/>
        </w:rPr>
        <w:t>.</w:t>
      </w:r>
    </w:p>
    <w:p w:rsidR="00663BCE" w:rsidRPr="00663BCE" w:rsidRDefault="00663BCE" w:rsidP="00663BCE">
      <w:pPr>
        <w:rPr>
          <w:sz w:val="24"/>
        </w:rPr>
      </w:pPr>
    </w:p>
    <w:p w:rsidR="00663BCE" w:rsidRDefault="00663BCE" w:rsidP="00663BCE">
      <w:pPr>
        <w:rPr>
          <w:sz w:val="24"/>
        </w:rPr>
      </w:pPr>
      <w:r>
        <w:rPr>
          <w:sz w:val="24"/>
        </w:rPr>
        <w:t xml:space="preserve">The number of estimated respondents varies by data collection activity.  A total of 120 respondents will be recruited to complete the Qualitative Assessment (Cognitive Interview/Usability Testing).  Of these respondents, half (n=60) will be assigned to a test-retest validation condition whereby they will be </w:t>
      </w:r>
      <w:proofErr w:type="spellStart"/>
      <w:r>
        <w:rPr>
          <w:sz w:val="24"/>
        </w:rPr>
        <w:t>recontacted</w:t>
      </w:r>
      <w:proofErr w:type="spellEnd"/>
      <w:r>
        <w:rPr>
          <w:sz w:val="24"/>
        </w:rPr>
        <w:t xml:space="preserve"> two weeks subsequent to the Qualitative Assessment interview and re-administered a sub-set of items </w:t>
      </w:r>
      <w:r w:rsidR="00C6574C">
        <w:rPr>
          <w:sz w:val="24"/>
        </w:rPr>
        <w:t>from the original interview.  The other half of respondents will be assigned to a criterion-based validation testing condition, and will be asked to bring in documentation (e.g., prescription bottles; health insurance cards) to allow for validation of responses for a subset of items (conditions questions; health insurance status questions).  If respondents are unwilling or unable to provide the requested documentation, the study will request permission to contact the child’s health care provider to validate these items.  It is estimated that approximately 30 cases will require follow-up with a health care provider.</w:t>
      </w:r>
    </w:p>
    <w:p w:rsidR="00704A6B" w:rsidRDefault="00704A6B" w:rsidP="00663BCE">
      <w:pPr>
        <w:rPr>
          <w:sz w:val="24"/>
        </w:rPr>
      </w:pPr>
    </w:p>
    <w:p w:rsidR="00704A6B" w:rsidRDefault="00704A6B" w:rsidP="00663BCE">
      <w:pPr>
        <w:rPr>
          <w:sz w:val="24"/>
        </w:rPr>
      </w:pPr>
      <w:r>
        <w:rPr>
          <w:sz w:val="24"/>
        </w:rPr>
        <w:t>For the Mode Effects Experiment, 6,750 respondents are expected to complete the screener; 421 respondents per age group/questionnaire length condition are expected to complete the Topical questionnaire.</w:t>
      </w:r>
    </w:p>
    <w:p w:rsidR="00663BCE" w:rsidRDefault="00663BCE" w:rsidP="00663BCE">
      <w:pPr>
        <w:rPr>
          <w:sz w:val="24"/>
        </w:rPr>
      </w:pPr>
    </w:p>
    <w:p w:rsidR="00C6574C" w:rsidRDefault="00663BCE" w:rsidP="00663BCE">
      <w:pPr>
        <w:rPr>
          <w:sz w:val="24"/>
        </w:rPr>
      </w:pPr>
      <w:r w:rsidRPr="00663BCE">
        <w:rPr>
          <w:sz w:val="24"/>
        </w:rPr>
        <w:t xml:space="preserve">The frequency of response </w:t>
      </w:r>
      <w:r w:rsidR="00C6574C">
        <w:rPr>
          <w:sz w:val="24"/>
        </w:rPr>
        <w:t>is the same across data collection activities – each instrument requires one response per respondent.</w:t>
      </w:r>
    </w:p>
    <w:p w:rsidR="00C6574C" w:rsidRDefault="00C6574C" w:rsidP="00663BCE">
      <w:pPr>
        <w:rPr>
          <w:sz w:val="24"/>
        </w:rPr>
      </w:pPr>
    </w:p>
    <w:p w:rsidR="00663BCE" w:rsidRPr="00663BCE" w:rsidRDefault="00663BCE" w:rsidP="00C6574C">
      <w:pPr>
        <w:rPr>
          <w:sz w:val="24"/>
        </w:rPr>
      </w:pPr>
      <w:r w:rsidRPr="00663BCE">
        <w:rPr>
          <w:sz w:val="24"/>
        </w:rPr>
        <w:t xml:space="preserve">The average burden per response was determined by timing instruments </w:t>
      </w:r>
      <w:r w:rsidR="00C6574C">
        <w:rPr>
          <w:sz w:val="24"/>
        </w:rPr>
        <w:t>administration with 9 or fewer respondents</w:t>
      </w:r>
      <w:r w:rsidRPr="00663BCE">
        <w:rPr>
          <w:sz w:val="24"/>
        </w:rPr>
        <w:t xml:space="preserve">.  </w:t>
      </w:r>
    </w:p>
    <w:p w:rsidR="00C6574C" w:rsidRDefault="00C6574C" w:rsidP="00663BCE">
      <w:pPr>
        <w:rPr>
          <w:sz w:val="24"/>
        </w:rPr>
      </w:pPr>
    </w:p>
    <w:p w:rsidR="006B7361" w:rsidRDefault="00663BCE" w:rsidP="00663BCE">
      <w:pPr>
        <w:rPr>
          <w:sz w:val="24"/>
        </w:rPr>
      </w:pPr>
      <w:r w:rsidRPr="00663BCE">
        <w:rPr>
          <w:sz w:val="24"/>
        </w:rPr>
        <w:t>Estimates of the total annual respondent cost for the collection of information use the appropriate wage rate categories.  For individuals, the wage rate is $10.00 per hour.</w:t>
      </w:r>
      <w:r w:rsidR="006B7361">
        <w:rPr>
          <w:sz w:val="24"/>
        </w:rPr>
        <w:t xml:space="preserve">  This is based on the average hourly earnings for employees as reported by the Bureau of Labor Statistics (</w:t>
      </w:r>
      <w:hyperlink r:id="rId9" w:history="1">
        <w:r w:rsidR="006B7361" w:rsidRPr="003B35BC">
          <w:rPr>
            <w:rStyle w:val="Hyperlink"/>
            <w:sz w:val="24"/>
          </w:rPr>
          <w:t>http://www.bls.gov/news.release/realer.t01.htm</w:t>
        </w:r>
      </w:hyperlink>
      <w:r w:rsidR="006B7361">
        <w:rPr>
          <w:sz w:val="24"/>
        </w:rPr>
        <w:t>).</w:t>
      </w:r>
    </w:p>
    <w:p w:rsidR="006B7361" w:rsidRDefault="006B7361" w:rsidP="00663BCE">
      <w:pPr>
        <w:rPr>
          <w:sz w:val="24"/>
        </w:rPr>
      </w:pPr>
    </w:p>
    <w:p w:rsidR="00663BCE" w:rsidRPr="00663BCE" w:rsidRDefault="00663BCE" w:rsidP="00663BCE">
      <w:pPr>
        <w:rPr>
          <w:sz w:val="24"/>
        </w:rPr>
      </w:pPr>
      <w:r w:rsidRPr="00663BCE">
        <w:rPr>
          <w:sz w:val="24"/>
        </w:rPr>
        <w:t xml:space="preserve">For health </w:t>
      </w:r>
      <w:r w:rsidR="005E653B">
        <w:rPr>
          <w:sz w:val="24"/>
        </w:rPr>
        <w:t xml:space="preserve">care </w:t>
      </w:r>
      <w:r w:rsidRPr="00663BCE">
        <w:rPr>
          <w:sz w:val="24"/>
        </w:rPr>
        <w:t>providers, the wage rate is $</w:t>
      </w:r>
      <w:r w:rsidR="005E653B">
        <w:rPr>
          <w:sz w:val="24"/>
        </w:rPr>
        <w:t>88.43</w:t>
      </w:r>
      <w:r w:rsidRPr="00663BCE">
        <w:rPr>
          <w:sz w:val="24"/>
        </w:rPr>
        <w:t xml:space="preserve"> per hour.</w:t>
      </w:r>
      <w:r w:rsidR="005E653B">
        <w:rPr>
          <w:sz w:val="24"/>
        </w:rPr>
        <w:t xml:space="preserve">  This was calculated based on the mean hourly wage for Family and General Practitioners as reported by the Bureau of Labor Statistics (</w:t>
      </w:r>
      <w:r w:rsidR="005E653B" w:rsidRPr="005E653B">
        <w:rPr>
          <w:sz w:val="24"/>
        </w:rPr>
        <w:t>http://www.bls.gov/oes/current/oes291062.htm</w:t>
      </w:r>
      <w:r w:rsidR="005E653B">
        <w:rPr>
          <w:sz w:val="24"/>
        </w:rPr>
        <w:t xml:space="preserve">). </w:t>
      </w:r>
    </w:p>
    <w:p w:rsidR="002372C1" w:rsidRDefault="002372C1">
      <w:pPr>
        <w:widowControl/>
        <w:autoSpaceDE/>
        <w:autoSpaceDN/>
        <w:adjustRightInd/>
        <w:rPr>
          <w:b/>
          <w:i/>
          <w:color w:val="002060"/>
          <w:sz w:val="24"/>
        </w:rPr>
      </w:pPr>
      <w:r>
        <w:rPr>
          <w:b/>
          <w:i/>
          <w:color w:val="002060"/>
          <w:sz w:val="24"/>
        </w:rPr>
        <w:br w:type="page"/>
      </w:r>
    </w:p>
    <w:p w:rsidR="000761DE" w:rsidRPr="00465A8E" w:rsidRDefault="009B3794" w:rsidP="00DE6DD8">
      <w:pPr>
        <w:widowControl/>
        <w:tabs>
          <w:tab w:val="num" w:pos="720"/>
        </w:tabs>
        <w:rPr>
          <w:b/>
          <w:sz w:val="24"/>
          <w:u w:val="single"/>
        </w:rPr>
      </w:pPr>
      <w:r w:rsidRPr="000761DE">
        <w:rPr>
          <w:b/>
          <w:sz w:val="24"/>
        </w:rPr>
        <w:t>12A.        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390"/>
        <w:gridCol w:w="1632"/>
        <w:gridCol w:w="1532"/>
        <w:gridCol w:w="1261"/>
        <w:gridCol w:w="1061"/>
      </w:tblGrid>
      <w:tr w:rsidR="000C65F2" w:rsidRPr="00465A8E" w:rsidTr="000C65F2">
        <w:trPr>
          <w:trHeight w:val="2189"/>
        </w:trPr>
        <w:tc>
          <w:tcPr>
            <w:tcW w:w="1532" w:type="dxa"/>
            <w:shd w:val="clear" w:color="auto" w:fill="000000" w:themeFill="text1"/>
          </w:tcPr>
          <w:p w:rsidR="00CA3DA6" w:rsidRPr="00465A8E" w:rsidRDefault="00CA3DA6" w:rsidP="00CA3DA6">
            <w:pPr>
              <w:widowControl/>
              <w:tabs>
                <w:tab w:val="num" w:pos="1080"/>
              </w:tabs>
              <w:spacing w:before="120"/>
              <w:rPr>
                <w:b/>
                <w:bCs/>
                <w:sz w:val="22"/>
                <w:szCs w:val="22"/>
              </w:rPr>
            </w:pPr>
            <w:r w:rsidRPr="00465A8E">
              <w:rPr>
                <w:b/>
                <w:bCs/>
                <w:sz w:val="22"/>
                <w:szCs w:val="22"/>
              </w:rPr>
              <w:t>Type of</w:t>
            </w:r>
          </w:p>
          <w:p w:rsidR="00CA3DA6" w:rsidRPr="00465A8E" w:rsidRDefault="00CA3DA6" w:rsidP="00CA3DA6">
            <w:pPr>
              <w:widowControl/>
              <w:tabs>
                <w:tab w:val="num" w:pos="1080"/>
              </w:tabs>
              <w:spacing w:before="120"/>
              <w:rPr>
                <w:b/>
                <w:bCs/>
                <w:sz w:val="22"/>
                <w:szCs w:val="22"/>
              </w:rPr>
            </w:pPr>
            <w:r w:rsidRPr="00465A8E">
              <w:rPr>
                <w:b/>
                <w:bCs/>
                <w:sz w:val="22"/>
                <w:szCs w:val="22"/>
              </w:rPr>
              <w:t>Respondent</w:t>
            </w:r>
          </w:p>
          <w:p w:rsidR="00CA3DA6" w:rsidRPr="00465A8E" w:rsidRDefault="00CA3DA6" w:rsidP="00CA3DA6">
            <w:pPr>
              <w:widowControl/>
              <w:tabs>
                <w:tab w:val="num" w:pos="1080"/>
              </w:tabs>
              <w:spacing w:before="120"/>
              <w:rPr>
                <w:b/>
                <w:bCs/>
                <w:sz w:val="22"/>
                <w:szCs w:val="22"/>
              </w:rPr>
            </w:pPr>
          </w:p>
        </w:tc>
        <w:tc>
          <w:tcPr>
            <w:tcW w:w="1390" w:type="dxa"/>
            <w:shd w:val="clear" w:color="auto" w:fill="000000" w:themeFill="text1"/>
          </w:tcPr>
          <w:p w:rsidR="00CA3DA6" w:rsidRPr="00465A8E" w:rsidRDefault="00CA3DA6" w:rsidP="00CA3DA6">
            <w:pPr>
              <w:widowControl/>
              <w:tabs>
                <w:tab w:val="num" w:pos="1080"/>
              </w:tabs>
              <w:spacing w:before="120"/>
              <w:rPr>
                <w:b/>
                <w:bCs/>
                <w:sz w:val="22"/>
                <w:szCs w:val="22"/>
              </w:rPr>
            </w:pPr>
            <w:r w:rsidRPr="00465A8E">
              <w:rPr>
                <w:b/>
                <w:bCs/>
                <w:sz w:val="22"/>
                <w:szCs w:val="22"/>
              </w:rPr>
              <w:t>Form</w:t>
            </w:r>
          </w:p>
          <w:p w:rsidR="00CA3DA6" w:rsidRPr="00465A8E" w:rsidRDefault="00CA3DA6" w:rsidP="00CA3DA6">
            <w:pPr>
              <w:widowControl/>
              <w:tabs>
                <w:tab w:val="num" w:pos="1080"/>
              </w:tabs>
              <w:spacing w:before="120"/>
              <w:rPr>
                <w:b/>
                <w:bCs/>
                <w:sz w:val="22"/>
                <w:szCs w:val="22"/>
              </w:rPr>
            </w:pPr>
            <w:r w:rsidRPr="00465A8E">
              <w:rPr>
                <w:b/>
                <w:bCs/>
                <w:sz w:val="22"/>
                <w:szCs w:val="22"/>
              </w:rPr>
              <w:t>Name</w:t>
            </w:r>
          </w:p>
          <w:p w:rsidR="00CA3DA6" w:rsidRPr="00465A8E" w:rsidRDefault="00CA3DA6" w:rsidP="00CA3DA6">
            <w:pPr>
              <w:widowControl/>
              <w:tabs>
                <w:tab w:val="num" w:pos="1080"/>
              </w:tabs>
              <w:spacing w:before="120"/>
              <w:rPr>
                <w:b/>
                <w:bCs/>
                <w:sz w:val="22"/>
                <w:szCs w:val="22"/>
              </w:rPr>
            </w:pPr>
          </w:p>
        </w:tc>
        <w:tc>
          <w:tcPr>
            <w:tcW w:w="1632" w:type="dxa"/>
            <w:shd w:val="clear" w:color="auto" w:fill="000000" w:themeFill="text1"/>
          </w:tcPr>
          <w:p w:rsidR="00CA3DA6" w:rsidRPr="00465A8E" w:rsidRDefault="00CA3DA6" w:rsidP="00CA3DA6">
            <w:pPr>
              <w:widowControl/>
              <w:tabs>
                <w:tab w:val="num" w:pos="1080"/>
              </w:tabs>
              <w:spacing w:before="120"/>
              <w:rPr>
                <w:b/>
                <w:bCs/>
                <w:sz w:val="22"/>
                <w:szCs w:val="22"/>
              </w:rPr>
            </w:pPr>
            <w:r w:rsidRPr="00465A8E">
              <w:rPr>
                <w:b/>
                <w:bCs/>
                <w:sz w:val="22"/>
                <w:szCs w:val="22"/>
              </w:rPr>
              <w:t>No. of</w:t>
            </w:r>
          </w:p>
          <w:p w:rsidR="00CA3DA6" w:rsidRPr="00465A8E" w:rsidRDefault="00CA3DA6" w:rsidP="00CA3DA6">
            <w:pPr>
              <w:widowControl/>
              <w:tabs>
                <w:tab w:val="num" w:pos="1080"/>
              </w:tabs>
              <w:spacing w:before="120"/>
              <w:rPr>
                <w:b/>
                <w:bCs/>
                <w:sz w:val="22"/>
                <w:szCs w:val="22"/>
              </w:rPr>
            </w:pPr>
            <w:r w:rsidRPr="00465A8E">
              <w:rPr>
                <w:b/>
                <w:bCs/>
                <w:sz w:val="22"/>
                <w:szCs w:val="22"/>
              </w:rPr>
              <w:t>Respondents</w:t>
            </w:r>
          </w:p>
        </w:tc>
        <w:tc>
          <w:tcPr>
            <w:tcW w:w="1532" w:type="dxa"/>
            <w:shd w:val="clear" w:color="auto" w:fill="000000" w:themeFill="text1"/>
          </w:tcPr>
          <w:p w:rsidR="00CA3DA6" w:rsidRPr="00465A8E" w:rsidRDefault="00CA3DA6" w:rsidP="00CA3DA6">
            <w:pPr>
              <w:widowControl/>
              <w:tabs>
                <w:tab w:val="num" w:pos="1080"/>
              </w:tabs>
              <w:spacing w:before="120"/>
              <w:rPr>
                <w:b/>
                <w:bCs/>
                <w:sz w:val="22"/>
                <w:szCs w:val="22"/>
              </w:rPr>
            </w:pPr>
            <w:r w:rsidRPr="00465A8E">
              <w:rPr>
                <w:b/>
                <w:bCs/>
                <w:sz w:val="22"/>
                <w:szCs w:val="22"/>
              </w:rPr>
              <w:t>No.</w:t>
            </w:r>
          </w:p>
          <w:p w:rsidR="00CA3DA6" w:rsidRPr="00465A8E" w:rsidRDefault="00CA3DA6" w:rsidP="00CA3DA6">
            <w:pPr>
              <w:widowControl/>
              <w:tabs>
                <w:tab w:val="num" w:pos="1080"/>
              </w:tabs>
              <w:spacing w:before="120"/>
              <w:rPr>
                <w:b/>
                <w:bCs/>
                <w:sz w:val="22"/>
                <w:szCs w:val="22"/>
              </w:rPr>
            </w:pPr>
            <w:r w:rsidRPr="00465A8E">
              <w:rPr>
                <w:b/>
                <w:bCs/>
                <w:sz w:val="22"/>
                <w:szCs w:val="22"/>
              </w:rPr>
              <w:t>Responses</w:t>
            </w:r>
          </w:p>
          <w:p w:rsidR="00CA3DA6" w:rsidRPr="00465A8E" w:rsidRDefault="00CA3DA6" w:rsidP="00CA3DA6">
            <w:pPr>
              <w:widowControl/>
              <w:tabs>
                <w:tab w:val="num" w:pos="1080"/>
              </w:tabs>
              <w:spacing w:before="120"/>
              <w:rPr>
                <w:b/>
                <w:bCs/>
                <w:sz w:val="22"/>
                <w:szCs w:val="22"/>
              </w:rPr>
            </w:pPr>
            <w:r w:rsidRPr="00465A8E">
              <w:rPr>
                <w:b/>
                <w:bCs/>
                <w:sz w:val="22"/>
                <w:szCs w:val="22"/>
              </w:rPr>
              <w:t>per</w:t>
            </w:r>
          </w:p>
          <w:p w:rsidR="00CA3DA6" w:rsidRPr="00465A8E" w:rsidRDefault="00CA3DA6" w:rsidP="00CA3DA6">
            <w:pPr>
              <w:widowControl/>
              <w:tabs>
                <w:tab w:val="num" w:pos="1080"/>
              </w:tabs>
              <w:spacing w:before="120"/>
              <w:rPr>
                <w:b/>
                <w:bCs/>
                <w:sz w:val="22"/>
                <w:szCs w:val="22"/>
              </w:rPr>
            </w:pPr>
            <w:r w:rsidRPr="00465A8E">
              <w:rPr>
                <w:b/>
                <w:bCs/>
                <w:sz w:val="22"/>
                <w:szCs w:val="22"/>
              </w:rPr>
              <w:t>Respondent</w:t>
            </w:r>
          </w:p>
        </w:tc>
        <w:tc>
          <w:tcPr>
            <w:tcW w:w="1261" w:type="dxa"/>
            <w:shd w:val="clear" w:color="auto" w:fill="000000" w:themeFill="text1"/>
          </w:tcPr>
          <w:p w:rsidR="00CA3DA6" w:rsidRPr="00465A8E" w:rsidRDefault="00CA3DA6" w:rsidP="00CA3DA6">
            <w:pPr>
              <w:widowControl/>
              <w:tabs>
                <w:tab w:val="num" w:pos="1080"/>
              </w:tabs>
              <w:spacing w:before="120"/>
              <w:rPr>
                <w:b/>
                <w:bCs/>
                <w:sz w:val="22"/>
                <w:szCs w:val="22"/>
              </w:rPr>
            </w:pPr>
            <w:r w:rsidRPr="00465A8E">
              <w:rPr>
                <w:b/>
                <w:bCs/>
                <w:sz w:val="22"/>
                <w:szCs w:val="22"/>
              </w:rPr>
              <w:t>Average</w:t>
            </w:r>
          </w:p>
          <w:p w:rsidR="00CA3DA6" w:rsidRPr="00465A8E" w:rsidRDefault="00CA3DA6" w:rsidP="00CA3DA6">
            <w:pPr>
              <w:widowControl/>
              <w:tabs>
                <w:tab w:val="num" w:pos="1080"/>
              </w:tabs>
              <w:spacing w:before="120"/>
              <w:rPr>
                <w:b/>
                <w:bCs/>
                <w:sz w:val="22"/>
                <w:szCs w:val="22"/>
              </w:rPr>
            </w:pPr>
            <w:r w:rsidRPr="00465A8E">
              <w:rPr>
                <w:b/>
                <w:bCs/>
                <w:sz w:val="22"/>
                <w:szCs w:val="22"/>
              </w:rPr>
              <w:t>Burden per</w:t>
            </w:r>
          </w:p>
          <w:p w:rsidR="00CA3DA6" w:rsidRPr="00465A8E" w:rsidRDefault="00CA3DA6" w:rsidP="00CA3DA6">
            <w:pPr>
              <w:widowControl/>
              <w:tabs>
                <w:tab w:val="num" w:pos="1080"/>
              </w:tabs>
              <w:spacing w:before="120"/>
              <w:rPr>
                <w:b/>
                <w:bCs/>
                <w:sz w:val="22"/>
                <w:szCs w:val="22"/>
              </w:rPr>
            </w:pPr>
            <w:r w:rsidRPr="00465A8E">
              <w:rPr>
                <w:b/>
                <w:bCs/>
                <w:sz w:val="22"/>
                <w:szCs w:val="22"/>
              </w:rPr>
              <w:t>Response</w:t>
            </w:r>
          </w:p>
          <w:p w:rsidR="00CA3DA6" w:rsidRPr="00465A8E" w:rsidRDefault="00CA3DA6" w:rsidP="00CA3DA6">
            <w:pPr>
              <w:widowControl/>
              <w:tabs>
                <w:tab w:val="num" w:pos="1080"/>
              </w:tabs>
              <w:spacing w:before="120"/>
              <w:rPr>
                <w:b/>
                <w:bCs/>
                <w:sz w:val="22"/>
                <w:szCs w:val="22"/>
              </w:rPr>
            </w:pPr>
            <w:r w:rsidRPr="00465A8E">
              <w:rPr>
                <w:b/>
                <w:bCs/>
                <w:sz w:val="22"/>
                <w:szCs w:val="22"/>
              </w:rPr>
              <w:t>(in hours)</w:t>
            </w:r>
          </w:p>
        </w:tc>
        <w:tc>
          <w:tcPr>
            <w:tcW w:w="1061" w:type="dxa"/>
            <w:shd w:val="clear" w:color="auto" w:fill="000000" w:themeFill="text1"/>
          </w:tcPr>
          <w:p w:rsidR="00CA3DA6" w:rsidRPr="00465A8E" w:rsidRDefault="00CA3DA6" w:rsidP="00CA3DA6">
            <w:pPr>
              <w:widowControl/>
              <w:tabs>
                <w:tab w:val="num" w:pos="1080"/>
              </w:tabs>
              <w:spacing w:before="120"/>
              <w:rPr>
                <w:b/>
                <w:bCs/>
                <w:sz w:val="22"/>
                <w:szCs w:val="22"/>
              </w:rPr>
            </w:pPr>
            <w:r w:rsidRPr="00465A8E">
              <w:rPr>
                <w:b/>
                <w:bCs/>
                <w:sz w:val="22"/>
                <w:szCs w:val="22"/>
              </w:rPr>
              <w:t>Total Burden Hours</w:t>
            </w:r>
          </w:p>
        </w:tc>
      </w:tr>
      <w:tr w:rsidR="000C65F2" w:rsidRPr="00465A8E" w:rsidTr="00E12416">
        <w:trPr>
          <w:trHeight w:val="63"/>
        </w:trPr>
        <w:tc>
          <w:tcPr>
            <w:tcW w:w="8408" w:type="dxa"/>
            <w:gridSpan w:val="6"/>
            <w:shd w:val="clear" w:color="auto" w:fill="A6A6A6" w:themeFill="background1" w:themeFillShade="A6"/>
            <w:vAlign w:val="center"/>
          </w:tcPr>
          <w:p w:rsidR="002372C1" w:rsidRPr="00465A8E" w:rsidRDefault="002372C1" w:rsidP="00E12416">
            <w:pPr>
              <w:widowControl/>
              <w:tabs>
                <w:tab w:val="num" w:pos="1080"/>
              </w:tabs>
              <w:spacing w:before="120"/>
              <w:rPr>
                <w:b/>
                <w:bCs/>
                <w:sz w:val="22"/>
                <w:szCs w:val="22"/>
              </w:rPr>
            </w:pPr>
            <w:r w:rsidRPr="00465A8E">
              <w:rPr>
                <w:b/>
                <w:bCs/>
                <w:sz w:val="22"/>
                <w:szCs w:val="22"/>
              </w:rPr>
              <w:t>Qualitative Assessment (Cognitive Interviews &amp; Usability Testing)</w:t>
            </w:r>
          </w:p>
        </w:tc>
      </w:tr>
      <w:tr w:rsidR="000C65F2" w:rsidRPr="00465A8E" w:rsidTr="00E12416">
        <w:trPr>
          <w:trHeight w:val="679"/>
        </w:trPr>
        <w:tc>
          <w:tcPr>
            <w:tcW w:w="1532" w:type="dxa"/>
            <w:vAlign w:val="center"/>
          </w:tcPr>
          <w:p w:rsidR="00CA3DA6" w:rsidRPr="00465A8E" w:rsidRDefault="002372C1" w:rsidP="00E12416">
            <w:pPr>
              <w:widowControl/>
              <w:tabs>
                <w:tab w:val="num" w:pos="1080"/>
              </w:tabs>
              <w:spacing w:before="120"/>
              <w:rPr>
                <w:b/>
                <w:bCs/>
                <w:sz w:val="22"/>
                <w:szCs w:val="22"/>
              </w:rPr>
            </w:pPr>
            <w:r w:rsidRPr="00465A8E">
              <w:rPr>
                <w:b/>
                <w:bCs/>
                <w:sz w:val="22"/>
                <w:szCs w:val="22"/>
              </w:rPr>
              <w:t>Adult Parents</w:t>
            </w:r>
          </w:p>
        </w:tc>
        <w:tc>
          <w:tcPr>
            <w:tcW w:w="1390" w:type="dxa"/>
            <w:vAlign w:val="center"/>
          </w:tcPr>
          <w:p w:rsidR="00CA3DA6" w:rsidRPr="00465A8E" w:rsidRDefault="000C65F2" w:rsidP="00E12416">
            <w:pPr>
              <w:widowControl/>
              <w:tabs>
                <w:tab w:val="num" w:pos="1080"/>
              </w:tabs>
              <w:spacing w:before="120"/>
              <w:rPr>
                <w:b/>
                <w:bCs/>
                <w:sz w:val="22"/>
                <w:szCs w:val="22"/>
              </w:rPr>
            </w:pPr>
            <w:r w:rsidRPr="00465A8E">
              <w:rPr>
                <w:b/>
                <w:bCs/>
                <w:sz w:val="22"/>
                <w:szCs w:val="22"/>
              </w:rPr>
              <w:t>Qualitative Assessment Instrument</w:t>
            </w:r>
          </w:p>
        </w:tc>
        <w:tc>
          <w:tcPr>
            <w:tcW w:w="1632" w:type="dxa"/>
            <w:vAlign w:val="center"/>
          </w:tcPr>
          <w:p w:rsidR="00CA3DA6" w:rsidRPr="00465A8E" w:rsidRDefault="000C65F2" w:rsidP="00E12416">
            <w:pPr>
              <w:widowControl/>
              <w:tabs>
                <w:tab w:val="num" w:pos="1080"/>
              </w:tabs>
              <w:spacing w:before="120"/>
              <w:rPr>
                <w:b/>
                <w:bCs/>
                <w:sz w:val="22"/>
                <w:szCs w:val="22"/>
              </w:rPr>
            </w:pPr>
            <w:r w:rsidRPr="00465A8E">
              <w:rPr>
                <w:sz w:val="22"/>
                <w:szCs w:val="22"/>
              </w:rPr>
              <w:t>120</w:t>
            </w:r>
            <w:r w:rsidR="00CA3DA6" w:rsidRPr="00465A8E">
              <w:rPr>
                <w:sz w:val="22"/>
                <w:szCs w:val="22"/>
              </w:rPr>
              <w:t xml:space="preserve">  </w:t>
            </w:r>
          </w:p>
        </w:tc>
        <w:tc>
          <w:tcPr>
            <w:tcW w:w="1532" w:type="dxa"/>
            <w:vAlign w:val="center"/>
          </w:tcPr>
          <w:p w:rsidR="00CA3DA6" w:rsidRPr="00465A8E" w:rsidRDefault="000C65F2" w:rsidP="00E12416">
            <w:pPr>
              <w:widowControl/>
              <w:tabs>
                <w:tab w:val="num" w:pos="1080"/>
              </w:tabs>
              <w:spacing w:before="120"/>
              <w:rPr>
                <w:b/>
                <w:bCs/>
                <w:sz w:val="22"/>
                <w:szCs w:val="22"/>
              </w:rPr>
            </w:pPr>
            <w:r w:rsidRPr="00465A8E">
              <w:rPr>
                <w:sz w:val="22"/>
                <w:szCs w:val="22"/>
              </w:rPr>
              <w:t>1</w:t>
            </w:r>
          </w:p>
        </w:tc>
        <w:tc>
          <w:tcPr>
            <w:tcW w:w="1261" w:type="dxa"/>
            <w:vAlign w:val="center"/>
          </w:tcPr>
          <w:p w:rsidR="00CA3DA6" w:rsidRPr="00465A8E" w:rsidRDefault="000C65F2" w:rsidP="00E12416">
            <w:pPr>
              <w:widowControl/>
              <w:tabs>
                <w:tab w:val="num" w:pos="1080"/>
              </w:tabs>
              <w:spacing w:before="120"/>
              <w:rPr>
                <w:b/>
                <w:bCs/>
                <w:sz w:val="22"/>
                <w:szCs w:val="22"/>
              </w:rPr>
            </w:pPr>
            <w:r w:rsidRPr="00465A8E">
              <w:rPr>
                <w:sz w:val="22"/>
                <w:szCs w:val="22"/>
              </w:rPr>
              <w:t>60</w:t>
            </w:r>
            <w:r w:rsidR="00CA3DA6" w:rsidRPr="00465A8E">
              <w:rPr>
                <w:sz w:val="22"/>
                <w:szCs w:val="22"/>
              </w:rPr>
              <w:t>/60</w:t>
            </w:r>
          </w:p>
        </w:tc>
        <w:tc>
          <w:tcPr>
            <w:tcW w:w="1061" w:type="dxa"/>
            <w:vAlign w:val="center"/>
          </w:tcPr>
          <w:p w:rsidR="00CA3DA6" w:rsidRPr="00465A8E" w:rsidRDefault="00E12416" w:rsidP="00E12416">
            <w:pPr>
              <w:widowControl/>
              <w:tabs>
                <w:tab w:val="num" w:pos="1080"/>
              </w:tabs>
              <w:spacing w:before="120"/>
              <w:rPr>
                <w:b/>
                <w:bCs/>
                <w:sz w:val="22"/>
                <w:szCs w:val="22"/>
              </w:rPr>
            </w:pPr>
            <w:r>
              <w:rPr>
                <w:sz w:val="22"/>
                <w:szCs w:val="22"/>
              </w:rPr>
              <w:t>120</w:t>
            </w:r>
          </w:p>
        </w:tc>
      </w:tr>
      <w:tr w:rsidR="000C65F2" w:rsidRPr="00465A8E" w:rsidTr="00E12416">
        <w:trPr>
          <w:trHeight w:val="679"/>
        </w:trPr>
        <w:tc>
          <w:tcPr>
            <w:tcW w:w="1532" w:type="dxa"/>
            <w:vAlign w:val="center"/>
          </w:tcPr>
          <w:p w:rsidR="000C65F2" w:rsidRPr="00465A8E" w:rsidRDefault="000C65F2" w:rsidP="00E12416">
            <w:pPr>
              <w:widowControl/>
              <w:tabs>
                <w:tab w:val="num" w:pos="1080"/>
              </w:tabs>
              <w:spacing w:before="120"/>
              <w:rPr>
                <w:b/>
                <w:bCs/>
                <w:sz w:val="22"/>
                <w:szCs w:val="22"/>
              </w:rPr>
            </w:pPr>
            <w:r w:rsidRPr="00465A8E">
              <w:rPr>
                <w:b/>
                <w:bCs/>
                <w:sz w:val="22"/>
                <w:szCs w:val="22"/>
              </w:rPr>
              <w:t>Adult Parents</w:t>
            </w:r>
          </w:p>
        </w:tc>
        <w:tc>
          <w:tcPr>
            <w:tcW w:w="1390" w:type="dxa"/>
            <w:vAlign w:val="center"/>
          </w:tcPr>
          <w:p w:rsidR="000C65F2" w:rsidRPr="00465A8E" w:rsidRDefault="000C65F2" w:rsidP="00E12416">
            <w:pPr>
              <w:widowControl/>
              <w:tabs>
                <w:tab w:val="num" w:pos="1080"/>
              </w:tabs>
              <w:spacing w:before="120"/>
              <w:rPr>
                <w:b/>
                <w:bCs/>
                <w:sz w:val="22"/>
                <w:szCs w:val="22"/>
              </w:rPr>
            </w:pPr>
            <w:r w:rsidRPr="00465A8E">
              <w:rPr>
                <w:b/>
                <w:bCs/>
                <w:sz w:val="22"/>
                <w:szCs w:val="22"/>
              </w:rPr>
              <w:t>Test/Retest Instrument</w:t>
            </w:r>
          </w:p>
        </w:tc>
        <w:tc>
          <w:tcPr>
            <w:tcW w:w="1632" w:type="dxa"/>
            <w:vAlign w:val="center"/>
          </w:tcPr>
          <w:p w:rsidR="000C65F2" w:rsidRPr="00465A8E" w:rsidRDefault="000C65F2" w:rsidP="00E12416">
            <w:pPr>
              <w:widowControl/>
              <w:tabs>
                <w:tab w:val="num" w:pos="1080"/>
              </w:tabs>
              <w:spacing w:before="120"/>
              <w:rPr>
                <w:sz w:val="22"/>
                <w:szCs w:val="22"/>
              </w:rPr>
            </w:pPr>
            <w:r w:rsidRPr="00465A8E">
              <w:rPr>
                <w:sz w:val="22"/>
                <w:szCs w:val="22"/>
              </w:rPr>
              <w:t>60</w:t>
            </w:r>
          </w:p>
        </w:tc>
        <w:tc>
          <w:tcPr>
            <w:tcW w:w="1532" w:type="dxa"/>
            <w:vAlign w:val="center"/>
          </w:tcPr>
          <w:p w:rsidR="000C65F2" w:rsidRPr="00465A8E" w:rsidRDefault="000C65F2" w:rsidP="00E12416">
            <w:pPr>
              <w:widowControl/>
              <w:tabs>
                <w:tab w:val="num" w:pos="1080"/>
              </w:tabs>
              <w:spacing w:before="120"/>
              <w:rPr>
                <w:sz w:val="22"/>
                <w:szCs w:val="22"/>
              </w:rPr>
            </w:pPr>
            <w:r w:rsidRPr="00465A8E">
              <w:rPr>
                <w:sz w:val="22"/>
                <w:szCs w:val="22"/>
              </w:rPr>
              <w:t>1</w:t>
            </w:r>
          </w:p>
        </w:tc>
        <w:tc>
          <w:tcPr>
            <w:tcW w:w="1261" w:type="dxa"/>
            <w:vAlign w:val="center"/>
          </w:tcPr>
          <w:p w:rsidR="000C65F2" w:rsidRPr="00465A8E" w:rsidRDefault="000C65F2" w:rsidP="00E12416">
            <w:pPr>
              <w:widowControl/>
              <w:tabs>
                <w:tab w:val="num" w:pos="1080"/>
              </w:tabs>
              <w:spacing w:before="120"/>
              <w:rPr>
                <w:sz w:val="22"/>
                <w:szCs w:val="22"/>
              </w:rPr>
            </w:pPr>
            <w:r w:rsidRPr="00465A8E">
              <w:rPr>
                <w:sz w:val="22"/>
                <w:szCs w:val="22"/>
              </w:rPr>
              <w:t>20/60</w:t>
            </w:r>
          </w:p>
        </w:tc>
        <w:tc>
          <w:tcPr>
            <w:tcW w:w="1061" w:type="dxa"/>
            <w:vAlign w:val="center"/>
          </w:tcPr>
          <w:p w:rsidR="000C65F2" w:rsidRPr="00465A8E" w:rsidRDefault="000C65F2" w:rsidP="00E12416">
            <w:pPr>
              <w:widowControl/>
              <w:tabs>
                <w:tab w:val="num" w:pos="1080"/>
              </w:tabs>
              <w:spacing w:before="120"/>
              <w:rPr>
                <w:sz w:val="22"/>
                <w:szCs w:val="22"/>
              </w:rPr>
            </w:pPr>
            <w:r w:rsidRPr="00465A8E">
              <w:rPr>
                <w:sz w:val="22"/>
                <w:szCs w:val="22"/>
              </w:rPr>
              <w:t>20</w:t>
            </w:r>
          </w:p>
        </w:tc>
      </w:tr>
      <w:tr w:rsidR="000C65F2" w:rsidRPr="00465A8E" w:rsidTr="00E12416">
        <w:trPr>
          <w:trHeight w:val="800"/>
        </w:trPr>
        <w:tc>
          <w:tcPr>
            <w:tcW w:w="1532" w:type="dxa"/>
            <w:vAlign w:val="center"/>
          </w:tcPr>
          <w:p w:rsidR="00CA3DA6" w:rsidRPr="00465A8E" w:rsidRDefault="000C65F2" w:rsidP="00E12416">
            <w:pPr>
              <w:widowControl/>
              <w:tabs>
                <w:tab w:val="num" w:pos="1080"/>
              </w:tabs>
              <w:spacing w:before="120"/>
              <w:rPr>
                <w:b/>
                <w:bCs/>
                <w:sz w:val="22"/>
                <w:szCs w:val="22"/>
              </w:rPr>
            </w:pPr>
            <w:r w:rsidRPr="00465A8E">
              <w:rPr>
                <w:b/>
                <w:bCs/>
                <w:sz w:val="22"/>
                <w:szCs w:val="22"/>
              </w:rPr>
              <w:t>Health Care Providers</w:t>
            </w:r>
          </w:p>
        </w:tc>
        <w:tc>
          <w:tcPr>
            <w:tcW w:w="1390" w:type="dxa"/>
            <w:vAlign w:val="center"/>
          </w:tcPr>
          <w:p w:rsidR="00CA3DA6" w:rsidRPr="00465A8E" w:rsidRDefault="000C65F2" w:rsidP="00E12416">
            <w:pPr>
              <w:widowControl/>
              <w:tabs>
                <w:tab w:val="num" w:pos="1080"/>
              </w:tabs>
              <w:spacing w:before="120"/>
              <w:rPr>
                <w:b/>
                <w:bCs/>
                <w:sz w:val="22"/>
                <w:szCs w:val="22"/>
              </w:rPr>
            </w:pPr>
            <w:r w:rsidRPr="00465A8E">
              <w:rPr>
                <w:b/>
                <w:bCs/>
                <w:sz w:val="22"/>
                <w:szCs w:val="22"/>
              </w:rPr>
              <w:t>Provider Validation Instrument</w:t>
            </w:r>
          </w:p>
        </w:tc>
        <w:tc>
          <w:tcPr>
            <w:tcW w:w="1632" w:type="dxa"/>
            <w:vAlign w:val="center"/>
          </w:tcPr>
          <w:p w:rsidR="00CA3DA6" w:rsidRPr="00465A8E" w:rsidRDefault="000C65F2" w:rsidP="00E12416">
            <w:pPr>
              <w:widowControl/>
              <w:tabs>
                <w:tab w:val="num" w:pos="1080"/>
              </w:tabs>
              <w:spacing w:before="120"/>
              <w:rPr>
                <w:b/>
                <w:bCs/>
                <w:sz w:val="22"/>
                <w:szCs w:val="22"/>
              </w:rPr>
            </w:pPr>
            <w:r w:rsidRPr="00465A8E">
              <w:rPr>
                <w:sz w:val="22"/>
                <w:szCs w:val="22"/>
              </w:rPr>
              <w:t>30</w:t>
            </w:r>
            <w:r w:rsidR="00CA3DA6" w:rsidRPr="00465A8E">
              <w:rPr>
                <w:sz w:val="22"/>
                <w:szCs w:val="22"/>
              </w:rPr>
              <w:t xml:space="preserve"> </w:t>
            </w:r>
          </w:p>
        </w:tc>
        <w:tc>
          <w:tcPr>
            <w:tcW w:w="1532" w:type="dxa"/>
            <w:vAlign w:val="center"/>
          </w:tcPr>
          <w:p w:rsidR="00CA3DA6" w:rsidRPr="00465A8E" w:rsidRDefault="00CA3DA6" w:rsidP="00E12416">
            <w:pPr>
              <w:widowControl/>
              <w:tabs>
                <w:tab w:val="num" w:pos="1080"/>
              </w:tabs>
              <w:spacing w:before="120"/>
              <w:rPr>
                <w:b/>
                <w:bCs/>
                <w:sz w:val="22"/>
                <w:szCs w:val="22"/>
              </w:rPr>
            </w:pPr>
            <w:r w:rsidRPr="00465A8E">
              <w:rPr>
                <w:sz w:val="22"/>
                <w:szCs w:val="22"/>
              </w:rPr>
              <w:t>1</w:t>
            </w:r>
          </w:p>
        </w:tc>
        <w:tc>
          <w:tcPr>
            <w:tcW w:w="1261" w:type="dxa"/>
            <w:vAlign w:val="center"/>
          </w:tcPr>
          <w:p w:rsidR="00CA3DA6" w:rsidRPr="00465A8E" w:rsidRDefault="000C65F2" w:rsidP="00E12416">
            <w:pPr>
              <w:widowControl/>
              <w:tabs>
                <w:tab w:val="num" w:pos="1080"/>
              </w:tabs>
              <w:spacing w:before="120"/>
              <w:rPr>
                <w:b/>
                <w:bCs/>
                <w:sz w:val="22"/>
                <w:szCs w:val="22"/>
              </w:rPr>
            </w:pPr>
            <w:r w:rsidRPr="00465A8E">
              <w:rPr>
                <w:sz w:val="22"/>
                <w:szCs w:val="22"/>
              </w:rPr>
              <w:t>20/60</w:t>
            </w:r>
          </w:p>
        </w:tc>
        <w:tc>
          <w:tcPr>
            <w:tcW w:w="1061" w:type="dxa"/>
            <w:vAlign w:val="center"/>
          </w:tcPr>
          <w:p w:rsidR="00CA3DA6" w:rsidRPr="00465A8E" w:rsidRDefault="000C65F2" w:rsidP="00E12416">
            <w:pPr>
              <w:widowControl/>
              <w:tabs>
                <w:tab w:val="num" w:pos="1080"/>
              </w:tabs>
              <w:spacing w:before="120"/>
              <w:rPr>
                <w:sz w:val="22"/>
                <w:szCs w:val="22"/>
              </w:rPr>
            </w:pPr>
            <w:r w:rsidRPr="00465A8E">
              <w:rPr>
                <w:sz w:val="22"/>
                <w:szCs w:val="22"/>
              </w:rPr>
              <w:t>10</w:t>
            </w:r>
          </w:p>
          <w:p w:rsidR="00CA3DA6" w:rsidRPr="00465A8E" w:rsidRDefault="00CA3DA6" w:rsidP="00E12416">
            <w:pPr>
              <w:widowControl/>
              <w:tabs>
                <w:tab w:val="num" w:pos="1080"/>
              </w:tabs>
              <w:spacing w:before="120"/>
              <w:rPr>
                <w:b/>
                <w:bCs/>
                <w:sz w:val="22"/>
                <w:szCs w:val="22"/>
              </w:rPr>
            </w:pPr>
          </w:p>
        </w:tc>
      </w:tr>
      <w:tr w:rsidR="000C65F2" w:rsidRPr="00465A8E" w:rsidTr="00E12416">
        <w:trPr>
          <w:trHeight w:val="63"/>
        </w:trPr>
        <w:tc>
          <w:tcPr>
            <w:tcW w:w="8408" w:type="dxa"/>
            <w:gridSpan w:val="6"/>
            <w:shd w:val="clear" w:color="auto" w:fill="A6A6A6" w:themeFill="background1" w:themeFillShade="A6"/>
            <w:vAlign w:val="center"/>
          </w:tcPr>
          <w:p w:rsidR="000C65F2" w:rsidRPr="00465A8E" w:rsidRDefault="000C65F2" w:rsidP="00E12416">
            <w:pPr>
              <w:widowControl/>
              <w:tabs>
                <w:tab w:val="num" w:pos="1080"/>
              </w:tabs>
              <w:spacing w:before="120"/>
              <w:rPr>
                <w:b/>
                <w:sz w:val="22"/>
                <w:szCs w:val="22"/>
              </w:rPr>
            </w:pPr>
            <w:r w:rsidRPr="00465A8E">
              <w:rPr>
                <w:b/>
                <w:sz w:val="22"/>
                <w:szCs w:val="22"/>
              </w:rPr>
              <w:t>Mode Effects Experiment</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Adult Parents</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Screener</w:t>
            </w:r>
          </w:p>
        </w:tc>
        <w:tc>
          <w:tcPr>
            <w:tcW w:w="1632" w:type="dxa"/>
            <w:vAlign w:val="center"/>
          </w:tcPr>
          <w:p w:rsidR="00DD1696" w:rsidRPr="00CC4E40" w:rsidRDefault="00DD1696" w:rsidP="00704A6B">
            <w:r w:rsidRPr="00CC4E40">
              <w:t>6</w:t>
            </w:r>
            <w:r w:rsidR="00704A6B">
              <w:t>750</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4/60</w:t>
            </w:r>
          </w:p>
        </w:tc>
        <w:tc>
          <w:tcPr>
            <w:tcW w:w="1061" w:type="dxa"/>
            <w:vAlign w:val="center"/>
          </w:tcPr>
          <w:p w:rsidR="00DD1696" w:rsidRPr="00E12416" w:rsidRDefault="00704A6B" w:rsidP="00E12416">
            <w:pPr>
              <w:rPr>
                <w:color w:val="000000"/>
                <w:sz w:val="22"/>
                <w:szCs w:val="22"/>
              </w:rPr>
            </w:pPr>
            <w:r>
              <w:rPr>
                <w:color w:val="000000"/>
                <w:sz w:val="22"/>
                <w:szCs w:val="22"/>
              </w:rPr>
              <w:t>450</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 xml:space="preserve">Adult Parents </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0-5 Long Instrument</w:t>
            </w:r>
          </w:p>
        </w:tc>
        <w:tc>
          <w:tcPr>
            <w:tcW w:w="1632" w:type="dxa"/>
            <w:vAlign w:val="center"/>
          </w:tcPr>
          <w:p w:rsidR="00DD1696" w:rsidRPr="00CC4E40" w:rsidRDefault="00DD1696" w:rsidP="00DD1696">
            <w:r w:rsidRPr="00CC4E40">
              <w:t>421</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30/60</w:t>
            </w:r>
          </w:p>
        </w:tc>
        <w:tc>
          <w:tcPr>
            <w:tcW w:w="1061" w:type="dxa"/>
            <w:vAlign w:val="center"/>
          </w:tcPr>
          <w:p w:rsidR="00DD1696" w:rsidRPr="00E12416" w:rsidRDefault="00DD1696" w:rsidP="00E12416">
            <w:pPr>
              <w:rPr>
                <w:color w:val="000000"/>
                <w:sz w:val="22"/>
                <w:szCs w:val="22"/>
              </w:rPr>
            </w:pPr>
            <w:r w:rsidRPr="00E12416">
              <w:rPr>
                <w:color w:val="000000"/>
                <w:sz w:val="22"/>
                <w:szCs w:val="22"/>
              </w:rPr>
              <w:t>211</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 xml:space="preserve">Adult Parents </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6-11 Long Instrument</w:t>
            </w:r>
          </w:p>
        </w:tc>
        <w:tc>
          <w:tcPr>
            <w:tcW w:w="1632" w:type="dxa"/>
            <w:vAlign w:val="center"/>
          </w:tcPr>
          <w:p w:rsidR="00DD1696" w:rsidRPr="00CC4E40" w:rsidRDefault="00DD1696" w:rsidP="00DD1696">
            <w:r w:rsidRPr="00CC4E40">
              <w:t>421</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27/60</w:t>
            </w:r>
          </w:p>
        </w:tc>
        <w:tc>
          <w:tcPr>
            <w:tcW w:w="1061" w:type="dxa"/>
            <w:vAlign w:val="center"/>
          </w:tcPr>
          <w:p w:rsidR="00DD1696" w:rsidRPr="00E12416" w:rsidRDefault="00DD1696" w:rsidP="00E12416">
            <w:pPr>
              <w:rPr>
                <w:color w:val="000000"/>
                <w:sz w:val="22"/>
                <w:szCs w:val="22"/>
              </w:rPr>
            </w:pPr>
            <w:r w:rsidRPr="00E12416">
              <w:rPr>
                <w:color w:val="000000"/>
                <w:sz w:val="22"/>
                <w:szCs w:val="22"/>
              </w:rPr>
              <w:t>189</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 xml:space="preserve">Adult Parents </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12-17 Long Instrument</w:t>
            </w:r>
          </w:p>
        </w:tc>
        <w:tc>
          <w:tcPr>
            <w:tcW w:w="1632" w:type="dxa"/>
            <w:vAlign w:val="center"/>
          </w:tcPr>
          <w:p w:rsidR="00DD1696" w:rsidRPr="00CC4E40" w:rsidRDefault="00DD1696" w:rsidP="00DD1696">
            <w:r w:rsidRPr="00CC4E40">
              <w:t>421</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27/60</w:t>
            </w:r>
          </w:p>
        </w:tc>
        <w:tc>
          <w:tcPr>
            <w:tcW w:w="1061" w:type="dxa"/>
            <w:vAlign w:val="center"/>
          </w:tcPr>
          <w:p w:rsidR="00DD1696" w:rsidRPr="00E12416" w:rsidRDefault="00DD1696" w:rsidP="00E12416">
            <w:pPr>
              <w:rPr>
                <w:color w:val="000000"/>
                <w:sz w:val="22"/>
                <w:szCs w:val="22"/>
              </w:rPr>
            </w:pPr>
            <w:r w:rsidRPr="00E12416">
              <w:rPr>
                <w:color w:val="000000"/>
                <w:sz w:val="22"/>
                <w:szCs w:val="22"/>
              </w:rPr>
              <w:t>189</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 xml:space="preserve">Adult Parents </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0-5 Short Instrument</w:t>
            </w:r>
          </w:p>
        </w:tc>
        <w:tc>
          <w:tcPr>
            <w:tcW w:w="1632" w:type="dxa"/>
            <w:vAlign w:val="center"/>
          </w:tcPr>
          <w:p w:rsidR="00DD1696" w:rsidRPr="00CC4E40" w:rsidRDefault="00DD1696" w:rsidP="00DD1696">
            <w:r w:rsidRPr="00CC4E40">
              <w:t>421</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22/60</w:t>
            </w:r>
          </w:p>
        </w:tc>
        <w:tc>
          <w:tcPr>
            <w:tcW w:w="1061" w:type="dxa"/>
            <w:vAlign w:val="center"/>
          </w:tcPr>
          <w:p w:rsidR="00DD1696" w:rsidRPr="00E12416" w:rsidRDefault="00DD1696" w:rsidP="00E12416">
            <w:pPr>
              <w:rPr>
                <w:color w:val="000000"/>
                <w:sz w:val="22"/>
                <w:szCs w:val="22"/>
              </w:rPr>
            </w:pPr>
            <w:r w:rsidRPr="00E12416">
              <w:rPr>
                <w:color w:val="000000"/>
                <w:sz w:val="22"/>
                <w:szCs w:val="22"/>
              </w:rPr>
              <w:t>154</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 xml:space="preserve">Adult Parents </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6-11 Short Instrument</w:t>
            </w:r>
          </w:p>
        </w:tc>
        <w:tc>
          <w:tcPr>
            <w:tcW w:w="1632" w:type="dxa"/>
            <w:vAlign w:val="center"/>
          </w:tcPr>
          <w:p w:rsidR="00DD1696" w:rsidRPr="00CC4E40" w:rsidRDefault="00DD1696" w:rsidP="00DD1696">
            <w:r w:rsidRPr="00CC4E40">
              <w:t>421</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18/60</w:t>
            </w:r>
          </w:p>
        </w:tc>
        <w:tc>
          <w:tcPr>
            <w:tcW w:w="1061" w:type="dxa"/>
            <w:vAlign w:val="center"/>
          </w:tcPr>
          <w:p w:rsidR="00DD1696" w:rsidRPr="00E12416" w:rsidRDefault="00DD1696" w:rsidP="00E12416">
            <w:pPr>
              <w:rPr>
                <w:color w:val="000000"/>
                <w:sz w:val="22"/>
                <w:szCs w:val="22"/>
              </w:rPr>
            </w:pPr>
            <w:r w:rsidRPr="00E12416">
              <w:rPr>
                <w:color w:val="000000"/>
                <w:sz w:val="22"/>
                <w:szCs w:val="22"/>
              </w:rPr>
              <w:t>126</w:t>
            </w:r>
          </w:p>
        </w:tc>
      </w:tr>
      <w:tr w:rsidR="00DD1696" w:rsidRPr="00465A8E" w:rsidTr="00DD1696">
        <w:trPr>
          <w:trHeight w:val="800"/>
        </w:trPr>
        <w:tc>
          <w:tcPr>
            <w:tcW w:w="1532"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 xml:space="preserve">Adult Parents </w:t>
            </w:r>
          </w:p>
        </w:tc>
        <w:tc>
          <w:tcPr>
            <w:tcW w:w="1390" w:type="dxa"/>
            <w:vAlign w:val="center"/>
          </w:tcPr>
          <w:p w:rsidR="00DD1696" w:rsidRPr="00465A8E" w:rsidRDefault="00DD1696" w:rsidP="00E12416">
            <w:pPr>
              <w:widowControl/>
              <w:tabs>
                <w:tab w:val="num" w:pos="1080"/>
              </w:tabs>
              <w:spacing w:before="120"/>
              <w:rPr>
                <w:b/>
                <w:bCs/>
                <w:sz w:val="22"/>
                <w:szCs w:val="22"/>
              </w:rPr>
            </w:pPr>
            <w:r w:rsidRPr="00465A8E">
              <w:rPr>
                <w:b/>
                <w:bCs/>
                <w:sz w:val="22"/>
                <w:szCs w:val="22"/>
              </w:rPr>
              <w:t>12-17 Short Instrument</w:t>
            </w:r>
          </w:p>
        </w:tc>
        <w:tc>
          <w:tcPr>
            <w:tcW w:w="1632" w:type="dxa"/>
            <w:vAlign w:val="center"/>
          </w:tcPr>
          <w:p w:rsidR="00DD1696" w:rsidRDefault="00DD1696" w:rsidP="00DD1696">
            <w:r w:rsidRPr="00CC4E40">
              <w:t>421</w:t>
            </w:r>
          </w:p>
        </w:tc>
        <w:tc>
          <w:tcPr>
            <w:tcW w:w="1532" w:type="dxa"/>
            <w:vAlign w:val="center"/>
          </w:tcPr>
          <w:p w:rsidR="00DD1696" w:rsidRPr="00465A8E" w:rsidRDefault="00DD1696" w:rsidP="00E12416">
            <w:pPr>
              <w:widowControl/>
              <w:tabs>
                <w:tab w:val="num" w:pos="1080"/>
              </w:tabs>
              <w:spacing w:before="120"/>
              <w:rPr>
                <w:sz w:val="22"/>
                <w:szCs w:val="22"/>
              </w:rPr>
            </w:pPr>
            <w:r w:rsidRPr="00465A8E">
              <w:rPr>
                <w:sz w:val="22"/>
                <w:szCs w:val="22"/>
              </w:rPr>
              <w:t>1</w:t>
            </w:r>
          </w:p>
        </w:tc>
        <w:tc>
          <w:tcPr>
            <w:tcW w:w="1261" w:type="dxa"/>
            <w:vAlign w:val="center"/>
          </w:tcPr>
          <w:p w:rsidR="00DD1696" w:rsidRPr="00465A8E" w:rsidRDefault="00DD1696" w:rsidP="00E12416">
            <w:pPr>
              <w:widowControl/>
              <w:tabs>
                <w:tab w:val="num" w:pos="1080"/>
              </w:tabs>
              <w:spacing w:before="120"/>
              <w:rPr>
                <w:sz w:val="22"/>
                <w:szCs w:val="22"/>
              </w:rPr>
            </w:pPr>
            <w:r w:rsidRPr="00465A8E">
              <w:rPr>
                <w:sz w:val="22"/>
                <w:szCs w:val="22"/>
              </w:rPr>
              <w:t>18/60</w:t>
            </w:r>
          </w:p>
        </w:tc>
        <w:tc>
          <w:tcPr>
            <w:tcW w:w="1061" w:type="dxa"/>
            <w:vAlign w:val="center"/>
          </w:tcPr>
          <w:p w:rsidR="00DD1696" w:rsidRPr="00E12416" w:rsidRDefault="00DD1696" w:rsidP="00E12416">
            <w:pPr>
              <w:rPr>
                <w:color w:val="000000"/>
                <w:sz w:val="22"/>
                <w:szCs w:val="22"/>
              </w:rPr>
            </w:pPr>
            <w:r w:rsidRPr="00E12416">
              <w:rPr>
                <w:color w:val="000000"/>
                <w:sz w:val="22"/>
                <w:szCs w:val="22"/>
              </w:rPr>
              <w:t>126</w:t>
            </w:r>
          </w:p>
        </w:tc>
      </w:tr>
      <w:tr w:rsidR="00E12416" w:rsidRPr="00465A8E" w:rsidTr="00E12416">
        <w:trPr>
          <w:trHeight w:val="815"/>
        </w:trPr>
        <w:tc>
          <w:tcPr>
            <w:tcW w:w="1532" w:type="dxa"/>
            <w:vAlign w:val="center"/>
          </w:tcPr>
          <w:p w:rsidR="00E12416" w:rsidRPr="00465A8E" w:rsidRDefault="00E12416" w:rsidP="00E12416">
            <w:pPr>
              <w:widowControl/>
              <w:tabs>
                <w:tab w:val="num" w:pos="1080"/>
              </w:tabs>
              <w:spacing w:before="120"/>
              <w:rPr>
                <w:b/>
                <w:bCs/>
                <w:sz w:val="22"/>
                <w:szCs w:val="22"/>
              </w:rPr>
            </w:pPr>
            <w:r w:rsidRPr="00465A8E">
              <w:rPr>
                <w:b/>
                <w:bCs/>
                <w:sz w:val="22"/>
                <w:szCs w:val="22"/>
              </w:rPr>
              <w:t>Total</w:t>
            </w:r>
          </w:p>
        </w:tc>
        <w:tc>
          <w:tcPr>
            <w:tcW w:w="1390" w:type="dxa"/>
            <w:vAlign w:val="center"/>
          </w:tcPr>
          <w:p w:rsidR="00E12416" w:rsidRPr="00465A8E" w:rsidRDefault="00E12416" w:rsidP="00E12416">
            <w:pPr>
              <w:widowControl/>
              <w:tabs>
                <w:tab w:val="num" w:pos="1080"/>
              </w:tabs>
              <w:spacing w:before="120"/>
              <w:rPr>
                <w:sz w:val="22"/>
                <w:szCs w:val="22"/>
              </w:rPr>
            </w:pPr>
          </w:p>
        </w:tc>
        <w:tc>
          <w:tcPr>
            <w:tcW w:w="1632" w:type="dxa"/>
            <w:vAlign w:val="center"/>
          </w:tcPr>
          <w:p w:rsidR="00E12416" w:rsidRPr="00465A8E" w:rsidRDefault="00E12416" w:rsidP="00704A6B">
            <w:pPr>
              <w:widowControl/>
              <w:tabs>
                <w:tab w:val="num" w:pos="1080"/>
              </w:tabs>
              <w:spacing w:before="120"/>
              <w:rPr>
                <w:b/>
                <w:sz w:val="22"/>
                <w:szCs w:val="22"/>
              </w:rPr>
            </w:pPr>
            <w:r>
              <w:rPr>
                <w:b/>
                <w:sz w:val="22"/>
                <w:szCs w:val="22"/>
              </w:rPr>
              <w:t>9,</w:t>
            </w:r>
            <w:r w:rsidR="00704A6B">
              <w:rPr>
                <w:b/>
                <w:sz w:val="22"/>
                <w:szCs w:val="22"/>
              </w:rPr>
              <w:t>486</w:t>
            </w:r>
          </w:p>
        </w:tc>
        <w:tc>
          <w:tcPr>
            <w:tcW w:w="1532" w:type="dxa"/>
            <w:vAlign w:val="center"/>
          </w:tcPr>
          <w:p w:rsidR="00E12416" w:rsidRPr="00465A8E" w:rsidRDefault="00E12416" w:rsidP="00E12416">
            <w:pPr>
              <w:widowControl/>
              <w:tabs>
                <w:tab w:val="num" w:pos="1080"/>
              </w:tabs>
              <w:spacing w:before="120"/>
              <w:rPr>
                <w:sz w:val="22"/>
                <w:szCs w:val="22"/>
              </w:rPr>
            </w:pPr>
          </w:p>
        </w:tc>
        <w:tc>
          <w:tcPr>
            <w:tcW w:w="1261" w:type="dxa"/>
            <w:vAlign w:val="center"/>
          </w:tcPr>
          <w:p w:rsidR="00E12416" w:rsidRPr="00465A8E" w:rsidRDefault="00E12416" w:rsidP="00E12416">
            <w:pPr>
              <w:widowControl/>
              <w:tabs>
                <w:tab w:val="num" w:pos="1080"/>
              </w:tabs>
              <w:spacing w:before="120"/>
              <w:rPr>
                <w:sz w:val="22"/>
                <w:szCs w:val="22"/>
              </w:rPr>
            </w:pPr>
          </w:p>
        </w:tc>
        <w:tc>
          <w:tcPr>
            <w:tcW w:w="1061" w:type="dxa"/>
            <w:vAlign w:val="center"/>
          </w:tcPr>
          <w:p w:rsidR="00E12416" w:rsidRPr="00465A8E" w:rsidRDefault="00E12416" w:rsidP="00E12416">
            <w:pPr>
              <w:widowControl/>
              <w:tabs>
                <w:tab w:val="num" w:pos="1080"/>
              </w:tabs>
              <w:spacing w:before="120"/>
              <w:rPr>
                <w:sz w:val="22"/>
                <w:szCs w:val="22"/>
              </w:rPr>
            </w:pPr>
            <w:r>
              <w:rPr>
                <w:b/>
                <w:bCs/>
                <w:sz w:val="22"/>
                <w:szCs w:val="22"/>
              </w:rPr>
              <w:t>1,5</w:t>
            </w:r>
            <w:r w:rsidR="00704A6B">
              <w:rPr>
                <w:b/>
                <w:bCs/>
                <w:sz w:val="22"/>
                <w:szCs w:val="22"/>
              </w:rPr>
              <w:t>9</w:t>
            </w:r>
            <w:r w:rsidR="00DE6DD8">
              <w:rPr>
                <w:b/>
                <w:bCs/>
                <w:sz w:val="22"/>
                <w:szCs w:val="22"/>
              </w:rPr>
              <w:t>5</w:t>
            </w:r>
          </w:p>
          <w:p w:rsidR="00E12416" w:rsidRPr="00465A8E" w:rsidRDefault="00E12416" w:rsidP="00E12416">
            <w:pPr>
              <w:widowControl/>
              <w:tabs>
                <w:tab w:val="num" w:pos="1080"/>
              </w:tabs>
              <w:spacing w:before="120"/>
              <w:rPr>
                <w:sz w:val="22"/>
                <w:szCs w:val="22"/>
              </w:rPr>
            </w:pPr>
          </w:p>
        </w:tc>
      </w:tr>
    </w:tbl>
    <w:p w:rsidR="000761DE" w:rsidRPr="00465A8E" w:rsidRDefault="009B3794" w:rsidP="00C6574C">
      <w:pPr>
        <w:widowControl/>
        <w:spacing w:before="120"/>
        <w:rPr>
          <w:b/>
          <w:sz w:val="24"/>
        </w:rPr>
      </w:pPr>
      <w:r w:rsidRPr="00465A8E">
        <w:rPr>
          <w:b/>
          <w:sz w:val="24"/>
        </w:rPr>
        <w:t>12B</w:t>
      </w:r>
      <w:proofErr w:type="gramStart"/>
      <w:r w:rsidRPr="00465A8E">
        <w:rPr>
          <w:b/>
          <w:sz w:val="24"/>
        </w:rPr>
        <w:t>.  Estimated</w:t>
      </w:r>
      <w:proofErr w:type="gramEnd"/>
      <w:r w:rsidRPr="00465A8E">
        <w:rPr>
          <w:b/>
          <w:sz w:val="24"/>
        </w:rPr>
        <w:t xml:space="preserve"> Annualized Burden Costs</w:t>
      </w:r>
    </w:p>
    <w:p w:rsidR="000761DE" w:rsidRPr="000761DE" w:rsidRDefault="000761DE" w:rsidP="005C1932">
      <w:pPr>
        <w:widowControl/>
        <w:spacing w:before="100" w:beforeAutospacing="1" w:after="100" w:afterAutospacing="1"/>
        <w:rPr>
          <w:b/>
          <w:color w:val="002060"/>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0761DE" w:rsidRPr="000761DE" w:rsidTr="00DD1696">
        <w:trPr>
          <w:trHeight w:val="63"/>
        </w:trPr>
        <w:tc>
          <w:tcPr>
            <w:tcW w:w="1430" w:type="dxa"/>
            <w:shd w:val="clear" w:color="auto" w:fill="000000" w:themeFill="text1"/>
          </w:tcPr>
          <w:p w:rsidR="009B3794" w:rsidRPr="000761DE" w:rsidRDefault="009B3794" w:rsidP="005C1932">
            <w:pPr>
              <w:widowControl/>
              <w:spacing w:before="100" w:beforeAutospacing="1" w:after="100" w:afterAutospacing="1"/>
              <w:rPr>
                <w:b/>
                <w:bCs/>
                <w:sz w:val="24"/>
              </w:rPr>
            </w:pPr>
            <w:r w:rsidRPr="000761DE">
              <w:rPr>
                <w:b/>
                <w:bCs/>
                <w:sz w:val="24"/>
              </w:rPr>
              <w:t>Type of</w:t>
            </w:r>
          </w:p>
          <w:p w:rsidR="009B3794" w:rsidRPr="000761DE" w:rsidRDefault="009B3794" w:rsidP="005C1932">
            <w:pPr>
              <w:widowControl/>
              <w:spacing w:before="100" w:beforeAutospacing="1" w:after="100" w:afterAutospacing="1"/>
              <w:rPr>
                <w:sz w:val="24"/>
              </w:rPr>
            </w:pPr>
            <w:r w:rsidRPr="000761DE">
              <w:rPr>
                <w:b/>
                <w:bCs/>
                <w:sz w:val="24"/>
              </w:rPr>
              <w:t>Respondent</w:t>
            </w:r>
          </w:p>
          <w:p w:rsidR="009B3794" w:rsidRPr="000761DE" w:rsidRDefault="009B3794" w:rsidP="005C1932">
            <w:pPr>
              <w:widowControl/>
              <w:spacing w:before="100" w:beforeAutospacing="1" w:after="100" w:afterAutospacing="1"/>
              <w:rPr>
                <w:b/>
                <w:bCs/>
                <w:sz w:val="24"/>
              </w:rPr>
            </w:pPr>
          </w:p>
        </w:tc>
        <w:tc>
          <w:tcPr>
            <w:tcW w:w="1330" w:type="dxa"/>
            <w:shd w:val="clear" w:color="auto" w:fill="000000" w:themeFill="text1"/>
          </w:tcPr>
          <w:p w:rsidR="009B3794" w:rsidRPr="000761DE" w:rsidRDefault="009B3794" w:rsidP="005C1932">
            <w:pPr>
              <w:widowControl/>
              <w:spacing w:before="100" w:beforeAutospacing="1" w:after="100" w:afterAutospacing="1"/>
              <w:rPr>
                <w:b/>
                <w:bCs/>
                <w:sz w:val="24"/>
              </w:rPr>
            </w:pPr>
            <w:r w:rsidRPr="000761DE">
              <w:rPr>
                <w:b/>
                <w:bCs/>
                <w:sz w:val="24"/>
              </w:rPr>
              <w:t>Total Burden</w:t>
            </w:r>
          </w:p>
          <w:p w:rsidR="009B3794" w:rsidRPr="000761DE" w:rsidRDefault="009B3794" w:rsidP="005C1932">
            <w:pPr>
              <w:widowControl/>
              <w:spacing w:before="100" w:beforeAutospacing="1" w:after="100" w:afterAutospacing="1"/>
              <w:rPr>
                <w:sz w:val="24"/>
              </w:rPr>
            </w:pPr>
            <w:r w:rsidRPr="000761DE">
              <w:rPr>
                <w:b/>
                <w:bCs/>
                <w:sz w:val="24"/>
              </w:rPr>
              <w:t>Hour</w:t>
            </w:r>
            <w:r w:rsidR="000761DE" w:rsidRPr="000761DE">
              <w:rPr>
                <w:b/>
                <w:bCs/>
                <w:sz w:val="24"/>
              </w:rPr>
              <w:t>s</w:t>
            </w:r>
          </w:p>
        </w:tc>
        <w:tc>
          <w:tcPr>
            <w:tcW w:w="1429" w:type="dxa"/>
            <w:shd w:val="clear" w:color="auto" w:fill="000000" w:themeFill="text1"/>
          </w:tcPr>
          <w:p w:rsidR="009B3794" w:rsidRPr="000761DE" w:rsidRDefault="009B3794" w:rsidP="005C1932">
            <w:pPr>
              <w:widowControl/>
              <w:spacing w:before="100" w:beforeAutospacing="1" w:after="100" w:afterAutospacing="1"/>
              <w:rPr>
                <w:b/>
                <w:bCs/>
                <w:sz w:val="24"/>
              </w:rPr>
            </w:pPr>
            <w:r w:rsidRPr="000761DE">
              <w:rPr>
                <w:b/>
                <w:bCs/>
                <w:sz w:val="24"/>
              </w:rPr>
              <w:t>Hourly</w:t>
            </w:r>
          </w:p>
          <w:p w:rsidR="009B3794" w:rsidRPr="000761DE" w:rsidRDefault="009B3794" w:rsidP="005C1932">
            <w:pPr>
              <w:widowControl/>
              <w:spacing w:before="100" w:beforeAutospacing="1" w:after="100" w:afterAutospacing="1"/>
              <w:rPr>
                <w:sz w:val="24"/>
              </w:rPr>
            </w:pPr>
            <w:r w:rsidRPr="000761DE">
              <w:rPr>
                <w:b/>
                <w:bCs/>
                <w:sz w:val="24"/>
              </w:rPr>
              <w:t>Wage Rate</w:t>
            </w:r>
          </w:p>
          <w:p w:rsidR="009B3794" w:rsidRPr="000761DE" w:rsidRDefault="009B3794" w:rsidP="005C1932">
            <w:pPr>
              <w:widowControl/>
              <w:spacing w:before="100" w:beforeAutospacing="1" w:after="100" w:afterAutospacing="1"/>
              <w:rPr>
                <w:b/>
                <w:bCs/>
                <w:sz w:val="24"/>
              </w:rPr>
            </w:pPr>
          </w:p>
        </w:tc>
        <w:tc>
          <w:tcPr>
            <w:tcW w:w="1776" w:type="dxa"/>
            <w:shd w:val="clear" w:color="auto" w:fill="000000" w:themeFill="text1"/>
          </w:tcPr>
          <w:p w:rsidR="009B3794" w:rsidRPr="000761DE" w:rsidRDefault="009B3794" w:rsidP="005C1932">
            <w:pPr>
              <w:widowControl/>
              <w:spacing w:before="100" w:beforeAutospacing="1" w:after="100" w:afterAutospacing="1"/>
              <w:rPr>
                <w:sz w:val="24"/>
              </w:rPr>
            </w:pPr>
            <w:r w:rsidRPr="000761DE">
              <w:rPr>
                <w:b/>
                <w:bCs/>
                <w:sz w:val="24"/>
              </w:rPr>
              <w:t>Total Respondent Costs</w:t>
            </w:r>
          </w:p>
          <w:p w:rsidR="009B3794" w:rsidRPr="000761DE" w:rsidRDefault="009B3794" w:rsidP="005C1932">
            <w:pPr>
              <w:widowControl/>
              <w:spacing w:before="100" w:beforeAutospacing="1" w:after="100" w:afterAutospacing="1"/>
              <w:rPr>
                <w:b/>
                <w:bCs/>
                <w:sz w:val="24"/>
              </w:rPr>
            </w:pPr>
          </w:p>
        </w:tc>
      </w:tr>
      <w:tr w:rsidR="000761DE" w:rsidRPr="000761DE" w:rsidTr="000761DE">
        <w:trPr>
          <w:trHeight w:val="440"/>
        </w:trPr>
        <w:tc>
          <w:tcPr>
            <w:tcW w:w="5965" w:type="dxa"/>
            <w:gridSpan w:val="4"/>
            <w:shd w:val="clear" w:color="auto" w:fill="A6A6A6" w:themeFill="background1" w:themeFillShade="A6"/>
          </w:tcPr>
          <w:p w:rsidR="000761DE" w:rsidRPr="000761DE" w:rsidRDefault="000761DE" w:rsidP="005C1932">
            <w:pPr>
              <w:widowControl/>
              <w:spacing w:before="100" w:beforeAutospacing="1" w:after="100" w:afterAutospacing="1"/>
              <w:rPr>
                <w:sz w:val="24"/>
              </w:rPr>
            </w:pPr>
            <w:r w:rsidRPr="000761DE">
              <w:rPr>
                <w:b/>
                <w:bCs/>
                <w:sz w:val="24"/>
              </w:rPr>
              <w:t>Qualitative Assessment (Cognitive Interviews &amp; Usability Testing)</w:t>
            </w:r>
          </w:p>
        </w:tc>
      </w:tr>
      <w:tr w:rsidR="000761DE" w:rsidRPr="000761DE" w:rsidTr="000761DE">
        <w:trPr>
          <w:trHeight w:val="440"/>
        </w:trPr>
        <w:tc>
          <w:tcPr>
            <w:tcW w:w="1430" w:type="dxa"/>
          </w:tcPr>
          <w:p w:rsidR="000761DE" w:rsidRPr="000761DE" w:rsidRDefault="000761DE" w:rsidP="005C1932">
            <w:pPr>
              <w:widowControl/>
              <w:tabs>
                <w:tab w:val="num" w:pos="1080"/>
              </w:tabs>
              <w:spacing w:before="100" w:beforeAutospacing="1" w:after="100" w:afterAutospacing="1"/>
              <w:rPr>
                <w:b/>
                <w:bCs/>
                <w:sz w:val="24"/>
              </w:rPr>
            </w:pPr>
            <w:r w:rsidRPr="000761DE">
              <w:rPr>
                <w:b/>
                <w:bCs/>
                <w:sz w:val="24"/>
              </w:rPr>
              <w:t>Adult Parents</w:t>
            </w:r>
          </w:p>
        </w:tc>
        <w:tc>
          <w:tcPr>
            <w:tcW w:w="1330" w:type="dxa"/>
            <w:vAlign w:val="center"/>
          </w:tcPr>
          <w:p w:rsidR="000761DE" w:rsidRPr="000761DE" w:rsidRDefault="00DD1696" w:rsidP="005C1932">
            <w:pPr>
              <w:widowControl/>
              <w:tabs>
                <w:tab w:val="num" w:pos="1080"/>
              </w:tabs>
              <w:spacing w:before="100" w:beforeAutospacing="1" w:after="100" w:afterAutospacing="1"/>
              <w:rPr>
                <w:b/>
                <w:bCs/>
                <w:sz w:val="24"/>
              </w:rPr>
            </w:pPr>
            <w:r>
              <w:rPr>
                <w:sz w:val="24"/>
              </w:rPr>
              <w:t>120</w:t>
            </w:r>
          </w:p>
        </w:tc>
        <w:tc>
          <w:tcPr>
            <w:tcW w:w="1429" w:type="dxa"/>
            <w:vAlign w:val="center"/>
          </w:tcPr>
          <w:p w:rsidR="000761DE" w:rsidRPr="000761DE" w:rsidRDefault="000761DE" w:rsidP="005C1932">
            <w:pPr>
              <w:widowControl/>
              <w:spacing w:before="100" w:beforeAutospacing="1" w:after="100" w:afterAutospacing="1"/>
              <w:jc w:val="right"/>
              <w:rPr>
                <w:sz w:val="24"/>
              </w:rPr>
            </w:pPr>
            <w:r w:rsidRPr="000761DE">
              <w:rPr>
                <w:sz w:val="24"/>
              </w:rPr>
              <w:t>$10.00</w:t>
            </w:r>
          </w:p>
        </w:tc>
        <w:tc>
          <w:tcPr>
            <w:tcW w:w="1776" w:type="dxa"/>
            <w:vAlign w:val="center"/>
          </w:tcPr>
          <w:p w:rsidR="000761DE" w:rsidRPr="000761DE" w:rsidRDefault="000761DE" w:rsidP="005C1932">
            <w:pPr>
              <w:spacing w:before="100" w:beforeAutospacing="1" w:after="100" w:afterAutospacing="1"/>
              <w:jc w:val="right"/>
              <w:rPr>
                <w:sz w:val="24"/>
              </w:rPr>
            </w:pPr>
            <w:r w:rsidRPr="000761DE">
              <w:rPr>
                <w:sz w:val="24"/>
              </w:rPr>
              <w:t>$</w:t>
            </w:r>
            <w:r w:rsidR="00DD1696">
              <w:rPr>
                <w:sz w:val="24"/>
              </w:rPr>
              <w:t>1,200.00</w:t>
            </w:r>
            <w:r w:rsidRPr="000761DE">
              <w:rPr>
                <w:sz w:val="24"/>
              </w:rPr>
              <w:t xml:space="preserve"> </w:t>
            </w:r>
          </w:p>
        </w:tc>
      </w:tr>
      <w:tr w:rsidR="000761DE" w:rsidRPr="000761DE" w:rsidTr="000761DE">
        <w:trPr>
          <w:trHeight w:val="440"/>
        </w:trPr>
        <w:tc>
          <w:tcPr>
            <w:tcW w:w="1430" w:type="dxa"/>
          </w:tcPr>
          <w:p w:rsidR="000761DE" w:rsidRPr="000761DE" w:rsidRDefault="000761DE" w:rsidP="005C1932">
            <w:pPr>
              <w:widowControl/>
              <w:tabs>
                <w:tab w:val="num" w:pos="1080"/>
              </w:tabs>
              <w:spacing w:before="100" w:beforeAutospacing="1" w:after="100" w:afterAutospacing="1"/>
              <w:rPr>
                <w:b/>
                <w:bCs/>
                <w:sz w:val="24"/>
              </w:rPr>
            </w:pPr>
            <w:r w:rsidRPr="000761DE">
              <w:rPr>
                <w:b/>
                <w:bCs/>
                <w:sz w:val="24"/>
              </w:rPr>
              <w:t>Adult Parents</w:t>
            </w:r>
          </w:p>
        </w:tc>
        <w:tc>
          <w:tcPr>
            <w:tcW w:w="1330" w:type="dxa"/>
            <w:vAlign w:val="center"/>
          </w:tcPr>
          <w:p w:rsidR="000761DE" w:rsidRPr="000761DE" w:rsidRDefault="000761DE" w:rsidP="005C1932">
            <w:pPr>
              <w:widowControl/>
              <w:tabs>
                <w:tab w:val="num" w:pos="1080"/>
              </w:tabs>
              <w:spacing w:before="100" w:beforeAutospacing="1" w:after="100" w:afterAutospacing="1"/>
              <w:rPr>
                <w:sz w:val="24"/>
              </w:rPr>
            </w:pPr>
            <w:r w:rsidRPr="000761DE">
              <w:rPr>
                <w:sz w:val="24"/>
              </w:rPr>
              <w:t>20</w:t>
            </w:r>
          </w:p>
        </w:tc>
        <w:tc>
          <w:tcPr>
            <w:tcW w:w="1429" w:type="dxa"/>
            <w:vAlign w:val="center"/>
          </w:tcPr>
          <w:p w:rsidR="000761DE" w:rsidRPr="000761DE" w:rsidRDefault="000761DE" w:rsidP="005C1932">
            <w:pPr>
              <w:widowControl/>
              <w:spacing w:before="100" w:beforeAutospacing="1" w:after="100" w:afterAutospacing="1"/>
              <w:jc w:val="right"/>
              <w:rPr>
                <w:sz w:val="24"/>
              </w:rPr>
            </w:pPr>
            <w:r w:rsidRPr="000761DE">
              <w:rPr>
                <w:sz w:val="24"/>
              </w:rPr>
              <w:t>$10.00</w:t>
            </w:r>
          </w:p>
        </w:tc>
        <w:tc>
          <w:tcPr>
            <w:tcW w:w="1776" w:type="dxa"/>
            <w:vAlign w:val="center"/>
          </w:tcPr>
          <w:p w:rsidR="000761DE" w:rsidRPr="000761DE" w:rsidRDefault="000761DE" w:rsidP="005C1932">
            <w:pPr>
              <w:spacing w:before="100" w:beforeAutospacing="1" w:after="100" w:afterAutospacing="1"/>
              <w:jc w:val="right"/>
              <w:rPr>
                <w:sz w:val="24"/>
              </w:rPr>
            </w:pPr>
            <w:r w:rsidRPr="000761DE">
              <w:rPr>
                <w:sz w:val="24"/>
              </w:rPr>
              <w:t xml:space="preserve">$200.00 </w:t>
            </w:r>
          </w:p>
        </w:tc>
      </w:tr>
      <w:tr w:rsidR="000761DE" w:rsidRPr="000761DE" w:rsidTr="00DE6DD8">
        <w:trPr>
          <w:trHeight w:val="440"/>
        </w:trPr>
        <w:tc>
          <w:tcPr>
            <w:tcW w:w="1430" w:type="dxa"/>
          </w:tcPr>
          <w:p w:rsidR="000761DE" w:rsidRPr="000761DE" w:rsidRDefault="000761DE" w:rsidP="005C1932">
            <w:pPr>
              <w:widowControl/>
              <w:tabs>
                <w:tab w:val="num" w:pos="1080"/>
              </w:tabs>
              <w:spacing w:before="100" w:beforeAutospacing="1" w:after="100" w:afterAutospacing="1"/>
              <w:rPr>
                <w:b/>
                <w:bCs/>
                <w:sz w:val="24"/>
              </w:rPr>
            </w:pPr>
            <w:r w:rsidRPr="000761DE">
              <w:rPr>
                <w:b/>
                <w:bCs/>
                <w:sz w:val="24"/>
              </w:rPr>
              <w:t>Health Care Providers</w:t>
            </w:r>
          </w:p>
        </w:tc>
        <w:tc>
          <w:tcPr>
            <w:tcW w:w="1330" w:type="dxa"/>
            <w:vAlign w:val="center"/>
          </w:tcPr>
          <w:p w:rsidR="000761DE" w:rsidRPr="000761DE" w:rsidRDefault="000761DE" w:rsidP="005C1932">
            <w:pPr>
              <w:widowControl/>
              <w:tabs>
                <w:tab w:val="num" w:pos="1080"/>
              </w:tabs>
              <w:spacing w:before="100" w:beforeAutospacing="1" w:after="100" w:afterAutospacing="1"/>
              <w:rPr>
                <w:sz w:val="24"/>
              </w:rPr>
            </w:pPr>
            <w:r w:rsidRPr="000761DE">
              <w:rPr>
                <w:sz w:val="24"/>
              </w:rPr>
              <w:t>10</w:t>
            </w:r>
          </w:p>
          <w:p w:rsidR="000761DE" w:rsidRPr="000761DE" w:rsidRDefault="000761DE" w:rsidP="005C1932">
            <w:pPr>
              <w:widowControl/>
              <w:tabs>
                <w:tab w:val="num" w:pos="1080"/>
              </w:tabs>
              <w:spacing w:before="100" w:beforeAutospacing="1" w:after="100" w:afterAutospacing="1"/>
              <w:rPr>
                <w:b/>
                <w:bCs/>
                <w:sz w:val="24"/>
              </w:rPr>
            </w:pPr>
          </w:p>
        </w:tc>
        <w:tc>
          <w:tcPr>
            <w:tcW w:w="1429" w:type="dxa"/>
          </w:tcPr>
          <w:p w:rsidR="000761DE" w:rsidRPr="000761DE" w:rsidRDefault="000761DE" w:rsidP="00DE6DD8">
            <w:pPr>
              <w:widowControl/>
              <w:spacing w:before="100" w:beforeAutospacing="1" w:after="100" w:afterAutospacing="1"/>
              <w:jc w:val="right"/>
              <w:rPr>
                <w:sz w:val="24"/>
              </w:rPr>
            </w:pPr>
            <w:r w:rsidRPr="000761DE">
              <w:rPr>
                <w:sz w:val="24"/>
              </w:rPr>
              <w:t>$</w:t>
            </w:r>
            <w:r w:rsidR="00063E1F">
              <w:rPr>
                <w:sz w:val="24"/>
              </w:rPr>
              <w:t>88.43</w:t>
            </w:r>
          </w:p>
        </w:tc>
        <w:tc>
          <w:tcPr>
            <w:tcW w:w="1776" w:type="dxa"/>
          </w:tcPr>
          <w:p w:rsidR="000761DE" w:rsidRPr="000761DE" w:rsidRDefault="000761DE" w:rsidP="00DE6DD8">
            <w:pPr>
              <w:spacing w:before="100" w:beforeAutospacing="1" w:after="100" w:afterAutospacing="1"/>
              <w:jc w:val="right"/>
              <w:rPr>
                <w:sz w:val="24"/>
              </w:rPr>
            </w:pPr>
            <w:r w:rsidRPr="000761DE">
              <w:rPr>
                <w:sz w:val="24"/>
              </w:rPr>
              <w:t>$</w:t>
            </w:r>
            <w:r w:rsidR="006B7361">
              <w:rPr>
                <w:sz w:val="24"/>
              </w:rPr>
              <w:t>88</w:t>
            </w:r>
            <w:r w:rsidR="00063E1F">
              <w:rPr>
                <w:sz w:val="24"/>
              </w:rPr>
              <w:t>4.30</w:t>
            </w:r>
            <w:r w:rsidRPr="000761DE">
              <w:rPr>
                <w:sz w:val="24"/>
              </w:rPr>
              <w:t xml:space="preserve"> </w:t>
            </w:r>
          </w:p>
        </w:tc>
      </w:tr>
      <w:tr w:rsidR="000761DE" w:rsidRPr="000761DE" w:rsidTr="000761DE">
        <w:trPr>
          <w:trHeight w:val="440"/>
        </w:trPr>
        <w:tc>
          <w:tcPr>
            <w:tcW w:w="5965" w:type="dxa"/>
            <w:gridSpan w:val="4"/>
            <w:shd w:val="clear" w:color="auto" w:fill="A6A6A6" w:themeFill="background1" w:themeFillShade="A6"/>
            <w:vAlign w:val="center"/>
          </w:tcPr>
          <w:p w:rsidR="000761DE" w:rsidRPr="000761DE" w:rsidRDefault="000761DE" w:rsidP="005C1932">
            <w:pPr>
              <w:widowControl/>
              <w:spacing w:before="100" w:beforeAutospacing="1" w:after="100" w:afterAutospacing="1"/>
              <w:rPr>
                <w:sz w:val="24"/>
              </w:rPr>
            </w:pPr>
            <w:r w:rsidRPr="000761DE">
              <w:rPr>
                <w:b/>
                <w:sz w:val="24"/>
              </w:rPr>
              <w:t>Mode Effects Experiment</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Adult Parents</w:t>
            </w:r>
          </w:p>
        </w:tc>
        <w:tc>
          <w:tcPr>
            <w:tcW w:w="1330" w:type="dxa"/>
            <w:vAlign w:val="center"/>
          </w:tcPr>
          <w:p w:rsidR="00DD1696" w:rsidRPr="00DD1696" w:rsidRDefault="006B7361" w:rsidP="006B7361">
            <w:pPr>
              <w:spacing w:before="100" w:beforeAutospacing="1" w:after="100" w:afterAutospacing="1"/>
              <w:rPr>
                <w:color w:val="000000"/>
                <w:sz w:val="22"/>
                <w:szCs w:val="22"/>
              </w:rPr>
            </w:pPr>
            <w:r w:rsidRPr="00DD1696">
              <w:rPr>
                <w:color w:val="000000"/>
                <w:sz w:val="22"/>
                <w:szCs w:val="22"/>
              </w:rPr>
              <w:t>4</w:t>
            </w:r>
            <w:r>
              <w:rPr>
                <w:color w:val="000000"/>
                <w:sz w:val="22"/>
                <w:szCs w:val="22"/>
              </w:rPr>
              <w:t>50</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6B7361">
            <w:pPr>
              <w:spacing w:before="100" w:beforeAutospacing="1" w:after="100" w:afterAutospacing="1"/>
              <w:jc w:val="right"/>
              <w:rPr>
                <w:color w:val="000000"/>
                <w:sz w:val="22"/>
                <w:szCs w:val="22"/>
              </w:rPr>
            </w:pPr>
            <w:r w:rsidRPr="00DD1696">
              <w:rPr>
                <w:color w:val="000000"/>
                <w:sz w:val="22"/>
                <w:szCs w:val="22"/>
              </w:rPr>
              <w:t>$</w:t>
            </w:r>
            <w:r w:rsidR="006B7361">
              <w:rPr>
                <w:color w:val="000000"/>
                <w:sz w:val="22"/>
                <w:szCs w:val="22"/>
              </w:rPr>
              <w:t>4,500.00</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 xml:space="preserve">Adult Parents </w:t>
            </w:r>
          </w:p>
        </w:tc>
        <w:tc>
          <w:tcPr>
            <w:tcW w:w="1330" w:type="dxa"/>
            <w:vAlign w:val="center"/>
          </w:tcPr>
          <w:p w:rsidR="00DD1696" w:rsidRPr="00DD1696" w:rsidRDefault="00DD1696" w:rsidP="005C1932">
            <w:pPr>
              <w:spacing w:before="100" w:beforeAutospacing="1" w:after="100" w:afterAutospacing="1"/>
              <w:rPr>
                <w:color w:val="000000"/>
                <w:sz w:val="22"/>
                <w:szCs w:val="22"/>
              </w:rPr>
            </w:pPr>
            <w:r w:rsidRPr="00DD1696">
              <w:rPr>
                <w:color w:val="000000"/>
                <w:sz w:val="22"/>
                <w:szCs w:val="22"/>
              </w:rPr>
              <w:t>211</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5C1932">
            <w:pPr>
              <w:spacing w:before="100" w:beforeAutospacing="1" w:after="100" w:afterAutospacing="1"/>
              <w:jc w:val="right"/>
              <w:rPr>
                <w:color w:val="000000"/>
                <w:sz w:val="22"/>
                <w:szCs w:val="22"/>
              </w:rPr>
            </w:pPr>
            <w:r w:rsidRPr="00DD1696">
              <w:rPr>
                <w:color w:val="000000"/>
                <w:sz w:val="22"/>
                <w:szCs w:val="22"/>
              </w:rPr>
              <w:t>$2,1</w:t>
            </w:r>
            <w:r w:rsidR="006B7361">
              <w:rPr>
                <w:color w:val="000000"/>
                <w:sz w:val="22"/>
                <w:szCs w:val="22"/>
              </w:rPr>
              <w:t>10</w:t>
            </w:r>
            <w:r w:rsidRPr="00DD1696">
              <w:rPr>
                <w:color w:val="000000"/>
                <w:sz w:val="22"/>
                <w:szCs w:val="22"/>
              </w:rPr>
              <w:t>.00</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 xml:space="preserve">Adult Parents </w:t>
            </w:r>
          </w:p>
        </w:tc>
        <w:tc>
          <w:tcPr>
            <w:tcW w:w="1330" w:type="dxa"/>
            <w:vAlign w:val="center"/>
          </w:tcPr>
          <w:p w:rsidR="00DD1696" w:rsidRPr="00DD1696" w:rsidRDefault="00DD1696" w:rsidP="005C1932">
            <w:pPr>
              <w:spacing w:before="100" w:beforeAutospacing="1" w:after="100" w:afterAutospacing="1"/>
              <w:rPr>
                <w:color w:val="000000"/>
                <w:sz w:val="22"/>
                <w:szCs w:val="22"/>
              </w:rPr>
            </w:pPr>
            <w:r w:rsidRPr="00DD1696">
              <w:rPr>
                <w:color w:val="000000"/>
                <w:sz w:val="22"/>
                <w:szCs w:val="22"/>
              </w:rPr>
              <w:t>189</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6B7361">
            <w:pPr>
              <w:spacing w:before="100" w:beforeAutospacing="1" w:after="100" w:afterAutospacing="1"/>
              <w:jc w:val="right"/>
              <w:rPr>
                <w:color w:val="000000"/>
                <w:sz w:val="22"/>
                <w:szCs w:val="22"/>
              </w:rPr>
            </w:pPr>
            <w:r w:rsidRPr="00DD1696">
              <w:rPr>
                <w:color w:val="000000"/>
                <w:sz w:val="22"/>
                <w:szCs w:val="22"/>
              </w:rPr>
              <w:t>$1,</w:t>
            </w:r>
            <w:r w:rsidR="006B7361" w:rsidRPr="00DD1696">
              <w:rPr>
                <w:color w:val="000000"/>
                <w:sz w:val="22"/>
                <w:szCs w:val="22"/>
              </w:rPr>
              <w:t>89</w:t>
            </w:r>
            <w:r w:rsidR="006B7361">
              <w:rPr>
                <w:color w:val="000000"/>
                <w:sz w:val="22"/>
                <w:szCs w:val="22"/>
              </w:rPr>
              <w:t>0</w:t>
            </w:r>
            <w:r w:rsidRPr="00DD1696">
              <w:rPr>
                <w:color w:val="000000"/>
                <w:sz w:val="22"/>
                <w:szCs w:val="22"/>
              </w:rPr>
              <w:t>.</w:t>
            </w:r>
            <w:r w:rsidR="006B7361">
              <w:rPr>
                <w:color w:val="000000"/>
                <w:sz w:val="22"/>
                <w:szCs w:val="22"/>
              </w:rPr>
              <w:t>0</w:t>
            </w:r>
            <w:r w:rsidRPr="00DD1696">
              <w:rPr>
                <w:color w:val="000000"/>
                <w:sz w:val="22"/>
                <w:szCs w:val="22"/>
              </w:rPr>
              <w:t>0</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 xml:space="preserve">Adult Parents </w:t>
            </w:r>
          </w:p>
        </w:tc>
        <w:tc>
          <w:tcPr>
            <w:tcW w:w="1330" w:type="dxa"/>
            <w:vAlign w:val="center"/>
          </w:tcPr>
          <w:p w:rsidR="00DD1696" w:rsidRPr="00DD1696" w:rsidRDefault="00DD1696" w:rsidP="005C1932">
            <w:pPr>
              <w:spacing w:before="100" w:beforeAutospacing="1" w:after="100" w:afterAutospacing="1"/>
              <w:rPr>
                <w:color w:val="000000"/>
                <w:sz w:val="22"/>
                <w:szCs w:val="22"/>
              </w:rPr>
            </w:pPr>
            <w:r w:rsidRPr="00DD1696">
              <w:rPr>
                <w:color w:val="000000"/>
                <w:sz w:val="22"/>
                <w:szCs w:val="22"/>
              </w:rPr>
              <w:t>189</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5C1932">
            <w:pPr>
              <w:spacing w:before="100" w:beforeAutospacing="1" w:after="100" w:afterAutospacing="1"/>
              <w:jc w:val="right"/>
              <w:rPr>
                <w:color w:val="000000"/>
                <w:sz w:val="22"/>
                <w:szCs w:val="22"/>
              </w:rPr>
            </w:pPr>
            <w:r w:rsidRPr="00DD1696">
              <w:rPr>
                <w:color w:val="000000"/>
                <w:sz w:val="22"/>
                <w:szCs w:val="22"/>
              </w:rPr>
              <w:t>$1,89</w:t>
            </w:r>
            <w:r w:rsidR="006B7361">
              <w:rPr>
                <w:color w:val="000000"/>
                <w:sz w:val="22"/>
                <w:szCs w:val="22"/>
              </w:rPr>
              <w:t>0</w:t>
            </w:r>
            <w:r w:rsidRPr="00DD1696">
              <w:rPr>
                <w:color w:val="000000"/>
                <w:sz w:val="22"/>
                <w:szCs w:val="22"/>
              </w:rPr>
              <w:t>.</w:t>
            </w:r>
            <w:r w:rsidR="006B7361">
              <w:rPr>
                <w:color w:val="000000"/>
                <w:sz w:val="22"/>
                <w:szCs w:val="22"/>
              </w:rPr>
              <w:t>0</w:t>
            </w:r>
            <w:r w:rsidRPr="00DD1696">
              <w:rPr>
                <w:color w:val="000000"/>
                <w:sz w:val="22"/>
                <w:szCs w:val="22"/>
              </w:rPr>
              <w:t>0</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 xml:space="preserve">Adult Parents </w:t>
            </w:r>
          </w:p>
        </w:tc>
        <w:tc>
          <w:tcPr>
            <w:tcW w:w="1330" w:type="dxa"/>
            <w:vAlign w:val="center"/>
          </w:tcPr>
          <w:p w:rsidR="00DD1696" w:rsidRPr="00DD1696" w:rsidRDefault="00DD1696" w:rsidP="005C1932">
            <w:pPr>
              <w:spacing w:before="100" w:beforeAutospacing="1" w:after="100" w:afterAutospacing="1"/>
              <w:rPr>
                <w:color w:val="000000"/>
                <w:sz w:val="22"/>
                <w:szCs w:val="22"/>
              </w:rPr>
            </w:pPr>
            <w:r w:rsidRPr="00DD1696">
              <w:rPr>
                <w:color w:val="000000"/>
                <w:sz w:val="22"/>
                <w:szCs w:val="22"/>
              </w:rPr>
              <w:t>154</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5C1932">
            <w:pPr>
              <w:spacing w:before="100" w:beforeAutospacing="1" w:after="100" w:afterAutospacing="1"/>
              <w:jc w:val="right"/>
              <w:rPr>
                <w:color w:val="000000"/>
                <w:sz w:val="22"/>
                <w:szCs w:val="22"/>
              </w:rPr>
            </w:pPr>
            <w:r w:rsidRPr="00DD1696">
              <w:rPr>
                <w:color w:val="000000"/>
                <w:sz w:val="22"/>
                <w:szCs w:val="22"/>
              </w:rPr>
              <w:t>$1,54</w:t>
            </w:r>
            <w:r w:rsidR="006B7361">
              <w:rPr>
                <w:color w:val="000000"/>
                <w:sz w:val="22"/>
                <w:szCs w:val="22"/>
              </w:rPr>
              <w:t>0</w:t>
            </w:r>
            <w:r w:rsidRPr="00DD1696">
              <w:rPr>
                <w:color w:val="000000"/>
                <w:sz w:val="22"/>
                <w:szCs w:val="22"/>
              </w:rPr>
              <w:t>.</w:t>
            </w:r>
            <w:r w:rsidR="006B7361">
              <w:rPr>
                <w:color w:val="000000"/>
                <w:sz w:val="22"/>
                <w:szCs w:val="22"/>
              </w:rPr>
              <w:t>00</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 xml:space="preserve">Adult Parents </w:t>
            </w:r>
          </w:p>
        </w:tc>
        <w:tc>
          <w:tcPr>
            <w:tcW w:w="1330" w:type="dxa"/>
            <w:vAlign w:val="center"/>
          </w:tcPr>
          <w:p w:rsidR="00DD1696" w:rsidRPr="00DD1696" w:rsidRDefault="00DD1696" w:rsidP="005C1932">
            <w:pPr>
              <w:spacing w:before="100" w:beforeAutospacing="1" w:after="100" w:afterAutospacing="1"/>
              <w:rPr>
                <w:color w:val="000000"/>
                <w:sz w:val="22"/>
                <w:szCs w:val="22"/>
              </w:rPr>
            </w:pPr>
            <w:r w:rsidRPr="00DD1696">
              <w:rPr>
                <w:color w:val="000000"/>
                <w:sz w:val="22"/>
                <w:szCs w:val="22"/>
              </w:rPr>
              <w:t>126</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5C1932">
            <w:pPr>
              <w:spacing w:before="100" w:beforeAutospacing="1" w:after="100" w:afterAutospacing="1"/>
              <w:jc w:val="right"/>
              <w:rPr>
                <w:color w:val="000000"/>
                <w:sz w:val="22"/>
                <w:szCs w:val="22"/>
              </w:rPr>
            </w:pPr>
            <w:r w:rsidRPr="00DD1696">
              <w:rPr>
                <w:color w:val="000000"/>
                <w:sz w:val="22"/>
                <w:szCs w:val="22"/>
              </w:rPr>
              <w:t>$1,26</w:t>
            </w:r>
            <w:r w:rsidR="006B7361">
              <w:rPr>
                <w:color w:val="000000"/>
                <w:sz w:val="22"/>
                <w:szCs w:val="22"/>
              </w:rPr>
              <w:t>0</w:t>
            </w:r>
            <w:r w:rsidRPr="00DD1696">
              <w:rPr>
                <w:color w:val="000000"/>
                <w:sz w:val="22"/>
                <w:szCs w:val="22"/>
              </w:rPr>
              <w:t>.00</w:t>
            </w:r>
          </w:p>
        </w:tc>
      </w:tr>
      <w:tr w:rsidR="00DD1696" w:rsidRPr="000761DE" w:rsidTr="00DD1696">
        <w:trPr>
          <w:trHeight w:val="440"/>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 xml:space="preserve">Adult Parents </w:t>
            </w:r>
          </w:p>
        </w:tc>
        <w:tc>
          <w:tcPr>
            <w:tcW w:w="1330" w:type="dxa"/>
            <w:vAlign w:val="center"/>
          </w:tcPr>
          <w:p w:rsidR="00DD1696" w:rsidRPr="00DD1696" w:rsidRDefault="00DD1696" w:rsidP="005C1932">
            <w:pPr>
              <w:spacing w:before="100" w:beforeAutospacing="1" w:after="100" w:afterAutospacing="1"/>
              <w:rPr>
                <w:color w:val="000000"/>
                <w:sz w:val="22"/>
                <w:szCs w:val="22"/>
              </w:rPr>
            </w:pPr>
            <w:r w:rsidRPr="00DD1696">
              <w:rPr>
                <w:color w:val="000000"/>
                <w:sz w:val="22"/>
                <w:szCs w:val="22"/>
              </w:rPr>
              <w:t>126</w:t>
            </w:r>
          </w:p>
        </w:tc>
        <w:tc>
          <w:tcPr>
            <w:tcW w:w="1429" w:type="dxa"/>
            <w:vAlign w:val="center"/>
          </w:tcPr>
          <w:p w:rsidR="00DD1696" w:rsidRPr="000761DE" w:rsidRDefault="00DD1696" w:rsidP="005C1932">
            <w:pPr>
              <w:widowControl/>
              <w:spacing w:before="100" w:beforeAutospacing="1" w:after="100" w:afterAutospacing="1"/>
              <w:jc w:val="right"/>
              <w:rPr>
                <w:sz w:val="24"/>
              </w:rPr>
            </w:pPr>
            <w:r w:rsidRPr="000761DE">
              <w:rPr>
                <w:sz w:val="24"/>
              </w:rPr>
              <w:t>$10.00</w:t>
            </w:r>
          </w:p>
        </w:tc>
        <w:tc>
          <w:tcPr>
            <w:tcW w:w="1776" w:type="dxa"/>
            <w:vAlign w:val="center"/>
          </w:tcPr>
          <w:p w:rsidR="00DD1696" w:rsidRPr="00DD1696" w:rsidRDefault="00DD1696" w:rsidP="005C1932">
            <w:pPr>
              <w:spacing w:before="100" w:beforeAutospacing="1" w:after="100" w:afterAutospacing="1"/>
              <w:jc w:val="right"/>
              <w:rPr>
                <w:color w:val="000000"/>
                <w:sz w:val="22"/>
                <w:szCs w:val="22"/>
              </w:rPr>
            </w:pPr>
            <w:r w:rsidRPr="00DD1696">
              <w:rPr>
                <w:color w:val="000000"/>
                <w:sz w:val="22"/>
                <w:szCs w:val="22"/>
              </w:rPr>
              <w:t>$1,26</w:t>
            </w:r>
            <w:r w:rsidR="006B7361">
              <w:rPr>
                <w:color w:val="000000"/>
                <w:sz w:val="22"/>
                <w:szCs w:val="22"/>
              </w:rPr>
              <w:t>0</w:t>
            </w:r>
            <w:r w:rsidRPr="00DD1696">
              <w:rPr>
                <w:color w:val="000000"/>
                <w:sz w:val="22"/>
                <w:szCs w:val="22"/>
              </w:rPr>
              <w:t>.00</w:t>
            </w:r>
          </w:p>
        </w:tc>
      </w:tr>
      <w:tr w:rsidR="00DD1696" w:rsidRPr="000761DE" w:rsidTr="00DE6DD8">
        <w:trPr>
          <w:trHeight w:val="287"/>
        </w:trPr>
        <w:tc>
          <w:tcPr>
            <w:tcW w:w="1430" w:type="dxa"/>
          </w:tcPr>
          <w:p w:rsidR="00DD1696" w:rsidRPr="000761DE" w:rsidRDefault="00DD1696" w:rsidP="005C1932">
            <w:pPr>
              <w:widowControl/>
              <w:tabs>
                <w:tab w:val="num" w:pos="1080"/>
              </w:tabs>
              <w:spacing w:before="100" w:beforeAutospacing="1" w:after="100" w:afterAutospacing="1"/>
              <w:rPr>
                <w:b/>
                <w:bCs/>
                <w:sz w:val="24"/>
              </w:rPr>
            </w:pPr>
            <w:r w:rsidRPr="000761DE">
              <w:rPr>
                <w:b/>
                <w:bCs/>
                <w:sz w:val="24"/>
              </w:rPr>
              <w:t>Total</w:t>
            </w:r>
          </w:p>
        </w:tc>
        <w:tc>
          <w:tcPr>
            <w:tcW w:w="1330" w:type="dxa"/>
          </w:tcPr>
          <w:p w:rsidR="00DD1696" w:rsidRPr="000761DE" w:rsidRDefault="00704A6B" w:rsidP="00DE6DD8">
            <w:pPr>
              <w:widowControl/>
              <w:spacing w:before="100" w:beforeAutospacing="1" w:after="100" w:afterAutospacing="1"/>
              <w:rPr>
                <w:b/>
                <w:sz w:val="24"/>
              </w:rPr>
            </w:pPr>
            <w:r>
              <w:rPr>
                <w:b/>
                <w:sz w:val="24"/>
              </w:rPr>
              <w:t>1,</w:t>
            </w:r>
            <w:r w:rsidR="00DE6DD8">
              <w:rPr>
                <w:b/>
                <w:sz w:val="24"/>
              </w:rPr>
              <w:t>595</w:t>
            </w:r>
          </w:p>
        </w:tc>
        <w:tc>
          <w:tcPr>
            <w:tcW w:w="1429" w:type="dxa"/>
            <w:vAlign w:val="center"/>
          </w:tcPr>
          <w:p w:rsidR="00DD1696" w:rsidRPr="000761DE" w:rsidRDefault="00DD1696" w:rsidP="005C1932">
            <w:pPr>
              <w:widowControl/>
              <w:spacing w:before="100" w:beforeAutospacing="1" w:after="100" w:afterAutospacing="1"/>
              <w:jc w:val="right"/>
              <w:rPr>
                <w:b/>
                <w:sz w:val="24"/>
              </w:rPr>
            </w:pPr>
          </w:p>
        </w:tc>
        <w:tc>
          <w:tcPr>
            <w:tcW w:w="1776" w:type="dxa"/>
          </w:tcPr>
          <w:p w:rsidR="00DD1696" w:rsidRPr="00DD1696" w:rsidRDefault="00DD1696" w:rsidP="00DE6DD8">
            <w:pPr>
              <w:spacing w:before="100" w:beforeAutospacing="1" w:after="100" w:afterAutospacing="1"/>
              <w:jc w:val="right"/>
              <w:rPr>
                <w:b/>
                <w:color w:val="000000"/>
                <w:sz w:val="22"/>
                <w:szCs w:val="22"/>
              </w:rPr>
            </w:pPr>
            <w:r w:rsidRPr="00DD1696">
              <w:rPr>
                <w:b/>
                <w:color w:val="000000"/>
                <w:sz w:val="22"/>
                <w:szCs w:val="22"/>
              </w:rPr>
              <w:t>$16,</w:t>
            </w:r>
            <w:r w:rsidR="006B7361">
              <w:rPr>
                <w:b/>
                <w:color w:val="000000"/>
                <w:sz w:val="22"/>
                <w:szCs w:val="22"/>
              </w:rPr>
              <w:t>734</w:t>
            </w:r>
            <w:r w:rsidR="00704A6B">
              <w:rPr>
                <w:b/>
                <w:color w:val="000000"/>
                <w:sz w:val="22"/>
                <w:szCs w:val="22"/>
              </w:rPr>
              <w:t>.</w:t>
            </w:r>
            <w:r w:rsidR="006B7361">
              <w:rPr>
                <w:b/>
                <w:color w:val="000000"/>
                <w:sz w:val="22"/>
                <w:szCs w:val="22"/>
              </w:rPr>
              <w:t>30</w:t>
            </w:r>
          </w:p>
        </w:tc>
      </w:tr>
    </w:tbl>
    <w:p w:rsidR="00063E1F" w:rsidRPr="005C1932" w:rsidRDefault="00063E1F" w:rsidP="005C1932"/>
    <w:p w:rsidR="009B3794" w:rsidRPr="00E57405" w:rsidRDefault="009B3794" w:rsidP="00CA3DA6">
      <w:pPr>
        <w:numPr>
          <w:ilvl w:val="0"/>
          <w:numId w:val="2"/>
        </w:numPr>
        <w:tabs>
          <w:tab w:val="clear" w:pos="1080"/>
          <w:tab w:val="num" w:pos="360"/>
        </w:tabs>
        <w:spacing w:before="240"/>
        <w:ind w:left="360"/>
        <w:rPr>
          <w:b/>
          <w:sz w:val="24"/>
        </w:rPr>
      </w:pPr>
      <w:r>
        <w:rPr>
          <w:b/>
          <w:sz w:val="24"/>
          <w:u w:val="single"/>
        </w:rPr>
        <w:t xml:space="preserve">Estimates of other Total Annual Cost Burden to Respondents </w:t>
      </w:r>
    </w:p>
    <w:p w:rsidR="00E57405" w:rsidRPr="00465323" w:rsidRDefault="00E57405" w:rsidP="00465323">
      <w:pPr>
        <w:pStyle w:val="BodyTextIndent"/>
        <w:spacing w:before="120"/>
        <w:ind w:left="0" w:firstLine="360"/>
        <w:rPr>
          <w:rFonts w:ascii="Times New Roman" w:hAnsi="Times New Roman"/>
        </w:rPr>
      </w:pPr>
      <w:r>
        <w:rPr>
          <w:rFonts w:ascii="Times New Roman" w:hAnsi="Times New Roman"/>
        </w:rPr>
        <w:t xml:space="preserve">There are no direct costs to respondents other than their time to participate in the study. </w:t>
      </w:r>
    </w:p>
    <w:p w:rsidR="009B3794" w:rsidRDefault="009B3794" w:rsidP="00CA3DA6">
      <w:pPr>
        <w:numPr>
          <w:ilvl w:val="0"/>
          <w:numId w:val="2"/>
        </w:numPr>
        <w:tabs>
          <w:tab w:val="clear" w:pos="1080"/>
          <w:tab w:val="num" w:pos="360"/>
        </w:tabs>
        <w:spacing w:before="240"/>
        <w:ind w:left="360"/>
        <w:rPr>
          <w:b/>
          <w:sz w:val="24"/>
        </w:rPr>
      </w:pPr>
      <w:r>
        <w:rPr>
          <w:b/>
          <w:sz w:val="24"/>
          <w:u w:val="single"/>
        </w:rPr>
        <w:t xml:space="preserve">Annualized Cost to </w:t>
      </w:r>
      <w:r w:rsidR="00FB5CCB">
        <w:rPr>
          <w:b/>
          <w:sz w:val="24"/>
          <w:u w:val="single"/>
        </w:rPr>
        <w:t xml:space="preserve">the </w:t>
      </w:r>
      <w:r>
        <w:rPr>
          <w:b/>
          <w:sz w:val="24"/>
          <w:u w:val="single"/>
        </w:rPr>
        <w:t>Federal Government</w:t>
      </w:r>
    </w:p>
    <w:p w:rsidR="00AD67A8" w:rsidRPr="00AD67A8" w:rsidRDefault="00AD67A8" w:rsidP="00AD67A8">
      <w:pPr>
        <w:spacing w:before="120" w:after="120"/>
        <w:rPr>
          <w:sz w:val="24"/>
        </w:rPr>
      </w:pPr>
      <w:r>
        <w:rPr>
          <w:sz w:val="24"/>
        </w:rPr>
        <w:t>This data collection</w:t>
      </w:r>
      <w:r w:rsidRPr="00AD67A8">
        <w:rPr>
          <w:sz w:val="24"/>
        </w:rPr>
        <w:t xml:space="preserve"> </w:t>
      </w:r>
      <w:r>
        <w:rPr>
          <w:sz w:val="24"/>
        </w:rPr>
        <w:t xml:space="preserve">will be </w:t>
      </w:r>
      <w:r w:rsidRPr="00AD67A8">
        <w:rPr>
          <w:sz w:val="24"/>
        </w:rPr>
        <w:t xml:space="preserve">carried out under </w:t>
      </w:r>
      <w:r w:rsidR="00465323">
        <w:rPr>
          <w:sz w:val="24"/>
        </w:rPr>
        <w:t xml:space="preserve">a </w:t>
      </w:r>
      <w:r w:rsidRPr="00AD67A8">
        <w:rPr>
          <w:sz w:val="24"/>
        </w:rPr>
        <w:t>contract</w:t>
      </w:r>
      <w:r>
        <w:rPr>
          <w:sz w:val="24"/>
        </w:rPr>
        <w:t xml:space="preserve"> awarded to NORC in the amount of $562,444. This contract spans an eighteen month project period, and </w:t>
      </w:r>
      <w:r w:rsidR="00965C61">
        <w:rPr>
          <w:sz w:val="24"/>
        </w:rPr>
        <w:t>represents an annual cost of $374,962.</w:t>
      </w:r>
    </w:p>
    <w:p w:rsidR="00AD67A8" w:rsidRPr="00AD67A8" w:rsidRDefault="00965C61" w:rsidP="00AD67A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sz w:val="24"/>
        </w:rPr>
      </w:pPr>
      <w:r>
        <w:rPr>
          <w:sz w:val="24"/>
        </w:rPr>
        <w:t>Additionally, the</w:t>
      </w:r>
      <w:r w:rsidR="00AD67A8" w:rsidRPr="00AD67A8">
        <w:rPr>
          <w:sz w:val="24"/>
        </w:rPr>
        <w:t xml:space="preserve"> cost to the government consists </w:t>
      </w:r>
      <w:r>
        <w:rPr>
          <w:sz w:val="24"/>
        </w:rPr>
        <w:t>of the</w:t>
      </w:r>
      <w:r w:rsidR="00AD67A8" w:rsidRPr="00AD67A8">
        <w:rPr>
          <w:sz w:val="24"/>
        </w:rPr>
        <w:t xml:space="preserve"> sal</w:t>
      </w:r>
      <w:r w:rsidR="0091186A">
        <w:rPr>
          <w:sz w:val="24"/>
        </w:rPr>
        <w:t xml:space="preserve">aries of the HRSA staff who </w:t>
      </w:r>
      <w:r w:rsidR="00AD67A8" w:rsidRPr="00AD67A8">
        <w:rPr>
          <w:sz w:val="24"/>
        </w:rPr>
        <w:t>(1) </w:t>
      </w:r>
      <w:r>
        <w:rPr>
          <w:sz w:val="24"/>
        </w:rPr>
        <w:t>determine the content of the data collection instruments</w:t>
      </w:r>
      <w:r w:rsidR="00465323">
        <w:rPr>
          <w:sz w:val="24"/>
        </w:rPr>
        <w:t xml:space="preserve">, </w:t>
      </w:r>
      <w:r w:rsidR="0091186A">
        <w:rPr>
          <w:sz w:val="24"/>
        </w:rPr>
        <w:t>(2) oversee the scope of work conducted under the aforementioned contract</w:t>
      </w:r>
      <w:r w:rsidR="00465323">
        <w:rPr>
          <w:sz w:val="24"/>
        </w:rPr>
        <w:t xml:space="preserve">, and  </w:t>
      </w:r>
      <w:r w:rsidR="00465323" w:rsidRPr="00E37D1E">
        <w:rPr>
          <w:sz w:val="24"/>
        </w:rPr>
        <w:t>(3) assist in the analysis of the results and recommend changes in questionnaire wording:</w:t>
      </w:r>
    </w:p>
    <w:p w:rsidR="00AD67A8" w:rsidRPr="00AD67A8" w:rsidRDefault="00AD67A8" w:rsidP="00AD67A8">
      <w:pPr>
        <w:widowControl/>
        <w:tabs>
          <w:tab w:val="left" w:pos="4320"/>
          <w:tab w:val="left" w:pos="5940"/>
          <w:tab w:val="right" w:pos="8280"/>
        </w:tabs>
        <w:spacing w:before="120" w:after="120"/>
        <w:ind w:left="720"/>
        <w:contextualSpacing/>
        <w:rPr>
          <w:sz w:val="24"/>
        </w:rPr>
      </w:pPr>
      <w:r w:rsidRPr="00AD67A8">
        <w:rPr>
          <w:sz w:val="24"/>
        </w:rPr>
        <w:t>Managerial</w:t>
      </w:r>
      <w:r w:rsidR="00063E1F">
        <w:rPr>
          <w:sz w:val="24"/>
        </w:rPr>
        <w:t xml:space="preserve"> (G15-10)</w:t>
      </w:r>
      <w:r w:rsidRPr="00AD67A8">
        <w:rPr>
          <w:sz w:val="24"/>
        </w:rPr>
        <w:t xml:space="preserve"> </w:t>
      </w:r>
      <w:r w:rsidR="0091186A">
        <w:rPr>
          <w:sz w:val="24"/>
        </w:rPr>
        <w:t>0.25</w:t>
      </w:r>
      <w:r w:rsidRPr="00AD67A8">
        <w:rPr>
          <w:sz w:val="24"/>
        </w:rPr>
        <w:t xml:space="preserve"> FTE</w:t>
      </w:r>
      <w:bookmarkStart w:id="0" w:name="OLE_LINK1"/>
      <w:r w:rsidRPr="00AD67A8">
        <w:rPr>
          <w:sz w:val="24"/>
        </w:rPr>
        <w:t xml:space="preserve"> $</w:t>
      </w:r>
      <w:r w:rsidR="00063E1F">
        <w:rPr>
          <w:sz w:val="24"/>
        </w:rPr>
        <w:t>32</w:t>
      </w:r>
      <w:proofErr w:type="gramStart"/>
      <w:r w:rsidR="00063E1F">
        <w:rPr>
          <w:sz w:val="24"/>
        </w:rPr>
        <w:t>,703</w:t>
      </w:r>
      <w:r w:rsidR="00063E1F" w:rsidRPr="005566B8">
        <w:rPr>
          <w:sz w:val="24"/>
          <w:vertAlign w:val="superscript"/>
        </w:rPr>
        <w:t>1</w:t>
      </w:r>
      <w:proofErr w:type="gramEnd"/>
    </w:p>
    <w:p w:rsidR="00AD67A8" w:rsidRDefault="00965C61" w:rsidP="00965C61">
      <w:pPr>
        <w:widowControl/>
        <w:tabs>
          <w:tab w:val="left" w:pos="4320"/>
          <w:tab w:val="left" w:pos="5940"/>
          <w:tab w:val="right" w:pos="8280"/>
        </w:tabs>
        <w:spacing w:before="120" w:after="120"/>
        <w:contextualSpacing/>
        <w:rPr>
          <w:sz w:val="24"/>
          <w:vertAlign w:val="superscript"/>
        </w:rPr>
      </w:pPr>
      <w:r>
        <w:rPr>
          <w:sz w:val="24"/>
        </w:rPr>
        <w:t xml:space="preserve">            </w:t>
      </w:r>
      <w:r w:rsidR="00AD67A8" w:rsidRPr="00965C61">
        <w:rPr>
          <w:sz w:val="24"/>
        </w:rPr>
        <w:t xml:space="preserve">Professional </w:t>
      </w:r>
      <w:r w:rsidR="00063E1F">
        <w:rPr>
          <w:sz w:val="24"/>
        </w:rPr>
        <w:t xml:space="preserve">(G15-4) </w:t>
      </w:r>
      <w:r w:rsidR="0091186A">
        <w:rPr>
          <w:sz w:val="24"/>
        </w:rPr>
        <w:t>0.75</w:t>
      </w:r>
      <w:r w:rsidR="00AD67A8" w:rsidRPr="00965C61">
        <w:rPr>
          <w:sz w:val="24"/>
        </w:rPr>
        <w:t xml:space="preserve"> FTE $</w:t>
      </w:r>
      <w:bookmarkEnd w:id="0"/>
      <w:r w:rsidR="00063E1F">
        <w:rPr>
          <w:sz w:val="24"/>
        </w:rPr>
        <w:t>83</w:t>
      </w:r>
      <w:proofErr w:type="gramStart"/>
      <w:r w:rsidR="00063E1F">
        <w:rPr>
          <w:sz w:val="24"/>
        </w:rPr>
        <w:t>,015</w:t>
      </w:r>
      <w:r w:rsidR="00063E1F" w:rsidRPr="005566B8">
        <w:rPr>
          <w:sz w:val="24"/>
          <w:vertAlign w:val="superscript"/>
        </w:rPr>
        <w:t>1</w:t>
      </w:r>
      <w:proofErr w:type="gramEnd"/>
    </w:p>
    <w:p w:rsidR="00063E1F" w:rsidRDefault="00063E1F" w:rsidP="00965C61">
      <w:pPr>
        <w:widowControl/>
        <w:tabs>
          <w:tab w:val="left" w:pos="4320"/>
          <w:tab w:val="left" w:pos="5940"/>
          <w:tab w:val="right" w:pos="8280"/>
        </w:tabs>
        <w:spacing w:before="120" w:after="120"/>
        <w:contextualSpacing/>
        <w:rPr>
          <w:sz w:val="24"/>
          <w:vertAlign w:val="superscript"/>
        </w:rPr>
      </w:pPr>
    </w:p>
    <w:p w:rsidR="00063E1F" w:rsidRPr="005566B8" w:rsidRDefault="00063E1F" w:rsidP="00965C61">
      <w:pPr>
        <w:widowControl/>
        <w:tabs>
          <w:tab w:val="left" w:pos="4320"/>
          <w:tab w:val="left" w:pos="5940"/>
          <w:tab w:val="right" w:pos="8280"/>
        </w:tabs>
        <w:spacing w:before="120" w:after="120"/>
        <w:contextualSpacing/>
      </w:pPr>
      <w:proofErr w:type="gramStart"/>
      <w:r w:rsidRPr="005566B8">
        <w:rPr>
          <w:vertAlign w:val="superscript"/>
        </w:rPr>
        <w:t>1</w:t>
      </w:r>
      <w:r w:rsidRPr="005566B8">
        <w:t>Based on 2014 OPM Salary Table (http://www.opm.gov/policy-data-oversight/pay-leave/salaries-wages/salary-tables/pdf/2014/saltbl.pdf).</w:t>
      </w:r>
      <w:proofErr w:type="gramEnd"/>
    </w:p>
    <w:p w:rsidR="00AD67A8" w:rsidRPr="00AD67A8" w:rsidRDefault="00AD67A8" w:rsidP="00AD67A8">
      <w:pPr>
        <w:pStyle w:val="ListParagraph"/>
        <w:widowControl/>
        <w:tabs>
          <w:tab w:val="left" w:pos="4320"/>
          <w:tab w:val="left" w:pos="6120"/>
          <w:tab w:val="right" w:pos="8280"/>
        </w:tabs>
        <w:spacing w:before="120" w:after="120"/>
        <w:ind w:left="1080"/>
        <w:jc w:val="center"/>
        <w:rPr>
          <w:b/>
          <w:bCs/>
          <w:sz w:val="24"/>
        </w:rPr>
      </w:pPr>
      <w:r w:rsidRPr="00AD67A8">
        <w:rPr>
          <w:b/>
          <w:bCs/>
          <w:sz w:val="24"/>
        </w:rPr>
        <w:t xml:space="preserve">Annual Total (contracts and staff) </w:t>
      </w:r>
      <w:r w:rsidR="00465323">
        <w:rPr>
          <w:b/>
          <w:bCs/>
          <w:sz w:val="24"/>
        </w:rPr>
        <w:t>$</w:t>
      </w:r>
      <w:r w:rsidR="00063E1F">
        <w:rPr>
          <w:b/>
          <w:bCs/>
          <w:sz w:val="24"/>
        </w:rPr>
        <w:t>490,680</w:t>
      </w:r>
    </w:p>
    <w:p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rsidR="00E962DB" w:rsidRDefault="00E57405" w:rsidP="000D0C09">
      <w:pPr>
        <w:pStyle w:val="BodyTextIndent"/>
        <w:spacing w:before="120"/>
        <w:ind w:left="360"/>
        <w:rPr>
          <w:rFonts w:ascii="Times New Roman" w:hAnsi="Times New Roman"/>
        </w:rPr>
      </w:pPr>
      <w:r>
        <w:rPr>
          <w:rFonts w:ascii="Times New Roman" w:hAnsi="Times New Roman"/>
        </w:rPr>
        <w:t>This is a new information collection.</w:t>
      </w:r>
    </w:p>
    <w:p w:rsidR="009322F6" w:rsidRPr="009322F6"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9322F6" w:rsidRPr="009322F6" w:rsidRDefault="009322F6" w:rsidP="009322F6">
      <w:pPr>
        <w:spacing w:before="240"/>
        <w:rPr>
          <w:sz w:val="24"/>
        </w:rPr>
      </w:pPr>
      <w:r w:rsidRPr="009322F6">
        <w:rPr>
          <w:sz w:val="24"/>
        </w:rPr>
        <w:t xml:space="preserve">Below is </w:t>
      </w:r>
      <w:r>
        <w:rPr>
          <w:sz w:val="24"/>
        </w:rPr>
        <w:t>NORC’s</w:t>
      </w:r>
      <w:r w:rsidRPr="009322F6">
        <w:rPr>
          <w:sz w:val="24"/>
        </w:rPr>
        <w:t xml:space="preserve"> schedule for reports, tabulation, and data delivery with descriptions of each process.  In addition, in combination with authors from MCHB, NORC will submit a series of scientific papers for presentation at national and regional conferences and ultimate</w:t>
      </w:r>
      <w:r>
        <w:rPr>
          <w:sz w:val="24"/>
        </w:rPr>
        <w:t>ly</w:t>
      </w:r>
      <w:r w:rsidRPr="009322F6">
        <w:rPr>
          <w:sz w:val="24"/>
        </w:rPr>
        <w:t xml:space="preserve"> submit these works to peer-reviewed journals. </w:t>
      </w:r>
    </w:p>
    <w:p w:rsidR="009322F6" w:rsidRPr="009322F6" w:rsidRDefault="009322F6" w:rsidP="009322F6">
      <w:pPr>
        <w:spacing w:before="240"/>
        <w:rPr>
          <w:i/>
          <w:sz w:val="24"/>
        </w:rPr>
      </w:pPr>
      <w:proofErr w:type="gramStart"/>
      <w:r w:rsidRPr="009322F6">
        <w:rPr>
          <w:i/>
          <w:sz w:val="24"/>
        </w:rPr>
        <w:t>Reports, Tabulation, and Schedule.</w:t>
      </w:r>
      <w:proofErr w:type="gramEnd"/>
      <w:r w:rsidRPr="009322F6">
        <w:rPr>
          <w:i/>
          <w:sz w:val="24"/>
        </w:rPr>
        <w:t xml:space="preserve"> </w:t>
      </w:r>
    </w:p>
    <w:tbl>
      <w:tblPr>
        <w:tblStyle w:val="Table3Deffects3"/>
        <w:tblW w:w="5000" w:type="pct"/>
        <w:tblLook w:val="0600" w:firstRow="0" w:lastRow="0" w:firstColumn="0" w:lastColumn="0" w:noHBand="1" w:noVBand="1"/>
      </w:tblPr>
      <w:tblGrid>
        <w:gridCol w:w="4078"/>
        <w:gridCol w:w="1673"/>
        <w:gridCol w:w="3825"/>
      </w:tblGrid>
      <w:tr w:rsidR="009322F6" w:rsidRPr="001672CD" w:rsidTr="003C36F6">
        <w:tc>
          <w:tcPr>
            <w:tcW w:w="2129" w:type="pct"/>
          </w:tcPr>
          <w:p w:rsidR="009322F6" w:rsidRPr="00EF3B07" w:rsidRDefault="009322F6" w:rsidP="003C36F6">
            <w:pPr>
              <w:ind w:left="180"/>
              <w:rPr>
                <w:bCs/>
                <w:color w:val="000000"/>
                <w:sz w:val="24"/>
              </w:rPr>
            </w:pPr>
            <w:r w:rsidRPr="00EF3B07">
              <w:rPr>
                <w:bCs/>
                <w:color w:val="000000"/>
                <w:sz w:val="24"/>
              </w:rPr>
              <w:t>Qualitative Assessment Report</w:t>
            </w:r>
          </w:p>
        </w:tc>
        <w:tc>
          <w:tcPr>
            <w:tcW w:w="873" w:type="pct"/>
          </w:tcPr>
          <w:p w:rsidR="009322F6" w:rsidRPr="00EF3B07" w:rsidRDefault="009322F6" w:rsidP="003C36F6">
            <w:pPr>
              <w:rPr>
                <w:bCs/>
                <w:color w:val="000000"/>
                <w:sz w:val="24"/>
              </w:rPr>
            </w:pPr>
            <w:r w:rsidRPr="00EF3B07">
              <w:rPr>
                <w:bCs/>
                <w:color w:val="000000"/>
                <w:sz w:val="24"/>
              </w:rPr>
              <w:t>Wed 10/15/14</w:t>
            </w:r>
          </w:p>
        </w:tc>
        <w:tc>
          <w:tcPr>
            <w:tcW w:w="1997" w:type="pct"/>
          </w:tcPr>
          <w:p w:rsidR="009322F6" w:rsidRDefault="009322F6" w:rsidP="003C36F6">
            <w:pPr>
              <w:rPr>
                <w:sz w:val="24"/>
              </w:rPr>
            </w:pPr>
            <w:r w:rsidRPr="001672CD">
              <w:rPr>
                <w:sz w:val="24"/>
              </w:rPr>
              <w:t xml:space="preserve">Report summarizing findings from the </w:t>
            </w:r>
            <w:r>
              <w:rPr>
                <w:sz w:val="24"/>
              </w:rPr>
              <w:t>Cognitive Interviews, Usability Testing, and Validation Testing.</w:t>
            </w:r>
          </w:p>
          <w:p w:rsidR="009322F6" w:rsidRPr="001672CD" w:rsidRDefault="009322F6" w:rsidP="003C36F6">
            <w:pPr>
              <w:rPr>
                <w:sz w:val="24"/>
              </w:rPr>
            </w:pPr>
          </w:p>
        </w:tc>
      </w:tr>
      <w:tr w:rsidR="009322F6" w:rsidRPr="00EF3B07" w:rsidTr="003C36F6">
        <w:tc>
          <w:tcPr>
            <w:tcW w:w="2129" w:type="pct"/>
            <w:hideMark/>
          </w:tcPr>
          <w:p w:rsidR="009322F6" w:rsidRPr="001672CD" w:rsidRDefault="009322F6" w:rsidP="003C36F6">
            <w:pPr>
              <w:rPr>
                <w:sz w:val="24"/>
              </w:rPr>
            </w:pPr>
            <w:r w:rsidRPr="00EF3B07">
              <w:rPr>
                <w:bCs/>
                <w:color w:val="000000"/>
                <w:sz w:val="24"/>
              </w:rPr>
              <w:t xml:space="preserve">   Quantitative Data Files</w:t>
            </w:r>
          </w:p>
        </w:tc>
        <w:tc>
          <w:tcPr>
            <w:tcW w:w="873" w:type="pct"/>
          </w:tcPr>
          <w:p w:rsidR="009322F6" w:rsidRPr="00EF3B07" w:rsidRDefault="009322F6" w:rsidP="003C36F6">
            <w:pPr>
              <w:rPr>
                <w:bCs/>
                <w:color w:val="000000"/>
                <w:sz w:val="24"/>
              </w:rPr>
            </w:pPr>
            <w:r w:rsidRPr="00EF3B07">
              <w:rPr>
                <w:bCs/>
                <w:color w:val="000000"/>
                <w:sz w:val="24"/>
              </w:rPr>
              <w:t>Mon 2/16/15</w:t>
            </w:r>
          </w:p>
        </w:tc>
        <w:tc>
          <w:tcPr>
            <w:tcW w:w="1997" w:type="pct"/>
          </w:tcPr>
          <w:p w:rsidR="009322F6" w:rsidRDefault="009322F6" w:rsidP="003C36F6">
            <w:pPr>
              <w:rPr>
                <w:sz w:val="24"/>
              </w:rPr>
            </w:pPr>
            <w:r w:rsidRPr="001672CD">
              <w:rPr>
                <w:sz w:val="24"/>
              </w:rPr>
              <w:t>Will include screener and topical interview data files containing a record for each completed screener and main interview along with variables containing the responses to all questionnaire items, a variable identifying the mode of completion for each case, and variables identifying any experimental treatment group to which the case was assigned.</w:t>
            </w:r>
          </w:p>
          <w:p w:rsidR="009322F6" w:rsidRPr="00EF3B07" w:rsidRDefault="009322F6" w:rsidP="003C36F6">
            <w:pPr>
              <w:rPr>
                <w:bCs/>
                <w:color w:val="000000"/>
                <w:sz w:val="24"/>
              </w:rPr>
            </w:pPr>
          </w:p>
        </w:tc>
      </w:tr>
      <w:tr w:rsidR="009322F6" w:rsidRPr="001672CD" w:rsidTr="003C36F6">
        <w:tc>
          <w:tcPr>
            <w:tcW w:w="2129" w:type="pct"/>
            <w:hideMark/>
          </w:tcPr>
          <w:p w:rsidR="009322F6" w:rsidRPr="001672CD" w:rsidRDefault="009322F6" w:rsidP="003C36F6">
            <w:pPr>
              <w:ind w:left="180" w:hanging="180"/>
              <w:rPr>
                <w:sz w:val="24"/>
              </w:rPr>
            </w:pPr>
            <w:r w:rsidRPr="00EF3B07">
              <w:rPr>
                <w:bCs/>
                <w:color w:val="000000"/>
                <w:sz w:val="24"/>
              </w:rPr>
              <w:t xml:space="preserve">   Questionnaire Modifications Report</w:t>
            </w:r>
          </w:p>
        </w:tc>
        <w:tc>
          <w:tcPr>
            <w:tcW w:w="873" w:type="pct"/>
          </w:tcPr>
          <w:p w:rsidR="009322F6" w:rsidRPr="00EF3B07" w:rsidRDefault="009322F6" w:rsidP="003C36F6">
            <w:pPr>
              <w:rPr>
                <w:bCs/>
                <w:color w:val="000000"/>
                <w:sz w:val="24"/>
              </w:rPr>
            </w:pPr>
            <w:r w:rsidRPr="00EF3B07">
              <w:rPr>
                <w:bCs/>
                <w:color w:val="000000"/>
                <w:sz w:val="24"/>
              </w:rPr>
              <w:t>Fri 2/27/15</w:t>
            </w:r>
          </w:p>
        </w:tc>
        <w:tc>
          <w:tcPr>
            <w:tcW w:w="1997" w:type="pct"/>
          </w:tcPr>
          <w:p w:rsidR="009322F6" w:rsidRDefault="009322F6" w:rsidP="003C36F6">
            <w:pPr>
              <w:rPr>
                <w:sz w:val="24"/>
              </w:rPr>
            </w:pPr>
            <w:r w:rsidRPr="001672CD">
              <w:rPr>
                <w:sz w:val="24"/>
              </w:rPr>
              <w:t xml:space="preserve">Based on results of Phase I and II, and in consultation with MCHB, </w:t>
            </w:r>
            <w:r w:rsidRPr="00EF3B07">
              <w:rPr>
                <w:sz w:val="24"/>
              </w:rPr>
              <w:t>NORC will modify the questionnaires and produce a report detailing how and why changes were made.</w:t>
            </w:r>
          </w:p>
          <w:p w:rsidR="009322F6" w:rsidRPr="00EF3B07" w:rsidRDefault="009322F6" w:rsidP="003C36F6">
            <w:pPr>
              <w:rPr>
                <w:sz w:val="24"/>
              </w:rPr>
            </w:pPr>
          </w:p>
        </w:tc>
      </w:tr>
      <w:tr w:rsidR="009322F6" w:rsidRPr="001672CD" w:rsidTr="003C36F6">
        <w:tc>
          <w:tcPr>
            <w:tcW w:w="2129" w:type="pct"/>
            <w:hideMark/>
          </w:tcPr>
          <w:p w:rsidR="009322F6" w:rsidRPr="001672CD" w:rsidRDefault="009322F6" w:rsidP="003C36F6">
            <w:pPr>
              <w:rPr>
                <w:sz w:val="24"/>
              </w:rPr>
            </w:pPr>
            <w:r w:rsidRPr="00EF3B07">
              <w:rPr>
                <w:bCs/>
                <w:color w:val="000000"/>
                <w:sz w:val="24"/>
              </w:rPr>
              <w:t xml:space="preserve">   Estimates Report</w:t>
            </w:r>
          </w:p>
        </w:tc>
        <w:tc>
          <w:tcPr>
            <w:tcW w:w="873" w:type="pct"/>
          </w:tcPr>
          <w:p w:rsidR="009322F6" w:rsidRPr="00EF3B07" w:rsidRDefault="009322F6" w:rsidP="003C36F6">
            <w:pPr>
              <w:rPr>
                <w:bCs/>
                <w:color w:val="000000"/>
                <w:sz w:val="24"/>
              </w:rPr>
            </w:pPr>
            <w:r w:rsidRPr="00EF3B07">
              <w:rPr>
                <w:bCs/>
                <w:color w:val="000000"/>
                <w:sz w:val="24"/>
              </w:rPr>
              <w:t>Fri 2/27/15</w:t>
            </w:r>
          </w:p>
        </w:tc>
        <w:tc>
          <w:tcPr>
            <w:tcW w:w="1997" w:type="pct"/>
          </w:tcPr>
          <w:p w:rsidR="009322F6" w:rsidRDefault="009322F6" w:rsidP="003C36F6">
            <w:pPr>
              <w:rPr>
                <w:color w:val="000000"/>
                <w:sz w:val="24"/>
              </w:rPr>
            </w:pPr>
            <w:r w:rsidRPr="001672CD">
              <w:rPr>
                <w:color w:val="000000"/>
                <w:sz w:val="24"/>
              </w:rPr>
              <w:t>NORC will provide a report describing the potential for estimates from the mail and internet-administered survey to differ from prior year estimates from telephone administration.</w:t>
            </w:r>
          </w:p>
          <w:p w:rsidR="009322F6" w:rsidRPr="00EF3B07" w:rsidRDefault="009322F6" w:rsidP="003C36F6">
            <w:pPr>
              <w:rPr>
                <w:color w:val="000000"/>
                <w:sz w:val="24"/>
              </w:rPr>
            </w:pPr>
          </w:p>
        </w:tc>
      </w:tr>
      <w:tr w:rsidR="009322F6" w:rsidRPr="001672CD" w:rsidTr="003C36F6">
        <w:tc>
          <w:tcPr>
            <w:tcW w:w="2129" w:type="pct"/>
            <w:hideMark/>
          </w:tcPr>
          <w:p w:rsidR="009322F6" w:rsidRPr="001672CD" w:rsidRDefault="009322F6" w:rsidP="003C36F6">
            <w:pPr>
              <w:ind w:left="180" w:hanging="180"/>
              <w:rPr>
                <w:sz w:val="24"/>
              </w:rPr>
            </w:pPr>
            <w:r w:rsidRPr="00EF3B07">
              <w:rPr>
                <w:bCs/>
                <w:color w:val="000000"/>
                <w:sz w:val="24"/>
              </w:rPr>
              <w:t xml:space="preserve">   Questionnaire Length Experiment Report</w:t>
            </w:r>
          </w:p>
        </w:tc>
        <w:tc>
          <w:tcPr>
            <w:tcW w:w="873" w:type="pct"/>
          </w:tcPr>
          <w:p w:rsidR="009322F6" w:rsidRPr="00EF3B07" w:rsidRDefault="009322F6" w:rsidP="003C36F6">
            <w:pPr>
              <w:rPr>
                <w:bCs/>
                <w:color w:val="000000"/>
                <w:sz w:val="24"/>
              </w:rPr>
            </w:pPr>
            <w:r w:rsidRPr="00EF3B07">
              <w:rPr>
                <w:bCs/>
                <w:color w:val="000000"/>
                <w:sz w:val="24"/>
              </w:rPr>
              <w:t>Fri 2/27/15</w:t>
            </w:r>
          </w:p>
        </w:tc>
        <w:tc>
          <w:tcPr>
            <w:tcW w:w="1997" w:type="pct"/>
          </w:tcPr>
          <w:p w:rsidR="009322F6" w:rsidRPr="00EF3B07" w:rsidRDefault="009322F6" w:rsidP="003C36F6">
            <w:pPr>
              <w:rPr>
                <w:color w:val="000000"/>
                <w:sz w:val="24"/>
              </w:rPr>
            </w:pPr>
            <w:r w:rsidRPr="001672CD">
              <w:rPr>
                <w:sz w:val="24"/>
              </w:rPr>
              <w:t xml:space="preserve">Report detailing results from experiment designed to test difference in response rates between </w:t>
            </w:r>
            <w:r w:rsidRPr="00EF3B07">
              <w:rPr>
                <w:sz w:val="24"/>
              </w:rPr>
              <w:t xml:space="preserve">long and short versions of the questionnaire.  </w:t>
            </w:r>
          </w:p>
        </w:tc>
      </w:tr>
    </w:tbl>
    <w:p w:rsidR="009B3794" w:rsidRDefault="009B3794" w:rsidP="009322F6">
      <w:pPr>
        <w:spacing w:before="240"/>
        <w:rPr>
          <w:b/>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Reason(s) Display of OMB Expiration Date is Inappropriate</w:t>
      </w:r>
    </w:p>
    <w:p w:rsidR="009B3794" w:rsidRDefault="00E57405" w:rsidP="00CA3DA6">
      <w:pPr>
        <w:pStyle w:val="BodyTextIndent"/>
        <w:spacing w:before="120"/>
        <w:ind w:left="360"/>
        <w:rPr>
          <w:rFonts w:ascii="Times New Roman" w:hAnsi="Times New Roman"/>
        </w:rPr>
      </w:pPr>
      <w:r>
        <w:rPr>
          <w:rFonts w:ascii="Times New Roman" w:hAnsi="Times New Roman"/>
        </w:rPr>
        <w:t xml:space="preserve">Not applicable. </w:t>
      </w:r>
      <w:r w:rsidR="00FD61EC" w:rsidRPr="003B2586">
        <w:t>Not requesting exemption.</w:t>
      </w:r>
    </w:p>
    <w:p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rsidR="009B3794" w:rsidRDefault="00E57405" w:rsidP="00CA3DA6">
      <w:pPr>
        <w:pStyle w:val="BodyTextIndent"/>
        <w:spacing w:before="120"/>
        <w:ind w:left="36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E2C75" w15:done="0"/>
  <w15:commentEx w15:paraId="574C5D11" w15:done="0"/>
  <w15:commentEx w15:paraId="279B49D7" w15:done="0"/>
  <w15:commentEx w15:paraId="0B6C8FD4" w15:done="0"/>
  <w15:commentEx w15:paraId="5ED67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91" w:rsidRDefault="00726291">
      <w:r>
        <w:separator/>
      </w:r>
    </w:p>
  </w:endnote>
  <w:endnote w:type="continuationSeparator" w:id="0">
    <w:p w:rsidR="00726291" w:rsidRDefault="0072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B472FB">
      <w:rPr>
        <w:noProof/>
        <w:sz w:val="24"/>
      </w:rPr>
      <w:t>1</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91" w:rsidRDefault="00726291">
      <w:r>
        <w:separator/>
      </w:r>
    </w:p>
  </w:footnote>
  <w:footnote w:type="continuationSeparator" w:id="0">
    <w:p w:rsidR="00726291" w:rsidRDefault="00726291">
      <w:r>
        <w:continuationSeparator/>
      </w:r>
    </w:p>
  </w:footnote>
  <w:footnote w:id="1">
    <w:p w:rsidR="00DE7490" w:rsidRDefault="00DE7490">
      <w:pPr>
        <w:pStyle w:val="FootnoteText"/>
      </w:pPr>
      <w:r>
        <w:rPr>
          <w:rStyle w:val="FootnoteReference"/>
        </w:rPr>
        <w:footnoteRef/>
      </w:r>
      <w:r>
        <w:t xml:space="preserve"> </w:t>
      </w:r>
      <w:proofErr w:type="gramStart"/>
      <w:r>
        <w:t xml:space="preserve">E.g., OMB No. </w:t>
      </w:r>
      <w:r w:rsidRPr="00DE7490">
        <w:t>0920-0805</w:t>
      </w:r>
      <w:r>
        <w:t xml:space="preserve"> (</w:t>
      </w:r>
      <w:r w:rsidRPr="00DE7490">
        <w:t>Racial and Ethnic Approaches to Community Health across the U.S. (REACH US) Evaluation</w:t>
      </w:r>
      <w:r>
        <w:t>); OMB No.</w:t>
      </w:r>
      <w:proofErr w:type="gramEnd"/>
      <w:r>
        <w:t xml:space="preserve"> </w:t>
      </w:r>
      <w:proofErr w:type="gramStart"/>
      <w:r w:rsidRPr="00DE7490">
        <w:t>OMB No. 0920-0406</w:t>
      </w:r>
      <w:r>
        <w:t xml:space="preserve"> (National Survey of Children with Special Health Care Needs).</w:t>
      </w:r>
      <w:proofErr w:type="gramEnd"/>
    </w:p>
  </w:footnote>
  <w:footnote w:id="2">
    <w:p w:rsidR="008B20D0" w:rsidRPr="003671EB" w:rsidRDefault="008B20D0" w:rsidP="008B20D0">
      <w:pPr>
        <w:spacing w:after="120"/>
      </w:pPr>
      <w:r>
        <w:rPr>
          <w:rStyle w:val="FootnoteReference"/>
        </w:rPr>
        <w:footnoteRef/>
      </w:r>
      <w:r>
        <w:t xml:space="preserve"> </w:t>
      </w:r>
      <w:proofErr w:type="gramStart"/>
      <w:r>
        <w:t xml:space="preserve">See </w:t>
      </w:r>
      <w:r w:rsidRPr="003671EB">
        <w:t xml:space="preserve">Brick, J. Michael, Douglas Williams, and Jill M. </w:t>
      </w:r>
      <w:proofErr w:type="spellStart"/>
      <w:r w:rsidRPr="003671EB">
        <w:t>Montaquila</w:t>
      </w:r>
      <w:proofErr w:type="spellEnd"/>
      <w:r w:rsidRPr="003671EB">
        <w:t>.</w:t>
      </w:r>
      <w:proofErr w:type="gramEnd"/>
      <w:r w:rsidRPr="003671EB">
        <w:t xml:space="preserve"> 2011. Address-based sampling for subpopulation surveys. </w:t>
      </w:r>
      <w:r w:rsidRPr="003671EB">
        <w:rPr>
          <w:i/>
        </w:rPr>
        <w:t>Public Opinion Quarterly</w:t>
      </w:r>
      <w:r>
        <w:t xml:space="preserve"> 75 (3): 409-28; </w:t>
      </w:r>
      <w:r w:rsidRPr="0013264B">
        <w:t xml:space="preserve">Foster, </w:t>
      </w:r>
      <w:r>
        <w:t>Erin B., Alicia M.</w:t>
      </w:r>
      <w:r w:rsidRPr="0013264B">
        <w:t xml:space="preserve"> Frasier, </w:t>
      </w:r>
      <w:r>
        <w:t>Heather M.</w:t>
      </w:r>
      <w:r w:rsidRPr="0013264B">
        <w:t xml:space="preserve"> Morrison, </w:t>
      </w:r>
      <w:r>
        <w:t xml:space="preserve">Kathleen S. </w:t>
      </w:r>
      <w:r w:rsidRPr="0013264B">
        <w:t xml:space="preserve">O’Connor, </w:t>
      </w:r>
      <w:r>
        <w:t>and S.J. Blumberg. 2010. All things incentive: Exploring the best combination of incentive c</w:t>
      </w:r>
      <w:r w:rsidRPr="0013264B">
        <w:t xml:space="preserve">onditions. </w:t>
      </w:r>
      <w:r>
        <w:t>Paper p</w:t>
      </w:r>
      <w:r w:rsidRPr="0013264B">
        <w:t xml:space="preserve">resented at the American Association for Public Opinion Research </w:t>
      </w:r>
      <w:r>
        <w:t>a</w:t>
      </w:r>
      <w:r w:rsidRPr="0013264B">
        <w:t xml:space="preserve">nnual </w:t>
      </w:r>
      <w:r>
        <w:t>c</w:t>
      </w:r>
      <w:r w:rsidRPr="0013264B">
        <w:t>onference, Ch</w:t>
      </w:r>
      <w:r>
        <w:t>icago, IL.</w:t>
      </w:r>
    </w:p>
    <w:p w:rsidR="008B20D0" w:rsidRPr="00B23B5C" w:rsidRDefault="008B20D0" w:rsidP="008B20D0">
      <w:pPr>
        <w:spacing w:after="120"/>
      </w:pPr>
    </w:p>
    <w:p w:rsidR="008B20D0" w:rsidRDefault="008B20D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65837C0"/>
    <w:multiLevelType w:val="hybridMultilevel"/>
    <w:tmpl w:val="22B6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B83C3F"/>
    <w:multiLevelType w:val="hybridMultilevel"/>
    <w:tmpl w:val="C6F0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FFB357C"/>
    <w:multiLevelType w:val="hybridMultilevel"/>
    <w:tmpl w:val="8CCCCF34"/>
    <w:lvl w:ilvl="0" w:tplc="39B2CF6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5"/>
  </w:num>
  <w:num w:numId="4">
    <w:abstractNumId w:val="41"/>
  </w:num>
  <w:num w:numId="5">
    <w:abstractNumId w:val="44"/>
  </w:num>
  <w:num w:numId="6">
    <w:abstractNumId w:val="9"/>
  </w:num>
  <w:num w:numId="7">
    <w:abstractNumId w:val="36"/>
  </w:num>
  <w:num w:numId="8">
    <w:abstractNumId w:val="18"/>
  </w:num>
  <w:num w:numId="9">
    <w:abstractNumId w:val="27"/>
  </w:num>
  <w:num w:numId="10">
    <w:abstractNumId w:val="21"/>
  </w:num>
  <w:num w:numId="11">
    <w:abstractNumId w:val="8"/>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7"/>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4"/>
  </w:num>
  <w:num w:numId="38">
    <w:abstractNumId w:val="4"/>
  </w:num>
  <w:num w:numId="39">
    <w:abstractNumId w:val="30"/>
  </w:num>
  <w:num w:numId="40">
    <w:abstractNumId w:val="6"/>
  </w:num>
  <w:num w:numId="41">
    <w:abstractNumId w:val="29"/>
  </w:num>
  <w:num w:numId="42">
    <w:abstractNumId w:val="25"/>
  </w:num>
  <w:num w:numId="43">
    <w:abstractNumId w:val="5"/>
  </w:num>
  <w:num w:numId="44">
    <w:abstractNumId w:val="38"/>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77F"/>
    <w:rsid w:val="00015505"/>
    <w:rsid w:val="00036479"/>
    <w:rsid w:val="00044AC9"/>
    <w:rsid w:val="00045B26"/>
    <w:rsid w:val="0005620B"/>
    <w:rsid w:val="00063E1F"/>
    <w:rsid w:val="00070EC9"/>
    <w:rsid w:val="000761DE"/>
    <w:rsid w:val="000A2E6A"/>
    <w:rsid w:val="000C2026"/>
    <w:rsid w:val="000C65F2"/>
    <w:rsid w:val="000D0C09"/>
    <w:rsid w:val="00105C85"/>
    <w:rsid w:val="001171D5"/>
    <w:rsid w:val="00124C02"/>
    <w:rsid w:val="001325B2"/>
    <w:rsid w:val="00132870"/>
    <w:rsid w:val="0015297A"/>
    <w:rsid w:val="001A1799"/>
    <w:rsid w:val="001D4856"/>
    <w:rsid w:val="001D4DB6"/>
    <w:rsid w:val="001D7E3D"/>
    <w:rsid w:val="001E75EF"/>
    <w:rsid w:val="00210418"/>
    <w:rsid w:val="002118B4"/>
    <w:rsid w:val="002158C8"/>
    <w:rsid w:val="002229F7"/>
    <w:rsid w:val="002372C1"/>
    <w:rsid w:val="00257E28"/>
    <w:rsid w:val="002640E7"/>
    <w:rsid w:val="00286CD0"/>
    <w:rsid w:val="0029483C"/>
    <w:rsid w:val="002D53FB"/>
    <w:rsid w:val="002D6467"/>
    <w:rsid w:val="00320663"/>
    <w:rsid w:val="00320C68"/>
    <w:rsid w:val="00322313"/>
    <w:rsid w:val="00370E0B"/>
    <w:rsid w:val="00375869"/>
    <w:rsid w:val="003844EC"/>
    <w:rsid w:val="00391E16"/>
    <w:rsid w:val="0039241B"/>
    <w:rsid w:val="003966BE"/>
    <w:rsid w:val="003A4E01"/>
    <w:rsid w:val="003D0941"/>
    <w:rsid w:val="003D23B1"/>
    <w:rsid w:val="003F0975"/>
    <w:rsid w:val="00416E98"/>
    <w:rsid w:val="00444010"/>
    <w:rsid w:val="00465323"/>
    <w:rsid w:val="00465A8E"/>
    <w:rsid w:val="00472847"/>
    <w:rsid w:val="004746CA"/>
    <w:rsid w:val="00490720"/>
    <w:rsid w:val="004D492E"/>
    <w:rsid w:val="004D7233"/>
    <w:rsid w:val="004E687D"/>
    <w:rsid w:val="00503BAB"/>
    <w:rsid w:val="00544208"/>
    <w:rsid w:val="005566B8"/>
    <w:rsid w:val="00572135"/>
    <w:rsid w:val="005A0957"/>
    <w:rsid w:val="005B79F4"/>
    <w:rsid w:val="005C1932"/>
    <w:rsid w:val="005C2430"/>
    <w:rsid w:val="005E1765"/>
    <w:rsid w:val="005E653B"/>
    <w:rsid w:val="00624019"/>
    <w:rsid w:val="00626435"/>
    <w:rsid w:val="00661F5F"/>
    <w:rsid w:val="00663BCE"/>
    <w:rsid w:val="00680D76"/>
    <w:rsid w:val="006B7361"/>
    <w:rsid w:val="006D1999"/>
    <w:rsid w:val="00702AFE"/>
    <w:rsid w:val="00704A6B"/>
    <w:rsid w:val="00726291"/>
    <w:rsid w:val="00731314"/>
    <w:rsid w:val="00756DA3"/>
    <w:rsid w:val="007B16A2"/>
    <w:rsid w:val="007C1084"/>
    <w:rsid w:val="007E043D"/>
    <w:rsid w:val="007F047A"/>
    <w:rsid w:val="0080299C"/>
    <w:rsid w:val="0084274B"/>
    <w:rsid w:val="008537C2"/>
    <w:rsid w:val="008B20D0"/>
    <w:rsid w:val="008B383B"/>
    <w:rsid w:val="008D2D67"/>
    <w:rsid w:val="008F5B89"/>
    <w:rsid w:val="0091186A"/>
    <w:rsid w:val="009322F6"/>
    <w:rsid w:val="00944E2E"/>
    <w:rsid w:val="00965C61"/>
    <w:rsid w:val="0096748F"/>
    <w:rsid w:val="009831F0"/>
    <w:rsid w:val="009A1CB6"/>
    <w:rsid w:val="009B3794"/>
    <w:rsid w:val="009B7E4D"/>
    <w:rsid w:val="00A11CBE"/>
    <w:rsid w:val="00A14695"/>
    <w:rsid w:val="00A36730"/>
    <w:rsid w:val="00A43802"/>
    <w:rsid w:val="00A52C82"/>
    <w:rsid w:val="00A62417"/>
    <w:rsid w:val="00A767A1"/>
    <w:rsid w:val="00A92CAB"/>
    <w:rsid w:val="00AD141C"/>
    <w:rsid w:val="00AD67A8"/>
    <w:rsid w:val="00AE7154"/>
    <w:rsid w:val="00B17E33"/>
    <w:rsid w:val="00B27ABA"/>
    <w:rsid w:val="00B472FB"/>
    <w:rsid w:val="00B655C6"/>
    <w:rsid w:val="00B72BC1"/>
    <w:rsid w:val="00B7519A"/>
    <w:rsid w:val="00B82BCD"/>
    <w:rsid w:val="00B91B1C"/>
    <w:rsid w:val="00BA15BE"/>
    <w:rsid w:val="00BA1A0C"/>
    <w:rsid w:val="00BB5875"/>
    <w:rsid w:val="00BC34FE"/>
    <w:rsid w:val="00BE3BB6"/>
    <w:rsid w:val="00BF5EB7"/>
    <w:rsid w:val="00C13ADC"/>
    <w:rsid w:val="00C20983"/>
    <w:rsid w:val="00C323A7"/>
    <w:rsid w:val="00C534E6"/>
    <w:rsid w:val="00C5375B"/>
    <w:rsid w:val="00C6574C"/>
    <w:rsid w:val="00C67D9E"/>
    <w:rsid w:val="00C710D4"/>
    <w:rsid w:val="00C74B86"/>
    <w:rsid w:val="00CA3DA6"/>
    <w:rsid w:val="00CA63A4"/>
    <w:rsid w:val="00CD36E7"/>
    <w:rsid w:val="00CE51C3"/>
    <w:rsid w:val="00CE5AA9"/>
    <w:rsid w:val="00D237D8"/>
    <w:rsid w:val="00D46313"/>
    <w:rsid w:val="00D52B74"/>
    <w:rsid w:val="00D74B86"/>
    <w:rsid w:val="00D840E0"/>
    <w:rsid w:val="00D865E5"/>
    <w:rsid w:val="00D92E1D"/>
    <w:rsid w:val="00D930A6"/>
    <w:rsid w:val="00D94706"/>
    <w:rsid w:val="00DA6384"/>
    <w:rsid w:val="00DB7B3E"/>
    <w:rsid w:val="00DD1696"/>
    <w:rsid w:val="00DE3A45"/>
    <w:rsid w:val="00DE6DD8"/>
    <w:rsid w:val="00DE7490"/>
    <w:rsid w:val="00DF21E0"/>
    <w:rsid w:val="00E12416"/>
    <w:rsid w:val="00E17EA1"/>
    <w:rsid w:val="00E203FA"/>
    <w:rsid w:val="00E34A1F"/>
    <w:rsid w:val="00E3684A"/>
    <w:rsid w:val="00E46837"/>
    <w:rsid w:val="00E56730"/>
    <w:rsid w:val="00E57405"/>
    <w:rsid w:val="00E962DB"/>
    <w:rsid w:val="00ED18EA"/>
    <w:rsid w:val="00EE529C"/>
    <w:rsid w:val="00EF6B51"/>
    <w:rsid w:val="00EF6FA0"/>
    <w:rsid w:val="00F4221E"/>
    <w:rsid w:val="00F72F0D"/>
    <w:rsid w:val="00FB5CCB"/>
    <w:rsid w:val="00FB6A85"/>
    <w:rsid w:val="00FD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E57405"/>
    <w:rPr>
      <w:sz w:val="16"/>
      <w:szCs w:val="16"/>
    </w:rPr>
  </w:style>
  <w:style w:type="paragraph" w:styleId="CommentText">
    <w:name w:val="annotation text"/>
    <w:basedOn w:val="Normal"/>
    <w:link w:val="CommentTextChar"/>
    <w:rsid w:val="00E57405"/>
    <w:rPr>
      <w:szCs w:val="20"/>
    </w:rPr>
  </w:style>
  <w:style w:type="character" w:customStyle="1" w:styleId="CommentTextChar">
    <w:name w:val="Comment Text Char"/>
    <w:basedOn w:val="DefaultParagraphFont"/>
    <w:link w:val="CommentText"/>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E57405"/>
    <w:rPr>
      <w:sz w:val="16"/>
      <w:szCs w:val="16"/>
    </w:rPr>
  </w:style>
  <w:style w:type="paragraph" w:styleId="CommentText">
    <w:name w:val="annotation text"/>
    <w:basedOn w:val="Normal"/>
    <w:link w:val="CommentTextChar"/>
    <w:rsid w:val="00E57405"/>
    <w:rPr>
      <w:szCs w:val="20"/>
    </w:rPr>
  </w:style>
  <w:style w:type="character" w:customStyle="1" w:styleId="CommentTextChar">
    <w:name w:val="Comment Text Char"/>
    <w:basedOn w:val="DefaultParagraphFont"/>
    <w:link w:val="CommentText"/>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realer.t01.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A266-9A53-41D3-A65B-87C1CD7B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19708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2014-08-18T16:02:00Z</dcterms:created>
  <dcterms:modified xsi:type="dcterms:W3CDTF">2014-08-18T16:02:00Z</dcterms:modified>
</cp:coreProperties>
</file>