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pptx" ContentType="application/vnd.openxmlformats-officedocument.presentationml.presentation"/>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4EA6" w:rsidRPr="00094EA6" w:rsidRDefault="00094EA6" w:rsidP="00094EA6">
      <w:pPr>
        <w:jc w:val="center"/>
        <w:rPr>
          <w:sz w:val="40"/>
          <w:szCs w:val="40"/>
        </w:rPr>
      </w:pPr>
    </w:p>
    <w:p w:rsidR="00094EA6" w:rsidRPr="00094EA6" w:rsidRDefault="00094EA6" w:rsidP="00094EA6">
      <w:pPr>
        <w:jc w:val="center"/>
        <w:rPr>
          <w:sz w:val="40"/>
          <w:szCs w:val="40"/>
        </w:rPr>
      </w:pPr>
    </w:p>
    <w:p w:rsidR="00094EA6" w:rsidRPr="00E7796D" w:rsidRDefault="00E7796D" w:rsidP="00094EA6">
      <w:pPr>
        <w:jc w:val="center"/>
        <w:rPr>
          <w:b/>
          <w:sz w:val="28"/>
          <w:szCs w:val="28"/>
        </w:rPr>
      </w:pPr>
      <w:r w:rsidRPr="00E7796D">
        <w:rPr>
          <w:b/>
          <w:color w:val="7F7F7F" w:themeColor="text1" w:themeTint="80"/>
          <w:sz w:val="28"/>
          <w:szCs w:val="28"/>
        </w:rPr>
        <w:t>Attachment A</w:t>
      </w:r>
    </w:p>
    <w:p w:rsidR="00094EA6" w:rsidRPr="00094EA6" w:rsidRDefault="00094EA6" w:rsidP="00094EA6">
      <w:pPr>
        <w:jc w:val="center"/>
        <w:rPr>
          <w:sz w:val="40"/>
          <w:szCs w:val="40"/>
        </w:rPr>
      </w:pPr>
    </w:p>
    <w:p w:rsidR="00094EA6" w:rsidRPr="00094EA6" w:rsidRDefault="00094EA6" w:rsidP="00094EA6">
      <w:pPr>
        <w:jc w:val="center"/>
        <w:rPr>
          <w:sz w:val="40"/>
          <w:szCs w:val="40"/>
        </w:rPr>
      </w:pPr>
      <w:r w:rsidRPr="00094EA6">
        <w:rPr>
          <w:sz w:val="40"/>
          <w:szCs w:val="40"/>
        </w:rPr>
        <w:t xml:space="preserve">Customer Satisfaction </w:t>
      </w:r>
      <w:r w:rsidR="00021226">
        <w:rPr>
          <w:sz w:val="40"/>
          <w:szCs w:val="40"/>
        </w:rPr>
        <w:t>Assessment</w:t>
      </w:r>
      <w:bookmarkStart w:id="0" w:name="_GoBack"/>
      <w:bookmarkEnd w:id="0"/>
      <w:r w:rsidRPr="00094EA6">
        <w:rPr>
          <w:sz w:val="40"/>
          <w:szCs w:val="40"/>
        </w:rPr>
        <w:t xml:space="preserve"> of the CDC Infectious Diseases </w:t>
      </w:r>
      <w:r w:rsidR="00DE4936">
        <w:rPr>
          <w:sz w:val="40"/>
          <w:szCs w:val="40"/>
        </w:rPr>
        <w:t xml:space="preserve">Reference </w:t>
      </w:r>
      <w:r w:rsidRPr="00094EA6">
        <w:rPr>
          <w:sz w:val="40"/>
          <w:szCs w:val="40"/>
        </w:rPr>
        <w:t>Laboratories</w:t>
      </w:r>
    </w:p>
    <w:p w:rsidR="00094EA6" w:rsidRPr="00094EA6" w:rsidRDefault="00094EA6" w:rsidP="00094EA6">
      <w:pPr>
        <w:jc w:val="center"/>
        <w:rPr>
          <w:sz w:val="40"/>
          <w:szCs w:val="40"/>
        </w:rPr>
      </w:pPr>
    </w:p>
    <w:p w:rsidR="00094EA6" w:rsidRPr="00094EA6" w:rsidRDefault="00094EA6" w:rsidP="00094EA6">
      <w:pPr>
        <w:jc w:val="center"/>
        <w:rPr>
          <w:sz w:val="40"/>
          <w:szCs w:val="40"/>
        </w:rPr>
      </w:pPr>
    </w:p>
    <w:p w:rsidR="00094EA6" w:rsidRPr="00094EA6" w:rsidRDefault="00094EA6" w:rsidP="00094EA6">
      <w:pPr>
        <w:jc w:val="center"/>
        <w:rPr>
          <w:sz w:val="40"/>
          <w:szCs w:val="40"/>
        </w:rPr>
      </w:pPr>
      <w:r w:rsidRPr="00094EA6">
        <w:rPr>
          <w:sz w:val="40"/>
          <w:szCs w:val="40"/>
        </w:rPr>
        <w:t>Prepared by: Laboratory Quality Management Program, Office of the Director, National Center for Emerging and Zoonotic Infectious Diseases</w:t>
      </w:r>
    </w:p>
    <w:p w:rsidR="00094EA6" w:rsidRPr="00094EA6" w:rsidRDefault="00094EA6" w:rsidP="00094EA6">
      <w:pPr>
        <w:jc w:val="center"/>
        <w:rPr>
          <w:sz w:val="40"/>
          <w:szCs w:val="40"/>
        </w:rPr>
      </w:pPr>
    </w:p>
    <w:p w:rsidR="00094EA6" w:rsidRPr="00094EA6" w:rsidRDefault="00094EA6" w:rsidP="00094EA6">
      <w:pPr>
        <w:jc w:val="center"/>
        <w:rPr>
          <w:sz w:val="40"/>
          <w:szCs w:val="40"/>
        </w:rPr>
      </w:pPr>
    </w:p>
    <w:p w:rsidR="00094EA6" w:rsidRPr="00094EA6" w:rsidRDefault="00094EA6" w:rsidP="00094EA6">
      <w:pPr>
        <w:jc w:val="center"/>
        <w:rPr>
          <w:sz w:val="40"/>
          <w:szCs w:val="40"/>
        </w:rPr>
      </w:pPr>
      <w:r w:rsidRPr="00094EA6">
        <w:rPr>
          <w:sz w:val="40"/>
          <w:szCs w:val="40"/>
        </w:rPr>
        <w:t>July 2012</w:t>
      </w:r>
    </w:p>
    <w:p w:rsidR="00094EA6" w:rsidRPr="00094EA6" w:rsidRDefault="00094EA6" w:rsidP="00094EA6">
      <w:pPr>
        <w:jc w:val="center"/>
        <w:rPr>
          <w:sz w:val="40"/>
          <w:szCs w:val="40"/>
        </w:rPr>
      </w:pPr>
    </w:p>
    <w:p w:rsidR="00094EA6" w:rsidRDefault="00094EA6">
      <w:pPr>
        <w:rPr>
          <w:b/>
          <w:sz w:val="24"/>
          <w:szCs w:val="24"/>
        </w:rPr>
      </w:pPr>
      <w:r>
        <w:rPr>
          <w:b/>
          <w:sz w:val="24"/>
          <w:szCs w:val="24"/>
        </w:rPr>
        <w:br w:type="page"/>
      </w:r>
    </w:p>
    <w:p w:rsidR="004726D9" w:rsidRDefault="004726D9" w:rsidP="004726D9">
      <w:pPr>
        <w:pStyle w:val="NoSpacing"/>
        <w:jc w:val="center"/>
        <w:rPr>
          <w:b/>
          <w:sz w:val="24"/>
          <w:szCs w:val="24"/>
        </w:rPr>
      </w:pPr>
      <w:r>
        <w:rPr>
          <w:b/>
          <w:sz w:val="24"/>
          <w:szCs w:val="24"/>
        </w:rPr>
        <w:lastRenderedPageBreak/>
        <w:t>EXECUTIVE SUMMARY</w:t>
      </w:r>
    </w:p>
    <w:p w:rsidR="004726D9" w:rsidRDefault="004726D9" w:rsidP="004726D9">
      <w:pPr>
        <w:pStyle w:val="NoSpacing"/>
        <w:rPr>
          <w:b/>
          <w:sz w:val="24"/>
          <w:szCs w:val="24"/>
        </w:rPr>
      </w:pPr>
    </w:p>
    <w:p w:rsidR="004726D9" w:rsidRDefault="004726D9" w:rsidP="004726D9">
      <w:pPr>
        <w:pStyle w:val="NoSpacing"/>
        <w:rPr>
          <w:sz w:val="24"/>
          <w:szCs w:val="24"/>
        </w:rPr>
      </w:pPr>
      <w:r>
        <w:rPr>
          <w:sz w:val="24"/>
          <w:szCs w:val="24"/>
        </w:rPr>
        <w:t>When the CDC Infectious Diseases (ID) laboratories were inspected for Clinical Laboratory Improvement Amendment (CLIA) compliance in 2010, the Centers for Medicaid and Medicare Services (CMS) recommended a customer satisfaction questionnaire would benefit the laboratories and serve as a very good Quality Assurance tool.</w:t>
      </w:r>
    </w:p>
    <w:p w:rsidR="004726D9" w:rsidRPr="005C6563" w:rsidRDefault="004726D9" w:rsidP="004726D9">
      <w:pPr>
        <w:pStyle w:val="NoSpacing"/>
        <w:rPr>
          <w:b/>
          <w:sz w:val="24"/>
          <w:szCs w:val="24"/>
        </w:rPr>
      </w:pPr>
    </w:p>
    <w:p w:rsidR="00F72A77" w:rsidRDefault="004726D9" w:rsidP="004726D9">
      <w:pPr>
        <w:pStyle w:val="NoSpacing"/>
        <w:rPr>
          <w:sz w:val="24"/>
          <w:szCs w:val="24"/>
        </w:rPr>
      </w:pPr>
      <w:r>
        <w:rPr>
          <w:sz w:val="24"/>
          <w:szCs w:val="24"/>
        </w:rPr>
        <w:t>A nine question survey was developed by the Laboratory Quality Management Program</w:t>
      </w:r>
      <w:r w:rsidR="005936B2">
        <w:rPr>
          <w:sz w:val="24"/>
          <w:szCs w:val="24"/>
        </w:rPr>
        <w:t xml:space="preserve"> (LQMP)</w:t>
      </w:r>
      <w:r>
        <w:rPr>
          <w:sz w:val="24"/>
          <w:szCs w:val="24"/>
        </w:rPr>
        <w:t xml:space="preserve"> and the CLIA Subcommittee of the CDC ID Laboratories Quality Management System Steering Committee.  </w:t>
      </w:r>
    </w:p>
    <w:p w:rsidR="00F72A77" w:rsidRDefault="00F72A77" w:rsidP="004726D9">
      <w:pPr>
        <w:pStyle w:val="NoSpacing"/>
        <w:rPr>
          <w:sz w:val="24"/>
          <w:szCs w:val="24"/>
        </w:rPr>
      </w:pPr>
    </w:p>
    <w:p w:rsidR="004726D9" w:rsidRDefault="004726D9" w:rsidP="004726D9">
      <w:pPr>
        <w:pStyle w:val="NoSpacing"/>
        <w:rPr>
          <w:sz w:val="24"/>
          <w:szCs w:val="24"/>
        </w:rPr>
      </w:pPr>
      <w:r>
        <w:rPr>
          <w:sz w:val="24"/>
          <w:szCs w:val="24"/>
        </w:rPr>
        <w:t>The questionnaire was sent to a total of 55 State and Territorial Public Health Laboratory</w:t>
      </w:r>
      <w:r w:rsidR="005936B2">
        <w:rPr>
          <w:sz w:val="24"/>
          <w:szCs w:val="24"/>
        </w:rPr>
        <w:t xml:space="preserve"> (PHL)</w:t>
      </w:r>
      <w:r>
        <w:rPr>
          <w:sz w:val="24"/>
          <w:szCs w:val="24"/>
        </w:rPr>
        <w:t xml:space="preserve"> Directors on Monday, March 19, 2012</w:t>
      </w:r>
      <w:r w:rsidR="00034961">
        <w:rPr>
          <w:sz w:val="24"/>
          <w:szCs w:val="24"/>
        </w:rPr>
        <w:t>.</w:t>
      </w:r>
      <w:r w:rsidR="00F72A77">
        <w:rPr>
          <w:sz w:val="24"/>
          <w:szCs w:val="24"/>
        </w:rPr>
        <w:t xml:space="preserve"> </w:t>
      </w:r>
      <w:r>
        <w:rPr>
          <w:sz w:val="24"/>
          <w:szCs w:val="24"/>
        </w:rPr>
        <w:t xml:space="preserve">At the close of the survey on May 15, 2012, 41 responses </w:t>
      </w:r>
      <w:r w:rsidR="00034961">
        <w:rPr>
          <w:sz w:val="24"/>
          <w:szCs w:val="24"/>
        </w:rPr>
        <w:t>had been</w:t>
      </w:r>
      <w:r>
        <w:rPr>
          <w:sz w:val="24"/>
          <w:szCs w:val="24"/>
        </w:rPr>
        <w:t xml:space="preserve"> received for a response rate of 75%.</w:t>
      </w:r>
    </w:p>
    <w:p w:rsidR="004726D9" w:rsidRDefault="004726D9" w:rsidP="004726D9">
      <w:pPr>
        <w:pStyle w:val="NoSpacing"/>
        <w:rPr>
          <w:sz w:val="24"/>
          <w:szCs w:val="24"/>
        </w:rPr>
      </w:pPr>
    </w:p>
    <w:p w:rsidR="00034961" w:rsidRDefault="004726D9" w:rsidP="004726D9">
      <w:pPr>
        <w:pStyle w:val="NoSpacing"/>
        <w:rPr>
          <w:sz w:val="24"/>
          <w:szCs w:val="24"/>
        </w:rPr>
      </w:pPr>
      <w:r w:rsidRPr="009C7402">
        <w:rPr>
          <w:sz w:val="24"/>
          <w:szCs w:val="24"/>
        </w:rPr>
        <w:t>The respondent</w:t>
      </w:r>
      <w:r>
        <w:rPr>
          <w:sz w:val="24"/>
          <w:szCs w:val="24"/>
        </w:rPr>
        <w:t>s</w:t>
      </w:r>
      <w:r w:rsidRPr="009C7402">
        <w:rPr>
          <w:sz w:val="24"/>
          <w:szCs w:val="24"/>
        </w:rPr>
        <w:t xml:space="preserve"> w</w:t>
      </w:r>
      <w:r>
        <w:rPr>
          <w:sz w:val="24"/>
          <w:szCs w:val="24"/>
        </w:rPr>
        <w:t>ere</w:t>
      </w:r>
      <w:r w:rsidRPr="009C7402">
        <w:rPr>
          <w:sz w:val="24"/>
          <w:szCs w:val="24"/>
        </w:rPr>
        <w:t xml:space="preserve"> asked to rate aspects of CDC’s ID </w:t>
      </w:r>
      <w:r>
        <w:rPr>
          <w:sz w:val="24"/>
          <w:szCs w:val="24"/>
        </w:rPr>
        <w:t>R</w:t>
      </w:r>
      <w:r w:rsidRPr="009C7402">
        <w:rPr>
          <w:sz w:val="24"/>
          <w:szCs w:val="24"/>
        </w:rPr>
        <w:t xml:space="preserve">eference </w:t>
      </w:r>
      <w:r>
        <w:rPr>
          <w:sz w:val="24"/>
          <w:szCs w:val="24"/>
        </w:rPr>
        <w:t>L</w:t>
      </w:r>
      <w:r w:rsidRPr="009C7402">
        <w:rPr>
          <w:sz w:val="24"/>
          <w:szCs w:val="24"/>
        </w:rPr>
        <w:t xml:space="preserve">aboratory services.  The choices were </w:t>
      </w:r>
      <w:r>
        <w:rPr>
          <w:sz w:val="24"/>
          <w:szCs w:val="24"/>
        </w:rPr>
        <w:t>“</w:t>
      </w:r>
      <w:r w:rsidRPr="009C7402">
        <w:rPr>
          <w:sz w:val="24"/>
          <w:szCs w:val="24"/>
        </w:rPr>
        <w:t>Very Poor</w:t>
      </w:r>
      <w:r>
        <w:rPr>
          <w:sz w:val="24"/>
          <w:szCs w:val="24"/>
        </w:rPr>
        <w:t>”</w:t>
      </w:r>
      <w:r w:rsidRPr="009C7402">
        <w:rPr>
          <w:sz w:val="24"/>
          <w:szCs w:val="24"/>
        </w:rPr>
        <w:t xml:space="preserve">, </w:t>
      </w:r>
      <w:r>
        <w:rPr>
          <w:sz w:val="24"/>
          <w:szCs w:val="24"/>
        </w:rPr>
        <w:t>“</w:t>
      </w:r>
      <w:r w:rsidRPr="009C7402">
        <w:rPr>
          <w:sz w:val="24"/>
          <w:szCs w:val="24"/>
        </w:rPr>
        <w:t>Poor</w:t>
      </w:r>
      <w:r>
        <w:rPr>
          <w:sz w:val="24"/>
          <w:szCs w:val="24"/>
        </w:rPr>
        <w:t>”</w:t>
      </w:r>
      <w:r w:rsidRPr="009C7402">
        <w:rPr>
          <w:sz w:val="24"/>
          <w:szCs w:val="24"/>
        </w:rPr>
        <w:t xml:space="preserve">, </w:t>
      </w:r>
      <w:r>
        <w:rPr>
          <w:sz w:val="24"/>
          <w:szCs w:val="24"/>
        </w:rPr>
        <w:t>“</w:t>
      </w:r>
      <w:r w:rsidRPr="009C7402">
        <w:rPr>
          <w:sz w:val="24"/>
          <w:szCs w:val="24"/>
        </w:rPr>
        <w:t>Good</w:t>
      </w:r>
      <w:r>
        <w:rPr>
          <w:sz w:val="24"/>
          <w:szCs w:val="24"/>
        </w:rPr>
        <w:t>”</w:t>
      </w:r>
      <w:r w:rsidRPr="009C7402">
        <w:rPr>
          <w:sz w:val="24"/>
          <w:szCs w:val="24"/>
        </w:rPr>
        <w:t>,</w:t>
      </w:r>
      <w:r>
        <w:rPr>
          <w:sz w:val="24"/>
          <w:szCs w:val="24"/>
        </w:rPr>
        <w:t xml:space="preserve"> “</w:t>
      </w:r>
      <w:r w:rsidRPr="009C7402">
        <w:rPr>
          <w:sz w:val="24"/>
          <w:szCs w:val="24"/>
        </w:rPr>
        <w:t>Very Good</w:t>
      </w:r>
      <w:r>
        <w:rPr>
          <w:sz w:val="24"/>
          <w:szCs w:val="24"/>
        </w:rPr>
        <w:t>”</w:t>
      </w:r>
      <w:r w:rsidRPr="009C7402">
        <w:rPr>
          <w:sz w:val="24"/>
          <w:szCs w:val="24"/>
        </w:rPr>
        <w:t xml:space="preserve">, and </w:t>
      </w:r>
      <w:r>
        <w:rPr>
          <w:sz w:val="24"/>
          <w:szCs w:val="24"/>
        </w:rPr>
        <w:t>“</w:t>
      </w:r>
      <w:r w:rsidRPr="009C7402">
        <w:rPr>
          <w:sz w:val="24"/>
          <w:szCs w:val="24"/>
        </w:rPr>
        <w:t>Not Applicable</w:t>
      </w:r>
      <w:r>
        <w:rPr>
          <w:sz w:val="24"/>
          <w:szCs w:val="24"/>
        </w:rPr>
        <w:t>”</w:t>
      </w:r>
      <w:r w:rsidRPr="009C7402">
        <w:rPr>
          <w:sz w:val="24"/>
          <w:szCs w:val="24"/>
        </w:rPr>
        <w:t xml:space="preserve">.  </w:t>
      </w:r>
    </w:p>
    <w:p w:rsidR="00034961" w:rsidRDefault="00034961" w:rsidP="004726D9">
      <w:pPr>
        <w:pStyle w:val="NoSpacing"/>
        <w:rPr>
          <w:sz w:val="24"/>
          <w:szCs w:val="24"/>
        </w:rPr>
      </w:pPr>
    </w:p>
    <w:p w:rsidR="004726D9" w:rsidRDefault="004726D9" w:rsidP="004726D9">
      <w:pPr>
        <w:pStyle w:val="NoSpacing"/>
        <w:rPr>
          <w:sz w:val="24"/>
          <w:szCs w:val="24"/>
        </w:rPr>
      </w:pPr>
      <w:r>
        <w:rPr>
          <w:sz w:val="24"/>
          <w:szCs w:val="24"/>
        </w:rPr>
        <w:t>Th</w:t>
      </w:r>
      <w:r w:rsidRPr="009C7402">
        <w:rPr>
          <w:sz w:val="24"/>
          <w:szCs w:val="24"/>
        </w:rPr>
        <w:t xml:space="preserve">e aspects rated </w:t>
      </w:r>
      <w:r w:rsidR="00034961">
        <w:rPr>
          <w:sz w:val="24"/>
          <w:szCs w:val="24"/>
        </w:rPr>
        <w:t xml:space="preserve">and the summary responses </w:t>
      </w:r>
      <w:r w:rsidRPr="009C7402">
        <w:rPr>
          <w:sz w:val="24"/>
          <w:szCs w:val="24"/>
        </w:rPr>
        <w:t>were</w:t>
      </w:r>
      <w:r w:rsidR="00034961">
        <w:rPr>
          <w:sz w:val="24"/>
          <w:szCs w:val="24"/>
        </w:rPr>
        <w:t xml:space="preserve"> as follows</w:t>
      </w:r>
      <w:r w:rsidRPr="009C7402">
        <w:rPr>
          <w:sz w:val="24"/>
          <w:szCs w:val="24"/>
        </w:rPr>
        <w:t>:</w:t>
      </w:r>
    </w:p>
    <w:p w:rsidR="004726D9" w:rsidRPr="009C7402" w:rsidRDefault="004726D9" w:rsidP="004726D9">
      <w:pPr>
        <w:pStyle w:val="NoSpacing"/>
        <w:rPr>
          <w:sz w:val="24"/>
          <w:szCs w:val="24"/>
        </w:rPr>
      </w:pPr>
    </w:p>
    <w:p w:rsidR="00034961" w:rsidRDefault="004726D9" w:rsidP="005936B2">
      <w:pPr>
        <w:pStyle w:val="NoSpacing"/>
        <w:rPr>
          <w:sz w:val="24"/>
          <w:szCs w:val="24"/>
        </w:rPr>
      </w:pPr>
      <w:r w:rsidRPr="009C7402">
        <w:rPr>
          <w:b/>
          <w:sz w:val="24"/>
          <w:szCs w:val="24"/>
        </w:rPr>
        <w:t>Convenience</w:t>
      </w:r>
      <w:r w:rsidRPr="009C7402">
        <w:rPr>
          <w:sz w:val="24"/>
          <w:szCs w:val="24"/>
        </w:rPr>
        <w:t xml:space="preserve">:  </w:t>
      </w:r>
      <w:r w:rsidR="00034961" w:rsidRPr="00737C2E">
        <w:rPr>
          <w:sz w:val="24"/>
          <w:szCs w:val="24"/>
        </w:rPr>
        <w:t>5</w:t>
      </w:r>
      <w:r w:rsidR="00F72A77">
        <w:rPr>
          <w:sz w:val="24"/>
          <w:szCs w:val="24"/>
        </w:rPr>
        <w:t>4</w:t>
      </w:r>
      <w:r w:rsidR="00034961" w:rsidRPr="00737C2E">
        <w:rPr>
          <w:sz w:val="24"/>
          <w:szCs w:val="24"/>
        </w:rPr>
        <w:t xml:space="preserve">% of respondents rated the ease of obtaining information about services offered as “Poor” or “Very Poor”. </w:t>
      </w:r>
    </w:p>
    <w:p w:rsidR="004726D9" w:rsidRPr="009C7402" w:rsidRDefault="00034961" w:rsidP="005936B2">
      <w:pPr>
        <w:pStyle w:val="NoSpacing"/>
        <w:ind w:left="360"/>
        <w:rPr>
          <w:sz w:val="24"/>
          <w:szCs w:val="24"/>
        </w:rPr>
      </w:pPr>
      <w:r w:rsidRPr="00737C2E">
        <w:rPr>
          <w:sz w:val="24"/>
          <w:szCs w:val="24"/>
        </w:rPr>
        <w:t xml:space="preserve"> </w:t>
      </w:r>
    </w:p>
    <w:p w:rsidR="004726D9" w:rsidRDefault="004726D9" w:rsidP="005936B2">
      <w:pPr>
        <w:pStyle w:val="NoSpacing"/>
        <w:rPr>
          <w:sz w:val="24"/>
          <w:szCs w:val="24"/>
        </w:rPr>
      </w:pPr>
      <w:r w:rsidRPr="009C7402">
        <w:rPr>
          <w:b/>
          <w:sz w:val="24"/>
          <w:szCs w:val="24"/>
        </w:rPr>
        <w:t>Accessibility</w:t>
      </w:r>
      <w:r w:rsidRPr="009C7402">
        <w:rPr>
          <w:sz w:val="24"/>
          <w:szCs w:val="24"/>
        </w:rPr>
        <w:t xml:space="preserve">:  </w:t>
      </w:r>
      <w:r w:rsidR="00F72A77">
        <w:rPr>
          <w:sz w:val="24"/>
          <w:szCs w:val="24"/>
        </w:rPr>
        <w:t>61</w:t>
      </w:r>
      <w:r w:rsidR="00034961" w:rsidRPr="00737C2E">
        <w:rPr>
          <w:sz w:val="24"/>
          <w:szCs w:val="24"/>
        </w:rPr>
        <w:t>% of respondents rated the ability to reach someone to interpret results as “Good” or “Very Good”</w:t>
      </w:r>
      <w:r w:rsidR="00F72A77">
        <w:rPr>
          <w:sz w:val="24"/>
          <w:szCs w:val="24"/>
        </w:rPr>
        <w:t xml:space="preserve"> while 39% rated</w:t>
      </w:r>
      <w:r w:rsidR="00F72A77" w:rsidRPr="00737C2E">
        <w:rPr>
          <w:sz w:val="24"/>
          <w:szCs w:val="24"/>
        </w:rPr>
        <w:t xml:space="preserve"> accessibility as “Poor” or “Very Poor”</w:t>
      </w:r>
    </w:p>
    <w:p w:rsidR="00034961" w:rsidRPr="009C7402" w:rsidRDefault="00034961" w:rsidP="005936B2">
      <w:pPr>
        <w:pStyle w:val="NoSpacing"/>
        <w:rPr>
          <w:sz w:val="24"/>
          <w:szCs w:val="24"/>
        </w:rPr>
      </w:pPr>
    </w:p>
    <w:p w:rsidR="004726D9" w:rsidRDefault="004726D9" w:rsidP="005936B2">
      <w:pPr>
        <w:pStyle w:val="NoSpacing"/>
        <w:rPr>
          <w:sz w:val="24"/>
          <w:szCs w:val="24"/>
        </w:rPr>
      </w:pPr>
      <w:r w:rsidRPr="009C7402">
        <w:rPr>
          <w:b/>
          <w:sz w:val="24"/>
          <w:szCs w:val="24"/>
        </w:rPr>
        <w:t>Timeliness</w:t>
      </w:r>
      <w:r w:rsidRPr="009C7402">
        <w:rPr>
          <w:sz w:val="24"/>
          <w:szCs w:val="24"/>
        </w:rPr>
        <w:t xml:space="preserve">:  </w:t>
      </w:r>
      <w:r w:rsidR="00034961" w:rsidRPr="00737C2E">
        <w:rPr>
          <w:sz w:val="24"/>
          <w:szCs w:val="24"/>
        </w:rPr>
        <w:t>52% of respondents stated that delivery of services within the time promised was “Poor” or “Very Poor”.</w:t>
      </w:r>
    </w:p>
    <w:p w:rsidR="00034961" w:rsidRPr="009C7402" w:rsidRDefault="00034961" w:rsidP="005936B2">
      <w:pPr>
        <w:pStyle w:val="NoSpacing"/>
        <w:rPr>
          <w:sz w:val="24"/>
          <w:szCs w:val="24"/>
        </w:rPr>
      </w:pPr>
    </w:p>
    <w:p w:rsidR="004726D9" w:rsidRDefault="004726D9" w:rsidP="005936B2">
      <w:pPr>
        <w:pStyle w:val="NoSpacing"/>
        <w:rPr>
          <w:sz w:val="24"/>
          <w:szCs w:val="24"/>
        </w:rPr>
      </w:pPr>
      <w:r w:rsidRPr="009C7402">
        <w:rPr>
          <w:b/>
          <w:sz w:val="24"/>
          <w:szCs w:val="24"/>
        </w:rPr>
        <w:t>Forms</w:t>
      </w:r>
      <w:r w:rsidRPr="009C7402">
        <w:rPr>
          <w:sz w:val="24"/>
          <w:szCs w:val="24"/>
        </w:rPr>
        <w:t xml:space="preserve">:  </w:t>
      </w:r>
      <w:r w:rsidR="00034961" w:rsidRPr="00737C2E">
        <w:rPr>
          <w:sz w:val="24"/>
          <w:szCs w:val="24"/>
        </w:rPr>
        <w:t xml:space="preserve">None of the respondents rated the ease of using the </w:t>
      </w:r>
      <w:r w:rsidR="00034961">
        <w:rPr>
          <w:sz w:val="24"/>
          <w:szCs w:val="24"/>
        </w:rPr>
        <w:t xml:space="preserve">current </w:t>
      </w:r>
      <w:r w:rsidR="00034961" w:rsidRPr="00737C2E">
        <w:rPr>
          <w:sz w:val="24"/>
          <w:szCs w:val="24"/>
        </w:rPr>
        <w:t xml:space="preserve">specimen submission form as “Very Poor”.  </w:t>
      </w:r>
      <w:r w:rsidR="00034961">
        <w:rPr>
          <w:sz w:val="24"/>
          <w:szCs w:val="24"/>
        </w:rPr>
        <w:t>Most</w:t>
      </w:r>
      <w:r w:rsidR="00034961" w:rsidRPr="00737C2E">
        <w:rPr>
          <w:sz w:val="24"/>
          <w:szCs w:val="24"/>
        </w:rPr>
        <w:t xml:space="preserve"> respondents rated th</w:t>
      </w:r>
      <w:r w:rsidR="00034961">
        <w:rPr>
          <w:sz w:val="24"/>
          <w:szCs w:val="24"/>
        </w:rPr>
        <w:t>is</w:t>
      </w:r>
      <w:r w:rsidR="00034961" w:rsidRPr="00737C2E">
        <w:rPr>
          <w:sz w:val="24"/>
          <w:szCs w:val="24"/>
        </w:rPr>
        <w:t xml:space="preserve"> aspect as “Good” or “Very Good”.</w:t>
      </w:r>
    </w:p>
    <w:p w:rsidR="00034961" w:rsidRPr="009C7402" w:rsidRDefault="00034961" w:rsidP="005936B2">
      <w:pPr>
        <w:pStyle w:val="NoSpacing"/>
        <w:rPr>
          <w:sz w:val="24"/>
          <w:szCs w:val="24"/>
        </w:rPr>
      </w:pPr>
    </w:p>
    <w:p w:rsidR="005936B2" w:rsidRPr="005936B2" w:rsidRDefault="004726D9" w:rsidP="005936B2">
      <w:pPr>
        <w:pStyle w:val="NoSpacing"/>
        <w:rPr>
          <w:sz w:val="24"/>
          <w:szCs w:val="24"/>
        </w:rPr>
      </w:pPr>
      <w:r w:rsidRPr="009C7402">
        <w:rPr>
          <w:b/>
          <w:sz w:val="24"/>
          <w:szCs w:val="24"/>
        </w:rPr>
        <w:t>Reports</w:t>
      </w:r>
      <w:r w:rsidRPr="009C7402">
        <w:rPr>
          <w:sz w:val="24"/>
          <w:szCs w:val="24"/>
        </w:rPr>
        <w:t xml:space="preserve">:  </w:t>
      </w:r>
      <w:r w:rsidR="00034961" w:rsidRPr="00737C2E">
        <w:rPr>
          <w:sz w:val="24"/>
          <w:szCs w:val="24"/>
        </w:rPr>
        <w:t xml:space="preserve">None of the respondents rated the ease of interpreting the </w:t>
      </w:r>
      <w:r w:rsidR="00034961">
        <w:rPr>
          <w:sz w:val="24"/>
          <w:szCs w:val="24"/>
        </w:rPr>
        <w:t xml:space="preserve">current </w:t>
      </w:r>
      <w:r w:rsidR="00034961" w:rsidRPr="00737C2E">
        <w:rPr>
          <w:sz w:val="24"/>
          <w:szCs w:val="24"/>
        </w:rPr>
        <w:t>results form</w:t>
      </w:r>
      <w:r w:rsidR="00034961">
        <w:rPr>
          <w:sz w:val="24"/>
          <w:szCs w:val="24"/>
        </w:rPr>
        <w:t>s</w:t>
      </w:r>
      <w:r w:rsidR="00034961" w:rsidRPr="00737C2E">
        <w:rPr>
          <w:sz w:val="24"/>
          <w:szCs w:val="24"/>
        </w:rPr>
        <w:t xml:space="preserve"> as “Very Poor”.  </w:t>
      </w:r>
      <w:r w:rsidR="00034961">
        <w:rPr>
          <w:sz w:val="24"/>
          <w:szCs w:val="24"/>
        </w:rPr>
        <w:t>Most</w:t>
      </w:r>
      <w:r w:rsidR="00034961" w:rsidRPr="00737C2E">
        <w:rPr>
          <w:sz w:val="24"/>
          <w:szCs w:val="24"/>
        </w:rPr>
        <w:t xml:space="preserve"> rated th</w:t>
      </w:r>
      <w:r w:rsidR="00034961">
        <w:rPr>
          <w:sz w:val="24"/>
          <w:szCs w:val="24"/>
        </w:rPr>
        <w:t>is</w:t>
      </w:r>
      <w:r w:rsidR="00034961" w:rsidRPr="00737C2E">
        <w:rPr>
          <w:sz w:val="24"/>
          <w:szCs w:val="24"/>
        </w:rPr>
        <w:t xml:space="preserve"> aspect as “Good” or “Very Good”.</w:t>
      </w:r>
    </w:p>
    <w:p w:rsidR="005936B2" w:rsidRDefault="005936B2" w:rsidP="005936B2">
      <w:pPr>
        <w:pStyle w:val="NoSpacing"/>
        <w:rPr>
          <w:b/>
          <w:sz w:val="24"/>
          <w:szCs w:val="24"/>
        </w:rPr>
      </w:pPr>
    </w:p>
    <w:p w:rsidR="004726D9" w:rsidRPr="00034961" w:rsidRDefault="004726D9" w:rsidP="005936B2">
      <w:pPr>
        <w:pStyle w:val="NoSpacing"/>
        <w:rPr>
          <w:sz w:val="24"/>
          <w:szCs w:val="24"/>
        </w:rPr>
      </w:pPr>
      <w:r w:rsidRPr="00034961">
        <w:rPr>
          <w:b/>
          <w:sz w:val="24"/>
          <w:szCs w:val="24"/>
        </w:rPr>
        <w:t>Overall</w:t>
      </w:r>
      <w:r w:rsidRPr="00034961">
        <w:rPr>
          <w:sz w:val="24"/>
          <w:szCs w:val="24"/>
        </w:rPr>
        <w:t xml:space="preserve">:  Although 75% of respondents rated CDC </w:t>
      </w:r>
      <w:r w:rsidR="005936B2">
        <w:rPr>
          <w:sz w:val="24"/>
          <w:szCs w:val="24"/>
        </w:rPr>
        <w:t>ID</w:t>
      </w:r>
      <w:r w:rsidRPr="00034961">
        <w:rPr>
          <w:sz w:val="24"/>
          <w:szCs w:val="24"/>
        </w:rPr>
        <w:t xml:space="preserve"> Reference Laboratory services as “Very Good” (2</w:t>
      </w:r>
      <w:r w:rsidR="005936B2">
        <w:rPr>
          <w:sz w:val="24"/>
          <w:szCs w:val="24"/>
        </w:rPr>
        <w:t>1</w:t>
      </w:r>
      <w:r w:rsidRPr="00034961">
        <w:rPr>
          <w:sz w:val="24"/>
          <w:szCs w:val="24"/>
        </w:rPr>
        <w:t xml:space="preserve">%) </w:t>
      </w:r>
      <w:r w:rsidR="005936B2">
        <w:rPr>
          <w:sz w:val="24"/>
          <w:szCs w:val="24"/>
        </w:rPr>
        <w:t>or</w:t>
      </w:r>
      <w:r w:rsidRPr="00034961">
        <w:rPr>
          <w:sz w:val="24"/>
          <w:szCs w:val="24"/>
        </w:rPr>
        <w:t xml:space="preserve"> “Good” (5</w:t>
      </w:r>
      <w:r w:rsidR="005936B2">
        <w:rPr>
          <w:sz w:val="24"/>
          <w:szCs w:val="24"/>
        </w:rPr>
        <w:t>4</w:t>
      </w:r>
      <w:r w:rsidRPr="00034961">
        <w:rPr>
          <w:sz w:val="24"/>
          <w:szCs w:val="24"/>
        </w:rPr>
        <w:t xml:space="preserve">%), 25% of respondents’ overall impression of </w:t>
      </w:r>
      <w:r w:rsidR="005936B2">
        <w:rPr>
          <w:sz w:val="24"/>
          <w:szCs w:val="24"/>
        </w:rPr>
        <w:t>the services offered by these l</w:t>
      </w:r>
      <w:r w:rsidRPr="00034961">
        <w:rPr>
          <w:sz w:val="24"/>
          <w:szCs w:val="24"/>
        </w:rPr>
        <w:t>aboratories was “Poor”.</w:t>
      </w:r>
    </w:p>
    <w:p w:rsidR="004726D9" w:rsidRDefault="004726D9" w:rsidP="004726D9">
      <w:pPr>
        <w:pStyle w:val="NoSpacing"/>
        <w:rPr>
          <w:b/>
          <w:sz w:val="24"/>
          <w:szCs w:val="24"/>
        </w:rPr>
      </w:pPr>
    </w:p>
    <w:p w:rsidR="007352C0" w:rsidRDefault="007352C0">
      <w:pPr>
        <w:rPr>
          <w:sz w:val="24"/>
          <w:szCs w:val="24"/>
        </w:rPr>
      </w:pPr>
      <w:r w:rsidRPr="007352C0">
        <w:rPr>
          <w:sz w:val="24"/>
          <w:szCs w:val="24"/>
        </w:rPr>
        <w:t>The respondents were asked to respond to three further questions:</w:t>
      </w:r>
    </w:p>
    <w:p w:rsidR="004726D9" w:rsidRPr="005936B2" w:rsidRDefault="004726D9" w:rsidP="005936B2">
      <w:pPr>
        <w:rPr>
          <w:sz w:val="24"/>
          <w:szCs w:val="24"/>
        </w:rPr>
      </w:pPr>
      <w:r w:rsidRPr="005936B2">
        <w:rPr>
          <w:sz w:val="24"/>
          <w:szCs w:val="24"/>
        </w:rPr>
        <w:t xml:space="preserve">What are the three most important things CDC can do to improve the delivery of their ID reference laboratory services? </w:t>
      </w:r>
    </w:p>
    <w:p w:rsidR="007352C0" w:rsidRPr="005936B2" w:rsidRDefault="007352C0" w:rsidP="005936B2">
      <w:pPr>
        <w:rPr>
          <w:sz w:val="24"/>
          <w:szCs w:val="24"/>
        </w:rPr>
      </w:pPr>
      <w:r w:rsidRPr="005936B2">
        <w:rPr>
          <w:rFonts w:ascii="Calibri" w:eastAsia="Times New Roman" w:hAnsi="Calibri" w:cs="Calibri"/>
          <w:bCs/>
          <w:color w:val="000000"/>
          <w:sz w:val="24"/>
          <w:szCs w:val="24"/>
        </w:rPr>
        <w:t>What are two things currently provided by CDC's ID reference laboratory services that are the most helpful to you?</w:t>
      </w:r>
    </w:p>
    <w:p w:rsidR="007352C0" w:rsidRPr="005936B2" w:rsidRDefault="007352C0" w:rsidP="005936B2">
      <w:pPr>
        <w:rPr>
          <w:sz w:val="24"/>
          <w:szCs w:val="24"/>
        </w:rPr>
      </w:pPr>
      <w:r w:rsidRPr="005936B2">
        <w:rPr>
          <w:rFonts w:ascii="Calibri" w:eastAsia="Times New Roman" w:hAnsi="Calibri" w:cs="Calibri"/>
          <w:bCs/>
          <w:color w:val="000000"/>
          <w:sz w:val="24"/>
          <w:szCs w:val="24"/>
        </w:rPr>
        <w:lastRenderedPageBreak/>
        <w:t>What should be included in CDC's ID reference laboratory services that do not currently exist?</w:t>
      </w:r>
    </w:p>
    <w:p w:rsidR="007352C0" w:rsidRDefault="007352C0" w:rsidP="007352C0">
      <w:pPr>
        <w:rPr>
          <w:sz w:val="24"/>
          <w:szCs w:val="24"/>
        </w:rPr>
      </w:pPr>
      <w:r w:rsidRPr="007352C0">
        <w:rPr>
          <w:b/>
          <w:sz w:val="24"/>
          <w:szCs w:val="24"/>
        </w:rPr>
        <w:t>Suggestions for improvements</w:t>
      </w:r>
      <w:r>
        <w:rPr>
          <w:sz w:val="24"/>
          <w:szCs w:val="24"/>
        </w:rPr>
        <w:t>:</w:t>
      </w:r>
    </w:p>
    <w:p w:rsidR="007352C0" w:rsidRDefault="007352C0" w:rsidP="007352C0">
      <w:pPr>
        <w:pStyle w:val="ListParagraph"/>
        <w:numPr>
          <w:ilvl w:val="0"/>
          <w:numId w:val="7"/>
        </w:numPr>
        <w:rPr>
          <w:sz w:val="24"/>
          <w:szCs w:val="24"/>
        </w:rPr>
      </w:pPr>
      <w:r>
        <w:rPr>
          <w:sz w:val="24"/>
          <w:szCs w:val="24"/>
        </w:rPr>
        <w:t>Provide a directory of contact persons for each service (61%)</w:t>
      </w:r>
    </w:p>
    <w:p w:rsidR="007352C0" w:rsidRPr="007352C0" w:rsidRDefault="007352C0" w:rsidP="007352C0">
      <w:pPr>
        <w:pStyle w:val="ListParagraph"/>
        <w:numPr>
          <w:ilvl w:val="0"/>
          <w:numId w:val="7"/>
        </w:numPr>
        <w:rPr>
          <w:sz w:val="24"/>
          <w:szCs w:val="24"/>
        </w:rPr>
      </w:pPr>
      <w:r>
        <w:rPr>
          <w:sz w:val="24"/>
          <w:szCs w:val="24"/>
        </w:rPr>
        <w:t xml:space="preserve">Provide a directory of </w:t>
      </w:r>
      <w:r w:rsidRPr="009C7402">
        <w:rPr>
          <w:rFonts w:ascii="Calibri" w:hAnsi="Calibri" w:cs="Calibri"/>
          <w:color w:val="000000"/>
          <w:sz w:val="24"/>
          <w:szCs w:val="24"/>
        </w:rPr>
        <w:t>services (spec</w:t>
      </w:r>
      <w:r>
        <w:rPr>
          <w:rFonts w:ascii="Calibri" w:hAnsi="Calibri" w:cs="Calibri"/>
          <w:color w:val="000000"/>
          <w:sz w:val="24"/>
          <w:szCs w:val="24"/>
        </w:rPr>
        <w:t>imen requirements and transport; turnaround time</w:t>
      </w:r>
      <w:r w:rsidRPr="009C7402">
        <w:rPr>
          <w:rFonts w:ascii="Calibri" w:hAnsi="Calibri" w:cs="Calibri"/>
          <w:color w:val="000000"/>
          <w:sz w:val="24"/>
          <w:szCs w:val="24"/>
        </w:rPr>
        <w:t>; frequency of testing, contact info</w:t>
      </w:r>
      <w:r>
        <w:rPr>
          <w:rFonts w:ascii="Calibri" w:hAnsi="Calibri" w:cs="Calibri"/>
          <w:color w:val="000000"/>
          <w:sz w:val="24"/>
          <w:szCs w:val="24"/>
        </w:rPr>
        <w:t>rmation) (56%</w:t>
      </w:r>
      <w:r w:rsidRPr="009C7402">
        <w:rPr>
          <w:rFonts w:ascii="Calibri" w:hAnsi="Calibri" w:cs="Calibri"/>
          <w:color w:val="000000"/>
          <w:sz w:val="24"/>
          <w:szCs w:val="24"/>
        </w:rPr>
        <w:t>)</w:t>
      </w:r>
    </w:p>
    <w:p w:rsidR="007352C0" w:rsidRDefault="007352C0" w:rsidP="007352C0">
      <w:pPr>
        <w:pStyle w:val="ListParagraph"/>
        <w:numPr>
          <w:ilvl w:val="0"/>
          <w:numId w:val="7"/>
        </w:numPr>
        <w:rPr>
          <w:sz w:val="24"/>
          <w:szCs w:val="24"/>
        </w:rPr>
      </w:pPr>
      <w:r>
        <w:rPr>
          <w:sz w:val="24"/>
          <w:szCs w:val="24"/>
        </w:rPr>
        <w:t>Improve turnaround time (56%)</w:t>
      </w:r>
    </w:p>
    <w:p w:rsidR="007352C0" w:rsidRDefault="007352C0" w:rsidP="007352C0">
      <w:pPr>
        <w:pStyle w:val="ListParagraph"/>
        <w:numPr>
          <w:ilvl w:val="0"/>
          <w:numId w:val="7"/>
        </w:numPr>
        <w:rPr>
          <w:sz w:val="24"/>
          <w:szCs w:val="24"/>
        </w:rPr>
      </w:pPr>
      <w:r>
        <w:rPr>
          <w:sz w:val="24"/>
          <w:szCs w:val="24"/>
        </w:rPr>
        <w:t xml:space="preserve">Improve access to reports (electronic reporting, secure email, </w:t>
      </w:r>
      <w:proofErr w:type="gramStart"/>
      <w:r>
        <w:rPr>
          <w:sz w:val="24"/>
          <w:szCs w:val="24"/>
        </w:rPr>
        <w:t>online</w:t>
      </w:r>
      <w:proofErr w:type="gramEnd"/>
      <w:r>
        <w:rPr>
          <w:sz w:val="24"/>
          <w:szCs w:val="24"/>
        </w:rPr>
        <w:t xml:space="preserve"> results) (27%)</w:t>
      </w:r>
    </w:p>
    <w:p w:rsidR="007352C0" w:rsidRDefault="007352C0" w:rsidP="007352C0">
      <w:pPr>
        <w:pStyle w:val="ListParagraph"/>
        <w:numPr>
          <w:ilvl w:val="0"/>
          <w:numId w:val="7"/>
        </w:numPr>
        <w:rPr>
          <w:sz w:val="24"/>
          <w:szCs w:val="24"/>
        </w:rPr>
      </w:pPr>
      <w:r>
        <w:rPr>
          <w:sz w:val="24"/>
          <w:szCs w:val="24"/>
        </w:rPr>
        <w:t>Provide real-time information on frequency and projected turnaround times for individual tests (20%)</w:t>
      </w:r>
    </w:p>
    <w:p w:rsidR="007352C0" w:rsidRPr="007352C0" w:rsidRDefault="007352C0" w:rsidP="007352C0">
      <w:pPr>
        <w:pStyle w:val="ListParagraph"/>
        <w:numPr>
          <w:ilvl w:val="0"/>
          <w:numId w:val="7"/>
        </w:numPr>
        <w:rPr>
          <w:sz w:val="24"/>
          <w:szCs w:val="24"/>
        </w:rPr>
      </w:pPr>
      <w:r>
        <w:rPr>
          <w:sz w:val="24"/>
          <w:szCs w:val="24"/>
        </w:rPr>
        <w:t>Improve communication when reporting is going to be delayed (15%)</w:t>
      </w:r>
    </w:p>
    <w:p w:rsidR="007352C0" w:rsidRPr="00F72A77" w:rsidRDefault="007352C0" w:rsidP="007352C0">
      <w:pPr>
        <w:rPr>
          <w:b/>
          <w:sz w:val="24"/>
          <w:szCs w:val="24"/>
        </w:rPr>
      </w:pPr>
      <w:r w:rsidRPr="00F72A77">
        <w:rPr>
          <w:b/>
          <w:sz w:val="24"/>
          <w:szCs w:val="24"/>
        </w:rPr>
        <w:t xml:space="preserve">Most </w:t>
      </w:r>
      <w:r w:rsidR="00F72A77" w:rsidRPr="00F72A77">
        <w:rPr>
          <w:b/>
          <w:sz w:val="24"/>
          <w:szCs w:val="24"/>
        </w:rPr>
        <w:t>useful</w:t>
      </w:r>
      <w:r w:rsidRPr="00F72A77">
        <w:rPr>
          <w:b/>
          <w:sz w:val="24"/>
          <w:szCs w:val="24"/>
        </w:rPr>
        <w:t xml:space="preserve"> services:</w:t>
      </w:r>
    </w:p>
    <w:p w:rsidR="007352C0" w:rsidRDefault="00F72A77" w:rsidP="00F72A77">
      <w:pPr>
        <w:pStyle w:val="ListParagraph"/>
        <w:numPr>
          <w:ilvl w:val="0"/>
          <w:numId w:val="8"/>
        </w:numPr>
        <w:rPr>
          <w:sz w:val="24"/>
          <w:szCs w:val="24"/>
        </w:rPr>
      </w:pPr>
      <w:r>
        <w:rPr>
          <w:sz w:val="24"/>
          <w:szCs w:val="24"/>
        </w:rPr>
        <w:t>Provision of subject matter expertise and knowledge, and technical assistance (44%)</w:t>
      </w:r>
    </w:p>
    <w:p w:rsidR="00F72A77" w:rsidRDefault="00F72A77" w:rsidP="00F72A77">
      <w:pPr>
        <w:pStyle w:val="ListParagraph"/>
        <w:numPr>
          <w:ilvl w:val="0"/>
          <w:numId w:val="8"/>
        </w:numPr>
        <w:rPr>
          <w:sz w:val="24"/>
          <w:szCs w:val="24"/>
        </w:rPr>
      </w:pPr>
      <w:r>
        <w:rPr>
          <w:sz w:val="24"/>
          <w:szCs w:val="24"/>
        </w:rPr>
        <w:t>Provision of specialist testing not available elsewhere (32%)</w:t>
      </w:r>
    </w:p>
    <w:p w:rsidR="00F72A77" w:rsidRPr="00F72A77" w:rsidRDefault="00F72A77" w:rsidP="00F72A77">
      <w:pPr>
        <w:pStyle w:val="ListParagraph"/>
        <w:numPr>
          <w:ilvl w:val="0"/>
          <w:numId w:val="8"/>
        </w:numPr>
        <w:rPr>
          <w:sz w:val="24"/>
          <w:szCs w:val="24"/>
        </w:rPr>
      </w:pPr>
      <w:r>
        <w:rPr>
          <w:sz w:val="24"/>
          <w:szCs w:val="24"/>
        </w:rPr>
        <w:t>Identification and confirmation of unusual isolates, and performance of molecular characterization (20%)</w:t>
      </w:r>
    </w:p>
    <w:p w:rsidR="007352C0" w:rsidRPr="00F72A77" w:rsidRDefault="00F72A77" w:rsidP="007352C0">
      <w:pPr>
        <w:rPr>
          <w:b/>
          <w:sz w:val="24"/>
          <w:szCs w:val="24"/>
        </w:rPr>
      </w:pPr>
      <w:r w:rsidRPr="00F72A77">
        <w:rPr>
          <w:b/>
          <w:sz w:val="24"/>
          <w:szCs w:val="24"/>
        </w:rPr>
        <w:t>Suggestions for n</w:t>
      </w:r>
      <w:r w:rsidR="007352C0" w:rsidRPr="00F72A77">
        <w:rPr>
          <w:b/>
          <w:sz w:val="24"/>
          <w:szCs w:val="24"/>
        </w:rPr>
        <w:t>ew services:</w:t>
      </w:r>
    </w:p>
    <w:p w:rsidR="00F72A77" w:rsidRPr="00F72A77" w:rsidRDefault="00F72A77" w:rsidP="00F72A77">
      <w:pPr>
        <w:pStyle w:val="ListParagraph"/>
        <w:numPr>
          <w:ilvl w:val="0"/>
          <w:numId w:val="7"/>
        </w:numPr>
        <w:rPr>
          <w:sz w:val="24"/>
          <w:szCs w:val="24"/>
        </w:rPr>
      </w:pPr>
      <w:r>
        <w:rPr>
          <w:sz w:val="24"/>
          <w:szCs w:val="24"/>
        </w:rPr>
        <w:t xml:space="preserve">Provide a directory of </w:t>
      </w:r>
      <w:r w:rsidRPr="009C7402">
        <w:rPr>
          <w:rFonts w:ascii="Calibri" w:hAnsi="Calibri" w:cs="Calibri"/>
          <w:color w:val="000000"/>
          <w:sz w:val="24"/>
          <w:szCs w:val="24"/>
        </w:rPr>
        <w:t>services (spec</w:t>
      </w:r>
      <w:r>
        <w:rPr>
          <w:rFonts w:ascii="Calibri" w:hAnsi="Calibri" w:cs="Calibri"/>
          <w:color w:val="000000"/>
          <w:sz w:val="24"/>
          <w:szCs w:val="24"/>
        </w:rPr>
        <w:t>imen requirements and transport; turnaround time</w:t>
      </w:r>
      <w:r w:rsidRPr="009C7402">
        <w:rPr>
          <w:rFonts w:ascii="Calibri" w:hAnsi="Calibri" w:cs="Calibri"/>
          <w:color w:val="000000"/>
          <w:sz w:val="24"/>
          <w:szCs w:val="24"/>
        </w:rPr>
        <w:t>; frequency of testing, contact info</w:t>
      </w:r>
      <w:r>
        <w:rPr>
          <w:rFonts w:ascii="Calibri" w:hAnsi="Calibri" w:cs="Calibri"/>
          <w:color w:val="000000"/>
          <w:sz w:val="24"/>
          <w:szCs w:val="24"/>
        </w:rPr>
        <w:t>rmation) (22%</w:t>
      </w:r>
      <w:r w:rsidRPr="009C7402">
        <w:rPr>
          <w:rFonts w:ascii="Calibri" w:hAnsi="Calibri" w:cs="Calibri"/>
          <w:color w:val="000000"/>
          <w:sz w:val="24"/>
          <w:szCs w:val="24"/>
        </w:rPr>
        <w:t>)</w:t>
      </w:r>
    </w:p>
    <w:p w:rsidR="00F72A77" w:rsidRDefault="00F72A77" w:rsidP="00F72A77">
      <w:pPr>
        <w:pStyle w:val="ListParagraph"/>
        <w:numPr>
          <w:ilvl w:val="0"/>
          <w:numId w:val="7"/>
        </w:numPr>
        <w:rPr>
          <w:sz w:val="24"/>
          <w:szCs w:val="24"/>
        </w:rPr>
      </w:pPr>
      <w:r>
        <w:rPr>
          <w:sz w:val="24"/>
          <w:szCs w:val="24"/>
        </w:rPr>
        <w:t>Provide a directory of contact persons with phone numbers and email addresses organized by disease (12%)</w:t>
      </w:r>
    </w:p>
    <w:p w:rsidR="004726D9" w:rsidRPr="005936B2" w:rsidRDefault="00F72A77" w:rsidP="005936B2">
      <w:pPr>
        <w:pStyle w:val="ListParagraph"/>
        <w:numPr>
          <w:ilvl w:val="0"/>
          <w:numId w:val="7"/>
        </w:numPr>
        <w:rPr>
          <w:sz w:val="24"/>
          <w:szCs w:val="24"/>
        </w:rPr>
      </w:pPr>
      <w:r>
        <w:rPr>
          <w:sz w:val="24"/>
          <w:szCs w:val="24"/>
        </w:rPr>
        <w:t>Provide electronic laboratory reports (12%)</w:t>
      </w:r>
    </w:p>
    <w:p w:rsidR="004726D9" w:rsidRDefault="004726D9" w:rsidP="004726D9">
      <w:pPr>
        <w:spacing w:line="240" w:lineRule="auto"/>
        <w:rPr>
          <w:b/>
          <w:sz w:val="24"/>
          <w:szCs w:val="24"/>
        </w:rPr>
      </w:pPr>
      <w:r w:rsidRPr="00913677">
        <w:rPr>
          <w:b/>
          <w:sz w:val="24"/>
          <w:szCs w:val="24"/>
        </w:rPr>
        <w:t>Response Plan:</w:t>
      </w:r>
    </w:p>
    <w:p w:rsidR="004726D9" w:rsidRDefault="004726D9" w:rsidP="005936B2">
      <w:pPr>
        <w:spacing w:line="240" w:lineRule="auto"/>
        <w:rPr>
          <w:sz w:val="24"/>
          <w:szCs w:val="24"/>
        </w:rPr>
      </w:pPr>
      <w:r w:rsidRPr="00913677">
        <w:rPr>
          <w:sz w:val="24"/>
          <w:szCs w:val="24"/>
        </w:rPr>
        <w:t xml:space="preserve">The </w:t>
      </w:r>
      <w:r w:rsidR="005936B2">
        <w:rPr>
          <w:sz w:val="24"/>
          <w:szCs w:val="24"/>
        </w:rPr>
        <w:t>LQMP</w:t>
      </w:r>
      <w:r>
        <w:rPr>
          <w:sz w:val="24"/>
          <w:szCs w:val="24"/>
        </w:rPr>
        <w:t xml:space="preserve"> is developing a Laboratory Test Directory of Services that will be accessible </w:t>
      </w:r>
      <w:r w:rsidR="005936B2">
        <w:rPr>
          <w:sz w:val="24"/>
          <w:szCs w:val="24"/>
        </w:rPr>
        <w:t xml:space="preserve">to state PHLs and others </w:t>
      </w:r>
      <w:r>
        <w:rPr>
          <w:sz w:val="24"/>
          <w:szCs w:val="24"/>
        </w:rPr>
        <w:t xml:space="preserve">on </w:t>
      </w:r>
      <w:r w:rsidR="005936B2">
        <w:rPr>
          <w:sz w:val="24"/>
          <w:szCs w:val="24"/>
        </w:rPr>
        <w:t xml:space="preserve">the </w:t>
      </w:r>
      <w:r>
        <w:rPr>
          <w:sz w:val="24"/>
          <w:szCs w:val="24"/>
        </w:rPr>
        <w:t>CDC internet</w:t>
      </w:r>
      <w:r w:rsidR="005936B2">
        <w:rPr>
          <w:sz w:val="24"/>
          <w:szCs w:val="24"/>
        </w:rPr>
        <w:t xml:space="preserve"> site</w:t>
      </w:r>
      <w:r>
        <w:rPr>
          <w:sz w:val="24"/>
          <w:szCs w:val="24"/>
        </w:rPr>
        <w:t xml:space="preserve">.  Each CDC ID laboratory will </w:t>
      </w:r>
      <w:r w:rsidR="005936B2">
        <w:rPr>
          <w:sz w:val="24"/>
          <w:szCs w:val="24"/>
        </w:rPr>
        <w:t>be asked</w:t>
      </w:r>
      <w:r>
        <w:rPr>
          <w:sz w:val="24"/>
          <w:szCs w:val="24"/>
        </w:rPr>
        <w:t xml:space="preserve"> to provide </w:t>
      </w:r>
      <w:r w:rsidR="005936B2">
        <w:rPr>
          <w:sz w:val="24"/>
          <w:szCs w:val="24"/>
        </w:rPr>
        <w:t xml:space="preserve">a </w:t>
      </w:r>
      <w:r>
        <w:rPr>
          <w:sz w:val="24"/>
          <w:szCs w:val="24"/>
        </w:rPr>
        <w:t xml:space="preserve">list of tests offered, contact persons and their information, and specific details of test requirements and reporting.  </w:t>
      </w:r>
    </w:p>
    <w:p w:rsidR="004726D9" w:rsidRDefault="004726D9" w:rsidP="005936B2">
      <w:pPr>
        <w:spacing w:line="240" w:lineRule="auto"/>
        <w:rPr>
          <w:sz w:val="24"/>
          <w:szCs w:val="24"/>
        </w:rPr>
      </w:pPr>
      <w:r>
        <w:rPr>
          <w:sz w:val="24"/>
          <w:szCs w:val="24"/>
        </w:rPr>
        <w:t xml:space="preserve">An updated Specimen Submission Form has been created that will capture key information from the PHLs </w:t>
      </w:r>
      <w:r w:rsidR="005936B2">
        <w:rPr>
          <w:sz w:val="24"/>
          <w:szCs w:val="24"/>
        </w:rPr>
        <w:t>to</w:t>
      </w:r>
      <w:r>
        <w:rPr>
          <w:sz w:val="24"/>
          <w:szCs w:val="24"/>
        </w:rPr>
        <w:t xml:space="preserve"> enable test report</w:t>
      </w:r>
      <w:r w:rsidR="005936B2">
        <w:rPr>
          <w:sz w:val="24"/>
          <w:szCs w:val="24"/>
        </w:rPr>
        <w:t>s to be sent</w:t>
      </w:r>
      <w:r>
        <w:rPr>
          <w:sz w:val="24"/>
          <w:szCs w:val="24"/>
        </w:rPr>
        <w:t xml:space="preserve"> as an encrypted PDF via secure email.  This will decrease the turnaround time for reporting results compared to the current practice of delivering results via the U.S. mail. </w:t>
      </w:r>
    </w:p>
    <w:p w:rsidR="00094EA6" w:rsidRDefault="004726D9" w:rsidP="005936B2">
      <w:pPr>
        <w:spacing w:line="240" w:lineRule="auto"/>
        <w:rPr>
          <w:b/>
          <w:sz w:val="24"/>
          <w:szCs w:val="24"/>
        </w:rPr>
      </w:pPr>
      <w:r>
        <w:rPr>
          <w:sz w:val="24"/>
          <w:szCs w:val="24"/>
        </w:rPr>
        <w:t xml:space="preserve">Selected PHLs will be asked to pilot these initiatives to ensure their functionality and that the end product meets their needs.  Implementation </w:t>
      </w:r>
      <w:r w:rsidR="005936B2">
        <w:rPr>
          <w:sz w:val="24"/>
          <w:szCs w:val="24"/>
        </w:rPr>
        <w:t>will</w:t>
      </w:r>
      <w:r>
        <w:rPr>
          <w:sz w:val="24"/>
          <w:szCs w:val="24"/>
        </w:rPr>
        <w:t xml:space="preserve"> begin in FY 2013.</w:t>
      </w:r>
      <w:r w:rsidR="00094EA6">
        <w:rPr>
          <w:b/>
          <w:sz w:val="24"/>
          <w:szCs w:val="24"/>
        </w:rPr>
        <w:br w:type="page"/>
      </w:r>
    </w:p>
    <w:p w:rsidR="00094EA6" w:rsidRDefault="00094EA6" w:rsidP="00B1527B">
      <w:pPr>
        <w:pStyle w:val="NoSpacing"/>
        <w:rPr>
          <w:b/>
          <w:sz w:val="24"/>
          <w:szCs w:val="24"/>
        </w:rPr>
      </w:pPr>
    </w:p>
    <w:p w:rsidR="00B1527B" w:rsidRPr="00B1527B" w:rsidRDefault="005936B2" w:rsidP="005936B2">
      <w:pPr>
        <w:pStyle w:val="NoSpacing"/>
        <w:jc w:val="center"/>
        <w:rPr>
          <w:b/>
          <w:sz w:val="24"/>
          <w:szCs w:val="24"/>
        </w:rPr>
      </w:pPr>
      <w:r>
        <w:rPr>
          <w:b/>
          <w:sz w:val="24"/>
          <w:szCs w:val="24"/>
        </w:rPr>
        <w:t>BACKGROUND</w:t>
      </w:r>
    </w:p>
    <w:p w:rsidR="005936B2" w:rsidRDefault="005936B2" w:rsidP="00B1527B">
      <w:pPr>
        <w:pStyle w:val="NoSpacing"/>
        <w:rPr>
          <w:sz w:val="24"/>
          <w:szCs w:val="24"/>
        </w:rPr>
      </w:pPr>
    </w:p>
    <w:p w:rsidR="00B92894" w:rsidRDefault="00B92894" w:rsidP="00B1527B">
      <w:pPr>
        <w:pStyle w:val="NoSpacing"/>
        <w:rPr>
          <w:sz w:val="24"/>
          <w:szCs w:val="24"/>
        </w:rPr>
      </w:pPr>
      <w:r>
        <w:rPr>
          <w:sz w:val="24"/>
          <w:szCs w:val="24"/>
        </w:rPr>
        <w:t xml:space="preserve">When </w:t>
      </w:r>
      <w:r w:rsidR="00705FE5">
        <w:rPr>
          <w:sz w:val="24"/>
          <w:szCs w:val="24"/>
        </w:rPr>
        <w:t xml:space="preserve">the </w:t>
      </w:r>
      <w:r>
        <w:rPr>
          <w:sz w:val="24"/>
          <w:szCs w:val="24"/>
        </w:rPr>
        <w:t xml:space="preserve">CDC </w:t>
      </w:r>
      <w:r w:rsidR="00705FE5">
        <w:rPr>
          <w:sz w:val="24"/>
          <w:szCs w:val="24"/>
        </w:rPr>
        <w:t>Infectious Diseases (ID) laboratories were</w:t>
      </w:r>
      <w:r>
        <w:rPr>
          <w:sz w:val="24"/>
          <w:szCs w:val="24"/>
        </w:rPr>
        <w:t xml:space="preserve"> inspected for Clinical Laboratory Improvement Amendment (CLIA) compliance in 2010, the Centers for Medicaid and Medicare Services (CMS) recommended a customer satisfaction questionnaire would benefit the CDC laboratories and serve as a very good Quality Assurance tool.</w:t>
      </w:r>
    </w:p>
    <w:p w:rsidR="00B92894" w:rsidRPr="005C6563" w:rsidRDefault="00B92894" w:rsidP="00B1527B">
      <w:pPr>
        <w:pStyle w:val="NoSpacing"/>
        <w:rPr>
          <w:b/>
          <w:sz w:val="24"/>
          <w:szCs w:val="24"/>
        </w:rPr>
      </w:pPr>
    </w:p>
    <w:p w:rsidR="005C6563" w:rsidRPr="005C6563" w:rsidRDefault="003E74B0" w:rsidP="003E74B0">
      <w:pPr>
        <w:pStyle w:val="NoSpacing"/>
        <w:jc w:val="center"/>
        <w:rPr>
          <w:b/>
          <w:sz w:val="24"/>
          <w:szCs w:val="24"/>
        </w:rPr>
      </w:pPr>
      <w:r>
        <w:rPr>
          <w:b/>
          <w:sz w:val="24"/>
          <w:szCs w:val="24"/>
        </w:rPr>
        <w:t>METHOD</w:t>
      </w:r>
    </w:p>
    <w:p w:rsidR="004726D9" w:rsidRDefault="004726D9" w:rsidP="00B1527B">
      <w:pPr>
        <w:pStyle w:val="NoSpacing"/>
        <w:rPr>
          <w:sz w:val="24"/>
          <w:szCs w:val="24"/>
        </w:rPr>
      </w:pPr>
    </w:p>
    <w:p w:rsidR="004726D9" w:rsidRDefault="004726D9" w:rsidP="00B1527B">
      <w:pPr>
        <w:pStyle w:val="NoSpacing"/>
        <w:rPr>
          <w:sz w:val="24"/>
          <w:szCs w:val="24"/>
        </w:rPr>
      </w:pPr>
      <w:r>
        <w:rPr>
          <w:sz w:val="24"/>
          <w:szCs w:val="24"/>
        </w:rPr>
        <w:t>A nine question survey was developed by the Laboratory Quality Management Program</w:t>
      </w:r>
      <w:r w:rsidR="00705FE5">
        <w:rPr>
          <w:sz w:val="24"/>
          <w:szCs w:val="24"/>
        </w:rPr>
        <w:t xml:space="preserve"> (LQMP)</w:t>
      </w:r>
      <w:r>
        <w:rPr>
          <w:sz w:val="24"/>
          <w:szCs w:val="24"/>
        </w:rPr>
        <w:t xml:space="preserve"> and the CLIA Subcommittee of the CDC ID Laboratories Quality Management System Steering Committee.  The questions were approved by OMB under the OSTLS Generic Information Collection Request (OMB No. 0920-0879) in February 2012. The questionnaire was sent to a total of 55 State and Territorial Public Health Laboratory</w:t>
      </w:r>
      <w:r w:rsidR="00705FE5">
        <w:rPr>
          <w:sz w:val="24"/>
          <w:szCs w:val="24"/>
        </w:rPr>
        <w:t xml:space="preserve"> (PHL)</w:t>
      </w:r>
      <w:r>
        <w:rPr>
          <w:sz w:val="24"/>
          <w:szCs w:val="24"/>
        </w:rPr>
        <w:t xml:space="preserve"> Directors on Monday, March 19, 2012 requesting input on the how the CDC </w:t>
      </w:r>
      <w:r w:rsidR="00705FE5">
        <w:rPr>
          <w:sz w:val="24"/>
          <w:szCs w:val="24"/>
        </w:rPr>
        <w:t>ID</w:t>
      </w:r>
      <w:r>
        <w:rPr>
          <w:sz w:val="24"/>
          <w:szCs w:val="24"/>
        </w:rPr>
        <w:t xml:space="preserve"> Reference Laboratories are serving </w:t>
      </w:r>
      <w:r w:rsidR="00705FE5">
        <w:rPr>
          <w:sz w:val="24"/>
          <w:szCs w:val="24"/>
        </w:rPr>
        <w:t>PHL</w:t>
      </w:r>
      <w:r>
        <w:rPr>
          <w:sz w:val="24"/>
          <w:szCs w:val="24"/>
        </w:rPr>
        <w:t xml:space="preserve"> needs.  </w:t>
      </w:r>
    </w:p>
    <w:p w:rsidR="004726D9" w:rsidRDefault="004726D9" w:rsidP="00B1527B">
      <w:pPr>
        <w:pStyle w:val="NoSpacing"/>
        <w:rPr>
          <w:sz w:val="24"/>
          <w:szCs w:val="24"/>
        </w:rPr>
      </w:pPr>
    </w:p>
    <w:p w:rsidR="003146C8" w:rsidRDefault="003146C8" w:rsidP="00B1527B">
      <w:pPr>
        <w:pStyle w:val="NoSpacing"/>
        <w:rPr>
          <w:sz w:val="24"/>
          <w:szCs w:val="24"/>
        </w:rPr>
      </w:pPr>
      <w:r>
        <w:rPr>
          <w:sz w:val="24"/>
          <w:szCs w:val="24"/>
        </w:rPr>
        <w:t>The survey</w:t>
      </w:r>
      <w:r w:rsidR="00624105">
        <w:rPr>
          <w:sz w:val="24"/>
          <w:szCs w:val="24"/>
        </w:rPr>
        <w:t xml:space="preserve"> was distributed by email and </w:t>
      </w:r>
      <w:r w:rsidR="00705FE5">
        <w:rPr>
          <w:sz w:val="24"/>
          <w:szCs w:val="24"/>
        </w:rPr>
        <w:t>utilized a web-</w:t>
      </w:r>
      <w:r>
        <w:rPr>
          <w:sz w:val="24"/>
          <w:szCs w:val="24"/>
        </w:rPr>
        <w:t xml:space="preserve">based program, Survey Monkey, to collect </w:t>
      </w:r>
      <w:r w:rsidR="002A5542">
        <w:rPr>
          <w:sz w:val="24"/>
          <w:szCs w:val="24"/>
        </w:rPr>
        <w:t xml:space="preserve">the </w:t>
      </w:r>
      <w:r>
        <w:rPr>
          <w:sz w:val="24"/>
          <w:szCs w:val="24"/>
        </w:rPr>
        <w:t>responses</w:t>
      </w:r>
      <w:r w:rsidR="002A5542">
        <w:rPr>
          <w:sz w:val="24"/>
          <w:szCs w:val="24"/>
        </w:rPr>
        <w:t xml:space="preserve">, which were </w:t>
      </w:r>
      <w:r>
        <w:rPr>
          <w:sz w:val="24"/>
          <w:szCs w:val="24"/>
        </w:rPr>
        <w:t>due by Monday, April 20, 2012.  The Association of Public Health Laboratories (APHL) assisted in providing e</w:t>
      </w:r>
      <w:r w:rsidR="00B92894">
        <w:rPr>
          <w:sz w:val="24"/>
          <w:szCs w:val="24"/>
        </w:rPr>
        <w:t xml:space="preserve">mail contact names and promoted the survey during their meeting at ICEID and through notices in their weekly eUpdate </w:t>
      </w:r>
      <w:r w:rsidR="00D834A9">
        <w:rPr>
          <w:sz w:val="24"/>
          <w:szCs w:val="24"/>
        </w:rPr>
        <w:t>newsletter</w:t>
      </w:r>
      <w:r w:rsidR="00B92894">
        <w:rPr>
          <w:sz w:val="24"/>
          <w:szCs w:val="24"/>
        </w:rPr>
        <w:t>.</w:t>
      </w:r>
    </w:p>
    <w:p w:rsidR="007471C2" w:rsidRDefault="007471C2" w:rsidP="00B1527B">
      <w:pPr>
        <w:pStyle w:val="NoSpacing"/>
        <w:rPr>
          <w:sz w:val="24"/>
          <w:szCs w:val="24"/>
        </w:rPr>
      </w:pPr>
    </w:p>
    <w:p w:rsidR="00B1527B" w:rsidRDefault="002A5542" w:rsidP="00B1527B">
      <w:pPr>
        <w:pStyle w:val="NoSpacing"/>
        <w:rPr>
          <w:sz w:val="24"/>
          <w:szCs w:val="24"/>
        </w:rPr>
      </w:pPr>
      <w:r>
        <w:rPr>
          <w:sz w:val="24"/>
          <w:szCs w:val="24"/>
        </w:rPr>
        <w:t>After the April closure date, a</w:t>
      </w:r>
      <w:r w:rsidR="00B92894">
        <w:rPr>
          <w:sz w:val="24"/>
          <w:szCs w:val="24"/>
        </w:rPr>
        <w:t xml:space="preserve"> personalized email </w:t>
      </w:r>
      <w:r>
        <w:rPr>
          <w:sz w:val="24"/>
          <w:szCs w:val="24"/>
        </w:rPr>
        <w:t xml:space="preserve">reminder </w:t>
      </w:r>
      <w:r w:rsidR="00B92894">
        <w:rPr>
          <w:sz w:val="24"/>
          <w:szCs w:val="24"/>
        </w:rPr>
        <w:t xml:space="preserve">was sent to the laboratories that had not responded, </w:t>
      </w:r>
      <w:r w:rsidR="00BF2515">
        <w:rPr>
          <w:sz w:val="24"/>
          <w:szCs w:val="24"/>
        </w:rPr>
        <w:t xml:space="preserve">extending the due date another week and </w:t>
      </w:r>
      <w:r w:rsidR="00B92894">
        <w:rPr>
          <w:sz w:val="24"/>
          <w:szCs w:val="24"/>
        </w:rPr>
        <w:t xml:space="preserve">expressing our appreciation for their response.  </w:t>
      </w:r>
      <w:r w:rsidR="00D834A9">
        <w:rPr>
          <w:sz w:val="24"/>
          <w:szCs w:val="24"/>
        </w:rPr>
        <w:t xml:space="preserve">At the close of the survey on May 15, 2012, 41 </w:t>
      </w:r>
      <w:r w:rsidR="00624105">
        <w:rPr>
          <w:sz w:val="24"/>
          <w:szCs w:val="24"/>
        </w:rPr>
        <w:t xml:space="preserve">responses </w:t>
      </w:r>
      <w:r w:rsidR="00705FE5">
        <w:rPr>
          <w:sz w:val="24"/>
          <w:szCs w:val="24"/>
        </w:rPr>
        <w:t>had been</w:t>
      </w:r>
      <w:r>
        <w:rPr>
          <w:sz w:val="24"/>
          <w:szCs w:val="24"/>
        </w:rPr>
        <w:t xml:space="preserve"> received for</w:t>
      </w:r>
      <w:r w:rsidR="008A197A">
        <w:rPr>
          <w:sz w:val="24"/>
          <w:szCs w:val="24"/>
        </w:rPr>
        <w:t xml:space="preserve"> a response rate of 75% (see map).</w:t>
      </w:r>
    </w:p>
    <w:p w:rsidR="00705FE5" w:rsidRDefault="00705FE5" w:rsidP="00B1527B">
      <w:pPr>
        <w:pStyle w:val="NoSpacing"/>
        <w:rPr>
          <w:sz w:val="24"/>
          <w:szCs w:val="24"/>
        </w:rPr>
      </w:pPr>
    </w:p>
    <w:p w:rsidR="00705FE5" w:rsidRDefault="00705FE5" w:rsidP="00705FE5">
      <w:pPr>
        <w:pStyle w:val="NoSpacing"/>
        <w:rPr>
          <w:sz w:val="24"/>
          <w:szCs w:val="24"/>
        </w:rPr>
      </w:pPr>
      <w:r w:rsidRPr="009C7402">
        <w:rPr>
          <w:sz w:val="24"/>
          <w:szCs w:val="24"/>
        </w:rPr>
        <w:t>The first six questions allowed for easy checkbox answers.  The respondent</w:t>
      </w:r>
      <w:r>
        <w:rPr>
          <w:sz w:val="24"/>
          <w:szCs w:val="24"/>
        </w:rPr>
        <w:t>s</w:t>
      </w:r>
      <w:r w:rsidRPr="009C7402">
        <w:rPr>
          <w:sz w:val="24"/>
          <w:szCs w:val="24"/>
        </w:rPr>
        <w:t xml:space="preserve"> w</w:t>
      </w:r>
      <w:r>
        <w:rPr>
          <w:sz w:val="24"/>
          <w:szCs w:val="24"/>
        </w:rPr>
        <w:t>ere</w:t>
      </w:r>
      <w:r w:rsidRPr="009C7402">
        <w:rPr>
          <w:sz w:val="24"/>
          <w:szCs w:val="24"/>
        </w:rPr>
        <w:t xml:space="preserve"> asked to rate aspects of CDC’s ID </w:t>
      </w:r>
      <w:r>
        <w:rPr>
          <w:sz w:val="24"/>
          <w:szCs w:val="24"/>
        </w:rPr>
        <w:t>R</w:t>
      </w:r>
      <w:r w:rsidRPr="009C7402">
        <w:rPr>
          <w:sz w:val="24"/>
          <w:szCs w:val="24"/>
        </w:rPr>
        <w:t xml:space="preserve">eference </w:t>
      </w:r>
      <w:r>
        <w:rPr>
          <w:sz w:val="24"/>
          <w:szCs w:val="24"/>
        </w:rPr>
        <w:t>L</w:t>
      </w:r>
      <w:r w:rsidRPr="009C7402">
        <w:rPr>
          <w:sz w:val="24"/>
          <w:szCs w:val="24"/>
        </w:rPr>
        <w:t xml:space="preserve">aboratory services.  The choices were </w:t>
      </w:r>
      <w:r>
        <w:rPr>
          <w:sz w:val="24"/>
          <w:szCs w:val="24"/>
        </w:rPr>
        <w:t>“</w:t>
      </w:r>
      <w:r w:rsidRPr="009C7402">
        <w:rPr>
          <w:sz w:val="24"/>
          <w:szCs w:val="24"/>
        </w:rPr>
        <w:t>Very Poor</w:t>
      </w:r>
      <w:r>
        <w:rPr>
          <w:sz w:val="24"/>
          <w:szCs w:val="24"/>
        </w:rPr>
        <w:t>”</w:t>
      </w:r>
      <w:r w:rsidRPr="009C7402">
        <w:rPr>
          <w:sz w:val="24"/>
          <w:szCs w:val="24"/>
        </w:rPr>
        <w:t xml:space="preserve">, </w:t>
      </w:r>
      <w:r>
        <w:rPr>
          <w:sz w:val="24"/>
          <w:szCs w:val="24"/>
        </w:rPr>
        <w:t>“</w:t>
      </w:r>
      <w:r w:rsidRPr="009C7402">
        <w:rPr>
          <w:sz w:val="24"/>
          <w:szCs w:val="24"/>
        </w:rPr>
        <w:t>Poor</w:t>
      </w:r>
      <w:r>
        <w:rPr>
          <w:sz w:val="24"/>
          <w:szCs w:val="24"/>
        </w:rPr>
        <w:t>”</w:t>
      </w:r>
      <w:r w:rsidRPr="009C7402">
        <w:rPr>
          <w:sz w:val="24"/>
          <w:szCs w:val="24"/>
        </w:rPr>
        <w:t xml:space="preserve">, </w:t>
      </w:r>
      <w:r>
        <w:rPr>
          <w:sz w:val="24"/>
          <w:szCs w:val="24"/>
        </w:rPr>
        <w:t>“</w:t>
      </w:r>
      <w:r w:rsidRPr="009C7402">
        <w:rPr>
          <w:sz w:val="24"/>
          <w:szCs w:val="24"/>
        </w:rPr>
        <w:t>Good</w:t>
      </w:r>
      <w:r>
        <w:rPr>
          <w:sz w:val="24"/>
          <w:szCs w:val="24"/>
        </w:rPr>
        <w:t>”</w:t>
      </w:r>
      <w:r w:rsidRPr="009C7402">
        <w:rPr>
          <w:sz w:val="24"/>
          <w:szCs w:val="24"/>
        </w:rPr>
        <w:t>,</w:t>
      </w:r>
      <w:r>
        <w:rPr>
          <w:sz w:val="24"/>
          <w:szCs w:val="24"/>
        </w:rPr>
        <w:t xml:space="preserve"> “</w:t>
      </w:r>
      <w:r w:rsidRPr="009C7402">
        <w:rPr>
          <w:sz w:val="24"/>
          <w:szCs w:val="24"/>
        </w:rPr>
        <w:t>Very Good</w:t>
      </w:r>
      <w:r>
        <w:rPr>
          <w:sz w:val="24"/>
          <w:szCs w:val="24"/>
        </w:rPr>
        <w:t>”</w:t>
      </w:r>
      <w:r w:rsidRPr="009C7402">
        <w:rPr>
          <w:sz w:val="24"/>
          <w:szCs w:val="24"/>
        </w:rPr>
        <w:t xml:space="preserve">, and </w:t>
      </w:r>
      <w:r>
        <w:rPr>
          <w:sz w:val="24"/>
          <w:szCs w:val="24"/>
        </w:rPr>
        <w:t>“</w:t>
      </w:r>
      <w:r w:rsidRPr="009C7402">
        <w:rPr>
          <w:sz w:val="24"/>
          <w:szCs w:val="24"/>
        </w:rPr>
        <w:t>Not Applicable</w:t>
      </w:r>
      <w:r>
        <w:rPr>
          <w:sz w:val="24"/>
          <w:szCs w:val="24"/>
        </w:rPr>
        <w:t>”</w:t>
      </w:r>
      <w:r w:rsidRPr="009C7402">
        <w:rPr>
          <w:sz w:val="24"/>
          <w:szCs w:val="24"/>
        </w:rPr>
        <w:t xml:space="preserve">.  The decision was made by the CLIA </w:t>
      </w:r>
      <w:r>
        <w:rPr>
          <w:sz w:val="24"/>
          <w:szCs w:val="24"/>
        </w:rPr>
        <w:t xml:space="preserve">Subcommittee </w:t>
      </w:r>
      <w:r w:rsidRPr="009C7402">
        <w:rPr>
          <w:sz w:val="24"/>
          <w:szCs w:val="24"/>
        </w:rPr>
        <w:t xml:space="preserve">to omit a middle </w:t>
      </w:r>
      <w:r>
        <w:rPr>
          <w:sz w:val="24"/>
          <w:szCs w:val="24"/>
        </w:rPr>
        <w:t>grade such</w:t>
      </w:r>
      <w:r w:rsidRPr="009C7402">
        <w:rPr>
          <w:sz w:val="24"/>
          <w:szCs w:val="24"/>
        </w:rPr>
        <w:t xml:space="preserve"> as </w:t>
      </w:r>
      <w:r>
        <w:rPr>
          <w:sz w:val="24"/>
          <w:szCs w:val="24"/>
        </w:rPr>
        <w:t>“</w:t>
      </w:r>
      <w:r w:rsidRPr="009C7402">
        <w:rPr>
          <w:sz w:val="24"/>
          <w:szCs w:val="24"/>
        </w:rPr>
        <w:t>Acceptable</w:t>
      </w:r>
      <w:r>
        <w:rPr>
          <w:sz w:val="24"/>
          <w:szCs w:val="24"/>
        </w:rPr>
        <w:t>”</w:t>
      </w:r>
      <w:r w:rsidRPr="009C7402">
        <w:rPr>
          <w:sz w:val="24"/>
          <w:szCs w:val="24"/>
        </w:rPr>
        <w:t xml:space="preserve"> to force an opinion from the respondent</w:t>
      </w:r>
      <w:r>
        <w:rPr>
          <w:sz w:val="24"/>
          <w:szCs w:val="24"/>
        </w:rPr>
        <w:t>s</w:t>
      </w:r>
      <w:r w:rsidRPr="009C7402">
        <w:rPr>
          <w:sz w:val="24"/>
          <w:szCs w:val="24"/>
        </w:rPr>
        <w:t>.  The aspects rated were:</w:t>
      </w:r>
    </w:p>
    <w:p w:rsidR="00705FE5" w:rsidRPr="009C7402" w:rsidRDefault="00705FE5" w:rsidP="00705FE5">
      <w:pPr>
        <w:pStyle w:val="NoSpacing"/>
        <w:rPr>
          <w:sz w:val="24"/>
          <w:szCs w:val="24"/>
        </w:rPr>
      </w:pPr>
    </w:p>
    <w:p w:rsidR="00705FE5" w:rsidRPr="009C7402" w:rsidRDefault="00705FE5" w:rsidP="00705FE5">
      <w:pPr>
        <w:pStyle w:val="NoSpacing"/>
        <w:numPr>
          <w:ilvl w:val="0"/>
          <w:numId w:val="2"/>
        </w:numPr>
        <w:rPr>
          <w:sz w:val="24"/>
          <w:szCs w:val="24"/>
        </w:rPr>
      </w:pPr>
      <w:r w:rsidRPr="009C7402">
        <w:rPr>
          <w:b/>
          <w:sz w:val="24"/>
          <w:szCs w:val="24"/>
        </w:rPr>
        <w:t>Convenience</w:t>
      </w:r>
      <w:r w:rsidRPr="009C7402">
        <w:rPr>
          <w:sz w:val="24"/>
          <w:szCs w:val="24"/>
        </w:rPr>
        <w:t>:  Ease of obtaining information about services</w:t>
      </w:r>
      <w:r>
        <w:rPr>
          <w:sz w:val="24"/>
          <w:szCs w:val="24"/>
        </w:rPr>
        <w:t>.</w:t>
      </w:r>
    </w:p>
    <w:p w:rsidR="00705FE5" w:rsidRPr="009C7402" w:rsidRDefault="00705FE5" w:rsidP="00705FE5">
      <w:pPr>
        <w:pStyle w:val="NoSpacing"/>
        <w:numPr>
          <w:ilvl w:val="0"/>
          <w:numId w:val="2"/>
        </w:numPr>
        <w:rPr>
          <w:sz w:val="24"/>
          <w:szCs w:val="24"/>
        </w:rPr>
      </w:pPr>
      <w:r w:rsidRPr="009C7402">
        <w:rPr>
          <w:b/>
          <w:sz w:val="24"/>
          <w:szCs w:val="24"/>
        </w:rPr>
        <w:t>Accessibility</w:t>
      </w:r>
      <w:r w:rsidRPr="009C7402">
        <w:rPr>
          <w:sz w:val="24"/>
          <w:szCs w:val="24"/>
        </w:rPr>
        <w:t>:  Ease of reaching someone to interpret results</w:t>
      </w:r>
      <w:r>
        <w:rPr>
          <w:sz w:val="24"/>
          <w:szCs w:val="24"/>
        </w:rPr>
        <w:t>.</w:t>
      </w:r>
    </w:p>
    <w:p w:rsidR="00705FE5" w:rsidRPr="009C7402" w:rsidRDefault="00705FE5" w:rsidP="00705FE5">
      <w:pPr>
        <w:pStyle w:val="NoSpacing"/>
        <w:numPr>
          <w:ilvl w:val="0"/>
          <w:numId w:val="2"/>
        </w:numPr>
        <w:rPr>
          <w:sz w:val="24"/>
          <w:szCs w:val="24"/>
        </w:rPr>
      </w:pPr>
      <w:r w:rsidRPr="009C7402">
        <w:rPr>
          <w:b/>
          <w:sz w:val="24"/>
          <w:szCs w:val="24"/>
        </w:rPr>
        <w:t>Timeliness</w:t>
      </w:r>
      <w:r w:rsidRPr="009C7402">
        <w:rPr>
          <w:sz w:val="24"/>
          <w:szCs w:val="24"/>
        </w:rPr>
        <w:t xml:space="preserve">:  Was </w:t>
      </w:r>
      <w:r>
        <w:rPr>
          <w:sz w:val="24"/>
          <w:szCs w:val="24"/>
        </w:rPr>
        <w:t xml:space="preserve">the </w:t>
      </w:r>
      <w:r w:rsidRPr="009C7402">
        <w:rPr>
          <w:sz w:val="24"/>
          <w:szCs w:val="24"/>
        </w:rPr>
        <w:t>service</w:t>
      </w:r>
      <w:r>
        <w:rPr>
          <w:sz w:val="24"/>
          <w:szCs w:val="24"/>
        </w:rPr>
        <w:t xml:space="preserve"> </w:t>
      </w:r>
      <w:r w:rsidRPr="009C7402">
        <w:rPr>
          <w:sz w:val="24"/>
          <w:szCs w:val="24"/>
        </w:rPr>
        <w:t>delivered within the time promised</w:t>
      </w:r>
      <w:r>
        <w:rPr>
          <w:sz w:val="24"/>
          <w:szCs w:val="24"/>
        </w:rPr>
        <w:t>.</w:t>
      </w:r>
    </w:p>
    <w:p w:rsidR="00705FE5" w:rsidRPr="009C7402" w:rsidRDefault="00705FE5" w:rsidP="00705FE5">
      <w:pPr>
        <w:pStyle w:val="NoSpacing"/>
        <w:numPr>
          <w:ilvl w:val="0"/>
          <w:numId w:val="2"/>
        </w:numPr>
        <w:rPr>
          <w:sz w:val="24"/>
          <w:szCs w:val="24"/>
        </w:rPr>
      </w:pPr>
      <w:r w:rsidRPr="009C7402">
        <w:rPr>
          <w:b/>
          <w:sz w:val="24"/>
          <w:szCs w:val="24"/>
        </w:rPr>
        <w:t>Forms</w:t>
      </w:r>
      <w:r w:rsidRPr="009C7402">
        <w:rPr>
          <w:sz w:val="24"/>
          <w:szCs w:val="24"/>
        </w:rPr>
        <w:t>:  Ease of using current specimen submission form</w:t>
      </w:r>
    </w:p>
    <w:p w:rsidR="00705FE5" w:rsidRPr="009C7402" w:rsidRDefault="00705FE5" w:rsidP="00705FE5">
      <w:pPr>
        <w:pStyle w:val="NoSpacing"/>
        <w:numPr>
          <w:ilvl w:val="0"/>
          <w:numId w:val="2"/>
        </w:numPr>
        <w:rPr>
          <w:sz w:val="24"/>
          <w:szCs w:val="24"/>
        </w:rPr>
      </w:pPr>
      <w:r w:rsidRPr="009C7402">
        <w:rPr>
          <w:b/>
          <w:sz w:val="24"/>
          <w:szCs w:val="24"/>
        </w:rPr>
        <w:t>Reports</w:t>
      </w:r>
      <w:r w:rsidRPr="009C7402">
        <w:rPr>
          <w:sz w:val="24"/>
          <w:szCs w:val="24"/>
        </w:rPr>
        <w:t>:  Ease of reading and interpreting laboratory results</w:t>
      </w:r>
    </w:p>
    <w:p w:rsidR="00705FE5" w:rsidRPr="009C7402" w:rsidRDefault="00705FE5" w:rsidP="00705FE5">
      <w:pPr>
        <w:pStyle w:val="NoSpacing"/>
        <w:numPr>
          <w:ilvl w:val="0"/>
          <w:numId w:val="2"/>
        </w:numPr>
        <w:rPr>
          <w:sz w:val="24"/>
          <w:szCs w:val="24"/>
        </w:rPr>
      </w:pPr>
      <w:r w:rsidRPr="009C7402">
        <w:rPr>
          <w:b/>
          <w:sz w:val="24"/>
          <w:szCs w:val="24"/>
        </w:rPr>
        <w:t>Overall</w:t>
      </w:r>
      <w:r w:rsidRPr="009C7402">
        <w:rPr>
          <w:sz w:val="24"/>
          <w:szCs w:val="24"/>
        </w:rPr>
        <w:t>:  Overall impression of CDC’s ID reference laboratory services</w:t>
      </w:r>
    </w:p>
    <w:p w:rsidR="00705FE5" w:rsidRDefault="00705FE5" w:rsidP="00705FE5">
      <w:pPr>
        <w:rPr>
          <w:sz w:val="24"/>
          <w:szCs w:val="24"/>
        </w:rPr>
      </w:pPr>
    </w:p>
    <w:p w:rsidR="00705FE5" w:rsidRPr="00705FE5" w:rsidRDefault="00705FE5" w:rsidP="00705FE5">
      <w:pPr>
        <w:rPr>
          <w:sz w:val="24"/>
          <w:szCs w:val="24"/>
        </w:rPr>
      </w:pPr>
      <w:r w:rsidRPr="00705FE5">
        <w:rPr>
          <w:sz w:val="24"/>
          <w:szCs w:val="24"/>
        </w:rPr>
        <w:t xml:space="preserve">The respondents were asked to respond to three further </w:t>
      </w:r>
      <w:r w:rsidRPr="009C7402">
        <w:rPr>
          <w:sz w:val="24"/>
          <w:szCs w:val="24"/>
        </w:rPr>
        <w:t>three open-ended</w:t>
      </w:r>
      <w:r w:rsidR="00421637">
        <w:rPr>
          <w:sz w:val="24"/>
          <w:szCs w:val="24"/>
        </w:rPr>
        <w:t>,</w:t>
      </w:r>
      <w:r w:rsidRPr="009C7402">
        <w:rPr>
          <w:sz w:val="24"/>
          <w:szCs w:val="24"/>
        </w:rPr>
        <w:t xml:space="preserve"> sh</w:t>
      </w:r>
      <w:r w:rsidR="00421637">
        <w:rPr>
          <w:sz w:val="24"/>
          <w:szCs w:val="24"/>
        </w:rPr>
        <w:t>ort answer questions</w:t>
      </w:r>
      <w:r w:rsidRPr="00705FE5">
        <w:rPr>
          <w:sz w:val="24"/>
          <w:szCs w:val="24"/>
        </w:rPr>
        <w:t>:</w:t>
      </w:r>
    </w:p>
    <w:p w:rsidR="00705FE5" w:rsidRPr="00705FE5" w:rsidRDefault="00705FE5" w:rsidP="00705FE5">
      <w:pPr>
        <w:pStyle w:val="ListParagraph"/>
        <w:numPr>
          <w:ilvl w:val="0"/>
          <w:numId w:val="2"/>
        </w:numPr>
        <w:rPr>
          <w:sz w:val="24"/>
          <w:szCs w:val="24"/>
        </w:rPr>
      </w:pPr>
      <w:r w:rsidRPr="00705FE5">
        <w:rPr>
          <w:sz w:val="24"/>
          <w:szCs w:val="24"/>
        </w:rPr>
        <w:t xml:space="preserve">What are the three most important things CDC can do to improve the delivery of their ID reference laboratory services? </w:t>
      </w:r>
    </w:p>
    <w:p w:rsidR="00705FE5" w:rsidRPr="00705FE5" w:rsidRDefault="00705FE5" w:rsidP="00705FE5">
      <w:pPr>
        <w:pStyle w:val="ListParagraph"/>
        <w:numPr>
          <w:ilvl w:val="0"/>
          <w:numId w:val="2"/>
        </w:numPr>
        <w:rPr>
          <w:sz w:val="24"/>
          <w:szCs w:val="24"/>
        </w:rPr>
      </w:pPr>
      <w:r w:rsidRPr="00705FE5">
        <w:rPr>
          <w:rFonts w:ascii="Calibri" w:eastAsia="Times New Roman" w:hAnsi="Calibri" w:cs="Calibri"/>
          <w:bCs/>
          <w:color w:val="000000"/>
          <w:sz w:val="24"/>
          <w:szCs w:val="24"/>
        </w:rPr>
        <w:lastRenderedPageBreak/>
        <w:t>What are two things currently provided by CDC's ID reference laboratory services that are the most helpful to you?</w:t>
      </w:r>
    </w:p>
    <w:p w:rsidR="00705FE5" w:rsidRPr="00705FE5" w:rsidRDefault="00705FE5" w:rsidP="00705FE5">
      <w:pPr>
        <w:pStyle w:val="NoSpacing"/>
        <w:numPr>
          <w:ilvl w:val="0"/>
          <w:numId w:val="2"/>
        </w:numPr>
        <w:rPr>
          <w:sz w:val="24"/>
          <w:szCs w:val="24"/>
        </w:rPr>
      </w:pPr>
      <w:r w:rsidRPr="005936B2">
        <w:rPr>
          <w:rFonts w:ascii="Calibri" w:eastAsia="Times New Roman" w:hAnsi="Calibri" w:cs="Calibri"/>
          <w:bCs/>
          <w:color w:val="000000"/>
          <w:sz w:val="24"/>
          <w:szCs w:val="24"/>
        </w:rPr>
        <w:t>What should be included in CDC's ID reference laboratory services that do not currently exist?</w:t>
      </w:r>
    </w:p>
    <w:p w:rsidR="00705FE5" w:rsidRDefault="00705FE5" w:rsidP="00705FE5">
      <w:pPr>
        <w:pStyle w:val="NoSpacing"/>
        <w:rPr>
          <w:rFonts w:ascii="Calibri" w:eastAsia="Times New Roman" w:hAnsi="Calibri" w:cs="Calibri"/>
          <w:bCs/>
          <w:color w:val="000000"/>
          <w:sz w:val="24"/>
          <w:szCs w:val="24"/>
        </w:rPr>
      </w:pPr>
    </w:p>
    <w:p w:rsidR="00705FE5" w:rsidRDefault="00705FE5" w:rsidP="00705FE5">
      <w:pPr>
        <w:pStyle w:val="NoSpacing"/>
        <w:rPr>
          <w:sz w:val="24"/>
          <w:szCs w:val="24"/>
        </w:rPr>
      </w:pPr>
    </w:p>
    <w:p w:rsidR="00D834A9" w:rsidRPr="00B1527B" w:rsidRDefault="00705FE5" w:rsidP="00127068">
      <w:pPr>
        <w:pStyle w:val="NoSpacing"/>
        <w:jc w:val="center"/>
        <w:rPr>
          <w:sz w:val="24"/>
          <w:szCs w:val="24"/>
        </w:rPr>
      </w:pPr>
      <w:r>
        <w:rPr>
          <w:sz w:val="24"/>
          <w:szCs w:val="24"/>
        </w:rPr>
        <w:object w:dxaOrig="7198" w:dyaOrig="53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pt;height:339pt" o:ole="">
            <v:imagedata r:id="rId8" o:title=""/>
          </v:shape>
          <o:OLEObject Type="Embed" ProgID="PowerPoint.Show.12" ShapeID="_x0000_i1025" DrawAspect="Content" ObjectID="_1459678601" r:id="rId9"/>
        </w:object>
      </w:r>
    </w:p>
    <w:p w:rsidR="002A5542" w:rsidRDefault="002A5542" w:rsidP="00127068">
      <w:pPr>
        <w:pStyle w:val="NoSpacing"/>
        <w:rPr>
          <w:b/>
          <w:sz w:val="24"/>
          <w:szCs w:val="24"/>
        </w:rPr>
      </w:pPr>
    </w:p>
    <w:p w:rsidR="002A5542" w:rsidRDefault="002A5542" w:rsidP="00127068">
      <w:pPr>
        <w:pStyle w:val="NoSpacing"/>
        <w:rPr>
          <w:b/>
          <w:sz w:val="24"/>
          <w:szCs w:val="24"/>
        </w:rPr>
      </w:pPr>
    </w:p>
    <w:p w:rsidR="00D73993" w:rsidRDefault="00705FE5" w:rsidP="00705FE5">
      <w:pPr>
        <w:pStyle w:val="NoSpacing"/>
        <w:jc w:val="center"/>
        <w:rPr>
          <w:b/>
          <w:sz w:val="24"/>
          <w:szCs w:val="24"/>
        </w:rPr>
      </w:pPr>
      <w:r>
        <w:rPr>
          <w:b/>
          <w:sz w:val="24"/>
          <w:szCs w:val="24"/>
        </w:rPr>
        <w:t>RESULTS</w:t>
      </w:r>
    </w:p>
    <w:p w:rsidR="002A5542" w:rsidRDefault="002A5542" w:rsidP="00127068">
      <w:pPr>
        <w:pStyle w:val="NoSpacing"/>
        <w:rPr>
          <w:b/>
          <w:sz w:val="24"/>
          <w:szCs w:val="24"/>
        </w:rPr>
      </w:pPr>
    </w:p>
    <w:p w:rsidR="00127068" w:rsidRPr="009C7402" w:rsidRDefault="003D7D60" w:rsidP="00127068">
      <w:pPr>
        <w:pStyle w:val="NoSpacing"/>
        <w:rPr>
          <w:b/>
          <w:sz w:val="24"/>
          <w:szCs w:val="24"/>
        </w:rPr>
      </w:pPr>
      <w:r w:rsidRPr="009C7402">
        <w:rPr>
          <w:b/>
          <w:sz w:val="24"/>
          <w:szCs w:val="24"/>
        </w:rPr>
        <w:t xml:space="preserve">Questions 1 </w:t>
      </w:r>
      <w:r w:rsidR="00421637">
        <w:rPr>
          <w:b/>
          <w:sz w:val="24"/>
          <w:szCs w:val="24"/>
        </w:rPr>
        <w:t>-</w:t>
      </w:r>
      <w:r w:rsidRPr="009C7402">
        <w:rPr>
          <w:b/>
          <w:sz w:val="24"/>
          <w:szCs w:val="24"/>
        </w:rPr>
        <w:t xml:space="preserve"> 6: </w:t>
      </w:r>
      <w:r w:rsidR="00127068" w:rsidRPr="009C7402">
        <w:rPr>
          <w:b/>
          <w:sz w:val="24"/>
          <w:szCs w:val="24"/>
        </w:rPr>
        <w:t>Checkbox Answers</w:t>
      </w:r>
    </w:p>
    <w:p w:rsidR="002A5542" w:rsidRPr="009C7402" w:rsidRDefault="002A5542" w:rsidP="0098605A">
      <w:pPr>
        <w:pStyle w:val="NoSpacing"/>
        <w:ind w:left="720"/>
        <w:rPr>
          <w:b/>
          <w:sz w:val="24"/>
          <w:szCs w:val="24"/>
        </w:rPr>
      </w:pPr>
    </w:p>
    <w:p w:rsidR="00FF5A32" w:rsidRPr="00FF5A32" w:rsidRDefault="00FF5A32" w:rsidP="0098605A">
      <w:pPr>
        <w:pStyle w:val="NoSpacing"/>
        <w:ind w:left="720"/>
        <w:jc w:val="center"/>
        <w:rPr>
          <w:sz w:val="24"/>
          <w:szCs w:val="24"/>
        </w:rPr>
      </w:pPr>
      <w:r w:rsidRPr="00FF5A32">
        <w:rPr>
          <w:b/>
          <w:sz w:val="24"/>
          <w:szCs w:val="24"/>
        </w:rPr>
        <w:t>(Most frequent response in red)</w:t>
      </w:r>
    </w:p>
    <w:p w:rsidR="00127068" w:rsidRDefault="00127068" w:rsidP="00127068">
      <w:pPr>
        <w:pStyle w:val="NoSpacing"/>
        <w:ind w:left="720"/>
        <w:rPr>
          <w:b/>
        </w:rPr>
      </w:pPr>
    </w:p>
    <w:tbl>
      <w:tblPr>
        <w:tblW w:w="9248" w:type="dxa"/>
        <w:tblInd w:w="93" w:type="dxa"/>
        <w:tblLook w:val="04A0" w:firstRow="1" w:lastRow="0" w:firstColumn="1" w:lastColumn="0" w:noHBand="0" w:noVBand="1"/>
      </w:tblPr>
      <w:tblGrid>
        <w:gridCol w:w="1455"/>
        <w:gridCol w:w="1388"/>
        <w:gridCol w:w="1340"/>
        <w:gridCol w:w="1340"/>
        <w:gridCol w:w="1340"/>
        <w:gridCol w:w="1340"/>
        <w:gridCol w:w="1340"/>
      </w:tblGrid>
      <w:tr w:rsidR="0098605A" w:rsidRPr="0098605A" w:rsidTr="0098605A">
        <w:trPr>
          <w:trHeight w:val="300"/>
        </w:trPr>
        <w:tc>
          <w:tcPr>
            <w:tcW w:w="1455" w:type="dxa"/>
            <w:tcBorders>
              <w:top w:val="nil"/>
              <w:left w:val="nil"/>
              <w:bottom w:val="nil"/>
              <w:right w:val="nil"/>
            </w:tcBorders>
            <w:shd w:val="clear" w:color="auto" w:fill="auto"/>
            <w:noWrap/>
            <w:vAlign w:val="bottom"/>
            <w:hideMark/>
          </w:tcPr>
          <w:p w:rsidR="0098605A" w:rsidRPr="0098605A" w:rsidRDefault="0098605A" w:rsidP="0098605A">
            <w:pPr>
              <w:spacing w:after="0" w:line="240" w:lineRule="auto"/>
              <w:rPr>
                <w:rFonts w:ascii="Calibri" w:eastAsia="Times New Roman" w:hAnsi="Calibri" w:cs="Calibri"/>
                <w:color w:val="000000"/>
              </w:rPr>
            </w:pPr>
          </w:p>
        </w:tc>
        <w:tc>
          <w:tcPr>
            <w:tcW w:w="1093" w:type="dxa"/>
            <w:tcBorders>
              <w:top w:val="nil"/>
              <w:left w:val="nil"/>
              <w:bottom w:val="nil"/>
              <w:right w:val="nil"/>
            </w:tcBorders>
            <w:shd w:val="clear" w:color="auto" w:fill="auto"/>
            <w:noWrap/>
            <w:vAlign w:val="bottom"/>
            <w:hideMark/>
          </w:tcPr>
          <w:p w:rsidR="0098605A" w:rsidRPr="0098605A" w:rsidRDefault="0098605A" w:rsidP="0098605A">
            <w:pPr>
              <w:spacing w:after="0" w:line="240" w:lineRule="auto"/>
              <w:jc w:val="center"/>
              <w:rPr>
                <w:rFonts w:ascii="Calibri" w:eastAsia="Times New Roman" w:hAnsi="Calibri" w:cs="Calibri"/>
                <w:b/>
                <w:bCs/>
                <w:color w:val="000000"/>
              </w:rPr>
            </w:pPr>
            <w:r w:rsidRPr="0098605A">
              <w:rPr>
                <w:rFonts w:ascii="Calibri" w:eastAsia="Times New Roman" w:hAnsi="Calibri" w:cs="Calibri"/>
                <w:b/>
                <w:bCs/>
                <w:color w:val="000000"/>
              </w:rPr>
              <w:t>Convenience</w:t>
            </w:r>
          </w:p>
        </w:tc>
        <w:tc>
          <w:tcPr>
            <w:tcW w:w="1340" w:type="dxa"/>
            <w:tcBorders>
              <w:top w:val="nil"/>
              <w:left w:val="nil"/>
              <w:bottom w:val="nil"/>
              <w:right w:val="nil"/>
            </w:tcBorders>
            <w:shd w:val="clear" w:color="auto" w:fill="auto"/>
            <w:noWrap/>
            <w:vAlign w:val="bottom"/>
            <w:hideMark/>
          </w:tcPr>
          <w:p w:rsidR="0098605A" w:rsidRPr="0098605A" w:rsidRDefault="0098605A" w:rsidP="0098605A">
            <w:pPr>
              <w:spacing w:after="0" w:line="240" w:lineRule="auto"/>
              <w:jc w:val="center"/>
              <w:rPr>
                <w:rFonts w:ascii="Calibri" w:eastAsia="Times New Roman" w:hAnsi="Calibri" w:cs="Calibri"/>
                <w:b/>
                <w:bCs/>
                <w:color w:val="000000"/>
              </w:rPr>
            </w:pPr>
            <w:r w:rsidRPr="0098605A">
              <w:rPr>
                <w:rFonts w:ascii="Calibri" w:eastAsia="Times New Roman" w:hAnsi="Calibri" w:cs="Calibri"/>
                <w:b/>
                <w:bCs/>
                <w:color w:val="000000"/>
              </w:rPr>
              <w:t>Accessibility</w:t>
            </w:r>
          </w:p>
        </w:tc>
        <w:tc>
          <w:tcPr>
            <w:tcW w:w="1340" w:type="dxa"/>
            <w:tcBorders>
              <w:top w:val="nil"/>
              <w:left w:val="nil"/>
              <w:bottom w:val="nil"/>
              <w:right w:val="nil"/>
            </w:tcBorders>
            <w:shd w:val="clear" w:color="auto" w:fill="auto"/>
            <w:noWrap/>
            <w:vAlign w:val="bottom"/>
            <w:hideMark/>
          </w:tcPr>
          <w:p w:rsidR="0098605A" w:rsidRPr="0098605A" w:rsidRDefault="0098605A" w:rsidP="0098605A">
            <w:pPr>
              <w:spacing w:after="0" w:line="240" w:lineRule="auto"/>
              <w:jc w:val="center"/>
              <w:rPr>
                <w:rFonts w:ascii="Calibri" w:eastAsia="Times New Roman" w:hAnsi="Calibri" w:cs="Calibri"/>
                <w:b/>
                <w:bCs/>
                <w:color w:val="000000"/>
              </w:rPr>
            </w:pPr>
            <w:r w:rsidRPr="0098605A">
              <w:rPr>
                <w:rFonts w:ascii="Calibri" w:eastAsia="Times New Roman" w:hAnsi="Calibri" w:cs="Calibri"/>
                <w:b/>
                <w:bCs/>
                <w:color w:val="000000"/>
              </w:rPr>
              <w:t>Timeliness</w:t>
            </w:r>
          </w:p>
        </w:tc>
        <w:tc>
          <w:tcPr>
            <w:tcW w:w="1340" w:type="dxa"/>
            <w:tcBorders>
              <w:top w:val="nil"/>
              <w:left w:val="nil"/>
              <w:bottom w:val="nil"/>
              <w:right w:val="nil"/>
            </w:tcBorders>
            <w:shd w:val="clear" w:color="auto" w:fill="auto"/>
            <w:noWrap/>
            <w:vAlign w:val="bottom"/>
            <w:hideMark/>
          </w:tcPr>
          <w:p w:rsidR="0098605A" w:rsidRPr="0098605A" w:rsidRDefault="0098605A" w:rsidP="0098605A">
            <w:pPr>
              <w:spacing w:after="0" w:line="240" w:lineRule="auto"/>
              <w:jc w:val="center"/>
              <w:rPr>
                <w:rFonts w:ascii="Calibri" w:eastAsia="Times New Roman" w:hAnsi="Calibri" w:cs="Calibri"/>
                <w:b/>
                <w:bCs/>
                <w:color w:val="000000"/>
              </w:rPr>
            </w:pPr>
            <w:r w:rsidRPr="0098605A">
              <w:rPr>
                <w:rFonts w:ascii="Calibri" w:eastAsia="Times New Roman" w:hAnsi="Calibri" w:cs="Calibri"/>
                <w:b/>
                <w:bCs/>
                <w:color w:val="000000"/>
              </w:rPr>
              <w:t>Forms</w:t>
            </w:r>
          </w:p>
        </w:tc>
        <w:tc>
          <w:tcPr>
            <w:tcW w:w="1340" w:type="dxa"/>
            <w:tcBorders>
              <w:top w:val="nil"/>
              <w:left w:val="nil"/>
              <w:bottom w:val="nil"/>
              <w:right w:val="nil"/>
            </w:tcBorders>
            <w:shd w:val="clear" w:color="auto" w:fill="auto"/>
            <w:noWrap/>
            <w:vAlign w:val="bottom"/>
            <w:hideMark/>
          </w:tcPr>
          <w:p w:rsidR="0098605A" w:rsidRPr="0098605A" w:rsidRDefault="0098605A" w:rsidP="0098605A">
            <w:pPr>
              <w:spacing w:after="0" w:line="240" w:lineRule="auto"/>
              <w:jc w:val="center"/>
              <w:rPr>
                <w:rFonts w:ascii="Calibri" w:eastAsia="Times New Roman" w:hAnsi="Calibri" w:cs="Calibri"/>
                <w:b/>
                <w:bCs/>
                <w:color w:val="000000"/>
              </w:rPr>
            </w:pPr>
            <w:r w:rsidRPr="0098605A">
              <w:rPr>
                <w:rFonts w:ascii="Calibri" w:eastAsia="Times New Roman" w:hAnsi="Calibri" w:cs="Calibri"/>
                <w:b/>
                <w:bCs/>
                <w:color w:val="000000"/>
              </w:rPr>
              <w:t>Reports</w:t>
            </w:r>
          </w:p>
        </w:tc>
        <w:tc>
          <w:tcPr>
            <w:tcW w:w="1340" w:type="dxa"/>
            <w:tcBorders>
              <w:top w:val="nil"/>
              <w:left w:val="nil"/>
              <w:bottom w:val="nil"/>
              <w:right w:val="nil"/>
            </w:tcBorders>
            <w:shd w:val="clear" w:color="auto" w:fill="auto"/>
            <w:noWrap/>
            <w:vAlign w:val="bottom"/>
            <w:hideMark/>
          </w:tcPr>
          <w:p w:rsidR="0098605A" w:rsidRPr="0098605A" w:rsidRDefault="0098605A" w:rsidP="0098605A">
            <w:pPr>
              <w:spacing w:after="0" w:line="240" w:lineRule="auto"/>
              <w:jc w:val="center"/>
              <w:rPr>
                <w:rFonts w:ascii="Calibri" w:eastAsia="Times New Roman" w:hAnsi="Calibri" w:cs="Calibri"/>
                <w:b/>
                <w:bCs/>
                <w:color w:val="000000"/>
              </w:rPr>
            </w:pPr>
            <w:r w:rsidRPr="0098605A">
              <w:rPr>
                <w:rFonts w:ascii="Calibri" w:eastAsia="Times New Roman" w:hAnsi="Calibri" w:cs="Calibri"/>
                <w:b/>
                <w:bCs/>
                <w:color w:val="000000"/>
              </w:rPr>
              <w:t>Overall</w:t>
            </w:r>
          </w:p>
        </w:tc>
      </w:tr>
      <w:tr w:rsidR="0098605A" w:rsidRPr="0098605A" w:rsidTr="0098605A">
        <w:trPr>
          <w:trHeight w:val="300"/>
        </w:trPr>
        <w:tc>
          <w:tcPr>
            <w:tcW w:w="1455" w:type="dxa"/>
            <w:tcBorders>
              <w:top w:val="nil"/>
              <w:left w:val="nil"/>
              <w:bottom w:val="nil"/>
              <w:right w:val="nil"/>
            </w:tcBorders>
            <w:shd w:val="clear" w:color="auto" w:fill="auto"/>
            <w:noWrap/>
            <w:vAlign w:val="bottom"/>
            <w:hideMark/>
          </w:tcPr>
          <w:p w:rsidR="0098605A" w:rsidRPr="0098605A" w:rsidRDefault="0098605A" w:rsidP="0098605A">
            <w:pPr>
              <w:spacing w:after="0" w:line="240" w:lineRule="auto"/>
              <w:rPr>
                <w:rFonts w:ascii="Calibri" w:eastAsia="Times New Roman" w:hAnsi="Calibri" w:cs="Calibri"/>
                <w:b/>
                <w:bCs/>
                <w:color w:val="000000"/>
              </w:rPr>
            </w:pPr>
            <w:r w:rsidRPr="0098605A">
              <w:rPr>
                <w:rFonts w:ascii="Calibri" w:eastAsia="Times New Roman" w:hAnsi="Calibri" w:cs="Calibri"/>
                <w:b/>
                <w:bCs/>
                <w:color w:val="000000"/>
              </w:rPr>
              <w:t>Very Poor</w:t>
            </w:r>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605A" w:rsidRPr="0098605A" w:rsidRDefault="0098605A" w:rsidP="0098605A">
            <w:pPr>
              <w:spacing w:after="0" w:line="240" w:lineRule="auto"/>
              <w:jc w:val="center"/>
              <w:rPr>
                <w:rFonts w:ascii="Calibri" w:eastAsia="Times New Roman" w:hAnsi="Calibri" w:cs="Calibri"/>
                <w:color w:val="000000"/>
              </w:rPr>
            </w:pPr>
            <w:r w:rsidRPr="0098605A">
              <w:rPr>
                <w:rFonts w:ascii="Calibri" w:eastAsia="Times New Roman" w:hAnsi="Calibri" w:cs="Calibri"/>
                <w:color w:val="000000"/>
              </w:rPr>
              <w:t>3</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rsidR="0098605A" w:rsidRPr="0098605A" w:rsidRDefault="0098605A" w:rsidP="0098605A">
            <w:pPr>
              <w:spacing w:after="0" w:line="240" w:lineRule="auto"/>
              <w:jc w:val="center"/>
              <w:rPr>
                <w:rFonts w:ascii="Calibri" w:eastAsia="Times New Roman" w:hAnsi="Calibri" w:cs="Calibri"/>
                <w:color w:val="000000"/>
              </w:rPr>
            </w:pPr>
            <w:r w:rsidRPr="0098605A">
              <w:rPr>
                <w:rFonts w:ascii="Calibri" w:eastAsia="Times New Roman" w:hAnsi="Calibri" w:cs="Calibri"/>
                <w:color w:val="000000"/>
              </w:rPr>
              <w:t>1</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rsidR="0098605A" w:rsidRPr="0098605A" w:rsidRDefault="0098605A" w:rsidP="0098605A">
            <w:pPr>
              <w:spacing w:after="0" w:line="240" w:lineRule="auto"/>
              <w:jc w:val="center"/>
              <w:rPr>
                <w:rFonts w:ascii="Calibri" w:eastAsia="Times New Roman" w:hAnsi="Calibri" w:cs="Calibri"/>
                <w:color w:val="000000"/>
              </w:rPr>
            </w:pPr>
            <w:r w:rsidRPr="0098605A">
              <w:rPr>
                <w:rFonts w:ascii="Calibri" w:eastAsia="Times New Roman" w:hAnsi="Calibri" w:cs="Calibri"/>
                <w:color w:val="000000"/>
              </w:rPr>
              <w:t>5</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rsidR="0098605A" w:rsidRPr="0098605A" w:rsidRDefault="0098605A" w:rsidP="0098605A">
            <w:pPr>
              <w:spacing w:after="0" w:line="240" w:lineRule="auto"/>
              <w:jc w:val="center"/>
              <w:rPr>
                <w:rFonts w:ascii="Calibri" w:eastAsia="Times New Roman" w:hAnsi="Calibri" w:cs="Calibri"/>
                <w:color w:val="000000"/>
              </w:rPr>
            </w:pPr>
            <w:r w:rsidRPr="0098605A">
              <w:rPr>
                <w:rFonts w:ascii="Calibri" w:eastAsia="Times New Roman" w:hAnsi="Calibri" w:cs="Calibri"/>
                <w:color w:val="000000"/>
              </w:rPr>
              <w:t>0</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rsidR="0098605A" w:rsidRPr="0098605A" w:rsidRDefault="0098605A" w:rsidP="0098605A">
            <w:pPr>
              <w:spacing w:after="0" w:line="240" w:lineRule="auto"/>
              <w:jc w:val="center"/>
              <w:rPr>
                <w:rFonts w:ascii="Calibri" w:eastAsia="Times New Roman" w:hAnsi="Calibri" w:cs="Calibri"/>
                <w:color w:val="000000"/>
              </w:rPr>
            </w:pPr>
            <w:r w:rsidRPr="0098605A">
              <w:rPr>
                <w:rFonts w:ascii="Calibri" w:eastAsia="Times New Roman" w:hAnsi="Calibri" w:cs="Calibri"/>
                <w:color w:val="000000"/>
              </w:rPr>
              <w:t>0</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rsidR="0098605A" w:rsidRPr="0098605A" w:rsidRDefault="0098605A" w:rsidP="0098605A">
            <w:pPr>
              <w:spacing w:after="0" w:line="240" w:lineRule="auto"/>
              <w:jc w:val="center"/>
              <w:rPr>
                <w:rFonts w:ascii="Calibri" w:eastAsia="Times New Roman" w:hAnsi="Calibri" w:cs="Calibri"/>
                <w:color w:val="000000"/>
              </w:rPr>
            </w:pPr>
            <w:r w:rsidRPr="0098605A">
              <w:rPr>
                <w:rFonts w:ascii="Calibri" w:eastAsia="Times New Roman" w:hAnsi="Calibri" w:cs="Calibri"/>
                <w:color w:val="000000"/>
              </w:rPr>
              <w:t>0</w:t>
            </w:r>
          </w:p>
        </w:tc>
      </w:tr>
      <w:tr w:rsidR="0098605A" w:rsidRPr="0098605A" w:rsidTr="0098605A">
        <w:trPr>
          <w:trHeight w:val="300"/>
        </w:trPr>
        <w:tc>
          <w:tcPr>
            <w:tcW w:w="1455" w:type="dxa"/>
            <w:tcBorders>
              <w:top w:val="nil"/>
              <w:left w:val="nil"/>
              <w:bottom w:val="nil"/>
              <w:right w:val="nil"/>
            </w:tcBorders>
            <w:shd w:val="clear" w:color="auto" w:fill="auto"/>
            <w:noWrap/>
            <w:vAlign w:val="bottom"/>
            <w:hideMark/>
          </w:tcPr>
          <w:p w:rsidR="0098605A" w:rsidRPr="0098605A" w:rsidRDefault="0098605A" w:rsidP="0098605A">
            <w:pPr>
              <w:spacing w:after="0" w:line="240" w:lineRule="auto"/>
              <w:rPr>
                <w:rFonts w:ascii="Calibri" w:eastAsia="Times New Roman" w:hAnsi="Calibri" w:cs="Calibri"/>
                <w:b/>
                <w:bCs/>
                <w:color w:val="000000"/>
              </w:rPr>
            </w:pPr>
            <w:r w:rsidRPr="0098605A">
              <w:rPr>
                <w:rFonts w:ascii="Calibri" w:eastAsia="Times New Roman" w:hAnsi="Calibri" w:cs="Calibri"/>
                <w:b/>
                <w:bCs/>
                <w:color w:val="000000"/>
              </w:rPr>
              <w:t>Poor</w:t>
            </w:r>
          </w:p>
        </w:tc>
        <w:tc>
          <w:tcPr>
            <w:tcW w:w="1093" w:type="dxa"/>
            <w:tcBorders>
              <w:top w:val="nil"/>
              <w:left w:val="single" w:sz="4" w:space="0" w:color="auto"/>
              <w:bottom w:val="single" w:sz="4" w:space="0" w:color="auto"/>
              <w:right w:val="single" w:sz="4" w:space="0" w:color="auto"/>
            </w:tcBorders>
            <w:shd w:val="clear" w:color="auto" w:fill="auto"/>
            <w:noWrap/>
            <w:vAlign w:val="bottom"/>
            <w:hideMark/>
          </w:tcPr>
          <w:p w:rsidR="0098605A" w:rsidRPr="0098605A" w:rsidRDefault="0098605A" w:rsidP="0098605A">
            <w:pPr>
              <w:spacing w:after="0" w:line="240" w:lineRule="auto"/>
              <w:jc w:val="center"/>
              <w:rPr>
                <w:rFonts w:ascii="Calibri" w:eastAsia="Times New Roman" w:hAnsi="Calibri" w:cs="Calibri"/>
                <w:b/>
                <w:bCs/>
                <w:color w:val="FF0000"/>
              </w:rPr>
            </w:pPr>
            <w:r w:rsidRPr="0098605A">
              <w:rPr>
                <w:rFonts w:ascii="Calibri" w:eastAsia="Times New Roman" w:hAnsi="Calibri" w:cs="Calibri"/>
                <w:b/>
                <w:bCs/>
                <w:color w:val="FF0000"/>
              </w:rPr>
              <w:t>19</w:t>
            </w:r>
          </w:p>
        </w:tc>
        <w:tc>
          <w:tcPr>
            <w:tcW w:w="1340" w:type="dxa"/>
            <w:tcBorders>
              <w:top w:val="nil"/>
              <w:left w:val="nil"/>
              <w:bottom w:val="single" w:sz="4" w:space="0" w:color="auto"/>
              <w:right w:val="single" w:sz="4" w:space="0" w:color="auto"/>
            </w:tcBorders>
            <w:shd w:val="clear" w:color="auto" w:fill="auto"/>
            <w:noWrap/>
            <w:vAlign w:val="bottom"/>
            <w:hideMark/>
          </w:tcPr>
          <w:p w:rsidR="0098605A" w:rsidRPr="0098605A" w:rsidRDefault="0098605A" w:rsidP="0098605A">
            <w:pPr>
              <w:spacing w:after="0" w:line="240" w:lineRule="auto"/>
              <w:jc w:val="center"/>
              <w:rPr>
                <w:rFonts w:ascii="Calibri" w:eastAsia="Times New Roman" w:hAnsi="Calibri" w:cs="Calibri"/>
                <w:color w:val="000000"/>
              </w:rPr>
            </w:pPr>
            <w:r w:rsidRPr="0098605A">
              <w:rPr>
                <w:rFonts w:ascii="Calibri" w:eastAsia="Times New Roman" w:hAnsi="Calibri" w:cs="Calibri"/>
                <w:color w:val="000000"/>
              </w:rPr>
              <w:t>15</w:t>
            </w:r>
          </w:p>
        </w:tc>
        <w:tc>
          <w:tcPr>
            <w:tcW w:w="1340" w:type="dxa"/>
            <w:tcBorders>
              <w:top w:val="nil"/>
              <w:left w:val="nil"/>
              <w:bottom w:val="single" w:sz="4" w:space="0" w:color="auto"/>
              <w:right w:val="single" w:sz="4" w:space="0" w:color="auto"/>
            </w:tcBorders>
            <w:shd w:val="clear" w:color="auto" w:fill="auto"/>
            <w:noWrap/>
            <w:vAlign w:val="bottom"/>
            <w:hideMark/>
          </w:tcPr>
          <w:p w:rsidR="0098605A" w:rsidRPr="0098605A" w:rsidRDefault="0098605A" w:rsidP="0098605A">
            <w:pPr>
              <w:spacing w:after="0" w:line="240" w:lineRule="auto"/>
              <w:jc w:val="center"/>
              <w:rPr>
                <w:rFonts w:ascii="Calibri" w:eastAsia="Times New Roman" w:hAnsi="Calibri" w:cs="Calibri"/>
                <w:b/>
                <w:bCs/>
                <w:color w:val="FF0000"/>
              </w:rPr>
            </w:pPr>
            <w:r w:rsidRPr="0098605A">
              <w:rPr>
                <w:rFonts w:ascii="Calibri" w:eastAsia="Times New Roman" w:hAnsi="Calibri" w:cs="Calibri"/>
                <w:b/>
                <w:bCs/>
                <w:color w:val="FF0000"/>
              </w:rPr>
              <w:t>16</w:t>
            </w:r>
          </w:p>
        </w:tc>
        <w:tc>
          <w:tcPr>
            <w:tcW w:w="1340" w:type="dxa"/>
            <w:tcBorders>
              <w:top w:val="nil"/>
              <w:left w:val="nil"/>
              <w:bottom w:val="single" w:sz="4" w:space="0" w:color="auto"/>
              <w:right w:val="single" w:sz="4" w:space="0" w:color="auto"/>
            </w:tcBorders>
            <w:shd w:val="clear" w:color="auto" w:fill="auto"/>
            <w:noWrap/>
            <w:vAlign w:val="bottom"/>
            <w:hideMark/>
          </w:tcPr>
          <w:p w:rsidR="0098605A" w:rsidRPr="0098605A" w:rsidRDefault="0098605A" w:rsidP="0098605A">
            <w:pPr>
              <w:spacing w:after="0" w:line="240" w:lineRule="auto"/>
              <w:jc w:val="center"/>
              <w:rPr>
                <w:rFonts w:ascii="Calibri" w:eastAsia="Times New Roman" w:hAnsi="Calibri" w:cs="Calibri"/>
                <w:color w:val="000000"/>
              </w:rPr>
            </w:pPr>
            <w:r w:rsidRPr="0098605A">
              <w:rPr>
                <w:rFonts w:ascii="Calibri" w:eastAsia="Times New Roman" w:hAnsi="Calibri" w:cs="Calibri"/>
                <w:color w:val="000000"/>
              </w:rPr>
              <w:t>2</w:t>
            </w:r>
          </w:p>
        </w:tc>
        <w:tc>
          <w:tcPr>
            <w:tcW w:w="1340" w:type="dxa"/>
            <w:tcBorders>
              <w:top w:val="nil"/>
              <w:left w:val="nil"/>
              <w:bottom w:val="single" w:sz="4" w:space="0" w:color="auto"/>
              <w:right w:val="single" w:sz="4" w:space="0" w:color="auto"/>
            </w:tcBorders>
            <w:shd w:val="clear" w:color="auto" w:fill="auto"/>
            <w:noWrap/>
            <w:vAlign w:val="bottom"/>
            <w:hideMark/>
          </w:tcPr>
          <w:p w:rsidR="0098605A" w:rsidRPr="0098605A" w:rsidRDefault="0098605A" w:rsidP="0098605A">
            <w:pPr>
              <w:spacing w:after="0" w:line="240" w:lineRule="auto"/>
              <w:jc w:val="center"/>
              <w:rPr>
                <w:rFonts w:ascii="Calibri" w:eastAsia="Times New Roman" w:hAnsi="Calibri" w:cs="Calibri"/>
                <w:color w:val="000000"/>
              </w:rPr>
            </w:pPr>
            <w:r w:rsidRPr="0098605A">
              <w:rPr>
                <w:rFonts w:ascii="Calibri" w:eastAsia="Times New Roman" w:hAnsi="Calibri" w:cs="Calibri"/>
                <w:color w:val="000000"/>
              </w:rPr>
              <w:t>3</w:t>
            </w:r>
          </w:p>
        </w:tc>
        <w:tc>
          <w:tcPr>
            <w:tcW w:w="1340" w:type="dxa"/>
            <w:tcBorders>
              <w:top w:val="nil"/>
              <w:left w:val="nil"/>
              <w:bottom w:val="single" w:sz="4" w:space="0" w:color="auto"/>
              <w:right w:val="single" w:sz="4" w:space="0" w:color="auto"/>
            </w:tcBorders>
            <w:shd w:val="clear" w:color="auto" w:fill="auto"/>
            <w:noWrap/>
            <w:vAlign w:val="bottom"/>
            <w:hideMark/>
          </w:tcPr>
          <w:p w:rsidR="0098605A" w:rsidRPr="0098605A" w:rsidRDefault="0098605A" w:rsidP="0098605A">
            <w:pPr>
              <w:spacing w:after="0" w:line="240" w:lineRule="auto"/>
              <w:jc w:val="center"/>
              <w:rPr>
                <w:rFonts w:ascii="Calibri" w:eastAsia="Times New Roman" w:hAnsi="Calibri" w:cs="Calibri"/>
                <w:color w:val="000000"/>
              </w:rPr>
            </w:pPr>
            <w:r w:rsidRPr="0098605A">
              <w:rPr>
                <w:rFonts w:ascii="Calibri" w:eastAsia="Times New Roman" w:hAnsi="Calibri" w:cs="Calibri"/>
                <w:color w:val="000000"/>
              </w:rPr>
              <w:t>10</w:t>
            </w:r>
          </w:p>
        </w:tc>
      </w:tr>
      <w:tr w:rsidR="0098605A" w:rsidRPr="0098605A" w:rsidTr="0098605A">
        <w:trPr>
          <w:trHeight w:val="300"/>
        </w:trPr>
        <w:tc>
          <w:tcPr>
            <w:tcW w:w="1455" w:type="dxa"/>
            <w:tcBorders>
              <w:top w:val="nil"/>
              <w:left w:val="nil"/>
              <w:bottom w:val="nil"/>
              <w:right w:val="nil"/>
            </w:tcBorders>
            <w:shd w:val="clear" w:color="auto" w:fill="auto"/>
            <w:noWrap/>
            <w:vAlign w:val="bottom"/>
            <w:hideMark/>
          </w:tcPr>
          <w:p w:rsidR="0098605A" w:rsidRPr="0098605A" w:rsidRDefault="0098605A" w:rsidP="0098605A">
            <w:pPr>
              <w:spacing w:after="0" w:line="240" w:lineRule="auto"/>
              <w:rPr>
                <w:rFonts w:ascii="Calibri" w:eastAsia="Times New Roman" w:hAnsi="Calibri" w:cs="Calibri"/>
                <w:b/>
                <w:bCs/>
                <w:color w:val="000000"/>
              </w:rPr>
            </w:pPr>
            <w:r w:rsidRPr="0098605A">
              <w:rPr>
                <w:rFonts w:ascii="Calibri" w:eastAsia="Times New Roman" w:hAnsi="Calibri" w:cs="Calibri"/>
                <w:b/>
                <w:bCs/>
                <w:color w:val="000000"/>
              </w:rPr>
              <w:t>Good</w:t>
            </w:r>
          </w:p>
        </w:tc>
        <w:tc>
          <w:tcPr>
            <w:tcW w:w="1093" w:type="dxa"/>
            <w:tcBorders>
              <w:top w:val="nil"/>
              <w:left w:val="single" w:sz="4" w:space="0" w:color="auto"/>
              <w:bottom w:val="single" w:sz="4" w:space="0" w:color="auto"/>
              <w:right w:val="single" w:sz="4" w:space="0" w:color="auto"/>
            </w:tcBorders>
            <w:shd w:val="clear" w:color="auto" w:fill="auto"/>
            <w:noWrap/>
            <w:vAlign w:val="bottom"/>
            <w:hideMark/>
          </w:tcPr>
          <w:p w:rsidR="0098605A" w:rsidRPr="0098605A" w:rsidRDefault="0098605A" w:rsidP="0098605A">
            <w:pPr>
              <w:spacing w:after="0" w:line="240" w:lineRule="auto"/>
              <w:jc w:val="center"/>
              <w:rPr>
                <w:rFonts w:ascii="Calibri" w:eastAsia="Times New Roman" w:hAnsi="Calibri" w:cs="Calibri"/>
                <w:color w:val="000000"/>
              </w:rPr>
            </w:pPr>
            <w:r w:rsidRPr="0098605A">
              <w:rPr>
                <w:rFonts w:ascii="Calibri" w:eastAsia="Times New Roman" w:hAnsi="Calibri" w:cs="Calibri"/>
                <w:color w:val="000000"/>
              </w:rPr>
              <w:t>13</w:t>
            </w:r>
          </w:p>
        </w:tc>
        <w:tc>
          <w:tcPr>
            <w:tcW w:w="1340" w:type="dxa"/>
            <w:tcBorders>
              <w:top w:val="nil"/>
              <w:left w:val="nil"/>
              <w:bottom w:val="single" w:sz="4" w:space="0" w:color="auto"/>
              <w:right w:val="single" w:sz="4" w:space="0" w:color="auto"/>
            </w:tcBorders>
            <w:shd w:val="clear" w:color="auto" w:fill="auto"/>
            <w:noWrap/>
            <w:vAlign w:val="bottom"/>
            <w:hideMark/>
          </w:tcPr>
          <w:p w:rsidR="0098605A" w:rsidRPr="0098605A" w:rsidRDefault="0098605A" w:rsidP="0098605A">
            <w:pPr>
              <w:spacing w:after="0" w:line="240" w:lineRule="auto"/>
              <w:jc w:val="center"/>
              <w:rPr>
                <w:rFonts w:ascii="Calibri" w:eastAsia="Times New Roman" w:hAnsi="Calibri" w:cs="Calibri"/>
                <w:b/>
                <w:bCs/>
                <w:color w:val="FF0000"/>
              </w:rPr>
            </w:pPr>
            <w:r w:rsidRPr="0098605A">
              <w:rPr>
                <w:rFonts w:ascii="Calibri" w:eastAsia="Times New Roman" w:hAnsi="Calibri" w:cs="Calibri"/>
                <w:b/>
                <w:bCs/>
                <w:color w:val="FF0000"/>
              </w:rPr>
              <w:t>19</w:t>
            </w:r>
          </w:p>
        </w:tc>
        <w:tc>
          <w:tcPr>
            <w:tcW w:w="1340" w:type="dxa"/>
            <w:tcBorders>
              <w:top w:val="nil"/>
              <w:left w:val="nil"/>
              <w:bottom w:val="single" w:sz="4" w:space="0" w:color="auto"/>
              <w:right w:val="single" w:sz="4" w:space="0" w:color="auto"/>
            </w:tcBorders>
            <w:shd w:val="clear" w:color="auto" w:fill="auto"/>
            <w:noWrap/>
            <w:vAlign w:val="bottom"/>
            <w:hideMark/>
          </w:tcPr>
          <w:p w:rsidR="0098605A" w:rsidRPr="0098605A" w:rsidRDefault="0098605A" w:rsidP="0098605A">
            <w:pPr>
              <w:spacing w:after="0" w:line="240" w:lineRule="auto"/>
              <w:jc w:val="center"/>
              <w:rPr>
                <w:rFonts w:ascii="Calibri" w:eastAsia="Times New Roman" w:hAnsi="Calibri" w:cs="Calibri"/>
                <w:color w:val="000000"/>
              </w:rPr>
            </w:pPr>
            <w:r w:rsidRPr="0098605A">
              <w:rPr>
                <w:rFonts w:ascii="Calibri" w:eastAsia="Times New Roman" w:hAnsi="Calibri" w:cs="Calibri"/>
                <w:color w:val="000000"/>
              </w:rPr>
              <w:t>11</w:t>
            </w:r>
          </w:p>
        </w:tc>
        <w:tc>
          <w:tcPr>
            <w:tcW w:w="1340" w:type="dxa"/>
            <w:tcBorders>
              <w:top w:val="nil"/>
              <w:left w:val="nil"/>
              <w:bottom w:val="single" w:sz="4" w:space="0" w:color="auto"/>
              <w:right w:val="single" w:sz="4" w:space="0" w:color="auto"/>
            </w:tcBorders>
            <w:shd w:val="clear" w:color="auto" w:fill="auto"/>
            <w:noWrap/>
            <w:vAlign w:val="bottom"/>
            <w:hideMark/>
          </w:tcPr>
          <w:p w:rsidR="0098605A" w:rsidRPr="0098605A" w:rsidRDefault="0098605A" w:rsidP="0098605A">
            <w:pPr>
              <w:spacing w:after="0" w:line="240" w:lineRule="auto"/>
              <w:jc w:val="center"/>
              <w:rPr>
                <w:rFonts w:ascii="Calibri" w:eastAsia="Times New Roman" w:hAnsi="Calibri" w:cs="Calibri"/>
                <w:b/>
                <w:bCs/>
                <w:color w:val="FF0000"/>
              </w:rPr>
            </w:pPr>
            <w:r w:rsidRPr="0098605A">
              <w:rPr>
                <w:rFonts w:ascii="Calibri" w:eastAsia="Times New Roman" w:hAnsi="Calibri" w:cs="Calibri"/>
                <w:b/>
                <w:bCs/>
                <w:color w:val="FF0000"/>
              </w:rPr>
              <w:t>25</w:t>
            </w:r>
          </w:p>
        </w:tc>
        <w:tc>
          <w:tcPr>
            <w:tcW w:w="1340" w:type="dxa"/>
            <w:tcBorders>
              <w:top w:val="nil"/>
              <w:left w:val="nil"/>
              <w:bottom w:val="single" w:sz="4" w:space="0" w:color="auto"/>
              <w:right w:val="single" w:sz="4" w:space="0" w:color="auto"/>
            </w:tcBorders>
            <w:shd w:val="clear" w:color="auto" w:fill="auto"/>
            <w:noWrap/>
            <w:vAlign w:val="bottom"/>
            <w:hideMark/>
          </w:tcPr>
          <w:p w:rsidR="0098605A" w:rsidRPr="0098605A" w:rsidRDefault="0098605A" w:rsidP="0098605A">
            <w:pPr>
              <w:spacing w:after="0" w:line="240" w:lineRule="auto"/>
              <w:jc w:val="center"/>
              <w:rPr>
                <w:rFonts w:ascii="Calibri" w:eastAsia="Times New Roman" w:hAnsi="Calibri" w:cs="Calibri"/>
                <w:b/>
                <w:bCs/>
                <w:color w:val="FF0000"/>
              </w:rPr>
            </w:pPr>
            <w:r w:rsidRPr="0098605A">
              <w:rPr>
                <w:rFonts w:ascii="Calibri" w:eastAsia="Times New Roman" w:hAnsi="Calibri" w:cs="Calibri"/>
                <w:b/>
                <w:bCs/>
                <w:color w:val="FF0000"/>
              </w:rPr>
              <w:t>20</w:t>
            </w:r>
          </w:p>
        </w:tc>
        <w:tc>
          <w:tcPr>
            <w:tcW w:w="1340" w:type="dxa"/>
            <w:tcBorders>
              <w:top w:val="nil"/>
              <w:left w:val="nil"/>
              <w:bottom w:val="single" w:sz="4" w:space="0" w:color="auto"/>
              <w:right w:val="single" w:sz="4" w:space="0" w:color="auto"/>
            </w:tcBorders>
            <w:shd w:val="clear" w:color="auto" w:fill="auto"/>
            <w:noWrap/>
            <w:vAlign w:val="bottom"/>
            <w:hideMark/>
          </w:tcPr>
          <w:p w:rsidR="0098605A" w:rsidRPr="0098605A" w:rsidRDefault="0098605A" w:rsidP="0098605A">
            <w:pPr>
              <w:spacing w:after="0" w:line="240" w:lineRule="auto"/>
              <w:jc w:val="center"/>
              <w:rPr>
                <w:rFonts w:ascii="Calibri" w:eastAsia="Times New Roman" w:hAnsi="Calibri" w:cs="Calibri"/>
                <w:b/>
                <w:bCs/>
                <w:color w:val="FF0000"/>
              </w:rPr>
            </w:pPr>
            <w:r w:rsidRPr="0098605A">
              <w:rPr>
                <w:rFonts w:ascii="Calibri" w:eastAsia="Times New Roman" w:hAnsi="Calibri" w:cs="Calibri"/>
                <w:b/>
                <w:bCs/>
                <w:color w:val="FF0000"/>
              </w:rPr>
              <w:t>21</w:t>
            </w:r>
          </w:p>
        </w:tc>
      </w:tr>
      <w:tr w:rsidR="0098605A" w:rsidRPr="0098605A" w:rsidTr="0098605A">
        <w:trPr>
          <w:trHeight w:val="300"/>
        </w:trPr>
        <w:tc>
          <w:tcPr>
            <w:tcW w:w="1455" w:type="dxa"/>
            <w:tcBorders>
              <w:top w:val="nil"/>
              <w:left w:val="nil"/>
              <w:bottom w:val="nil"/>
              <w:right w:val="nil"/>
            </w:tcBorders>
            <w:shd w:val="clear" w:color="auto" w:fill="auto"/>
            <w:noWrap/>
            <w:vAlign w:val="bottom"/>
            <w:hideMark/>
          </w:tcPr>
          <w:p w:rsidR="0098605A" w:rsidRPr="0098605A" w:rsidRDefault="0098605A" w:rsidP="0098605A">
            <w:pPr>
              <w:spacing w:after="0" w:line="240" w:lineRule="auto"/>
              <w:rPr>
                <w:rFonts w:ascii="Calibri" w:eastAsia="Times New Roman" w:hAnsi="Calibri" w:cs="Calibri"/>
                <w:b/>
                <w:bCs/>
                <w:color w:val="000000"/>
              </w:rPr>
            </w:pPr>
            <w:r w:rsidRPr="0098605A">
              <w:rPr>
                <w:rFonts w:ascii="Calibri" w:eastAsia="Times New Roman" w:hAnsi="Calibri" w:cs="Calibri"/>
                <w:b/>
                <w:bCs/>
                <w:color w:val="000000"/>
              </w:rPr>
              <w:t>Very Good</w:t>
            </w:r>
          </w:p>
        </w:tc>
        <w:tc>
          <w:tcPr>
            <w:tcW w:w="1093" w:type="dxa"/>
            <w:tcBorders>
              <w:top w:val="nil"/>
              <w:left w:val="single" w:sz="4" w:space="0" w:color="auto"/>
              <w:bottom w:val="single" w:sz="4" w:space="0" w:color="auto"/>
              <w:right w:val="single" w:sz="4" w:space="0" w:color="auto"/>
            </w:tcBorders>
            <w:shd w:val="clear" w:color="auto" w:fill="auto"/>
            <w:noWrap/>
            <w:vAlign w:val="bottom"/>
            <w:hideMark/>
          </w:tcPr>
          <w:p w:rsidR="0098605A" w:rsidRPr="0098605A" w:rsidRDefault="0098605A" w:rsidP="0098605A">
            <w:pPr>
              <w:spacing w:after="0" w:line="240" w:lineRule="auto"/>
              <w:jc w:val="center"/>
              <w:rPr>
                <w:rFonts w:ascii="Calibri" w:eastAsia="Times New Roman" w:hAnsi="Calibri" w:cs="Calibri"/>
                <w:color w:val="000000"/>
              </w:rPr>
            </w:pPr>
            <w:r w:rsidRPr="0098605A">
              <w:rPr>
                <w:rFonts w:ascii="Calibri" w:eastAsia="Times New Roman" w:hAnsi="Calibri" w:cs="Calibri"/>
                <w:color w:val="000000"/>
              </w:rPr>
              <w:t>6</w:t>
            </w:r>
          </w:p>
        </w:tc>
        <w:tc>
          <w:tcPr>
            <w:tcW w:w="1340" w:type="dxa"/>
            <w:tcBorders>
              <w:top w:val="nil"/>
              <w:left w:val="nil"/>
              <w:bottom w:val="single" w:sz="4" w:space="0" w:color="auto"/>
              <w:right w:val="single" w:sz="4" w:space="0" w:color="auto"/>
            </w:tcBorders>
            <w:shd w:val="clear" w:color="auto" w:fill="auto"/>
            <w:noWrap/>
            <w:vAlign w:val="bottom"/>
            <w:hideMark/>
          </w:tcPr>
          <w:p w:rsidR="0098605A" w:rsidRPr="0098605A" w:rsidRDefault="0098605A" w:rsidP="0098605A">
            <w:pPr>
              <w:spacing w:after="0" w:line="240" w:lineRule="auto"/>
              <w:jc w:val="center"/>
              <w:rPr>
                <w:rFonts w:ascii="Calibri" w:eastAsia="Times New Roman" w:hAnsi="Calibri" w:cs="Calibri"/>
                <w:color w:val="000000"/>
              </w:rPr>
            </w:pPr>
            <w:r w:rsidRPr="0098605A">
              <w:rPr>
                <w:rFonts w:ascii="Calibri" w:eastAsia="Times New Roman" w:hAnsi="Calibri" w:cs="Calibri"/>
                <w:color w:val="000000"/>
              </w:rPr>
              <w:t>6</w:t>
            </w:r>
          </w:p>
        </w:tc>
        <w:tc>
          <w:tcPr>
            <w:tcW w:w="1340" w:type="dxa"/>
            <w:tcBorders>
              <w:top w:val="nil"/>
              <w:left w:val="nil"/>
              <w:bottom w:val="single" w:sz="4" w:space="0" w:color="auto"/>
              <w:right w:val="single" w:sz="4" w:space="0" w:color="auto"/>
            </w:tcBorders>
            <w:shd w:val="clear" w:color="auto" w:fill="auto"/>
            <w:noWrap/>
            <w:vAlign w:val="bottom"/>
            <w:hideMark/>
          </w:tcPr>
          <w:p w:rsidR="0098605A" w:rsidRPr="0098605A" w:rsidRDefault="0098605A" w:rsidP="0098605A">
            <w:pPr>
              <w:spacing w:after="0" w:line="240" w:lineRule="auto"/>
              <w:jc w:val="center"/>
              <w:rPr>
                <w:rFonts w:ascii="Calibri" w:eastAsia="Times New Roman" w:hAnsi="Calibri" w:cs="Calibri"/>
                <w:color w:val="000000"/>
              </w:rPr>
            </w:pPr>
            <w:r w:rsidRPr="0098605A">
              <w:rPr>
                <w:rFonts w:ascii="Calibri" w:eastAsia="Times New Roman" w:hAnsi="Calibri" w:cs="Calibri"/>
                <w:color w:val="000000"/>
              </w:rPr>
              <w:t>4</w:t>
            </w:r>
          </w:p>
        </w:tc>
        <w:tc>
          <w:tcPr>
            <w:tcW w:w="1340" w:type="dxa"/>
            <w:tcBorders>
              <w:top w:val="nil"/>
              <w:left w:val="nil"/>
              <w:bottom w:val="single" w:sz="4" w:space="0" w:color="auto"/>
              <w:right w:val="single" w:sz="4" w:space="0" w:color="auto"/>
            </w:tcBorders>
            <w:shd w:val="clear" w:color="auto" w:fill="auto"/>
            <w:noWrap/>
            <w:vAlign w:val="bottom"/>
            <w:hideMark/>
          </w:tcPr>
          <w:p w:rsidR="0098605A" w:rsidRPr="0098605A" w:rsidRDefault="0098605A" w:rsidP="0098605A">
            <w:pPr>
              <w:spacing w:after="0" w:line="240" w:lineRule="auto"/>
              <w:jc w:val="center"/>
              <w:rPr>
                <w:rFonts w:ascii="Calibri" w:eastAsia="Times New Roman" w:hAnsi="Calibri" w:cs="Calibri"/>
                <w:color w:val="000000"/>
              </w:rPr>
            </w:pPr>
            <w:r w:rsidRPr="0098605A">
              <w:rPr>
                <w:rFonts w:ascii="Calibri" w:eastAsia="Times New Roman" w:hAnsi="Calibri" w:cs="Calibri"/>
                <w:color w:val="000000"/>
              </w:rPr>
              <w:t>14</w:t>
            </w:r>
          </w:p>
        </w:tc>
        <w:tc>
          <w:tcPr>
            <w:tcW w:w="1340" w:type="dxa"/>
            <w:tcBorders>
              <w:top w:val="nil"/>
              <w:left w:val="nil"/>
              <w:bottom w:val="single" w:sz="4" w:space="0" w:color="auto"/>
              <w:right w:val="single" w:sz="4" w:space="0" w:color="auto"/>
            </w:tcBorders>
            <w:shd w:val="clear" w:color="auto" w:fill="auto"/>
            <w:noWrap/>
            <w:vAlign w:val="bottom"/>
            <w:hideMark/>
          </w:tcPr>
          <w:p w:rsidR="0098605A" w:rsidRPr="0098605A" w:rsidRDefault="0098605A" w:rsidP="0098605A">
            <w:pPr>
              <w:spacing w:after="0" w:line="240" w:lineRule="auto"/>
              <w:jc w:val="center"/>
              <w:rPr>
                <w:rFonts w:ascii="Calibri" w:eastAsia="Times New Roman" w:hAnsi="Calibri" w:cs="Calibri"/>
                <w:color w:val="000000"/>
              </w:rPr>
            </w:pPr>
            <w:r w:rsidRPr="0098605A">
              <w:rPr>
                <w:rFonts w:ascii="Calibri" w:eastAsia="Times New Roman" w:hAnsi="Calibri" w:cs="Calibri"/>
                <w:color w:val="000000"/>
              </w:rPr>
              <w:t>18</w:t>
            </w:r>
          </w:p>
        </w:tc>
        <w:tc>
          <w:tcPr>
            <w:tcW w:w="1340" w:type="dxa"/>
            <w:tcBorders>
              <w:top w:val="nil"/>
              <w:left w:val="nil"/>
              <w:bottom w:val="single" w:sz="4" w:space="0" w:color="auto"/>
              <w:right w:val="single" w:sz="4" w:space="0" w:color="auto"/>
            </w:tcBorders>
            <w:shd w:val="clear" w:color="auto" w:fill="auto"/>
            <w:noWrap/>
            <w:vAlign w:val="bottom"/>
            <w:hideMark/>
          </w:tcPr>
          <w:p w:rsidR="0098605A" w:rsidRPr="0098605A" w:rsidRDefault="0098605A" w:rsidP="0098605A">
            <w:pPr>
              <w:spacing w:after="0" w:line="240" w:lineRule="auto"/>
              <w:jc w:val="center"/>
              <w:rPr>
                <w:rFonts w:ascii="Calibri" w:eastAsia="Times New Roman" w:hAnsi="Calibri" w:cs="Calibri"/>
                <w:color w:val="000000"/>
              </w:rPr>
            </w:pPr>
            <w:r w:rsidRPr="0098605A">
              <w:rPr>
                <w:rFonts w:ascii="Calibri" w:eastAsia="Times New Roman" w:hAnsi="Calibri" w:cs="Calibri"/>
                <w:color w:val="000000"/>
              </w:rPr>
              <w:t>8</w:t>
            </w:r>
          </w:p>
        </w:tc>
      </w:tr>
      <w:tr w:rsidR="0098605A" w:rsidRPr="0098605A" w:rsidTr="0098605A">
        <w:trPr>
          <w:trHeight w:val="300"/>
        </w:trPr>
        <w:tc>
          <w:tcPr>
            <w:tcW w:w="1455" w:type="dxa"/>
            <w:tcBorders>
              <w:top w:val="nil"/>
              <w:left w:val="nil"/>
              <w:bottom w:val="nil"/>
              <w:right w:val="nil"/>
            </w:tcBorders>
            <w:shd w:val="clear" w:color="auto" w:fill="auto"/>
            <w:noWrap/>
            <w:vAlign w:val="bottom"/>
            <w:hideMark/>
          </w:tcPr>
          <w:p w:rsidR="0098605A" w:rsidRPr="0098605A" w:rsidRDefault="0098605A" w:rsidP="0098605A">
            <w:pPr>
              <w:spacing w:after="0" w:line="240" w:lineRule="auto"/>
              <w:rPr>
                <w:rFonts w:ascii="Calibri" w:eastAsia="Times New Roman" w:hAnsi="Calibri" w:cs="Calibri"/>
                <w:b/>
                <w:bCs/>
                <w:color w:val="000000"/>
              </w:rPr>
            </w:pPr>
            <w:r w:rsidRPr="0098605A">
              <w:rPr>
                <w:rFonts w:ascii="Calibri" w:eastAsia="Times New Roman" w:hAnsi="Calibri" w:cs="Calibri"/>
                <w:b/>
                <w:bCs/>
                <w:color w:val="000000"/>
              </w:rPr>
              <w:t>N/A</w:t>
            </w:r>
          </w:p>
        </w:tc>
        <w:tc>
          <w:tcPr>
            <w:tcW w:w="1093" w:type="dxa"/>
            <w:tcBorders>
              <w:top w:val="nil"/>
              <w:left w:val="single" w:sz="4" w:space="0" w:color="auto"/>
              <w:bottom w:val="single" w:sz="4" w:space="0" w:color="auto"/>
              <w:right w:val="single" w:sz="4" w:space="0" w:color="auto"/>
            </w:tcBorders>
            <w:shd w:val="clear" w:color="auto" w:fill="auto"/>
            <w:noWrap/>
            <w:vAlign w:val="bottom"/>
            <w:hideMark/>
          </w:tcPr>
          <w:p w:rsidR="0098605A" w:rsidRPr="0098605A" w:rsidRDefault="0098605A" w:rsidP="0098605A">
            <w:pPr>
              <w:spacing w:after="0" w:line="240" w:lineRule="auto"/>
              <w:jc w:val="center"/>
              <w:rPr>
                <w:rFonts w:ascii="Calibri" w:eastAsia="Times New Roman" w:hAnsi="Calibri" w:cs="Calibri"/>
                <w:color w:val="000000"/>
              </w:rPr>
            </w:pPr>
            <w:r w:rsidRPr="0098605A">
              <w:rPr>
                <w:rFonts w:ascii="Calibri" w:eastAsia="Times New Roman" w:hAnsi="Calibri" w:cs="Calibri"/>
                <w:color w:val="000000"/>
              </w:rPr>
              <w:t>0</w:t>
            </w:r>
          </w:p>
        </w:tc>
        <w:tc>
          <w:tcPr>
            <w:tcW w:w="1340" w:type="dxa"/>
            <w:tcBorders>
              <w:top w:val="nil"/>
              <w:left w:val="nil"/>
              <w:bottom w:val="single" w:sz="4" w:space="0" w:color="auto"/>
              <w:right w:val="single" w:sz="4" w:space="0" w:color="auto"/>
            </w:tcBorders>
            <w:shd w:val="clear" w:color="auto" w:fill="auto"/>
            <w:noWrap/>
            <w:vAlign w:val="bottom"/>
            <w:hideMark/>
          </w:tcPr>
          <w:p w:rsidR="0098605A" w:rsidRPr="0098605A" w:rsidRDefault="0098605A" w:rsidP="0098605A">
            <w:pPr>
              <w:spacing w:after="0" w:line="240" w:lineRule="auto"/>
              <w:jc w:val="center"/>
              <w:rPr>
                <w:rFonts w:ascii="Calibri" w:eastAsia="Times New Roman" w:hAnsi="Calibri" w:cs="Calibri"/>
                <w:color w:val="000000"/>
              </w:rPr>
            </w:pPr>
            <w:r w:rsidRPr="0098605A">
              <w:rPr>
                <w:rFonts w:ascii="Calibri" w:eastAsia="Times New Roman" w:hAnsi="Calibri" w:cs="Calibri"/>
                <w:color w:val="000000"/>
              </w:rPr>
              <w:t>0</w:t>
            </w:r>
          </w:p>
        </w:tc>
        <w:tc>
          <w:tcPr>
            <w:tcW w:w="1340" w:type="dxa"/>
            <w:tcBorders>
              <w:top w:val="nil"/>
              <w:left w:val="nil"/>
              <w:bottom w:val="single" w:sz="4" w:space="0" w:color="auto"/>
              <w:right w:val="single" w:sz="4" w:space="0" w:color="auto"/>
            </w:tcBorders>
            <w:shd w:val="clear" w:color="auto" w:fill="auto"/>
            <w:noWrap/>
            <w:vAlign w:val="bottom"/>
            <w:hideMark/>
          </w:tcPr>
          <w:p w:rsidR="0098605A" w:rsidRPr="0098605A" w:rsidRDefault="0098605A" w:rsidP="0098605A">
            <w:pPr>
              <w:spacing w:after="0" w:line="240" w:lineRule="auto"/>
              <w:jc w:val="center"/>
              <w:rPr>
                <w:rFonts w:ascii="Calibri" w:eastAsia="Times New Roman" w:hAnsi="Calibri" w:cs="Calibri"/>
                <w:color w:val="000000"/>
              </w:rPr>
            </w:pPr>
            <w:r w:rsidRPr="0098605A">
              <w:rPr>
                <w:rFonts w:ascii="Calibri" w:eastAsia="Times New Roman" w:hAnsi="Calibri" w:cs="Calibri"/>
                <w:color w:val="000000"/>
              </w:rPr>
              <w:t>5</w:t>
            </w:r>
          </w:p>
        </w:tc>
        <w:tc>
          <w:tcPr>
            <w:tcW w:w="1340" w:type="dxa"/>
            <w:tcBorders>
              <w:top w:val="nil"/>
              <w:left w:val="nil"/>
              <w:bottom w:val="single" w:sz="4" w:space="0" w:color="auto"/>
              <w:right w:val="single" w:sz="4" w:space="0" w:color="auto"/>
            </w:tcBorders>
            <w:shd w:val="clear" w:color="auto" w:fill="auto"/>
            <w:noWrap/>
            <w:vAlign w:val="bottom"/>
            <w:hideMark/>
          </w:tcPr>
          <w:p w:rsidR="0098605A" w:rsidRPr="0098605A" w:rsidRDefault="0098605A" w:rsidP="0098605A">
            <w:pPr>
              <w:spacing w:after="0" w:line="240" w:lineRule="auto"/>
              <w:jc w:val="center"/>
              <w:rPr>
                <w:rFonts w:ascii="Calibri" w:eastAsia="Times New Roman" w:hAnsi="Calibri" w:cs="Calibri"/>
                <w:color w:val="000000"/>
              </w:rPr>
            </w:pPr>
            <w:r w:rsidRPr="0098605A">
              <w:rPr>
                <w:rFonts w:ascii="Calibri" w:eastAsia="Times New Roman" w:hAnsi="Calibri" w:cs="Calibri"/>
                <w:color w:val="000000"/>
              </w:rPr>
              <w:t>0</w:t>
            </w:r>
          </w:p>
        </w:tc>
        <w:tc>
          <w:tcPr>
            <w:tcW w:w="1340" w:type="dxa"/>
            <w:tcBorders>
              <w:top w:val="nil"/>
              <w:left w:val="nil"/>
              <w:bottom w:val="single" w:sz="4" w:space="0" w:color="auto"/>
              <w:right w:val="single" w:sz="4" w:space="0" w:color="auto"/>
            </w:tcBorders>
            <w:shd w:val="clear" w:color="auto" w:fill="auto"/>
            <w:noWrap/>
            <w:vAlign w:val="bottom"/>
            <w:hideMark/>
          </w:tcPr>
          <w:p w:rsidR="0098605A" w:rsidRPr="0098605A" w:rsidRDefault="0098605A" w:rsidP="0098605A">
            <w:pPr>
              <w:spacing w:after="0" w:line="240" w:lineRule="auto"/>
              <w:jc w:val="center"/>
              <w:rPr>
                <w:rFonts w:ascii="Calibri" w:eastAsia="Times New Roman" w:hAnsi="Calibri" w:cs="Calibri"/>
                <w:color w:val="000000"/>
              </w:rPr>
            </w:pPr>
            <w:r w:rsidRPr="0098605A">
              <w:rPr>
                <w:rFonts w:ascii="Calibri" w:eastAsia="Times New Roman" w:hAnsi="Calibri" w:cs="Calibri"/>
                <w:color w:val="000000"/>
              </w:rPr>
              <w:t>0</w:t>
            </w:r>
          </w:p>
        </w:tc>
        <w:tc>
          <w:tcPr>
            <w:tcW w:w="1340" w:type="dxa"/>
            <w:tcBorders>
              <w:top w:val="nil"/>
              <w:left w:val="nil"/>
              <w:bottom w:val="single" w:sz="4" w:space="0" w:color="auto"/>
              <w:right w:val="single" w:sz="4" w:space="0" w:color="auto"/>
            </w:tcBorders>
            <w:shd w:val="clear" w:color="auto" w:fill="auto"/>
            <w:noWrap/>
            <w:vAlign w:val="bottom"/>
            <w:hideMark/>
          </w:tcPr>
          <w:p w:rsidR="0098605A" w:rsidRPr="0098605A" w:rsidRDefault="0098605A" w:rsidP="0098605A">
            <w:pPr>
              <w:spacing w:after="0" w:line="240" w:lineRule="auto"/>
              <w:jc w:val="center"/>
              <w:rPr>
                <w:rFonts w:ascii="Calibri" w:eastAsia="Times New Roman" w:hAnsi="Calibri" w:cs="Calibri"/>
                <w:color w:val="000000"/>
              </w:rPr>
            </w:pPr>
            <w:r w:rsidRPr="0098605A">
              <w:rPr>
                <w:rFonts w:ascii="Calibri" w:eastAsia="Times New Roman" w:hAnsi="Calibri" w:cs="Calibri"/>
                <w:color w:val="000000"/>
              </w:rPr>
              <w:t>0</w:t>
            </w:r>
          </w:p>
        </w:tc>
      </w:tr>
      <w:tr w:rsidR="0098605A" w:rsidRPr="0098605A" w:rsidTr="0098605A">
        <w:trPr>
          <w:trHeight w:val="300"/>
        </w:trPr>
        <w:tc>
          <w:tcPr>
            <w:tcW w:w="1455" w:type="dxa"/>
            <w:tcBorders>
              <w:top w:val="nil"/>
              <w:left w:val="nil"/>
              <w:bottom w:val="nil"/>
              <w:right w:val="nil"/>
            </w:tcBorders>
            <w:shd w:val="clear" w:color="auto" w:fill="auto"/>
            <w:noWrap/>
            <w:vAlign w:val="bottom"/>
            <w:hideMark/>
          </w:tcPr>
          <w:p w:rsidR="0098605A" w:rsidRPr="0098605A" w:rsidRDefault="0098605A" w:rsidP="0098605A">
            <w:pPr>
              <w:spacing w:after="0" w:line="240" w:lineRule="auto"/>
              <w:rPr>
                <w:rFonts w:ascii="Calibri" w:eastAsia="Times New Roman" w:hAnsi="Calibri" w:cs="Calibri"/>
                <w:b/>
                <w:bCs/>
                <w:color w:val="000000"/>
              </w:rPr>
            </w:pPr>
            <w:r w:rsidRPr="0098605A">
              <w:rPr>
                <w:rFonts w:ascii="Calibri" w:eastAsia="Times New Roman" w:hAnsi="Calibri" w:cs="Calibri"/>
                <w:b/>
                <w:bCs/>
                <w:color w:val="000000"/>
              </w:rPr>
              <w:t>No Answer</w:t>
            </w:r>
          </w:p>
        </w:tc>
        <w:tc>
          <w:tcPr>
            <w:tcW w:w="1093" w:type="dxa"/>
            <w:tcBorders>
              <w:top w:val="nil"/>
              <w:left w:val="single" w:sz="4" w:space="0" w:color="auto"/>
              <w:bottom w:val="single" w:sz="4" w:space="0" w:color="auto"/>
              <w:right w:val="single" w:sz="4" w:space="0" w:color="auto"/>
            </w:tcBorders>
            <w:shd w:val="clear" w:color="auto" w:fill="auto"/>
            <w:noWrap/>
            <w:vAlign w:val="bottom"/>
            <w:hideMark/>
          </w:tcPr>
          <w:p w:rsidR="0098605A" w:rsidRPr="0098605A" w:rsidRDefault="0098605A" w:rsidP="0098605A">
            <w:pPr>
              <w:spacing w:after="0" w:line="240" w:lineRule="auto"/>
              <w:jc w:val="center"/>
              <w:rPr>
                <w:rFonts w:ascii="Calibri" w:eastAsia="Times New Roman" w:hAnsi="Calibri" w:cs="Calibri"/>
                <w:color w:val="000000"/>
              </w:rPr>
            </w:pPr>
            <w:r w:rsidRPr="0098605A">
              <w:rPr>
                <w:rFonts w:ascii="Calibri" w:eastAsia="Times New Roman" w:hAnsi="Calibri" w:cs="Calibri"/>
                <w:color w:val="000000"/>
              </w:rPr>
              <w:t>0</w:t>
            </w:r>
          </w:p>
        </w:tc>
        <w:tc>
          <w:tcPr>
            <w:tcW w:w="1340" w:type="dxa"/>
            <w:tcBorders>
              <w:top w:val="nil"/>
              <w:left w:val="nil"/>
              <w:bottom w:val="single" w:sz="4" w:space="0" w:color="auto"/>
              <w:right w:val="single" w:sz="4" w:space="0" w:color="auto"/>
            </w:tcBorders>
            <w:shd w:val="clear" w:color="auto" w:fill="auto"/>
            <w:noWrap/>
            <w:vAlign w:val="bottom"/>
            <w:hideMark/>
          </w:tcPr>
          <w:p w:rsidR="0098605A" w:rsidRPr="0098605A" w:rsidRDefault="0098605A" w:rsidP="0098605A">
            <w:pPr>
              <w:spacing w:after="0" w:line="240" w:lineRule="auto"/>
              <w:jc w:val="center"/>
              <w:rPr>
                <w:rFonts w:ascii="Calibri" w:eastAsia="Times New Roman" w:hAnsi="Calibri" w:cs="Calibri"/>
                <w:color w:val="000000"/>
              </w:rPr>
            </w:pPr>
            <w:r w:rsidRPr="0098605A">
              <w:rPr>
                <w:rFonts w:ascii="Calibri" w:eastAsia="Times New Roman" w:hAnsi="Calibri" w:cs="Calibri"/>
                <w:color w:val="000000"/>
              </w:rPr>
              <w:t>0</w:t>
            </w:r>
          </w:p>
        </w:tc>
        <w:tc>
          <w:tcPr>
            <w:tcW w:w="1340" w:type="dxa"/>
            <w:tcBorders>
              <w:top w:val="nil"/>
              <w:left w:val="nil"/>
              <w:bottom w:val="single" w:sz="4" w:space="0" w:color="auto"/>
              <w:right w:val="single" w:sz="4" w:space="0" w:color="auto"/>
            </w:tcBorders>
            <w:shd w:val="clear" w:color="auto" w:fill="auto"/>
            <w:noWrap/>
            <w:vAlign w:val="bottom"/>
            <w:hideMark/>
          </w:tcPr>
          <w:p w:rsidR="0098605A" w:rsidRPr="0098605A" w:rsidRDefault="0098605A" w:rsidP="0098605A">
            <w:pPr>
              <w:spacing w:after="0" w:line="240" w:lineRule="auto"/>
              <w:jc w:val="center"/>
              <w:rPr>
                <w:rFonts w:ascii="Calibri" w:eastAsia="Times New Roman" w:hAnsi="Calibri" w:cs="Calibri"/>
                <w:color w:val="000000"/>
              </w:rPr>
            </w:pPr>
            <w:r w:rsidRPr="0098605A">
              <w:rPr>
                <w:rFonts w:ascii="Calibri" w:eastAsia="Times New Roman" w:hAnsi="Calibri" w:cs="Calibri"/>
                <w:color w:val="000000"/>
              </w:rPr>
              <w:t>0</w:t>
            </w:r>
          </w:p>
        </w:tc>
        <w:tc>
          <w:tcPr>
            <w:tcW w:w="1340" w:type="dxa"/>
            <w:tcBorders>
              <w:top w:val="nil"/>
              <w:left w:val="nil"/>
              <w:bottom w:val="single" w:sz="4" w:space="0" w:color="auto"/>
              <w:right w:val="single" w:sz="4" w:space="0" w:color="auto"/>
            </w:tcBorders>
            <w:shd w:val="clear" w:color="auto" w:fill="auto"/>
            <w:noWrap/>
            <w:vAlign w:val="bottom"/>
            <w:hideMark/>
          </w:tcPr>
          <w:p w:rsidR="0098605A" w:rsidRPr="0098605A" w:rsidRDefault="0098605A" w:rsidP="0098605A">
            <w:pPr>
              <w:spacing w:after="0" w:line="240" w:lineRule="auto"/>
              <w:jc w:val="center"/>
              <w:rPr>
                <w:rFonts w:ascii="Calibri" w:eastAsia="Times New Roman" w:hAnsi="Calibri" w:cs="Calibri"/>
                <w:color w:val="000000"/>
              </w:rPr>
            </w:pPr>
            <w:r w:rsidRPr="0098605A">
              <w:rPr>
                <w:rFonts w:ascii="Calibri" w:eastAsia="Times New Roman" w:hAnsi="Calibri" w:cs="Calibri"/>
                <w:color w:val="000000"/>
              </w:rPr>
              <w:t>0</w:t>
            </w:r>
          </w:p>
        </w:tc>
        <w:tc>
          <w:tcPr>
            <w:tcW w:w="1340" w:type="dxa"/>
            <w:tcBorders>
              <w:top w:val="nil"/>
              <w:left w:val="nil"/>
              <w:bottom w:val="single" w:sz="4" w:space="0" w:color="auto"/>
              <w:right w:val="single" w:sz="4" w:space="0" w:color="auto"/>
            </w:tcBorders>
            <w:shd w:val="clear" w:color="auto" w:fill="auto"/>
            <w:noWrap/>
            <w:vAlign w:val="bottom"/>
            <w:hideMark/>
          </w:tcPr>
          <w:p w:rsidR="0098605A" w:rsidRPr="0098605A" w:rsidRDefault="0098605A" w:rsidP="0098605A">
            <w:pPr>
              <w:spacing w:after="0" w:line="240" w:lineRule="auto"/>
              <w:jc w:val="center"/>
              <w:rPr>
                <w:rFonts w:ascii="Calibri" w:eastAsia="Times New Roman" w:hAnsi="Calibri" w:cs="Calibri"/>
                <w:color w:val="000000"/>
              </w:rPr>
            </w:pPr>
            <w:r w:rsidRPr="0098605A">
              <w:rPr>
                <w:rFonts w:ascii="Calibri" w:eastAsia="Times New Roman" w:hAnsi="Calibri" w:cs="Calibri"/>
                <w:color w:val="000000"/>
              </w:rPr>
              <w:t>0</w:t>
            </w:r>
          </w:p>
        </w:tc>
        <w:tc>
          <w:tcPr>
            <w:tcW w:w="1340" w:type="dxa"/>
            <w:tcBorders>
              <w:top w:val="nil"/>
              <w:left w:val="nil"/>
              <w:bottom w:val="single" w:sz="4" w:space="0" w:color="auto"/>
              <w:right w:val="single" w:sz="4" w:space="0" w:color="auto"/>
            </w:tcBorders>
            <w:shd w:val="clear" w:color="auto" w:fill="auto"/>
            <w:noWrap/>
            <w:vAlign w:val="bottom"/>
            <w:hideMark/>
          </w:tcPr>
          <w:p w:rsidR="0098605A" w:rsidRPr="0098605A" w:rsidRDefault="0098605A" w:rsidP="0098605A">
            <w:pPr>
              <w:spacing w:after="0" w:line="240" w:lineRule="auto"/>
              <w:jc w:val="center"/>
              <w:rPr>
                <w:rFonts w:ascii="Calibri" w:eastAsia="Times New Roman" w:hAnsi="Calibri" w:cs="Calibri"/>
                <w:color w:val="000000"/>
              </w:rPr>
            </w:pPr>
            <w:r w:rsidRPr="0098605A">
              <w:rPr>
                <w:rFonts w:ascii="Calibri" w:eastAsia="Times New Roman" w:hAnsi="Calibri" w:cs="Calibri"/>
                <w:color w:val="000000"/>
              </w:rPr>
              <w:t>2</w:t>
            </w:r>
          </w:p>
        </w:tc>
      </w:tr>
    </w:tbl>
    <w:p w:rsidR="0098605A" w:rsidRDefault="0098605A" w:rsidP="0098605A">
      <w:pPr>
        <w:pStyle w:val="NoSpacing"/>
      </w:pPr>
    </w:p>
    <w:p w:rsidR="002268BB" w:rsidRDefault="002268BB" w:rsidP="0098605A">
      <w:pPr>
        <w:pStyle w:val="NoSpacing"/>
      </w:pPr>
    </w:p>
    <w:p w:rsidR="002A5542" w:rsidRDefault="002A5542" w:rsidP="0098605A">
      <w:pPr>
        <w:pStyle w:val="NoSpacing"/>
      </w:pPr>
    </w:p>
    <w:p w:rsidR="002A5542" w:rsidRDefault="002A5542" w:rsidP="0098605A">
      <w:pPr>
        <w:pStyle w:val="NoSpacing"/>
      </w:pPr>
    </w:p>
    <w:p w:rsidR="002268BB" w:rsidRDefault="002268BB" w:rsidP="002268BB">
      <w:pPr>
        <w:pStyle w:val="NoSpacing"/>
        <w:jc w:val="center"/>
      </w:pPr>
      <w:r>
        <w:rPr>
          <w:noProof/>
        </w:rPr>
        <w:drawing>
          <wp:inline distT="0" distB="0" distL="0" distR="0" wp14:anchorId="5DB673CB" wp14:editId="7EB2F4F3">
            <wp:extent cx="6042660" cy="3771900"/>
            <wp:effectExtent l="0" t="0" r="15240" b="1905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2268BB" w:rsidRDefault="002268BB" w:rsidP="0098605A">
      <w:pPr>
        <w:jc w:val="center"/>
        <w:rPr>
          <w:b/>
        </w:rPr>
      </w:pPr>
    </w:p>
    <w:p w:rsidR="00127068" w:rsidRDefault="00622198" w:rsidP="00D461C5">
      <w:pPr>
        <w:rPr>
          <w:b/>
        </w:rPr>
      </w:pPr>
      <w:r>
        <w:rPr>
          <w:b/>
        </w:rPr>
        <w:t xml:space="preserve"> </w:t>
      </w:r>
      <w:r w:rsidR="0098605A">
        <w:rPr>
          <w:b/>
        </w:rPr>
        <w:t xml:space="preserve">     </w:t>
      </w:r>
      <w:r w:rsidR="0098605A">
        <w:rPr>
          <w:b/>
        </w:rPr>
        <w:tab/>
      </w:r>
      <w:r w:rsidR="0098605A">
        <w:rPr>
          <w:b/>
        </w:rPr>
        <w:tab/>
      </w:r>
      <w:r w:rsidR="0098605A">
        <w:rPr>
          <w:b/>
        </w:rPr>
        <w:tab/>
        <w:t xml:space="preserve">  </w:t>
      </w:r>
    </w:p>
    <w:p w:rsidR="00F6266E" w:rsidRDefault="002268BB" w:rsidP="00ED6DB1">
      <w:pPr>
        <w:pStyle w:val="ListParagraph"/>
        <w:rPr>
          <w:b/>
        </w:rPr>
      </w:pPr>
      <w:r w:rsidRPr="00EC6337">
        <w:rPr>
          <w:b/>
          <w:sz w:val="24"/>
          <w:szCs w:val="24"/>
        </w:rPr>
        <w:t>Convenience:</w:t>
      </w:r>
      <w:r w:rsidRPr="00EC6337">
        <w:rPr>
          <w:sz w:val="24"/>
          <w:szCs w:val="24"/>
        </w:rPr>
        <w:t xml:space="preserve">  53.6% of respondents </w:t>
      </w:r>
      <w:r w:rsidR="00612690" w:rsidRPr="00EC6337">
        <w:rPr>
          <w:sz w:val="24"/>
          <w:szCs w:val="24"/>
        </w:rPr>
        <w:t>rated</w:t>
      </w:r>
      <w:r w:rsidRPr="00EC6337">
        <w:rPr>
          <w:sz w:val="24"/>
          <w:szCs w:val="24"/>
        </w:rPr>
        <w:t xml:space="preserve"> the ease of obtaining information about services offered </w:t>
      </w:r>
      <w:r w:rsidR="00612690" w:rsidRPr="00EC6337">
        <w:rPr>
          <w:sz w:val="24"/>
          <w:szCs w:val="24"/>
        </w:rPr>
        <w:t>as</w:t>
      </w:r>
      <w:r w:rsidRPr="00EC6337">
        <w:rPr>
          <w:sz w:val="24"/>
          <w:szCs w:val="24"/>
        </w:rPr>
        <w:t xml:space="preserve"> </w:t>
      </w:r>
      <w:r w:rsidR="00C62CF4">
        <w:rPr>
          <w:sz w:val="24"/>
          <w:szCs w:val="24"/>
        </w:rPr>
        <w:t>“P</w:t>
      </w:r>
      <w:r w:rsidRPr="00EC6337">
        <w:rPr>
          <w:sz w:val="24"/>
          <w:szCs w:val="24"/>
        </w:rPr>
        <w:t>oor</w:t>
      </w:r>
      <w:r w:rsidR="00C62CF4">
        <w:rPr>
          <w:sz w:val="24"/>
          <w:szCs w:val="24"/>
        </w:rPr>
        <w:t>”</w:t>
      </w:r>
      <w:r w:rsidRPr="00EC6337">
        <w:rPr>
          <w:sz w:val="24"/>
          <w:szCs w:val="24"/>
        </w:rPr>
        <w:t xml:space="preserve"> or </w:t>
      </w:r>
      <w:r w:rsidR="00C62CF4">
        <w:rPr>
          <w:sz w:val="24"/>
          <w:szCs w:val="24"/>
        </w:rPr>
        <w:t>“V</w:t>
      </w:r>
      <w:r w:rsidRPr="00EC6337">
        <w:rPr>
          <w:sz w:val="24"/>
          <w:szCs w:val="24"/>
        </w:rPr>
        <w:t xml:space="preserve">ery </w:t>
      </w:r>
      <w:r w:rsidR="00C62CF4">
        <w:rPr>
          <w:sz w:val="24"/>
          <w:szCs w:val="24"/>
        </w:rPr>
        <w:t>P</w:t>
      </w:r>
      <w:r w:rsidRPr="00EC6337">
        <w:rPr>
          <w:sz w:val="24"/>
          <w:szCs w:val="24"/>
        </w:rPr>
        <w:t>oor</w:t>
      </w:r>
      <w:r w:rsidR="00C62CF4">
        <w:rPr>
          <w:sz w:val="24"/>
          <w:szCs w:val="24"/>
        </w:rPr>
        <w:t>”</w:t>
      </w:r>
      <w:r w:rsidRPr="00EC6337">
        <w:rPr>
          <w:sz w:val="24"/>
          <w:szCs w:val="24"/>
        </w:rPr>
        <w:t>.  This was reflected in the short answer questions</w:t>
      </w:r>
      <w:r w:rsidR="00421637">
        <w:rPr>
          <w:sz w:val="24"/>
          <w:szCs w:val="24"/>
        </w:rPr>
        <w:t xml:space="preserve"> (see below)</w:t>
      </w:r>
      <w:r w:rsidRPr="00EC6337">
        <w:rPr>
          <w:sz w:val="24"/>
          <w:szCs w:val="24"/>
        </w:rPr>
        <w:t xml:space="preserve"> where the need for a Directory of Services was the </w:t>
      </w:r>
      <w:r w:rsidR="00612690" w:rsidRPr="00EC6337">
        <w:rPr>
          <w:sz w:val="24"/>
          <w:szCs w:val="24"/>
        </w:rPr>
        <w:t xml:space="preserve">most frequent </w:t>
      </w:r>
      <w:r w:rsidRPr="00EC6337">
        <w:rPr>
          <w:sz w:val="24"/>
          <w:szCs w:val="24"/>
        </w:rPr>
        <w:t>request.</w:t>
      </w:r>
      <w:r w:rsidR="00A824A2">
        <w:rPr>
          <w:noProof/>
        </w:rPr>
        <w:drawing>
          <wp:inline distT="0" distB="0" distL="0" distR="0" wp14:anchorId="308CCD7E" wp14:editId="24B42328">
            <wp:extent cx="4610100" cy="290322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2268BB" w:rsidRPr="00EC6337" w:rsidRDefault="002268BB" w:rsidP="002268BB">
      <w:pPr>
        <w:pStyle w:val="ListParagraph"/>
        <w:spacing w:line="240" w:lineRule="auto"/>
        <w:rPr>
          <w:sz w:val="24"/>
          <w:szCs w:val="24"/>
        </w:rPr>
      </w:pPr>
      <w:r w:rsidRPr="00EC6337">
        <w:rPr>
          <w:b/>
          <w:sz w:val="24"/>
          <w:szCs w:val="24"/>
        </w:rPr>
        <w:lastRenderedPageBreak/>
        <w:t>Timeliness:</w:t>
      </w:r>
      <w:r w:rsidRPr="00EC6337">
        <w:rPr>
          <w:sz w:val="24"/>
          <w:szCs w:val="24"/>
        </w:rPr>
        <w:t xml:space="preserve">  52.1% of respondents </w:t>
      </w:r>
      <w:r w:rsidR="00622198" w:rsidRPr="00EC6337">
        <w:rPr>
          <w:sz w:val="24"/>
          <w:szCs w:val="24"/>
        </w:rPr>
        <w:t>stated</w:t>
      </w:r>
      <w:r w:rsidRPr="00EC6337">
        <w:rPr>
          <w:sz w:val="24"/>
          <w:szCs w:val="24"/>
        </w:rPr>
        <w:t xml:space="preserve"> </w:t>
      </w:r>
      <w:r w:rsidR="00622198" w:rsidRPr="00EC6337">
        <w:rPr>
          <w:sz w:val="24"/>
          <w:szCs w:val="24"/>
        </w:rPr>
        <w:t xml:space="preserve">that delivery of </w:t>
      </w:r>
      <w:r w:rsidRPr="00EC6337">
        <w:rPr>
          <w:sz w:val="24"/>
          <w:szCs w:val="24"/>
        </w:rPr>
        <w:t>services within the time promised</w:t>
      </w:r>
      <w:r w:rsidR="00622198" w:rsidRPr="00EC6337">
        <w:rPr>
          <w:sz w:val="24"/>
          <w:szCs w:val="24"/>
        </w:rPr>
        <w:t xml:space="preserve"> was “Poor” or </w:t>
      </w:r>
      <w:r w:rsidRPr="00EC6337">
        <w:rPr>
          <w:sz w:val="24"/>
          <w:szCs w:val="24"/>
        </w:rPr>
        <w:t>“Very Poor”.  This was reflected in the short answer questions</w:t>
      </w:r>
      <w:r w:rsidR="00421637">
        <w:rPr>
          <w:sz w:val="24"/>
          <w:szCs w:val="24"/>
        </w:rPr>
        <w:t xml:space="preserve"> (see below)</w:t>
      </w:r>
      <w:r w:rsidRPr="00EC6337">
        <w:rPr>
          <w:sz w:val="24"/>
          <w:szCs w:val="24"/>
        </w:rPr>
        <w:t xml:space="preserve"> with the request for imp</w:t>
      </w:r>
      <w:r w:rsidR="00622198" w:rsidRPr="00EC6337">
        <w:rPr>
          <w:sz w:val="24"/>
          <w:szCs w:val="24"/>
        </w:rPr>
        <w:t>roved turnaround time for testing.</w:t>
      </w:r>
    </w:p>
    <w:p w:rsidR="00C1151F" w:rsidRDefault="00C1151F" w:rsidP="002268BB">
      <w:pPr>
        <w:pStyle w:val="ListParagraph"/>
        <w:spacing w:line="240" w:lineRule="auto"/>
      </w:pPr>
    </w:p>
    <w:p w:rsidR="002268BB" w:rsidRDefault="002268BB" w:rsidP="00736224">
      <w:pPr>
        <w:pStyle w:val="ListParagraph"/>
        <w:tabs>
          <w:tab w:val="left" w:pos="4320"/>
        </w:tabs>
        <w:spacing w:line="240" w:lineRule="auto"/>
      </w:pPr>
      <w:r>
        <w:rPr>
          <w:noProof/>
        </w:rPr>
        <w:drawing>
          <wp:inline distT="0" distB="0" distL="0" distR="0" wp14:anchorId="679C248C" wp14:editId="6C3300AC">
            <wp:extent cx="5379720" cy="3025140"/>
            <wp:effectExtent l="0" t="0" r="0" b="3810"/>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2268BB" w:rsidRPr="00EC6337" w:rsidRDefault="002268BB" w:rsidP="006A6B82">
      <w:pPr>
        <w:pStyle w:val="ListParagraph"/>
        <w:spacing w:line="240" w:lineRule="auto"/>
        <w:rPr>
          <w:sz w:val="24"/>
          <w:szCs w:val="24"/>
        </w:rPr>
      </w:pPr>
      <w:r w:rsidRPr="00EC6337">
        <w:rPr>
          <w:b/>
          <w:sz w:val="24"/>
          <w:szCs w:val="24"/>
        </w:rPr>
        <w:t>Accessibility:</w:t>
      </w:r>
      <w:r w:rsidRPr="00EC6337">
        <w:rPr>
          <w:sz w:val="24"/>
          <w:szCs w:val="24"/>
        </w:rPr>
        <w:t xml:space="preserve">  </w:t>
      </w:r>
      <w:r w:rsidR="00622198" w:rsidRPr="00EC6337">
        <w:rPr>
          <w:sz w:val="24"/>
          <w:szCs w:val="24"/>
        </w:rPr>
        <w:t>39</w:t>
      </w:r>
      <w:r w:rsidRPr="00EC6337">
        <w:rPr>
          <w:sz w:val="24"/>
          <w:szCs w:val="24"/>
        </w:rPr>
        <w:t xml:space="preserve">% of respondents </w:t>
      </w:r>
      <w:r w:rsidR="00622198" w:rsidRPr="00EC6337">
        <w:rPr>
          <w:sz w:val="24"/>
          <w:szCs w:val="24"/>
        </w:rPr>
        <w:t xml:space="preserve">rated the ability to </w:t>
      </w:r>
      <w:r w:rsidRPr="00EC6337">
        <w:rPr>
          <w:sz w:val="24"/>
          <w:szCs w:val="24"/>
        </w:rPr>
        <w:t>reach someone to interpret results</w:t>
      </w:r>
      <w:r w:rsidR="00622198" w:rsidRPr="00EC6337">
        <w:rPr>
          <w:sz w:val="24"/>
          <w:szCs w:val="24"/>
        </w:rPr>
        <w:t xml:space="preserve"> as “</w:t>
      </w:r>
      <w:r w:rsidR="00AD5BDD">
        <w:rPr>
          <w:sz w:val="24"/>
          <w:szCs w:val="24"/>
        </w:rPr>
        <w:t>P</w:t>
      </w:r>
      <w:r w:rsidR="00622198" w:rsidRPr="00EC6337">
        <w:rPr>
          <w:sz w:val="24"/>
          <w:szCs w:val="24"/>
        </w:rPr>
        <w:t>oor” or “Very Poor”, while 61% rated</w:t>
      </w:r>
      <w:r w:rsidR="00C1151F" w:rsidRPr="00EC6337">
        <w:rPr>
          <w:sz w:val="24"/>
          <w:szCs w:val="24"/>
        </w:rPr>
        <w:t xml:space="preserve"> accessibility as “Good” or “Very Good”.</w:t>
      </w:r>
      <w:r w:rsidRPr="00EC6337">
        <w:rPr>
          <w:sz w:val="24"/>
          <w:szCs w:val="24"/>
        </w:rPr>
        <w:t xml:space="preserve">  This was </w:t>
      </w:r>
      <w:r w:rsidR="00C1151F" w:rsidRPr="00EC6337">
        <w:rPr>
          <w:sz w:val="24"/>
          <w:szCs w:val="24"/>
        </w:rPr>
        <w:t>reflected</w:t>
      </w:r>
      <w:r w:rsidRPr="00EC6337">
        <w:rPr>
          <w:sz w:val="24"/>
          <w:szCs w:val="24"/>
        </w:rPr>
        <w:t xml:space="preserve"> with short answer question</w:t>
      </w:r>
      <w:r w:rsidR="00421637">
        <w:rPr>
          <w:sz w:val="24"/>
          <w:szCs w:val="24"/>
        </w:rPr>
        <w:t>s (see below)</w:t>
      </w:r>
      <w:r w:rsidRPr="00EC6337">
        <w:rPr>
          <w:sz w:val="24"/>
          <w:szCs w:val="24"/>
        </w:rPr>
        <w:t xml:space="preserve"> where technical assistance and consultation </w:t>
      </w:r>
      <w:r w:rsidR="00622198" w:rsidRPr="00EC6337">
        <w:rPr>
          <w:sz w:val="24"/>
          <w:szCs w:val="24"/>
        </w:rPr>
        <w:t>were</w:t>
      </w:r>
      <w:r w:rsidRPr="00EC6337">
        <w:rPr>
          <w:sz w:val="24"/>
          <w:szCs w:val="24"/>
        </w:rPr>
        <w:t xml:space="preserve"> the most helpful services listed.</w:t>
      </w:r>
    </w:p>
    <w:p w:rsidR="00351443" w:rsidRDefault="00A824A2" w:rsidP="006A6B82">
      <w:pPr>
        <w:tabs>
          <w:tab w:val="left" w:pos="2880"/>
          <w:tab w:val="left" w:pos="4320"/>
        </w:tabs>
        <w:spacing w:line="240" w:lineRule="auto"/>
        <w:jc w:val="center"/>
        <w:rPr>
          <w:b/>
        </w:rPr>
      </w:pPr>
      <w:r>
        <w:rPr>
          <w:noProof/>
        </w:rPr>
        <w:drawing>
          <wp:inline distT="0" distB="0" distL="0" distR="0" wp14:anchorId="4FD86641" wp14:editId="3BD7A261">
            <wp:extent cx="4572000" cy="2743200"/>
            <wp:effectExtent l="0" t="0" r="0" b="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C1151F" w:rsidRDefault="00C1151F" w:rsidP="006A6B82">
      <w:pPr>
        <w:pStyle w:val="ListParagraph"/>
        <w:rPr>
          <w:b/>
        </w:rPr>
      </w:pPr>
    </w:p>
    <w:p w:rsidR="00C1151F" w:rsidRDefault="00C1151F" w:rsidP="006A6B82">
      <w:pPr>
        <w:pStyle w:val="ListParagraph"/>
        <w:rPr>
          <w:b/>
        </w:rPr>
      </w:pPr>
    </w:p>
    <w:p w:rsidR="002268BB" w:rsidRPr="00EC6337" w:rsidRDefault="002268BB" w:rsidP="006A6B82">
      <w:pPr>
        <w:pStyle w:val="ListParagraph"/>
        <w:rPr>
          <w:b/>
          <w:sz w:val="24"/>
          <w:szCs w:val="24"/>
        </w:rPr>
      </w:pPr>
      <w:r w:rsidRPr="00EC6337">
        <w:rPr>
          <w:b/>
          <w:sz w:val="24"/>
          <w:szCs w:val="24"/>
        </w:rPr>
        <w:t xml:space="preserve">Forms </w:t>
      </w:r>
      <w:r w:rsidR="00736224" w:rsidRPr="00EC6337">
        <w:rPr>
          <w:b/>
          <w:sz w:val="24"/>
          <w:szCs w:val="24"/>
        </w:rPr>
        <w:t>and Reports</w:t>
      </w:r>
      <w:r w:rsidRPr="00EC6337">
        <w:rPr>
          <w:b/>
          <w:sz w:val="24"/>
          <w:szCs w:val="24"/>
        </w:rPr>
        <w:t>:</w:t>
      </w:r>
      <w:r w:rsidRPr="00EC6337">
        <w:rPr>
          <w:sz w:val="24"/>
          <w:szCs w:val="24"/>
        </w:rPr>
        <w:t xml:space="preserve">  </w:t>
      </w:r>
      <w:r w:rsidR="00C1151F" w:rsidRPr="00EC6337">
        <w:rPr>
          <w:sz w:val="24"/>
          <w:szCs w:val="24"/>
        </w:rPr>
        <w:t>None of the r</w:t>
      </w:r>
      <w:r w:rsidRPr="00EC6337">
        <w:rPr>
          <w:sz w:val="24"/>
          <w:szCs w:val="24"/>
        </w:rPr>
        <w:t xml:space="preserve">espondents </w:t>
      </w:r>
      <w:r w:rsidR="00C1151F" w:rsidRPr="00EC6337">
        <w:rPr>
          <w:sz w:val="24"/>
          <w:szCs w:val="24"/>
        </w:rPr>
        <w:t xml:space="preserve">rated the ease of using the specimen submission form and interpreting the results form as “Very Poor”.  The majority of the respondents rated </w:t>
      </w:r>
      <w:r w:rsidR="00C1151F" w:rsidRPr="00EC6337">
        <w:rPr>
          <w:sz w:val="24"/>
          <w:szCs w:val="24"/>
        </w:rPr>
        <w:lastRenderedPageBreak/>
        <w:t>these aspects as “Good”</w:t>
      </w:r>
      <w:r w:rsidRPr="00EC6337">
        <w:rPr>
          <w:sz w:val="24"/>
          <w:szCs w:val="24"/>
        </w:rPr>
        <w:t xml:space="preserve"> </w:t>
      </w:r>
      <w:r w:rsidR="00C1151F" w:rsidRPr="00EC6337">
        <w:rPr>
          <w:sz w:val="24"/>
          <w:szCs w:val="24"/>
        </w:rPr>
        <w:t>or “Very Good”.</w:t>
      </w:r>
      <w:r w:rsidRPr="00EC6337">
        <w:rPr>
          <w:sz w:val="24"/>
          <w:szCs w:val="24"/>
        </w:rPr>
        <w:t xml:space="preserve"> The short answer questions reflected their desire to have these forms and reports available electronically.</w:t>
      </w:r>
    </w:p>
    <w:p w:rsidR="008F46B9" w:rsidRPr="002268BB" w:rsidRDefault="008014D0" w:rsidP="002268BB">
      <w:pPr>
        <w:pStyle w:val="ListParagraph"/>
        <w:spacing w:line="240" w:lineRule="auto"/>
        <w:rPr>
          <w:b/>
        </w:rPr>
      </w:pPr>
      <w:r w:rsidRPr="002268BB">
        <w:rPr>
          <w:b/>
        </w:rPr>
        <w:t xml:space="preserve"> </w:t>
      </w:r>
    </w:p>
    <w:p w:rsidR="00B665BA" w:rsidRDefault="00AE5FEA" w:rsidP="00B665BA">
      <w:pPr>
        <w:ind w:left="864"/>
      </w:pPr>
      <w:r>
        <w:rPr>
          <w:noProof/>
        </w:rPr>
        <w:drawing>
          <wp:inline distT="0" distB="0" distL="0" distR="0" wp14:anchorId="172FBA06" wp14:editId="1D002E6E">
            <wp:extent cx="2819400" cy="2105025"/>
            <wp:effectExtent l="0" t="0" r="0" b="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sidR="00B665BA">
        <w:rPr>
          <w:noProof/>
        </w:rPr>
        <w:drawing>
          <wp:inline distT="0" distB="0" distL="0" distR="0" wp14:anchorId="2B01F8EB" wp14:editId="05B729BD">
            <wp:extent cx="2867025" cy="2105025"/>
            <wp:effectExtent l="0" t="0" r="0" b="0"/>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705FE5" w:rsidRDefault="00705FE5">
      <w:pPr>
        <w:rPr>
          <w:b/>
          <w:sz w:val="24"/>
          <w:szCs w:val="24"/>
        </w:rPr>
      </w:pPr>
    </w:p>
    <w:p w:rsidR="006A6B82" w:rsidRPr="006F6235" w:rsidRDefault="006A6B82" w:rsidP="00CA4103">
      <w:pPr>
        <w:pStyle w:val="NoSpacing"/>
        <w:tabs>
          <w:tab w:val="left" w:pos="450"/>
        </w:tabs>
        <w:ind w:left="360"/>
        <w:rPr>
          <w:b/>
          <w:sz w:val="24"/>
          <w:szCs w:val="24"/>
        </w:rPr>
      </w:pPr>
      <w:r w:rsidRPr="008014D0">
        <w:rPr>
          <w:b/>
          <w:sz w:val="24"/>
          <w:szCs w:val="24"/>
        </w:rPr>
        <w:t>Overall:</w:t>
      </w:r>
      <w:r w:rsidRPr="008014D0">
        <w:rPr>
          <w:sz w:val="24"/>
          <w:szCs w:val="24"/>
        </w:rPr>
        <w:t xml:space="preserve">  </w:t>
      </w:r>
      <w:r w:rsidR="00EC6337">
        <w:rPr>
          <w:sz w:val="24"/>
          <w:szCs w:val="24"/>
        </w:rPr>
        <w:t xml:space="preserve">Although 75% of the respondents rated CDC </w:t>
      </w:r>
      <w:r w:rsidR="00421637">
        <w:rPr>
          <w:sz w:val="24"/>
          <w:szCs w:val="24"/>
        </w:rPr>
        <w:t>ID</w:t>
      </w:r>
      <w:r w:rsidR="00EC6337">
        <w:rPr>
          <w:sz w:val="24"/>
          <w:szCs w:val="24"/>
        </w:rPr>
        <w:t xml:space="preserve"> Reference Laboratory services as “Very Good” (20</w:t>
      </w:r>
      <w:r w:rsidR="00C62CF4">
        <w:rPr>
          <w:sz w:val="24"/>
          <w:szCs w:val="24"/>
        </w:rPr>
        <w:t>.5%) and “Good” (53.8</w:t>
      </w:r>
      <w:r w:rsidR="00EC6337">
        <w:rPr>
          <w:sz w:val="24"/>
          <w:szCs w:val="24"/>
        </w:rPr>
        <w:t xml:space="preserve">%), </w:t>
      </w:r>
      <w:r w:rsidR="00C62CF4">
        <w:rPr>
          <w:sz w:val="24"/>
          <w:szCs w:val="24"/>
        </w:rPr>
        <w:t xml:space="preserve">over </w:t>
      </w:r>
      <w:r w:rsidR="00EC6337">
        <w:rPr>
          <w:sz w:val="24"/>
          <w:szCs w:val="24"/>
        </w:rPr>
        <w:t>25</w:t>
      </w:r>
      <w:r w:rsidR="00CA4103">
        <w:rPr>
          <w:sz w:val="24"/>
          <w:szCs w:val="24"/>
        </w:rPr>
        <w:t>% of respondents’ overall impression of CDC ID Reference Laboratories</w:t>
      </w:r>
      <w:r w:rsidR="00EC6337">
        <w:rPr>
          <w:sz w:val="24"/>
          <w:szCs w:val="24"/>
        </w:rPr>
        <w:t xml:space="preserve"> services was</w:t>
      </w:r>
      <w:r w:rsidR="00CA4103">
        <w:rPr>
          <w:sz w:val="24"/>
          <w:szCs w:val="24"/>
        </w:rPr>
        <w:t xml:space="preserve"> “Poor”.</w:t>
      </w:r>
    </w:p>
    <w:p w:rsidR="006A6B82" w:rsidRDefault="006A6B82" w:rsidP="00B665BA"/>
    <w:p w:rsidR="00020E72" w:rsidRDefault="00A824A2" w:rsidP="00EC6337">
      <w:pPr>
        <w:pStyle w:val="NoSpacing"/>
        <w:jc w:val="center"/>
        <w:rPr>
          <w:b/>
          <w:sz w:val="24"/>
          <w:szCs w:val="24"/>
        </w:rPr>
      </w:pPr>
      <w:r>
        <w:rPr>
          <w:noProof/>
        </w:rPr>
        <w:drawing>
          <wp:inline distT="0" distB="0" distL="0" distR="0" wp14:anchorId="6C208BF9" wp14:editId="37A6D04C">
            <wp:extent cx="4960620" cy="2804160"/>
            <wp:effectExtent l="0" t="0" r="0" b="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8014D0" w:rsidRDefault="008014D0" w:rsidP="0098605A">
      <w:pPr>
        <w:pStyle w:val="NoSpacing"/>
        <w:rPr>
          <w:b/>
          <w:sz w:val="24"/>
          <w:szCs w:val="24"/>
        </w:rPr>
      </w:pPr>
    </w:p>
    <w:p w:rsidR="0098605A" w:rsidRPr="009C7402" w:rsidRDefault="003D7D60" w:rsidP="0098605A">
      <w:pPr>
        <w:pStyle w:val="NoSpacing"/>
        <w:rPr>
          <w:b/>
          <w:sz w:val="24"/>
          <w:szCs w:val="24"/>
        </w:rPr>
      </w:pPr>
      <w:r w:rsidRPr="009C7402">
        <w:rPr>
          <w:b/>
          <w:sz w:val="24"/>
          <w:szCs w:val="24"/>
        </w:rPr>
        <w:t xml:space="preserve">Questions </w:t>
      </w:r>
      <w:r w:rsidR="00421637">
        <w:rPr>
          <w:b/>
          <w:sz w:val="24"/>
          <w:szCs w:val="24"/>
        </w:rPr>
        <w:t xml:space="preserve">7 - </w:t>
      </w:r>
      <w:r w:rsidR="002833B8">
        <w:rPr>
          <w:b/>
          <w:sz w:val="24"/>
          <w:szCs w:val="24"/>
        </w:rPr>
        <w:t>9</w:t>
      </w:r>
      <w:r w:rsidRPr="009C7402">
        <w:rPr>
          <w:b/>
          <w:sz w:val="24"/>
          <w:szCs w:val="24"/>
        </w:rPr>
        <w:t xml:space="preserve">:  </w:t>
      </w:r>
      <w:r w:rsidR="0098605A" w:rsidRPr="009C7402">
        <w:rPr>
          <w:b/>
          <w:sz w:val="24"/>
          <w:szCs w:val="24"/>
        </w:rPr>
        <w:t>Short answer</w:t>
      </w:r>
      <w:r w:rsidR="00421637">
        <w:rPr>
          <w:b/>
          <w:sz w:val="24"/>
          <w:szCs w:val="24"/>
        </w:rPr>
        <w:t xml:space="preserve"> questions</w:t>
      </w:r>
    </w:p>
    <w:p w:rsidR="00421637" w:rsidRDefault="00421637" w:rsidP="0098605A">
      <w:pPr>
        <w:pStyle w:val="NoSpacing"/>
        <w:rPr>
          <w:sz w:val="24"/>
          <w:szCs w:val="24"/>
        </w:rPr>
      </w:pPr>
    </w:p>
    <w:p w:rsidR="0098605A" w:rsidRPr="009C7402" w:rsidRDefault="0098605A" w:rsidP="0098605A">
      <w:pPr>
        <w:pStyle w:val="NoSpacing"/>
        <w:rPr>
          <w:sz w:val="24"/>
          <w:szCs w:val="24"/>
        </w:rPr>
      </w:pPr>
      <w:r w:rsidRPr="009C7402">
        <w:rPr>
          <w:sz w:val="24"/>
          <w:szCs w:val="24"/>
        </w:rPr>
        <w:t xml:space="preserve">The survey had three open-ended short answer questions to permit the public health laboratories to comment on areas needed for improvement and current services that are helpful.  </w:t>
      </w:r>
      <w:r w:rsidR="003D7D60" w:rsidRPr="009C7402">
        <w:rPr>
          <w:sz w:val="24"/>
          <w:szCs w:val="24"/>
        </w:rPr>
        <w:t>The comments were grouped according to similarity in nature and the top general comments are summarized below.</w:t>
      </w:r>
    </w:p>
    <w:p w:rsidR="003D7D60" w:rsidRPr="009C7402" w:rsidRDefault="003D7D60" w:rsidP="0098605A">
      <w:pPr>
        <w:pStyle w:val="NoSpacing"/>
        <w:rPr>
          <w:sz w:val="24"/>
          <w:szCs w:val="24"/>
        </w:rPr>
      </w:pPr>
    </w:p>
    <w:p w:rsidR="003D7D60" w:rsidRDefault="003D7D60" w:rsidP="00421637">
      <w:pPr>
        <w:pStyle w:val="NoSpacing"/>
        <w:numPr>
          <w:ilvl w:val="0"/>
          <w:numId w:val="10"/>
        </w:numPr>
        <w:rPr>
          <w:b/>
          <w:sz w:val="24"/>
          <w:szCs w:val="24"/>
        </w:rPr>
      </w:pPr>
      <w:r w:rsidRPr="009C7402">
        <w:rPr>
          <w:b/>
          <w:sz w:val="24"/>
          <w:szCs w:val="24"/>
        </w:rPr>
        <w:lastRenderedPageBreak/>
        <w:t xml:space="preserve">What are the three most important things CDC can do to improve the delivery of their ID reference laboratory services? </w:t>
      </w:r>
    </w:p>
    <w:p w:rsidR="00421637" w:rsidRPr="009C7402" w:rsidRDefault="00421637" w:rsidP="00421637">
      <w:pPr>
        <w:pStyle w:val="NoSpacing"/>
        <w:ind w:left="720"/>
        <w:rPr>
          <w:b/>
          <w:sz w:val="24"/>
          <w:szCs w:val="24"/>
        </w:rPr>
      </w:pPr>
    </w:p>
    <w:tbl>
      <w:tblPr>
        <w:tblStyle w:val="TableGrid"/>
        <w:tblW w:w="0" w:type="auto"/>
        <w:tblInd w:w="828" w:type="dxa"/>
        <w:tblLook w:val="04A0" w:firstRow="1" w:lastRow="0" w:firstColumn="1" w:lastColumn="0" w:noHBand="0" w:noVBand="1"/>
      </w:tblPr>
      <w:tblGrid>
        <w:gridCol w:w="1462"/>
        <w:gridCol w:w="8006"/>
      </w:tblGrid>
      <w:tr w:rsidR="003D7D60" w:rsidRPr="009C7402" w:rsidTr="003E3A9B">
        <w:tc>
          <w:tcPr>
            <w:tcW w:w="1462" w:type="dxa"/>
          </w:tcPr>
          <w:p w:rsidR="003D7D60" w:rsidRPr="009C7402" w:rsidRDefault="00351141" w:rsidP="003D7D60">
            <w:pPr>
              <w:pStyle w:val="NoSpacing"/>
              <w:jc w:val="center"/>
              <w:rPr>
                <w:b/>
                <w:sz w:val="24"/>
                <w:szCs w:val="24"/>
              </w:rPr>
            </w:pPr>
            <w:r w:rsidRPr="009C7402">
              <w:rPr>
                <w:b/>
                <w:sz w:val="24"/>
                <w:szCs w:val="24"/>
              </w:rPr>
              <w:t>No. (%) respondents</w:t>
            </w:r>
          </w:p>
        </w:tc>
        <w:tc>
          <w:tcPr>
            <w:tcW w:w="8006" w:type="dxa"/>
            <w:vAlign w:val="center"/>
          </w:tcPr>
          <w:p w:rsidR="003D7D60" w:rsidRPr="009C7402" w:rsidRDefault="003D7D60" w:rsidP="00AB3848">
            <w:pPr>
              <w:jc w:val="center"/>
              <w:rPr>
                <w:rFonts w:ascii="Calibri" w:hAnsi="Calibri" w:cs="Calibri"/>
                <w:b/>
                <w:color w:val="000000"/>
                <w:sz w:val="24"/>
                <w:szCs w:val="24"/>
              </w:rPr>
            </w:pPr>
            <w:r w:rsidRPr="009C7402">
              <w:rPr>
                <w:rFonts w:ascii="Calibri" w:hAnsi="Calibri" w:cs="Calibri"/>
                <w:b/>
                <w:color w:val="000000"/>
                <w:sz w:val="24"/>
                <w:szCs w:val="24"/>
              </w:rPr>
              <w:t>Comment</w:t>
            </w:r>
          </w:p>
        </w:tc>
      </w:tr>
      <w:tr w:rsidR="003D7D60" w:rsidRPr="009C7402" w:rsidTr="003E3A9B">
        <w:tc>
          <w:tcPr>
            <w:tcW w:w="1462" w:type="dxa"/>
          </w:tcPr>
          <w:p w:rsidR="003D7D60" w:rsidRPr="009C7402" w:rsidRDefault="003D7D60" w:rsidP="00351141">
            <w:pPr>
              <w:pStyle w:val="NoSpacing"/>
              <w:jc w:val="center"/>
              <w:rPr>
                <w:sz w:val="24"/>
                <w:szCs w:val="24"/>
              </w:rPr>
            </w:pPr>
            <w:r w:rsidRPr="009C7402">
              <w:rPr>
                <w:sz w:val="24"/>
                <w:szCs w:val="24"/>
              </w:rPr>
              <w:t>25</w:t>
            </w:r>
            <w:r w:rsidR="00351141" w:rsidRPr="009C7402">
              <w:rPr>
                <w:sz w:val="24"/>
                <w:szCs w:val="24"/>
              </w:rPr>
              <w:t xml:space="preserve"> (61%)</w:t>
            </w:r>
          </w:p>
        </w:tc>
        <w:tc>
          <w:tcPr>
            <w:tcW w:w="8006" w:type="dxa"/>
            <w:vAlign w:val="bottom"/>
          </w:tcPr>
          <w:p w:rsidR="003D7D60" w:rsidRPr="009C7402" w:rsidRDefault="002833B8" w:rsidP="00151430">
            <w:pPr>
              <w:rPr>
                <w:rFonts w:ascii="Calibri" w:hAnsi="Calibri" w:cs="Calibri"/>
                <w:color w:val="000000"/>
                <w:sz w:val="24"/>
                <w:szCs w:val="24"/>
              </w:rPr>
            </w:pPr>
            <w:r>
              <w:rPr>
                <w:rFonts w:ascii="Calibri" w:hAnsi="Calibri" w:cs="Calibri"/>
                <w:color w:val="000000"/>
                <w:sz w:val="24"/>
                <w:szCs w:val="24"/>
              </w:rPr>
              <w:t>Provide a d</w:t>
            </w:r>
            <w:r w:rsidR="00AB3848" w:rsidRPr="009C7402">
              <w:rPr>
                <w:rFonts w:ascii="Calibri" w:hAnsi="Calibri" w:cs="Calibri"/>
                <w:color w:val="000000"/>
                <w:sz w:val="24"/>
                <w:szCs w:val="24"/>
              </w:rPr>
              <w:t>irectory of c</w:t>
            </w:r>
            <w:r w:rsidR="003D7D60" w:rsidRPr="009C7402">
              <w:rPr>
                <w:rFonts w:ascii="Calibri" w:hAnsi="Calibri" w:cs="Calibri"/>
                <w:color w:val="000000"/>
                <w:sz w:val="24"/>
                <w:szCs w:val="24"/>
              </w:rPr>
              <w:t>ontacts by services</w:t>
            </w:r>
            <w:r w:rsidR="00151430">
              <w:rPr>
                <w:rFonts w:ascii="Calibri" w:hAnsi="Calibri" w:cs="Calibri"/>
                <w:color w:val="000000"/>
                <w:sz w:val="24"/>
                <w:szCs w:val="24"/>
              </w:rPr>
              <w:t xml:space="preserve"> (</w:t>
            </w:r>
            <w:r w:rsidR="003D7D60" w:rsidRPr="009C7402">
              <w:rPr>
                <w:rFonts w:ascii="Calibri" w:hAnsi="Calibri" w:cs="Calibri"/>
                <w:color w:val="000000"/>
                <w:sz w:val="24"/>
                <w:szCs w:val="24"/>
              </w:rPr>
              <w:t>phone and email</w:t>
            </w:r>
            <w:r w:rsidR="00151430">
              <w:rPr>
                <w:rFonts w:ascii="Calibri" w:hAnsi="Calibri" w:cs="Calibri"/>
                <w:color w:val="000000"/>
                <w:sz w:val="24"/>
                <w:szCs w:val="24"/>
              </w:rPr>
              <w:t>)</w:t>
            </w:r>
          </w:p>
        </w:tc>
      </w:tr>
      <w:tr w:rsidR="003D7D60" w:rsidRPr="009C7402" w:rsidTr="003E3A9B">
        <w:tc>
          <w:tcPr>
            <w:tcW w:w="1462" w:type="dxa"/>
          </w:tcPr>
          <w:p w:rsidR="003D7D60" w:rsidRPr="009C7402" w:rsidRDefault="003D7D60" w:rsidP="00351141">
            <w:pPr>
              <w:pStyle w:val="NoSpacing"/>
              <w:jc w:val="center"/>
              <w:rPr>
                <w:sz w:val="24"/>
                <w:szCs w:val="24"/>
              </w:rPr>
            </w:pPr>
            <w:r w:rsidRPr="009C7402">
              <w:rPr>
                <w:sz w:val="24"/>
                <w:szCs w:val="24"/>
              </w:rPr>
              <w:t>23</w:t>
            </w:r>
            <w:r w:rsidR="00351141" w:rsidRPr="009C7402">
              <w:rPr>
                <w:sz w:val="24"/>
                <w:szCs w:val="24"/>
              </w:rPr>
              <w:t xml:space="preserve"> (56%)</w:t>
            </w:r>
          </w:p>
        </w:tc>
        <w:tc>
          <w:tcPr>
            <w:tcW w:w="8006" w:type="dxa"/>
            <w:vAlign w:val="bottom"/>
          </w:tcPr>
          <w:p w:rsidR="003D7D60" w:rsidRPr="009C7402" w:rsidRDefault="002833B8" w:rsidP="00A67DC7">
            <w:pPr>
              <w:rPr>
                <w:rFonts w:ascii="Calibri" w:hAnsi="Calibri" w:cs="Calibri"/>
                <w:color w:val="000000"/>
                <w:sz w:val="24"/>
                <w:szCs w:val="24"/>
              </w:rPr>
            </w:pPr>
            <w:r>
              <w:rPr>
                <w:rFonts w:ascii="Calibri" w:hAnsi="Calibri" w:cs="Calibri"/>
                <w:color w:val="000000"/>
                <w:sz w:val="24"/>
                <w:szCs w:val="24"/>
              </w:rPr>
              <w:t>Provide a d</w:t>
            </w:r>
            <w:r w:rsidR="00AB3848" w:rsidRPr="009C7402">
              <w:rPr>
                <w:rFonts w:ascii="Calibri" w:hAnsi="Calibri" w:cs="Calibri"/>
                <w:color w:val="000000"/>
                <w:sz w:val="24"/>
                <w:szCs w:val="24"/>
              </w:rPr>
              <w:t>irectory of services (s</w:t>
            </w:r>
            <w:r w:rsidR="003D7D60" w:rsidRPr="009C7402">
              <w:rPr>
                <w:rFonts w:ascii="Calibri" w:hAnsi="Calibri" w:cs="Calibri"/>
                <w:color w:val="000000"/>
                <w:sz w:val="24"/>
                <w:szCs w:val="24"/>
              </w:rPr>
              <w:t>pec</w:t>
            </w:r>
            <w:r w:rsidR="00A67DC7">
              <w:rPr>
                <w:rFonts w:ascii="Calibri" w:hAnsi="Calibri" w:cs="Calibri"/>
                <w:color w:val="000000"/>
                <w:sz w:val="24"/>
                <w:szCs w:val="24"/>
              </w:rPr>
              <w:t>imen requirements &amp; transport; turnaround time</w:t>
            </w:r>
            <w:r w:rsidR="003D7D60" w:rsidRPr="009C7402">
              <w:rPr>
                <w:rFonts w:ascii="Calibri" w:hAnsi="Calibri" w:cs="Calibri"/>
                <w:color w:val="000000"/>
                <w:sz w:val="24"/>
                <w:szCs w:val="24"/>
              </w:rPr>
              <w:t>; frequency of testing, contact info)</w:t>
            </w:r>
          </w:p>
        </w:tc>
      </w:tr>
      <w:tr w:rsidR="003D7D60" w:rsidRPr="009C7402" w:rsidTr="003E3A9B">
        <w:tc>
          <w:tcPr>
            <w:tcW w:w="1462" w:type="dxa"/>
          </w:tcPr>
          <w:p w:rsidR="003D7D60" w:rsidRPr="009C7402" w:rsidRDefault="003D7D60" w:rsidP="00351141">
            <w:pPr>
              <w:pStyle w:val="NoSpacing"/>
              <w:jc w:val="center"/>
              <w:rPr>
                <w:sz w:val="24"/>
                <w:szCs w:val="24"/>
              </w:rPr>
            </w:pPr>
            <w:r w:rsidRPr="009C7402">
              <w:rPr>
                <w:sz w:val="24"/>
                <w:szCs w:val="24"/>
              </w:rPr>
              <w:t>23</w:t>
            </w:r>
            <w:r w:rsidR="00351141" w:rsidRPr="009C7402">
              <w:rPr>
                <w:sz w:val="24"/>
                <w:szCs w:val="24"/>
              </w:rPr>
              <w:t xml:space="preserve"> (56%)</w:t>
            </w:r>
          </w:p>
        </w:tc>
        <w:tc>
          <w:tcPr>
            <w:tcW w:w="8006" w:type="dxa"/>
            <w:vAlign w:val="bottom"/>
          </w:tcPr>
          <w:p w:rsidR="003D7D60" w:rsidRPr="009C7402" w:rsidRDefault="00AB3848">
            <w:pPr>
              <w:rPr>
                <w:rFonts w:ascii="Calibri" w:hAnsi="Calibri" w:cs="Calibri"/>
                <w:color w:val="000000"/>
                <w:sz w:val="24"/>
                <w:szCs w:val="24"/>
              </w:rPr>
            </w:pPr>
            <w:r w:rsidRPr="009C7402">
              <w:rPr>
                <w:rFonts w:ascii="Calibri" w:hAnsi="Calibri" w:cs="Calibri"/>
                <w:color w:val="000000"/>
                <w:sz w:val="24"/>
                <w:szCs w:val="24"/>
              </w:rPr>
              <w:t>Improve turnaround t</w:t>
            </w:r>
            <w:r w:rsidR="003D7D60" w:rsidRPr="009C7402">
              <w:rPr>
                <w:rFonts w:ascii="Calibri" w:hAnsi="Calibri" w:cs="Calibri"/>
                <w:color w:val="000000"/>
                <w:sz w:val="24"/>
                <w:szCs w:val="24"/>
              </w:rPr>
              <w:t>ime</w:t>
            </w:r>
          </w:p>
        </w:tc>
      </w:tr>
      <w:tr w:rsidR="003D7D60" w:rsidRPr="009C7402" w:rsidTr="003E3A9B">
        <w:tc>
          <w:tcPr>
            <w:tcW w:w="1462" w:type="dxa"/>
          </w:tcPr>
          <w:p w:rsidR="003D7D60" w:rsidRPr="009C7402" w:rsidRDefault="003D7D60" w:rsidP="00351141">
            <w:pPr>
              <w:pStyle w:val="NoSpacing"/>
              <w:jc w:val="center"/>
              <w:rPr>
                <w:sz w:val="24"/>
                <w:szCs w:val="24"/>
              </w:rPr>
            </w:pPr>
            <w:r w:rsidRPr="009C7402">
              <w:rPr>
                <w:sz w:val="24"/>
                <w:szCs w:val="24"/>
              </w:rPr>
              <w:t>11</w:t>
            </w:r>
            <w:r w:rsidR="00351141" w:rsidRPr="009C7402">
              <w:rPr>
                <w:sz w:val="24"/>
                <w:szCs w:val="24"/>
              </w:rPr>
              <w:t xml:space="preserve"> (27%)</w:t>
            </w:r>
          </w:p>
        </w:tc>
        <w:tc>
          <w:tcPr>
            <w:tcW w:w="8006" w:type="dxa"/>
            <w:vAlign w:val="bottom"/>
          </w:tcPr>
          <w:p w:rsidR="003D7D60" w:rsidRPr="009C7402" w:rsidRDefault="002833B8" w:rsidP="002833B8">
            <w:pPr>
              <w:rPr>
                <w:rFonts w:ascii="Calibri" w:hAnsi="Calibri" w:cs="Calibri"/>
                <w:color w:val="000000"/>
                <w:sz w:val="24"/>
                <w:szCs w:val="24"/>
              </w:rPr>
            </w:pPr>
            <w:r>
              <w:rPr>
                <w:rFonts w:ascii="Calibri" w:hAnsi="Calibri" w:cs="Calibri"/>
                <w:color w:val="000000"/>
                <w:sz w:val="24"/>
                <w:szCs w:val="24"/>
              </w:rPr>
              <w:t xml:space="preserve">Improve </w:t>
            </w:r>
            <w:r w:rsidR="003D7D60" w:rsidRPr="009C7402">
              <w:rPr>
                <w:rFonts w:ascii="Calibri" w:hAnsi="Calibri" w:cs="Calibri"/>
                <w:color w:val="000000"/>
                <w:sz w:val="24"/>
                <w:szCs w:val="24"/>
              </w:rPr>
              <w:t>access to reports  (electronic reporting</w:t>
            </w:r>
            <w:r>
              <w:rPr>
                <w:rFonts w:ascii="Calibri" w:hAnsi="Calibri" w:cs="Calibri"/>
                <w:color w:val="000000"/>
                <w:sz w:val="24"/>
                <w:szCs w:val="24"/>
              </w:rPr>
              <w:t xml:space="preserve">, secure </w:t>
            </w:r>
            <w:r w:rsidR="00C109C0">
              <w:rPr>
                <w:rFonts w:ascii="Calibri" w:hAnsi="Calibri" w:cs="Calibri"/>
                <w:color w:val="000000"/>
                <w:sz w:val="24"/>
                <w:szCs w:val="24"/>
              </w:rPr>
              <w:t>email,</w:t>
            </w:r>
            <w:r w:rsidR="00C109C0" w:rsidRPr="009C7402">
              <w:rPr>
                <w:rFonts w:ascii="Calibri" w:hAnsi="Calibri" w:cs="Calibri"/>
                <w:color w:val="000000"/>
                <w:sz w:val="24"/>
                <w:szCs w:val="24"/>
              </w:rPr>
              <w:t xml:space="preserve"> online</w:t>
            </w:r>
            <w:r w:rsidR="003D7D60" w:rsidRPr="009C7402">
              <w:rPr>
                <w:rFonts w:ascii="Calibri" w:hAnsi="Calibri" w:cs="Calibri"/>
                <w:color w:val="000000"/>
                <w:sz w:val="24"/>
                <w:szCs w:val="24"/>
              </w:rPr>
              <w:t xml:space="preserve"> results</w:t>
            </w:r>
            <w:r>
              <w:rPr>
                <w:rFonts w:ascii="Calibri" w:hAnsi="Calibri" w:cs="Calibri"/>
                <w:color w:val="000000"/>
                <w:sz w:val="24"/>
                <w:szCs w:val="24"/>
              </w:rPr>
              <w:t>)</w:t>
            </w:r>
          </w:p>
        </w:tc>
      </w:tr>
      <w:tr w:rsidR="003D7D60" w:rsidRPr="009C7402" w:rsidTr="003E3A9B">
        <w:tc>
          <w:tcPr>
            <w:tcW w:w="1462" w:type="dxa"/>
          </w:tcPr>
          <w:p w:rsidR="003D7D60" w:rsidRPr="009C7402" w:rsidRDefault="00351141" w:rsidP="00351141">
            <w:pPr>
              <w:pStyle w:val="NoSpacing"/>
              <w:jc w:val="center"/>
              <w:rPr>
                <w:sz w:val="24"/>
                <w:szCs w:val="24"/>
              </w:rPr>
            </w:pPr>
            <w:r w:rsidRPr="009C7402">
              <w:rPr>
                <w:sz w:val="24"/>
                <w:szCs w:val="24"/>
              </w:rPr>
              <w:t xml:space="preserve"> </w:t>
            </w:r>
            <w:r w:rsidR="003D7D60" w:rsidRPr="009C7402">
              <w:rPr>
                <w:sz w:val="24"/>
                <w:szCs w:val="24"/>
              </w:rPr>
              <w:t>8</w:t>
            </w:r>
            <w:r w:rsidRPr="009C7402">
              <w:rPr>
                <w:sz w:val="24"/>
                <w:szCs w:val="24"/>
              </w:rPr>
              <w:t xml:space="preserve"> (20%)</w:t>
            </w:r>
          </w:p>
        </w:tc>
        <w:tc>
          <w:tcPr>
            <w:tcW w:w="8006" w:type="dxa"/>
            <w:vAlign w:val="bottom"/>
          </w:tcPr>
          <w:p w:rsidR="003D7D60" w:rsidRPr="009C7402" w:rsidRDefault="002833B8" w:rsidP="002833B8">
            <w:pPr>
              <w:rPr>
                <w:rFonts w:ascii="Calibri" w:hAnsi="Calibri" w:cs="Calibri"/>
                <w:color w:val="000000"/>
                <w:sz w:val="24"/>
                <w:szCs w:val="24"/>
              </w:rPr>
            </w:pPr>
            <w:r>
              <w:rPr>
                <w:rFonts w:ascii="Calibri" w:hAnsi="Calibri" w:cs="Calibri"/>
                <w:color w:val="000000"/>
                <w:sz w:val="24"/>
                <w:szCs w:val="24"/>
              </w:rPr>
              <w:t xml:space="preserve">Post </w:t>
            </w:r>
            <w:r w:rsidR="00151430">
              <w:rPr>
                <w:rFonts w:ascii="Calibri" w:hAnsi="Calibri" w:cs="Calibri"/>
                <w:color w:val="000000"/>
                <w:sz w:val="24"/>
                <w:szCs w:val="24"/>
              </w:rPr>
              <w:t>i</w:t>
            </w:r>
            <w:r w:rsidR="003D7D60" w:rsidRPr="009C7402">
              <w:rPr>
                <w:rFonts w:ascii="Calibri" w:hAnsi="Calibri" w:cs="Calibri"/>
                <w:color w:val="000000"/>
                <w:sz w:val="24"/>
                <w:szCs w:val="24"/>
              </w:rPr>
              <w:t>nformation o</w:t>
            </w:r>
            <w:r>
              <w:rPr>
                <w:rFonts w:ascii="Calibri" w:hAnsi="Calibri" w:cs="Calibri"/>
                <w:color w:val="000000"/>
                <w:sz w:val="24"/>
                <w:szCs w:val="24"/>
              </w:rPr>
              <w:t>n</w:t>
            </w:r>
            <w:r w:rsidR="003D7D60" w:rsidRPr="009C7402">
              <w:rPr>
                <w:rFonts w:ascii="Calibri" w:hAnsi="Calibri" w:cs="Calibri"/>
                <w:color w:val="000000"/>
                <w:sz w:val="24"/>
                <w:szCs w:val="24"/>
              </w:rPr>
              <w:t xml:space="preserve"> frequency and projected TAT for testing</w:t>
            </w:r>
          </w:p>
        </w:tc>
      </w:tr>
      <w:tr w:rsidR="00351141" w:rsidRPr="009C7402" w:rsidTr="003E3A9B">
        <w:tc>
          <w:tcPr>
            <w:tcW w:w="1462" w:type="dxa"/>
          </w:tcPr>
          <w:p w:rsidR="00351141" w:rsidRPr="009C7402" w:rsidRDefault="00656DC3" w:rsidP="00351141">
            <w:pPr>
              <w:pStyle w:val="NoSpacing"/>
              <w:jc w:val="center"/>
              <w:rPr>
                <w:sz w:val="24"/>
                <w:szCs w:val="24"/>
              </w:rPr>
            </w:pPr>
            <w:r w:rsidRPr="009C7402">
              <w:rPr>
                <w:sz w:val="24"/>
                <w:szCs w:val="24"/>
              </w:rPr>
              <w:t xml:space="preserve"> </w:t>
            </w:r>
            <w:r w:rsidR="00351141" w:rsidRPr="009C7402">
              <w:rPr>
                <w:sz w:val="24"/>
                <w:szCs w:val="24"/>
              </w:rPr>
              <w:t>6 (15%)</w:t>
            </w:r>
          </w:p>
        </w:tc>
        <w:tc>
          <w:tcPr>
            <w:tcW w:w="8006" w:type="dxa"/>
            <w:vAlign w:val="bottom"/>
          </w:tcPr>
          <w:p w:rsidR="00351141" w:rsidRPr="009C7402" w:rsidRDefault="00151430" w:rsidP="00151430">
            <w:pPr>
              <w:rPr>
                <w:rFonts w:ascii="Calibri" w:hAnsi="Calibri" w:cs="Calibri"/>
                <w:color w:val="000000"/>
                <w:sz w:val="24"/>
                <w:szCs w:val="24"/>
              </w:rPr>
            </w:pPr>
            <w:r>
              <w:rPr>
                <w:rFonts w:ascii="Calibri" w:hAnsi="Calibri" w:cs="Calibri"/>
                <w:color w:val="000000"/>
                <w:sz w:val="24"/>
                <w:szCs w:val="24"/>
              </w:rPr>
              <w:t xml:space="preserve">Improve communication of </w:t>
            </w:r>
            <w:r w:rsidR="00351141" w:rsidRPr="009C7402">
              <w:rPr>
                <w:rFonts w:ascii="Calibri" w:hAnsi="Calibri" w:cs="Calibri"/>
                <w:color w:val="000000"/>
                <w:sz w:val="24"/>
                <w:szCs w:val="24"/>
              </w:rPr>
              <w:t>delays in reporting</w:t>
            </w:r>
          </w:p>
        </w:tc>
      </w:tr>
      <w:tr w:rsidR="003E3A9B" w:rsidRPr="009C7402" w:rsidTr="003E3A9B">
        <w:tc>
          <w:tcPr>
            <w:tcW w:w="9468" w:type="dxa"/>
            <w:gridSpan w:val="2"/>
          </w:tcPr>
          <w:p w:rsidR="003E3A9B" w:rsidRDefault="00E04963" w:rsidP="00151430">
            <w:pPr>
              <w:rPr>
                <w:rFonts w:ascii="Calibri" w:hAnsi="Calibri" w:cs="Calibri"/>
                <w:color w:val="000000"/>
                <w:sz w:val="24"/>
                <w:szCs w:val="24"/>
              </w:rPr>
            </w:pPr>
            <w:r>
              <w:rPr>
                <w:rFonts w:ascii="Calibri" w:hAnsi="Calibri" w:cs="Calibri"/>
                <w:color w:val="000000"/>
                <w:sz w:val="24"/>
                <w:szCs w:val="24"/>
              </w:rPr>
              <w:t>Other</w:t>
            </w:r>
            <w:r w:rsidR="003E3A9B" w:rsidRPr="003E3A9B">
              <w:rPr>
                <w:rFonts w:ascii="Calibri" w:hAnsi="Calibri" w:cs="Calibri"/>
                <w:color w:val="000000"/>
                <w:sz w:val="24"/>
                <w:szCs w:val="24"/>
              </w:rPr>
              <w:t xml:space="preserve"> comments included the need for published specimen submission forms with instructions on the web, preliminary reports and/or acknowledgement of specimen receipt, standardized report format, and the inclusion of methods used/biochemical tested on identification reports.  </w:t>
            </w:r>
          </w:p>
        </w:tc>
      </w:tr>
    </w:tbl>
    <w:p w:rsidR="00421637" w:rsidRDefault="00421637" w:rsidP="00421637">
      <w:pPr>
        <w:pStyle w:val="ListParagraph"/>
        <w:rPr>
          <w:rFonts w:ascii="Calibri" w:eastAsia="Times New Roman" w:hAnsi="Calibri" w:cs="Calibri"/>
          <w:b/>
          <w:bCs/>
          <w:color w:val="000000"/>
          <w:sz w:val="24"/>
          <w:szCs w:val="24"/>
        </w:rPr>
      </w:pPr>
    </w:p>
    <w:p w:rsidR="00351141" w:rsidRPr="00151430" w:rsidRDefault="00351141" w:rsidP="00421637">
      <w:pPr>
        <w:pStyle w:val="ListParagraph"/>
        <w:numPr>
          <w:ilvl w:val="0"/>
          <w:numId w:val="10"/>
        </w:numPr>
        <w:rPr>
          <w:rFonts w:ascii="Calibri" w:eastAsia="Times New Roman" w:hAnsi="Calibri" w:cs="Calibri"/>
          <w:b/>
          <w:bCs/>
          <w:color w:val="000000"/>
          <w:sz w:val="24"/>
          <w:szCs w:val="24"/>
        </w:rPr>
      </w:pPr>
      <w:r w:rsidRPr="00151430">
        <w:rPr>
          <w:rFonts w:ascii="Calibri" w:eastAsia="Times New Roman" w:hAnsi="Calibri" w:cs="Calibri"/>
          <w:b/>
          <w:bCs/>
          <w:color w:val="000000"/>
          <w:sz w:val="24"/>
          <w:szCs w:val="24"/>
        </w:rPr>
        <w:t>What are two things currently provided by CDC's ID reference laboratory services that are the most helpful to you?</w:t>
      </w:r>
    </w:p>
    <w:tbl>
      <w:tblPr>
        <w:tblStyle w:val="TableGrid"/>
        <w:tblW w:w="0" w:type="auto"/>
        <w:tblInd w:w="828" w:type="dxa"/>
        <w:tblLook w:val="04A0" w:firstRow="1" w:lastRow="0" w:firstColumn="1" w:lastColumn="0" w:noHBand="0" w:noVBand="1"/>
      </w:tblPr>
      <w:tblGrid>
        <w:gridCol w:w="1462"/>
        <w:gridCol w:w="8006"/>
      </w:tblGrid>
      <w:tr w:rsidR="00351141" w:rsidRPr="009C7402" w:rsidTr="003E3A9B">
        <w:tc>
          <w:tcPr>
            <w:tcW w:w="1462" w:type="dxa"/>
          </w:tcPr>
          <w:p w:rsidR="00351141" w:rsidRPr="009C7402" w:rsidRDefault="00351141" w:rsidP="00351141">
            <w:pPr>
              <w:pStyle w:val="NoSpacing"/>
              <w:jc w:val="center"/>
              <w:rPr>
                <w:b/>
                <w:sz w:val="24"/>
                <w:szCs w:val="24"/>
              </w:rPr>
            </w:pPr>
            <w:r w:rsidRPr="009C7402">
              <w:rPr>
                <w:b/>
                <w:sz w:val="24"/>
                <w:szCs w:val="24"/>
              </w:rPr>
              <w:t>No. (%) respondents</w:t>
            </w:r>
          </w:p>
        </w:tc>
        <w:tc>
          <w:tcPr>
            <w:tcW w:w="8006" w:type="dxa"/>
            <w:vAlign w:val="center"/>
          </w:tcPr>
          <w:p w:rsidR="00351141" w:rsidRPr="009C7402" w:rsidRDefault="00351141" w:rsidP="00AB3848">
            <w:pPr>
              <w:jc w:val="center"/>
              <w:rPr>
                <w:rFonts w:ascii="Calibri" w:hAnsi="Calibri" w:cs="Calibri"/>
                <w:b/>
                <w:color w:val="000000"/>
                <w:sz w:val="24"/>
                <w:szCs w:val="24"/>
              </w:rPr>
            </w:pPr>
            <w:r w:rsidRPr="009C7402">
              <w:rPr>
                <w:rFonts w:ascii="Calibri" w:hAnsi="Calibri" w:cs="Calibri"/>
                <w:b/>
                <w:color w:val="000000"/>
                <w:sz w:val="24"/>
                <w:szCs w:val="24"/>
              </w:rPr>
              <w:t>Comment</w:t>
            </w:r>
          </w:p>
        </w:tc>
      </w:tr>
      <w:tr w:rsidR="00351141" w:rsidRPr="009C7402" w:rsidTr="003E3A9B">
        <w:tc>
          <w:tcPr>
            <w:tcW w:w="1462" w:type="dxa"/>
          </w:tcPr>
          <w:p w:rsidR="00351141" w:rsidRPr="009C7402" w:rsidRDefault="00351141" w:rsidP="00AB3848">
            <w:pPr>
              <w:jc w:val="center"/>
              <w:rPr>
                <w:sz w:val="24"/>
                <w:szCs w:val="24"/>
              </w:rPr>
            </w:pPr>
            <w:r w:rsidRPr="009C7402">
              <w:rPr>
                <w:sz w:val="24"/>
                <w:szCs w:val="24"/>
              </w:rPr>
              <w:t>18</w:t>
            </w:r>
            <w:r w:rsidR="00AB3848" w:rsidRPr="009C7402">
              <w:rPr>
                <w:sz w:val="24"/>
                <w:szCs w:val="24"/>
              </w:rPr>
              <w:t xml:space="preserve"> (44%)</w:t>
            </w:r>
          </w:p>
        </w:tc>
        <w:tc>
          <w:tcPr>
            <w:tcW w:w="8006" w:type="dxa"/>
          </w:tcPr>
          <w:p w:rsidR="00351141" w:rsidRPr="009C7402" w:rsidRDefault="009A7983" w:rsidP="009A7983">
            <w:pPr>
              <w:rPr>
                <w:sz w:val="24"/>
                <w:szCs w:val="24"/>
              </w:rPr>
            </w:pPr>
            <w:r>
              <w:rPr>
                <w:sz w:val="24"/>
                <w:szCs w:val="24"/>
              </w:rPr>
              <w:t>Provides e</w:t>
            </w:r>
            <w:r w:rsidR="00AB3848" w:rsidRPr="009C7402">
              <w:rPr>
                <w:sz w:val="24"/>
                <w:szCs w:val="24"/>
              </w:rPr>
              <w:t>xpertise &amp; knowledge</w:t>
            </w:r>
            <w:r>
              <w:rPr>
                <w:sz w:val="24"/>
                <w:szCs w:val="24"/>
              </w:rPr>
              <w:t>,  technical a</w:t>
            </w:r>
            <w:r w:rsidR="00AB3848" w:rsidRPr="009C7402">
              <w:rPr>
                <w:sz w:val="24"/>
                <w:szCs w:val="24"/>
              </w:rPr>
              <w:t>ssistance</w:t>
            </w:r>
            <w:r>
              <w:rPr>
                <w:sz w:val="24"/>
                <w:szCs w:val="24"/>
              </w:rPr>
              <w:t xml:space="preserve">, and </w:t>
            </w:r>
            <w:r w:rsidR="00AB3848" w:rsidRPr="009C7402">
              <w:rPr>
                <w:sz w:val="24"/>
                <w:szCs w:val="24"/>
              </w:rPr>
              <w:t>SME c</w:t>
            </w:r>
            <w:r w:rsidR="00351141" w:rsidRPr="009C7402">
              <w:rPr>
                <w:sz w:val="24"/>
                <w:szCs w:val="24"/>
              </w:rPr>
              <w:t>onsultation</w:t>
            </w:r>
          </w:p>
        </w:tc>
      </w:tr>
      <w:tr w:rsidR="00351141" w:rsidRPr="009C7402" w:rsidTr="003E3A9B">
        <w:tc>
          <w:tcPr>
            <w:tcW w:w="1462" w:type="dxa"/>
          </w:tcPr>
          <w:p w:rsidR="00351141" w:rsidRPr="009C7402" w:rsidRDefault="00351141" w:rsidP="00AB3848">
            <w:pPr>
              <w:jc w:val="center"/>
              <w:rPr>
                <w:sz w:val="24"/>
                <w:szCs w:val="24"/>
              </w:rPr>
            </w:pPr>
            <w:r w:rsidRPr="009C7402">
              <w:rPr>
                <w:sz w:val="24"/>
                <w:szCs w:val="24"/>
              </w:rPr>
              <w:t>13</w:t>
            </w:r>
            <w:r w:rsidR="00AB3848" w:rsidRPr="009C7402">
              <w:rPr>
                <w:sz w:val="24"/>
                <w:szCs w:val="24"/>
              </w:rPr>
              <w:t xml:space="preserve"> (32%)</w:t>
            </w:r>
          </w:p>
        </w:tc>
        <w:tc>
          <w:tcPr>
            <w:tcW w:w="8006" w:type="dxa"/>
          </w:tcPr>
          <w:p w:rsidR="00351141" w:rsidRPr="009C7402" w:rsidRDefault="009A7983" w:rsidP="008E060A">
            <w:pPr>
              <w:rPr>
                <w:sz w:val="24"/>
                <w:szCs w:val="24"/>
              </w:rPr>
            </w:pPr>
            <w:r>
              <w:rPr>
                <w:sz w:val="24"/>
                <w:szCs w:val="24"/>
              </w:rPr>
              <w:t xml:space="preserve">Provides testing </w:t>
            </w:r>
            <w:r w:rsidR="00351141" w:rsidRPr="009C7402">
              <w:rPr>
                <w:sz w:val="24"/>
                <w:szCs w:val="24"/>
              </w:rPr>
              <w:t>unav</w:t>
            </w:r>
            <w:r w:rsidR="008E060A">
              <w:rPr>
                <w:sz w:val="24"/>
                <w:szCs w:val="24"/>
              </w:rPr>
              <w:t>ailable in-house</w:t>
            </w:r>
          </w:p>
        </w:tc>
      </w:tr>
      <w:tr w:rsidR="00351141" w:rsidRPr="009C7402" w:rsidTr="003E3A9B">
        <w:tc>
          <w:tcPr>
            <w:tcW w:w="1462" w:type="dxa"/>
          </w:tcPr>
          <w:p w:rsidR="00351141" w:rsidRPr="009C7402" w:rsidRDefault="00656DC3" w:rsidP="00AB3848">
            <w:pPr>
              <w:jc w:val="center"/>
              <w:rPr>
                <w:sz w:val="24"/>
                <w:szCs w:val="24"/>
              </w:rPr>
            </w:pPr>
            <w:r w:rsidRPr="009C7402">
              <w:rPr>
                <w:sz w:val="24"/>
                <w:szCs w:val="24"/>
              </w:rPr>
              <w:t xml:space="preserve"> </w:t>
            </w:r>
            <w:r w:rsidR="00AB3848" w:rsidRPr="009C7402">
              <w:rPr>
                <w:sz w:val="24"/>
                <w:szCs w:val="24"/>
              </w:rPr>
              <w:t xml:space="preserve"> </w:t>
            </w:r>
            <w:r w:rsidR="00351141" w:rsidRPr="009C7402">
              <w:rPr>
                <w:sz w:val="24"/>
                <w:szCs w:val="24"/>
              </w:rPr>
              <w:t>8</w:t>
            </w:r>
            <w:r w:rsidR="00AB3848" w:rsidRPr="009C7402">
              <w:rPr>
                <w:sz w:val="24"/>
                <w:szCs w:val="24"/>
              </w:rPr>
              <w:t xml:space="preserve"> (20%)</w:t>
            </w:r>
          </w:p>
        </w:tc>
        <w:tc>
          <w:tcPr>
            <w:tcW w:w="8006" w:type="dxa"/>
          </w:tcPr>
          <w:p w:rsidR="00351141" w:rsidRPr="009C7402" w:rsidRDefault="008E060A" w:rsidP="008E060A">
            <w:pPr>
              <w:rPr>
                <w:sz w:val="24"/>
                <w:szCs w:val="24"/>
              </w:rPr>
            </w:pPr>
            <w:r>
              <w:rPr>
                <w:sz w:val="24"/>
                <w:szCs w:val="24"/>
              </w:rPr>
              <w:t xml:space="preserve">Identifies and confirms unusual isolates and performs molecular characterization </w:t>
            </w:r>
          </w:p>
        </w:tc>
      </w:tr>
      <w:tr w:rsidR="003E3A9B" w:rsidRPr="009C7402" w:rsidTr="003E3A9B">
        <w:tc>
          <w:tcPr>
            <w:tcW w:w="9468" w:type="dxa"/>
            <w:gridSpan w:val="2"/>
          </w:tcPr>
          <w:p w:rsidR="003E3A9B" w:rsidRDefault="006305A6" w:rsidP="006305A6">
            <w:pPr>
              <w:rPr>
                <w:sz w:val="24"/>
                <w:szCs w:val="24"/>
              </w:rPr>
            </w:pPr>
            <w:r>
              <w:rPr>
                <w:sz w:val="24"/>
                <w:szCs w:val="24"/>
              </w:rPr>
              <w:t xml:space="preserve">Susceptibility testing of </w:t>
            </w:r>
            <w:r w:rsidRPr="006305A6">
              <w:rPr>
                <w:i/>
                <w:sz w:val="24"/>
                <w:szCs w:val="24"/>
              </w:rPr>
              <w:t>Mycobacterium tuberculosis</w:t>
            </w:r>
            <w:r>
              <w:rPr>
                <w:sz w:val="24"/>
                <w:szCs w:val="24"/>
              </w:rPr>
              <w:t xml:space="preserve"> and the </w:t>
            </w:r>
            <w:proofErr w:type="spellStart"/>
            <w:r>
              <w:rPr>
                <w:sz w:val="24"/>
                <w:szCs w:val="24"/>
              </w:rPr>
              <w:t>telediagnosis</w:t>
            </w:r>
            <w:proofErr w:type="spellEnd"/>
            <w:r>
              <w:rPr>
                <w:sz w:val="24"/>
                <w:szCs w:val="24"/>
              </w:rPr>
              <w:t xml:space="preserve"> service offered by </w:t>
            </w:r>
            <w:proofErr w:type="spellStart"/>
            <w:r>
              <w:rPr>
                <w:sz w:val="24"/>
                <w:szCs w:val="24"/>
              </w:rPr>
              <w:t>DPDx</w:t>
            </w:r>
            <w:proofErr w:type="spellEnd"/>
            <w:r>
              <w:rPr>
                <w:sz w:val="24"/>
                <w:szCs w:val="24"/>
              </w:rPr>
              <w:t xml:space="preserve"> were some of the most helpful services listed.</w:t>
            </w:r>
          </w:p>
        </w:tc>
      </w:tr>
    </w:tbl>
    <w:p w:rsidR="0098605A" w:rsidRDefault="0098605A" w:rsidP="00E04963">
      <w:pPr>
        <w:rPr>
          <w:sz w:val="24"/>
          <w:szCs w:val="24"/>
        </w:rPr>
      </w:pPr>
    </w:p>
    <w:p w:rsidR="00AB3848" w:rsidRPr="00F81DB2" w:rsidRDefault="00F81DB2" w:rsidP="00421637">
      <w:pPr>
        <w:pStyle w:val="ListParagraph"/>
        <w:numPr>
          <w:ilvl w:val="0"/>
          <w:numId w:val="10"/>
        </w:numPr>
        <w:rPr>
          <w:rFonts w:ascii="Calibri" w:eastAsia="Times New Roman" w:hAnsi="Calibri" w:cs="Calibri"/>
          <w:b/>
          <w:bCs/>
          <w:color w:val="000000"/>
          <w:sz w:val="24"/>
          <w:szCs w:val="24"/>
        </w:rPr>
      </w:pPr>
      <w:r>
        <w:rPr>
          <w:sz w:val="24"/>
          <w:szCs w:val="24"/>
        </w:rPr>
        <w:t xml:space="preserve"> </w:t>
      </w:r>
      <w:r w:rsidR="00AB3848" w:rsidRPr="00F81DB2">
        <w:rPr>
          <w:rFonts w:ascii="Calibri" w:eastAsia="Times New Roman" w:hAnsi="Calibri" w:cs="Calibri"/>
          <w:b/>
          <w:bCs/>
          <w:color w:val="000000"/>
          <w:sz w:val="24"/>
          <w:szCs w:val="24"/>
        </w:rPr>
        <w:t>What should be included in CDC's ID reference laboratory services that do not currently exist?</w:t>
      </w:r>
    </w:p>
    <w:tbl>
      <w:tblPr>
        <w:tblStyle w:val="TableGrid"/>
        <w:tblW w:w="0" w:type="auto"/>
        <w:tblInd w:w="828" w:type="dxa"/>
        <w:tblLook w:val="04A0" w:firstRow="1" w:lastRow="0" w:firstColumn="1" w:lastColumn="0" w:noHBand="0" w:noVBand="1"/>
      </w:tblPr>
      <w:tblGrid>
        <w:gridCol w:w="1620"/>
        <w:gridCol w:w="7848"/>
      </w:tblGrid>
      <w:tr w:rsidR="00AB3848" w:rsidRPr="006305A6" w:rsidTr="00AD5BDD">
        <w:tc>
          <w:tcPr>
            <w:tcW w:w="1620" w:type="dxa"/>
          </w:tcPr>
          <w:p w:rsidR="00AB3848" w:rsidRPr="006305A6" w:rsidRDefault="00AB3848" w:rsidP="00AB3848">
            <w:pPr>
              <w:pStyle w:val="NoSpacing"/>
              <w:jc w:val="center"/>
              <w:rPr>
                <w:b/>
                <w:sz w:val="24"/>
                <w:szCs w:val="24"/>
              </w:rPr>
            </w:pPr>
            <w:r w:rsidRPr="006305A6">
              <w:rPr>
                <w:b/>
                <w:sz w:val="24"/>
                <w:szCs w:val="24"/>
              </w:rPr>
              <w:t>No. (%) respondents</w:t>
            </w:r>
          </w:p>
        </w:tc>
        <w:tc>
          <w:tcPr>
            <w:tcW w:w="7848" w:type="dxa"/>
            <w:vAlign w:val="center"/>
          </w:tcPr>
          <w:p w:rsidR="00AB3848" w:rsidRPr="006305A6" w:rsidRDefault="00AB3848" w:rsidP="00AB3848">
            <w:pPr>
              <w:jc w:val="center"/>
              <w:rPr>
                <w:rFonts w:ascii="Calibri" w:hAnsi="Calibri" w:cs="Calibri"/>
                <w:b/>
                <w:color w:val="000000"/>
                <w:sz w:val="24"/>
                <w:szCs w:val="24"/>
              </w:rPr>
            </w:pPr>
            <w:r w:rsidRPr="006305A6">
              <w:rPr>
                <w:rFonts w:ascii="Calibri" w:hAnsi="Calibri" w:cs="Calibri"/>
                <w:b/>
                <w:color w:val="000000"/>
                <w:sz w:val="24"/>
                <w:szCs w:val="24"/>
              </w:rPr>
              <w:t>Comment</w:t>
            </w:r>
          </w:p>
        </w:tc>
      </w:tr>
      <w:tr w:rsidR="00F81DB2" w:rsidRPr="006305A6" w:rsidTr="00AD5BDD">
        <w:trPr>
          <w:trHeight w:val="300"/>
        </w:trPr>
        <w:tc>
          <w:tcPr>
            <w:tcW w:w="1620" w:type="dxa"/>
            <w:noWrap/>
            <w:vAlign w:val="center"/>
          </w:tcPr>
          <w:p w:rsidR="00F81DB2" w:rsidRPr="006305A6" w:rsidRDefault="00F81DB2" w:rsidP="00F81DB2">
            <w:pPr>
              <w:jc w:val="center"/>
              <w:rPr>
                <w:sz w:val="24"/>
                <w:szCs w:val="24"/>
              </w:rPr>
            </w:pPr>
            <w:r w:rsidRPr="006305A6">
              <w:rPr>
                <w:sz w:val="24"/>
                <w:szCs w:val="24"/>
              </w:rPr>
              <w:t>13 (32%)</w:t>
            </w:r>
          </w:p>
        </w:tc>
        <w:tc>
          <w:tcPr>
            <w:tcW w:w="7848" w:type="dxa"/>
            <w:noWrap/>
          </w:tcPr>
          <w:p w:rsidR="00F81DB2" w:rsidRPr="006305A6" w:rsidRDefault="00A532B4" w:rsidP="00A532B4">
            <w:pPr>
              <w:rPr>
                <w:sz w:val="24"/>
                <w:szCs w:val="24"/>
              </w:rPr>
            </w:pPr>
            <w:r w:rsidRPr="006305A6">
              <w:rPr>
                <w:sz w:val="24"/>
                <w:szCs w:val="24"/>
              </w:rPr>
              <w:t xml:space="preserve">Specific tests requested - </w:t>
            </w:r>
            <w:r w:rsidR="00F81DB2" w:rsidRPr="006305A6">
              <w:rPr>
                <w:sz w:val="24"/>
                <w:szCs w:val="24"/>
              </w:rPr>
              <w:t>none</w:t>
            </w:r>
            <w:r w:rsidR="00C62CF4">
              <w:rPr>
                <w:sz w:val="24"/>
                <w:szCs w:val="24"/>
              </w:rPr>
              <w:t xml:space="preserve"> requested  from multiple sites</w:t>
            </w:r>
          </w:p>
        </w:tc>
      </w:tr>
      <w:tr w:rsidR="00AB3848" w:rsidRPr="006305A6" w:rsidTr="00AD5BDD">
        <w:trPr>
          <w:trHeight w:val="300"/>
        </w:trPr>
        <w:tc>
          <w:tcPr>
            <w:tcW w:w="1620" w:type="dxa"/>
            <w:noWrap/>
            <w:hideMark/>
          </w:tcPr>
          <w:p w:rsidR="00AB3848" w:rsidRPr="006305A6" w:rsidRDefault="00656DC3" w:rsidP="00656DC3">
            <w:pPr>
              <w:jc w:val="center"/>
              <w:rPr>
                <w:rFonts w:ascii="Calibri" w:eastAsia="Times New Roman" w:hAnsi="Calibri" w:cs="Calibri"/>
                <w:color w:val="000000"/>
                <w:sz w:val="24"/>
                <w:szCs w:val="24"/>
              </w:rPr>
            </w:pPr>
            <w:r w:rsidRPr="006305A6">
              <w:rPr>
                <w:rFonts w:ascii="Calibri" w:eastAsia="Times New Roman" w:hAnsi="Calibri" w:cs="Calibri"/>
                <w:color w:val="000000"/>
                <w:sz w:val="24"/>
                <w:szCs w:val="24"/>
              </w:rPr>
              <w:t xml:space="preserve"> </w:t>
            </w:r>
            <w:r w:rsidR="00AB3848" w:rsidRPr="006305A6">
              <w:rPr>
                <w:rFonts w:ascii="Calibri" w:eastAsia="Times New Roman" w:hAnsi="Calibri" w:cs="Calibri"/>
                <w:color w:val="000000"/>
                <w:sz w:val="24"/>
                <w:szCs w:val="24"/>
              </w:rPr>
              <w:t>9</w:t>
            </w:r>
            <w:r w:rsidRPr="006305A6">
              <w:rPr>
                <w:rFonts w:ascii="Calibri" w:eastAsia="Times New Roman" w:hAnsi="Calibri" w:cs="Calibri"/>
                <w:color w:val="000000"/>
                <w:sz w:val="24"/>
                <w:szCs w:val="24"/>
              </w:rPr>
              <w:t xml:space="preserve"> (22%)</w:t>
            </w:r>
          </w:p>
        </w:tc>
        <w:tc>
          <w:tcPr>
            <w:tcW w:w="7848" w:type="dxa"/>
            <w:noWrap/>
            <w:hideMark/>
          </w:tcPr>
          <w:p w:rsidR="00AB3848" w:rsidRPr="006305A6" w:rsidRDefault="00AB3848" w:rsidP="00AB3848">
            <w:pPr>
              <w:rPr>
                <w:rFonts w:ascii="Calibri" w:eastAsia="Times New Roman" w:hAnsi="Calibri" w:cs="Calibri"/>
                <w:color w:val="000000"/>
                <w:sz w:val="24"/>
                <w:szCs w:val="24"/>
              </w:rPr>
            </w:pPr>
            <w:r w:rsidRPr="006305A6">
              <w:rPr>
                <w:rFonts w:ascii="Calibri" w:eastAsia="Times New Roman" w:hAnsi="Calibri" w:cs="Calibri"/>
                <w:color w:val="000000"/>
                <w:sz w:val="24"/>
                <w:szCs w:val="24"/>
              </w:rPr>
              <w:t>Directory of Services with testing available</w:t>
            </w:r>
            <w:r w:rsidR="00AD5BDD">
              <w:rPr>
                <w:rFonts w:ascii="Calibri" w:eastAsia="Times New Roman" w:hAnsi="Calibri" w:cs="Calibri"/>
                <w:color w:val="000000"/>
                <w:sz w:val="24"/>
                <w:szCs w:val="24"/>
              </w:rPr>
              <w:t xml:space="preserve">, specimen types, and </w:t>
            </w:r>
            <w:r w:rsidRPr="006305A6">
              <w:rPr>
                <w:rFonts w:ascii="Calibri" w:eastAsia="Times New Roman" w:hAnsi="Calibri" w:cs="Calibri"/>
                <w:color w:val="000000"/>
                <w:sz w:val="24"/>
                <w:szCs w:val="24"/>
              </w:rPr>
              <w:t>TAT</w:t>
            </w:r>
          </w:p>
        </w:tc>
      </w:tr>
      <w:tr w:rsidR="00AB3848" w:rsidRPr="006305A6" w:rsidTr="00AD5BDD">
        <w:trPr>
          <w:trHeight w:val="300"/>
        </w:trPr>
        <w:tc>
          <w:tcPr>
            <w:tcW w:w="1620" w:type="dxa"/>
            <w:noWrap/>
            <w:hideMark/>
          </w:tcPr>
          <w:p w:rsidR="00AB3848" w:rsidRPr="006305A6" w:rsidRDefault="00656DC3" w:rsidP="00656DC3">
            <w:pPr>
              <w:jc w:val="center"/>
              <w:rPr>
                <w:rFonts w:ascii="Calibri" w:eastAsia="Times New Roman" w:hAnsi="Calibri" w:cs="Calibri"/>
                <w:color w:val="000000"/>
                <w:sz w:val="24"/>
                <w:szCs w:val="24"/>
              </w:rPr>
            </w:pPr>
            <w:r w:rsidRPr="006305A6">
              <w:rPr>
                <w:rFonts w:ascii="Calibri" w:eastAsia="Times New Roman" w:hAnsi="Calibri" w:cs="Calibri"/>
                <w:color w:val="000000"/>
                <w:sz w:val="24"/>
                <w:szCs w:val="24"/>
              </w:rPr>
              <w:t xml:space="preserve"> </w:t>
            </w:r>
            <w:r w:rsidR="00AB3848" w:rsidRPr="006305A6">
              <w:rPr>
                <w:rFonts w:ascii="Calibri" w:eastAsia="Times New Roman" w:hAnsi="Calibri" w:cs="Calibri"/>
                <w:color w:val="000000"/>
                <w:sz w:val="24"/>
                <w:szCs w:val="24"/>
              </w:rPr>
              <w:t>5</w:t>
            </w:r>
            <w:r w:rsidRPr="006305A6">
              <w:rPr>
                <w:rFonts w:ascii="Calibri" w:eastAsia="Times New Roman" w:hAnsi="Calibri" w:cs="Calibri"/>
                <w:color w:val="000000"/>
                <w:sz w:val="24"/>
                <w:szCs w:val="24"/>
              </w:rPr>
              <w:t xml:space="preserve"> (12%)</w:t>
            </w:r>
          </w:p>
        </w:tc>
        <w:tc>
          <w:tcPr>
            <w:tcW w:w="7848" w:type="dxa"/>
            <w:noWrap/>
            <w:hideMark/>
          </w:tcPr>
          <w:p w:rsidR="00AB3848" w:rsidRPr="006305A6" w:rsidRDefault="00AB3848" w:rsidP="00AB3848">
            <w:pPr>
              <w:rPr>
                <w:rFonts w:ascii="Calibri" w:eastAsia="Times New Roman" w:hAnsi="Calibri" w:cs="Calibri"/>
                <w:color w:val="000000"/>
                <w:sz w:val="24"/>
                <w:szCs w:val="24"/>
              </w:rPr>
            </w:pPr>
            <w:r w:rsidRPr="006305A6">
              <w:rPr>
                <w:rFonts w:ascii="Calibri" w:eastAsia="Times New Roman" w:hAnsi="Calibri" w:cs="Calibri"/>
                <w:color w:val="000000"/>
                <w:sz w:val="24"/>
                <w:szCs w:val="24"/>
              </w:rPr>
              <w:t xml:space="preserve">Directory of Contacts with phone and email </w:t>
            </w:r>
            <w:r w:rsidR="00656DC3" w:rsidRPr="006305A6">
              <w:rPr>
                <w:rFonts w:ascii="Calibri" w:eastAsia="Times New Roman" w:hAnsi="Calibri" w:cs="Calibri"/>
                <w:color w:val="000000"/>
                <w:sz w:val="24"/>
                <w:szCs w:val="24"/>
              </w:rPr>
              <w:t>addresses</w:t>
            </w:r>
            <w:r w:rsidRPr="006305A6">
              <w:rPr>
                <w:rFonts w:ascii="Calibri" w:eastAsia="Times New Roman" w:hAnsi="Calibri" w:cs="Calibri"/>
                <w:color w:val="000000"/>
                <w:sz w:val="24"/>
                <w:szCs w:val="24"/>
              </w:rPr>
              <w:t xml:space="preserve"> by disease</w:t>
            </w:r>
          </w:p>
        </w:tc>
      </w:tr>
      <w:tr w:rsidR="00AB3848" w:rsidRPr="006305A6" w:rsidTr="00AD5BDD">
        <w:trPr>
          <w:trHeight w:val="300"/>
        </w:trPr>
        <w:tc>
          <w:tcPr>
            <w:tcW w:w="1620" w:type="dxa"/>
            <w:noWrap/>
            <w:hideMark/>
          </w:tcPr>
          <w:p w:rsidR="00AB3848" w:rsidRPr="006305A6" w:rsidRDefault="00656DC3" w:rsidP="00656DC3">
            <w:pPr>
              <w:jc w:val="center"/>
              <w:rPr>
                <w:rFonts w:ascii="Calibri" w:eastAsia="Times New Roman" w:hAnsi="Calibri" w:cs="Calibri"/>
                <w:color w:val="000000"/>
                <w:sz w:val="24"/>
                <w:szCs w:val="24"/>
              </w:rPr>
            </w:pPr>
            <w:r w:rsidRPr="006305A6">
              <w:rPr>
                <w:rFonts w:ascii="Calibri" w:eastAsia="Times New Roman" w:hAnsi="Calibri" w:cs="Calibri"/>
                <w:color w:val="000000"/>
                <w:sz w:val="24"/>
                <w:szCs w:val="24"/>
              </w:rPr>
              <w:t xml:space="preserve"> </w:t>
            </w:r>
            <w:r w:rsidR="00AB3848" w:rsidRPr="006305A6">
              <w:rPr>
                <w:rFonts w:ascii="Calibri" w:eastAsia="Times New Roman" w:hAnsi="Calibri" w:cs="Calibri"/>
                <w:color w:val="000000"/>
                <w:sz w:val="24"/>
                <w:szCs w:val="24"/>
              </w:rPr>
              <w:t>5</w:t>
            </w:r>
            <w:r w:rsidRPr="006305A6">
              <w:rPr>
                <w:rFonts w:ascii="Calibri" w:eastAsia="Times New Roman" w:hAnsi="Calibri" w:cs="Calibri"/>
                <w:color w:val="000000"/>
                <w:sz w:val="24"/>
                <w:szCs w:val="24"/>
              </w:rPr>
              <w:t xml:space="preserve"> (12%)</w:t>
            </w:r>
          </w:p>
        </w:tc>
        <w:tc>
          <w:tcPr>
            <w:tcW w:w="7848" w:type="dxa"/>
            <w:noWrap/>
            <w:hideMark/>
          </w:tcPr>
          <w:p w:rsidR="00AB3848" w:rsidRPr="006305A6" w:rsidRDefault="00AB3848" w:rsidP="00AB3848">
            <w:pPr>
              <w:rPr>
                <w:rFonts w:ascii="Calibri" w:eastAsia="Times New Roman" w:hAnsi="Calibri" w:cs="Calibri"/>
                <w:color w:val="000000"/>
                <w:sz w:val="24"/>
                <w:szCs w:val="24"/>
              </w:rPr>
            </w:pPr>
            <w:r w:rsidRPr="006305A6">
              <w:rPr>
                <w:rFonts w:ascii="Calibri" w:eastAsia="Times New Roman" w:hAnsi="Calibri" w:cs="Calibri"/>
                <w:color w:val="000000"/>
                <w:sz w:val="24"/>
                <w:szCs w:val="24"/>
              </w:rPr>
              <w:t>Electronic Lab Reports/Paperless System/Web-based</w:t>
            </w:r>
          </w:p>
        </w:tc>
      </w:tr>
      <w:tr w:rsidR="00A532B4" w:rsidRPr="006305A6" w:rsidTr="00AD5BDD">
        <w:trPr>
          <w:trHeight w:val="300"/>
        </w:trPr>
        <w:tc>
          <w:tcPr>
            <w:tcW w:w="1620" w:type="dxa"/>
            <w:noWrap/>
          </w:tcPr>
          <w:p w:rsidR="00A532B4" w:rsidRPr="006305A6" w:rsidRDefault="00A532B4" w:rsidP="00A532B4">
            <w:pPr>
              <w:jc w:val="center"/>
              <w:rPr>
                <w:sz w:val="24"/>
                <w:szCs w:val="24"/>
              </w:rPr>
            </w:pPr>
            <w:r w:rsidRPr="006305A6">
              <w:rPr>
                <w:sz w:val="24"/>
                <w:szCs w:val="24"/>
              </w:rPr>
              <w:t>11 (27%)</w:t>
            </w:r>
          </w:p>
        </w:tc>
        <w:tc>
          <w:tcPr>
            <w:tcW w:w="7848" w:type="dxa"/>
            <w:noWrap/>
          </w:tcPr>
          <w:p w:rsidR="00A532B4" w:rsidRPr="006305A6" w:rsidRDefault="00A532B4" w:rsidP="00A532B4">
            <w:pPr>
              <w:rPr>
                <w:sz w:val="24"/>
                <w:szCs w:val="24"/>
              </w:rPr>
            </w:pPr>
            <w:r w:rsidRPr="006305A6">
              <w:rPr>
                <w:sz w:val="24"/>
                <w:szCs w:val="24"/>
              </w:rPr>
              <w:t>Nothing, no answer, not sure</w:t>
            </w:r>
          </w:p>
        </w:tc>
      </w:tr>
      <w:tr w:rsidR="003E3A9B" w:rsidRPr="006305A6" w:rsidTr="003E3A9B">
        <w:trPr>
          <w:trHeight w:val="300"/>
        </w:trPr>
        <w:tc>
          <w:tcPr>
            <w:tcW w:w="9468" w:type="dxa"/>
            <w:gridSpan w:val="2"/>
            <w:noWrap/>
          </w:tcPr>
          <w:p w:rsidR="003E3A9B" w:rsidRPr="006305A6" w:rsidRDefault="003E3A9B" w:rsidP="00C62CF4">
            <w:pPr>
              <w:rPr>
                <w:sz w:val="24"/>
                <w:szCs w:val="24"/>
              </w:rPr>
            </w:pPr>
            <w:r w:rsidRPr="006305A6">
              <w:rPr>
                <w:sz w:val="24"/>
                <w:szCs w:val="24"/>
              </w:rPr>
              <w:t xml:space="preserve">Other general comments included standardized reporting, specimen tracking system, and training/webinars provided by SMEs.  </w:t>
            </w:r>
          </w:p>
        </w:tc>
      </w:tr>
    </w:tbl>
    <w:p w:rsidR="00B41381" w:rsidRPr="006305A6" w:rsidRDefault="00B41381" w:rsidP="00B41381">
      <w:pPr>
        <w:spacing w:line="240" w:lineRule="auto"/>
        <w:ind w:left="720"/>
        <w:rPr>
          <w:sz w:val="24"/>
          <w:szCs w:val="24"/>
        </w:rPr>
      </w:pPr>
    </w:p>
    <w:p w:rsidR="00ED6DB1" w:rsidRDefault="00ED6DB1" w:rsidP="00E04963">
      <w:pPr>
        <w:spacing w:line="240" w:lineRule="auto"/>
        <w:rPr>
          <w:b/>
          <w:sz w:val="24"/>
          <w:szCs w:val="24"/>
        </w:rPr>
      </w:pPr>
    </w:p>
    <w:p w:rsidR="00E04963" w:rsidRPr="00E04963" w:rsidRDefault="00E04963" w:rsidP="00E04963">
      <w:pPr>
        <w:spacing w:line="240" w:lineRule="auto"/>
        <w:rPr>
          <w:b/>
          <w:sz w:val="24"/>
          <w:szCs w:val="24"/>
        </w:rPr>
      </w:pPr>
      <w:r>
        <w:rPr>
          <w:b/>
          <w:sz w:val="24"/>
          <w:szCs w:val="24"/>
        </w:rPr>
        <w:lastRenderedPageBreak/>
        <w:t>Conclusions:</w:t>
      </w:r>
    </w:p>
    <w:p w:rsidR="00E04963" w:rsidRDefault="00E47791" w:rsidP="00421637">
      <w:pPr>
        <w:spacing w:line="240" w:lineRule="auto"/>
        <w:rPr>
          <w:sz w:val="24"/>
          <w:szCs w:val="24"/>
        </w:rPr>
      </w:pPr>
      <w:r>
        <w:rPr>
          <w:sz w:val="24"/>
          <w:szCs w:val="24"/>
        </w:rPr>
        <w:t>This inaugural</w:t>
      </w:r>
      <w:r w:rsidR="00E04963">
        <w:rPr>
          <w:sz w:val="24"/>
          <w:szCs w:val="24"/>
        </w:rPr>
        <w:t xml:space="preserve"> Customer Satisfaction Survey</w:t>
      </w:r>
      <w:r>
        <w:rPr>
          <w:sz w:val="24"/>
          <w:szCs w:val="24"/>
        </w:rPr>
        <w:t xml:space="preserve"> </w:t>
      </w:r>
      <w:r w:rsidR="00E04963">
        <w:rPr>
          <w:sz w:val="24"/>
          <w:szCs w:val="24"/>
        </w:rPr>
        <w:t>indicate</w:t>
      </w:r>
      <w:r>
        <w:rPr>
          <w:sz w:val="24"/>
          <w:szCs w:val="24"/>
        </w:rPr>
        <w:t>s</w:t>
      </w:r>
      <w:r w:rsidR="00E04963">
        <w:rPr>
          <w:sz w:val="24"/>
          <w:szCs w:val="24"/>
        </w:rPr>
        <w:t xml:space="preserve"> that the knowledge and technical services </w:t>
      </w:r>
      <w:r w:rsidR="00421637">
        <w:rPr>
          <w:sz w:val="24"/>
          <w:szCs w:val="24"/>
        </w:rPr>
        <w:t xml:space="preserve">provided by the </w:t>
      </w:r>
      <w:r w:rsidR="00E04963">
        <w:rPr>
          <w:sz w:val="24"/>
          <w:szCs w:val="24"/>
        </w:rPr>
        <w:t xml:space="preserve">CDC ID Laboratories provide are invaluable to </w:t>
      </w:r>
      <w:r w:rsidR="00421637">
        <w:rPr>
          <w:sz w:val="24"/>
          <w:szCs w:val="24"/>
        </w:rPr>
        <w:t>PHLs</w:t>
      </w:r>
      <w:r w:rsidR="00E04963">
        <w:rPr>
          <w:sz w:val="24"/>
          <w:szCs w:val="24"/>
        </w:rPr>
        <w:t>.</w:t>
      </w:r>
    </w:p>
    <w:p w:rsidR="00E04963" w:rsidRPr="006305A6" w:rsidRDefault="00421637" w:rsidP="00421637">
      <w:pPr>
        <w:spacing w:line="240" w:lineRule="auto"/>
        <w:rPr>
          <w:sz w:val="24"/>
          <w:szCs w:val="24"/>
        </w:rPr>
      </w:pPr>
      <w:r>
        <w:rPr>
          <w:sz w:val="24"/>
          <w:szCs w:val="24"/>
        </w:rPr>
        <w:t>PHLs</w:t>
      </w:r>
      <w:r w:rsidR="00E04963">
        <w:rPr>
          <w:sz w:val="24"/>
          <w:szCs w:val="24"/>
        </w:rPr>
        <w:t xml:space="preserve"> need a</w:t>
      </w:r>
      <w:r>
        <w:rPr>
          <w:sz w:val="24"/>
          <w:szCs w:val="24"/>
        </w:rPr>
        <w:t>n up-to-date</w:t>
      </w:r>
      <w:r w:rsidR="00E04963">
        <w:rPr>
          <w:sz w:val="24"/>
          <w:szCs w:val="24"/>
        </w:rPr>
        <w:t xml:space="preserve"> </w:t>
      </w:r>
      <w:r>
        <w:rPr>
          <w:sz w:val="24"/>
          <w:szCs w:val="24"/>
        </w:rPr>
        <w:t xml:space="preserve">Test </w:t>
      </w:r>
      <w:r w:rsidR="00E04963">
        <w:rPr>
          <w:sz w:val="24"/>
          <w:szCs w:val="24"/>
        </w:rPr>
        <w:t xml:space="preserve">Directory of Services </w:t>
      </w:r>
      <w:r w:rsidR="00E47791">
        <w:rPr>
          <w:sz w:val="24"/>
          <w:szCs w:val="24"/>
        </w:rPr>
        <w:t xml:space="preserve">and </w:t>
      </w:r>
      <w:r w:rsidR="00E04963">
        <w:rPr>
          <w:sz w:val="24"/>
          <w:szCs w:val="24"/>
        </w:rPr>
        <w:t xml:space="preserve">contact </w:t>
      </w:r>
      <w:r w:rsidR="00E47791">
        <w:rPr>
          <w:sz w:val="24"/>
          <w:szCs w:val="24"/>
        </w:rPr>
        <w:t>information to reach the appropriate person for advice and consultation</w:t>
      </w:r>
      <w:r w:rsidR="00E04963">
        <w:rPr>
          <w:sz w:val="24"/>
          <w:szCs w:val="24"/>
        </w:rPr>
        <w:t xml:space="preserve">.  </w:t>
      </w:r>
      <w:r w:rsidR="00ED6DB1">
        <w:rPr>
          <w:sz w:val="24"/>
          <w:szCs w:val="24"/>
        </w:rPr>
        <w:t>PHLs</w:t>
      </w:r>
      <w:r w:rsidR="00E04963">
        <w:rPr>
          <w:sz w:val="24"/>
          <w:szCs w:val="24"/>
        </w:rPr>
        <w:t xml:space="preserve"> w</w:t>
      </w:r>
      <w:r w:rsidR="00E47791">
        <w:rPr>
          <w:sz w:val="24"/>
          <w:szCs w:val="24"/>
        </w:rPr>
        <w:t>ant faster</w:t>
      </w:r>
      <w:r w:rsidR="00E04963">
        <w:rPr>
          <w:sz w:val="24"/>
          <w:szCs w:val="24"/>
        </w:rPr>
        <w:t xml:space="preserve"> turnaround time</w:t>
      </w:r>
      <w:r w:rsidR="00E47791">
        <w:rPr>
          <w:sz w:val="24"/>
          <w:szCs w:val="24"/>
        </w:rPr>
        <w:t>s</w:t>
      </w:r>
      <w:r w:rsidR="00E04963">
        <w:rPr>
          <w:sz w:val="24"/>
          <w:szCs w:val="24"/>
        </w:rPr>
        <w:t xml:space="preserve"> </w:t>
      </w:r>
      <w:r w:rsidR="00ED6DB1">
        <w:rPr>
          <w:sz w:val="24"/>
          <w:szCs w:val="24"/>
        </w:rPr>
        <w:t>for</w:t>
      </w:r>
      <w:r w:rsidR="00E04963">
        <w:rPr>
          <w:sz w:val="24"/>
          <w:szCs w:val="24"/>
        </w:rPr>
        <w:t xml:space="preserve"> testing</w:t>
      </w:r>
      <w:r w:rsidR="00ED6DB1">
        <w:rPr>
          <w:sz w:val="24"/>
          <w:szCs w:val="24"/>
        </w:rPr>
        <w:t>,</w:t>
      </w:r>
      <w:r w:rsidR="00E04963">
        <w:rPr>
          <w:sz w:val="24"/>
          <w:szCs w:val="24"/>
        </w:rPr>
        <w:t xml:space="preserve"> or at least better communication on expected turnaround time</w:t>
      </w:r>
      <w:r w:rsidR="00E47791">
        <w:rPr>
          <w:sz w:val="24"/>
          <w:szCs w:val="24"/>
        </w:rPr>
        <w:t xml:space="preserve"> and notification of reporting delays. Our </w:t>
      </w:r>
      <w:r w:rsidR="00E04963">
        <w:rPr>
          <w:sz w:val="24"/>
          <w:szCs w:val="24"/>
        </w:rPr>
        <w:t>public health</w:t>
      </w:r>
      <w:r w:rsidR="00E47791">
        <w:rPr>
          <w:sz w:val="24"/>
          <w:szCs w:val="24"/>
        </w:rPr>
        <w:t xml:space="preserve"> laboratory partners</w:t>
      </w:r>
      <w:r w:rsidR="00E04963">
        <w:rPr>
          <w:sz w:val="24"/>
          <w:szCs w:val="24"/>
        </w:rPr>
        <w:t xml:space="preserve"> </w:t>
      </w:r>
      <w:r w:rsidR="00E04963" w:rsidRPr="006305A6">
        <w:rPr>
          <w:sz w:val="24"/>
          <w:szCs w:val="24"/>
        </w:rPr>
        <w:t>would like to be able to access their reports electronically.</w:t>
      </w:r>
      <w:r w:rsidR="00E04963">
        <w:rPr>
          <w:sz w:val="24"/>
          <w:szCs w:val="24"/>
        </w:rPr>
        <w:t xml:space="preserve"> These are continuous quality improvements that should be accomplished</w:t>
      </w:r>
      <w:r w:rsidR="00E47791">
        <w:rPr>
          <w:sz w:val="24"/>
          <w:szCs w:val="24"/>
        </w:rPr>
        <w:t xml:space="preserve"> in order to serve the public health community.</w:t>
      </w:r>
    </w:p>
    <w:p w:rsidR="00421637" w:rsidRDefault="00421637" w:rsidP="00421637">
      <w:pPr>
        <w:spacing w:line="240" w:lineRule="auto"/>
        <w:rPr>
          <w:b/>
          <w:sz w:val="24"/>
          <w:szCs w:val="24"/>
        </w:rPr>
      </w:pPr>
      <w:r w:rsidRPr="00913677">
        <w:rPr>
          <w:b/>
          <w:sz w:val="24"/>
          <w:szCs w:val="24"/>
        </w:rPr>
        <w:t>Response Plan:</w:t>
      </w:r>
    </w:p>
    <w:p w:rsidR="00421637" w:rsidRDefault="00421637" w:rsidP="00421637">
      <w:pPr>
        <w:spacing w:line="240" w:lineRule="auto"/>
        <w:rPr>
          <w:sz w:val="24"/>
          <w:szCs w:val="24"/>
        </w:rPr>
      </w:pPr>
      <w:r w:rsidRPr="00913677">
        <w:rPr>
          <w:sz w:val="24"/>
          <w:szCs w:val="24"/>
        </w:rPr>
        <w:t xml:space="preserve">The </w:t>
      </w:r>
      <w:r>
        <w:rPr>
          <w:sz w:val="24"/>
          <w:szCs w:val="24"/>
        </w:rPr>
        <w:t xml:space="preserve">LQMP is developing a Laboratory Test Directory of Services that will be accessible to state PHLs and others on the CDC internet site.  Each CDC ID laboratory will be asked to provide a list of tests offered, contact persons and their information, and specific details of test requirements and reporting.  </w:t>
      </w:r>
    </w:p>
    <w:p w:rsidR="00421637" w:rsidRDefault="00421637" w:rsidP="00421637">
      <w:pPr>
        <w:spacing w:line="240" w:lineRule="auto"/>
        <w:rPr>
          <w:sz w:val="24"/>
          <w:szCs w:val="24"/>
        </w:rPr>
      </w:pPr>
      <w:r>
        <w:rPr>
          <w:sz w:val="24"/>
          <w:szCs w:val="24"/>
        </w:rPr>
        <w:t xml:space="preserve">An updated Specimen Submission Form has been created that will capture key information from the PHLs to enable test reports to be sent as an encrypted PDF via secure email.  This will decrease the turnaround time for reporting results compared to the current practice of delivering results via the U.S. mail. </w:t>
      </w:r>
    </w:p>
    <w:p w:rsidR="00E04963" w:rsidRDefault="00421637" w:rsidP="00421637">
      <w:pPr>
        <w:pStyle w:val="NoSpacing"/>
        <w:rPr>
          <w:sz w:val="24"/>
          <w:szCs w:val="24"/>
        </w:rPr>
      </w:pPr>
      <w:r>
        <w:rPr>
          <w:sz w:val="24"/>
          <w:szCs w:val="24"/>
        </w:rPr>
        <w:t>Selected PHLs will be asked to pilot these initiatives to ensure their functionality and that the end product meets their needs.  Implementation will begin in FY 2013.</w:t>
      </w:r>
    </w:p>
    <w:sectPr w:rsidR="00E04963" w:rsidSect="003B0B01">
      <w:headerReference w:type="even" r:id="rId17"/>
      <w:headerReference w:type="default" r:id="rId18"/>
      <w:footerReference w:type="even" r:id="rId19"/>
      <w:footerReference w:type="default" r:id="rId20"/>
      <w:headerReference w:type="first" r:id="rId21"/>
      <w:footerReference w:type="first" r:id="rId22"/>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6975" w:rsidRDefault="00E96975" w:rsidP="00D834A9">
      <w:pPr>
        <w:spacing w:after="0" w:line="240" w:lineRule="auto"/>
      </w:pPr>
      <w:r>
        <w:separator/>
      </w:r>
    </w:p>
  </w:endnote>
  <w:endnote w:type="continuationSeparator" w:id="0">
    <w:p w:rsidR="00E96975" w:rsidRDefault="00E96975" w:rsidP="00D834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23CA" w:rsidRDefault="00CB23C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7185193"/>
      <w:docPartObj>
        <w:docPartGallery w:val="Page Numbers (Bottom of Page)"/>
        <w:docPartUnique/>
      </w:docPartObj>
    </w:sdtPr>
    <w:sdtEndPr>
      <w:rPr>
        <w:noProof/>
      </w:rPr>
    </w:sdtEndPr>
    <w:sdtContent>
      <w:p w:rsidR="00705FE5" w:rsidRDefault="00705FE5">
        <w:pPr>
          <w:pStyle w:val="Footer"/>
          <w:jc w:val="center"/>
        </w:pPr>
        <w:r>
          <w:fldChar w:fldCharType="begin"/>
        </w:r>
        <w:r>
          <w:instrText xml:space="preserve"> PAGE   \* MERGEFORMAT </w:instrText>
        </w:r>
        <w:r>
          <w:fldChar w:fldCharType="separate"/>
        </w:r>
        <w:r w:rsidR="00021226">
          <w:rPr>
            <w:noProof/>
          </w:rPr>
          <w:t>1</w:t>
        </w:r>
        <w:r>
          <w:rPr>
            <w:noProof/>
          </w:rPr>
          <w:fldChar w:fldCharType="end"/>
        </w:r>
      </w:p>
    </w:sdtContent>
  </w:sdt>
  <w:p w:rsidR="00705FE5" w:rsidRDefault="00705FE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23CA" w:rsidRDefault="00CB23C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6975" w:rsidRDefault="00E96975" w:rsidP="00D834A9">
      <w:pPr>
        <w:spacing w:after="0" w:line="240" w:lineRule="auto"/>
      </w:pPr>
      <w:r>
        <w:separator/>
      </w:r>
    </w:p>
  </w:footnote>
  <w:footnote w:type="continuationSeparator" w:id="0">
    <w:p w:rsidR="00E96975" w:rsidRDefault="00E96975" w:rsidP="00D834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23CA" w:rsidRDefault="00CB23C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FE5" w:rsidRDefault="00705FE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23CA" w:rsidRDefault="00CB23C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437CC"/>
    <w:multiLevelType w:val="hybridMultilevel"/>
    <w:tmpl w:val="8FA4F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D416B4B"/>
    <w:multiLevelType w:val="hybridMultilevel"/>
    <w:tmpl w:val="BFB87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BC315FD"/>
    <w:multiLevelType w:val="hybridMultilevel"/>
    <w:tmpl w:val="72A22A5A"/>
    <w:lvl w:ilvl="0" w:tplc="C5C22D5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B50223E"/>
    <w:multiLevelType w:val="hybridMultilevel"/>
    <w:tmpl w:val="97F63C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DFB07F6"/>
    <w:multiLevelType w:val="hybridMultilevel"/>
    <w:tmpl w:val="51185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10E4F41"/>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6">
    <w:nsid w:val="5EFC437B"/>
    <w:multiLevelType w:val="hybridMultilevel"/>
    <w:tmpl w:val="15585048"/>
    <w:lvl w:ilvl="0" w:tplc="F228A636">
      <w:start w:val="7"/>
      <w:numFmt w:val="decimal"/>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7">
    <w:nsid w:val="603469E8"/>
    <w:multiLevelType w:val="hybridMultilevel"/>
    <w:tmpl w:val="E8F22E94"/>
    <w:lvl w:ilvl="0" w:tplc="C5C22D5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9CF7C75"/>
    <w:multiLevelType w:val="multilevel"/>
    <w:tmpl w:val="EC04164C"/>
    <w:lvl w:ilvl="0">
      <w:start w:val="7"/>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9">
    <w:nsid w:val="6B526DE6"/>
    <w:multiLevelType w:val="hybridMultilevel"/>
    <w:tmpl w:val="4FF833D6"/>
    <w:lvl w:ilvl="0" w:tplc="C5C22D5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2"/>
  </w:num>
  <w:num w:numId="4">
    <w:abstractNumId w:val="7"/>
  </w:num>
  <w:num w:numId="5">
    <w:abstractNumId w:val="9"/>
  </w:num>
  <w:num w:numId="6">
    <w:abstractNumId w:val="6"/>
  </w:num>
  <w:num w:numId="7">
    <w:abstractNumId w:val="1"/>
  </w:num>
  <w:num w:numId="8">
    <w:abstractNumId w:val="0"/>
  </w:num>
  <w:num w:numId="9">
    <w:abstractNumId w:val="4"/>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87"/>
  <w:drawingGridVerticalSpacing w:val="18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1443"/>
    <w:rsid w:val="00020E72"/>
    <w:rsid w:val="00021226"/>
    <w:rsid w:val="00034961"/>
    <w:rsid w:val="00075ED4"/>
    <w:rsid w:val="00094EA6"/>
    <w:rsid w:val="000B5AA4"/>
    <w:rsid w:val="000E2FFA"/>
    <w:rsid w:val="00125E2E"/>
    <w:rsid w:val="00127068"/>
    <w:rsid w:val="00151430"/>
    <w:rsid w:val="00152102"/>
    <w:rsid w:val="001B629A"/>
    <w:rsid w:val="001D07CB"/>
    <w:rsid w:val="00201F3E"/>
    <w:rsid w:val="002268BB"/>
    <w:rsid w:val="00253F62"/>
    <w:rsid w:val="002833B8"/>
    <w:rsid w:val="002A5542"/>
    <w:rsid w:val="003146C8"/>
    <w:rsid w:val="00351141"/>
    <w:rsid w:val="00351443"/>
    <w:rsid w:val="003B0B01"/>
    <w:rsid w:val="003D7D60"/>
    <w:rsid w:val="003E3A9B"/>
    <w:rsid w:val="003E74B0"/>
    <w:rsid w:val="00421637"/>
    <w:rsid w:val="004726D9"/>
    <w:rsid w:val="00495419"/>
    <w:rsid w:val="004C06EC"/>
    <w:rsid w:val="004D0691"/>
    <w:rsid w:val="00523A9A"/>
    <w:rsid w:val="00564198"/>
    <w:rsid w:val="005936B2"/>
    <w:rsid w:val="005B7FC5"/>
    <w:rsid w:val="005C6563"/>
    <w:rsid w:val="005D4832"/>
    <w:rsid w:val="00612690"/>
    <w:rsid w:val="00622198"/>
    <w:rsid w:val="00624105"/>
    <w:rsid w:val="006305A6"/>
    <w:rsid w:val="00651F2D"/>
    <w:rsid w:val="00656DC3"/>
    <w:rsid w:val="006633FF"/>
    <w:rsid w:val="006A6B82"/>
    <w:rsid w:val="006C1A10"/>
    <w:rsid w:val="006F6235"/>
    <w:rsid w:val="00705FE5"/>
    <w:rsid w:val="007352C0"/>
    <w:rsid w:val="00736224"/>
    <w:rsid w:val="00737623"/>
    <w:rsid w:val="007471C2"/>
    <w:rsid w:val="00757EA4"/>
    <w:rsid w:val="008014D0"/>
    <w:rsid w:val="00802FBC"/>
    <w:rsid w:val="00853437"/>
    <w:rsid w:val="00883778"/>
    <w:rsid w:val="008A197A"/>
    <w:rsid w:val="008E060A"/>
    <w:rsid w:val="008F46B9"/>
    <w:rsid w:val="009031D1"/>
    <w:rsid w:val="00912108"/>
    <w:rsid w:val="0098605A"/>
    <w:rsid w:val="00991A06"/>
    <w:rsid w:val="009A7983"/>
    <w:rsid w:val="009C7402"/>
    <w:rsid w:val="00A532B4"/>
    <w:rsid w:val="00A67DC7"/>
    <w:rsid w:val="00A766F7"/>
    <w:rsid w:val="00A824A2"/>
    <w:rsid w:val="00A93433"/>
    <w:rsid w:val="00AB3848"/>
    <w:rsid w:val="00AD5BDD"/>
    <w:rsid w:val="00AE1300"/>
    <w:rsid w:val="00AE5FEA"/>
    <w:rsid w:val="00B1527B"/>
    <w:rsid w:val="00B27A2F"/>
    <w:rsid w:val="00B41381"/>
    <w:rsid w:val="00B55872"/>
    <w:rsid w:val="00B61443"/>
    <w:rsid w:val="00B665BA"/>
    <w:rsid w:val="00B92894"/>
    <w:rsid w:val="00BA5F07"/>
    <w:rsid w:val="00BB5EB9"/>
    <w:rsid w:val="00BF2515"/>
    <w:rsid w:val="00C109C0"/>
    <w:rsid w:val="00C1151F"/>
    <w:rsid w:val="00C34312"/>
    <w:rsid w:val="00C62CF4"/>
    <w:rsid w:val="00CA4103"/>
    <w:rsid w:val="00CB0636"/>
    <w:rsid w:val="00CB22CF"/>
    <w:rsid w:val="00CB23CA"/>
    <w:rsid w:val="00CF1AD6"/>
    <w:rsid w:val="00CF3532"/>
    <w:rsid w:val="00D06EAA"/>
    <w:rsid w:val="00D461C5"/>
    <w:rsid w:val="00D7315F"/>
    <w:rsid w:val="00D73993"/>
    <w:rsid w:val="00D834A9"/>
    <w:rsid w:val="00DB1642"/>
    <w:rsid w:val="00DD1815"/>
    <w:rsid w:val="00DD2583"/>
    <w:rsid w:val="00DD3D2E"/>
    <w:rsid w:val="00DE1C0B"/>
    <w:rsid w:val="00DE4936"/>
    <w:rsid w:val="00E0162C"/>
    <w:rsid w:val="00E04963"/>
    <w:rsid w:val="00E33E38"/>
    <w:rsid w:val="00E47791"/>
    <w:rsid w:val="00E53C6F"/>
    <w:rsid w:val="00E7796D"/>
    <w:rsid w:val="00E84879"/>
    <w:rsid w:val="00E96975"/>
    <w:rsid w:val="00EC6337"/>
    <w:rsid w:val="00ED6DB1"/>
    <w:rsid w:val="00EE512D"/>
    <w:rsid w:val="00F129C2"/>
    <w:rsid w:val="00F26581"/>
    <w:rsid w:val="00F6266E"/>
    <w:rsid w:val="00F72A77"/>
    <w:rsid w:val="00F81DB2"/>
    <w:rsid w:val="00F94132"/>
    <w:rsid w:val="00FF5A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1527B"/>
    <w:pPr>
      <w:spacing w:after="0" w:line="240" w:lineRule="auto"/>
    </w:pPr>
  </w:style>
  <w:style w:type="paragraph" w:styleId="BalloonText">
    <w:name w:val="Balloon Text"/>
    <w:basedOn w:val="Normal"/>
    <w:link w:val="BalloonTextChar"/>
    <w:uiPriority w:val="99"/>
    <w:semiHidden/>
    <w:unhideWhenUsed/>
    <w:rsid w:val="00D834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34A9"/>
    <w:rPr>
      <w:rFonts w:ascii="Tahoma" w:hAnsi="Tahoma" w:cs="Tahoma"/>
      <w:sz w:val="16"/>
      <w:szCs w:val="16"/>
    </w:rPr>
  </w:style>
  <w:style w:type="paragraph" w:styleId="Header">
    <w:name w:val="header"/>
    <w:basedOn w:val="Normal"/>
    <w:link w:val="HeaderChar"/>
    <w:uiPriority w:val="99"/>
    <w:unhideWhenUsed/>
    <w:rsid w:val="00D834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34A9"/>
  </w:style>
  <w:style w:type="paragraph" w:styleId="Footer">
    <w:name w:val="footer"/>
    <w:basedOn w:val="Normal"/>
    <w:link w:val="FooterChar"/>
    <w:uiPriority w:val="99"/>
    <w:unhideWhenUsed/>
    <w:rsid w:val="00D834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34A9"/>
  </w:style>
  <w:style w:type="table" w:styleId="TableGrid">
    <w:name w:val="Table Grid"/>
    <w:basedOn w:val="TableNormal"/>
    <w:uiPriority w:val="59"/>
    <w:rsid w:val="003D7D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51430"/>
    <w:pPr>
      <w:ind w:left="720"/>
      <w:contextualSpacing/>
    </w:pPr>
  </w:style>
  <w:style w:type="character" w:styleId="CommentReference">
    <w:name w:val="annotation reference"/>
    <w:basedOn w:val="DefaultParagraphFont"/>
    <w:uiPriority w:val="99"/>
    <w:semiHidden/>
    <w:unhideWhenUsed/>
    <w:rsid w:val="00523A9A"/>
    <w:rPr>
      <w:sz w:val="16"/>
      <w:szCs w:val="16"/>
    </w:rPr>
  </w:style>
  <w:style w:type="paragraph" w:styleId="CommentText">
    <w:name w:val="annotation text"/>
    <w:basedOn w:val="Normal"/>
    <w:link w:val="CommentTextChar"/>
    <w:uiPriority w:val="99"/>
    <w:semiHidden/>
    <w:unhideWhenUsed/>
    <w:rsid w:val="00523A9A"/>
    <w:pPr>
      <w:spacing w:line="240" w:lineRule="auto"/>
    </w:pPr>
    <w:rPr>
      <w:sz w:val="20"/>
      <w:szCs w:val="20"/>
    </w:rPr>
  </w:style>
  <w:style w:type="character" w:customStyle="1" w:styleId="CommentTextChar">
    <w:name w:val="Comment Text Char"/>
    <w:basedOn w:val="DefaultParagraphFont"/>
    <w:link w:val="CommentText"/>
    <w:uiPriority w:val="99"/>
    <w:semiHidden/>
    <w:rsid w:val="00523A9A"/>
    <w:rPr>
      <w:sz w:val="20"/>
      <w:szCs w:val="20"/>
    </w:rPr>
  </w:style>
  <w:style w:type="paragraph" w:styleId="CommentSubject">
    <w:name w:val="annotation subject"/>
    <w:basedOn w:val="CommentText"/>
    <w:next w:val="CommentText"/>
    <w:link w:val="CommentSubjectChar"/>
    <w:uiPriority w:val="99"/>
    <w:semiHidden/>
    <w:unhideWhenUsed/>
    <w:rsid w:val="00523A9A"/>
    <w:rPr>
      <w:b/>
      <w:bCs/>
    </w:rPr>
  </w:style>
  <w:style w:type="character" w:customStyle="1" w:styleId="CommentSubjectChar">
    <w:name w:val="Comment Subject Char"/>
    <w:basedOn w:val="CommentTextChar"/>
    <w:link w:val="CommentSubject"/>
    <w:uiPriority w:val="99"/>
    <w:semiHidden/>
    <w:rsid w:val="00523A9A"/>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1527B"/>
    <w:pPr>
      <w:spacing w:after="0" w:line="240" w:lineRule="auto"/>
    </w:pPr>
  </w:style>
  <w:style w:type="paragraph" w:styleId="BalloonText">
    <w:name w:val="Balloon Text"/>
    <w:basedOn w:val="Normal"/>
    <w:link w:val="BalloonTextChar"/>
    <w:uiPriority w:val="99"/>
    <w:semiHidden/>
    <w:unhideWhenUsed/>
    <w:rsid w:val="00D834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34A9"/>
    <w:rPr>
      <w:rFonts w:ascii="Tahoma" w:hAnsi="Tahoma" w:cs="Tahoma"/>
      <w:sz w:val="16"/>
      <w:szCs w:val="16"/>
    </w:rPr>
  </w:style>
  <w:style w:type="paragraph" w:styleId="Header">
    <w:name w:val="header"/>
    <w:basedOn w:val="Normal"/>
    <w:link w:val="HeaderChar"/>
    <w:uiPriority w:val="99"/>
    <w:unhideWhenUsed/>
    <w:rsid w:val="00D834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34A9"/>
  </w:style>
  <w:style w:type="paragraph" w:styleId="Footer">
    <w:name w:val="footer"/>
    <w:basedOn w:val="Normal"/>
    <w:link w:val="FooterChar"/>
    <w:uiPriority w:val="99"/>
    <w:unhideWhenUsed/>
    <w:rsid w:val="00D834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34A9"/>
  </w:style>
  <w:style w:type="table" w:styleId="TableGrid">
    <w:name w:val="Table Grid"/>
    <w:basedOn w:val="TableNormal"/>
    <w:uiPriority w:val="59"/>
    <w:rsid w:val="003D7D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51430"/>
    <w:pPr>
      <w:ind w:left="720"/>
      <w:contextualSpacing/>
    </w:pPr>
  </w:style>
  <w:style w:type="character" w:styleId="CommentReference">
    <w:name w:val="annotation reference"/>
    <w:basedOn w:val="DefaultParagraphFont"/>
    <w:uiPriority w:val="99"/>
    <w:semiHidden/>
    <w:unhideWhenUsed/>
    <w:rsid w:val="00523A9A"/>
    <w:rPr>
      <w:sz w:val="16"/>
      <w:szCs w:val="16"/>
    </w:rPr>
  </w:style>
  <w:style w:type="paragraph" w:styleId="CommentText">
    <w:name w:val="annotation text"/>
    <w:basedOn w:val="Normal"/>
    <w:link w:val="CommentTextChar"/>
    <w:uiPriority w:val="99"/>
    <w:semiHidden/>
    <w:unhideWhenUsed/>
    <w:rsid w:val="00523A9A"/>
    <w:pPr>
      <w:spacing w:line="240" w:lineRule="auto"/>
    </w:pPr>
    <w:rPr>
      <w:sz w:val="20"/>
      <w:szCs w:val="20"/>
    </w:rPr>
  </w:style>
  <w:style w:type="character" w:customStyle="1" w:styleId="CommentTextChar">
    <w:name w:val="Comment Text Char"/>
    <w:basedOn w:val="DefaultParagraphFont"/>
    <w:link w:val="CommentText"/>
    <w:uiPriority w:val="99"/>
    <w:semiHidden/>
    <w:rsid w:val="00523A9A"/>
    <w:rPr>
      <w:sz w:val="20"/>
      <w:szCs w:val="20"/>
    </w:rPr>
  </w:style>
  <w:style w:type="paragraph" w:styleId="CommentSubject">
    <w:name w:val="annotation subject"/>
    <w:basedOn w:val="CommentText"/>
    <w:next w:val="CommentText"/>
    <w:link w:val="CommentSubjectChar"/>
    <w:uiPriority w:val="99"/>
    <w:semiHidden/>
    <w:unhideWhenUsed/>
    <w:rsid w:val="00523A9A"/>
    <w:rPr>
      <w:b/>
      <w:bCs/>
    </w:rPr>
  </w:style>
  <w:style w:type="character" w:customStyle="1" w:styleId="CommentSubjectChar">
    <w:name w:val="Comment Subject Char"/>
    <w:basedOn w:val="CommentTextChar"/>
    <w:link w:val="CommentSubject"/>
    <w:uiPriority w:val="99"/>
    <w:semiHidden/>
    <w:rsid w:val="00523A9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7762540">
      <w:bodyDiv w:val="1"/>
      <w:marLeft w:val="0"/>
      <w:marRight w:val="0"/>
      <w:marTop w:val="0"/>
      <w:marBottom w:val="0"/>
      <w:divBdr>
        <w:top w:val="none" w:sz="0" w:space="0" w:color="auto"/>
        <w:left w:val="none" w:sz="0" w:space="0" w:color="auto"/>
        <w:bottom w:val="none" w:sz="0" w:space="0" w:color="auto"/>
        <w:right w:val="none" w:sz="0" w:space="0" w:color="auto"/>
      </w:divBdr>
    </w:div>
    <w:div w:id="389696538">
      <w:bodyDiv w:val="1"/>
      <w:marLeft w:val="0"/>
      <w:marRight w:val="0"/>
      <w:marTop w:val="0"/>
      <w:marBottom w:val="0"/>
      <w:divBdr>
        <w:top w:val="none" w:sz="0" w:space="0" w:color="auto"/>
        <w:left w:val="none" w:sz="0" w:space="0" w:color="auto"/>
        <w:bottom w:val="none" w:sz="0" w:space="0" w:color="auto"/>
        <w:right w:val="none" w:sz="0" w:space="0" w:color="auto"/>
      </w:divBdr>
    </w:div>
    <w:div w:id="808132388">
      <w:bodyDiv w:val="1"/>
      <w:marLeft w:val="0"/>
      <w:marRight w:val="0"/>
      <w:marTop w:val="0"/>
      <w:marBottom w:val="0"/>
      <w:divBdr>
        <w:top w:val="none" w:sz="0" w:space="0" w:color="auto"/>
        <w:left w:val="none" w:sz="0" w:space="0" w:color="auto"/>
        <w:bottom w:val="none" w:sz="0" w:space="0" w:color="auto"/>
        <w:right w:val="none" w:sz="0" w:space="0" w:color="auto"/>
      </w:divBdr>
    </w:div>
    <w:div w:id="883520742">
      <w:bodyDiv w:val="1"/>
      <w:marLeft w:val="0"/>
      <w:marRight w:val="0"/>
      <w:marTop w:val="0"/>
      <w:marBottom w:val="0"/>
      <w:divBdr>
        <w:top w:val="none" w:sz="0" w:space="0" w:color="auto"/>
        <w:left w:val="none" w:sz="0" w:space="0" w:color="auto"/>
        <w:bottom w:val="none" w:sz="0" w:space="0" w:color="auto"/>
        <w:right w:val="none" w:sz="0" w:space="0" w:color="auto"/>
      </w:divBdr>
    </w:div>
    <w:div w:id="982781177">
      <w:bodyDiv w:val="1"/>
      <w:marLeft w:val="0"/>
      <w:marRight w:val="0"/>
      <w:marTop w:val="0"/>
      <w:marBottom w:val="0"/>
      <w:divBdr>
        <w:top w:val="none" w:sz="0" w:space="0" w:color="auto"/>
        <w:left w:val="none" w:sz="0" w:space="0" w:color="auto"/>
        <w:bottom w:val="none" w:sz="0" w:space="0" w:color="auto"/>
        <w:right w:val="none" w:sz="0" w:space="0" w:color="auto"/>
      </w:divBdr>
    </w:div>
    <w:div w:id="1224439970">
      <w:bodyDiv w:val="1"/>
      <w:marLeft w:val="0"/>
      <w:marRight w:val="0"/>
      <w:marTop w:val="0"/>
      <w:marBottom w:val="0"/>
      <w:divBdr>
        <w:top w:val="none" w:sz="0" w:space="0" w:color="auto"/>
        <w:left w:val="none" w:sz="0" w:space="0" w:color="auto"/>
        <w:bottom w:val="none" w:sz="0" w:space="0" w:color="auto"/>
        <w:right w:val="none" w:sz="0" w:space="0" w:color="auto"/>
      </w:divBdr>
    </w:div>
    <w:div w:id="1227300160">
      <w:bodyDiv w:val="1"/>
      <w:marLeft w:val="0"/>
      <w:marRight w:val="0"/>
      <w:marTop w:val="0"/>
      <w:marBottom w:val="0"/>
      <w:divBdr>
        <w:top w:val="none" w:sz="0" w:space="0" w:color="auto"/>
        <w:left w:val="none" w:sz="0" w:space="0" w:color="auto"/>
        <w:bottom w:val="none" w:sz="0" w:space="0" w:color="auto"/>
        <w:right w:val="none" w:sz="0" w:space="0" w:color="auto"/>
      </w:divBdr>
    </w:div>
    <w:div w:id="2003504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chart" Target="charts/chart4.xml"/><Relationship Id="rId18" Type="http://schemas.openxmlformats.org/officeDocument/2006/relationships/header" Target="header2.xml"/><Relationship Id="rId3" Type="http://schemas.microsoft.com/office/2007/relationships/stylesWithEffects" Target="stylesWithEffect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chart" Target="charts/chart7.xm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hart" Target="charts/chart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hart" Target="charts/chart6.xml"/><Relationship Id="rId23" Type="http://schemas.openxmlformats.org/officeDocument/2006/relationships/fontTable" Target="fontTable.xml"/><Relationship Id="rId10" Type="http://schemas.openxmlformats.org/officeDocument/2006/relationships/chart" Target="charts/chart1.xm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package" Target="embeddings/Microsoft_PowerPoint_Presentation1.pptx"/><Relationship Id="rId14" Type="http://schemas.openxmlformats.org/officeDocument/2006/relationships/chart" Target="charts/chart5.xml"/><Relationship Id="rId22" Type="http://schemas.openxmlformats.org/officeDocument/2006/relationships/footer" Target="footer3.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7.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8.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9.9951345930434615E-2"/>
          <c:y val="4.2150796070764503E-2"/>
          <c:w val="0.75674553921617305"/>
          <c:h val="0.86274042054538169"/>
        </c:manualLayout>
      </c:layout>
      <c:barChart>
        <c:barDir val="col"/>
        <c:grouping val="stacked"/>
        <c:varyColors val="0"/>
        <c:ser>
          <c:idx val="0"/>
          <c:order val="0"/>
          <c:tx>
            <c:strRef>
              <c:f>'Preliminary Data Summary'!$A$6</c:f>
              <c:strCache>
                <c:ptCount val="1"/>
                <c:pt idx="0">
                  <c:v>Very Poor</c:v>
                </c:pt>
              </c:strCache>
            </c:strRef>
          </c:tx>
          <c:invertIfNegative val="0"/>
          <c:cat>
            <c:strRef>
              <c:f>'Preliminary Data Summary'!$B$5:$G$5</c:f>
              <c:strCache>
                <c:ptCount val="6"/>
                <c:pt idx="0">
                  <c:v>Convenience</c:v>
                </c:pt>
                <c:pt idx="1">
                  <c:v>Accessibility</c:v>
                </c:pt>
                <c:pt idx="2">
                  <c:v>Timeliness</c:v>
                </c:pt>
                <c:pt idx="3">
                  <c:v>Forms</c:v>
                </c:pt>
                <c:pt idx="4">
                  <c:v>Reports</c:v>
                </c:pt>
                <c:pt idx="5">
                  <c:v>Overall</c:v>
                </c:pt>
              </c:strCache>
            </c:strRef>
          </c:cat>
          <c:val>
            <c:numRef>
              <c:f>'Preliminary Data Summary'!$B$6:$G$6</c:f>
              <c:numCache>
                <c:formatCode>General</c:formatCode>
                <c:ptCount val="6"/>
                <c:pt idx="0">
                  <c:v>3</c:v>
                </c:pt>
                <c:pt idx="1">
                  <c:v>1</c:v>
                </c:pt>
                <c:pt idx="2">
                  <c:v>5</c:v>
                </c:pt>
                <c:pt idx="3">
                  <c:v>0</c:v>
                </c:pt>
                <c:pt idx="4">
                  <c:v>0</c:v>
                </c:pt>
                <c:pt idx="5">
                  <c:v>0</c:v>
                </c:pt>
              </c:numCache>
            </c:numRef>
          </c:val>
        </c:ser>
        <c:ser>
          <c:idx val="1"/>
          <c:order val="1"/>
          <c:tx>
            <c:strRef>
              <c:f>'Preliminary Data Summary'!$A$7</c:f>
              <c:strCache>
                <c:ptCount val="1"/>
                <c:pt idx="0">
                  <c:v>Poor</c:v>
                </c:pt>
              </c:strCache>
            </c:strRef>
          </c:tx>
          <c:invertIfNegative val="0"/>
          <c:cat>
            <c:strRef>
              <c:f>'Preliminary Data Summary'!$B$5:$G$5</c:f>
              <c:strCache>
                <c:ptCount val="6"/>
                <c:pt idx="0">
                  <c:v>Convenience</c:v>
                </c:pt>
                <c:pt idx="1">
                  <c:v>Accessibility</c:v>
                </c:pt>
                <c:pt idx="2">
                  <c:v>Timeliness</c:v>
                </c:pt>
                <c:pt idx="3">
                  <c:v>Forms</c:v>
                </c:pt>
                <c:pt idx="4">
                  <c:v>Reports</c:v>
                </c:pt>
                <c:pt idx="5">
                  <c:v>Overall</c:v>
                </c:pt>
              </c:strCache>
            </c:strRef>
          </c:cat>
          <c:val>
            <c:numRef>
              <c:f>'Preliminary Data Summary'!$B$7:$G$7</c:f>
              <c:numCache>
                <c:formatCode>General</c:formatCode>
                <c:ptCount val="6"/>
                <c:pt idx="0">
                  <c:v>19</c:v>
                </c:pt>
                <c:pt idx="1">
                  <c:v>15</c:v>
                </c:pt>
                <c:pt idx="2">
                  <c:v>16</c:v>
                </c:pt>
                <c:pt idx="3">
                  <c:v>2</c:v>
                </c:pt>
                <c:pt idx="4">
                  <c:v>3</c:v>
                </c:pt>
                <c:pt idx="5">
                  <c:v>10</c:v>
                </c:pt>
              </c:numCache>
            </c:numRef>
          </c:val>
        </c:ser>
        <c:ser>
          <c:idx val="2"/>
          <c:order val="2"/>
          <c:tx>
            <c:strRef>
              <c:f>'Preliminary Data Summary'!$A$8</c:f>
              <c:strCache>
                <c:ptCount val="1"/>
                <c:pt idx="0">
                  <c:v>Good</c:v>
                </c:pt>
              </c:strCache>
            </c:strRef>
          </c:tx>
          <c:invertIfNegative val="0"/>
          <c:cat>
            <c:strRef>
              <c:f>'Preliminary Data Summary'!$B$5:$G$5</c:f>
              <c:strCache>
                <c:ptCount val="6"/>
                <c:pt idx="0">
                  <c:v>Convenience</c:v>
                </c:pt>
                <c:pt idx="1">
                  <c:v>Accessibility</c:v>
                </c:pt>
                <c:pt idx="2">
                  <c:v>Timeliness</c:v>
                </c:pt>
                <c:pt idx="3">
                  <c:v>Forms</c:v>
                </c:pt>
                <c:pt idx="4">
                  <c:v>Reports</c:v>
                </c:pt>
                <c:pt idx="5">
                  <c:v>Overall</c:v>
                </c:pt>
              </c:strCache>
            </c:strRef>
          </c:cat>
          <c:val>
            <c:numRef>
              <c:f>'Preliminary Data Summary'!$B$8:$G$8</c:f>
              <c:numCache>
                <c:formatCode>General</c:formatCode>
                <c:ptCount val="6"/>
                <c:pt idx="0">
                  <c:v>13</c:v>
                </c:pt>
                <c:pt idx="1">
                  <c:v>19</c:v>
                </c:pt>
                <c:pt idx="2">
                  <c:v>11</c:v>
                </c:pt>
                <c:pt idx="3">
                  <c:v>25</c:v>
                </c:pt>
                <c:pt idx="4">
                  <c:v>20</c:v>
                </c:pt>
                <c:pt idx="5">
                  <c:v>21</c:v>
                </c:pt>
              </c:numCache>
            </c:numRef>
          </c:val>
        </c:ser>
        <c:ser>
          <c:idx val="3"/>
          <c:order val="3"/>
          <c:tx>
            <c:strRef>
              <c:f>'Preliminary Data Summary'!$A$9</c:f>
              <c:strCache>
                <c:ptCount val="1"/>
                <c:pt idx="0">
                  <c:v>Very Good</c:v>
                </c:pt>
              </c:strCache>
            </c:strRef>
          </c:tx>
          <c:invertIfNegative val="0"/>
          <c:cat>
            <c:strRef>
              <c:f>'Preliminary Data Summary'!$B$5:$G$5</c:f>
              <c:strCache>
                <c:ptCount val="6"/>
                <c:pt idx="0">
                  <c:v>Convenience</c:v>
                </c:pt>
                <c:pt idx="1">
                  <c:v>Accessibility</c:v>
                </c:pt>
                <c:pt idx="2">
                  <c:v>Timeliness</c:v>
                </c:pt>
                <c:pt idx="3">
                  <c:v>Forms</c:v>
                </c:pt>
                <c:pt idx="4">
                  <c:v>Reports</c:v>
                </c:pt>
                <c:pt idx="5">
                  <c:v>Overall</c:v>
                </c:pt>
              </c:strCache>
            </c:strRef>
          </c:cat>
          <c:val>
            <c:numRef>
              <c:f>'Preliminary Data Summary'!$B$9:$G$9</c:f>
              <c:numCache>
                <c:formatCode>General</c:formatCode>
                <c:ptCount val="6"/>
                <c:pt idx="0">
                  <c:v>6</c:v>
                </c:pt>
                <c:pt idx="1">
                  <c:v>6</c:v>
                </c:pt>
                <c:pt idx="2">
                  <c:v>4</c:v>
                </c:pt>
                <c:pt idx="3">
                  <c:v>14</c:v>
                </c:pt>
                <c:pt idx="4">
                  <c:v>18</c:v>
                </c:pt>
                <c:pt idx="5">
                  <c:v>8</c:v>
                </c:pt>
              </c:numCache>
            </c:numRef>
          </c:val>
        </c:ser>
        <c:ser>
          <c:idx val="4"/>
          <c:order val="4"/>
          <c:tx>
            <c:strRef>
              <c:f>'Preliminary Data Summary'!$A$10</c:f>
              <c:strCache>
                <c:ptCount val="1"/>
                <c:pt idx="0">
                  <c:v>N/A</c:v>
                </c:pt>
              </c:strCache>
            </c:strRef>
          </c:tx>
          <c:invertIfNegative val="0"/>
          <c:cat>
            <c:strRef>
              <c:f>'Preliminary Data Summary'!$B$5:$G$5</c:f>
              <c:strCache>
                <c:ptCount val="6"/>
                <c:pt idx="0">
                  <c:v>Convenience</c:v>
                </c:pt>
                <c:pt idx="1">
                  <c:v>Accessibility</c:v>
                </c:pt>
                <c:pt idx="2">
                  <c:v>Timeliness</c:v>
                </c:pt>
                <c:pt idx="3">
                  <c:v>Forms</c:v>
                </c:pt>
                <c:pt idx="4">
                  <c:v>Reports</c:v>
                </c:pt>
                <c:pt idx="5">
                  <c:v>Overall</c:v>
                </c:pt>
              </c:strCache>
            </c:strRef>
          </c:cat>
          <c:val>
            <c:numRef>
              <c:f>'Preliminary Data Summary'!$B$10:$G$10</c:f>
              <c:numCache>
                <c:formatCode>General</c:formatCode>
                <c:ptCount val="6"/>
                <c:pt idx="0">
                  <c:v>0</c:v>
                </c:pt>
                <c:pt idx="1">
                  <c:v>0</c:v>
                </c:pt>
                <c:pt idx="2">
                  <c:v>5</c:v>
                </c:pt>
                <c:pt idx="3">
                  <c:v>0</c:v>
                </c:pt>
                <c:pt idx="4">
                  <c:v>0</c:v>
                </c:pt>
                <c:pt idx="5">
                  <c:v>0</c:v>
                </c:pt>
              </c:numCache>
            </c:numRef>
          </c:val>
        </c:ser>
        <c:dLbls>
          <c:showLegendKey val="0"/>
          <c:showVal val="0"/>
          <c:showCatName val="0"/>
          <c:showSerName val="0"/>
          <c:showPercent val="0"/>
          <c:showBubbleSize val="0"/>
        </c:dLbls>
        <c:gapWidth val="150"/>
        <c:overlap val="100"/>
        <c:axId val="110147072"/>
        <c:axId val="110148992"/>
      </c:barChart>
      <c:catAx>
        <c:axId val="110147072"/>
        <c:scaling>
          <c:orientation val="minMax"/>
        </c:scaling>
        <c:delete val="0"/>
        <c:axPos val="b"/>
        <c:majorTickMark val="out"/>
        <c:minorTickMark val="none"/>
        <c:tickLblPos val="nextTo"/>
        <c:crossAx val="110148992"/>
        <c:crosses val="autoZero"/>
        <c:auto val="1"/>
        <c:lblAlgn val="ctr"/>
        <c:lblOffset val="100"/>
        <c:noMultiLvlLbl val="0"/>
      </c:catAx>
      <c:valAx>
        <c:axId val="110148992"/>
        <c:scaling>
          <c:orientation val="minMax"/>
        </c:scaling>
        <c:delete val="0"/>
        <c:axPos val="l"/>
        <c:majorGridlines/>
        <c:title>
          <c:tx>
            <c:rich>
              <a:bodyPr rot="-5400000" vert="horz"/>
              <a:lstStyle/>
              <a:p>
                <a:pPr>
                  <a:defRPr/>
                </a:pPr>
                <a:r>
                  <a:rPr lang="en-US"/>
                  <a:t># of responses</a:t>
                </a:r>
              </a:p>
            </c:rich>
          </c:tx>
          <c:layout>
            <c:manualLayout>
              <c:xMode val="edge"/>
              <c:yMode val="edge"/>
              <c:x val="1.7730105615738765E-2"/>
              <c:y val="0.36284763646968371"/>
            </c:manualLayout>
          </c:layout>
          <c:overlay val="0"/>
        </c:title>
        <c:numFmt formatCode="General" sourceLinked="1"/>
        <c:majorTickMark val="out"/>
        <c:minorTickMark val="none"/>
        <c:tickLblPos val="nextTo"/>
        <c:crossAx val="110147072"/>
        <c:crosses val="autoZero"/>
        <c:crossBetween val="between"/>
      </c:valAx>
      <c:spPr>
        <a:ln w="12700"/>
      </c:spPr>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0"/>
    </mc:Choice>
    <mc:Fallback>
      <c:style val="10"/>
    </mc:Fallback>
  </mc:AlternateContent>
  <c:chart>
    <c:autoTitleDeleted val="1"/>
    <c:plotArea>
      <c:layout/>
      <c:pieChart>
        <c:varyColors val="1"/>
        <c:ser>
          <c:idx val="0"/>
          <c:order val="0"/>
          <c:tx>
            <c:strRef>
              <c:f>'Preliminary Data Summary'!$J$5</c:f>
              <c:strCache>
                <c:ptCount val="1"/>
                <c:pt idx="0">
                  <c:v>Convenience</c:v>
                </c:pt>
              </c:strCache>
            </c:strRef>
          </c:tx>
          <c:dLbls>
            <c:dLbl>
              <c:idx val="0"/>
              <c:layout>
                <c:manualLayout>
                  <c:x val="-3.1826881014873139E-2"/>
                  <c:y val="0.10439997083697872"/>
                </c:manualLayout>
              </c:layout>
              <c:showLegendKey val="0"/>
              <c:showVal val="1"/>
              <c:showCatName val="0"/>
              <c:showSerName val="0"/>
              <c:showPercent val="0"/>
              <c:showBubbleSize val="0"/>
            </c:dLbl>
            <c:dLbl>
              <c:idx val="4"/>
              <c:delete val="1"/>
            </c:dLbl>
            <c:txPr>
              <a:bodyPr/>
              <a:lstStyle/>
              <a:p>
                <a:pPr>
                  <a:defRPr b="1">
                    <a:solidFill>
                      <a:schemeClr val="bg1"/>
                    </a:solidFill>
                  </a:defRPr>
                </a:pPr>
                <a:endParaRPr lang="en-US"/>
              </a:p>
            </c:txPr>
            <c:showLegendKey val="0"/>
            <c:showVal val="1"/>
            <c:showCatName val="0"/>
            <c:showSerName val="0"/>
            <c:showPercent val="0"/>
            <c:showBubbleSize val="0"/>
            <c:showLeaderLines val="1"/>
          </c:dLbls>
          <c:cat>
            <c:strRef>
              <c:f>'Preliminary Data Summary'!$I$6:$I$10</c:f>
              <c:strCache>
                <c:ptCount val="5"/>
                <c:pt idx="0">
                  <c:v>Very Poor</c:v>
                </c:pt>
                <c:pt idx="1">
                  <c:v>Poor</c:v>
                </c:pt>
                <c:pt idx="2">
                  <c:v>Good</c:v>
                </c:pt>
                <c:pt idx="3">
                  <c:v>Very Good</c:v>
                </c:pt>
                <c:pt idx="4">
                  <c:v>N/A</c:v>
                </c:pt>
              </c:strCache>
            </c:strRef>
          </c:cat>
          <c:val>
            <c:numRef>
              <c:f>'Preliminary Data Summary'!$J$6:$J$10</c:f>
              <c:numCache>
                <c:formatCode>0.0%</c:formatCode>
                <c:ptCount val="5"/>
                <c:pt idx="0">
                  <c:v>7.3170731707317069E-2</c:v>
                </c:pt>
                <c:pt idx="1">
                  <c:v>0.46341463414634149</c:v>
                </c:pt>
                <c:pt idx="2">
                  <c:v>0.31707317073170732</c:v>
                </c:pt>
                <c:pt idx="3">
                  <c:v>0.14634146341463414</c:v>
                </c:pt>
                <c:pt idx="4">
                  <c:v>0</c:v>
                </c:pt>
              </c:numCache>
            </c:numRef>
          </c:val>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spPr>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0"/>
    </mc:Choice>
    <mc:Fallback>
      <c:style val="10"/>
    </mc:Fallback>
  </mc:AlternateContent>
  <c:chart>
    <c:autoTitleDeleted val="1"/>
    <c:plotArea>
      <c:layout>
        <c:manualLayout>
          <c:layoutTarget val="inner"/>
          <c:xMode val="edge"/>
          <c:yMode val="edge"/>
          <c:x val="0.23175834270716161"/>
          <c:y val="0.22496983529232759"/>
          <c:w val="0.40786464191976002"/>
          <c:h val="0.66204115789874096"/>
        </c:manualLayout>
      </c:layout>
      <c:pieChart>
        <c:varyColors val="1"/>
        <c:ser>
          <c:idx val="0"/>
          <c:order val="0"/>
          <c:tx>
            <c:strRef>
              <c:f>'Preliminary Data Summary'!$L$5</c:f>
              <c:strCache>
                <c:ptCount val="1"/>
                <c:pt idx="0">
                  <c:v>Timeliness</c:v>
                </c:pt>
              </c:strCache>
            </c:strRef>
          </c:tx>
          <c:explosion val="1"/>
          <c:dLbls>
            <c:dLbl>
              <c:idx val="0"/>
              <c:layout>
                <c:manualLayout>
                  <c:x val="-5.5644685039370076E-2"/>
                  <c:y val="0.13497827665158876"/>
                </c:manualLayout>
              </c:layout>
              <c:showLegendKey val="0"/>
              <c:showVal val="1"/>
              <c:showCatName val="0"/>
              <c:showSerName val="0"/>
              <c:showPercent val="0"/>
              <c:showBubbleSize val="0"/>
            </c:dLbl>
            <c:txPr>
              <a:bodyPr/>
              <a:lstStyle/>
              <a:p>
                <a:pPr>
                  <a:defRPr b="1">
                    <a:solidFill>
                      <a:schemeClr val="bg1"/>
                    </a:solidFill>
                  </a:defRPr>
                </a:pPr>
                <a:endParaRPr lang="en-US"/>
              </a:p>
            </c:txPr>
            <c:showLegendKey val="0"/>
            <c:showVal val="1"/>
            <c:showCatName val="0"/>
            <c:showSerName val="0"/>
            <c:showPercent val="0"/>
            <c:showBubbleSize val="0"/>
            <c:showLeaderLines val="1"/>
          </c:dLbls>
          <c:cat>
            <c:strRef>
              <c:f>'Preliminary Data Summary'!$I$6:$I$10</c:f>
              <c:strCache>
                <c:ptCount val="5"/>
                <c:pt idx="0">
                  <c:v>Very Poor</c:v>
                </c:pt>
                <c:pt idx="1">
                  <c:v>Poor</c:v>
                </c:pt>
                <c:pt idx="2">
                  <c:v>Good</c:v>
                </c:pt>
                <c:pt idx="3">
                  <c:v>Very Good</c:v>
                </c:pt>
                <c:pt idx="4">
                  <c:v>N/A</c:v>
                </c:pt>
              </c:strCache>
            </c:strRef>
          </c:cat>
          <c:val>
            <c:numRef>
              <c:f>'Preliminary Data Summary'!$L$6:$L$10</c:f>
              <c:numCache>
                <c:formatCode>0.0%</c:formatCode>
                <c:ptCount val="5"/>
                <c:pt idx="0">
                  <c:v>0.12195121951219512</c:v>
                </c:pt>
                <c:pt idx="1">
                  <c:v>0.3902439024390244</c:v>
                </c:pt>
                <c:pt idx="2">
                  <c:v>0.26829268292682928</c:v>
                </c:pt>
                <c:pt idx="3">
                  <c:v>9.7560975609756101E-2</c:v>
                </c:pt>
                <c:pt idx="4">
                  <c:v>0.12195121951219512</c:v>
                </c:pt>
              </c:numCache>
            </c:numRef>
          </c:val>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spPr>
    <a:ln>
      <a:no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0"/>
    </mc:Choice>
    <mc:Fallback>
      <c:style val="10"/>
    </mc:Fallback>
  </mc:AlternateContent>
  <c:chart>
    <c:autoTitleDeleted val="1"/>
    <c:plotArea>
      <c:layout>
        <c:manualLayout>
          <c:layoutTarget val="inner"/>
          <c:xMode val="edge"/>
          <c:yMode val="edge"/>
          <c:x val="0.21400459317585302"/>
          <c:y val="0.24786599591717701"/>
          <c:w val="0.42193591426071742"/>
          <c:h val="0.70322652376786232"/>
        </c:manualLayout>
      </c:layout>
      <c:pieChart>
        <c:varyColors val="1"/>
        <c:ser>
          <c:idx val="0"/>
          <c:order val="0"/>
          <c:tx>
            <c:strRef>
              <c:f>'Preliminary Data Summary'!$K$5</c:f>
              <c:strCache>
                <c:ptCount val="1"/>
                <c:pt idx="0">
                  <c:v>Accessibility</c:v>
                </c:pt>
              </c:strCache>
            </c:strRef>
          </c:tx>
          <c:dLbls>
            <c:dLbl>
              <c:idx val="0"/>
              <c:spPr/>
              <c:txPr>
                <a:bodyPr/>
                <a:lstStyle/>
                <a:p>
                  <a:pPr>
                    <a:defRPr b="1">
                      <a:solidFill>
                        <a:schemeClr val="tx1"/>
                      </a:solidFill>
                    </a:defRPr>
                  </a:pPr>
                  <a:endParaRPr lang="en-US"/>
                </a:p>
              </c:txPr>
              <c:showLegendKey val="0"/>
              <c:showVal val="1"/>
              <c:showCatName val="0"/>
              <c:showSerName val="0"/>
              <c:showPercent val="0"/>
              <c:showBubbleSize val="0"/>
            </c:dLbl>
            <c:dLbl>
              <c:idx val="4"/>
              <c:delete val="1"/>
            </c:dLbl>
            <c:txPr>
              <a:bodyPr/>
              <a:lstStyle/>
              <a:p>
                <a:pPr>
                  <a:defRPr b="1">
                    <a:solidFill>
                      <a:schemeClr val="bg1"/>
                    </a:solidFill>
                  </a:defRPr>
                </a:pPr>
                <a:endParaRPr lang="en-US"/>
              </a:p>
            </c:txPr>
            <c:showLegendKey val="0"/>
            <c:showVal val="1"/>
            <c:showCatName val="0"/>
            <c:showSerName val="0"/>
            <c:showPercent val="0"/>
            <c:showBubbleSize val="0"/>
            <c:showLeaderLines val="1"/>
          </c:dLbls>
          <c:cat>
            <c:strRef>
              <c:f>'Preliminary Data Summary'!$I$6:$I$10</c:f>
              <c:strCache>
                <c:ptCount val="5"/>
                <c:pt idx="0">
                  <c:v>Very Poor</c:v>
                </c:pt>
                <c:pt idx="1">
                  <c:v>Poor</c:v>
                </c:pt>
                <c:pt idx="2">
                  <c:v>Good</c:v>
                </c:pt>
                <c:pt idx="3">
                  <c:v>Very Good</c:v>
                </c:pt>
                <c:pt idx="4">
                  <c:v>N/A</c:v>
                </c:pt>
              </c:strCache>
            </c:strRef>
          </c:cat>
          <c:val>
            <c:numRef>
              <c:f>'Preliminary Data Summary'!$K$6:$K$10</c:f>
              <c:numCache>
                <c:formatCode>0.0%</c:formatCode>
                <c:ptCount val="5"/>
                <c:pt idx="0">
                  <c:v>2.4390243902439025E-2</c:v>
                </c:pt>
                <c:pt idx="1">
                  <c:v>0.36585365853658536</c:v>
                </c:pt>
                <c:pt idx="2">
                  <c:v>0.46341463414634149</c:v>
                </c:pt>
                <c:pt idx="3">
                  <c:v>0.14634146341463414</c:v>
                </c:pt>
                <c:pt idx="4">
                  <c:v>0</c:v>
                </c:pt>
              </c:numCache>
            </c:numRef>
          </c:val>
        </c:ser>
        <c:dLbls>
          <c:showLegendKey val="0"/>
          <c:showVal val="0"/>
          <c:showCatName val="0"/>
          <c:showSerName val="0"/>
          <c:showPercent val="0"/>
          <c:showBubbleSize val="0"/>
          <c:showLeaderLines val="1"/>
        </c:dLbls>
        <c:firstSliceAng val="0"/>
      </c:pieChart>
    </c:plotArea>
    <c:legend>
      <c:legendPos val="r"/>
      <c:legendEntry>
        <c:idx val="4"/>
        <c:delete val="1"/>
      </c:legendEntry>
      <c:overlay val="0"/>
    </c:legend>
    <c:plotVisOnly val="1"/>
    <c:dispBlanksAs val="gap"/>
    <c:showDLblsOverMax val="0"/>
  </c:chart>
  <c:spPr>
    <a:ln>
      <a:noFill/>
    </a:ln>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0"/>
    </mc:Choice>
    <mc:Fallback>
      <c:style val="10"/>
    </mc:Fallback>
  </mc:AlternateContent>
  <c:chart>
    <c:title>
      <c:layout>
        <c:manualLayout>
          <c:xMode val="edge"/>
          <c:yMode val="edge"/>
          <c:x val="0.24788288288288288"/>
          <c:y val="3.6199095022624438E-2"/>
        </c:manualLayout>
      </c:layout>
      <c:overlay val="0"/>
    </c:title>
    <c:autoTitleDeleted val="0"/>
    <c:plotArea>
      <c:layout/>
      <c:pieChart>
        <c:varyColors val="1"/>
        <c:ser>
          <c:idx val="0"/>
          <c:order val="0"/>
          <c:tx>
            <c:strRef>
              <c:f>'Preliminary Data Summary'!$M$5</c:f>
              <c:strCache>
                <c:ptCount val="1"/>
                <c:pt idx="0">
                  <c:v>Forms</c:v>
                </c:pt>
              </c:strCache>
            </c:strRef>
          </c:tx>
          <c:dLbls>
            <c:dLbl>
              <c:idx val="0"/>
              <c:delete val="1"/>
            </c:dLbl>
            <c:dLbl>
              <c:idx val="1"/>
              <c:tx>
                <c:rich>
                  <a:bodyPr/>
                  <a:lstStyle/>
                  <a:p>
                    <a:r>
                      <a:rPr lang="en-US">
                        <a:solidFill>
                          <a:sysClr val="windowText" lastClr="000000"/>
                        </a:solidFill>
                      </a:rPr>
                      <a:t>4.9%</a:t>
                    </a:r>
                  </a:p>
                </c:rich>
              </c:tx>
              <c:showLegendKey val="0"/>
              <c:showVal val="1"/>
              <c:showCatName val="0"/>
              <c:showSerName val="0"/>
              <c:showPercent val="0"/>
              <c:showBubbleSize val="0"/>
            </c:dLbl>
            <c:dLbl>
              <c:idx val="4"/>
              <c:delete val="1"/>
            </c:dLbl>
            <c:txPr>
              <a:bodyPr/>
              <a:lstStyle/>
              <a:p>
                <a:pPr>
                  <a:defRPr b="1">
                    <a:solidFill>
                      <a:schemeClr val="bg1"/>
                    </a:solidFill>
                  </a:defRPr>
                </a:pPr>
                <a:endParaRPr lang="en-US"/>
              </a:p>
            </c:txPr>
            <c:showLegendKey val="0"/>
            <c:showVal val="1"/>
            <c:showCatName val="0"/>
            <c:showSerName val="0"/>
            <c:showPercent val="0"/>
            <c:showBubbleSize val="0"/>
            <c:showLeaderLines val="1"/>
          </c:dLbls>
          <c:cat>
            <c:strRef>
              <c:f>'Preliminary Data Summary'!$I$6:$I$10</c:f>
              <c:strCache>
                <c:ptCount val="5"/>
                <c:pt idx="0">
                  <c:v>Very Poor</c:v>
                </c:pt>
                <c:pt idx="1">
                  <c:v>Poor</c:v>
                </c:pt>
                <c:pt idx="2">
                  <c:v>Good</c:v>
                </c:pt>
                <c:pt idx="3">
                  <c:v>Very Good</c:v>
                </c:pt>
                <c:pt idx="4">
                  <c:v>N/A</c:v>
                </c:pt>
              </c:strCache>
            </c:strRef>
          </c:cat>
          <c:val>
            <c:numRef>
              <c:f>'Preliminary Data Summary'!$M$6:$M$10</c:f>
              <c:numCache>
                <c:formatCode>0.0%</c:formatCode>
                <c:ptCount val="5"/>
                <c:pt idx="0">
                  <c:v>0</c:v>
                </c:pt>
                <c:pt idx="1">
                  <c:v>4.878048780487805E-2</c:v>
                </c:pt>
                <c:pt idx="2">
                  <c:v>0.6097560975609756</c:v>
                </c:pt>
                <c:pt idx="3">
                  <c:v>0.34146341463414637</c:v>
                </c:pt>
                <c:pt idx="4">
                  <c:v>0</c:v>
                </c:pt>
              </c:numCache>
            </c:numRef>
          </c:val>
        </c:ser>
        <c:dLbls>
          <c:showLegendKey val="0"/>
          <c:showVal val="0"/>
          <c:showCatName val="0"/>
          <c:showSerName val="0"/>
          <c:showPercent val="0"/>
          <c:showBubbleSize val="0"/>
          <c:showLeaderLines val="1"/>
        </c:dLbls>
        <c:firstSliceAng val="0"/>
      </c:pieChart>
    </c:plotArea>
    <c:legend>
      <c:legendPos val="r"/>
      <c:legendEntry>
        <c:idx val="0"/>
        <c:delete val="1"/>
      </c:legendEntry>
      <c:legendEntry>
        <c:idx val="4"/>
        <c:delete val="1"/>
      </c:legendEntry>
      <c:overlay val="0"/>
    </c:legend>
    <c:plotVisOnly val="1"/>
    <c:dispBlanksAs val="gap"/>
    <c:showDLblsOverMax val="0"/>
  </c:chart>
  <c:spPr>
    <a:ln>
      <a:noFill/>
    </a:ln>
  </c:sp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0"/>
    </mc:Choice>
    <mc:Fallback>
      <c:style val="10"/>
    </mc:Fallback>
  </mc:AlternateContent>
  <c:chart>
    <c:title>
      <c:layout>
        <c:manualLayout>
          <c:xMode val="edge"/>
          <c:yMode val="edge"/>
          <c:x val="0.23708757335565611"/>
          <c:y val="4.8265460030165915E-2"/>
        </c:manualLayout>
      </c:layout>
      <c:overlay val="0"/>
    </c:title>
    <c:autoTitleDeleted val="0"/>
    <c:plotArea>
      <c:layout>
        <c:manualLayout>
          <c:layoutTarget val="inner"/>
          <c:xMode val="edge"/>
          <c:yMode val="edge"/>
          <c:x val="0.18466010498687663"/>
          <c:y val="0.2452548118985127"/>
          <c:w val="0.40983625433917531"/>
          <c:h val="0.66634216177523253"/>
        </c:manualLayout>
      </c:layout>
      <c:pieChart>
        <c:varyColors val="1"/>
        <c:ser>
          <c:idx val="0"/>
          <c:order val="0"/>
          <c:tx>
            <c:strRef>
              <c:f>'Preliminary Data Summary'!$N$5</c:f>
              <c:strCache>
                <c:ptCount val="1"/>
                <c:pt idx="0">
                  <c:v>Reports</c:v>
                </c:pt>
              </c:strCache>
            </c:strRef>
          </c:tx>
          <c:dLbls>
            <c:dLbl>
              <c:idx val="0"/>
              <c:delete val="1"/>
            </c:dLbl>
            <c:dLbl>
              <c:idx val="1"/>
              <c:spPr/>
              <c:txPr>
                <a:bodyPr/>
                <a:lstStyle/>
                <a:p>
                  <a:pPr>
                    <a:defRPr b="1">
                      <a:solidFill>
                        <a:sysClr val="windowText" lastClr="000000"/>
                      </a:solidFill>
                    </a:defRPr>
                  </a:pPr>
                  <a:endParaRPr lang="en-US"/>
                </a:p>
              </c:txPr>
              <c:showLegendKey val="0"/>
              <c:showVal val="1"/>
              <c:showCatName val="0"/>
              <c:showSerName val="0"/>
              <c:showPercent val="0"/>
              <c:showBubbleSize val="0"/>
            </c:dLbl>
            <c:dLbl>
              <c:idx val="4"/>
              <c:delete val="1"/>
            </c:dLbl>
            <c:txPr>
              <a:bodyPr/>
              <a:lstStyle/>
              <a:p>
                <a:pPr>
                  <a:defRPr b="1">
                    <a:solidFill>
                      <a:schemeClr val="bg1"/>
                    </a:solidFill>
                  </a:defRPr>
                </a:pPr>
                <a:endParaRPr lang="en-US"/>
              </a:p>
            </c:txPr>
            <c:showLegendKey val="0"/>
            <c:showVal val="1"/>
            <c:showCatName val="0"/>
            <c:showSerName val="0"/>
            <c:showPercent val="0"/>
            <c:showBubbleSize val="0"/>
            <c:showLeaderLines val="1"/>
          </c:dLbls>
          <c:cat>
            <c:strRef>
              <c:f>'Preliminary Data Summary'!$I$6:$I$10</c:f>
              <c:strCache>
                <c:ptCount val="5"/>
                <c:pt idx="0">
                  <c:v>Very Poor</c:v>
                </c:pt>
                <c:pt idx="1">
                  <c:v>Poor</c:v>
                </c:pt>
                <c:pt idx="2">
                  <c:v>Good</c:v>
                </c:pt>
                <c:pt idx="3">
                  <c:v>Very Good</c:v>
                </c:pt>
                <c:pt idx="4">
                  <c:v>N/A</c:v>
                </c:pt>
              </c:strCache>
            </c:strRef>
          </c:cat>
          <c:val>
            <c:numRef>
              <c:f>'Preliminary Data Summary'!$N$6:$N$10</c:f>
              <c:numCache>
                <c:formatCode>0.0%</c:formatCode>
                <c:ptCount val="5"/>
                <c:pt idx="0">
                  <c:v>0</c:v>
                </c:pt>
                <c:pt idx="1">
                  <c:v>7.3170731707317069E-2</c:v>
                </c:pt>
                <c:pt idx="2">
                  <c:v>0.48780487804878048</c:v>
                </c:pt>
                <c:pt idx="3">
                  <c:v>0.43902439024390244</c:v>
                </c:pt>
                <c:pt idx="4">
                  <c:v>0</c:v>
                </c:pt>
              </c:numCache>
            </c:numRef>
          </c:val>
        </c:ser>
        <c:dLbls>
          <c:showLegendKey val="0"/>
          <c:showVal val="0"/>
          <c:showCatName val="0"/>
          <c:showSerName val="0"/>
          <c:showPercent val="0"/>
          <c:showBubbleSize val="0"/>
          <c:showLeaderLines val="1"/>
        </c:dLbls>
        <c:firstSliceAng val="0"/>
      </c:pieChart>
    </c:plotArea>
    <c:legend>
      <c:legendPos val="r"/>
      <c:legendEntry>
        <c:idx val="0"/>
        <c:delete val="1"/>
      </c:legendEntry>
      <c:legendEntry>
        <c:idx val="4"/>
        <c:delete val="1"/>
      </c:legendEntry>
      <c:overlay val="0"/>
    </c:legend>
    <c:plotVisOnly val="1"/>
    <c:dispBlanksAs val="gap"/>
    <c:showDLblsOverMax val="0"/>
  </c:chart>
  <c:spPr>
    <a:ln>
      <a:noFill/>
    </a:ln>
  </c:sp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0"/>
    </mc:Choice>
    <mc:Fallback>
      <c:style val="10"/>
    </mc:Fallback>
  </mc:AlternateContent>
  <c:chart>
    <c:autoTitleDeleted val="1"/>
    <c:plotArea>
      <c:layout/>
      <c:pieChart>
        <c:varyColors val="1"/>
        <c:ser>
          <c:idx val="0"/>
          <c:order val="0"/>
          <c:tx>
            <c:strRef>
              <c:f>'Preliminary Data Summary'!$O$5</c:f>
              <c:strCache>
                <c:ptCount val="1"/>
                <c:pt idx="0">
                  <c:v>Overall</c:v>
                </c:pt>
              </c:strCache>
            </c:strRef>
          </c:tx>
          <c:dLbls>
            <c:dLbl>
              <c:idx val="0"/>
              <c:delete val="1"/>
            </c:dLbl>
            <c:dLbl>
              <c:idx val="4"/>
              <c:delete val="1"/>
            </c:dLbl>
            <c:txPr>
              <a:bodyPr/>
              <a:lstStyle/>
              <a:p>
                <a:pPr>
                  <a:defRPr b="1">
                    <a:solidFill>
                      <a:schemeClr val="bg1"/>
                    </a:solidFill>
                  </a:defRPr>
                </a:pPr>
                <a:endParaRPr lang="en-US"/>
              </a:p>
            </c:txPr>
            <c:showLegendKey val="0"/>
            <c:showVal val="1"/>
            <c:showCatName val="0"/>
            <c:showSerName val="0"/>
            <c:showPercent val="0"/>
            <c:showBubbleSize val="0"/>
            <c:showLeaderLines val="1"/>
          </c:dLbls>
          <c:cat>
            <c:strRef>
              <c:f>'Preliminary Data Summary'!$I$6:$I$10</c:f>
              <c:strCache>
                <c:ptCount val="5"/>
                <c:pt idx="0">
                  <c:v>Very Poor</c:v>
                </c:pt>
                <c:pt idx="1">
                  <c:v>Poor</c:v>
                </c:pt>
                <c:pt idx="2">
                  <c:v>Good</c:v>
                </c:pt>
                <c:pt idx="3">
                  <c:v>Very Good</c:v>
                </c:pt>
                <c:pt idx="4">
                  <c:v>N/A</c:v>
                </c:pt>
              </c:strCache>
            </c:strRef>
          </c:cat>
          <c:val>
            <c:numRef>
              <c:f>'Preliminary Data Summary'!$O$6:$O$10</c:f>
              <c:numCache>
                <c:formatCode>0.0%</c:formatCode>
                <c:ptCount val="5"/>
                <c:pt idx="0">
                  <c:v>0</c:v>
                </c:pt>
                <c:pt idx="1">
                  <c:v>0.25641025641025639</c:v>
                </c:pt>
                <c:pt idx="2">
                  <c:v>0.53846153846153844</c:v>
                </c:pt>
                <c:pt idx="3">
                  <c:v>0.20512820512820512</c:v>
                </c:pt>
                <c:pt idx="4">
                  <c:v>0</c:v>
                </c:pt>
              </c:numCache>
            </c:numRef>
          </c:val>
        </c:ser>
        <c:dLbls>
          <c:showLegendKey val="0"/>
          <c:showVal val="0"/>
          <c:showCatName val="0"/>
          <c:showSerName val="0"/>
          <c:showPercent val="0"/>
          <c:showBubbleSize val="0"/>
          <c:showLeaderLines val="1"/>
        </c:dLbls>
        <c:firstSliceAng val="0"/>
      </c:pieChart>
    </c:plotArea>
    <c:legend>
      <c:legendPos val="r"/>
      <c:legendEntry>
        <c:idx val="0"/>
        <c:delete val="1"/>
      </c:legendEntry>
      <c:legendEntry>
        <c:idx val="4"/>
        <c:delete val="1"/>
      </c:legendEntry>
      <c:layout>
        <c:manualLayout>
          <c:xMode val="edge"/>
          <c:yMode val="edge"/>
          <c:x val="0.7797753103442715"/>
          <c:y val="0.44729687321693484"/>
          <c:w val="0.14854010184210847"/>
          <c:h val="0.24569175795960288"/>
        </c:manualLayout>
      </c:layout>
      <c:overlay val="0"/>
    </c:legend>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Pages>
  <Words>1908</Words>
  <Characters>10879</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12762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Thompson, Angela (CDC/OID/NCEZID)</dc:creator>
  <cp:lastModifiedBy>CDC User</cp:lastModifiedBy>
  <cp:revision>4</cp:revision>
  <cp:lastPrinted>2012-07-16T17:24:00Z</cp:lastPrinted>
  <dcterms:created xsi:type="dcterms:W3CDTF">2014-02-27T19:45:00Z</dcterms:created>
  <dcterms:modified xsi:type="dcterms:W3CDTF">2014-04-22T17:30:00Z</dcterms:modified>
</cp:coreProperties>
</file>