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90573" w14:textId="28257569" w:rsidR="00716F94" w:rsidRDefault="00716F94" w:rsidP="00716F94">
      <w:pPr>
        <w:spacing w:after="0"/>
        <w:rPr>
          <w:rFonts w:asciiTheme="majorHAnsi" w:hAnsiTheme="majorHAnsi"/>
          <w:b/>
        </w:rPr>
      </w:pPr>
    </w:p>
    <w:p w14:paraId="13643A81" w14:textId="77777777" w:rsidR="009B4A51" w:rsidRDefault="009B4A51" w:rsidP="009B4A51">
      <w:pPr>
        <w:spacing w:after="0"/>
        <w:jc w:val="center"/>
        <w:rPr>
          <w:rFonts w:asciiTheme="majorHAnsi" w:hAnsiTheme="majorHAnsi"/>
          <w:b/>
        </w:rPr>
      </w:pPr>
    </w:p>
    <w:p w14:paraId="7CC40C68" w14:textId="77777777" w:rsidR="00A32FAE" w:rsidRDefault="00A32FAE" w:rsidP="009B4A51">
      <w:pPr>
        <w:spacing w:after="0"/>
        <w:jc w:val="center"/>
        <w:rPr>
          <w:rFonts w:asciiTheme="majorHAnsi" w:hAnsiTheme="majorHAnsi"/>
          <w:b/>
        </w:rPr>
      </w:pPr>
    </w:p>
    <w:p w14:paraId="352590A4" w14:textId="77777777" w:rsidR="00667C89" w:rsidRDefault="00667C89" w:rsidP="009B4A51">
      <w:pPr>
        <w:spacing w:after="0"/>
        <w:jc w:val="center"/>
        <w:rPr>
          <w:rFonts w:asciiTheme="majorHAnsi" w:hAnsiTheme="majorHAnsi"/>
          <w:color w:val="0033CC"/>
          <w:sz w:val="28"/>
        </w:rPr>
      </w:pPr>
    </w:p>
    <w:p w14:paraId="7D2AB506" w14:textId="77777777" w:rsidR="009B4A51" w:rsidRDefault="009B4A51" w:rsidP="009B4A51">
      <w:pPr>
        <w:spacing w:after="0"/>
        <w:jc w:val="center"/>
        <w:rPr>
          <w:rFonts w:asciiTheme="majorHAnsi" w:hAnsiTheme="majorHAnsi"/>
          <w:sz w:val="32"/>
        </w:rPr>
      </w:pPr>
    </w:p>
    <w:p w14:paraId="6A6F9206" w14:textId="77777777" w:rsidR="009B4A51" w:rsidRDefault="009B4A51" w:rsidP="009B4A51">
      <w:pPr>
        <w:spacing w:after="0"/>
        <w:jc w:val="center"/>
        <w:rPr>
          <w:rFonts w:asciiTheme="majorHAnsi" w:hAnsiTheme="majorHAnsi"/>
          <w:sz w:val="32"/>
        </w:rPr>
      </w:pPr>
    </w:p>
    <w:p w14:paraId="5541F148" w14:textId="0C5686F4" w:rsidR="00AA3192" w:rsidRPr="005624BF" w:rsidRDefault="006F0F14" w:rsidP="005624BF">
      <w:pPr>
        <w:spacing w:after="0"/>
        <w:jc w:val="center"/>
        <w:rPr>
          <w:rFonts w:asciiTheme="majorHAnsi" w:hAnsiTheme="majorHAnsi"/>
          <w:b/>
          <w:sz w:val="40"/>
        </w:rPr>
      </w:pPr>
      <w:r w:rsidRPr="006F0F14">
        <w:rPr>
          <w:rFonts w:asciiTheme="majorHAnsi" w:hAnsiTheme="majorHAnsi"/>
          <w:b/>
          <w:sz w:val="40"/>
        </w:rPr>
        <w:t>Services and Value</w:t>
      </w:r>
      <w:r w:rsidR="00D16696">
        <w:rPr>
          <w:rFonts w:asciiTheme="majorHAnsi" w:hAnsiTheme="majorHAnsi"/>
          <w:b/>
          <w:sz w:val="40"/>
        </w:rPr>
        <w:t xml:space="preserve"> of State and Local Immunization Information Systems</w:t>
      </w:r>
      <w:r w:rsidRPr="006F0F14">
        <w:rPr>
          <w:rFonts w:asciiTheme="majorHAnsi" w:hAnsiTheme="majorHAnsi"/>
          <w:b/>
          <w:sz w:val="40"/>
        </w:rPr>
        <w:t xml:space="preserve"> </w:t>
      </w:r>
    </w:p>
    <w:p w14:paraId="5DD22FB8" w14:textId="77777777" w:rsidR="00716F94" w:rsidRPr="00AA3192" w:rsidRDefault="00484011" w:rsidP="00484011">
      <w:pPr>
        <w:spacing w:after="0"/>
        <w:jc w:val="center"/>
        <w:rPr>
          <w:rFonts w:asciiTheme="majorHAnsi" w:hAnsiTheme="majorHAnsi"/>
        </w:rPr>
      </w:pPr>
      <w:r w:rsidRPr="00AA3192">
        <w:rPr>
          <w:rFonts w:asciiTheme="majorHAnsi" w:hAnsiTheme="majorHAnsi"/>
        </w:rPr>
        <w:t>OSTL</w:t>
      </w:r>
      <w:r w:rsidR="00316F00">
        <w:rPr>
          <w:rFonts w:asciiTheme="majorHAnsi" w:hAnsiTheme="majorHAnsi"/>
        </w:rPr>
        <w:t>TS Generic Information Collection</w:t>
      </w:r>
      <w:r w:rsidRPr="00AA3192">
        <w:rPr>
          <w:rFonts w:asciiTheme="majorHAnsi" w:hAnsiTheme="majorHAnsi"/>
        </w:rPr>
        <w:t xml:space="preserve"> Request</w:t>
      </w:r>
    </w:p>
    <w:p w14:paraId="637D9A81" w14:textId="77777777" w:rsidR="00484011" w:rsidRPr="00AA3192" w:rsidRDefault="00484011" w:rsidP="00484011">
      <w:pPr>
        <w:pStyle w:val="Header"/>
        <w:tabs>
          <w:tab w:val="clear" w:pos="4680"/>
        </w:tabs>
        <w:jc w:val="center"/>
      </w:pPr>
      <w:r w:rsidRPr="00AA3192">
        <w:t>OMB No. 0920-0879</w:t>
      </w:r>
    </w:p>
    <w:p w14:paraId="649D3FF2" w14:textId="77777777" w:rsidR="009B4A51" w:rsidRDefault="009B4A51" w:rsidP="00716F94">
      <w:pPr>
        <w:spacing w:after="0"/>
        <w:rPr>
          <w:rFonts w:asciiTheme="majorHAnsi" w:hAnsiTheme="majorHAnsi"/>
          <w:b/>
        </w:rPr>
      </w:pPr>
    </w:p>
    <w:p w14:paraId="7FAB1521" w14:textId="77777777" w:rsidR="009B4A51" w:rsidRDefault="009B4A51" w:rsidP="00716F94">
      <w:pPr>
        <w:spacing w:after="0"/>
        <w:rPr>
          <w:rFonts w:asciiTheme="majorHAnsi" w:hAnsiTheme="majorHAnsi"/>
          <w:b/>
        </w:rPr>
      </w:pPr>
    </w:p>
    <w:p w14:paraId="61569A9B" w14:textId="77777777" w:rsidR="00AA3192" w:rsidRDefault="00AA3192" w:rsidP="00716F94">
      <w:pPr>
        <w:spacing w:after="0"/>
        <w:rPr>
          <w:rFonts w:asciiTheme="majorHAnsi" w:hAnsiTheme="majorHAnsi"/>
          <w:b/>
        </w:rPr>
      </w:pPr>
    </w:p>
    <w:p w14:paraId="527623D2" w14:textId="77777777" w:rsidR="00AA3192" w:rsidRDefault="00AA3192" w:rsidP="00716F94">
      <w:pPr>
        <w:spacing w:after="0"/>
        <w:rPr>
          <w:rFonts w:asciiTheme="majorHAnsi" w:hAnsiTheme="majorHAnsi"/>
          <w:b/>
        </w:rPr>
      </w:pPr>
    </w:p>
    <w:p w14:paraId="1948FE44" w14:textId="77777777"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Supporting Statement – Section A</w:t>
      </w:r>
    </w:p>
    <w:p w14:paraId="204F3B6A" w14:textId="77777777" w:rsidR="009B4A51" w:rsidRDefault="009B4A51" w:rsidP="00716F94">
      <w:pPr>
        <w:spacing w:after="0"/>
        <w:rPr>
          <w:rFonts w:asciiTheme="majorHAnsi" w:hAnsiTheme="majorHAnsi"/>
          <w:b/>
        </w:rPr>
      </w:pPr>
    </w:p>
    <w:p w14:paraId="1AA71AA4" w14:textId="77777777" w:rsidR="00484011" w:rsidRDefault="00484011" w:rsidP="00716F94">
      <w:pPr>
        <w:spacing w:after="0"/>
        <w:rPr>
          <w:rFonts w:asciiTheme="majorHAnsi" w:hAnsiTheme="majorHAnsi"/>
          <w:b/>
        </w:rPr>
      </w:pPr>
    </w:p>
    <w:p w14:paraId="17B5C3D9" w14:textId="77777777" w:rsidR="00AA3192" w:rsidRDefault="00AA3192" w:rsidP="00716F94">
      <w:pPr>
        <w:spacing w:after="0"/>
        <w:rPr>
          <w:rFonts w:asciiTheme="majorHAnsi" w:hAnsiTheme="majorHAnsi"/>
          <w:b/>
        </w:rPr>
      </w:pPr>
    </w:p>
    <w:p w14:paraId="7C2FBF1E" w14:textId="77777777" w:rsidR="009B4A51" w:rsidRDefault="009B4A51" w:rsidP="00716F94">
      <w:pPr>
        <w:spacing w:after="0"/>
        <w:rPr>
          <w:rFonts w:asciiTheme="majorHAnsi" w:hAnsiTheme="majorHAnsi"/>
          <w:b/>
        </w:rPr>
      </w:pPr>
    </w:p>
    <w:p w14:paraId="4EC3E612" w14:textId="77777777" w:rsidR="00187D5A" w:rsidRDefault="00187D5A" w:rsidP="00716F94">
      <w:pPr>
        <w:spacing w:after="0"/>
        <w:rPr>
          <w:rFonts w:asciiTheme="majorHAnsi" w:hAnsiTheme="majorHAnsi"/>
          <w:b/>
        </w:rPr>
      </w:pPr>
    </w:p>
    <w:p w14:paraId="4C5E2A43" w14:textId="6BF74224"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006F0F14">
        <w:rPr>
          <w:rFonts w:asciiTheme="majorHAnsi" w:hAnsiTheme="majorHAnsi"/>
          <w:b/>
        </w:rPr>
        <w:t xml:space="preserve">  </w:t>
      </w:r>
      <w:r w:rsidR="00766775">
        <w:rPr>
          <w:rFonts w:asciiTheme="majorHAnsi" w:hAnsiTheme="majorHAnsi"/>
          <w:b/>
        </w:rPr>
        <w:t xml:space="preserve">September </w:t>
      </w:r>
      <w:r w:rsidR="00DC08BD">
        <w:rPr>
          <w:rFonts w:asciiTheme="majorHAnsi" w:hAnsiTheme="majorHAnsi"/>
          <w:b/>
        </w:rPr>
        <w:t>11</w:t>
      </w:r>
      <w:bookmarkStart w:id="0" w:name="_GoBack"/>
      <w:bookmarkEnd w:id="0"/>
      <w:r w:rsidR="00FC1A10">
        <w:rPr>
          <w:rFonts w:asciiTheme="majorHAnsi" w:hAnsiTheme="majorHAnsi"/>
          <w:b/>
        </w:rPr>
        <w:t>,</w:t>
      </w:r>
      <w:r w:rsidR="006F0F14">
        <w:rPr>
          <w:rFonts w:asciiTheme="majorHAnsi" w:hAnsiTheme="majorHAnsi"/>
          <w:b/>
        </w:rPr>
        <w:t xml:space="preserve"> 2014</w:t>
      </w:r>
      <w:r w:rsidRPr="00AA3192">
        <w:rPr>
          <w:rFonts w:asciiTheme="majorHAnsi" w:hAnsiTheme="majorHAnsi"/>
        </w:rPr>
        <w:t xml:space="preserve"> </w:t>
      </w:r>
    </w:p>
    <w:p w14:paraId="5388317E" w14:textId="77777777" w:rsidR="009B4A51" w:rsidRDefault="009B4A51" w:rsidP="00716F94">
      <w:pPr>
        <w:spacing w:after="0"/>
        <w:rPr>
          <w:rFonts w:asciiTheme="majorHAnsi" w:hAnsiTheme="majorHAnsi"/>
          <w:b/>
        </w:rPr>
      </w:pPr>
    </w:p>
    <w:p w14:paraId="686A12FE" w14:textId="77777777" w:rsidR="002070F0" w:rsidRDefault="002070F0" w:rsidP="00716F94">
      <w:pPr>
        <w:spacing w:after="0"/>
        <w:rPr>
          <w:rFonts w:asciiTheme="majorHAnsi" w:hAnsiTheme="majorHAnsi"/>
          <w:b/>
        </w:rPr>
      </w:pPr>
    </w:p>
    <w:p w14:paraId="4867953B" w14:textId="77777777" w:rsidR="002070F0" w:rsidRDefault="002070F0" w:rsidP="00716F94">
      <w:pPr>
        <w:spacing w:after="0"/>
        <w:rPr>
          <w:rFonts w:asciiTheme="majorHAnsi" w:hAnsiTheme="majorHAnsi"/>
          <w:b/>
        </w:rPr>
      </w:pPr>
    </w:p>
    <w:p w14:paraId="0C70F7C2" w14:textId="77777777" w:rsidR="00DE243B" w:rsidRDefault="00DE243B" w:rsidP="00716F94">
      <w:pPr>
        <w:spacing w:after="0"/>
        <w:rPr>
          <w:rFonts w:asciiTheme="majorHAnsi" w:hAnsiTheme="majorHAnsi"/>
          <w:b/>
        </w:rPr>
      </w:pPr>
    </w:p>
    <w:p w14:paraId="64DD76AF" w14:textId="77777777" w:rsidR="00DE243B" w:rsidRDefault="00DE243B" w:rsidP="00716F94">
      <w:pPr>
        <w:spacing w:after="0"/>
        <w:rPr>
          <w:rFonts w:asciiTheme="majorHAnsi" w:hAnsiTheme="majorHAnsi"/>
          <w:b/>
        </w:rPr>
      </w:pPr>
    </w:p>
    <w:p w14:paraId="1F1F1408" w14:textId="77777777" w:rsidR="00DE243B" w:rsidRDefault="00DE243B" w:rsidP="00716F94">
      <w:pPr>
        <w:spacing w:after="0"/>
        <w:rPr>
          <w:rFonts w:asciiTheme="majorHAnsi" w:hAnsiTheme="majorHAnsi"/>
          <w:b/>
        </w:rPr>
      </w:pPr>
    </w:p>
    <w:p w14:paraId="0650456F" w14:textId="77777777" w:rsidR="00DE243B" w:rsidRDefault="00DE243B" w:rsidP="00716F94">
      <w:pPr>
        <w:spacing w:after="0"/>
        <w:rPr>
          <w:rFonts w:asciiTheme="majorHAnsi" w:hAnsiTheme="majorHAnsi"/>
          <w:b/>
        </w:rPr>
      </w:pPr>
    </w:p>
    <w:p w14:paraId="50847496" w14:textId="77777777" w:rsidR="00DE243B" w:rsidRDefault="00DE243B" w:rsidP="00716F94">
      <w:pPr>
        <w:spacing w:after="0"/>
        <w:rPr>
          <w:rFonts w:asciiTheme="majorHAnsi" w:hAnsiTheme="majorHAnsi"/>
          <w:b/>
        </w:rPr>
      </w:pPr>
    </w:p>
    <w:p w14:paraId="48D4D50B" w14:textId="77777777" w:rsidR="002070F0" w:rsidRDefault="002070F0" w:rsidP="00716F94">
      <w:pPr>
        <w:spacing w:after="0"/>
        <w:rPr>
          <w:rFonts w:asciiTheme="majorHAnsi" w:hAnsiTheme="majorHAnsi"/>
          <w:b/>
        </w:rPr>
      </w:pPr>
    </w:p>
    <w:p w14:paraId="2ADF90DB" w14:textId="77777777" w:rsidR="009B4A51" w:rsidRDefault="009B4A51" w:rsidP="00716F94">
      <w:pPr>
        <w:spacing w:after="0"/>
        <w:rPr>
          <w:rFonts w:asciiTheme="majorHAnsi" w:hAnsiTheme="majorHAnsi"/>
          <w:b/>
        </w:rPr>
      </w:pPr>
    </w:p>
    <w:p w14:paraId="0DAB22D4" w14:textId="77777777" w:rsidR="00321B51" w:rsidRPr="00E43AA9" w:rsidRDefault="00716F94" w:rsidP="000B0962">
      <w:pPr>
        <w:spacing w:after="0"/>
      </w:pPr>
      <w:r w:rsidRPr="00667C89">
        <w:rPr>
          <w:rFonts w:asciiTheme="majorHAnsi" w:hAnsiTheme="majorHAnsi"/>
          <w:b/>
          <w:u w:val="single"/>
        </w:rPr>
        <w:t>P</w:t>
      </w:r>
      <w:r w:rsidR="00667C89" w:rsidRPr="00667C89">
        <w:rPr>
          <w:rFonts w:asciiTheme="majorHAnsi" w:hAnsiTheme="majorHAnsi"/>
          <w:b/>
          <w:u w:val="single"/>
        </w:rPr>
        <w:t>rogram Official/Project Officer</w:t>
      </w:r>
      <w:r w:rsidR="000B0962">
        <w:tab/>
      </w:r>
    </w:p>
    <w:p w14:paraId="7963E512" w14:textId="77777777" w:rsidR="00321B51" w:rsidRPr="0036473C" w:rsidRDefault="00B64174" w:rsidP="0036473C">
      <w:pPr>
        <w:spacing w:after="0"/>
        <w:rPr>
          <w:rFonts w:asciiTheme="majorHAnsi" w:hAnsiTheme="majorHAnsi" w:cs="Times New Roman"/>
          <w:bCs/>
        </w:rPr>
      </w:pPr>
      <w:r w:rsidRPr="0036473C">
        <w:rPr>
          <w:rFonts w:asciiTheme="majorHAnsi" w:hAnsiTheme="majorHAnsi" w:cs="Times New Roman"/>
          <w:bCs/>
        </w:rPr>
        <w:t>Kafayat Adeniyi</w:t>
      </w:r>
    </w:p>
    <w:p w14:paraId="0857DD60" w14:textId="77777777" w:rsidR="00D830D3" w:rsidRPr="0036473C" w:rsidRDefault="00464C8A" w:rsidP="0036473C">
      <w:pPr>
        <w:spacing w:after="0"/>
        <w:rPr>
          <w:rFonts w:asciiTheme="majorHAnsi" w:hAnsiTheme="majorHAnsi" w:cs="Times New Roman"/>
          <w:color w:val="FF0000"/>
        </w:rPr>
      </w:pPr>
      <w:r w:rsidRPr="0036473C">
        <w:rPr>
          <w:rFonts w:asciiTheme="majorHAnsi" w:hAnsiTheme="majorHAnsi" w:cs="Times New Roman"/>
        </w:rPr>
        <w:t>Project Manager</w:t>
      </w:r>
    </w:p>
    <w:p w14:paraId="2DD46CD7" w14:textId="77777777" w:rsidR="00321B51" w:rsidRPr="0036473C" w:rsidRDefault="00B64174" w:rsidP="0036473C">
      <w:pPr>
        <w:spacing w:after="0"/>
        <w:rPr>
          <w:rFonts w:asciiTheme="majorHAnsi" w:hAnsiTheme="majorHAnsi" w:cs="Times New Roman"/>
          <w:color w:val="FF0000"/>
        </w:rPr>
      </w:pPr>
      <w:r w:rsidRPr="0036473C">
        <w:rPr>
          <w:rFonts w:asciiTheme="majorHAnsi" w:hAnsiTheme="majorHAnsi" w:cs="Times New Roman"/>
        </w:rPr>
        <w:t>CDC/OID/NCIRD</w:t>
      </w:r>
    </w:p>
    <w:p w14:paraId="49603A17" w14:textId="77777777" w:rsidR="00321B51" w:rsidRPr="0036473C" w:rsidRDefault="00464C8A" w:rsidP="0036473C">
      <w:pPr>
        <w:spacing w:after="0"/>
        <w:rPr>
          <w:rFonts w:asciiTheme="majorHAnsi" w:hAnsiTheme="majorHAnsi" w:cs="Times New Roman"/>
          <w:color w:val="FF0000"/>
        </w:rPr>
      </w:pPr>
      <w:r w:rsidRPr="0036473C">
        <w:rPr>
          <w:rFonts w:asciiTheme="majorHAnsi" w:hAnsiTheme="majorHAnsi" w:cs="Times New Roman"/>
        </w:rPr>
        <w:t>1600 Clifton Rd. Atlanta, GA 30333</w:t>
      </w:r>
    </w:p>
    <w:p w14:paraId="0BA150DC" w14:textId="77777777" w:rsidR="00321B51" w:rsidRPr="0036473C" w:rsidRDefault="0036473C" w:rsidP="0036473C">
      <w:pPr>
        <w:spacing w:after="0"/>
        <w:rPr>
          <w:rFonts w:asciiTheme="majorHAnsi" w:hAnsiTheme="majorHAnsi" w:cs="Times New Roman"/>
          <w:color w:val="FF0000"/>
        </w:rPr>
      </w:pPr>
      <w:r w:rsidRPr="0036473C">
        <w:rPr>
          <w:rFonts w:asciiTheme="majorHAnsi" w:hAnsiTheme="majorHAnsi" w:cs="Arial"/>
        </w:rPr>
        <w:t xml:space="preserve">Phone: </w:t>
      </w:r>
      <w:r w:rsidR="00B64174" w:rsidRPr="0036473C">
        <w:rPr>
          <w:rFonts w:asciiTheme="majorHAnsi" w:hAnsiTheme="majorHAnsi" w:cs="Arial"/>
        </w:rPr>
        <w:t>404-639-6236</w:t>
      </w:r>
    </w:p>
    <w:p w14:paraId="46A7CCDB" w14:textId="5EE50CF7" w:rsidR="00321B51" w:rsidRPr="0036473C" w:rsidRDefault="00321B51" w:rsidP="0036473C">
      <w:pPr>
        <w:spacing w:after="0"/>
        <w:rPr>
          <w:rFonts w:asciiTheme="majorHAnsi" w:hAnsiTheme="majorHAnsi" w:cs="Times New Roman"/>
        </w:rPr>
      </w:pPr>
      <w:r w:rsidRPr="003403D9">
        <w:rPr>
          <w:rFonts w:asciiTheme="majorHAnsi" w:hAnsiTheme="majorHAnsi" w:cs="Times New Roman"/>
        </w:rPr>
        <w:t>Fax Number</w:t>
      </w:r>
      <w:r w:rsidR="00F64505" w:rsidRPr="003403D9">
        <w:rPr>
          <w:rFonts w:asciiTheme="majorHAnsi" w:hAnsiTheme="majorHAnsi" w:cs="Times New Roman"/>
        </w:rPr>
        <w:t>:</w:t>
      </w:r>
      <w:r w:rsidR="00F64505">
        <w:rPr>
          <w:rFonts w:asciiTheme="majorHAnsi" w:hAnsiTheme="majorHAnsi" w:cs="Times New Roman"/>
        </w:rPr>
        <w:t xml:space="preserve"> 404</w:t>
      </w:r>
      <w:r w:rsidR="0005175A">
        <w:rPr>
          <w:rFonts w:asciiTheme="majorHAnsi" w:hAnsiTheme="majorHAnsi" w:cs="Times New Roman"/>
        </w:rPr>
        <w:t>-718-1873</w:t>
      </w:r>
    </w:p>
    <w:p w14:paraId="2E6ACB98" w14:textId="77777777" w:rsidR="0036473C" w:rsidRDefault="0036473C" w:rsidP="00716F94">
      <w:pPr>
        <w:spacing w:after="0"/>
        <w:rPr>
          <w:rFonts w:asciiTheme="majorHAnsi" w:hAnsiTheme="majorHAnsi" w:cs="Times New Roman"/>
        </w:rPr>
      </w:pPr>
      <w:r w:rsidRPr="0036473C">
        <w:rPr>
          <w:rFonts w:asciiTheme="majorHAnsi" w:hAnsiTheme="majorHAnsi" w:cs="Times New Roman"/>
        </w:rPr>
        <w:t xml:space="preserve">Email: </w:t>
      </w:r>
      <w:hyperlink r:id="rId14" w:history="1">
        <w:r w:rsidRPr="00A26B98">
          <w:rPr>
            <w:rStyle w:val="Hyperlink"/>
            <w:rFonts w:asciiTheme="majorHAnsi" w:hAnsiTheme="majorHAnsi" w:cs="Times New Roman"/>
          </w:rPr>
          <w:t>kga9@cdc.gov</w:t>
        </w:r>
      </w:hyperlink>
    </w:p>
    <w:p w14:paraId="0479805A" w14:textId="77777777" w:rsidR="00DE243B" w:rsidRDefault="00DE243B" w:rsidP="00716F94">
      <w:pPr>
        <w:spacing w:after="0"/>
        <w:rPr>
          <w:rFonts w:asciiTheme="majorHAnsi" w:hAnsiTheme="majorHAnsi"/>
          <w:b/>
          <w:sz w:val="28"/>
        </w:rPr>
      </w:pPr>
    </w:p>
    <w:p w14:paraId="52115E7C" w14:textId="77777777" w:rsidR="00CD1EA8" w:rsidRPr="003403D9" w:rsidRDefault="00CD1EA8" w:rsidP="00716F94">
      <w:pPr>
        <w:spacing w:after="0"/>
        <w:rPr>
          <w:rFonts w:asciiTheme="majorHAnsi" w:hAnsiTheme="majorHAnsi" w:cs="Times New Roman"/>
        </w:rPr>
      </w:pPr>
      <w:r w:rsidRPr="003403D9">
        <w:rPr>
          <w:rFonts w:asciiTheme="majorHAnsi" w:hAnsiTheme="majorHAnsi"/>
          <w:b/>
          <w:sz w:val="28"/>
        </w:rPr>
        <w:lastRenderedPageBreak/>
        <w:t xml:space="preserve">Section </w:t>
      </w:r>
      <w:proofErr w:type="gramStart"/>
      <w:r w:rsidRPr="003403D9">
        <w:rPr>
          <w:rFonts w:asciiTheme="majorHAnsi" w:hAnsiTheme="majorHAnsi"/>
          <w:b/>
          <w:sz w:val="28"/>
        </w:rPr>
        <w:t>A</w:t>
      </w:r>
      <w:proofErr w:type="gramEnd"/>
      <w:r w:rsidR="00B12F51" w:rsidRPr="003403D9">
        <w:rPr>
          <w:rFonts w:asciiTheme="majorHAnsi" w:hAnsiTheme="majorHAnsi"/>
          <w:b/>
          <w:sz w:val="28"/>
        </w:rPr>
        <w:t xml:space="preserve"> – Justification</w:t>
      </w:r>
    </w:p>
    <w:p w14:paraId="7F6293D5" w14:textId="77777777" w:rsidR="00B12F51" w:rsidRPr="003403D9" w:rsidRDefault="00B12F51" w:rsidP="00716F94">
      <w:pPr>
        <w:spacing w:after="0"/>
        <w:rPr>
          <w:rFonts w:asciiTheme="majorHAnsi" w:hAnsiTheme="majorHAnsi"/>
          <w:b/>
        </w:rPr>
      </w:pPr>
    </w:p>
    <w:p w14:paraId="03CE5BF4" w14:textId="77777777" w:rsidR="006A0734" w:rsidRPr="003403D9" w:rsidRDefault="00B12F51" w:rsidP="00572E9A">
      <w:pPr>
        <w:pStyle w:val="ListParagraph"/>
        <w:numPr>
          <w:ilvl w:val="0"/>
          <w:numId w:val="1"/>
        </w:numPr>
        <w:spacing w:after="0"/>
        <w:ind w:left="360"/>
        <w:rPr>
          <w:rFonts w:asciiTheme="majorHAnsi" w:hAnsiTheme="majorHAnsi"/>
          <w:b/>
        </w:rPr>
      </w:pPr>
      <w:r w:rsidRPr="003403D9">
        <w:rPr>
          <w:rFonts w:asciiTheme="majorHAnsi" w:hAnsiTheme="majorHAnsi"/>
          <w:b/>
        </w:rPr>
        <w:t>Circumstances Making the Collection of Information Necessary</w:t>
      </w:r>
      <w:r w:rsidR="006A0734" w:rsidRPr="003403D9">
        <w:rPr>
          <w:rFonts w:asciiTheme="majorHAnsi" w:hAnsiTheme="majorHAnsi"/>
          <w:b/>
        </w:rPr>
        <w:t xml:space="preserve"> </w:t>
      </w:r>
    </w:p>
    <w:p w14:paraId="1EAA3FA3" w14:textId="77777777" w:rsidR="006A0734" w:rsidRPr="003403D9" w:rsidRDefault="006A0734" w:rsidP="006A0734">
      <w:pPr>
        <w:spacing w:after="0"/>
        <w:rPr>
          <w:rFonts w:asciiTheme="majorHAnsi" w:hAnsiTheme="majorHAnsi"/>
          <w:u w:val="single"/>
        </w:rPr>
      </w:pPr>
    </w:p>
    <w:p w14:paraId="04581933" w14:textId="77777777" w:rsidR="006A0734" w:rsidRPr="006A0734" w:rsidRDefault="00E33E1B" w:rsidP="006A0734">
      <w:pPr>
        <w:spacing w:after="0"/>
        <w:rPr>
          <w:rFonts w:asciiTheme="majorHAnsi" w:hAnsiTheme="majorHAnsi"/>
          <w:u w:val="single"/>
        </w:rPr>
      </w:pPr>
      <w:r w:rsidRPr="003403D9">
        <w:rPr>
          <w:rFonts w:asciiTheme="majorHAnsi" w:hAnsiTheme="majorHAnsi"/>
          <w:u w:val="single"/>
        </w:rPr>
        <w:t>Background</w:t>
      </w:r>
    </w:p>
    <w:p w14:paraId="086F0D9C" w14:textId="10D9BB87" w:rsidR="00EE36D6" w:rsidRDefault="00F04972" w:rsidP="006A0734">
      <w:pPr>
        <w:pStyle w:val="Header"/>
        <w:tabs>
          <w:tab w:val="clear" w:pos="4680"/>
        </w:tabs>
        <w:spacing w:line="276" w:lineRule="auto"/>
      </w:pPr>
      <w:r w:rsidRPr="0036473C">
        <w:t xml:space="preserve">This data collection is </w:t>
      </w:r>
      <w:r w:rsidR="00E97FF2">
        <w:t xml:space="preserve">intended to </w:t>
      </w:r>
      <w:r w:rsidRPr="0036473C">
        <w:t xml:space="preserve">be conducted using the Generic Information Collection mechanism of the OSTLTS </w:t>
      </w:r>
      <w:r w:rsidR="00FC1A10">
        <w:t>OMB Clearance</w:t>
      </w:r>
      <w:r w:rsidRPr="0036473C">
        <w:t xml:space="preserve"> Ce</w:t>
      </w:r>
      <w:r w:rsidR="00B6634A">
        <w:t>nter (O</w:t>
      </w:r>
      <w:r w:rsidR="00FC1A10">
        <w:t>2</w:t>
      </w:r>
      <w:r w:rsidR="00B6634A">
        <w:t>C</w:t>
      </w:r>
      <w:r w:rsidR="00FC1A10">
        <w:t>2</w:t>
      </w:r>
      <w:r w:rsidR="00B6634A">
        <w:t xml:space="preserve">) – OMB No. 0920-0879. </w:t>
      </w:r>
      <w:r w:rsidRPr="0036473C">
        <w:t xml:space="preserve">Data will be collected </w:t>
      </w:r>
      <w:r w:rsidR="00C27C75">
        <w:t xml:space="preserve">from </w:t>
      </w:r>
      <w:r w:rsidR="00B6634A">
        <w:t xml:space="preserve">64 </w:t>
      </w:r>
      <w:r w:rsidR="00C22E1B">
        <w:t xml:space="preserve">Immunization Information System (IIS) </w:t>
      </w:r>
      <w:r w:rsidR="0084548A">
        <w:t xml:space="preserve">program </w:t>
      </w:r>
      <w:r w:rsidR="00B6634A">
        <w:t>managers</w:t>
      </w:r>
      <w:r w:rsidR="00255C4B">
        <w:t xml:space="preserve"> </w:t>
      </w:r>
      <w:r w:rsidR="00B6634A">
        <w:t xml:space="preserve">across 50 </w:t>
      </w:r>
      <w:r w:rsidRPr="0036473C">
        <w:t>stat</w:t>
      </w:r>
      <w:r w:rsidR="00B6634A">
        <w:t>e, 6 local, and 8 territorial</w:t>
      </w:r>
      <w:r w:rsidRPr="0036473C">
        <w:t xml:space="preserve"> public health </w:t>
      </w:r>
      <w:r w:rsidR="00B6634A">
        <w:t>departments</w:t>
      </w:r>
      <w:r w:rsidRPr="0036473C">
        <w:t xml:space="preserve"> act</w:t>
      </w:r>
      <w:r w:rsidR="004F3AFB">
        <w:t>ing in their official capacity</w:t>
      </w:r>
      <w:r w:rsidR="00827ABC">
        <w:t xml:space="preserve"> for the first data collection</w:t>
      </w:r>
      <w:r w:rsidR="00255C4B">
        <w:t xml:space="preserve"> </w:t>
      </w:r>
      <w:r w:rsidR="00D4060A">
        <w:t>(</w:t>
      </w:r>
      <w:r w:rsidR="00D4060A">
        <w:rPr>
          <w:b/>
        </w:rPr>
        <w:t>Attachment A</w:t>
      </w:r>
      <w:r w:rsidR="00D4060A">
        <w:t>)</w:t>
      </w:r>
      <w:r w:rsidRPr="0036473C">
        <w:t>.</w:t>
      </w:r>
      <w:r>
        <w:t xml:space="preserve"> </w:t>
      </w:r>
      <w:r w:rsidR="00827ABC">
        <w:t>The second data collection under this request</w:t>
      </w:r>
      <w:r w:rsidR="006A2147">
        <w:t xml:space="preserve"> </w:t>
      </w:r>
      <w:r w:rsidR="006E68F9">
        <w:t xml:space="preserve">will include the 64 program managers mentioned and 64 immunization program managers, one </w:t>
      </w:r>
      <w:r w:rsidR="006A2147">
        <w:t xml:space="preserve">of </w:t>
      </w:r>
      <w:r w:rsidR="006E68F9">
        <w:t>each per public health department.</w:t>
      </w:r>
    </w:p>
    <w:p w14:paraId="6F6A45DE" w14:textId="77777777" w:rsidR="00EE36D6" w:rsidRDefault="00EE36D6" w:rsidP="006A0734">
      <w:pPr>
        <w:pStyle w:val="Header"/>
        <w:tabs>
          <w:tab w:val="clear" w:pos="4680"/>
        </w:tabs>
        <w:spacing w:line="276" w:lineRule="auto"/>
      </w:pPr>
    </w:p>
    <w:p w14:paraId="42CB69DB" w14:textId="36CA154C" w:rsidR="00F04972" w:rsidRPr="001065FE" w:rsidRDefault="00F04972" w:rsidP="006A0734">
      <w:pPr>
        <w:pStyle w:val="Header"/>
        <w:tabs>
          <w:tab w:val="clear" w:pos="4680"/>
        </w:tabs>
        <w:spacing w:line="276" w:lineRule="auto"/>
        <w:rPr>
          <w:iCs/>
        </w:rPr>
      </w:pPr>
      <w:r w:rsidRPr="00F04972">
        <w:t>This data collection is authorized by Section 301 of the Public Health Service Act (42 U.S.C. 241).</w:t>
      </w:r>
      <w:r w:rsidR="00FC1A10">
        <w:t xml:space="preserve"> </w:t>
      </w:r>
      <w:r w:rsidR="00EE36D6" w:rsidRPr="00EE36D6">
        <w:rPr>
          <w:iCs/>
        </w:rPr>
        <w:t xml:space="preserve">This information collection falls under </w:t>
      </w:r>
      <w:r w:rsidR="00B330EC">
        <w:rPr>
          <w:iCs/>
        </w:rPr>
        <w:t>two</w:t>
      </w:r>
      <w:r w:rsidR="00C656BF">
        <w:rPr>
          <w:iCs/>
        </w:rPr>
        <w:t xml:space="preserve"> of the ten</w:t>
      </w:r>
      <w:r w:rsidR="00B330EC" w:rsidRPr="00EE36D6">
        <w:rPr>
          <w:iCs/>
        </w:rPr>
        <w:t xml:space="preserve"> </w:t>
      </w:r>
      <w:r w:rsidR="00EE36D6" w:rsidRPr="00EE36D6">
        <w:rPr>
          <w:iCs/>
        </w:rPr>
        <w:t xml:space="preserve">essential </w:t>
      </w:r>
      <w:r w:rsidR="006E68F9">
        <w:rPr>
          <w:iCs/>
        </w:rPr>
        <w:t>public health service</w:t>
      </w:r>
      <w:r w:rsidR="00C656BF">
        <w:rPr>
          <w:iCs/>
        </w:rPr>
        <w:t>s</w:t>
      </w:r>
      <w:r w:rsidR="006E68F9">
        <w:rPr>
          <w:iCs/>
        </w:rPr>
        <w:t xml:space="preserve">: </w:t>
      </w:r>
      <w:r w:rsidR="00C656BF">
        <w:rPr>
          <w:iCs/>
        </w:rPr>
        <w:t xml:space="preserve"> #9</w:t>
      </w:r>
      <w:r w:rsidR="006E68F9">
        <w:rPr>
          <w:iCs/>
        </w:rPr>
        <w:t xml:space="preserve">) Evaluating effectiveness, accessibility, and quality of personal and population-based health services. </w:t>
      </w:r>
      <w:r w:rsidR="00C656BF">
        <w:rPr>
          <w:iCs/>
        </w:rPr>
        <w:t xml:space="preserve"> #10</w:t>
      </w:r>
      <w:r w:rsidR="006E68F9">
        <w:rPr>
          <w:iCs/>
        </w:rPr>
        <w:t>) Research for new insights and innovative solutions to health problems</w:t>
      </w:r>
      <w:r w:rsidR="00B330EC">
        <w:rPr>
          <w:iCs/>
        </w:rPr>
        <w:t>.</w:t>
      </w:r>
    </w:p>
    <w:p w14:paraId="10A8D678" w14:textId="77777777" w:rsidR="00F04972" w:rsidRDefault="00F04972" w:rsidP="006A0734">
      <w:pPr>
        <w:pStyle w:val="Header"/>
        <w:tabs>
          <w:tab w:val="clear" w:pos="4680"/>
        </w:tabs>
        <w:spacing w:line="276" w:lineRule="auto"/>
        <w:ind w:left="-270"/>
      </w:pPr>
    </w:p>
    <w:p w14:paraId="38388040" w14:textId="3E86FF3F" w:rsidR="00F04972" w:rsidRDefault="005F0038" w:rsidP="0094001D">
      <w:pPr>
        <w:pStyle w:val="Header"/>
        <w:spacing w:line="276" w:lineRule="auto"/>
      </w:pPr>
      <w:r w:rsidRPr="0036473C">
        <w:t>Immunization information systems (IIS) , formerly known as immunization registries are population-based, computerized databases that record all immunization doses administered by participating providers to persons residing within a given geopoli</w:t>
      </w:r>
      <w:r w:rsidR="00724B87">
        <w:t xml:space="preserve">tical area. IIS maintain </w:t>
      </w:r>
      <w:r w:rsidR="009A2A27">
        <w:t>vaccination</w:t>
      </w:r>
      <w:r w:rsidR="008367AF">
        <w:t xml:space="preserve"> </w:t>
      </w:r>
      <w:r w:rsidR="009A2A27">
        <w:t>histories</w:t>
      </w:r>
      <w:r w:rsidR="00724B87">
        <w:t>, track the immunization status of patients at the provider level, and</w:t>
      </w:r>
      <w:r w:rsidR="009A2A27">
        <w:t xml:space="preserve"> perform</w:t>
      </w:r>
      <w:r w:rsidR="00724B87">
        <w:t xml:space="preserve"> </w:t>
      </w:r>
      <w:r w:rsidR="00D856F6">
        <w:t>other</w:t>
      </w:r>
      <w:r w:rsidR="00724B87">
        <w:t xml:space="preserve"> functional standards recommended by the Centers for Disease Control and Prevention (</w:t>
      </w:r>
      <w:r w:rsidR="00724B87">
        <w:rPr>
          <w:b/>
        </w:rPr>
        <w:t xml:space="preserve">Attachment </w:t>
      </w:r>
      <w:r w:rsidR="00CE4F7B">
        <w:rPr>
          <w:b/>
        </w:rPr>
        <w:t>B</w:t>
      </w:r>
      <w:r w:rsidR="00724B87">
        <w:t>).</w:t>
      </w:r>
      <w:r w:rsidR="008367AF">
        <w:t xml:space="preserve"> IIS are</w:t>
      </w:r>
      <w:r w:rsidR="00D856F6" w:rsidRPr="0036473C">
        <w:t xml:space="preserve"> helpful in identifying and improving immunization rates in vulnerable populations and can also be valuable public health tools for infection control and outbreak prevention.  </w:t>
      </w:r>
      <w:r w:rsidR="00724B87">
        <w:t xml:space="preserve">In recognition of </w:t>
      </w:r>
      <w:r w:rsidRPr="0036473C">
        <w:t xml:space="preserve">IIS </w:t>
      </w:r>
      <w:r w:rsidR="00724B87">
        <w:t>as</w:t>
      </w:r>
      <w:r w:rsidRPr="0036473C">
        <w:t xml:space="preserve"> valuable tools for informing decisions regarding vaccination coverage</w:t>
      </w:r>
      <w:r w:rsidR="00CB7751">
        <w:t xml:space="preserve"> across the United States</w:t>
      </w:r>
      <w:r w:rsidR="00CB7751" w:rsidRPr="0036473C">
        <w:t xml:space="preserve">, a Healthy People 2020 objective was established that 95% of children </w:t>
      </w:r>
      <w:proofErr w:type="gramStart"/>
      <w:r w:rsidR="00385E81">
        <w:t>under</w:t>
      </w:r>
      <w:proofErr w:type="gramEnd"/>
      <w:r w:rsidR="00385E81">
        <w:t xml:space="preserve"> </w:t>
      </w:r>
      <w:r w:rsidR="00CB7751" w:rsidRPr="0036473C">
        <w:t>6 years of age have immunization records housed in a fully operational IIS</w:t>
      </w:r>
      <w:r w:rsidR="00CB7751">
        <w:t xml:space="preserve"> (</w:t>
      </w:r>
      <w:r w:rsidR="00CB7751" w:rsidRPr="00CB7751">
        <w:rPr>
          <w:b/>
        </w:rPr>
        <w:t xml:space="preserve">Attachment </w:t>
      </w:r>
      <w:r w:rsidR="00CE4F7B">
        <w:rPr>
          <w:b/>
        </w:rPr>
        <w:t>C</w:t>
      </w:r>
      <w:r w:rsidR="00CB7751">
        <w:t>)</w:t>
      </w:r>
      <w:r w:rsidR="00F04972">
        <w:t>.</w:t>
      </w:r>
      <w:r w:rsidR="00B6634A">
        <w:t xml:space="preserve"> </w:t>
      </w:r>
    </w:p>
    <w:p w14:paraId="2F9FF5B1" w14:textId="77777777" w:rsidR="0036473C" w:rsidRPr="0036473C" w:rsidRDefault="0036473C" w:rsidP="0094001D">
      <w:pPr>
        <w:pStyle w:val="Header"/>
        <w:spacing w:line="276" w:lineRule="auto"/>
      </w:pPr>
    </w:p>
    <w:p w14:paraId="26A164F7" w14:textId="5BFAE93B" w:rsidR="005F0038" w:rsidRDefault="005F0038" w:rsidP="0094001D">
      <w:pPr>
        <w:pStyle w:val="Header"/>
        <w:spacing w:line="276" w:lineRule="auto"/>
      </w:pPr>
      <w:r w:rsidRPr="0036473C">
        <w:t>Since 1993, the United States Public Heal</w:t>
      </w:r>
      <w:r w:rsidR="00385E81">
        <w:t>th S</w:t>
      </w:r>
      <w:r w:rsidRPr="0036473C">
        <w:t xml:space="preserve">ervice has invested </w:t>
      </w:r>
      <w:r w:rsidR="0094001D">
        <w:t>millions of dollars</w:t>
      </w:r>
      <w:r w:rsidRPr="0036473C">
        <w:t xml:space="preserve"> for the development of IIS projects </w:t>
      </w:r>
      <w:r w:rsidR="008367AF">
        <w:t>across the U.S.</w:t>
      </w:r>
      <w:r w:rsidR="00724B87">
        <w:t xml:space="preserve"> </w:t>
      </w:r>
      <w:r w:rsidR="00724B87" w:rsidRPr="0036473C">
        <w:t xml:space="preserve">through the </w:t>
      </w:r>
      <w:r w:rsidR="00724B87">
        <w:t xml:space="preserve">CDC </w:t>
      </w:r>
      <w:r w:rsidR="00724B87" w:rsidRPr="0036473C">
        <w:t>317 grant program</w:t>
      </w:r>
      <w:r w:rsidR="00CF58BB">
        <w:t xml:space="preserve"> (</w:t>
      </w:r>
      <w:r w:rsidR="00CF58BB" w:rsidRPr="00CB7751">
        <w:rPr>
          <w:b/>
        </w:rPr>
        <w:t xml:space="preserve">Attachment </w:t>
      </w:r>
      <w:r w:rsidR="00CF58BB">
        <w:rPr>
          <w:b/>
        </w:rPr>
        <w:t>C</w:t>
      </w:r>
      <w:r w:rsidR="00CF58BB">
        <w:t>)</w:t>
      </w:r>
      <w:r w:rsidR="004B523A">
        <w:t>. However, a</w:t>
      </w:r>
      <w:r w:rsidR="00CB7751">
        <w:t xml:space="preserve"> comprehensive study of </w:t>
      </w:r>
      <w:r w:rsidR="004B523A">
        <w:t xml:space="preserve">IIS </w:t>
      </w:r>
      <w:r w:rsidR="008078A6">
        <w:t xml:space="preserve">operating </w:t>
      </w:r>
      <w:r w:rsidR="00CB7751">
        <w:t>costs</w:t>
      </w:r>
      <w:r w:rsidR="008078A6">
        <w:t xml:space="preserve"> and the effectiveness of CDC’s investment</w:t>
      </w:r>
      <w:r w:rsidR="00CB7751">
        <w:t xml:space="preserve"> </w:t>
      </w:r>
      <w:r w:rsidR="004B523A">
        <w:t>has not been conducted in</w:t>
      </w:r>
      <w:r w:rsidR="008367AF">
        <w:t xml:space="preserve"> over 5 years</w:t>
      </w:r>
      <w:r w:rsidR="008078A6">
        <w:t xml:space="preserve">. Up-to-date data on </w:t>
      </w:r>
      <w:r w:rsidR="004B523A">
        <w:t xml:space="preserve">IIS </w:t>
      </w:r>
      <w:r w:rsidR="008078A6">
        <w:t>financials and operations</w:t>
      </w:r>
      <w:r w:rsidR="004B523A">
        <w:t xml:space="preserve"> </w:t>
      </w:r>
      <w:r w:rsidR="0094001D">
        <w:t>will</w:t>
      </w:r>
      <w:r w:rsidR="004B523A">
        <w:t xml:space="preserve"> fill in the information gap left since the previous examination described by Diana Bartlett et al</w:t>
      </w:r>
      <w:r w:rsidR="00BC5F00">
        <w:t>.</w:t>
      </w:r>
      <w:r w:rsidR="004B523A">
        <w:t xml:space="preserve"> in 2006 </w:t>
      </w:r>
      <w:r w:rsidR="00BC5F00">
        <w:t xml:space="preserve">and enable CDC to </w:t>
      </w:r>
      <w:r w:rsidR="008367AF">
        <w:t>help</w:t>
      </w:r>
      <w:r w:rsidR="00BC5F00">
        <w:t xml:space="preserve"> state/local</w:t>
      </w:r>
      <w:r w:rsidR="00EF5DE8">
        <w:t xml:space="preserve">/territorial health departments improve immunization coverage and manage </w:t>
      </w:r>
      <w:r w:rsidR="00CF58BB">
        <w:t>publicly-purchased vaccines</w:t>
      </w:r>
      <w:r w:rsidR="00EF5DE8">
        <w:t xml:space="preserve"> </w:t>
      </w:r>
      <w:r w:rsidR="004B523A">
        <w:t>(</w:t>
      </w:r>
      <w:r w:rsidR="004B523A" w:rsidRPr="00CB7751">
        <w:rPr>
          <w:b/>
        </w:rPr>
        <w:t xml:space="preserve">Attachment </w:t>
      </w:r>
      <w:r w:rsidR="007A58BE">
        <w:rPr>
          <w:b/>
        </w:rPr>
        <w:t>D</w:t>
      </w:r>
      <w:r w:rsidR="004B523A">
        <w:t>)</w:t>
      </w:r>
      <w:r w:rsidR="00CB7751">
        <w:t xml:space="preserve">. </w:t>
      </w:r>
    </w:p>
    <w:p w14:paraId="18AB0D28" w14:textId="77777777" w:rsidR="00E806AD" w:rsidRPr="0036473C" w:rsidRDefault="00E806AD" w:rsidP="006A0734">
      <w:pPr>
        <w:pStyle w:val="Header"/>
        <w:spacing w:line="276" w:lineRule="auto"/>
        <w:ind w:left="-270"/>
      </w:pPr>
    </w:p>
    <w:p w14:paraId="75247E8F" w14:textId="43D25200" w:rsidR="005F0038" w:rsidRPr="0036473C" w:rsidRDefault="005F0038" w:rsidP="006A0734">
      <w:pPr>
        <w:pStyle w:val="Header"/>
        <w:spacing w:line="276" w:lineRule="auto"/>
      </w:pPr>
      <w:r w:rsidRPr="0036473C">
        <w:t xml:space="preserve">Recently, </w:t>
      </w:r>
      <w:r w:rsidR="00385E81">
        <w:t>the CDC</w:t>
      </w:r>
      <w:r w:rsidR="00A147F5">
        <w:t>,</w:t>
      </w:r>
      <w:r w:rsidR="00385E81">
        <w:t xml:space="preserve"> National Center Immunization Respiratory Diseases (NCIRD</w:t>
      </w:r>
      <w:r w:rsidR="00473C30">
        <w:t>)</w:t>
      </w:r>
      <w:r w:rsidR="00473C30" w:rsidRPr="0036473C">
        <w:t xml:space="preserve"> sponsored</w:t>
      </w:r>
      <w:r w:rsidRPr="0036473C">
        <w:t xml:space="preserve"> a Blue Ribbon Panel (BRP) of experts from the IIS community who identified major challenges for providers, public health experts, and </w:t>
      </w:r>
      <w:r w:rsidR="00846972">
        <w:t>Vaccines for Children (</w:t>
      </w:r>
      <w:r w:rsidRPr="0036473C">
        <w:t>VFC</w:t>
      </w:r>
      <w:r w:rsidR="00846972">
        <w:t>)</w:t>
      </w:r>
      <w:r w:rsidR="00CB7751">
        <w:t xml:space="preserve"> awardees related to IIS (</w:t>
      </w:r>
      <w:r w:rsidR="00CB7751" w:rsidRPr="00CB7751">
        <w:rPr>
          <w:b/>
        </w:rPr>
        <w:t xml:space="preserve">Attachment </w:t>
      </w:r>
      <w:r w:rsidR="007A58BE">
        <w:rPr>
          <w:b/>
        </w:rPr>
        <w:t>E</w:t>
      </w:r>
      <w:r w:rsidR="00CB7751">
        <w:t>)</w:t>
      </w:r>
      <w:r w:rsidR="00CF58BB">
        <w:t>. The panel identified two high priority items for investigation. S</w:t>
      </w:r>
      <w:r w:rsidR="00846972">
        <w:t>pecifically, how</w:t>
      </w:r>
      <w:r w:rsidR="00CF58BB">
        <w:t xml:space="preserve"> can</w:t>
      </w:r>
      <w:r w:rsidR="00846972">
        <w:t xml:space="preserve"> a</w:t>
      </w:r>
      <w:r w:rsidRPr="0036473C">
        <w:t>wardees:</w:t>
      </w:r>
    </w:p>
    <w:p w14:paraId="14183BA6" w14:textId="77777777" w:rsidR="005F0038" w:rsidRPr="0036473C" w:rsidRDefault="005F0038" w:rsidP="006A0734">
      <w:pPr>
        <w:pStyle w:val="Header"/>
        <w:spacing w:line="276" w:lineRule="auto"/>
      </w:pPr>
    </w:p>
    <w:p w14:paraId="00B500FD" w14:textId="77777777" w:rsidR="005F0038" w:rsidRPr="0036473C" w:rsidRDefault="005F0038" w:rsidP="00572E9A">
      <w:pPr>
        <w:pStyle w:val="Header"/>
        <w:numPr>
          <w:ilvl w:val="0"/>
          <w:numId w:val="8"/>
        </w:numPr>
        <w:spacing w:line="276" w:lineRule="auto"/>
        <w:ind w:left="720"/>
      </w:pPr>
      <w:r w:rsidRPr="0036473C">
        <w:lastRenderedPageBreak/>
        <w:t>Sustain funding and resources to maintain, operate, and improve IIS to meet stan</w:t>
      </w:r>
      <w:r w:rsidR="00846972">
        <w:t>dards and scale for the future</w:t>
      </w:r>
    </w:p>
    <w:p w14:paraId="3AF3876F" w14:textId="77777777" w:rsidR="005F0038" w:rsidRPr="0036473C" w:rsidRDefault="005F0038" w:rsidP="00572E9A">
      <w:pPr>
        <w:pStyle w:val="Header"/>
        <w:numPr>
          <w:ilvl w:val="0"/>
          <w:numId w:val="8"/>
        </w:numPr>
        <w:spacing w:line="276" w:lineRule="auto"/>
        <w:ind w:left="720"/>
      </w:pPr>
      <w:r w:rsidRPr="0036473C">
        <w:t xml:space="preserve">Promote, encourage and ultimately establish </w:t>
      </w:r>
      <w:r w:rsidR="00846972">
        <w:t>IIS interstate interoperability</w:t>
      </w:r>
    </w:p>
    <w:p w14:paraId="7EC73357" w14:textId="77777777" w:rsidR="006773E9" w:rsidRDefault="006773E9" w:rsidP="006A0734">
      <w:pPr>
        <w:pStyle w:val="Header"/>
        <w:spacing w:line="276" w:lineRule="auto"/>
      </w:pPr>
    </w:p>
    <w:p w14:paraId="67DDA756" w14:textId="2F34787E" w:rsidR="00E806AD" w:rsidRPr="0036473C" w:rsidRDefault="005F0038" w:rsidP="006A0734">
      <w:pPr>
        <w:pStyle w:val="Header"/>
        <w:spacing w:line="276" w:lineRule="auto"/>
      </w:pPr>
      <w:r w:rsidRPr="0036473C">
        <w:t>The question of how to sustain funding and resources was addressed by panelists in two ways:</w:t>
      </w:r>
    </w:p>
    <w:p w14:paraId="3D696BAE" w14:textId="77777777" w:rsidR="005F0038" w:rsidRPr="0036473C" w:rsidRDefault="005F0038" w:rsidP="00572E9A">
      <w:pPr>
        <w:pStyle w:val="Header"/>
        <w:numPr>
          <w:ilvl w:val="0"/>
          <w:numId w:val="9"/>
        </w:numPr>
        <w:spacing w:line="276" w:lineRule="auto"/>
        <w:ind w:left="720"/>
      </w:pPr>
      <w:r w:rsidRPr="00846972">
        <w:t>Funding</w:t>
      </w:r>
      <w:r w:rsidR="00846972" w:rsidRPr="00846972">
        <w:t>:</w:t>
      </w:r>
      <w:r w:rsidR="00846972">
        <w:t xml:space="preserve"> Identify who values IIS</w:t>
      </w:r>
      <w:r w:rsidRPr="0036473C">
        <w:t xml:space="preserve"> and why (i.e., identify IIS customers and beneficiaries and the services they receive and value).</w:t>
      </w:r>
    </w:p>
    <w:p w14:paraId="1054B919" w14:textId="77777777" w:rsidR="005F0038" w:rsidRPr="0036473C" w:rsidRDefault="005F0038" w:rsidP="00572E9A">
      <w:pPr>
        <w:pStyle w:val="Header"/>
        <w:numPr>
          <w:ilvl w:val="0"/>
          <w:numId w:val="9"/>
        </w:numPr>
        <w:spacing w:line="276" w:lineRule="auto"/>
        <w:ind w:left="720"/>
      </w:pPr>
      <w:r w:rsidRPr="00846972">
        <w:t>Resources</w:t>
      </w:r>
      <w:r w:rsidRPr="0036473C">
        <w:t>: Identify candidate services and functions for modularizing and sharing.</w:t>
      </w:r>
    </w:p>
    <w:p w14:paraId="1D4DA11E" w14:textId="77777777" w:rsidR="005F0038" w:rsidRPr="0036473C" w:rsidRDefault="005F0038" w:rsidP="006A0734">
      <w:pPr>
        <w:pStyle w:val="Header"/>
        <w:spacing w:line="276" w:lineRule="auto"/>
        <w:ind w:left="720"/>
      </w:pPr>
    </w:p>
    <w:p w14:paraId="5ABF57CA" w14:textId="777E6713" w:rsidR="00793731" w:rsidRPr="0036473C" w:rsidRDefault="005F0038" w:rsidP="006A0734">
      <w:pPr>
        <w:pStyle w:val="Header"/>
        <w:tabs>
          <w:tab w:val="clear" w:pos="4680"/>
        </w:tabs>
        <w:spacing w:line="276" w:lineRule="auto"/>
      </w:pPr>
      <w:r w:rsidRPr="00EF5DE8">
        <w:t xml:space="preserve">In support of the BRP </w:t>
      </w:r>
      <w:r w:rsidR="00CF58BB">
        <w:t>recommendation</w:t>
      </w:r>
      <w:r w:rsidRPr="00EF5DE8">
        <w:t xml:space="preserve">, </w:t>
      </w:r>
      <w:r w:rsidR="00385E81" w:rsidRPr="00EF5DE8">
        <w:t>CDC</w:t>
      </w:r>
      <w:r w:rsidR="006773E9">
        <w:t xml:space="preserve"> would like to</w:t>
      </w:r>
      <w:r w:rsidR="00BC5F00" w:rsidRPr="00EF5DE8">
        <w:t xml:space="preserve"> conduct data collection </w:t>
      </w:r>
      <w:r w:rsidRPr="00EF5DE8">
        <w:t xml:space="preserve">to </w:t>
      </w:r>
      <w:r w:rsidR="00577184">
        <w:t xml:space="preserve">assess </w:t>
      </w:r>
      <w:r w:rsidRPr="00EF5DE8">
        <w:t xml:space="preserve">the </w:t>
      </w:r>
      <w:r w:rsidR="00C22E1B">
        <w:t>array</w:t>
      </w:r>
      <w:r w:rsidR="00C22E1B" w:rsidRPr="00EF5DE8">
        <w:t xml:space="preserve"> </w:t>
      </w:r>
      <w:r w:rsidRPr="00EF5DE8">
        <w:t>of IIS services that are</w:t>
      </w:r>
      <w:r w:rsidR="00BC5F00" w:rsidRPr="00EF5DE8">
        <w:t xml:space="preserve"> highly valued by IIS </w:t>
      </w:r>
      <w:r w:rsidR="00235771">
        <w:t>stakeholders</w:t>
      </w:r>
      <w:r w:rsidR="00C90479">
        <w:t>.</w:t>
      </w:r>
      <w:r w:rsidR="00B330EC">
        <w:t xml:space="preserve"> </w:t>
      </w:r>
      <w:r w:rsidR="001A0D93">
        <w:t xml:space="preserve">To this end, the purpose of this data collection </w:t>
      </w:r>
      <w:r w:rsidR="00CF58BB" w:rsidRPr="0036473C">
        <w:t>is to create a unified view of existing and potential value in IIS operations to identify shared service opportunities, develop a core funding model, and identify alternative funding sources.</w:t>
      </w:r>
      <w:r w:rsidR="008078A6">
        <w:t xml:space="preserve"> The data collected will enable CDC to </w:t>
      </w:r>
      <w:r w:rsidR="00111698">
        <w:t>help</w:t>
      </w:r>
      <w:r w:rsidR="008078A6">
        <w:t xml:space="preserve"> IIS</w:t>
      </w:r>
      <w:r w:rsidR="00111698">
        <w:t xml:space="preserve"> and state/local/territorial health departments improve immunization coverage and vaccine management, as well as provide guidance on</w:t>
      </w:r>
      <w:r w:rsidR="008078A6">
        <w:t xml:space="preserve"> long term program </w:t>
      </w:r>
      <w:r w:rsidR="008078A6" w:rsidRPr="0036473C">
        <w:t>sustainability in an ever changing health care environment</w:t>
      </w:r>
      <w:r w:rsidR="008078A6">
        <w:t>.</w:t>
      </w:r>
    </w:p>
    <w:p w14:paraId="7997BB0B" w14:textId="77777777" w:rsidR="004F67A8" w:rsidRDefault="004F67A8" w:rsidP="006A0734">
      <w:pPr>
        <w:spacing w:after="0"/>
        <w:rPr>
          <w:rFonts w:asciiTheme="majorHAnsi" w:hAnsiTheme="majorHAnsi"/>
        </w:rPr>
      </w:pPr>
    </w:p>
    <w:p w14:paraId="4CEF8CF5" w14:textId="77777777" w:rsidR="003403D9" w:rsidRPr="003403D9" w:rsidRDefault="00832A15" w:rsidP="00CF58BB">
      <w:pPr>
        <w:spacing w:after="0"/>
        <w:rPr>
          <w:b/>
          <w:sz w:val="24"/>
          <w:szCs w:val="24"/>
        </w:rPr>
      </w:pPr>
      <w:r w:rsidRPr="003403D9">
        <w:rPr>
          <w:b/>
          <w:sz w:val="24"/>
          <w:szCs w:val="24"/>
        </w:rPr>
        <w:t>Privacy Impact Assessment</w:t>
      </w:r>
    </w:p>
    <w:p w14:paraId="1CFF6581" w14:textId="77777777" w:rsidR="00AC784D" w:rsidRPr="003403D9" w:rsidRDefault="006102DA" w:rsidP="00CF58BB">
      <w:pPr>
        <w:spacing w:after="0"/>
        <w:rPr>
          <w:b/>
          <w:sz w:val="24"/>
          <w:szCs w:val="24"/>
        </w:rPr>
      </w:pPr>
      <w:r w:rsidRPr="00E806AD">
        <w:rPr>
          <w:u w:val="single"/>
        </w:rPr>
        <w:t>Overview of the Data Collection System</w:t>
      </w:r>
    </w:p>
    <w:p w14:paraId="0128C284" w14:textId="7E68AB5A" w:rsidR="002B0F0B" w:rsidRDefault="00B1129F" w:rsidP="00CF58BB">
      <w:pPr>
        <w:spacing w:after="0"/>
      </w:pPr>
      <w:r w:rsidRPr="00E806AD">
        <w:t xml:space="preserve">The data collection system consists of </w:t>
      </w:r>
      <w:r w:rsidR="001D1096" w:rsidRPr="00E806AD">
        <w:t xml:space="preserve">two data collection instruments, an Online Data Collection Instrument and </w:t>
      </w:r>
      <w:r w:rsidR="00AE5D2E">
        <w:t xml:space="preserve">an </w:t>
      </w:r>
      <w:r w:rsidR="001D1096" w:rsidRPr="00E806AD">
        <w:t xml:space="preserve">Interview </w:t>
      </w:r>
      <w:r w:rsidR="00AE5D2E">
        <w:t>Guide</w:t>
      </w:r>
      <w:r w:rsidR="004D00E0" w:rsidRPr="00E806AD">
        <w:t xml:space="preserve"> </w:t>
      </w:r>
      <w:r w:rsidR="00E23568" w:rsidRPr="00E806AD">
        <w:t>(</w:t>
      </w:r>
      <w:r w:rsidR="00E23568" w:rsidRPr="00E806AD">
        <w:rPr>
          <w:b/>
        </w:rPr>
        <w:t xml:space="preserve">see </w:t>
      </w:r>
      <w:r w:rsidR="001D1096" w:rsidRPr="00E806AD">
        <w:rPr>
          <w:b/>
        </w:rPr>
        <w:t xml:space="preserve">Attachment </w:t>
      </w:r>
      <w:r w:rsidR="00EF5DE8">
        <w:rPr>
          <w:b/>
        </w:rPr>
        <w:t>F</w:t>
      </w:r>
      <w:r w:rsidR="00FF0E9A" w:rsidRPr="00E806AD">
        <w:rPr>
          <w:b/>
        </w:rPr>
        <w:t xml:space="preserve"> </w:t>
      </w:r>
      <w:r w:rsidR="008229E4" w:rsidRPr="00E806AD">
        <w:rPr>
          <w:b/>
        </w:rPr>
        <w:t>–</w:t>
      </w:r>
      <w:r w:rsidR="00C4714B">
        <w:rPr>
          <w:b/>
        </w:rPr>
        <w:t xml:space="preserve">Online </w:t>
      </w:r>
      <w:r w:rsidR="008229E4" w:rsidRPr="006A0734">
        <w:rPr>
          <w:b/>
        </w:rPr>
        <w:t>Instrument</w:t>
      </w:r>
      <w:r w:rsidR="00A24A2A">
        <w:rPr>
          <w:b/>
        </w:rPr>
        <w:t>-</w:t>
      </w:r>
      <w:r w:rsidR="006A0734">
        <w:rPr>
          <w:b/>
        </w:rPr>
        <w:t>We</w:t>
      </w:r>
      <w:r w:rsidR="008C3B24">
        <w:rPr>
          <w:b/>
        </w:rPr>
        <w:t>b</w:t>
      </w:r>
      <w:r w:rsidR="00C27C75">
        <w:rPr>
          <w:i/>
        </w:rPr>
        <w:t xml:space="preserve">, </w:t>
      </w:r>
      <w:r w:rsidR="00C27C75" w:rsidRPr="00C27C75">
        <w:rPr>
          <w:b/>
        </w:rPr>
        <w:t xml:space="preserve">Attachment </w:t>
      </w:r>
      <w:r w:rsidR="00EF5DE8">
        <w:rPr>
          <w:b/>
        </w:rPr>
        <w:t>G</w:t>
      </w:r>
      <w:r w:rsidR="00C27C75">
        <w:rPr>
          <w:i/>
        </w:rPr>
        <w:t xml:space="preserve"> </w:t>
      </w:r>
      <w:r w:rsidR="00C27C75" w:rsidRPr="00E806AD">
        <w:rPr>
          <w:b/>
        </w:rPr>
        <w:t>–</w:t>
      </w:r>
      <w:r w:rsidR="00852DE6">
        <w:rPr>
          <w:b/>
        </w:rPr>
        <w:t xml:space="preserve">Online </w:t>
      </w:r>
      <w:r w:rsidR="00C27C75">
        <w:rPr>
          <w:b/>
        </w:rPr>
        <w:t xml:space="preserve">Instrument </w:t>
      </w:r>
      <w:r w:rsidR="000A1705">
        <w:rPr>
          <w:b/>
        </w:rPr>
        <w:t>-</w:t>
      </w:r>
      <w:r w:rsidR="006A0734">
        <w:rPr>
          <w:b/>
        </w:rPr>
        <w:t>Word</w:t>
      </w:r>
      <w:r w:rsidR="00C27C75">
        <w:rPr>
          <w:b/>
        </w:rPr>
        <w:t xml:space="preserve"> version</w:t>
      </w:r>
      <w:r w:rsidR="00D3194F" w:rsidRPr="00E806AD">
        <w:rPr>
          <w:i/>
        </w:rPr>
        <w:t xml:space="preserve"> </w:t>
      </w:r>
      <w:r w:rsidR="00D3194F" w:rsidRPr="00E806AD">
        <w:t>and</w:t>
      </w:r>
      <w:r w:rsidR="004674E7" w:rsidRPr="00E806AD">
        <w:rPr>
          <w:b/>
        </w:rPr>
        <w:t xml:space="preserve"> </w:t>
      </w:r>
      <w:r w:rsidR="008229E4" w:rsidRPr="00E806AD">
        <w:rPr>
          <w:b/>
        </w:rPr>
        <w:t>Attachment</w:t>
      </w:r>
      <w:r w:rsidR="00FF0E9A" w:rsidRPr="00E806AD">
        <w:rPr>
          <w:b/>
        </w:rPr>
        <w:t xml:space="preserve"> </w:t>
      </w:r>
      <w:r w:rsidR="00EF5DE8">
        <w:rPr>
          <w:b/>
        </w:rPr>
        <w:t>H</w:t>
      </w:r>
      <w:r w:rsidR="008229E4" w:rsidRPr="00E806AD">
        <w:rPr>
          <w:b/>
        </w:rPr>
        <w:t xml:space="preserve"> –</w:t>
      </w:r>
      <w:r w:rsidR="00864938">
        <w:rPr>
          <w:b/>
        </w:rPr>
        <w:t xml:space="preserve"> </w:t>
      </w:r>
      <w:r w:rsidR="00CA1FBF" w:rsidRPr="00C27C75">
        <w:rPr>
          <w:b/>
        </w:rPr>
        <w:t>Interview</w:t>
      </w:r>
      <w:r w:rsidR="001A0D93">
        <w:rPr>
          <w:b/>
        </w:rPr>
        <w:t xml:space="preserve"> </w:t>
      </w:r>
      <w:r w:rsidR="002A3D0D">
        <w:rPr>
          <w:b/>
        </w:rPr>
        <w:t>Guide</w:t>
      </w:r>
      <w:r w:rsidR="00E23568" w:rsidRPr="00E806AD">
        <w:t>)</w:t>
      </w:r>
      <w:r w:rsidR="00AC784D">
        <w:t xml:space="preserve">. </w:t>
      </w:r>
      <w:r w:rsidR="00476384" w:rsidRPr="00E806AD">
        <w:t>The</w:t>
      </w:r>
      <w:r w:rsidR="00476384">
        <w:t xml:space="preserve"> online and IIS </w:t>
      </w:r>
      <w:r w:rsidR="00D36D06">
        <w:t xml:space="preserve">interview </w:t>
      </w:r>
      <w:r w:rsidR="00476384">
        <w:t>data collection</w:t>
      </w:r>
      <w:r w:rsidR="00476384" w:rsidRPr="00E806AD">
        <w:t xml:space="preserve"> instruments are designed to collect information on IIS services and value across similar categories with </w:t>
      </w:r>
      <w:r w:rsidR="00BC3C49">
        <w:t>2</w:t>
      </w:r>
      <w:r w:rsidR="004B4AED">
        <w:t>7</w:t>
      </w:r>
      <w:r w:rsidR="00476384" w:rsidRPr="00E806AD">
        <w:t xml:space="preserve"> questions in the Online </w:t>
      </w:r>
      <w:r w:rsidR="007507A3">
        <w:t xml:space="preserve">Data Collection Instrument and </w:t>
      </w:r>
      <w:r w:rsidR="00AC1A04">
        <w:t>15</w:t>
      </w:r>
      <w:r w:rsidR="00476384" w:rsidRPr="00E806AD">
        <w:t xml:space="preserve"> questions in the IIS Interview Data Collection Instrument</w:t>
      </w:r>
      <w:r w:rsidR="00FB3D5D">
        <w:t>.</w:t>
      </w:r>
      <w:r w:rsidR="00476384" w:rsidRPr="00E806AD">
        <w:t xml:space="preserve"> </w:t>
      </w:r>
      <w:r w:rsidR="002B0F0B">
        <w:t xml:space="preserve">The </w:t>
      </w:r>
      <w:r w:rsidR="00D36D06">
        <w:t xml:space="preserve">online instrument </w:t>
      </w:r>
      <w:r w:rsidR="008C3B24">
        <w:t xml:space="preserve">will include the IIS program managers and </w:t>
      </w:r>
      <w:r w:rsidR="00D36D06">
        <w:t xml:space="preserve">was piloted with a group of 9 </w:t>
      </w:r>
      <w:r w:rsidR="00852DE6" w:rsidRPr="0077127B">
        <w:t>states</w:t>
      </w:r>
      <w:r w:rsidR="00FB09C2">
        <w:t>’</w:t>
      </w:r>
      <w:r w:rsidR="00852DE6" w:rsidRPr="0077127B">
        <w:t xml:space="preserve"> IIS </w:t>
      </w:r>
      <w:r w:rsidR="00FB09C2">
        <w:t xml:space="preserve">program </w:t>
      </w:r>
      <w:r w:rsidR="00852DE6" w:rsidRPr="0077127B">
        <w:t>managers as</w:t>
      </w:r>
      <w:r w:rsidR="00852DE6">
        <w:t xml:space="preserve"> </w:t>
      </w:r>
      <w:r w:rsidR="00D36D06">
        <w:t xml:space="preserve">respondents.  In addition, the interview data collection instrument </w:t>
      </w:r>
      <w:r w:rsidR="008C3B24">
        <w:t>will include the IIS program managers and the immunization program managers who have</w:t>
      </w:r>
      <w:r w:rsidR="008C3B24" w:rsidRPr="008C3B24">
        <w:t xml:space="preserve"> specific knowledge on programmatic and business operations of the Immunization Program. </w:t>
      </w:r>
      <w:r w:rsidR="008C3B24">
        <w:t xml:space="preserve">The interview data collection instrument </w:t>
      </w:r>
      <w:r w:rsidR="00D36D06">
        <w:t>was also piloted with a group of 9</w:t>
      </w:r>
      <w:r w:rsidR="00852DE6" w:rsidRPr="00852DE6">
        <w:t xml:space="preserve"> </w:t>
      </w:r>
      <w:r w:rsidR="00852DE6" w:rsidRPr="0077127B">
        <w:t>states</w:t>
      </w:r>
      <w:r w:rsidR="00FB09C2">
        <w:t>’</w:t>
      </w:r>
      <w:r w:rsidR="00852DE6" w:rsidRPr="0077127B">
        <w:t xml:space="preserve"> IIS </w:t>
      </w:r>
      <w:r w:rsidR="00FB09C2">
        <w:t xml:space="preserve">program </w:t>
      </w:r>
      <w:r w:rsidR="00852DE6" w:rsidRPr="0077127B">
        <w:t>managers as</w:t>
      </w:r>
      <w:r w:rsidR="00D36D06">
        <w:t xml:space="preserve"> respondents.  Three respondents from each of the two groups received both the online and interview data collection instruments.  </w:t>
      </w:r>
      <w:r w:rsidR="002B0F0B">
        <w:t>Feedback from th</w:t>
      </w:r>
      <w:r w:rsidR="00D36D06">
        <w:t>ese two groups</w:t>
      </w:r>
      <w:r w:rsidR="002B0F0B">
        <w:t xml:space="preserve"> was used to refine questions as needed, </w:t>
      </w:r>
      <w:r w:rsidR="002B0F0B" w:rsidRPr="00E806AD">
        <w:t>ensure accurate programming and skip patterns</w:t>
      </w:r>
      <w:r w:rsidR="002B0F0B">
        <w:t>,</w:t>
      </w:r>
      <w:r w:rsidR="002B0F0B" w:rsidRPr="00E806AD">
        <w:t xml:space="preserve"> </w:t>
      </w:r>
      <w:r w:rsidR="002B0F0B">
        <w:t xml:space="preserve">and establish the estimated time required to complete each data collection instrument. </w:t>
      </w:r>
    </w:p>
    <w:p w14:paraId="083519D1" w14:textId="77777777" w:rsidR="002B0F0B" w:rsidRDefault="002B0F0B" w:rsidP="00CF58BB">
      <w:pPr>
        <w:spacing w:after="0"/>
      </w:pPr>
    </w:p>
    <w:p w14:paraId="2DD975F5" w14:textId="4EB1A72B" w:rsidR="005E4BDB" w:rsidRPr="00E806AD" w:rsidRDefault="00476384" w:rsidP="002B0F0B">
      <w:pPr>
        <w:spacing w:after="0"/>
      </w:pPr>
      <w:r w:rsidRPr="00246536">
        <w:t xml:space="preserve">CDC </w:t>
      </w:r>
      <w:r w:rsidR="00375785" w:rsidRPr="00375785">
        <w:t xml:space="preserve">will </w:t>
      </w:r>
      <w:r w:rsidR="00766CFB">
        <w:t>supplement the</w:t>
      </w:r>
      <w:r w:rsidR="005E4BDB" w:rsidRPr="00246536">
        <w:t xml:space="preserve"> online</w:t>
      </w:r>
      <w:r w:rsidR="00766CFB">
        <w:t xml:space="preserve"> assessment with</w:t>
      </w:r>
      <w:r w:rsidR="005E4BDB" w:rsidRPr="00246536">
        <w:t xml:space="preserve"> </w:t>
      </w:r>
      <w:r w:rsidR="00766CFB">
        <w:t>a more in depth</w:t>
      </w:r>
      <w:r w:rsidR="00766CFB" w:rsidRPr="00246536">
        <w:t xml:space="preserve"> </w:t>
      </w:r>
      <w:r w:rsidR="005E4BDB" w:rsidRPr="00246536">
        <w:t xml:space="preserve">interview data collection </w:t>
      </w:r>
      <w:r w:rsidRPr="00246536">
        <w:t>to gather detailed information on each of the 64 grantees</w:t>
      </w:r>
      <w:r w:rsidR="005E4BDB" w:rsidRPr="00246536">
        <w:t xml:space="preserve">. The interview data collection </w:t>
      </w:r>
      <w:r w:rsidR="00FB3D5D" w:rsidRPr="00246536">
        <w:t xml:space="preserve">will be conducted after the online data collection and </w:t>
      </w:r>
      <w:r w:rsidR="005E4BDB" w:rsidRPr="00246536">
        <w:t>is designed to provide additional detail that investigators are unable to garner from online data collection alone</w:t>
      </w:r>
      <w:r w:rsidR="00EF5DE8" w:rsidRPr="00246536">
        <w:t>.</w:t>
      </w:r>
      <w:r w:rsidR="005E4BDB" w:rsidRPr="00246536">
        <w:t xml:space="preserve"> </w:t>
      </w:r>
      <w:r w:rsidR="00792E68" w:rsidRPr="00246536">
        <w:t xml:space="preserve">The online data collection will provide structured data that will enable analysis and comparison based on a common set of data elements.  The interviews will then provide a basis for a more contextual understanding of the unique nature and issues of each IIS, and will </w:t>
      </w:r>
      <w:r w:rsidR="00792E68" w:rsidRPr="00246536">
        <w:lastRenderedPageBreak/>
        <w:t>provide clarification and validation of any ambiguous responses</w:t>
      </w:r>
      <w:r w:rsidR="00D04546" w:rsidRPr="00246536">
        <w:t xml:space="preserve"> or skip questions thoroughly answered</w:t>
      </w:r>
      <w:r w:rsidR="00792E68" w:rsidRPr="00246536">
        <w:t xml:space="preserve"> in the </w:t>
      </w:r>
      <w:r w:rsidR="00AE5D2E">
        <w:t>assessment</w:t>
      </w:r>
      <w:r w:rsidR="00D04546" w:rsidRPr="00246536">
        <w:t>,</w:t>
      </w:r>
      <w:r w:rsidR="00792E68" w:rsidRPr="00246536">
        <w:t xml:space="preserve"> thereby reducing the burden on respondents.</w:t>
      </w:r>
    </w:p>
    <w:p w14:paraId="07F79F22" w14:textId="77777777" w:rsidR="00476384" w:rsidRDefault="00476384" w:rsidP="001C0CF0">
      <w:pPr>
        <w:spacing w:after="0"/>
        <w:rPr>
          <w:rFonts w:asciiTheme="majorHAnsi" w:hAnsiTheme="majorHAnsi"/>
          <w:u w:val="single"/>
        </w:rPr>
      </w:pPr>
    </w:p>
    <w:p w14:paraId="557A90A9" w14:textId="77777777" w:rsidR="00793731" w:rsidRPr="00E806AD" w:rsidRDefault="006102DA" w:rsidP="006A0734">
      <w:pPr>
        <w:spacing w:after="0"/>
        <w:ind w:left="90"/>
      </w:pPr>
      <w:r w:rsidRPr="00E806AD">
        <w:rPr>
          <w:u w:val="single"/>
        </w:rPr>
        <w:t xml:space="preserve">Items of Information to be </w:t>
      </w:r>
      <w:proofErr w:type="gramStart"/>
      <w:r w:rsidRPr="00E806AD">
        <w:rPr>
          <w:u w:val="single"/>
        </w:rPr>
        <w:t>Collected</w:t>
      </w:r>
      <w:proofErr w:type="gramEnd"/>
    </w:p>
    <w:p w14:paraId="3C4FE4D4" w14:textId="081F45B6" w:rsidR="00793731" w:rsidRPr="00E806AD" w:rsidRDefault="00793731" w:rsidP="002B0F0B">
      <w:pPr>
        <w:spacing w:after="0"/>
        <w:ind w:left="90"/>
      </w:pPr>
      <w:r w:rsidRPr="00E806AD">
        <w:t xml:space="preserve">The </w:t>
      </w:r>
      <w:r w:rsidR="008367AF">
        <w:t xml:space="preserve">online data collection </w:t>
      </w:r>
      <w:r w:rsidRPr="00E806AD">
        <w:t xml:space="preserve">instrument consists of </w:t>
      </w:r>
      <w:r w:rsidR="00BC3C49">
        <w:t>2</w:t>
      </w:r>
      <w:r w:rsidR="004B4AED">
        <w:t>7</w:t>
      </w:r>
      <w:r w:rsidRPr="00E806AD">
        <w:t xml:space="preserve"> questions of various types, including dichotomous, multiple response, and open-ended. A significant effort was made to limit questions requiring narrative responses and to include narrative optional questions for respondents to elaborate on their feedback if they choose to do so. The assessment will collect information on the following:</w:t>
      </w:r>
    </w:p>
    <w:p w14:paraId="600A757A" w14:textId="77777777" w:rsidR="00793731" w:rsidRPr="00E806AD" w:rsidRDefault="00793731" w:rsidP="006A0734">
      <w:pPr>
        <w:spacing w:after="0"/>
      </w:pPr>
    </w:p>
    <w:p w14:paraId="71FD03C9" w14:textId="0F46E89A" w:rsidR="00707927" w:rsidRPr="00FB09C2" w:rsidRDefault="00793731" w:rsidP="00B5735E">
      <w:pPr>
        <w:pStyle w:val="ListParagraph"/>
        <w:numPr>
          <w:ilvl w:val="0"/>
          <w:numId w:val="10"/>
        </w:numPr>
        <w:rPr>
          <w:color w:val="1F497D"/>
        </w:rPr>
      </w:pPr>
      <w:r w:rsidRPr="00FB09C2">
        <w:rPr>
          <w:b/>
        </w:rPr>
        <w:t xml:space="preserve">Process and Functionality </w:t>
      </w:r>
      <w:r w:rsidRPr="000A1705">
        <w:t>(questions 1-</w:t>
      </w:r>
      <w:r w:rsidR="00330F88" w:rsidRPr="000A1705">
        <w:t>10</w:t>
      </w:r>
      <w:r w:rsidRPr="000A1705">
        <w:t>);</w:t>
      </w:r>
      <w:r w:rsidR="007507A3" w:rsidRPr="000A1705">
        <w:t xml:space="preserve"> Information from respondents </w:t>
      </w:r>
      <w:r w:rsidR="008367AF" w:rsidRPr="000A1705">
        <w:t xml:space="preserve">rating the degree </w:t>
      </w:r>
      <w:r w:rsidR="00707927" w:rsidRPr="000A1705">
        <w:t>to which IIS needs are met by the IIS services and the feasibility of sharing different IIS services with other IIS</w:t>
      </w:r>
      <w:r w:rsidR="00707927">
        <w:t xml:space="preserve"> programs.</w:t>
      </w:r>
    </w:p>
    <w:p w14:paraId="420C88F9" w14:textId="1C569375" w:rsidR="00793731" w:rsidRPr="009A2A27" w:rsidRDefault="00793731" w:rsidP="00572E9A">
      <w:pPr>
        <w:pStyle w:val="ListParagraph"/>
        <w:numPr>
          <w:ilvl w:val="0"/>
          <w:numId w:val="10"/>
        </w:numPr>
        <w:spacing w:after="120"/>
        <w:contextualSpacing w:val="0"/>
      </w:pPr>
      <w:r w:rsidRPr="00707927">
        <w:rPr>
          <w:b/>
        </w:rPr>
        <w:t>Financials</w:t>
      </w:r>
      <w:r w:rsidR="00AA338A" w:rsidRPr="009A2A27">
        <w:t xml:space="preserve"> (questions</w:t>
      </w:r>
      <w:r w:rsidR="00616542" w:rsidRPr="009A2A27">
        <w:t xml:space="preserve"> </w:t>
      </w:r>
      <w:r w:rsidR="00BC3C49">
        <w:t>1</w:t>
      </w:r>
      <w:r w:rsidR="00330F88">
        <w:t>1</w:t>
      </w:r>
      <w:r w:rsidR="00BC3C49">
        <w:t>-2</w:t>
      </w:r>
      <w:r w:rsidR="004B4AED">
        <w:t>3</w:t>
      </w:r>
      <w:r w:rsidRPr="009A2A27">
        <w:t>);</w:t>
      </w:r>
      <w:r w:rsidR="007507A3" w:rsidRPr="009A2A27">
        <w:t xml:space="preserve"> Explanation of development, maintenance, and operational costs, current and planned funding sources</w:t>
      </w:r>
      <w:r w:rsidR="00D40A86">
        <w:t>.</w:t>
      </w:r>
    </w:p>
    <w:p w14:paraId="749C3584" w14:textId="056279AD" w:rsidR="00686968" w:rsidRDefault="00AE5D2E" w:rsidP="00686968">
      <w:pPr>
        <w:pStyle w:val="ListParagraph"/>
        <w:numPr>
          <w:ilvl w:val="0"/>
          <w:numId w:val="10"/>
        </w:numPr>
        <w:spacing w:after="120"/>
        <w:contextualSpacing w:val="0"/>
      </w:pPr>
      <w:r>
        <w:rPr>
          <w:b/>
        </w:rPr>
        <w:t>Assessment</w:t>
      </w:r>
      <w:r w:rsidR="00AC1A04" w:rsidRPr="00686968">
        <w:rPr>
          <w:b/>
        </w:rPr>
        <w:t xml:space="preserve"> Feedback</w:t>
      </w:r>
      <w:r w:rsidR="00D40A86" w:rsidRPr="009A2A27">
        <w:t xml:space="preserve"> (</w:t>
      </w:r>
      <w:r w:rsidR="00AA338A" w:rsidRPr="009A2A27">
        <w:t xml:space="preserve">questions </w:t>
      </w:r>
      <w:r w:rsidR="00BC3C49">
        <w:t>2</w:t>
      </w:r>
      <w:r w:rsidR="004B4AED">
        <w:t>4</w:t>
      </w:r>
      <w:r w:rsidR="00AC1A04">
        <w:t>-2</w:t>
      </w:r>
      <w:r w:rsidR="004B4AED">
        <w:t>7</w:t>
      </w:r>
      <w:r w:rsidR="00AA338A" w:rsidRPr="009A2A27">
        <w:t>)</w:t>
      </w:r>
      <w:r w:rsidR="007507A3" w:rsidRPr="009A2A27">
        <w:t xml:space="preserve">; </w:t>
      </w:r>
      <w:r w:rsidR="00686968">
        <w:t xml:space="preserve">Solicitation of respondent feedback on </w:t>
      </w:r>
      <w:r>
        <w:t>asse</w:t>
      </w:r>
      <w:r w:rsidR="00BF6409">
        <w:t>ss</w:t>
      </w:r>
      <w:r>
        <w:t>ment</w:t>
      </w:r>
      <w:r w:rsidR="00686968">
        <w:t xml:space="preserve"> questions and methodology.</w:t>
      </w:r>
    </w:p>
    <w:p w14:paraId="74A548EF" w14:textId="27BDFBBF" w:rsidR="00FB3D5D" w:rsidRPr="00E806AD" w:rsidRDefault="00686968" w:rsidP="00686968">
      <w:pPr>
        <w:pStyle w:val="ListParagraph"/>
        <w:spacing w:after="120"/>
        <w:contextualSpacing w:val="0"/>
      </w:pPr>
      <w:r w:rsidRPr="00E806AD">
        <w:t xml:space="preserve"> </w:t>
      </w:r>
    </w:p>
    <w:p w14:paraId="0F7F4168" w14:textId="04C5F339" w:rsidR="00793731" w:rsidRPr="00E806AD" w:rsidRDefault="00793731" w:rsidP="006A0734">
      <w:pPr>
        <w:spacing w:after="0"/>
        <w:ind w:left="90"/>
      </w:pPr>
      <w:r w:rsidRPr="00E806AD">
        <w:t xml:space="preserve">The interview data collection instrument consists </w:t>
      </w:r>
      <w:r w:rsidRPr="005B38C7">
        <w:t xml:space="preserve">of </w:t>
      </w:r>
      <w:r w:rsidR="00AC1A04">
        <w:t>15</w:t>
      </w:r>
      <w:r w:rsidRPr="00E806AD">
        <w:t xml:space="preserve"> questions of various types, including </w:t>
      </w:r>
      <w:r w:rsidR="005E4BDB">
        <w:t xml:space="preserve">multiple response </w:t>
      </w:r>
      <w:r w:rsidRPr="00E806AD">
        <w:t xml:space="preserve">and open-ended. </w:t>
      </w:r>
      <w:r w:rsidR="0081155F">
        <w:t>B</w:t>
      </w:r>
      <w:r w:rsidR="0081155F" w:rsidRPr="00E806AD">
        <w:t xml:space="preserve">ased on </w:t>
      </w:r>
      <w:r w:rsidR="0081155F">
        <w:t xml:space="preserve">completeness of the </w:t>
      </w:r>
      <w:r w:rsidR="0081155F" w:rsidRPr="00E806AD">
        <w:t>information collected from the respondent in the online data collection instrument</w:t>
      </w:r>
      <w:r w:rsidR="00BC3C49">
        <w:t xml:space="preserve">, </w:t>
      </w:r>
      <w:r w:rsidR="00BC3C49" w:rsidRPr="00E806AD">
        <w:t>the</w:t>
      </w:r>
      <w:r w:rsidR="0081155F" w:rsidRPr="00E806AD">
        <w:t xml:space="preserve"> investigator will tailor or skip </w:t>
      </w:r>
      <w:r w:rsidR="0081155F">
        <w:t>t</w:t>
      </w:r>
      <w:r w:rsidRPr="00E806AD">
        <w:t xml:space="preserve">he open-ended questions </w:t>
      </w:r>
      <w:r w:rsidR="0081155F">
        <w:t xml:space="preserve">in the interview </w:t>
      </w:r>
      <w:r w:rsidR="0081155F" w:rsidRPr="00E806AD">
        <w:t>data collection instrument</w:t>
      </w:r>
      <w:r w:rsidR="0081155F">
        <w:t>.</w:t>
      </w:r>
      <w:r w:rsidR="0081155F" w:rsidRPr="00E806AD">
        <w:t xml:space="preserve"> </w:t>
      </w:r>
      <w:r w:rsidRPr="00E806AD">
        <w:t xml:space="preserve"> The assessment will collect information on the following:</w:t>
      </w:r>
    </w:p>
    <w:p w14:paraId="1FFCDBB2" w14:textId="77777777" w:rsidR="00793731" w:rsidRPr="00E806AD" w:rsidRDefault="00793731" w:rsidP="006A0734">
      <w:pPr>
        <w:spacing w:after="0"/>
        <w:ind w:left="90"/>
      </w:pPr>
    </w:p>
    <w:p w14:paraId="4284F5E2" w14:textId="0EFEBB61" w:rsidR="00793731" w:rsidRPr="009A2A27" w:rsidRDefault="00793731" w:rsidP="00572E9A">
      <w:pPr>
        <w:pStyle w:val="ListParagraph"/>
        <w:numPr>
          <w:ilvl w:val="0"/>
          <w:numId w:val="11"/>
        </w:numPr>
        <w:spacing w:after="120"/>
        <w:contextualSpacing w:val="0"/>
      </w:pPr>
      <w:r w:rsidRPr="009A2A27">
        <w:rPr>
          <w:b/>
        </w:rPr>
        <w:t xml:space="preserve">Process and </w:t>
      </w:r>
      <w:r w:rsidR="00AA338A" w:rsidRPr="009A2A27">
        <w:rPr>
          <w:b/>
        </w:rPr>
        <w:t>Organization</w:t>
      </w:r>
      <w:r w:rsidRPr="009A2A27">
        <w:t xml:space="preserve"> (questions 1-</w:t>
      </w:r>
      <w:r w:rsidR="00BC3C49">
        <w:t>6</w:t>
      </w:r>
      <w:r w:rsidRPr="009A2A27">
        <w:t>);</w:t>
      </w:r>
      <w:r w:rsidR="008367AF" w:rsidRPr="009A2A27">
        <w:t xml:space="preserve"> Description of any new process/quality initiatives</w:t>
      </w:r>
      <w:r w:rsidR="00AB0C19" w:rsidRPr="009A2A27">
        <w:t xml:space="preserve"> based on unique functions identified in online data collection. Respondent’s </w:t>
      </w:r>
      <w:r w:rsidR="008367AF" w:rsidRPr="009A2A27">
        <w:t xml:space="preserve">explanation of the relationship with the </w:t>
      </w:r>
      <w:r w:rsidR="00D40A86">
        <w:t>jurisdiction’s</w:t>
      </w:r>
      <w:r w:rsidR="008367AF" w:rsidRPr="009A2A27">
        <w:t xml:space="preserve"> immunization program and public health program</w:t>
      </w:r>
      <w:r w:rsidR="00D40A86">
        <w:t>.</w:t>
      </w:r>
    </w:p>
    <w:p w14:paraId="01D9BE1D" w14:textId="5D5BD68D" w:rsidR="00793731" w:rsidRPr="009A2A27" w:rsidRDefault="00793731" w:rsidP="00572E9A">
      <w:pPr>
        <w:pStyle w:val="ListParagraph"/>
        <w:numPr>
          <w:ilvl w:val="0"/>
          <w:numId w:val="11"/>
        </w:numPr>
        <w:spacing w:after="120"/>
        <w:contextualSpacing w:val="0"/>
      </w:pPr>
      <w:r w:rsidRPr="009A2A27">
        <w:rPr>
          <w:b/>
        </w:rPr>
        <w:t>Stakeholder Relationship</w:t>
      </w:r>
      <w:r w:rsidR="00AA338A" w:rsidRPr="009A2A27">
        <w:rPr>
          <w:b/>
        </w:rPr>
        <w:t>s</w:t>
      </w:r>
      <w:r w:rsidRPr="009A2A27">
        <w:t xml:space="preserve"> (questions </w:t>
      </w:r>
      <w:r w:rsidR="00AC1A04">
        <w:t>7-9</w:t>
      </w:r>
      <w:r w:rsidRPr="009A2A27">
        <w:t>)</w:t>
      </w:r>
      <w:r w:rsidR="00AB0C19" w:rsidRPr="009A2A27">
        <w:t>; Explanation</w:t>
      </w:r>
      <w:r w:rsidR="00D40A86">
        <w:t xml:space="preserve"> of respondent’s </w:t>
      </w:r>
      <w:r w:rsidR="00AB0C19" w:rsidRPr="009A2A27">
        <w:t xml:space="preserve">perception of </w:t>
      </w:r>
      <w:r w:rsidR="00D40A86">
        <w:t xml:space="preserve">IIS </w:t>
      </w:r>
      <w:r w:rsidR="00AB0C19" w:rsidRPr="009A2A27">
        <w:t>value to stakeholder</w:t>
      </w:r>
      <w:r w:rsidR="00D40A86">
        <w:t>s</w:t>
      </w:r>
      <w:r w:rsidR="00AB0C19" w:rsidRPr="009A2A27">
        <w:t xml:space="preserve">. </w:t>
      </w:r>
      <w:r w:rsidR="00FB3D5D">
        <w:t>Elaboration</w:t>
      </w:r>
      <w:r w:rsidR="00AB0C19" w:rsidRPr="009A2A27">
        <w:t xml:space="preserve"> on the successes/challenges identified in the online data collection</w:t>
      </w:r>
      <w:r w:rsidR="00D40A86">
        <w:t>.</w:t>
      </w:r>
    </w:p>
    <w:p w14:paraId="195F1E4D" w14:textId="5F853D89" w:rsidR="00793731" w:rsidRPr="009A2A27" w:rsidRDefault="00793731" w:rsidP="00572E9A">
      <w:pPr>
        <w:pStyle w:val="ListParagraph"/>
        <w:numPr>
          <w:ilvl w:val="0"/>
          <w:numId w:val="11"/>
        </w:numPr>
        <w:spacing w:after="120"/>
        <w:contextualSpacing w:val="0"/>
      </w:pPr>
      <w:r w:rsidRPr="009A2A27">
        <w:rPr>
          <w:b/>
        </w:rPr>
        <w:t>Financials</w:t>
      </w:r>
      <w:r w:rsidR="00AA338A" w:rsidRPr="009A2A27">
        <w:rPr>
          <w:b/>
        </w:rPr>
        <w:t xml:space="preserve"> </w:t>
      </w:r>
      <w:r w:rsidR="00BC3C49">
        <w:t>(questions 1</w:t>
      </w:r>
      <w:r w:rsidR="00AC1A04">
        <w:t>0</w:t>
      </w:r>
      <w:r w:rsidR="00BC3C49">
        <w:t>-1</w:t>
      </w:r>
      <w:r w:rsidR="00330F88">
        <w:t>2</w:t>
      </w:r>
      <w:r w:rsidRPr="009A2A27">
        <w:t>);</w:t>
      </w:r>
      <w:r w:rsidR="00AB0C19" w:rsidRPr="009A2A27">
        <w:t xml:space="preserve"> </w:t>
      </w:r>
      <w:r w:rsidR="00D40A86">
        <w:t>Clarification</w:t>
      </w:r>
      <w:r w:rsidR="00AB0C19" w:rsidRPr="009A2A27">
        <w:t xml:space="preserve"> on financial information listed in online data collection,</w:t>
      </w:r>
      <w:r w:rsidR="00FB3D5D">
        <w:t xml:space="preserve"> and</w:t>
      </w:r>
      <w:r w:rsidR="00AB0C19" w:rsidRPr="009A2A27">
        <w:t xml:space="preserve"> lessons learned from attempts to secure alternative funding</w:t>
      </w:r>
      <w:r w:rsidR="00D40A86">
        <w:t>.</w:t>
      </w:r>
    </w:p>
    <w:p w14:paraId="1E8C2D19" w14:textId="1048E856" w:rsidR="00AA338A" w:rsidRPr="00E806AD" w:rsidRDefault="00BC3C49" w:rsidP="00BC3C49">
      <w:pPr>
        <w:pStyle w:val="ListParagraph"/>
        <w:numPr>
          <w:ilvl w:val="0"/>
          <w:numId w:val="11"/>
        </w:numPr>
        <w:spacing w:after="120"/>
        <w:contextualSpacing w:val="0"/>
      </w:pPr>
      <w:r>
        <w:rPr>
          <w:b/>
        </w:rPr>
        <w:t>IIS Environment</w:t>
      </w:r>
      <w:r w:rsidR="00AA338A" w:rsidRPr="009A2A27">
        <w:t xml:space="preserve"> (</w:t>
      </w:r>
      <w:r w:rsidR="00793731" w:rsidRPr="009A2A27">
        <w:t xml:space="preserve">questions </w:t>
      </w:r>
      <w:r>
        <w:t>1</w:t>
      </w:r>
      <w:r w:rsidR="00AC1A04">
        <w:t>3</w:t>
      </w:r>
      <w:r w:rsidR="00793731" w:rsidRPr="009A2A27">
        <w:t>-</w:t>
      </w:r>
      <w:r w:rsidR="00AC1A04">
        <w:t>15</w:t>
      </w:r>
      <w:r w:rsidR="00793731" w:rsidRPr="009A2A27">
        <w:t>)</w:t>
      </w:r>
      <w:r w:rsidR="007507A3" w:rsidRPr="009A2A27">
        <w:t xml:space="preserve">; </w:t>
      </w:r>
      <w:r w:rsidR="00AB0C19" w:rsidRPr="009A2A27">
        <w:t>Description</w:t>
      </w:r>
      <w:r w:rsidR="00AB0C19">
        <w:t xml:space="preserve"> of the effect of </w:t>
      </w:r>
      <w:r>
        <w:t xml:space="preserve">possible changes to the </w:t>
      </w:r>
      <w:r w:rsidR="00AB0C19">
        <w:t>jurisdiction’s legal framework on IIS operation</w:t>
      </w:r>
      <w:r>
        <w:t>. Explanation of the</w:t>
      </w:r>
      <w:r w:rsidR="00AB0C19">
        <w:t xml:space="preserve"> advantages/constraints of IIS technological setup</w:t>
      </w:r>
      <w:r>
        <w:t>.</w:t>
      </w:r>
    </w:p>
    <w:p w14:paraId="7236E008" w14:textId="77777777" w:rsidR="003403D9" w:rsidRDefault="003403D9" w:rsidP="006A0734">
      <w:pPr>
        <w:spacing w:after="0"/>
        <w:ind w:left="60"/>
        <w:rPr>
          <w:u w:val="single"/>
        </w:rPr>
      </w:pPr>
    </w:p>
    <w:p w14:paraId="3E3D986E" w14:textId="77777777" w:rsidR="00E806AD" w:rsidRDefault="006102DA" w:rsidP="006A0734">
      <w:pPr>
        <w:spacing w:after="0"/>
        <w:ind w:left="60"/>
      </w:pPr>
      <w:r w:rsidRPr="00E806AD">
        <w:rPr>
          <w:u w:val="single"/>
        </w:rPr>
        <w:t>Identification of Website(s) and Website Content Directed at Children Under 13 Years of Age</w:t>
      </w:r>
    </w:p>
    <w:p w14:paraId="5C0D81CF" w14:textId="77777777" w:rsidR="00F52BCC" w:rsidRDefault="00E806AD" w:rsidP="006A0734">
      <w:pPr>
        <w:spacing w:after="0"/>
        <w:ind w:left="60"/>
      </w:pPr>
      <w:r w:rsidRPr="00E806AD">
        <w:t>The data collection system involves using a web-based data collection instrument. Respondents will be sent a link directing them to the online assessment only (i.e., not a website). No website content will be directed at children.</w:t>
      </w:r>
    </w:p>
    <w:p w14:paraId="410BCD10" w14:textId="77777777" w:rsidR="00A345A6" w:rsidRDefault="00A345A6" w:rsidP="006A0734">
      <w:pPr>
        <w:spacing w:after="0"/>
        <w:ind w:left="60"/>
      </w:pPr>
    </w:p>
    <w:p w14:paraId="0D39D7D7" w14:textId="77777777" w:rsidR="00E806AD" w:rsidRPr="00F52BCC" w:rsidRDefault="00E806AD" w:rsidP="00F52BCC">
      <w:pPr>
        <w:spacing w:after="0"/>
        <w:ind w:left="720"/>
        <w:rPr>
          <w:rFonts w:asciiTheme="majorHAnsi" w:hAnsiTheme="majorHAnsi"/>
        </w:rPr>
      </w:pPr>
    </w:p>
    <w:p w14:paraId="7F1A0D52" w14:textId="77777777" w:rsidR="00CF71E4" w:rsidRPr="003403D9" w:rsidRDefault="00B12F51" w:rsidP="00572E9A">
      <w:pPr>
        <w:pStyle w:val="ListParagraph"/>
        <w:numPr>
          <w:ilvl w:val="0"/>
          <w:numId w:val="1"/>
        </w:numPr>
        <w:spacing w:after="0"/>
        <w:ind w:left="360"/>
        <w:rPr>
          <w:rFonts w:asciiTheme="majorHAnsi" w:hAnsiTheme="majorHAnsi"/>
          <w:b/>
        </w:rPr>
      </w:pPr>
      <w:r w:rsidRPr="003403D9">
        <w:rPr>
          <w:rFonts w:asciiTheme="majorHAnsi" w:hAnsiTheme="majorHAnsi"/>
          <w:b/>
        </w:rPr>
        <w:lastRenderedPageBreak/>
        <w:t>Purpose and Use of the Information Collection</w:t>
      </w:r>
    </w:p>
    <w:p w14:paraId="734EF96E" w14:textId="77777777" w:rsidR="00665194" w:rsidRDefault="00C51A09" w:rsidP="00916845">
      <w:pPr>
        <w:pStyle w:val="Header"/>
        <w:spacing w:line="276" w:lineRule="auto"/>
      </w:pPr>
      <w:r w:rsidRPr="00C51A09">
        <w:t xml:space="preserve">The purpose of this information collection is to develop a better understanding of information specific to </w:t>
      </w:r>
      <w:r w:rsidR="003716E4">
        <w:t>services and value of immunization information s</w:t>
      </w:r>
      <w:r>
        <w:t>ystems</w:t>
      </w:r>
      <w:r w:rsidRPr="00C51A09">
        <w:t xml:space="preserve">. </w:t>
      </w:r>
      <w:r w:rsidR="00665194">
        <w:t>In addition, the data collection will</w:t>
      </w:r>
      <w:r w:rsidR="00665194" w:rsidRPr="0036473C">
        <w:t xml:space="preserve"> create a unified view of existing and potential value in IIS operations to identify shared service opportunities, develop a core funding model, and identify alternative funding sources</w:t>
      </w:r>
      <w:r w:rsidR="00665194">
        <w:t xml:space="preserve">. </w:t>
      </w:r>
    </w:p>
    <w:p w14:paraId="7349C71A" w14:textId="77777777" w:rsidR="00665194" w:rsidRDefault="00665194" w:rsidP="00916845">
      <w:pPr>
        <w:pStyle w:val="Header"/>
        <w:spacing w:line="276" w:lineRule="auto"/>
      </w:pPr>
    </w:p>
    <w:p w14:paraId="6C540843" w14:textId="37C3F2E3" w:rsidR="00916845" w:rsidRPr="0036473C" w:rsidRDefault="00C51A09" w:rsidP="00916845">
      <w:pPr>
        <w:pStyle w:val="Header"/>
        <w:spacing w:line="276" w:lineRule="auto"/>
      </w:pPr>
      <w:r w:rsidRPr="00C51A09">
        <w:t xml:space="preserve">Information derived from this assessment will help inform both </w:t>
      </w:r>
      <w:r>
        <w:t xml:space="preserve">CDC and the </w:t>
      </w:r>
      <w:r w:rsidR="00065FA0">
        <w:t xml:space="preserve">state/local/territorial </w:t>
      </w:r>
      <w:r>
        <w:t>public health officials responsible for IIS day-to-day operations</w:t>
      </w:r>
      <w:r w:rsidRPr="00C51A09">
        <w:t xml:space="preserve">. </w:t>
      </w:r>
      <w:r w:rsidR="00F85F75">
        <w:t>More i</w:t>
      </w:r>
      <w:r w:rsidRPr="00C51A09">
        <w:t xml:space="preserve">mportantly, it will be used to </w:t>
      </w:r>
      <w:r>
        <w:t>inform sustainability recommendations for CDC strategic planning for IIS</w:t>
      </w:r>
      <w:r w:rsidRPr="00C51A09">
        <w:t xml:space="preserve">. Results of the assessment will be used to strengthen relationships between the public health departments and its </w:t>
      </w:r>
      <w:r>
        <w:t>immunizing</w:t>
      </w:r>
      <w:r w:rsidRPr="00C51A09">
        <w:t xml:space="preserve"> partners, enhance the impact and effectiveness of the </w:t>
      </w:r>
      <w:r>
        <w:t xml:space="preserve">IIS, </w:t>
      </w:r>
      <w:r w:rsidR="00603975">
        <w:t xml:space="preserve">and </w:t>
      </w:r>
      <w:r w:rsidRPr="00C51A09">
        <w:t xml:space="preserve">strengthen the support for </w:t>
      </w:r>
      <w:r>
        <w:t>IIS across the healthcare community</w:t>
      </w:r>
      <w:r w:rsidR="00603975">
        <w:t xml:space="preserve">. </w:t>
      </w:r>
      <w:r w:rsidR="002760A8">
        <w:t xml:space="preserve"> </w:t>
      </w:r>
      <w:r w:rsidR="00916845">
        <w:t>CDC is conducting a</w:t>
      </w:r>
      <w:r w:rsidR="00916845" w:rsidRPr="0036473C">
        <w:t xml:space="preserve"> </w:t>
      </w:r>
      <w:r w:rsidR="00916845">
        <w:t xml:space="preserve">thorough </w:t>
      </w:r>
      <w:r w:rsidR="00916845" w:rsidRPr="0036473C">
        <w:t xml:space="preserve">assessment </w:t>
      </w:r>
      <w:r w:rsidR="004B1746">
        <w:t xml:space="preserve">of IIS services and value </w:t>
      </w:r>
      <w:r w:rsidR="00916845" w:rsidRPr="0036473C">
        <w:t xml:space="preserve">across the following </w:t>
      </w:r>
      <w:r w:rsidR="002760A8">
        <w:t>categori</w:t>
      </w:r>
      <w:r w:rsidR="00916845" w:rsidRPr="0036473C">
        <w:t>es</w:t>
      </w:r>
      <w:r w:rsidR="00FB3D5D">
        <w:t xml:space="preserve"> to</w:t>
      </w:r>
      <w:r w:rsidR="00916845" w:rsidRPr="0036473C">
        <w:t>:</w:t>
      </w:r>
    </w:p>
    <w:p w14:paraId="6ECDEB32" w14:textId="77777777" w:rsidR="00916845" w:rsidRPr="0036473C" w:rsidRDefault="00916845" w:rsidP="00916845">
      <w:pPr>
        <w:pStyle w:val="Header"/>
        <w:tabs>
          <w:tab w:val="clear" w:pos="4680"/>
        </w:tabs>
        <w:spacing w:line="276" w:lineRule="auto"/>
      </w:pPr>
    </w:p>
    <w:p w14:paraId="71EA48F8" w14:textId="3A1E1DB4" w:rsidR="002760A8" w:rsidRPr="004B1746" w:rsidRDefault="00916845" w:rsidP="00572E9A">
      <w:pPr>
        <w:pStyle w:val="ListParagraph"/>
        <w:numPr>
          <w:ilvl w:val="0"/>
          <w:numId w:val="12"/>
        </w:numPr>
        <w:spacing w:after="120"/>
        <w:contextualSpacing w:val="0"/>
        <w:rPr>
          <w:b/>
        </w:rPr>
      </w:pPr>
      <w:r w:rsidRPr="0036473C">
        <w:rPr>
          <w:b/>
        </w:rPr>
        <w:t>Process and Functionality</w:t>
      </w:r>
      <w:r w:rsidRPr="0036473C">
        <w:t xml:space="preserve">: </w:t>
      </w:r>
      <w:r w:rsidR="00FB3D5D" w:rsidRPr="0036473C">
        <w:t>Identify candidate services and functions for modularizing and sharing</w:t>
      </w:r>
      <w:r w:rsidR="002760A8" w:rsidRPr="003716E4">
        <w:t>.</w:t>
      </w:r>
    </w:p>
    <w:p w14:paraId="575BF1AC" w14:textId="1B37B718" w:rsidR="00916845" w:rsidRPr="0036473C" w:rsidRDefault="00916845" w:rsidP="00572E9A">
      <w:pPr>
        <w:pStyle w:val="ListParagraph"/>
        <w:numPr>
          <w:ilvl w:val="0"/>
          <w:numId w:val="12"/>
        </w:numPr>
        <w:spacing w:after="120"/>
        <w:contextualSpacing w:val="0"/>
        <w:rPr>
          <w:b/>
        </w:rPr>
      </w:pPr>
      <w:r w:rsidRPr="0036473C">
        <w:rPr>
          <w:b/>
        </w:rPr>
        <w:t>Stakeholder Relationship with an IIS</w:t>
      </w:r>
      <w:r w:rsidRPr="0036473C">
        <w:t xml:space="preserve">: </w:t>
      </w:r>
      <w:r w:rsidR="00FB3D5D">
        <w:t>Identify who values IIS</w:t>
      </w:r>
      <w:r w:rsidR="00FB3D5D" w:rsidRPr="0036473C">
        <w:t xml:space="preserve"> and why (i.e., identify IIS customers and beneficiaries and the services they receive and value).</w:t>
      </w:r>
    </w:p>
    <w:p w14:paraId="7D532647" w14:textId="00A01395" w:rsidR="00916845" w:rsidRPr="0036473C" w:rsidRDefault="00916845" w:rsidP="00572E9A">
      <w:pPr>
        <w:pStyle w:val="Header"/>
        <w:numPr>
          <w:ilvl w:val="0"/>
          <w:numId w:val="12"/>
        </w:numPr>
        <w:tabs>
          <w:tab w:val="clear" w:pos="4680"/>
        </w:tabs>
        <w:spacing w:after="120" w:line="276" w:lineRule="auto"/>
      </w:pPr>
      <w:r w:rsidRPr="0036473C">
        <w:rPr>
          <w:b/>
        </w:rPr>
        <w:t>Financials</w:t>
      </w:r>
      <w:r w:rsidRPr="0036473C">
        <w:t xml:space="preserve">: Understand the IIS grantee </w:t>
      </w:r>
      <w:r w:rsidR="004B1746">
        <w:t xml:space="preserve">current </w:t>
      </w:r>
      <w:r w:rsidRPr="0036473C">
        <w:t>financial situation, including major costs, funding sources, cost saving initiatives, and attempts to secure additional funding</w:t>
      </w:r>
      <w:r w:rsidR="002760A8">
        <w:t xml:space="preserve">. </w:t>
      </w:r>
    </w:p>
    <w:p w14:paraId="480B7158" w14:textId="77777777" w:rsidR="00EF5DE8" w:rsidRPr="00C51A09" w:rsidRDefault="00EF5DE8" w:rsidP="00EF5DE8">
      <w:pPr>
        <w:pStyle w:val="ListParagraph"/>
        <w:ind w:left="360"/>
      </w:pPr>
    </w:p>
    <w:p w14:paraId="3876F6C3" w14:textId="28F30E91" w:rsidR="00D830D3" w:rsidRPr="002760A8" w:rsidRDefault="003716E4" w:rsidP="00E806AD">
      <w:pPr>
        <w:pStyle w:val="ListParagraph"/>
        <w:spacing w:after="0"/>
        <w:ind w:left="0"/>
      </w:pPr>
      <w:r w:rsidRPr="003716E4">
        <w:t xml:space="preserve">Furthermore, the results from this assessment will be used to </w:t>
      </w:r>
      <w:r>
        <w:t>understand</w:t>
      </w:r>
      <w:r w:rsidRPr="003716E4">
        <w:t xml:space="preserve"> the value of the CDC-funded grant program and gather information to inform improvements to future CDC </w:t>
      </w:r>
      <w:r>
        <w:t>investment</w:t>
      </w:r>
      <w:r w:rsidRPr="003716E4">
        <w:t xml:space="preserve">. The proposed data collection activities will result in stronger </w:t>
      </w:r>
      <w:r>
        <w:t>state</w:t>
      </w:r>
      <w:r w:rsidR="00065FA0">
        <w:t xml:space="preserve">, local, and </w:t>
      </w:r>
      <w:r>
        <w:t>territorial</w:t>
      </w:r>
      <w:r w:rsidRPr="003716E4">
        <w:t xml:space="preserve"> </w:t>
      </w:r>
      <w:r>
        <w:t>immunization</w:t>
      </w:r>
      <w:r w:rsidRPr="003716E4">
        <w:t xml:space="preserve"> </w:t>
      </w:r>
      <w:r>
        <w:t>information</w:t>
      </w:r>
      <w:r w:rsidRPr="003716E4">
        <w:t xml:space="preserve"> </w:t>
      </w:r>
      <w:r>
        <w:t>systems</w:t>
      </w:r>
      <w:r w:rsidRPr="003716E4">
        <w:t xml:space="preserve"> and a stronger CDC that is better equipped to meet the needs of its grantee awardees and, subsequently, demonstrate the impact of its activities on public health. In addition, these findings will be used as input for future </w:t>
      </w:r>
      <w:r>
        <w:t xml:space="preserve">IIS management and </w:t>
      </w:r>
      <w:r w:rsidR="00385E81">
        <w:t>CDC</w:t>
      </w:r>
      <w:r>
        <w:t xml:space="preserve"> strategic planning for IIS by</w:t>
      </w:r>
      <w:r w:rsidRPr="00E806AD">
        <w:t xml:space="preserve"> identify</w:t>
      </w:r>
      <w:r>
        <w:t>ing</w:t>
      </w:r>
      <w:r w:rsidRPr="00E806AD">
        <w:t xml:space="preserve"> current costs associated with IIS, develop</w:t>
      </w:r>
      <w:r>
        <w:t xml:space="preserve">ing an IIS </w:t>
      </w:r>
      <w:r w:rsidRPr="00E806AD">
        <w:t>Shared Services Catalog/implementation plan, and develop</w:t>
      </w:r>
      <w:r>
        <w:t>ing</w:t>
      </w:r>
      <w:r w:rsidRPr="00E806AD">
        <w:t xml:space="preserve"> core funding and </w:t>
      </w:r>
      <w:r w:rsidR="006F7D2B" w:rsidRPr="00E806AD">
        <w:t>sustainment recommendations</w:t>
      </w:r>
      <w:r w:rsidRPr="00E806AD">
        <w:t xml:space="preserve">. </w:t>
      </w:r>
      <w:r w:rsidRPr="003716E4">
        <w:t xml:space="preserve">Without collecting this information, it would be difficult to judge the value of the </w:t>
      </w:r>
      <w:r>
        <w:t>IIS</w:t>
      </w:r>
      <w:r w:rsidRPr="003716E4">
        <w:t xml:space="preserve"> and determine </w:t>
      </w:r>
      <w:r>
        <w:t>where to target future investment</w:t>
      </w:r>
      <w:r w:rsidRPr="003716E4">
        <w:t>.</w:t>
      </w:r>
      <w:r>
        <w:t xml:space="preserve"> </w:t>
      </w:r>
    </w:p>
    <w:p w14:paraId="05796821" w14:textId="77777777" w:rsidR="00916845" w:rsidRDefault="00916845" w:rsidP="00916845">
      <w:pPr>
        <w:spacing w:after="0" w:line="240" w:lineRule="auto"/>
        <w:rPr>
          <w:b/>
        </w:rPr>
      </w:pPr>
    </w:p>
    <w:p w14:paraId="21B64B62" w14:textId="6976C165" w:rsidR="00916845" w:rsidRPr="002B0F0B" w:rsidRDefault="00916845" w:rsidP="00916845">
      <w:pPr>
        <w:spacing w:after="0"/>
        <w:ind w:left="60"/>
        <w:rPr>
          <w:b/>
        </w:rPr>
      </w:pPr>
      <w:r w:rsidRPr="002B0F0B">
        <w:rPr>
          <w:b/>
        </w:rPr>
        <w:t>Privacy Impact Assessment</w:t>
      </w:r>
    </w:p>
    <w:p w14:paraId="17DC0B29" w14:textId="77777777" w:rsidR="00916845" w:rsidRDefault="00916845" w:rsidP="00916845">
      <w:pPr>
        <w:spacing w:after="0"/>
        <w:ind w:left="60"/>
      </w:pPr>
      <w:r w:rsidRPr="00E806AD">
        <w:t>No individually identifiable information is being collected. Respondents will be sent a link to access the web-based data collection instrument (Survey Monkey ®), including instructions and an estimated amount of time for completion. Survey Monkey ® servers are kept in a locked cage, with digital surveillance equipment monitoring at the data center.  Secure Sockets Layer (SSL) technology protects user information using both server authentication and data encryption, ensuring that data are safe, secure, and available only to authorized persons in a password-protected system.</w:t>
      </w:r>
    </w:p>
    <w:p w14:paraId="232A057F" w14:textId="77777777" w:rsidR="006B0BBF" w:rsidRDefault="006B0BBF" w:rsidP="00916845">
      <w:pPr>
        <w:spacing w:after="0"/>
        <w:ind w:left="60"/>
      </w:pPr>
    </w:p>
    <w:p w14:paraId="02F844EF" w14:textId="1B88EF48" w:rsidR="00307037" w:rsidRDefault="00307037" w:rsidP="00916845">
      <w:pPr>
        <w:spacing w:after="0"/>
        <w:ind w:left="60"/>
      </w:pPr>
    </w:p>
    <w:p w14:paraId="4F11CBC6" w14:textId="77777777" w:rsidR="00A345A6" w:rsidRDefault="00A345A6" w:rsidP="00916845">
      <w:pPr>
        <w:spacing w:after="0"/>
        <w:ind w:left="60"/>
      </w:pPr>
    </w:p>
    <w:p w14:paraId="3D4502CB" w14:textId="77777777" w:rsidR="00307037" w:rsidRPr="003403D9" w:rsidRDefault="00307037" w:rsidP="00916845">
      <w:pPr>
        <w:spacing w:after="0"/>
        <w:ind w:left="60"/>
      </w:pPr>
    </w:p>
    <w:p w14:paraId="42F56C08" w14:textId="77777777" w:rsidR="00B47055" w:rsidRPr="00B47055" w:rsidRDefault="00B47055" w:rsidP="00572E9A">
      <w:pPr>
        <w:pStyle w:val="ListParagraph"/>
        <w:numPr>
          <w:ilvl w:val="0"/>
          <w:numId w:val="1"/>
        </w:numPr>
        <w:spacing w:after="0"/>
        <w:ind w:left="360"/>
        <w:rPr>
          <w:rFonts w:asciiTheme="majorHAnsi" w:hAnsiTheme="majorHAnsi"/>
          <w:b/>
        </w:rPr>
      </w:pPr>
      <w:r w:rsidRPr="00B47055">
        <w:rPr>
          <w:rFonts w:asciiTheme="majorHAnsi" w:hAnsiTheme="majorHAnsi"/>
          <w:b/>
          <w:bCs/>
        </w:rPr>
        <w:t>Use of Improved Information Technology and Burden Reduction</w:t>
      </w:r>
    </w:p>
    <w:p w14:paraId="7C90657D" w14:textId="0D6BD78A" w:rsidR="00141C8D" w:rsidRDefault="00DC79CC" w:rsidP="003511E5">
      <w:pPr>
        <w:pStyle w:val="ListParagraph"/>
        <w:spacing w:after="0"/>
        <w:ind w:left="0"/>
      </w:pPr>
      <w:r w:rsidRPr="00E806AD">
        <w:t>Data will be collected via</w:t>
      </w:r>
      <w:r w:rsidR="00047071">
        <w:t xml:space="preserve"> two instruments:</w:t>
      </w:r>
      <w:r w:rsidRPr="00E806AD">
        <w:t xml:space="preserve"> </w:t>
      </w:r>
    </w:p>
    <w:p w14:paraId="59EFF649" w14:textId="7A65C7AB" w:rsidR="00D50300" w:rsidRPr="00E806AD" w:rsidRDefault="00047071" w:rsidP="003511E5">
      <w:pPr>
        <w:pStyle w:val="ListParagraph"/>
        <w:spacing w:after="0"/>
        <w:ind w:left="0"/>
      </w:pPr>
      <w:r>
        <w:t xml:space="preserve">1) </w:t>
      </w:r>
      <w:r w:rsidR="00141C8D">
        <w:t xml:space="preserve">A </w:t>
      </w:r>
      <w:r w:rsidR="00DC79CC" w:rsidRPr="00E806AD">
        <w:t>web-based questionnaire</w:t>
      </w:r>
      <w:r w:rsidR="00D830D3" w:rsidRPr="00E806AD">
        <w:t>,</w:t>
      </w:r>
      <w:r w:rsidR="00DC79CC" w:rsidRPr="00E806AD">
        <w:t xml:space="preserve"> </w:t>
      </w:r>
      <w:r w:rsidR="00D0341A" w:rsidRPr="00E806AD">
        <w:t>administered</w:t>
      </w:r>
      <w:r w:rsidR="006A0734">
        <w:t xml:space="preserve"> using </w:t>
      </w:r>
      <w:r w:rsidR="006A0734" w:rsidRPr="00E806AD">
        <w:t>Survey Monkey ®</w:t>
      </w:r>
      <w:r w:rsidR="00832A15" w:rsidRPr="00E806AD">
        <w:t xml:space="preserve">, </w:t>
      </w:r>
      <w:r w:rsidR="002760A8">
        <w:t>will allow</w:t>
      </w:r>
      <w:r w:rsidR="00D830D3" w:rsidRPr="00E806AD">
        <w:t xml:space="preserve"> </w:t>
      </w:r>
      <w:r w:rsidR="00DC79CC" w:rsidRPr="00E806AD">
        <w:t xml:space="preserve">respondents to complete and submit their responses electronically. </w:t>
      </w:r>
      <w:r w:rsidR="002B0F0B">
        <w:rPr>
          <w:rFonts w:cs="Courier New"/>
          <w:bCs/>
        </w:rPr>
        <w:t xml:space="preserve">Web-based data collection reduces respondent burden by enabling easy access and completion at a convenient time and location. The online data collection will consist of either easy-to-read response selections or embedded text boxes. </w:t>
      </w:r>
      <w:r w:rsidR="00DC79CC" w:rsidRPr="00E806AD">
        <w:t xml:space="preserve">The </w:t>
      </w:r>
      <w:r w:rsidR="001C0CF0">
        <w:t>online data collection instrument</w:t>
      </w:r>
      <w:r w:rsidR="00DC79CC" w:rsidRPr="00E806AD">
        <w:t xml:space="preserve"> was designed to collect the minimum information necessary for the purposes of this project (i.e., limited to </w:t>
      </w:r>
      <w:r w:rsidR="00BE0874">
        <w:t>2</w:t>
      </w:r>
      <w:r w:rsidR="00650416">
        <w:t>7</w:t>
      </w:r>
      <w:r w:rsidR="00B20DFE" w:rsidRPr="00E806AD">
        <w:t xml:space="preserve"> </w:t>
      </w:r>
      <w:r w:rsidR="008414AD" w:rsidRPr="00E806AD">
        <w:t>questions</w:t>
      </w:r>
      <w:r w:rsidR="00DC79CC" w:rsidRPr="00E806AD">
        <w:t>).</w:t>
      </w:r>
      <w:r w:rsidR="00AB251E" w:rsidRPr="00E806AD">
        <w:t xml:space="preserve"> </w:t>
      </w:r>
    </w:p>
    <w:p w14:paraId="65C8328C" w14:textId="77777777" w:rsidR="00D50300" w:rsidRPr="00E806AD" w:rsidRDefault="00D50300" w:rsidP="003511E5">
      <w:pPr>
        <w:pStyle w:val="ListParagraph"/>
        <w:spacing w:after="0"/>
        <w:ind w:left="0"/>
      </w:pPr>
    </w:p>
    <w:p w14:paraId="4C481181" w14:textId="6451E897" w:rsidR="00E8736B" w:rsidRPr="00E806AD" w:rsidRDefault="00141C8D" w:rsidP="003511E5">
      <w:pPr>
        <w:pStyle w:val="ListParagraph"/>
        <w:spacing w:after="0"/>
        <w:ind w:left="0"/>
      </w:pPr>
      <w:r>
        <w:t>2</w:t>
      </w:r>
      <w:r w:rsidR="008F774A">
        <w:t xml:space="preserve">) </w:t>
      </w:r>
      <w:r w:rsidR="002760A8" w:rsidRPr="002760A8">
        <w:t xml:space="preserve">The diverse nature </w:t>
      </w:r>
      <w:r w:rsidR="002760A8">
        <w:t>of</w:t>
      </w:r>
      <w:r w:rsidR="00A21228">
        <w:t xml:space="preserve"> each</w:t>
      </w:r>
      <w:r w:rsidR="002760A8">
        <w:t xml:space="preserve"> IIS organization and operation </w:t>
      </w:r>
      <w:r w:rsidR="00A21228">
        <w:t>requires</w:t>
      </w:r>
      <w:r w:rsidR="002760A8" w:rsidRPr="002760A8">
        <w:t xml:space="preserve"> </w:t>
      </w:r>
      <w:r w:rsidR="008F774A">
        <w:t xml:space="preserve">detailed </w:t>
      </w:r>
      <w:r w:rsidR="009A2A27">
        <w:t>data</w:t>
      </w:r>
      <w:r w:rsidR="008F774A">
        <w:t xml:space="preserve"> to supplement </w:t>
      </w:r>
      <w:r w:rsidR="002760A8">
        <w:t>baseline information gathered in the</w:t>
      </w:r>
      <w:r w:rsidR="008F774A">
        <w:t xml:space="preserve"> online data collection. CDC has made an effort to minimize the</w:t>
      </w:r>
      <w:r w:rsidR="00CF71E4" w:rsidRPr="00E806AD">
        <w:t xml:space="preserve"> burden </w:t>
      </w:r>
      <w:r w:rsidR="004C5ED9" w:rsidRPr="00E806AD">
        <w:t>on</w:t>
      </w:r>
      <w:r w:rsidR="00CF71E4" w:rsidRPr="00E806AD">
        <w:t xml:space="preserve"> respondents </w:t>
      </w:r>
      <w:r w:rsidR="00192E58" w:rsidRPr="00E806AD">
        <w:t xml:space="preserve">by </w:t>
      </w:r>
      <w:r w:rsidR="009A2A27">
        <w:t xml:space="preserve">giving state public health officials </w:t>
      </w:r>
      <w:r w:rsidR="0004189A">
        <w:t xml:space="preserve">sufficient </w:t>
      </w:r>
      <w:r w:rsidR="009A2A27">
        <w:t>advance</w:t>
      </w:r>
      <w:r w:rsidR="0004189A">
        <w:t>d</w:t>
      </w:r>
      <w:r w:rsidR="009A2A27">
        <w:t xml:space="preserve"> notice to schedule the interview</w:t>
      </w:r>
      <w:r w:rsidR="009A2A27" w:rsidRPr="009A2A27">
        <w:t xml:space="preserve"> </w:t>
      </w:r>
      <w:r w:rsidR="009A2A27">
        <w:t xml:space="preserve">and </w:t>
      </w:r>
      <w:r w:rsidR="009A2A27" w:rsidRPr="00E806AD">
        <w:t xml:space="preserve">opting for a telephone interview if an in-person visit is not </w:t>
      </w:r>
      <w:r w:rsidR="009A2A27">
        <w:t>feasible (i.e. respondents do not have the time to accommodate additional logistics planning for an on-site visit)</w:t>
      </w:r>
      <w:r w:rsidR="008F774A">
        <w:t>.</w:t>
      </w:r>
      <w:r w:rsidR="00CF71E4" w:rsidRPr="00E806AD">
        <w:t xml:space="preserve"> </w:t>
      </w:r>
      <w:r w:rsidR="009A2A27">
        <w:t xml:space="preserve">Additionally, </w:t>
      </w:r>
      <w:r w:rsidR="001F3B57">
        <w:t xml:space="preserve">several weeks prior to the interview, </w:t>
      </w:r>
      <w:r w:rsidR="009A2A27">
        <w:t>r</w:t>
      </w:r>
      <w:r w:rsidR="00CF71E4" w:rsidRPr="00E806AD">
        <w:t xml:space="preserve">espondents </w:t>
      </w:r>
      <w:r w:rsidR="009A2A27">
        <w:t>will be</w:t>
      </w:r>
      <w:r w:rsidR="00CF71E4" w:rsidRPr="00E806AD">
        <w:t xml:space="preserve"> sent </w:t>
      </w:r>
      <w:r w:rsidR="004C5ED9" w:rsidRPr="00E806AD">
        <w:t>the</w:t>
      </w:r>
      <w:r w:rsidR="00CF71E4" w:rsidRPr="00E806AD">
        <w:t xml:space="preserve"> list of </w:t>
      </w:r>
      <w:r w:rsidR="001F3B57">
        <w:t xml:space="preserve">the interview </w:t>
      </w:r>
      <w:r w:rsidR="00CF71E4" w:rsidRPr="00E806AD">
        <w:t xml:space="preserve">questions for their convenience, but are not required to perform any additional preparation </w:t>
      </w:r>
      <w:r w:rsidR="008F774A">
        <w:t>prior to</w:t>
      </w:r>
      <w:r w:rsidR="004C5ED9" w:rsidRPr="00E806AD">
        <w:t xml:space="preserve"> </w:t>
      </w:r>
      <w:r w:rsidR="00CF71E4" w:rsidRPr="00E806AD">
        <w:t xml:space="preserve">the interview. </w:t>
      </w:r>
      <w:r w:rsidR="008F774A">
        <w:t xml:space="preserve">CDC will review online data collection responses prior to the interview to identify </w:t>
      </w:r>
      <w:r w:rsidR="001F3B57">
        <w:t xml:space="preserve">sections/questions of the interview that may be skipped or </w:t>
      </w:r>
      <w:r w:rsidR="008F774A">
        <w:t xml:space="preserve">topics requiring </w:t>
      </w:r>
      <w:r w:rsidR="001F3B57">
        <w:t>further clarification</w:t>
      </w:r>
      <w:r w:rsidR="008F774A">
        <w:t>.</w:t>
      </w:r>
    </w:p>
    <w:p w14:paraId="03D46A3E" w14:textId="77777777" w:rsidR="00B47055" w:rsidRDefault="00B47055" w:rsidP="003511E5">
      <w:pPr>
        <w:pStyle w:val="ListParagraph"/>
        <w:spacing w:after="0"/>
        <w:ind w:left="270"/>
        <w:rPr>
          <w:rFonts w:asciiTheme="majorHAnsi" w:hAnsiTheme="majorHAnsi"/>
        </w:rPr>
      </w:pPr>
    </w:p>
    <w:p w14:paraId="06FC80FA" w14:textId="77777777" w:rsidR="00B47055" w:rsidRPr="00B47055" w:rsidRDefault="00B47055" w:rsidP="00572E9A">
      <w:pPr>
        <w:pStyle w:val="ListParagraph"/>
        <w:numPr>
          <w:ilvl w:val="0"/>
          <w:numId w:val="1"/>
        </w:numPr>
        <w:spacing w:after="0"/>
        <w:ind w:left="360"/>
        <w:rPr>
          <w:rFonts w:asciiTheme="majorHAnsi" w:hAnsiTheme="majorHAnsi"/>
          <w:b/>
        </w:rPr>
      </w:pPr>
      <w:r w:rsidRPr="00B47055">
        <w:rPr>
          <w:rFonts w:asciiTheme="majorHAnsi" w:hAnsiTheme="majorHAnsi"/>
          <w:b/>
          <w:bCs/>
        </w:rPr>
        <w:t>Efforts to Identify Duplication and Use of Similar Information</w:t>
      </w:r>
    </w:p>
    <w:p w14:paraId="3CDD0870" w14:textId="6B90FF8F" w:rsidR="002B0F0B" w:rsidRDefault="002B0F0B" w:rsidP="002B0F0B">
      <w:pPr>
        <w:spacing w:after="0"/>
      </w:pPr>
      <w:r>
        <w:t xml:space="preserve">Currently, there is no information available via web or existing literature that can substitute for the desired responses.  CDC has conducted an extensive literature review of approximately 300 publications, conference presentations, and white papers.  Existing data include information on IIS compliance with functional standards, but provide limited information on the value of those functions. The most recent comprehensive view of IIS costs is </w:t>
      </w:r>
      <w:r w:rsidR="008367AF">
        <w:t xml:space="preserve">approximately 8 years </w:t>
      </w:r>
      <w:r>
        <w:t xml:space="preserve">old and fails to address IIS value or alternative financing.  Additionally, the </w:t>
      </w:r>
      <w:r w:rsidR="001F3B57">
        <w:t xml:space="preserve">detailed </w:t>
      </w:r>
      <w:r>
        <w:t xml:space="preserve">data required to assure accountability of CDC investments in IIS through cooperative agreement mechanisms is not routinely collected.   </w:t>
      </w:r>
    </w:p>
    <w:p w14:paraId="069982E3" w14:textId="77777777" w:rsidR="002B0F0B" w:rsidRDefault="002B0F0B" w:rsidP="002B0F0B">
      <w:pPr>
        <w:spacing w:after="0"/>
      </w:pPr>
    </w:p>
    <w:p w14:paraId="3619FE56" w14:textId="6648CC04" w:rsidR="00C53EEF" w:rsidRDefault="009A2A27" w:rsidP="002B0F0B">
      <w:pPr>
        <w:spacing w:after="0"/>
      </w:pPr>
      <w:r>
        <w:t>Data</w:t>
      </w:r>
      <w:r w:rsidR="002B0F0B">
        <w:t xml:space="preserve"> </w:t>
      </w:r>
      <w:r>
        <w:t>collected via the two instruments</w:t>
      </w:r>
      <w:r w:rsidR="002B0F0B">
        <w:t xml:space="preserve"> will create a unified, national view of IIS operations. The data will also identify shared service opportunities, develop a core funding model, and identify alternative funding sources.  The new information collected will fill a gap by permitting CDC to assess its investment in relation to the value of IIS se</w:t>
      </w:r>
      <w:r>
        <w:t>rvices intended to assist state/</w:t>
      </w:r>
      <w:r w:rsidR="002B0F0B">
        <w:t>local</w:t>
      </w:r>
      <w:r>
        <w:t>/territorial</w:t>
      </w:r>
      <w:r w:rsidR="0004189A">
        <w:t xml:space="preserve"> health departments in their immunization management activities</w:t>
      </w:r>
      <w:r w:rsidR="002B0F0B">
        <w:t>, thus they are unique and not duplicative of other efforts.</w:t>
      </w:r>
    </w:p>
    <w:p w14:paraId="6D52CB05" w14:textId="77777777" w:rsidR="002B0F0B" w:rsidRPr="00C53EEF" w:rsidRDefault="002B0F0B" w:rsidP="002B0F0B">
      <w:pPr>
        <w:spacing w:after="0"/>
        <w:rPr>
          <w:rFonts w:asciiTheme="majorHAnsi" w:hAnsiTheme="majorHAnsi"/>
        </w:rPr>
      </w:pPr>
    </w:p>
    <w:p w14:paraId="1E3EFC6A" w14:textId="77777777" w:rsidR="00B12F51" w:rsidRPr="00B47055" w:rsidRDefault="00B47055" w:rsidP="00572E9A">
      <w:pPr>
        <w:pStyle w:val="ListParagraph"/>
        <w:numPr>
          <w:ilvl w:val="0"/>
          <w:numId w:val="1"/>
        </w:numPr>
        <w:spacing w:after="0"/>
        <w:ind w:left="360"/>
        <w:rPr>
          <w:rFonts w:asciiTheme="majorHAnsi" w:hAnsiTheme="majorHAnsi"/>
          <w:b/>
        </w:rPr>
      </w:pPr>
      <w:r w:rsidRPr="00B47055">
        <w:rPr>
          <w:rFonts w:asciiTheme="majorHAnsi" w:hAnsiTheme="majorHAnsi"/>
          <w:b/>
          <w:bCs/>
        </w:rPr>
        <w:t>Impact on Small Businesses or Other Small Entities</w:t>
      </w:r>
    </w:p>
    <w:p w14:paraId="716639CF" w14:textId="77777777" w:rsidR="00F52BCC" w:rsidRPr="00E806AD" w:rsidRDefault="00D26A64" w:rsidP="003511E5">
      <w:pPr>
        <w:pStyle w:val="ListParagraph"/>
        <w:spacing w:after="0"/>
        <w:ind w:left="0"/>
      </w:pPr>
      <w:r w:rsidRPr="00E806AD">
        <w:t>N</w:t>
      </w:r>
      <w:r w:rsidR="00AF2252" w:rsidRPr="00E806AD">
        <w:t>o small businesses will be involved in this data collection</w:t>
      </w:r>
      <w:r w:rsidRPr="00E806AD">
        <w:t>.</w:t>
      </w:r>
    </w:p>
    <w:p w14:paraId="79C4A917" w14:textId="77777777" w:rsidR="0053557D" w:rsidRDefault="0053557D" w:rsidP="003511E5">
      <w:pPr>
        <w:pStyle w:val="ListParagraph"/>
        <w:spacing w:after="0"/>
        <w:ind w:left="270"/>
      </w:pPr>
    </w:p>
    <w:p w14:paraId="40288AF5" w14:textId="794E9002" w:rsidR="00D63F97" w:rsidRDefault="00D63F97" w:rsidP="003511E5">
      <w:pPr>
        <w:pStyle w:val="ListParagraph"/>
        <w:spacing w:after="0"/>
        <w:ind w:left="270"/>
      </w:pPr>
    </w:p>
    <w:p w14:paraId="256D9DE1" w14:textId="77777777" w:rsidR="00D63F97" w:rsidRDefault="00D63F97" w:rsidP="003511E5">
      <w:pPr>
        <w:pStyle w:val="ListParagraph"/>
        <w:spacing w:after="0"/>
        <w:ind w:left="270"/>
      </w:pPr>
    </w:p>
    <w:p w14:paraId="0DE1D864" w14:textId="77777777" w:rsidR="00D63F97" w:rsidRDefault="00D63F97" w:rsidP="003511E5">
      <w:pPr>
        <w:pStyle w:val="ListParagraph"/>
        <w:spacing w:after="0"/>
        <w:ind w:left="270"/>
      </w:pPr>
    </w:p>
    <w:p w14:paraId="27A3BCE9" w14:textId="77777777" w:rsidR="00D63F97" w:rsidRDefault="00D63F97" w:rsidP="003511E5">
      <w:pPr>
        <w:pStyle w:val="ListParagraph"/>
        <w:spacing w:after="0"/>
        <w:ind w:left="270"/>
      </w:pPr>
    </w:p>
    <w:p w14:paraId="0BDC17E0" w14:textId="77777777" w:rsidR="00D63F97" w:rsidRPr="00D95FBF" w:rsidRDefault="00D63F97" w:rsidP="003511E5">
      <w:pPr>
        <w:pStyle w:val="ListParagraph"/>
        <w:spacing w:after="0"/>
        <w:ind w:left="270"/>
      </w:pPr>
    </w:p>
    <w:p w14:paraId="0897D0F8" w14:textId="77777777" w:rsidR="00B12F51" w:rsidRPr="003403D9" w:rsidRDefault="00B47055" w:rsidP="00572E9A">
      <w:pPr>
        <w:pStyle w:val="ListParagraph"/>
        <w:numPr>
          <w:ilvl w:val="0"/>
          <w:numId w:val="1"/>
        </w:numPr>
        <w:spacing w:after="0"/>
        <w:ind w:left="360"/>
        <w:rPr>
          <w:rFonts w:asciiTheme="majorHAnsi" w:hAnsiTheme="majorHAnsi"/>
          <w:b/>
        </w:rPr>
      </w:pPr>
      <w:r w:rsidRPr="003403D9">
        <w:rPr>
          <w:rFonts w:asciiTheme="majorHAnsi" w:hAnsiTheme="majorHAnsi"/>
          <w:b/>
          <w:bCs/>
        </w:rPr>
        <w:t>Consequences of Collecting the Information Less Frequently</w:t>
      </w:r>
      <w:r w:rsidRPr="003403D9">
        <w:rPr>
          <w:rFonts w:asciiTheme="majorHAnsi" w:hAnsiTheme="majorHAnsi"/>
          <w:b/>
        </w:rPr>
        <w:t xml:space="preserve"> </w:t>
      </w:r>
      <w:r w:rsidR="00D95FBF" w:rsidRPr="003403D9">
        <w:rPr>
          <w:rFonts w:asciiTheme="majorHAnsi" w:hAnsiTheme="majorHAnsi"/>
          <w:b/>
        </w:rPr>
        <w:t xml:space="preserve">   </w:t>
      </w:r>
    </w:p>
    <w:p w14:paraId="43386614" w14:textId="77777777" w:rsidR="002A1710" w:rsidRDefault="002A1710" w:rsidP="003511E5">
      <w:pPr>
        <w:pStyle w:val="ListParagraph"/>
        <w:spacing w:after="0"/>
        <w:ind w:left="0"/>
      </w:pPr>
      <w:r>
        <w:t>This request is for a one-</w:t>
      </w:r>
      <w:r w:rsidRPr="002A1710">
        <w:t>time data collection.  There are no legal obstacles to reduce the burden.</w:t>
      </w:r>
    </w:p>
    <w:p w14:paraId="5A3CC70E" w14:textId="2BA65C00" w:rsidR="00D82848" w:rsidRDefault="00D82848" w:rsidP="00D82848">
      <w:pPr>
        <w:pStyle w:val="ListParagraph"/>
        <w:spacing w:after="0"/>
        <w:ind w:left="0"/>
      </w:pPr>
    </w:p>
    <w:p w14:paraId="2DC2EAB4" w14:textId="68AD5035" w:rsidR="00D82848" w:rsidRPr="00E806AD" w:rsidRDefault="00D82848" w:rsidP="00D82848">
      <w:pPr>
        <w:pStyle w:val="ListParagraph"/>
        <w:spacing w:after="0"/>
        <w:ind w:left="0"/>
      </w:pPr>
      <w:r w:rsidRPr="00E806AD">
        <w:t xml:space="preserve">Specifically, without this data there would be: </w:t>
      </w:r>
    </w:p>
    <w:p w14:paraId="29B2B41D" w14:textId="2742C188" w:rsidR="00D82848" w:rsidRPr="00E806AD" w:rsidRDefault="00D82848" w:rsidP="00572E9A">
      <w:pPr>
        <w:pStyle w:val="ListParagraph"/>
        <w:numPr>
          <w:ilvl w:val="1"/>
          <w:numId w:val="7"/>
        </w:numPr>
        <w:spacing w:after="120"/>
        <w:ind w:left="720"/>
        <w:contextualSpacing w:val="0"/>
      </w:pPr>
      <w:r w:rsidRPr="00E806AD">
        <w:t xml:space="preserve">No current information regarding the value of IIS services to various stakeholders, including local public health programs, providers, payers, hospitals, commercial health insurance, and schools </w:t>
      </w:r>
      <w:r>
        <w:t>to inform CDC strategic planning</w:t>
      </w:r>
    </w:p>
    <w:p w14:paraId="47B48344" w14:textId="43959A2C" w:rsidR="00D82848" w:rsidRPr="00E806AD" w:rsidRDefault="00D82848" w:rsidP="00572E9A">
      <w:pPr>
        <w:pStyle w:val="ListParagraph"/>
        <w:numPr>
          <w:ilvl w:val="1"/>
          <w:numId w:val="7"/>
        </w:numPr>
        <w:spacing w:after="120"/>
        <w:ind w:left="720"/>
        <w:contextualSpacing w:val="0"/>
      </w:pPr>
      <w:r w:rsidRPr="00E806AD">
        <w:t xml:space="preserve">Less data-driven decisions that need to be made by CDC about funding allocation to </w:t>
      </w:r>
      <w:r w:rsidR="00065FA0">
        <w:t xml:space="preserve">state/local/territorial </w:t>
      </w:r>
      <w:r w:rsidRPr="00E806AD">
        <w:t xml:space="preserve">public health agencies in support of IIS services  </w:t>
      </w:r>
    </w:p>
    <w:p w14:paraId="731CB386" w14:textId="13CD9745" w:rsidR="00D82848" w:rsidRPr="00E806AD" w:rsidRDefault="00D82848" w:rsidP="00572E9A">
      <w:pPr>
        <w:pStyle w:val="ListParagraph"/>
        <w:numPr>
          <w:ilvl w:val="1"/>
          <w:numId w:val="7"/>
        </w:numPr>
        <w:spacing w:after="120"/>
        <w:ind w:left="720"/>
        <w:contextualSpacing w:val="0"/>
      </w:pPr>
      <w:r w:rsidRPr="00E806AD">
        <w:t xml:space="preserve">Persistent gaps in other existing information collections, because of limited timing, content, i.e. CDC would not have a clear and current understanding of the value of its investment in IIS and level of effort required by </w:t>
      </w:r>
      <w:r w:rsidR="00065FA0">
        <w:t xml:space="preserve">state/local/territorial health departments </w:t>
      </w:r>
      <w:r w:rsidRPr="00E806AD">
        <w:t xml:space="preserve">to </w:t>
      </w:r>
      <w:r>
        <w:t>track</w:t>
      </w:r>
      <w:r w:rsidRPr="00E806AD">
        <w:t xml:space="preserve"> immunizations </w:t>
      </w:r>
      <w:r>
        <w:t xml:space="preserve">and vaccine inventory </w:t>
      </w:r>
      <w:r w:rsidRPr="00E806AD">
        <w:t>among their population</w:t>
      </w:r>
    </w:p>
    <w:p w14:paraId="507B85A5" w14:textId="1FB165D1" w:rsidR="00D82848" w:rsidRPr="00E806AD" w:rsidRDefault="00D82848" w:rsidP="00572E9A">
      <w:pPr>
        <w:pStyle w:val="ListParagraph"/>
        <w:numPr>
          <w:ilvl w:val="1"/>
          <w:numId w:val="7"/>
        </w:numPr>
        <w:spacing w:after="120"/>
        <w:ind w:left="720"/>
        <w:contextualSpacing w:val="0"/>
      </w:pPr>
      <w:r w:rsidRPr="00E806AD">
        <w:t xml:space="preserve">Limitations to effective and timely assessment </w:t>
      </w:r>
      <w:r>
        <w:t>of</w:t>
      </w:r>
      <w:r w:rsidRPr="00E806AD">
        <w:t xml:space="preserve"> governmental agencies </w:t>
      </w:r>
      <w:r>
        <w:t xml:space="preserve">ability </w:t>
      </w:r>
      <w:r w:rsidRPr="00E806AD">
        <w:t xml:space="preserve">to fulfill their public health mission </w:t>
      </w:r>
      <w:r>
        <w:t>by</w:t>
      </w:r>
      <w:r w:rsidRPr="0036473C">
        <w:t xml:space="preserve"> identifying populations at high risk for vaccine-preventable diseases and target</w:t>
      </w:r>
      <w:r>
        <w:t>ing</w:t>
      </w:r>
      <w:r w:rsidRPr="0036473C">
        <w:t xml:space="preserve"> interventions and resources efficiently across the United States</w:t>
      </w:r>
    </w:p>
    <w:p w14:paraId="461B4C0F" w14:textId="77777777" w:rsidR="00BF11A1" w:rsidRPr="00C768E5" w:rsidRDefault="00BF11A1" w:rsidP="003511E5">
      <w:pPr>
        <w:spacing w:after="0"/>
        <w:rPr>
          <w:rFonts w:asciiTheme="majorHAnsi" w:hAnsiTheme="majorHAnsi"/>
        </w:rPr>
      </w:pPr>
    </w:p>
    <w:p w14:paraId="2041AC13" w14:textId="77777777" w:rsidR="00B12F51" w:rsidRPr="00B47055" w:rsidRDefault="00B47055" w:rsidP="00572E9A">
      <w:pPr>
        <w:pStyle w:val="ListParagraph"/>
        <w:numPr>
          <w:ilvl w:val="0"/>
          <w:numId w:val="1"/>
        </w:numPr>
        <w:spacing w:after="0"/>
        <w:ind w:left="360"/>
        <w:rPr>
          <w:rFonts w:asciiTheme="majorHAnsi" w:hAnsiTheme="majorHAnsi"/>
          <w:b/>
        </w:rPr>
      </w:pPr>
      <w:r w:rsidRPr="00B47055">
        <w:rPr>
          <w:rFonts w:asciiTheme="majorHAnsi" w:hAnsiTheme="majorHAnsi"/>
          <w:b/>
          <w:bCs/>
        </w:rPr>
        <w:t>Special Circumstances Relating to the Guidelines of 5 CFR 1320.5</w:t>
      </w:r>
    </w:p>
    <w:p w14:paraId="12731977" w14:textId="77777777" w:rsidR="00F52BCC" w:rsidRPr="00E806AD" w:rsidRDefault="00A809AA" w:rsidP="003511E5">
      <w:pPr>
        <w:pStyle w:val="ListParagraph"/>
        <w:spacing w:after="0"/>
        <w:ind w:left="0"/>
      </w:pPr>
      <w:r w:rsidRPr="00E806AD">
        <w:t xml:space="preserve">There are no special circumstances with this information collection package. </w:t>
      </w:r>
      <w:r w:rsidR="00835CA7" w:rsidRPr="00E806AD">
        <w:t>This request fully complies with the regulation 5 CFR 1320.5</w:t>
      </w:r>
      <w:r w:rsidR="00D95FBF" w:rsidRPr="00E806AD">
        <w:t xml:space="preserve"> and will be voluntary</w:t>
      </w:r>
      <w:r w:rsidR="00835CA7" w:rsidRPr="00E806AD">
        <w:t>.</w:t>
      </w:r>
    </w:p>
    <w:p w14:paraId="64A4A56C" w14:textId="77777777" w:rsidR="00F52BCC" w:rsidRDefault="00F52BCC" w:rsidP="003511E5">
      <w:pPr>
        <w:pStyle w:val="ListParagraph"/>
        <w:spacing w:after="0"/>
        <w:ind w:left="270"/>
        <w:rPr>
          <w:rFonts w:asciiTheme="majorHAnsi" w:hAnsiTheme="majorHAnsi"/>
        </w:rPr>
      </w:pPr>
    </w:p>
    <w:p w14:paraId="1B6B0D1C" w14:textId="77777777" w:rsidR="00B12F51" w:rsidRPr="0088467A" w:rsidRDefault="0088467A" w:rsidP="00572E9A">
      <w:pPr>
        <w:pStyle w:val="ListParagraph"/>
        <w:numPr>
          <w:ilvl w:val="0"/>
          <w:numId w:val="1"/>
        </w:numPr>
        <w:spacing w:after="0"/>
        <w:ind w:left="360"/>
        <w:rPr>
          <w:rFonts w:asciiTheme="majorHAnsi" w:hAnsiTheme="majorHAnsi"/>
          <w:b/>
          <w:bCs/>
        </w:rPr>
      </w:pPr>
      <w:r w:rsidRPr="0088467A">
        <w:rPr>
          <w:rFonts w:asciiTheme="majorHAnsi" w:hAnsiTheme="majorHAnsi"/>
          <w:b/>
          <w:bCs/>
        </w:rPr>
        <w:t>Comments in Response to the Federal Register Notice and Efforts to Consult Outside the Agency</w:t>
      </w:r>
    </w:p>
    <w:p w14:paraId="347CFD05" w14:textId="7B40D5B6" w:rsidR="00A809AA" w:rsidRDefault="00011718" w:rsidP="003511E5">
      <w:pPr>
        <w:pStyle w:val="ListParagraph"/>
        <w:autoSpaceDE w:val="0"/>
        <w:autoSpaceDN w:val="0"/>
        <w:adjustRightInd w:val="0"/>
        <w:ind w:left="0" w:right="720"/>
      </w:pPr>
      <w:r w:rsidRPr="00011718">
        <w:t>This information collection is being conducted using the</w:t>
      </w:r>
      <w:r w:rsidR="004B1746">
        <w:t xml:space="preserve"> Generic Information Collection </w:t>
      </w:r>
      <w:r w:rsidRPr="00011718">
        <w:t xml:space="preserve">mechanism of the OSTLTS OMB Clearance Center (O2C2) – OMB No. 0920-0879. A 60-day Federal Register Notice was published in the Federal Register on October 31, 2013, Vol. 78, No. 211; pp. 653 25-26.  No comments were received. </w:t>
      </w:r>
    </w:p>
    <w:p w14:paraId="6FF9D77B" w14:textId="77777777" w:rsidR="004F3AFB" w:rsidRPr="00546A99" w:rsidRDefault="004F3AFB" w:rsidP="003511E5">
      <w:pPr>
        <w:pStyle w:val="ListParagraph"/>
        <w:autoSpaceDE w:val="0"/>
        <w:autoSpaceDN w:val="0"/>
        <w:adjustRightInd w:val="0"/>
        <w:ind w:left="0" w:right="720"/>
      </w:pPr>
    </w:p>
    <w:p w14:paraId="3A03898D" w14:textId="3132A8BA" w:rsidR="00A809AA" w:rsidRPr="00546A99" w:rsidRDefault="00A809AA" w:rsidP="003511E5">
      <w:pPr>
        <w:pStyle w:val="ListParagraph"/>
        <w:autoSpaceDE w:val="0"/>
        <w:autoSpaceDN w:val="0"/>
        <w:adjustRightInd w:val="0"/>
        <w:ind w:left="0" w:right="720"/>
      </w:pPr>
      <w:r w:rsidRPr="00546A99">
        <w:t xml:space="preserve">CDC partners with professional STLT organizations, such </w:t>
      </w:r>
      <w:r w:rsidR="004F3AFB">
        <w:t xml:space="preserve">as the Association of State and </w:t>
      </w:r>
      <w:r w:rsidRPr="00546A99">
        <w:t>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w:t>
      </w:r>
      <w:r w:rsidR="005B38C7">
        <w:t xml:space="preserve">ll have in the field within the </w:t>
      </w:r>
      <w:r w:rsidRPr="00546A99">
        <w:t xml:space="preserve">same timeframe.  </w:t>
      </w:r>
    </w:p>
    <w:p w14:paraId="34C0ACCE" w14:textId="77777777" w:rsidR="00F52BCC" w:rsidRPr="00A809AA" w:rsidRDefault="00F52BCC" w:rsidP="003511E5">
      <w:pPr>
        <w:pStyle w:val="ListParagraph"/>
        <w:spacing w:after="0"/>
        <w:ind w:left="270"/>
        <w:rPr>
          <w:rFonts w:asciiTheme="majorHAnsi" w:hAnsiTheme="majorHAnsi"/>
        </w:rPr>
      </w:pPr>
    </w:p>
    <w:p w14:paraId="5EB238B8" w14:textId="77777777" w:rsidR="00B12F51" w:rsidRPr="0088467A" w:rsidRDefault="0088467A" w:rsidP="00572E9A">
      <w:pPr>
        <w:pStyle w:val="ListParagraph"/>
        <w:numPr>
          <w:ilvl w:val="0"/>
          <w:numId w:val="1"/>
        </w:numPr>
        <w:spacing w:after="0"/>
        <w:ind w:left="360"/>
        <w:rPr>
          <w:rFonts w:asciiTheme="majorHAnsi" w:hAnsiTheme="majorHAnsi"/>
          <w:b/>
        </w:rPr>
      </w:pPr>
      <w:r w:rsidRPr="0088467A">
        <w:rPr>
          <w:rFonts w:asciiTheme="majorHAnsi" w:hAnsiTheme="majorHAnsi"/>
          <w:b/>
          <w:bCs/>
        </w:rPr>
        <w:t>Explanation of Any Payment or Gift to Respondents</w:t>
      </w:r>
    </w:p>
    <w:p w14:paraId="7636DB88" w14:textId="77777777" w:rsidR="00F52BCC" w:rsidRPr="00546A99" w:rsidRDefault="00A809AA" w:rsidP="003511E5">
      <w:pPr>
        <w:pStyle w:val="ListParagraph"/>
        <w:spacing w:after="0"/>
        <w:ind w:left="0"/>
      </w:pPr>
      <w:r w:rsidRPr="00546A99">
        <w:t>CDC will not provide p</w:t>
      </w:r>
      <w:r w:rsidR="00D26A64" w:rsidRPr="00546A99">
        <w:t>ayments or gifts to respondents.</w:t>
      </w:r>
    </w:p>
    <w:p w14:paraId="3190F7CE" w14:textId="77777777" w:rsidR="00F52BCC" w:rsidRDefault="00F52BCC" w:rsidP="003511E5">
      <w:pPr>
        <w:pStyle w:val="ListParagraph"/>
        <w:spacing w:after="0"/>
        <w:ind w:left="270"/>
        <w:rPr>
          <w:rFonts w:asciiTheme="majorHAnsi" w:hAnsiTheme="majorHAnsi"/>
        </w:rPr>
      </w:pPr>
    </w:p>
    <w:p w14:paraId="575D6641" w14:textId="1006C87A" w:rsidR="00D63F97" w:rsidRDefault="00D63F97" w:rsidP="003511E5">
      <w:pPr>
        <w:pStyle w:val="ListParagraph"/>
        <w:spacing w:after="0"/>
        <w:ind w:left="270"/>
        <w:rPr>
          <w:rFonts w:asciiTheme="majorHAnsi" w:hAnsiTheme="majorHAnsi"/>
        </w:rPr>
      </w:pPr>
    </w:p>
    <w:p w14:paraId="5DD358E9" w14:textId="77777777" w:rsidR="00D63F97" w:rsidRDefault="00D63F97" w:rsidP="003511E5">
      <w:pPr>
        <w:pStyle w:val="ListParagraph"/>
        <w:spacing w:after="0"/>
        <w:ind w:left="270"/>
        <w:rPr>
          <w:rFonts w:asciiTheme="majorHAnsi" w:hAnsiTheme="majorHAnsi"/>
        </w:rPr>
      </w:pPr>
    </w:p>
    <w:p w14:paraId="217F5601" w14:textId="77777777" w:rsidR="00B12F51" w:rsidRPr="00D16E78" w:rsidRDefault="0088467A" w:rsidP="00572E9A">
      <w:pPr>
        <w:pStyle w:val="ListParagraph"/>
        <w:numPr>
          <w:ilvl w:val="0"/>
          <w:numId w:val="1"/>
        </w:numPr>
        <w:spacing w:after="0"/>
        <w:ind w:left="360"/>
        <w:rPr>
          <w:rFonts w:asciiTheme="majorHAnsi" w:hAnsiTheme="majorHAnsi"/>
          <w:b/>
        </w:rPr>
      </w:pPr>
      <w:r>
        <w:rPr>
          <w:rFonts w:asciiTheme="majorHAnsi" w:hAnsiTheme="majorHAnsi"/>
          <w:b/>
        </w:rPr>
        <w:t xml:space="preserve"> </w:t>
      </w:r>
      <w:r w:rsidRPr="0088467A">
        <w:rPr>
          <w:rFonts w:asciiTheme="majorHAnsi" w:hAnsiTheme="majorHAnsi"/>
          <w:b/>
          <w:bCs/>
        </w:rPr>
        <w:t>Assurance of Confidentiality Provided to Respondents</w:t>
      </w:r>
    </w:p>
    <w:p w14:paraId="2D1338BC" w14:textId="77777777" w:rsidR="003C31C9" w:rsidRPr="00546A99" w:rsidRDefault="002A1710" w:rsidP="003511E5">
      <w:pPr>
        <w:pStyle w:val="ListParagraph"/>
        <w:autoSpaceDE w:val="0"/>
        <w:autoSpaceDN w:val="0"/>
        <w:adjustRightInd w:val="0"/>
        <w:ind w:left="0" w:right="720"/>
      </w:pPr>
      <w:r w:rsidRPr="002A1710">
        <w:t xml:space="preserve">There is no assurance of confidentiality provided to the respondents.  Employees of state and local public health agencies will be speaking from their official roles and will not be asked, nor will they provide, individually identifiable information.  </w:t>
      </w:r>
    </w:p>
    <w:p w14:paraId="55744C01" w14:textId="77777777" w:rsidR="00F52BCC" w:rsidRPr="003C31C9" w:rsidRDefault="00F52BCC" w:rsidP="003511E5">
      <w:pPr>
        <w:pStyle w:val="ListParagraph"/>
        <w:spacing w:after="0"/>
        <w:ind w:left="270"/>
        <w:rPr>
          <w:rFonts w:asciiTheme="majorHAnsi" w:hAnsiTheme="majorHAnsi"/>
        </w:rPr>
      </w:pPr>
    </w:p>
    <w:p w14:paraId="699495AE" w14:textId="77777777" w:rsidR="00B12F51" w:rsidRPr="0088467A" w:rsidRDefault="0088467A" w:rsidP="00572E9A">
      <w:pPr>
        <w:pStyle w:val="ListParagraph"/>
        <w:numPr>
          <w:ilvl w:val="0"/>
          <w:numId w:val="1"/>
        </w:numPr>
        <w:spacing w:after="0"/>
        <w:ind w:left="360"/>
        <w:rPr>
          <w:rFonts w:asciiTheme="majorHAnsi" w:hAnsiTheme="majorHAnsi"/>
          <w:b/>
        </w:rPr>
      </w:pPr>
      <w:r w:rsidRPr="0088467A">
        <w:rPr>
          <w:rFonts w:asciiTheme="majorHAnsi" w:hAnsiTheme="majorHAnsi"/>
          <w:b/>
          <w:bCs/>
        </w:rPr>
        <w:t>Justification for Sensitive Questions</w:t>
      </w:r>
    </w:p>
    <w:p w14:paraId="043F33D1" w14:textId="77777777" w:rsidR="00F52BCC" w:rsidRPr="00546A99" w:rsidRDefault="003C31C9" w:rsidP="003511E5">
      <w:pPr>
        <w:pStyle w:val="ListParagraph"/>
        <w:spacing w:after="0"/>
        <w:ind w:left="0"/>
      </w:pPr>
      <w:r w:rsidRPr="00546A99">
        <w:t>No information will be collected</w:t>
      </w:r>
      <w:r w:rsidR="00616090" w:rsidRPr="00546A99">
        <w:t xml:space="preserve"> that are of personal or sensitive nature</w:t>
      </w:r>
      <w:r w:rsidR="00D26A64" w:rsidRPr="00546A99">
        <w:t>.</w:t>
      </w:r>
    </w:p>
    <w:p w14:paraId="07B39938" w14:textId="77777777" w:rsidR="00616090" w:rsidRPr="0088467A" w:rsidRDefault="00616090" w:rsidP="003511E5">
      <w:pPr>
        <w:spacing w:after="0"/>
        <w:rPr>
          <w:rFonts w:asciiTheme="majorHAnsi" w:hAnsiTheme="majorHAnsi"/>
        </w:rPr>
      </w:pPr>
    </w:p>
    <w:p w14:paraId="1009A6FA" w14:textId="77777777" w:rsidR="00B64BFA" w:rsidRPr="0088467A" w:rsidRDefault="0088467A" w:rsidP="00572E9A">
      <w:pPr>
        <w:pStyle w:val="ListParagraph"/>
        <w:numPr>
          <w:ilvl w:val="0"/>
          <w:numId w:val="1"/>
        </w:numPr>
        <w:spacing w:after="0"/>
        <w:ind w:left="360"/>
        <w:rPr>
          <w:rFonts w:asciiTheme="majorHAnsi" w:hAnsiTheme="majorHAnsi"/>
          <w:b/>
        </w:rPr>
      </w:pPr>
      <w:r w:rsidRPr="0088467A">
        <w:rPr>
          <w:rFonts w:asciiTheme="majorHAnsi" w:hAnsiTheme="majorHAnsi"/>
          <w:b/>
          <w:bCs/>
        </w:rPr>
        <w:t>Estimates of Annualized Burden Hours and Costs</w:t>
      </w:r>
    </w:p>
    <w:p w14:paraId="033E044A" w14:textId="18FB0BDC" w:rsidR="005624BF" w:rsidRPr="004B1746" w:rsidRDefault="00B64BFA" w:rsidP="004B1746">
      <w:pPr>
        <w:pStyle w:val="ListParagraph"/>
        <w:autoSpaceDE w:val="0"/>
        <w:autoSpaceDN w:val="0"/>
        <w:adjustRightInd w:val="0"/>
        <w:ind w:left="0"/>
      </w:pPr>
      <w:r w:rsidRPr="00546A99">
        <w:rPr>
          <w:color w:val="000000"/>
        </w:rPr>
        <w:t xml:space="preserve">The estimate for burden hours is based on a pilot test of the </w:t>
      </w:r>
      <w:r w:rsidR="00DA09D0" w:rsidRPr="00546A99">
        <w:rPr>
          <w:color w:val="000000"/>
        </w:rPr>
        <w:t xml:space="preserve">online data collection instrument by </w:t>
      </w:r>
      <w:r w:rsidR="0023054C">
        <w:rPr>
          <w:color w:val="000000"/>
        </w:rPr>
        <w:t>nine</w:t>
      </w:r>
      <w:r w:rsidR="00A66946" w:rsidRPr="00546A99">
        <w:rPr>
          <w:color w:val="000000"/>
        </w:rPr>
        <w:t xml:space="preserve"> </w:t>
      </w:r>
      <w:r w:rsidR="00DA09D0" w:rsidRPr="00546A99">
        <w:rPr>
          <w:color w:val="000000"/>
        </w:rPr>
        <w:t>public health professionals</w:t>
      </w:r>
      <w:r w:rsidRPr="00546A99">
        <w:t>.</w:t>
      </w:r>
      <w:r w:rsidR="0023054C">
        <w:t xml:space="preserve"> </w:t>
      </w:r>
      <w:r w:rsidRPr="00546A99">
        <w:t xml:space="preserve">In the pilot test, the average time to complete the </w:t>
      </w:r>
      <w:r w:rsidR="001C0CF0">
        <w:t>online data collection instrument</w:t>
      </w:r>
      <w:r w:rsidRPr="00546A99">
        <w:t xml:space="preserve"> including time for reviewing instructions, gathering needed information and completing the </w:t>
      </w:r>
      <w:r w:rsidR="001C0CF0">
        <w:t>online data collection instrument</w:t>
      </w:r>
      <w:r w:rsidRPr="00546A99">
        <w:t xml:space="preserve">, was approximately </w:t>
      </w:r>
      <w:r w:rsidR="00BE0874">
        <w:t>30</w:t>
      </w:r>
      <w:r w:rsidR="00A66946" w:rsidRPr="00546A99">
        <w:t xml:space="preserve"> minutes</w:t>
      </w:r>
      <w:r w:rsidR="0004189A">
        <w:t xml:space="preserve"> and </w:t>
      </w:r>
      <w:r w:rsidR="00BE0874">
        <w:t>15</w:t>
      </w:r>
      <w:r w:rsidR="0004189A">
        <w:t xml:space="preserve"> minutes of preparation time</w:t>
      </w:r>
      <w:r w:rsidRPr="00546A99">
        <w:t xml:space="preserve">. Based on these results, the estimated time range for respondents to complete the </w:t>
      </w:r>
      <w:r w:rsidR="001C0CF0">
        <w:t>online data collections</w:t>
      </w:r>
      <w:r w:rsidRPr="00546A99">
        <w:t xml:space="preserve"> is </w:t>
      </w:r>
      <w:r w:rsidR="00AF15EF" w:rsidRPr="00546A99">
        <w:t xml:space="preserve">between </w:t>
      </w:r>
      <w:r w:rsidR="00A66946" w:rsidRPr="00546A99">
        <w:t>20</w:t>
      </w:r>
      <w:r w:rsidR="00AF15EF" w:rsidRPr="00546A99">
        <w:t xml:space="preserve"> and </w:t>
      </w:r>
      <w:r w:rsidR="004F3AFB">
        <w:t>9</w:t>
      </w:r>
      <w:r w:rsidR="00A66946" w:rsidRPr="00546A99">
        <w:t>0</w:t>
      </w:r>
      <w:r w:rsidR="00AF15EF" w:rsidRPr="00546A99">
        <w:t xml:space="preserve"> minutes</w:t>
      </w:r>
      <w:r w:rsidR="004F3AFB">
        <w:t xml:space="preserve">, </w:t>
      </w:r>
      <w:r w:rsidR="004F3AFB" w:rsidRPr="004B1746">
        <w:t xml:space="preserve">with 90 minutes </w:t>
      </w:r>
      <w:r w:rsidR="004B1746">
        <w:t xml:space="preserve">as </w:t>
      </w:r>
      <w:r w:rsidR="004F3AFB" w:rsidRPr="004B1746">
        <w:t>an outlier</w:t>
      </w:r>
      <w:r w:rsidRPr="004B1746">
        <w:t>.</w:t>
      </w:r>
      <w:r w:rsidRPr="00546A99">
        <w:t xml:space="preserve"> For the purposes of estimating burden hours, </w:t>
      </w:r>
      <w:r w:rsidR="007B4934">
        <w:t xml:space="preserve">we have calculated </w:t>
      </w:r>
      <w:r w:rsidR="00BE0874">
        <w:t>45</w:t>
      </w:r>
      <w:r w:rsidR="007B4934">
        <w:t xml:space="preserve"> minutes </w:t>
      </w:r>
      <w:r w:rsidRPr="00546A99">
        <w:t>(i.e.,</w:t>
      </w:r>
      <w:r w:rsidR="00BE0874">
        <w:t xml:space="preserve"> 30</w:t>
      </w:r>
      <w:r w:rsidR="007B4934">
        <w:t xml:space="preserve"> minutes of survey execution time </w:t>
      </w:r>
      <w:r w:rsidR="0004189A">
        <w:t>plus</w:t>
      </w:r>
      <w:r w:rsidR="00BE0874">
        <w:t xml:space="preserve"> 1</w:t>
      </w:r>
      <w:r w:rsidR="0004189A">
        <w:t>5 minutes of preparation time</w:t>
      </w:r>
      <w:r w:rsidR="007B4934">
        <w:t>)</w:t>
      </w:r>
      <w:r w:rsidRPr="00546A99">
        <w:t>.</w:t>
      </w:r>
      <w:r w:rsidR="00464C8A" w:rsidRPr="00546A99">
        <w:t xml:space="preserve"> </w:t>
      </w:r>
    </w:p>
    <w:p w14:paraId="6502FC11" w14:textId="3905A240" w:rsidR="004F3AFB" w:rsidRDefault="00A66946" w:rsidP="0094001D">
      <w:pPr>
        <w:contextualSpacing/>
      </w:pPr>
      <w:r w:rsidRPr="00546A99">
        <w:rPr>
          <w:color w:val="000000"/>
        </w:rPr>
        <w:t xml:space="preserve">The estimate for burden hours is based on a pilot test of the interview data collection instruments by </w:t>
      </w:r>
      <w:r w:rsidRPr="00546A99">
        <w:t xml:space="preserve">nine public health professionals. </w:t>
      </w:r>
      <w:r w:rsidR="00040ACC" w:rsidRPr="00546A99">
        <w:t xml:space="preserve">Based on the experience during the pilot, we </w:t>
      </w:r>
      <w:r w:rsidR="00E63D11" w:rsidRPr="00546A99">
        <w:t xml:space="preserve">are </w:t>
      </w:r>
      <w:r w:rsidR="0094001D">
        <w:t>using</w:t>
      </w:r>
      <w:r w:rsidR="00E63D11" w:rsidRPr="00546A99">
        <w:t xml:space="preserve"> </w:t>
      </w:r>
      <w:r w:rsidR="0094001D">
        <w:t>an</w:t>
      </w:r>
      <w:r w:rsidR="00E63D11" w:rsidRPr="00546A99">
        <w:t xml:space="preserve"> average of two res</w:t>
      </w:r>
      <w:r w:rsidR="005360C4">
        <w:t>ources</w:t>
      </w:r>
      <w:r w:rsidR="00E63D11" w:rsidRPr="00546A99">
        <w:t xml:space="preserve"> per interview data collection for our estimate</w:t>
      </w:r>
      <w:r w:rsidR="00040ACC" w:rsidRPr="00546A99">
        <w:t xml:space="preserve">. </w:t>
      </w:r>
      <w:r w:rsidR="00E63D11" w:rsidRPr="00546A99">
        <w:t>We estimate the tim</w:t>
      </w:r>
      <w:r w:rsidR="002070F0">
        <w:t xml:space="preserve">e per </w:t>
      </w:r>
      <w:r w:rsidR="00040ACC" w:rsidRPr="00546A99">
        <w:t>interview data collection to be two hours</w:t>
      </w:r>
      <w:r w:rsidR="00D63F97">
        <w:t>:</w:t>
      </w:r>
      <w:r w:rsidR="00E63D11" w:rsidRPr="00546A99">
        <w:t xml:space="preserve"> one and a half hours to conduct the data collection and thirty minutes for the respondent to </w:t>
      </w:r>
      <w:r w:rsidR="00D40A86">
        <w:t>spend on</w:t>
      </w:r>
      <w:r w:rsidR="0094001D">
        <w:t xml:space="preserve"> logistics</w:t>
      </w:r>
      <w:r w:rsidR="00D40A86">
        <w:t>, scheduling,</w:t>
      </w:r>
      <w:r w:rsidR="0094001D">
        <w:t xml:space="preserve"> and preparation</w:t>
      </w:r>
      <w:r w:rsidR="00040ACC" w:rsidRPr="00546A99">
        <w:t xml:space="preserve">. </w:t>
      </w:r>
    </w:p>
    <w:p w14:paraId="490719E1" w14:textId="77777777" w:rsidR="0094001D" w:rsidRDefault="0094001D" w:rsidP="0094001D">
      <w:pPr>
        <w:contextualSpacing/>
      </w:pPr>
    </w:p>
    <w:p w14:paraId="0B882FA1" w14:textId="0297E9F7" w:rsidR="0023054C" w:rsidRDefault="0023054C" w:rsidP="0094001D">
      <w:pPr>
        <w:contextualSpacing/>
        <w:rPr>
          <w:color w:val="000000"/>
        </w:rPr>
      </w:pPr>
      <w:r w:rsidRPr="00546A99">
        <w:rPr>
          <w:color w:val="000000"/>
        </w:rPr>
        <w:t xml:space="preserve">Estimates for the average hourly wage for respondents are based on the Department of Labor (DOL) National Compensation Survey estimate for management occupations – </w:t>
      </w:r>
      <w:r>
        <w:rPr>
          <w:color w:val="000000"/>
        </w:rPr>
        <w:t>general and operations</w:t>
      </w:r>
      <w:r w:rsidRPr="00546A99">
        <w:rPr>
          <w:color w:val="000000"/>
        </w:rPr>
        <w:t xml:space="preserve"> managers in state government (</w:t>
      </w:r>
      <w:hyperlink r:id="rId15" w:history="1">
        <w:r w:rsidRPr="00546A99">
          <w:rPr>
            <w:rStyle w:val="Hyperlink"/>
          </w:rPr>
          <w:t>http://www.bls.gov/ncs/ocs/sp/nctb1349.pdf</w:t>
        </w:r>
      </w:hyperlink>
      <w:r w:rsidRPr="00546A99">
        <w:rPr>
          <w:color w:val="000000"/>
        </w:rPr>
        <w:t>). Based on DOL data</w:t>
      </w:r>
      <w:r>
        <w:rPr>
          <w:color w:val="000000"/>
        </w:rPr>
        <w:t>, an</w:t>
      </w:r>
      <w:r w:rsidRPr="00546A99">
        <w:rPr>
          <w:color w:val="000000"/>
        </w:rPr>
        <w:t xml:space="preserve"> average hourly wage of $37.06 is estimated for all </w:t>
      </w:r>
      <w:r>
        <w:rPr>
          <w:color w:val="000000"/>
        </w:rPr>
        <w:t>64</w:t>
      </w:r>
      <w:r w:rsidRPr="00546A99">
        <w:rPr>
          <w:color w:val="000000"/>
        </w:rPr>
        <w:t xml:space="preserve"> respondents</w:t>
      </w:r>
      <w:r>
        <w:rPr>
          <w:color w:val="000000"/>
        </w:rPr>
        <w:t xml:space="preserve"> completing the online data collection instrument </w:t>
      </w:r>
      <w:r w:rsidRPr="00E375E6">
        <w:rPr>
          <w:color w:val="000000"/>
        </w:rPr>
        <w:t>and</w:t>
      </w:r>
      <w:r>
        <w:rPr>
          <w:color w:val="000000"/>
        </w:rPr>
        <w:t xml:space="preserve"> an</w:t>
      </w:r>
      <w:r w:rsidRPr="00546A99">
        <w:rPr>
          <w:color w:val="000000"/>
        </w:rPr>
        <w:t xml:space="preserve"> average hourly wage of $37.06 is estimated for all 128 respondents</w:t>
      </w:r>
      <w:r>
        <w:rPr>
          <w:color w:val="000000"/>
        </w:rPr>
        <w:t xml:space="preserve"> completing the interview</w:t>
      </w:r>
      <w:r w:rsidRPr="00546A99">
        <w:rPr>
          <w:color w:val="000000"/>
        </w:rPr>
        <w:t>. Table</w:t>
      </w:r>
      <w:r>
        <w:rPr>
          <w:color w:val="000000"/>
        </w:rPr>
        <w:t xml:space="preserve"> A</w:t>
      </w:r>
      <w:r w:rsidRPr="00546A99">
        <w:rPr>
          <w:color w:val="000000"/>
        </w:rPr>
        <w:t>-12 shows the estimated burden and cost information.</w:t>
      </w:r>
    </w:p>
    <w:p w14:paraId="2D2B1ABB" w14:textId="0A00FDF2" w:rsidR="00D63F97" w:rsidRDefault="00D63F97" w:rsidP="0094001D">
      <w:pPr>
        <w:contextualSpacing/>
      </w:pPr>
    </w:p>
    <w:p w14:paraId="5A22F8F8" w14:textId="77777777" w:rsidR="00FB0D8F" w:rsidRDefault="00FB0D8F" w:rsidP="0094001D">
      <w:pPr>
        <w:contextualSpacing/>
      </w:pPr>
    </w:p>
    <w:p w14:paraId="6CDA9616" w14:textId="77777777" w:rsidR="00FB0D8F" w:rsidRDefault="00FB0D8F" w:rsidP="0094001D">
      <w:pPr>
        <w:contextualSpacing/>
      </w:pPr>
    </w:p>
    <w:p w14:paraId="583DECB4" w14:textId="77777777" w:rsidR="00FB0D8F" w:rsidRDefault="00FB0D8F" w:rsidP="0094001D">
      <w:pPr>
        <w:contextualSpacing/>
      </w:pPr>
    </w:p>
    <w:p w14:paraId="691ACAC7" w14:textId="77777777" w:rsidR="00FB0D8F" w:rsidRDefault="00FB0D8F" w:rsidP="0094001D">
      <w:pPr>
        <w:contextualSpacing/>
      </w:pPr>
    </w:p>
    <w:p w14:paraId="7183C0C4" w14:textId="77777777" w:rsidR="00FB0D8F" w:rsidRDefault="00FB0D8F" w:rsidP="0094001D">
      <w:pPr>
        <w:contextualSpacing/>
      </w:pPr>
    </w:p>
    <w:p w14:paraId="4F602867" w14:textId="77777777" w:rsidR="00FB0D8F" w:rsidRDefault="00FB0D8F" w:rsidP="0094001D">
      <w:pPr>
        <w:contextualSpacing/>
      </w:pPr>
    </w:p>
    <w:p w14:paraId="3323314B" w14:textId="77777777" w:rsidR="00FB0D8F" w:rsidRDefault="00FB0D8F" w:rsidP="0094001D">
      <w:pPr>
        <w:contextualSpacing/>
      </w:pPr>
    </w:p>
    <w:p w14:paraId="74971065" w14:textId="77777777" w:rsidR="00FB0D8F" w:rsidRDefault="00FB0D8F" w:rsidP="0094001D">
      <w:pPr>
        <w:contextualSpacing/>
      </w:pPr>
    </w:p>
    <w:p w14:paraId="7AFA6FCD" w14:textId="77777777" w:rsidR="00FB0D8F" w:rsidRDefault="00FB0D8F" w:rsidP="0094001D">
      <w:pPr>
        <w:contextualSpacing/>
      </w:pPr>
    </w:p>
    <w:p w14:paraId="25B2D6DA" w14:textId="77777777" w:rsidR="00FB0D8F" w:rsidRDefault="00FB0D8F" w:rsidP="0094001D">
      <w:pPr>
        <w:contextualSpacing/>
      </w:pPr>
    </w:p>
    <w:p w14:paraId="3D697501" w14:textId="23C7D448" w:rsidR="00040ACC" w:rsidRPr="00040ACC" w:rsidRDefault="00040ACC" w:rsidP="00040ACC">
      <w:pPr>
        <w:pStyle w:val="ListParagraph"/>
        <w:autoSpaceDE w:val="0"/>
        <w:autoSpaceDN w:val="0"/>
        <w:adjustRightInd w:val="0"/>
        <w:ind w:left="0" w:right="720"/>
        <w:rPr>
          <w:rFonts w:asciiTheme="majorHAnsi" w:hAnsiTheme="majorHAnsi"/>
        </w:rPr>
      </w:pPr>
      <w:r w:rsidRPr="008E0683">
        <w:rPr>
          <w:rFonts w:asciiTheme="majorHAnsi" w:hAnsiTheme="majorHAnsi"/>
          <w:b/>
          <w:u w:val="single"/>
        </w:rPr>
        <w:lastRenderedPageBreak/>
        <w:t xml:space="preserve">Table </w:t>
      </w:r>
      <w:r w:rsidR="00F21CF0">
        <w:rPr>
          <w:rFonts w:asciiTheme="majorHAnsi" w:hAnsiTheme="majorHAnsi"/>
          <w:b/>
          <w:u w:val="single"/>
        </w:rPr>
        <w:t>A</w:t>
      </w:r>
      <w:r w:rsidRPr="008E0683">
        <w:rPr>
          <w:rFonts w:asciiTheme="majorHAnsi" w:hAnsiTheme="majorHAnsi"/>
          <w:b/>
          <w:u w:val="single"/>
        </w:rPr>
        <w:t>-12</w:t>
      </w:r>
      <w:r w:rsidRPr="008E0683">
        <w:rPr>
          <w:rFonts w:asciiTheme="majorHAnsi" w:hAnsiTheme="majorHAnsi"/>
          <w:b/>
        </w:rPr>
        <w:t>:</w:t>
      </w:r>
      <w:r w:rsidRPr="003C31C9">
        <w:rPr>
          <w:rFonts w:asciiTheme="majorHAnsi" w:hAnsiTheme="majorHAnsi"/>
        </w:rPr>
        <w:t xml:space="preserve"> </w:t>
      </w:r>
      <w:r w:rsidRPr="005624BF">
        <w:rPr>
          <w:rFonts w:asciiTheme="majorHAnsi" w:hAnsiTheme="majorHAnsi"/>
        </w:rPr>
        <w:t xml:space="preserve">Estimated Annualized Burden Hours and Costs to Respondents </w:t>
      </w:r>
    </w:p>
    <w:tbl>
      <w:tblPr>
        <w:tblW w:w="981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530"/>
        <w:gridCol w:w="1350"/>
        <w:gridCol w:w="1350"/>
        <w:gridCol w:w="1170"/>
        <w:gridCol w:w="900"/>
        <w:gridCol w:w="900"/>
        <w:gridCol w:w="1350"/>
      </w:tblGrid>
      <w:tr w:rsidR="00D40A86" w:rsidRPr="00457884" w14:paraId="3DA75AC0" w14:textId="77777777" w:rsidTr="00D40A86">
        <w:trPr>
          <w:trHeight w:val="1340"/>
        </w:trPr>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BA7511" w14:textId="77777777" w:rsidR="004315AE" w:rsidRPr="00D40A86" w:rsidRDefault="00C53EEF" w:rsidP="00C53EEF">
            <w:pPr>
              <w:jc w:val="center"/>
              <w:rPr>
                <w:rFonts w:asciiTheme="majorHAnsi" w:eastAsia="Times New Roman" w:hAnsiTheme="majorHAnsi" w:cs="Times New Roman"/>
                <w:b/>
                <w:sz w:val="18"/>
                <w:szCs w:val="18"/>
              </w:rPr>
            </w:pPr>
            <w:r w:rsidRPr="00D40A86">
              <w:rPr>
                <w:rFonts w:asciiTheme="majorHAnsi" w:eastAsia="Times New Roman" w:hAnsiTheme="majorHAnsi" w:cs="Times New Roman"/>
                <w:b/>
                <w:sz w:val="18"/>
                <w:szCs w:val="18"/>
              </w:rPr>
              <w:t>Data Collection Instrument</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929CE84" w14:textId="77777777" w:rsidR="004315AE" w:rsidRPr="00D40A86" w:rsidRDefault="004315AE" w:rsidP="00CB7751">
            <w:pPr>
              <w:jc w:val="center"/>
              <w:rPr>
                <w:rFonts w:asciiTheme="majorHAnsi" w:eastAsia="Times New Roman" w:hAnsiTheme="majorHAnsi" w:cs="Times New Roman"/>
                <w:b/>
                <w:sz w:val="18"/>
                <w:szCs w:val="18"/>
              </w:rPr>
            </w:pPr>
            <w:r w:rsidRPr="00D40A86">
              <w:rPr>
                <w:rFonts w:asciiTheme="majorHAnsi" w:eastAsia="Times New Roman" w:hAnsiTheme="majorHAnsi" w:cs="Times New Roman"/>
                <w:b/>
                <w:sz w:val="18"/>
                <w:szCs w:val="18"/>
              </w:rPr>
              <w:t>Type of Respondent</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3E4606B" w14:textId="224D2675" w:rsidR="004315AE" w:rsidRPr="00D40A86" w:rsidRDefault="004315AE" w:rsidP="005360C4">
            <w:pPr>
              <w:jc w:val="center"/>
              <w:rPr>
                <w:rFonts w:asciiTheme="majorHAnsi" w:eastAsia="Times New Roman" w:hAnsiTheme="majorHAnsi" w:cs="Times New Roman"/>
                <w:b/>
                <w:sz w:val="18"/>
                <w:szCs w:val="18"/>
              </w:rPr>
            </w:pPr>
            <w:r w:rsidRPr="00D40A86">
              <w:rPr>
                <w:rFonts w:asciiTheme="majorHAnsi" w:eastAsia="Times New Roman" w:hAnsiTheme="majorHAnsi" w:cs="Times New Roman"/>
                <w:b/>
                <w:sz w:val="18"/>
                <w:szCs w:val="18"/>
              </w:rPr>
              <w:t>No. of Re</w:t>
            </w:r>
            <w:r w:rsidR="006664D6">
              <w:rPr>
                <w:rFonts w:asciiTheme="majorHAnsi" w:eastAsia="Times New Roman" w:hAnsiTheme="majorHAnsi" w:cs="Times New Roman"/>
                <w:b/>
                <w:sz w:val="18"/>
                <w:szCs w:val="18"/>
              </w:rPr>
              <w:t>spondent</w:t>
            </w:r>
            <w:r w:rsidR="005360C4">
              <w:rPr>
                <w:rFonts w:asciiTheme="majorHAnsi" w:eastAsia="Times New Roman" w:hAnsiTheme="majorHAnsi" w:cs="Times New Roman"/>
                <w:b/>
                <w:sz w:val="18"/>
                <w:szCs w:val="18"/>
              </w:rPr>
              <w:t>s</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53A0C5" w14:textId="77777777" w:rsidR="004315AE" w:rsidRPr="00D40A86" w:rsidRDefault="004315AE" w:rsidP="00CB7751">
            <w:pPr>
              <w:jc w:val="center"/>
              <w:rPr>
                <w:rFonts w:asciiTheme="majorHAnsi" w:eastAsia="Times New Roman" w:hAnsiTheme="majorHAnsi" w:cs="Times New Roman"/>
                <w:b/>
                <w:sz w:val="18"/>
                <w:szCs w:val="18"/>
              </w:rPr>
            </w:pPr>
            <w:r w:rsidRPr="00D40A86">
              <w:rPr>
                <w:rFonts w:asciiTheme="majorHAnsi" w:eastAsia="Times New Roman" w:hAnsiTheme="majorHAnsi" w:cs="Times New Roman"/>
                <w:b/>
                <w:sz w:val="18"/>
                <w:szCs w:val="18"/>
              </w:rPr>
              <w:t>No. of Responses per Respondent</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24B6C60" w14:textId="77777777" w:rsidR="004315AE" w:rsidRPr="00D40A86" w:rsidRDefault="004315AE" w:rsidP="00CB7751">
            <w:pPr>
              <w:jc w:val="center"/>
              <w:rPr>
                <w:rFonts w:asciiTheme="majorHAnsi" w:eastAsia="Times New Roman" w:hAnsiTheme="majorHAnsi" w:cs="Times New Roman"/>
                <w:b/>
                <w:sz w:val="18"/>
                <w:szCs w:val="18"/>
              </w:rPr>
            </w:pPr>
            <w:r w:rsidRPr="00D40A86">
              <w:rPr>
                <w:rFonts w:asciiTheme="majorHAnsi" w:eastAsia="Times New Roman" w:hAnsiTheme="majorHAnsi" w:cs="Times New Roman"/>
                <w:b/>
                <w:sz w:val="18"/>
                <w:szCs w:val="18"/>
              </w:rPr>
              <w:t>Average Burden per Response (in hours)</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2896B4D" w14:textId="77777777" w:rsidR="004315AE" w:rsidRPr="00D40A86" w:rsidRDefault="004315AE" w:rsidP="00CB7751">
            <w:pPr>
              <w:jc w:val="center"/>
              <w:rPr>
                <w:rFonts w:asciiTheme="majorHAnsi" w:eastAsia="Times New Roman" w:hAnsiTheme="majorHAnsi" w:cs="Times New Roman"/>
                <w:b/>
                <w:sz w:val="18"/>
                <w:szCs w:val="18"/>
              </w:rPr>
            </w:pPr>
            <w:r w:rsidRPr="00D40A86">
              <w:rPr>
                <w:rFonts w:asciiTheme="majorHAnsi" w:eastAsia="Times New Roman" w:hAnsiTheme="majorHAnsi" w:cs="Times New Roman"/>
                <w:b/>
                <w:sz w:val="18"/>
                <w:szCs w:val="18"/>
              </w:rPr>
              <w:t>Total Burden Hours</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CE64D4E" w14:textId="77777777" w:rsidR="004315AE" w:rsidRPr="00D40A86" w:rsidRDefault="004315AE" w:rsidP="00CB7751">
            <w:pPr>
              <w:jc w:val="center"/>
              <w:rPr>
                <w:rFonts w:asciiTheme="majorHAnsi" w:eastAsia="Times New Roman" w:hAnsiTheme="majorHAnsi" w:cs="Times New Roman"/>
                <w:b/>
                <w:sz w:val="18"/>
                <w:szCs w:val="18"/>
              </w:rPr>
            </w:pPr>
            <w:r w:rsidRPr="00D40A86">
              <w:rPr>
                <w:rFonts w:asciiTheme="majorHAnsi" w:eastAsia="Times New Roman" w:hAnsiTheme="majorHAnsi" w:cs="Times New Roman"/>
                <w:b/>
                <w:sz w:val="18"/>
                <w:szCs w:val="18"/>
              </w:rPr>
              <w:t>Hourly Wage Rate</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306534" w14:textId="77777777" w:rsidR="004315AE" w:rsidRPr="00D40A86" w:rsidRDefault="004315AE" w:rsidP="00CB7751">
            <w:pPr>
              <w:jc w:val="center"/>
              <w:rPr>
                <w:rFonts w:asciiTheme="majorHAnsi" w:eastAsia="Times New Roman" w:hAnsiTheme="majorHAnsi" w:cs="Times New Roman"/>
                <w:b/>
                <w:sz w:val="18"/>
                <w:szCs w:val="18"/>
              </w:rPr>
            </w:pPr>
            <w:r w:rsidRPr="00D40A86">
              <w:rPr>
                <w:rFonts w:asciiTheme="majorHAnsi" w:eastAsia="Times New Roman" w:hAnsiTheme="majorHAnsi" w:cs="Times New Roman"/>
                <w:b/>
                <w:sz w:val="18"/>
                <w:szCs w:val="18"/>
              </w:rPr>
              <w:t>Total Respondent Costs</w:t>
            </w:r>
          </w:p>
        </w:tc>
      </w:tr>
      <w:tr w:rsidR="00D40A86" w:rsidRPr="00246536" w14:paraId="248C9CB6" w14:textId="77777777" w:rsidTr="00D40A86">
        <w:tc>
          <w:tcPr>
            <w:tcW w:w="1260" w:type="dxa"/>
            <w:tcBorders>
              <w:top w:val="single" w:sz="4" w:space="0" w:color="000000"/>
              <w:left w:val="single" w:sz="4" w:space="0" w:color="000000"/>
              <w:bottom w:val="single" w:sz="4" w:space="0" w:color="000000"/>
              <w:right w:val="single" w:sz="4" w:space="0" w:color="000000"/>
            </w:tcBorders>
            <w:vAlign w:val="center"/>
          </w:tcPr>
          <w:p w14:paraId="58514FF0" w14:textId="77777777" w:rsidR="004315AE" w:rsidRPr="00C53EEF" w:rsidRDefault="00C53EEF" w:rsidP="00D40A86">
            <w:pPr>
              <w:spacing w:after="0"/>
              <w:rPr>
                <w:rFonts w:eastAsia="Times New Roman" w:cs="Times New Roman"/>
              </w:rPr>
            </w:pPr>
            <w:r w:rsidRPr="00C53EEF">
              <w:rPr>
                <w:rFonts w:eastAsia="Times New Roman" w:cs="Times New Roman"/>
              </w:rPr>
              <w:t>Online Data Collection Instrument</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4274A25F" w14:textId="4210E73C" w:rsidR="004315AE" w:rsidRPr="00C53EEF" w:rsidRDefault="00C53EEF" w:rsidP="00D40A86">
            <w:pPr>
              <w:spacing w:after="0"/>
              <w:rPr>
                <w:rFonts w:eastAsia="Times New Roman" w:cs="Times New Roman"/>
              </w:rPr>
            </w:pPr>
            <w:r w:rsidRPr="00C53EEF">
              <w:rPr>
                <w:rFonts w:eastAsia="Times New Roman" w:cs="Times New Roman"/>
              </w:rPr>
              <w:t xml:space="preserve">IIS </w:t>
            </w:r>
            <w:r w:rsidR="00576E04">
              <w:rPr>
                <w:rFonts w:eastAsia="Times New Roman" w:cs="Times New Roman"/>
              </w:rPr>
              <w:t xml:space="preserve">Program </w:t>
            </w:r>
            <w:r w:rsidRPr="00C53EEF">
              <w:rPr>
                <w:rFonts w:eastAsia="Times New Roman" w:cs="Times New Roman"/>
              </w:rPr>
              <w:t>Manager</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0F85FDD7" w14:textId="77777777" w:rsidR="004315AE" w:rsidRPr="00C53EEF" w:rsidRDefault="004315AE" w:rsidP="00D40A86">
            <w:pPr>
              <w:spacing w:after="0"/>
              <w:jc w:val="center"/>
              <w:rPr>
                <w:rFonts w:eastAsia="Times New Roman" w:cs="Times New Roman"/>
              </w:rPr>
            </w:pPr>
            <w:r w:rsidRPr="00C53EEF">
              <w:rPr>
                <w:rFonts w:eastAsia="Times New Roman" w:cs="Times New Roman"/>
              </w:rPr>
              <w:t>64</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2267E717" w14:textId="77777777" w:rsidR="004315AE" w:rsidRPr="00C53EEF" w:rsidRDefault="004315AE" w:rsidP="00D40A86">
            <w:pPr>
              <w:spacing w:after="0"/>
              <w:jc w:val="center"/>
              <w:rPr>
                <w:rFonts w:eastAsia="Times New Roman" w:cs="Times New Roman"/>
              </w:rPr>
            </w:pPr>
            <w:r w:rsidRPr="00C53EEF">
              <w:rPr>
                <w:rFonts w:eastAsia="Times New Roman" w:cs="Times New Roman"/>
              </w:rPr>
              <w:t>1</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071929DC" w14:textId="34BC5CF9" w:rsidR="004315AE" w:rsidRPr="00C53EEF" w:rsidRDefault="00A21228" w:rsidP="00D40A86">
            <w:pPr>
              <w:spacing w:after="0"/>
              <w:jc w:val="center"/>
              <w:rPr>
                <w:rFonts w:eastAsia="Times New Roman" w:cs="Times New Roman"/>
              </w:rPr>
            </w:pPr>
            <w:r>
              <w:rPr>
                <w:rFonts w:eastAsia="Times New Roman" w:cs="Times New Roman"/>
              </w:rPr>
              <w:t>45/60</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B67A1DB" w14:textId="4BD50E69" w:rsidR="004315AE" w:rsidRPr="00246536" w:rsidRDefault="00BE0874" w:rsidP="00D40A86">
            <w:pPr>
              <w:spacing w:after="0"/>
              <w:jc w:val="center"/>
              <w:rPr>
                <w:rFonts w:eastAsia="Times New Roman" w:cs="Times New Roman"/>
              </w:rPr>
            </w:pPr>
            <w:r w:rsidRPr="00246536">
              <w:rPr>
                <w:rFonts w:eastAsia="Times New Roman" w:cs="Times New Roman"/>
              </w:rPr>
              <w:t>48</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1B92C99" w14:textId="77777777" w:rsidR="004315AE" w:rsidRPr="00246536" w:rsidRDefault="004315AE" w:rsidP="00D40A86">
            <w:pPr>
              <w:spacing w:after="0"/>
              <w:jc w:val="center"/>
              <w:rPr>
                <w:rFonts w:eastAsia="Times New Roman" w:cs="Times New Roman"/>
              </w:rPr>
            </w:pPr>
            <w:r w:rsidRPr="00246536">
              <w:rPr>
                <w:rFonts w:eastAsia="Times New Roman" w:cs="Times New Roman"/>
              </w:rPr>
              <w:t>$37.06</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37F09B8F" w14:textId="71B66B19" w:rsidR="004315AE" w:rsidRPr="00246536" w:rsidRDefault="00445E75" w:rsidP="00A46397">
            <w:pPr>
              <w:spacing w:after="0"/>
              <w:jc w:val="center"/>
              <w:rPr>
                <w:rFonts w:eastAsia="Times New Roman" w:cs="Times New Roman"/>
              </w:rPr>
            </w:pPr>
            <w:r w:rsidRPr="00246536">
              <w:rPr>
                <w:rFonts w:eastAsia="Times New Roman" w:cs="Times New Roman"/>
              </w:rPr>
              <w:t>$</w:t>
            </w:r>
            <w:r w:rsidR="00A46397" w:rsidRPr="00246536">
              <w:rPr>
                <w:rFonts w:eastAsia="Times New Roman" w:cs="Times New Roman"/>
              </w:rPr>
              <w:t>1778.88</w:t>
            </w:r>
          </w:p>
        </w:tc>
      </w:tr>
      <w:tr w:rsidR="00D40A86" w:rsidRPr="00246536" w14:paraId="54B592CC" w14:textId="77777777" w:rsidTr="00D40A86">
        <w:tc>
          <w:tcPr>
            <w:tcW w:w="1260" w:type="dxa"/>
            <w:tcBorders>
              <w:top w:val="single" w:sz="4" w:space="0" w:color="000000"/>
              <w:left w:val="single" w:sz="4" w:space="0" w:color="000000"/>
              <w:bottom w:val="single" w:sz="4" w:space="0" w:color="000000"/>
              <w:right w:val="single" w:sz="4" w:space="0" w:color="000000"/>
            </w:tcBorders>
            <w:vAlign w:val="center"/>
          </w:tcPr>
          <w:p w14:paraId="4164C1D7" w14:textId="77777777" w:rsidR="004315AE" w:rsidRPr="00C53EEF" w:rsidRDefault="00C53EEF" w:rsidP="00D40A86">
            <w:pPr>
              <w:spacing w:after="0"/>
              <w:rPr>
                <w:rFonts w:eastAsia="Times New Roman" w:cs="Times New Roman"/>
              </w:rPr>
            </w:pPr>
            <w:r w:rsidRPr="00C53EEF">
              <w:rPr>
                <w:rFonts w:eastAsia="Times New Roman" w:cs="Times New Roman"/>
              </w:rPr>
              <w:t>Interview Data Collection Instrument</w:t>
            </w:r>
          </w:p>
        </w:tc>
        <w:tc>
          <w:tcPr>
            <w:tcW w:w="1530" w:type="dxa"/>
            <w:tcBorders>
              <w:top w:val="single" w:sz="4" w:space="0" w:color="000000"/>
              <w:left w:val="single" w:sz="4" w:space="0" w:color="000000"/>
              <w:bottom w:val="single" w:sz="4" w:space="0" w:color="000000"/>
              <w:right w:val="single" w:sz="4" w:space="0" w:color="000000"/>
            </w:tcBorders>
            <w:vAlign w:val="center"/>
          </w:tcPr>
          <w:p w14:paraId="516D3922" w14:textId="249D4E10" w:rsidR="004315AE" w:rsidRPr="00C53EEF" w:rsidRDefault="00445E75" w:rsidP="001762AB">
            <w:pPr>
              <w:spacing w:after="0"/>
              <w:rPr>
                <w:rFonts w:eastAsia="Times New Roman" w:cs="Times New Roman"/>
              </w:rPr>
            </w:pPr>
            <w:r>
              <w:rPr>
                <w:rFonts w:eastAsia="Times New Roman" w:cs="Times New Roman"/>
              </w:rPr>
              <w:t xml:space="preserve">IIS </w:t>
            </w:r>
            <w:r w:rsidR="00576E04">
              <w:rPr>
                <w:rFonts w:eastAsia="Times New Roman" w:cs="Times New Roman"/>
              </w:rPr>
              <w:t xml:space="preserve">Program </w:t>
            </w:r>
            <w:r>
              <w:rPr>
                <w:rFonts w:eastAsia="Times New Roman" w:cs="Times New Roman"/>
              </w:rPr>
              <w:t>Manager</w:t>
            </w:r>
            <w:r w:rsidR="00B5735E">
              <w:rPr>
                <w:rFonts w:eastAsia="Times New Roman" w:cs="Times New Roman"/>
              </w:rPr>
              <w:t xml:space="preserve"> and </w:t>
            </w:r>
            <w:r>
              <w:rPr>
                <w:rFonts w:eastAsia="Times New Roman" w:cs="Times New Roman"/>
              </w:rPr>
              <w:t xml:space="preserve"> </w:t>
            </w:r>
            <w:r w:rsidR="001762AB">
              <w:rPr>
                <w:rFonts w:eastAsia="Times New Roman" w:cs="Times New Roman"/>
              </w:rPr>
              <w:t xml:space="preserve">Immunization </w:t>
            </w:r>
            <w:r w:rsidR="008C3B24">
              <w:rPr>
                <w:rFonts w:eastAsia="Times New Roman" w:cs="Times New Roman"/>
              </w:rPr>
              <w:t>P</w:t>
            </w:r>
            <w:r w:rsidR="001762AB">
              <w:rPr>
                <w:rFonts w:eastAsia="Times New Roman" w:cs="Times New Roman"/>
              </w:rPr>
              <w:t>rogram manager</w:t>
            </w:r>
          </w:p>
        </w:tc>
        <w:tc>
          <w:tcPr>
            <w:tcW w:w="1350" w:type="dxa"/>
            <w:tcBorders>
              <w:top w:val="single" w:sz="4" w:space="0" w:color="000000"/>
              <w:left w:val="single" w:sz="4" w:space="0" w:color="000000"/>
              <w:bottom w:val="single" w:sz="4" w:space="0" w:color="000000"/>
              <w:right w:val="single" w:sz="4" w:space="0" w:color="000000"/>
            </w:tcBorders>
            <w:vAlign w:val="center"/>
          </w:tcPr>
          <w:p w14:paraId="6635B9FF" w14:textId="77777777" w:rsidR="004315AE" w:rsidRPr="00C53EEF" w:rsidRDefault="00C53EEF" w:rsidP="00D40A86">
            <w:pPr>
              <w:spacing w:after="0"/>
              <w:jc w:val="center"/>
              <w:rPr>
                <w:rFonts w:eastAsia="Times New Roman" w:cs="Times New Roman"/>
              </w:rPr>
            </w:pPr>
            <w:r w:rsidRPr="00C53EEF">
              <w:rPr>
                <w:rFonts w:eastAsia="Times New Roman" w:cs="Times New Roman"/>
              </w:rPr>
              <w:t>128</w:t>
            </w:r>
          </w:p>
        </w:tc>
        <w:tc>
          <w:tcPr>
            <w:tcW w:w="1350" w:type="dxa"/>
            <w:tcBorders>
              <w:top w:val="single" w:sz="4" w:space="0" w:color="000000"/>
              <w:left w:val="single" w:sz="4" w:space="0" w:color="000000"/>
              <w:bottom w:val="single" w:sz="4" w:space="0" w:color="000000"/>
              <w:right w:val="single" w:sz="4" w:space="0" w:color="000000"/>
            </w:tcBorders>
            <w:vAlign w:val="center"/>
          </w:tcPr>
          <w:p w14:paraId="362D5403" w14:textId="77777777" w:rsidR="004315AE" w:rsidRPr="00C53EEF" w:rsidRDefault="004315AE" w:rsidP="00D40A86">
            <w:pPr>
              <w:spacing w:after="0"/>
              <w:jc w:val="center"/>
              <w:rPr>
                <w:rFonts w:eastAsia="Times New Roman" w:cs="Times New Roman"/>
              </w:rPr>
            </w:pPr>
            <w:r w:rsidRPr="00C53EEF">
              <w:rPr>
                <w:rFonts w:eastAsia="Times New Roman" w:cs="Times New Roman"/>
              </w:rPr>
              <w:t>1</w:t>
            </w:r>
          </w:p>
        </w:tc>
        <w:tc>
          <w:tcPr>
            <w:tcW w:w="1170" w:type="dxa"/>
            <w:tcBorders>
              <w:top w:val="single" w:sz="4" w:space="0" w:color="000000"/>
              <w:left w:val="single" w:sz="4" w:space="0" w:color="000000"/>
              <w:bottom w:val="single" w:sz="4" w:space="0" w:color="000000"/>
              <w:right w:val="single" w:sz="4" w:space="0" w:color="000000"/>
            </w:tcBorders>
            <w:vAlign w:val="center"/>
          </w:tcPr>
          <w:p w14:paraId="03FCD1E8" w14:textId="6F73B3FE" w:rsidR="004315AE" w:rsidRPr="00C53EEF" w:rsidRDefault="00814E91" w:rsidP="00D40A86">
            <w:pPr>
              <w:spacing w:after="0"/>
              <w:jc w:val="center"/>
              <w:rPr>
                <w:rFonts w:eastAsia="Times New Roman" w:cs="Times New Roman"/>
              </w:rPr>
            </w:pPr>
            <w:r>
              <w:rPr>
                <w:rFonts w:eastAsia="Times New Roman" w:cs="Times New Roman"/>
              </w:rPr>
              <w:t>2</w:t>
            </w:r>
          </w:p>
        </w:tc>
        <w:tc>
          <w:tcPr>
            <w:tcW w:w="900" w:type="dxa"/>
            <w:tcBorders>
              <w:top w:val="single" w:sz="4" w:space="0" w:color="000000"/>
              <w:left w:val="single" w:sz="4" w:space="0" w:color="000000"/>
              <w:bottom w:val="single" w:sz="4" w:space="0" w:color="000000"/>
              <w:right w:val="single" w:sz="4" w:space="0" w:color="000000"/>
            </w:tcBorders>
            <w:vAlign w:val="center"/>
          </w:tcPr>
          <w:p w14:paraId="150D6A74" w14:textId="77777777" w:rsidR="004315AE" w:rsidRPr="00246536" w:rsidRDefault="00F21CF0" w:rsidP="00D40A86">
            <w:pPr>
              <w:spacing w:after="0"/>
              <w:jc w:val="center"/>
              <w:rPr>
                <w:rFonts w:eastAsia="Times New Roman" w:cs="Times New Roman"/>
              </w:rPr>
            </w:pPr>
            <w:r w:rsidRPr="00246536">
              <w:rPr>
                <w:rFonts w:eastAsia="Times New Roman" w:cs="Times New Roman"/>
              </w:rPr>
              <w:t>256</w:t>
            </w:r>
          </w:p>
        </w:tc>
        <w:tc>
          <w:tcPr>
            <w:tcW w:w="900" w:type="dxa"/>
            <w:tcBorders>
              <w:top w:val="single" w:sz="4" w:space="0" w:color="000000"/>
              <w:left w:val="single" w:sz="4" w:space="0" w:color="000000"/>
              <w:bottom w:val="single" w:sz="4" w:space="0" w:color="000000"/>
              <w:right w:val="single" w:sz="4" w:space="0" w:color="000000"/>
            </w:tcBorders>
            <w:vAlign w:val="center"/>
          </w:tcPr>
          <w:p w14:paraId="3EB9AE52" w14:textId="77777777" w:rsidR="004315AE" w:rsidRPr="00246536" w:rsidRDefault="004315AE" w:rsidP="00D40A86">
            <w:pPr>
              <w:spacing w:after="0"/>
              <w:jc w:val="center"/>
              <w:rPr>
                <w:rFonts w:eastAsia="Times New Roman" w:cs="Times New Roman"/>
              </w:rPr>
            </w:pPr>
            <w:r w:rsidRPr="00246536">
              <w:rPr>
                <w:rFonts w:eastAsia="Times New Roman" w:cs="Times New Roman"/>
              </w:rPr>
              <w:t>$37.06</w:t>
            </w:r>
          </w:p>
        </w:tc>
        <w:tc>
          <w:tcPr>
            <w:tcW w:w="1350" w:type="dxa"/>
            <w:tcBorders>
              <w:top w:val="single" w:sz="4" w:space="0" w:color="000000"/>
              <w:left w:val="single" w:sz="4" w:space="0" w:color="000000"/>
              <w:bottom w:val="single" w:sz="4" w:space="0" w:color="000000"/>
              <w:right w:val="single" w:sz="4" w:space="0" w:color="000000"/>
            </w:tcBorders>
            <w:vAlign w:val="center"/>
          </w:tcPr>
          <w:p w14:paraId="746152E2" w14:textId="77777777" w:rsidR="004315AE" w:rsidRPr="00246536" w:rsidRDefault="00C53EEF" w:rsidP="00D40A86">
            <w:pPr>
              <w:spacing w:after="0"/>
              <w:jc w:val="center"/>
              <w:rPr>
                <w:rFonts w:eastAsia="Times New Roman" w:cs="Times New Roman"/>
              </w:rPr>
            </w:pPr>
            <w:r w:rsidRPr="00246536">
              <w:rPr>
                <w:rFonts w:eastAsia="Times New Roman" w:cs="Times New Roman"/>
              </w:rPr>
              <w:t>$9,487.36</w:t>
            </w:r>
          </w:p>
        </w:tc>
      </w:tr>
      <w:tr w:rsidR="00D40A86" w:rsidRPr="00246536" w14:paraId="4F95D93A" w14:textId="77777777" w:rsidTr="00D40A86">
        <w:trPr>
          <w:trHeight w:hRule="exact" w:val="432"/>
        </w:trPr>
        <w:tc>
          <w:tcPr>
            <w:tcW w:w="1260" w:type="dxa"/>
            <w:tcBorders>
              <w:top w:val="single" w:sz="12" w:space="0" w:color="000000"/>
              <w:left w:val="single" w:sz="8" w:space="0" w:color="000000"/>
              <w:bottom w:val="single" w:sz="12" w:space="0" w:color="000000"/>
              <w:right w:val="single" w:sz="8" w:space="0" w:color="000000"/>
            </w:tcBorders>
          </w:tcPr>
          <w:p w14:paraId="54CD8F20" w14:textId="77777777" w:rsidR="004315AE" w:rsidRPr="00C53EEF" w:rsidRDefault="004315AE" w:rsidP="00CB7751">
            <w:pPr>
              <w:spacing w:after="0"/>
              <w:jc w:val="right"/>
              <w:rPr>
                <w:rFonts w:eastAsia="Times New Roman" w:cs="Times New Roman"/>
                <w:b/>
              </w:rPr>
            </w:pPr>
          </w:p>
        </w:tc>
        <w:tc>
          <w:tcPr>
            <w:tcW w:w="1530" w:type="dxa"/>
            <w:tcBorders>
              <w:top w:val="single" w:sz="12" w:space="0" w:color="000000"/>
              <w:left w:val="single" w:sz="8" w:space="0" w:color="000000"/>
              <w:bottom w:val="single" w:sz="12" w:space="0" w:color="000000"/>
              <w:right w:val="single" w:sz="8" w:space="0" w:color="000000"/>
            </w:tcBorders>
            <w:vAlign w:val="center"/>
            <w:hideMark/>
          </w:tcPr>
          <w:p w14:paraId="6CF8917E" w14:textId="77777777" w:rsidR="004315AE" w:rsidRPr="00C53EEF" w:rsidRDefault="004315AE" w:rsidP="00CB7751">
            <w:pPr>
              <w:spacing w:after="0"/>
              <w:jc w:val="right"/>
              <w:rPr>
                <w:rFonts w:eastAsia="Times New Roman" w:cs="Times New Roman"/>
                <w:b/>
              </w:rPr>
            </w:pPr>
            <w:r w:rsidRPr="00C53EEF">
              <w:rPr>
                <w:rFonts w:eastAsia="Times New Roman" w:cs="Times New Roman"/>
                <w:b/>
              </w:rPr>
              <w:t>TOTALS</w:t>
            </w:r>
          </w:p>
        </w:tc>
        <w:tc>
          <w:tcPr>
            <w:tcW w:w="1350" w:type="dxa"/>
            <w:tcBorders>
              <w:top w:val="single" w:sz="12" w:space="0" w:color="000000"/>
              <w:left w:val="single" w:sz="8" w:space="0" w:color="000000"/>
              <w:bottom w:val="single" w:sz="12" w:space="0" w:color="000000"/>
              <w:right w:val="single" w:sz="8" w:space="0" w:color="000000"/>
            </w:tcBorders>
            <w:vAlign w:val="center"/>
            <w:hideMark/>
          </w:tcPr>
          <w:p w14:paraId="16F28AEF" w14:textId="77777777" w:rsidR="004315AE" w:rsidRPr="00C53EEF" w:rsidRDefault="00F21CF0" w:rsidP="00CB7751">
            <w:pPr>
              <w:spacing w:after="0"/>
              <w:jc w:val="center"/>
              <w:rPr>
                <w:rFonts w:eastAsia="Times New Roman" w:cs="Times New Roman"/>
                <w:b/>
              </w:rPr>
            </w:pPr>
            <w:r>
              <w:rPr>
                <w:rFonts w:eastAsia="Times New Roman" w:cs="Times New Roman"/>
                <w:b/>
              </w:rPr>
              <w:t>192</w:t>
            </w:r>
          </w:p>
        </w:tc>
        <w:tc>
          <w:tcPr>
            <w:tcW w:w="1350" w:type="dxa"/>
            <w:tcBorders>
              <w:top w:val="single" w:sz="12" w:space="0" w:color="000000"/>
              <w:left w:val="single" w:sz="8" w:space="0" w:color="000000"/>
              <w:bottom w:val="single" w:sz="12" w:space="0" w:color="000000"/>
              <w:right w:val="single" w:sz="8" w:space="0" w:color="000000"/>
            </w:tcBorders>
            <w:vAlign w:val="center"/>
            <w:hideMark/>
          </w:tcPr>
          <w:p w14:paraId="71C8A58C" w14:textId="77777777" w:rsidR="004315AE" w:rsidRPr="00C53EEF" w:rsidRDefault="004315AE" w:rsidP="00CB7751">
            <w:pPr>
              <w:spacing w:after="0"/>
              <w:jc w:val="center"/>
              <w:rPr>
                <w:rFonts w:eastAsia="Times New Roman" w:cs="Times New Roman"/>
                <w:b/>
              </w:rPr>
            </w:pPr>
            <w:r w:rsidRPr="00C53EEF">
              <w:rPr>
                <w:rFonts w:eastAsia="Times New Roman" w:cs="Times New Roman"/>
                <w:b/>
              </w:rPr>
              <w:t>1</w:t>
            </w:r>
          </w:p>
        </w:tc>
        <w:tc>
          <w:tcPr>
            <w:tcW w:w="1170" w:type="dxa"/>
            <w:tcBorders>
              <w:top w:val="single" w:sz="12" w:space="0" w:color="000000"/>
              <w:left w:val="single" w:sz="8" w:space="0" w:color="000000"/>
              <w:bottom w:val="single" w:sz="12" w:space="0" w:color="000000"/>
              <w:right w:val="single" w:sz="8" w:space="0" w:color="000000"/>
            </w:tcBorders>
            <w:shd w:val="clear" w:color="auto" w:fill="D9D9D9" w:themeFill="background1" w:themeFillShade="D9"/>
            <w:vAlign w:val="center"/>
          </w:tcPr>
          <w:p w14:paraId="3983EAF0" w14:textId="77777777" w:rsidR="004315AE" w:rsidRPr="00C53EEF" w:rsidRDefault="004315AE" w:rsidP="00CB7751">
            <w:pPr>
              <w:spacing w:after="0"/>
              <w:jc w:val="center"/>
              <w:rPr>
                <w:rFonts w:eastAsia="Times New Roman" w:cs="Times New Roman"/>
                <w:b/>
              </w:rPr>
            </w:pPr>
          </w:p>
        </w:tc>
        <w:tc>
          <w:tcPr>
            <w:tcW w:w="900" w:type="dxa"/>
            <w:tcBorders>
              <w:top w:val="single" w:sz="12" w:space="0" w:color="000000"/>
              <w:left w:val="single" w:sz="8" w:space="0" w:color="000000"/>
              <w:bottom w:val="single" w:sz="12" w:space="0" w:color="000000"/>
              <w:right w:val="single" w:sz="8" w:space="0" w:color="000000"/>
            </w:tcBorders>
            <w:vAlign w:val="center"/>
            <w:hideMark/>
          </w:tcPr>
          <w:p w14:paraId="14D8D56D" w14:textId="7A70249F" w:rsidR="004315AE" w:rsidRPr="00246536" w:rsidRDefault="00E446D0" w:rsidP="00A46397">
            <w:pPr>
              <w:spacing w:after="0"/>
              <w:jc w:val="center"/>
              <w:rPr>
                <w:rFonts w:eastAsia="Times New Roman" w:cs="Times New Roman"/>
                <w:b/>
              </w:rPr>
            </w:pPr>
            <w:r w:rsidRPr="00246536">
              <w:rPr>
                <w:rFonts w:eastAsia="Times New Roman" w:cs="Times New Roman"/>
                <w:b/>
              </w:rPr>
              <w:t>3</w:t>
            </w:r>
            <w:r w:rsidR="00A46397" w:rsidRPr="00246536">
              <w:rPr>
                <w:rFonts w:eastAsia="Times New Roman" w:cs="Times New Roman"/>
                <w:b/>
              </w:rPr>
              <w:t>04</w:t>
            </w:r>
          </w:p>
        </w:tc>
        <w:tc>
          <w:tcPr>
            <w:tcW w:w="900" w:type="dxa"/>
            <w:tcBorders>
              <w:top w:val="single" w:sz="12" w:space="0" w:color="000000"/>
              <w:left w:val="single" w:sz="8" w:space="0" w:color="000000"/>
              <w:bottom w:val="single" w:sz="12" w:space="0" w:color="000000"/>
              <w:right w:val="single" w:sz="8" w:space="0" w:color="000000"/>
            </w:tcBorders>
            <w:shd w:val="clear" w:color="auto" w:fill="D9D9D9" w:themeFill="background1" w:themeFillShade="D9"/>
            <w:vAlign w:val="center"/>
          </w:tcPr>
          <w:p w14:paraId="5D808113" w14:textId="77777777" w:rsidR="004315AE" w:rsidRPr="00246536" w:rsidRDefault="004315AE" w:rsidP="00CB7751">
            <w:pPr>
              <w:spacing w:after="0"/>
              <w:jc w:val="center"/>
              <w:rPr>
                <w:rFonts w:eastAsia="Times New Roman" w:cs="Times New Roman"/>
                <w:b/>
              </w:rPr>
            </w:pPr>
          </w:p>
        </w:tc>
        <w:tc>
          <w:tcPr>
            <w:tcW w:w="1350" w:type="dxa"/>
            <w:tcBorders>
              <w:top w:val="single" w:sz="12" w:space="0" w:color="000000"/>
              <w:left w:val="single" w:sz="8" w:space="0" w:color="000000"/>
              <w:bottom w:val="single" w:sz="12" w:space="0" w:color="000000"/>
              <w:right w:val="single" w:sz="8" w:space="0" w:color="000000"/>
            </w:tcBorders>
            <w:vAlign w:val="center"/>
            <w:hideMark/>
          </w:tcPr>
          <w:p w14:paraId="25E4A4E0" w14:textId="62C467E9" w:rsidR="004315AE" w:rsidRPr="00246536" w:rsidRDefault="00F21CF0" w:rsidP="00A46397">
            <w:pPr>
              <w:spacing w:after="0"/>
              <w:jc w:val="right"/>
              <w:rPr>
                <w:rFonts w:eastAsia="Times New Roman" w:cs="Times New Roman"/>
                <w:b/>
              </w:rPr>
            </w:pPr>
            <w:r w:rsidRPr="00246536">
              <w:rPr>
                <w:rFonts w:eastAsia="Times New Roman" w:cs="Times New Roman"/>
                <w:b/>
              </w:rPr>
              <w:t>$</w:t>
            </w:r>
            <w:r w:rsidR="00A46397" w:rsidRPr="00246536">
              <w:rPr>
                <w:rFonts w:eastAsia="Times New Roman" w:cs="Times New Roman"/>
                <w:b/>
              </w:rPr>
              <w:t>1</w:t>
            </w:r>
            <w:r w:rsidR="00445E75" w:rsidRPr="00246536">
              <w:rPr>
                <w:rFonts w:eastAsia="Times New Roman" w:cs="Times New Roman"/>
                <w:b/>
              </w:rPr>
              <w:t>1</w:t>
            </w:r>
            <w:r w:rsidR="00A46397" w:rsidRPr="00246536">
              <w:rPr>
                <w:rFonts w:eastAsia="Times New Roman" w:cs="Times New Roman"/>
                <w:b/>
              </w:rPr>
              <w:t>,266.24</w:t>
            </w:r>
          </w:p>
        </w:tc>
      </w:tr>
    </w:tbl>
    <w:p w14:paraId="42BB5438" w14:textId="77777777" w:rsidR="00040ACC" w:rsidRPr="00464C8A" w:rsidRDefault="00040ACC" w:rsidP="00464C8A">
      <w:pPr>
        <w:rPr>
          <w:b/>
        </w:rPr>
      </w:pPr>
    </w:p>
    <w:p w14:paraId="279AD37E" w14:textId="77777777" w:rsidR="00B12F51" w:rsidRPr="0088467A" w:rsidRDefault="0088467A" w:rsidP="00572E9A">
      <w:pPr>
        <w:pStyle w:val="ListParagraph"/>
        <w:numPr>
          <w:ilvl w:val="0"/>
          <w:numId w:val="1"/>
        </w:numPr>
        <w:spacing w:after="0"/>
        <w:ind w:left="360"/>
        <w:rPr>
          <w:rFonts w:asciiTheme="majorHAnsi" w:hAnsiTheme="majorHAnsi"/>
          <w:b/>
          <w:bCs/>
        </w:rPr>
      </w:pPr>
      <w:r w:rsidRPr="0088467A">
        <w:rPr>
          <w:rFonts w:asciiTheme="majorHAnsi" w:hAnsiTheme="majorHAnsi"/>
          <w:b/>
          <w:bCs/>
        </w:rPr>
        <w:t>Estimates of Total Annual Cost Burden to Respondents or Record Keepers</w:t>
      </w:r>
    </w:p>
    <w:p w14:paraId="79B058DE" w14:textId="0956FD43" w:rsidR="003C31C9" w:rsidRPr="00546A99" w:rsidRDefault="003C31C9" w:rsidP="003511E5">
      <w:pPr>
        <w:pStyle w:val="CM89"/>
        <w:spacing w:line="228" w:lineRule="atLeast"/>
        <w:rPr>
          <w:rFonts w:asciiTheme="minorHAnsi" w:hAnsiTheme="minorHAnsi" w:cs="Times New Roman"/>
          <w:color w:val="000000"/>
          <w:sz w:val="22"/>
        </w:rPr>
      </w:pPr>
      <w:r w:rsidRPr="00546A99">
        <w:rPr>
          <w:rFonts w:asciiTheme="minorHAnsi" w:hAnsiTheme="minorHAnsi" w:cs="Times New Roman"/>
          <w:color w:val="000000"/>
          <w:sz w:val="22"/>
        </w:rPr>
        <w:t xml:space="preserve">There will be no direct costs to the respondents other than their time to participate in each </w:t>
      </w:r>
      <w:r w:rsidR="00445E75">
        <w:rPr>
          <w:rFonts w:asciiTheme="minorHAnsi" w:hAnsiTheme="minorHAnsi" w:cs="Times New Roman"/>
          <w:color w:val="000000"/>
          <w:sz w:val="22"/>
        </w:rPr>
        <w:t>data collection instrument</w:t>
      </w:r>
      <w:r w:rsidRPr="00546A99">
        <w:rPr>
          <w:rFonts w:asciiTheme="minorHAnsi" w:hAnsiTheme="minorHAnsi" w:cs="Times New Roman"/>
          <w:color w:val="000000"/>
          <w:sz w:val="22"/>
        </w:rPr>
        <w:t>.</w:t>
      </w:r>
      <w:r w:rsidR="00040ACC" w:rsidRPr="00546A99">
        <w:rPr>
          <w:rFonts w:asciiTheme="minorHAnsi" w:hAnsiTheme="minorHAnsi" w:cs="Times New Roman"/>
          <w:color w:val="000000"/>
          <w:sz w:val="22"/>
        </w:rPr>
        <w:t xml:space="preserve"> </w:t>
      </w:r>
    </w:p>
    <w:p w14:paraId="3E811D5C" w14:textId="77777777" w:rsidR="00D75750" w:rsidRPr="00911486" w:rsidRDefault="00D75750" w:rsidP="003511E5">
      <w:pPr>
        <w:pStyle w:val="Default"/>
      </w:pPr>
    </w:p>
    <w:p w14:paraId="7A501661" w14:textId="77777777" w:rsidR="00B12F51" w:rsidRPr="0088467A" w:rsidRDefault="0088467A" w:rsidP="00572E9A">
      <w:pPr>
        <w:pStyle w:val="ListParagraph"/>
        <w:numPr>
          <w:ilvl w:val="0"/>
          <w:numId w:val="1"/>
        </w:numPr>
        <w:spacing w:after="0"/>
        <w:ind w:left="360"/>
        <w:rPr>
          <w:rFonts w:asciiTheme="majorHAnsi" w:hAnsiTheme="majorHAnsi"/>
          <w:b/>
        </w:rPr>
      </w:pPr>
      <w:r w:rsidRPr="0088467A">
        <w:rPr>
          <w:rFonts w:asciiTheme="majorHAnsi" w:hAnsiTheme="majorHAnsi"/>
          <w:b/>
          <w:bCs/>
        </w:rPr>
        <w:t>Annualized Cost to the Government</w:t>
      </w:r>
      <w:r w:rsidR="00D75750">
        <w:rPr>
          <w:rFonts w:asciiTheme="majorHAnsi" w:hAnsiTheme="majorHAnsi"/>
          <w:b/>
          <w:bCs/>
        </w:rPr>
        <w:t xml:space="preserve"> </w:t>
      </w:r>
    </w:p>
    <w:p w14:paraId="6D777DC6" w14:textId="2293D6CF" w:rsidR="00040ACC" w:rsidRPr="00546A99" w:rsidRDefault="00DA09D0" w:rsidP="00445E75">
      <w:pPr>
        <w:pStyle w:val="ListParagraph"/>
        <w:autoSpaceDE w:val="0"/>
        <w:autoSpaceDN w:val="0"/>
        <w:adjustRightInd w:val="0"/>
        <w:ind w:left="0" w:right="720"/>
      </w:pPr>
      <w:r w:rsidRPr="00546A99">
        <w:t xml:space="preserve">There are no equipment or overhead costs.  </w:t>
      </w:r>
      <w:r w:rsidR="00040ACC" w:rsidRPr="00546A99">
        <w:t xml:space="preserve">The only cost to the federal government would be </w:t>
      </w:r>
      <w:r w:rsidR="00D82848">
        <w:t xml:space="preserve">CDC </w:t>
      </w:r>
      <w:r w:rsidR="00D82848" w:rsidRPr="00546A99">
        <w:t>staff</w:t>
      </w:r>
      <w:r w:rsidR="00445E75">
        <w:t xml:space="preserve"> (Contractors and</w:t>
      </w:r>
      <w:r w:rsidR="00D82848">
        <w:t xml:space="preserve"> FTEs) </w:t>
      </w:r>
      <w:r w:rsidR="00040ACC" w:rsidRPr="00546A99">
        <w:t xml:space="preserve">supporting the data collection activities and associated tasks. </w:t>
      </w:r>
    </w:p>
    <w:p w14:paraId="1C20FC8F" w14:textId="77777777" w:rsidR="00040ACC" w:rsidRPr="00546A99" w:rsidRDefault="00040ACC" w:rsidP="003511E5">
      <w:pPr>
        <w:pStyle w:val="ListParagraph"/>
        <w:autoSpaceDE w:val="0"/>
        <w:autoSpaceDN w:val="0"/>
        <w:adjustRightInd w:val="0"/>
        <w:ind w:left="270" w:right="720"/>
      </w:pPr>
    </w:p>
    <w:p w14:paraId="72DADCA5" w14:textId="45778F7C" w:rsidR="00B43B51" w:rsidRDefault="00040ACC" w:rsidP="0094001D">
      <w:pPr>
        <w:pStyle w:val="ListParagraph"/>
        <w:autoSpaceDE w:val="0"/>
        <w:autoSpaceDN w:val="0"/>
        <w:adjustRightInd w:val="0"/>
        <w:ind w:left="0" w:right="720"/>
      </w:pPr>
      <w:r w:rsidRPr="00546A99">
        <w:t xml:space="preserve">The estimated total cost to the federal government is </w:t>
      </w:r>
      <w:r w:rsidRPr="00B43B51">
        <w:rPr>
          <w:b/>
        </w:rPr>
        <w:t>$</w:t>
      </w:r>
      <w:r w:rsidR="00B43B51" w:rsidRPr="00B43B51">
        <w:rPr>
          <w:b/>
        </w:rPr>
        <w:t>205,910.10</w:t>
      </w:r>
      <w:r w:rsidRPr="00546A99">
        <w:t>. Table A-14 describes how this cost estimate was calculated.</w:t>
      </w:r>
    </w:p>
    <w:p w14:paraId="32ABE333" w14:textId="083F9ACF" w:rsidR="00FB0D8F" w:rsidRDefault="00FB0D8F" w:rsidP="0094001D">
      <w:pPr>
        <w:pStyle w:val="ListParagraph"/>
        <w:autoSpaceDE w:val="0"/>
        <w:autoSpaceDN w:val="0"/>
        <w:adjustRightInd w:val="0"/>
        <w:ind w:left="0" w:right="720"/>
      </w:pPr>
    </w:p>
    <w:p w14:paraId="0B745077" w14:textId="77777777" w:rsidR="00FB0D8F" w:rsidRDefault="00FB0D8F" w:rsidP="0094001D">
      <w:pPr>
        <w:pStyle w:val="ListParagraph"/>
        <w:autoSpaceDE w:val="0"/>
        <w:autoSpaceDN w:val="0"/>
        <w:adjustRightInd w:val="0"/>
        <w:ind w:left="0" w:right="720"/>
      </w:pPr>
    </w:p>
    <w:p w14:paraId="15685BCD" w14:textId="77777777" w:rsidR="00FB0D8F" w:rsidRDefault="00FB0D8F" w:rsidP="0094001D">
      <w:pPr>
        <w:pStyle w:val="ListParagraph"/>
        <w:autoSpaceDE w:val="0"/>
        <w:autoSpaceDN w:val="0"/>
        <w:adjustRightInd w:val="0"/>
        <w:ind w:left="0" w:right="720"/>
      </w:pPr>
    </w:p>
    <w:p w14:paraId="4868BA5E" w14:textId="77777777" w:rsidR="00FB0D8F" w:rsidRDefault="00FB0D8F" w:rsidP="0094001D">
      <w:pPr>
        <w:pStyle w:val="ListParagraph"/>
        <w:autoSpaceDE w:val="0"/>
        <w:autoSpaceDN w:val="0"/>
        <w:adjustRightInd w:val="0"/>
        <w:ind w:left="0" w:right="720"/>
      </w:pPr>
    </w:p>
    <w:p w14:paraId="4DDFDB47" w14:textId="77777777" w:rsidR="00FB0D8F" w:rsidRDefault="00FB0D8F" w:rsidP="0094001D">
      <w:pPr>
        <w:pStyle w:val="ListParagraph"/>
        <w:autoSpaceDE w:val="0"/>
        <w:autoSpaceDN w:val="0"/>
        <w:adjustRightInd w:val="0"/>
        <w:ind w:left="0" w:right="720"/>
      </w:pPr>
    </w:p>
    <w:p w14:paraId="61472F68" w14:textId="77777777" w:rsidR="00FB0D8F" w:rsidRDefault="00FB0D8F" w:rsidP="0094001D">
      <w:pPr>
        <w:pStyle w:val="ListParagraph"/>
        <w:autoSpaceDE w:val="0"/>
        <w:autoSpaceDN w:val="0"/>
        <w:adjustRightInd w:val="0"/>
        <w:ind w:left="0" w:right="720"/>
      </w:pPr>
    </w:p>
    <w:p w14:paraId="384574BF" w14:textId="77777777" w:rsidR="00FB0D8F" w:rsidRDefault="00FB0D8F" w:rsidP="0094001D">
      <w:pPr>
        <w:pStyle w:val="ListParagraph"/>
        <w:autoSpaceDE w:val="0"/>
        <w:autoSpaceDN w:val="0"/>
        <w:adjustRightInd w:val="0"/>
        <w:ind w:left="0" w:right="720"/>
      </w:pPr>
    </w:p>
    <w:p w14:paraId="582A8767" w14:textId="77777777" w:rsidR="00FB0D8F" w:rsidRDefault="00FB0D8F" w:rsidP="0094001D">
      <w:pPr>
        <w:pStyle w:val="ListParagraph"/>
        <w:autoSpaceDE w:val="0"/>
        <w:autoSpaceDN w:val="0"/>
        <w:adjustRightInd w:val="0"/>
        <w:ind w:left="0" w:right="720"/>
      </w:pPr>
    </w:p>
    <w:p w14:paraId="2AE0B9A7" w14:textId="77777777" w:rsidR="00FB0D8F" w:rsidRDefault="00FB0D8F" w:rsidP="0094001D">
      <w:pPr>
        <w:pStyle w:val="ListParagraph"/>
        <w:autoSpaceDE w:val="0"/>
        <w:autoSpaceDN w:val="0"/>
        <w:adjustRightInd w:val="0"/>
        <w:ind w:left="0" w:right="720"/>
      </w:pPr>
    </w:p>
    <w:p w14:paraId="5D63FE0D" w14:textId="77777777" w:rsidR="00FB0D8F" w:rsidRDefault="00FB0D8F" w:rsidP="0094001D">
      <w:pPr>
        <w:pStyle w:val="ListParagraph"/>
        <w:autoSpaceDE w:val="0"/>
        <w:autoSpaceDN w:val="0"/>
        <w:adjustRightInd w:val="0"/>
        <w:ind w:left="0" w:right="720"/>
      </w:pPr>
    </w:p>
    <w:p w14:paraId="19E4A7D1" w14:textId="77777777" w:rsidR="00FB0D8F" w:rsidRDefault="00FB0D8F" w:rsidP="0094001D">
      <w:pPr>
        <w:pStyle w:val="ListParagraph"/>
        <w:autoSpaceDE w:val="0"/>
        <w:autoSpaceDN w:val="0"/>
        <w:adjustRightInd w:val="0"/>
        <w:ind w:left="0" w:right="720"/>
      </w:pPr>
    </w:p>
    <w:p w14:paraId="2CBB521F" w14:textId="77777777" w:rsidR="00FB0D8F" w:rsidRDefault="00FB0D8F" w:rsidP="0094001D">
      <w:pPr>
        <w:pStyle w:val="ListParagraph"/>
        <w:autoSpaceDE w:val="0"/>
        <w:autoSpaceDN w:val="0"/>
        <w:adjustRightInd w:val="0"/>
        <w:ind w:left="0" w:right="720"/>
      </w:pPr>
    </w:p>
    <w:p w14:paraId="76F9E7BA" w14:textId="77777777" w:rsidR="00FB0D8F" w:rsidRDefault="00FB0D8F" w:rsidP="0094001D">
      <w:pPr>
        <w:pStyle w:val="ListParagraph"/>
        <w:autoSpaceDE w:val="0"/>
        <w:autoSpaceDN w:val="0"/>
        <w:adjustRightInd w:val="0"/>
        <w:ind w:left="0" w:right="720"/>
      </w:pPr>
    </w:p>
    <w:p w14:paraId="0AD6FC49" w14:textId="77777777" w:rsidR="00FB0D8F" w:rsidRDefault="00FB0D8F" w:rsidP="0094001D">
      <w:pPr>
        <w:pStyle w:val="ListParagraph"/>
        <w:autoSpaceDE w:val="0"/>
        <w:autoSpaceDN w:val="0"/>
        <w:adjustRightInd w:val="0"/>
        <w:ind w:left="0" w:right="720"/>
      </w:pPr>
    </w:p>
    <w:p w14:paraId="254719AC" w14:textId="77777777" w:rsidR="00FB0D8F" w:rsidRDefault="00FB0D8F" w:rsidP="0094001D">
      <w:pPr>
        <w:pStyle w:val="ListParagraph"/>
        <w:autoSpaceDE w:val="0"/>
        <w:autoSpaceDN w:val="0"/>
        <w:adjustRightInd w:val="0"/>
        <w:ind w:left="0" w:right="720"/>
      </w:pPr>
    </w:p>
    <w:p w14:paraId="514F9CB4" w14:textId="77777777" w:rsidR="003C31C9" w:rsidRPr="00D75750" w:rsidRDefault="00321B51" w:rsidP="00D75750">
      <w:pPr>
        <w:pStyle w:val="ListParagraph"/>
        <w:autoSpaceDE w:val="0"/>
        <w:autoSpaceDN w:val="0"/>
        <w:adjustRightInd w:val="0"/>
        <w:ind w:right="720"/>
        <w:rPr>
          <w:rFonts w:asciiTheme="majorHAnsi" w:hAnsiTheme="majorHAnsi"/>
        </w:rPr>
      </w:pPr>
      <w:r>
        <w:rPr>
          <w:rFonts w:asciiTheme="majorHAnsi" w:hAnsiTheme="majorHAnsi"/>
          <w:color w:val="000000"/>
        </w:rPr>
        <w:t xml:space="preserve"> </w:t>
      </w:r>
      <w:r w:rsidR="008E0683" w:rsidRPr="00241B17">
        <w:rPr>
          <w:rFonts w:asciiTheme="majorHAnsi" w:hAnsiTheme="majorHAnsi"/>
          <w:b/>
          <w:u w:val="single"/>
        </w:rPr>
        <w:t>Table A-14</w:t>
      </w:r>
      <w:r w:rsidR="008E0683" w:rsidRPr="00241B17">
        <w:rPr>
          <w:rFonts w:asciiTheme="majorHAnsi" w:hAnsiTheme="majorHAnsi"/>
          <w:b/>
        </w:rPr>
        <w:t>:</w:t>
      </w:r>
      <w:r w:rsidR="008E0683" w:rsidRPr="008E0683">
        <w:rPr>
          <w:rFonts w:asciiTheme="majorHAnsi" w:hAnsiTheme="majorHAnsi"/>
        </w:rPr>
        <w:t xml:space="preserve"> </w:t>
      </w:r>
      <w:r w:rsidR="008E0683" w:rsidRPr="003403D9">
        <w:rPr>
          <w:rFonts w:asciiTheme="majorHAnsi" w:hAnsiTheme="majorHAnsi"/>
        </w:rPr>
        <w:t>Estimated Annualized Cost to the Federal Government</w:t>
      </w:r>
    </w:p>
    <w:tbl>
      <w:tblPr>
        <w:tblStyle w:val="TableGrid"/>
        <w:tblW w:w="0" w:type="auto"/>
        <w:tblLook w:val="04A0" w:firstRow="1" w:lastRow="0" w:firstColumn="1" w:lastColumn="0" w:noHBand="0" w:noVBand="1"/>
      </w:tblPr>
      <w:tblGrid>
        <w:gridCol w:w="4518"/>
        <w:gridCol w:w="1980"/>
        <w:gridCol w:w="1620"/>
        <w:gridCol w:w="1458"/>
      </w:tblGrid>
      <w:tr w:rsidR="00040ACC" w:rsidRPr="00457884" w14:paraId="588DDA6A" w14:textId="77777777" w:rsidTr="00CB7751">
        <w:trPr>
          <w:trHeight w:val="593"/>
        </w:trPr>
        <w:tc>
          <w:tcPr>
            <w:tcW w:w="451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63B7B7B" w14:textId="77777777" w:rsidR="00040ACC" w:rsidRPr="00D40A86" w:rsidRDefault="00040ACC" w:rsidP="00CB7751">
            <w:pPr>
              <w:jc w:val="center"/>
              <w:rPr>
                <w:rFonts w:asciiTheme="majorHAnsi" w:hAnsiTheme="majorHAnsi"/>
                <w:b/>
              </w:rPr>
            </w:pPr>
            <w:r w:rsidRPr="00D40A86">
              <w:rPr>
                <w:rFonts w:asciiTheme="majorHAnsi" w:hAnsiTheme="majorHAnsi"/>
                <w:b/>
              </w:rPr>
              <w:t>Staff (FTE or Contractor)</w:t>
            </w:r>
          </w:p>
        </w:tc>
        <w:tc>
          <w:tcPr>
            <w:tcW w:w="198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2FD1292" w14:textId="77777777" w:rsidR="00040ACC" w:rsidRPr="00D40A86" w:rsidRDefault="00040ACC" w:rsidP="00CB7751">
            <w:pPr>
              <w:jc w:val="center"/>
              <w:rPr>
                <w:rFonts w:asciiTheme="majorHAnsi" w:hAnsiTheme="majorHAnsi"/>
                <w:b/>
              </w:rPr>
            </w:pPr>
            <w:r w:rsidRPr="00D40A86">
              <w:rPr>
                <w:rFonts w:asciiTheme="majorHAnsi" w:hAnsiTheme="majorHAnsi"/>
                <w:b/>
              </w:rPr>
              <w:t>Average Hours per Collection</w:t>
            </w:r>
          </w:p>
        </w:tc>
        <w:tc>
          <w:tcPr>
            <w:tcW w:w="162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1BE52AB" w14:textId="77777777" w:rsidR="00040ACC" w:rsidRPr="00D40A86" w:rsidRDefault="00040ACC" w:rsidP="00CB7751">
            <w:pPr>
              <w:jc w:val="center"/>
              <w:rPr>
                <w:rFonts w:asciiTheme="majorHAnsi" w:hAnsiTheme="majorHAnsi"/>
                <w:b/>
              </w:rPr>
            </w:pPr>
            <w:r w:rsidRPr="00D40A86">
              <w:rPr>
                <w:rFonts w:asciiTheme="majorHAnsi" w:hAnsiTheme="majorHAnsi"/>
                <w:b/>
              </w:rPr>
              <w:t>Average Hourly Rate</w:t>
            </w:r>
          </w:p>
        </w:tc>
        <w:tc>
          <w:tcPr>
            <w:tcW w:w="145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1D76259E" w14:textId="77777777" w:rsidR="00040ACC" w:rsidRPr="00D40A86" w:rsidRDefault="00040ACC" w:rsidP="00CB7751">
            <w:pPr>
              <w:jc w:val="center"/>
              <w:rPr>
                <w:rFonts w:asciiTheme="majorHAnsi" w:hAnsiTheme="majorHAnsi"/>
                <w:b/>
              </w:rPr>
            </w:pPr>
            <w:r w:rsidRPr="00D40A86">
              <w:rPr>
                <w:rFonts w:asciiTheme="majorHAnsi" w:hAnsiTheme="majorHAnsi"/>
                <w:b/>
              </w:rPr>
              <w:t>Average Cost</w:t>
            </w:r>
          </w:p>
        </w:tc>
      </w:tr>
      <w:tr w:rsidR="00040ACC" w:rsidRPr="00457884" w14:paraId="1E518604" w14:textId="77777777" w:rsidTr="00CB7751">
        <w:tc>
          <w:tcPr>
            <w:tcW w:w="4518" w:type="dxa"/>
            <w:tcBorders>
              <w:top w:val="single" w:sz="12" w:space="0" w:color="auto"/>
              <w:left w:val="single" w:sz="4" w:space="0" w:color="auto"/>
              <w:bottom w:val="single" w:sz="4" w:space="0" w:color="auto"/>
              <w:right w:val="single" w:sz="4" w:space="0" w:color="auto"/>
            </w:tcBorders>
            <w:hideMark/>
          </w:tcPr>
          <w:p w14:paraId="5501014D" w14:textId="77777777" w:rsidR="00040ACC" w:rsidRPr="00D40A86" w:rsidRDefault="00040ACC" w:rsidP="00CB7751">
            <w:pPr>
              <w:rPr>
                <w:b/>
              </w:rPr>
            </w:pPr>
            <w:r w:rsidRPr="00D40A86">
              <w:rPr>
                <w:b/>
              </w:rPr>
              <w:t xml:space="preserve">CDC </w:t>
            </w:r>
            <w:r w:rsidR="00FD1F8E" w:rsidRPr="00D40A86">
              <w:rPr>
                <w:b/>
              </w:rPr>
              <w:t xml:space="preserve">Project Manager </w:t>
            </w:r>
          </w:p>
          <w:p w14:paraId="229BDD49" w14:textId="77777777" w:rsidR="00BA301E" w:rsidRPr="00D40A86" w:rsidRDefault="00BA301E" w:rsidP="00CB7751">
            <w:pPr>
              <w:rPr>
                <w:b/>
              </w:rPr>
            </w:pPr>
            <w:r w:rsidRPr="00D40A86">
              <w:rPr>
                <w:b/>
              </w:rPr>
              <w:t>(Operations Research Analyst) GS-13</w:t>
            </w:r>
          </w:p>
          <w:p w14:paraId="50850C17" w14:textId="77777777" w:rsidR="00040ACC" w:rsidRPr="00D40A86" w:rsidRDefault="00040ACC" w:rsidP="00CB7751">
            <w:r w:rsidRPr="00D40A86">
              <w:t>Consultation with OMB package preparation, instrument development, data analysis, quality control and report preparation consultation.</w:t>
            </w:r>
          </w:p>
        </w:tc>
        <w:tc>
          <w:tcPr>
            <w:tcW w:w="1980" w:type="dxa"/>
            <w:tcBorders>
              <w:top w:val="single" w:sz="12" w:space="0" w:color="auto"/>
              <w:left w:val="single" w:sz="4" w:space="0" w:color="auto"/>
              <w:bottom w:val="single" w:sz="4" w:space="0" w:color="auto"/>
              <w:right w:val="single" w:sz="4" w:space="0" w:color="auto"/>
            </w:tcBorders>
            <w:hideMark/>
          </w:tcPr>
          <w:p w14:paraId="1B2DAEA4" w14:textId="77777777" w:rsidR="00040ACC" w:rsidRPr="00D40A86" w:rsidRDefault="00040ACC" w:rsidP="00CB7751">
            <w:pPr>
              <w:jc w:val="center"/>
            </w:pPr>
            <w:r w:rsidRPr="00D40A86">
              <w:t>30 hours</w:t>
            </w:r>
          </w:p>
        </w:tc>
        <w:tc>
          <w:tcPr>
            <w:tcW w:w="1620" w:type="dxa"/>
            <w:tcBorders>
              <w:top w:val="single" w:sz="12" w:space="0" w:color="auto"/>
              <w:left w:val="single" w:sz="4" w:space="0" w:color="auto"/>
              <w:bottom w:val="single" w:sz="4" w:space="0" w:color="auto"/>
              <w:right w:val="single" w:sz="4" w:space="0" w:color="auto"/>
            </w:tcBorders>
            <w:hideMark/>
          </w:tcPr>
          <w:p w14:paraId="42918CB7" w14:textId="77777777" w:rsidR="00040ACC" w:rsidRPr="00D40A86" w:rsidRDefault="00040ACC" w:rsidP="00CB7751">
            <w:pPr>
              <w:jc w:val="center"/>
            </w:pPr>
            <w:r w:rsidRPr="00D40A86">
              <w:t>$54.87</w:t>
            </w:r>
          </w:p>
        </w:tc>
        <w:tc>
          <w:tcPr>
            <w:tcW w:w="1458" w:type="dxa"/>
            <w:tcBorders>
              <w:top w:val="single" w:sz="12" w:space="0" w:color="auto"/>
              <w:left w:val="single" w:sz="4" w:space="0" w:color="auto"/>
              <w:bottom w:val="single" w:sz="4" w:space="0" w:color="auto"/>
              <w:right w:val="single" w:sz="4" w:space="0" w:color="auto"/>
            </w:tcBorders>
            <w:hideMark/>
          </w:tcPr>
          <w:p w14:paraId="64D018BA" w14:textId="77777777" w:rsidR="00040ACC" w:rsidRPr="00D40A86" w:rsidRDefault="00040ACC" w:rsidP="00CB7751">
            <w:pPr>
              <w:jc w:val="center"/>
            </w:pPr>
            <w:r w:rsidRPr="00D40A86">
              <w:t>$1,646.10</w:t>
            </w:r>
          </w:p>
        </w:tc>
      </w:tr>
      <w:tr w:rsidR="00040ACC" w:rsidRPr="00457884" w14:paraId="1CC995CB" w14:textId="77777777" w:rsidTr="00CB7751">
        <w:tc>
          <w:tcPr>
            <w:tcW w:w="4518" w:type="dxa"/>
            <w:tcBorders>
              <w:top w:val="single" w:sz="4" w:space="0" w:color="auto"/>
              <w:left w:val="single" w:sz="4" w:space="0" w:color="auto"/>
              <w:bottom w:val="single" w:sz="4" w:space="0" w:color="auto"/>
              <w:right w:val="single" w:sz="4" w:space="0" w:color="auto"/>
            </w:tcBorders>
            <w:hideMark/>
          </w:tcPr>
          <w:p w14:paraId="388F1741" w14:textId="77777777" w:rsidR="00040ACC" w:rsidRPr="00D40A86" w:rsidRDefault="00FD1F8E" w:rsidP="00CB7751">
            <w:pPr>
              <w:rPr>
                <w:b/>
              </w:rPr>
            </w:pPr>
            <w:r w:rsidRPr="00D40A86">
              <w:rPr>
                <w:b/>
              </w:rPr>
              <w:t>Contractor</w:t>
            </w:r>
          </w:p>
          <w:p w14:paraId="647BDD3F" w14:textId="77777777" w:rsidR="00040ACC" w:rsidRPr="00D40A86" w:rsidRDefault="00040ACC" w:rsidP="00CB7751">
            <w:r w:rsidRPr="00D40A86">
              <w:t>Instrument development, pilot testing, OMB package preparation, web-based data collection programming, data collection, data coding and entry, quality control, data analysis, and report preparation.</w:t>
            </w:r>
          </w:p>
        </w:tc>
        <w:tc>
          <w:tcPr>
            <w:tcW w:w="1980" w:type="dxa"/>
            <w:tcBorders>
              <w:top w:val="single" w:sz="4" w:space="0" w:color="auto"/>
              <w:left w:val="single" w:sz="4" w:space="0" w:color="auto"/>
              <w:bottom w:val="single" w:sz="4" w:space="0" w:color="auto"/>
              <w:right w:val="single" w:sz="4" w:space="0" w:color="auto"/>
            </w:tcBorders>
            <w:hideMark/>
          </w:tcPr>
          <w:p w14:paraId="7EE3A268" w14:textId="77777777" w:rsidR="00040ACC" w:rsidRPr="00D40A86" w:rsidRDefault="00BA301E" w:rsidP="00CB7751">
            <w:pPr>
              <w:jc w:val="center"/>
            </w:pPr>
            <w:r w:rsidRPr="00D40A86">
              <w:t>12</w:t>
            </w:r>
            <w:r w:rsidR="00040ACC" w:rsidRPr="00D40A86">
              <w:t>00 hours</w:t>
            </w:r>
          </w:p>
        </w:tc>
        <w:tc>
          <w:tcPr>
            <w:tcW w:w="1620" w:type="dxa"/>
            <w:tcBorders>
              <w:top w:val="single" w:sz="4" w:space="0" w:color="auto"/>
              <w:left w:val="single" w:sz="4" w:space="0" w:color="auto"/>
              <w:bottom w:val="single" w:sz="4" w:space="0" w:color="auto"/>
              <w:right w:val="single" w:sz="4" w:space="0" w:color="auto"/>
            </w:tcBorders>
            <w:hideMark/>
          </w:tcPr>
          <w:p w14:paraId="7DDA7EE4" w14:textId="77777777" w:rsidR="00040ACC" w:rsidRPr="00D40A86" w:rsidRDefault="00040ACC" w:rsidP="00BA301E">
            <w:pPr>
              <w:jc w:val="center"/>
            </w:pPr>
            <w:r w:rsidRPr="00D40A86">
              <w:t>$</w:t>
            </w:r>
            <w:r w:rsidR="00BA301E" w:rsidRPr="00D40A86">
              <w:t>170.22</w:t>
            </w:r>
          </w:p>
        </w:tc>
        <w:tc>
          <w:tcPr>
            <w:tcW w:w="1458" w:type="dxa"/>
            <w:tcBorders>
              <w:top w:val="single" w:sz="4" w:space="0" w:color="auto"/>
              <w:left w:val="single" w:sz="4" w:space="0" w:color="auto"/>
              <w:bottom w:val="single" w:sz="4" w:space="0" w:color="auto"/>
              <w:right w:val="single" w:sz="4" w:space="0" w:color="auto"/>
            </w:tcBorders>
            <w:hideMark/>
          </w:tcPr>
          <w:p w14:paraId="4242EEA2" w14:textId="77777777" w:rsidR="00040ACC" w:rsidRPr="00D40A86" w:rsidRDefault="00040ACC" w:rsidP="00BA301E">
            <w:pPr>
              <w:jc w:val="center"/>
            </w:pPr>
            <w:r w:rsidRPr="00D40A86">
              <w:t>$</w:t>
            </w:r>
            <w:r w:rsidR="00DA6861" w:rsidRPr="00D40A86">
              <w:t>204,264</w:t>
            </w:r>
          </w:p>
        </w:tc>
      </w:tr>
      <w:tr w:rsidR="00040ACC" w:rsidRPr="00457884" w14:paraId="3C26B2B3" w14:textId="77777777" w:rsidTr="00CB7751">
        <w:trPr>
          <w:trHeight w:val="332"/>
        </w:trPr>
        <w:tc>
          <w:tcPr>
            <w:tcW w:w="8118" w:type="dxa"/>
            <w:gridSpan w:val="3"/>
            <w:tcBorders>
              <w:top w:val="single" w:sz="4" w:space="0" w:color="auto"/>
              <w:left w:val="single" w:sz="4" w:space="0" w:color="auto"/>
              <w:bottom w:val="single" w:sz="4" w:space="0" w:color="auto"/>
              <w:right w:val="single" w:sz="4" w:space="0" w:color="auto"/>
            </w:tcBorders>
            <w:vAlign w:val="center"/>
            <w:hideMark/>
          </w:tcPr>
          <w:p w14:paraId="7C845785" w14:textId="77777777" w:rsidR="00040ACC" w:rsidRPr="00D40A86" w:rsidRDefault="00040ACC" w:rsidP="00CB7751">
            <w:pPr>
              <w:jc w:val="right"/>
              <w:rPr>
                <w:b/>
              </w:rPr>
            </w:pPr>
            <w:r w:rsidRPr="00D40A86">
              <w:rPr>
                <w:b/>
              </w:rPr>
              <w:t>Estimated Cost of Information Collection</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C1E9428" w14:textId="01853E40" w:rsidR="00040ACC" w:rsidRPr="00D40A86" w:rsidRDefault="00040ACC" w:rsidP="00DA6861">
            <w:pPr>
              <w:jc w:val="center"/>
              <w:rPr>
                <w:b/>
              </w:rPr>
            </w:pPr>
            <w:r w:rsidRPr="00D40A86">
              <w:rPr>
                <w:b/>
              </w:rPr>
              <w:t>$</w:t>
            </w:r>
            <w:r w:rsidR="00B43B51" w:rsidRPr="00D40A86">
              <w:rPr>
                <w:b/>
              </w:rPr>
              <w:t>205</w:t>
            </w:r>
            <w:r w:rsidR="0034310E" w:rsidRPr="00D40A86">
              <w:rPr>
                <w:b/>
              </w:rPr>
              <w:t>,</w:t>
            </w:r>
            <w:r w:rsidR="008D3B94">
              <w:rPr>
                <w:b/>
              </w:rPr>
              <w:t>910</w:t>
            </w:r>
            <w:r w:rsidR="00B43B51" w:rsidRPr="00D40A86">
              <w:rPr>
                <w:b/>
              </w:rPr>
              <w:t>.10</w:t>
            </w:r>
          </w:p>
        </w:tc>
      </w:tr>
    </w:tbl>
    <w:p w14:paraId="33A253B8" w14:textId="77777777" w:rsidR="004841F1" w:rsidRDefault="004841F1" w:rsidP="00241B17">
      <w:pPr>
        <w:spacing w:after="0"/>
        <w:rPr>
          <w:rFonts w:asciiTheme="majorHAnsi" w:hAnsiTheme="majorHAnsi"/>
        </w:rPr>
      </w:pPr>
    </w:p>
    <w:p w14:paraId="757299C0" w14:textId="77777777" w:rsidR="004841F1" w:rsidRDefault="004841F1" w:rsidP="00241B17">
      <w:pPr>
        <w:spacing w:after="0"/>
        <w:rPr>
          <w:rFonts w:asciiTheme="majorHAnsi" w:hAnsiTheme="majorHAnsi"/>
        </w:rPr>
      </w:pPr>
    </w:p>
    <w:p w14:paraId="488147C5" w14:textId="77777777" w:rsidR="00B12F51" w:rsidRPr="00D75750" w:rsidRDefault="00D75750" w:rsidP="00572E9A">
      <w:pPr>
        <w:pStyle w:val="ListParagraph"/>
        <w:numPr>
          <w:ilvl w:val="0"/>
          <w:numId w:val="1"/>
        </w:numPr>
        <w:spacing w:after="0"/>
        <w:ind w:left="360"/>
        <w:rPr>
          <w:rFonts w:asciiTheme="majorHAnsi" w:hAnsiTheme="majorHAnsi"/>
          <w:b/>
        </w:rPr>
      </w:pPr>
      <w:r w:rsidRPr="00D75750">
        <w:rPr>
          <w:rFonts w:asciiTheme="majorHAnsi" w:hAnsiTheme="majorHAnsi"/>
          <w:b/>
          <w:bCs/>
        </w:rPr>
        <w:t>Explanation for Program Changes or Adjustments</w:t>
      </w:r>
    </w:p>
    <w:p w14:paraId="22AB357F" w14:textId="77777777" w:rsidR="00F52BCC" w:rsidRPr="00546A99" w:rsidRDefault="003C7C5D" w:rsidP="003511E5">
      <w:pPr>
        <w:pStyle w:val="ListParagraph"/>
        <w:spacing w:after="0"/>
        <w:ind w:left="0"/>
      </w:pPr>
      <w:r w:rsidRPr="00546A99">
        <w:t>This is a new data collection.</w:t>
      </w:r>
    </w:p>
    <w:p w14:paraId="1D301651" w14:textId="77777777" w:rsidR="00F52BCC" w:rsidRDefault="00F52BCC" w:rsidP="003511E5">
      <w:pPr>
        <w:pStyle w:val="ListParagraph"/>
        <w:spacing w:after="0"/>
        <w:ind w:left="270"/>
        <w:rPr>
          <w:rFonts w:asciiTheme="majorHAnsi" w:hAnsiTheme="majorHAnsi"/>
        </w:rPr>
      </w:pPr>
    </w:p>
    <w:p w14:paraId="58D4D859" w14:textId="77777777" w:rsidR="00B12F51" w:rsidRPr="00EF33CD" w:rsidRDefault="00616090" w:rsidP="00572E9A">
      <w:pPr>
        <w:pStyle w:val="ListParagraph"/>
        <w:numPr>
          <w:ilvl w:val="0"/>
          <w:numId w:val="1"/>
        </w:numPr>
        <w:spacing w:after="0"/>
        <w:ind w:left="360"/>
        <w:rPr>
          <w:rFonts w:asciiTheme="majorHAnsi" w:hAnsiTheme="majorHAnsi"/>
          <w:b/>
        </w:rPr>
      </w:pPr>
      <w:r>
        <w:rPr>
          <w:rFonts w:asciiTheme="majorHAnsi" w:hAnsiTheme="majorHAnsi"/>
          <w:b/>
        </w:rPr>
        <w:t>Plan</w:t>
      </w:r>
      <w:r w:rsidR="00D75750">
        <w:rPr>
          <w:rFonts w:asciiTheme="majorHAnsi" w:hAnsiTheme="majorHAnsi"/>
          <w:b/>
        </w:rPr>
        <w:t>s</w:t>
      </w:r>
      <w:r w:rsidR="00D75750" w:rsidRPr="00D75750">
        <w:rPr>
          <w:rFonts w:asciiTheme="majorHAnsi" w:hAnsiTheme="majorHAnsi"/>
          <w:b/>
          <w:bCs/>
        </w:rPr>
        <w:t xml:space="preserve"> for Tabulation and Publication and Project Time Schedule</w:t>
      </w:r>
    </w:p>
    <w:p w14:paraId="787CADA3" w14:textId="77777777" w:rsidR="002F1502" w:rsidRDefault="00546A99" w:rsidP="003511E5">
      <w:pPr>
        <w:pStyle w:val="ListParagraph"/>
        <w:spacing w:after="0"/>
        <w:ind w:left="0"/>
      </w:pPr>
      <w:r w:rsidRPr="00793731">
        <w:t>Results of this assessment wil</w:t>
      </w:r>
      <w:r>
        <w:t>l be used internally to provide CDC recommendations for IIS funding allocation</w:t>
      </w:r>
      <w:r w:rsidRPr="00793731">
        <w:t xml:space="preserve"> and </w:t>
      </w:r>
      <w:r>
        <w:t>potential shared services to optimize IIS system efficiency. It is not anticipated that the assessment results will be published.</w:t>
      </w:r>
      <w:r w:rsidR="00B05F91">
        <w:t xml:space="preserve"> </w:t>
      </w:r>
      <w:r w:rsidR="00793731">
        <w:t xml:space="preserve"> </w:t>
      </w:r>
    </w:p>
    <w:p w14:paraId="621E4837" w14:textId="77777777" w:rsidR="00793731" w:rsidRDefault="00793731" w:rsidP="003511E5">
      <w:pPr>
        <w:pStyle w:val="ListParagraph"/>
        <w:spacing w:after="0"/>
        <w:ind w:left="0"/>
        <w:rPr>
          <w:rFonts w:asciiTheme="majorHAnsi" w:hAnsiTheme="majorHAnsi"/>
        </w:rPr>
      </w:pPr>
    </w:p>
    <w:p w14:paraId="3EC54584" w14:textId="77777777" w:rsidR="000A71DF" w:rsidRPr="00546A99" w:rsidRDefault="000A71DF" w:rsidP="003511E5">
      <w:pPr>
        <w:spacing w:after="0"/>
        <w:ind w:firstLine="720"/>
        <w:rPr>
          <w:rFonts w:asciiTheme="majorHAnsi" w:hAnsiTheme="majorHAnsi"/>
          <w:u w:val="single"/>
        </w:rPr>
      </w:pPr>
      <w:r w:rsidRPr="00546A99">
        <w:rPr>
          <w:rFonts w:asciiTheme="majorHAnsi" w:hAnsiTheme="majorHAnsi"/>
          <w:u w:val="single"/>
        </w:rPr>
        <w:t>Project Time Schedule</w:t>
      </w:r>
    </w:p>
    <w:p w14:paraId="3108A322" w14:textId="77777777" w:rsidR="00793731" w:rsidRPr="00546A99" w:rsidRDefault="00793731" w:rsidP="00572E9A">
      <w:pPr>
        <w:pStyle w:val="ListParagraph"/>
        <w:numPr>
          <w:ilvl w:val="0"/>
          <w:numId w:val="4"/>
        </w:numPr>
        <w:tabs>
          <w:tab w:val="right" w:leader="dot" w:pos="9360"/>
        </w:tabs>
        <w:spacing w:after="0"/>
        <w:ind w:left="990"/>
      </w:pPr>
      <w:r w:rsidRPr="00546A99">
        <w:t>Design data collection tool</w:t>
      </w:r>
      <w:r w:rsidRPr="00546A99">
        <w:tab/>
        <w:t>(COMPLETE)</w:t>
      </w:r>
    </w:p>
    <w:p w14:paraId="33672273" w14:textId="77777777" w:rsidR="00793731" w:rsidRPr="00546A99" w:rsidRDefault="00793731" w:rsidP="00572E9A">
      <w:pPr>
        <w:pStyle w:val="ListParagraph"/>
        <w:numPr>
          <w:ilvl w:val="0"/>
          <w:numId w:val="5"/>
        </w:numPr>
        <w:tabs>
          <w:tab w:val="right" w:leader="dot" w:pos="9360"/>
        </w:tabs>
        <w:spacing w:after="0"/>
        <w:ind w:left="990"/>
      </w:pPr>
      <w:r w:rsidRPr="00546A99">
        <w:t>Develop data collection protocol, instructions, and analysis plan</w:t>
      </w:r>
      <w:r w:rsidRPr="00546A99">
        <w:tab/>
        <w:t>(COMPLETE)</w:t>
      </w:r>
    </w:p>
    <w:p w14:paraId="16A15A1D" w14:textId="77777777" w:rsidR="00793731" w:rsidRPr="00546A99" w:rsidRDefault="00793731" w:rsidP="00572E9A">
      <w:pPr>
        <w:pStyle w:val="ListParagraph"/>
        <w:numPr>
          <w:ilvl w:val="0"/>
          <w:numId w:val="6"/>
        </w:numPr>
        <w:tabs>
          <w:tab w:val="right" w:leader="dot" w:pos="9360"/>
        </w:tabs>
        <w:spacing w:after="0"/>
        <w:ind w:left="990"/>
      </w:pPr>
      <w:r w:rsidRPr="00546A99">
        <w:t>Pilot test data collection tool</w:t>
      </w:r>
      <w:r w:rsidRPr="00546A99">
        <w:tab/>
        <w:t>(COMPLETE)</w:t>
      </w:r>
    </w:p>
    <w:p w14:paraId="470AD730" w14:textId="77777777" w:rsidR="00793731" w:rsidRPr="00546A99" w:rsidRDefault="00793731" w:rsidP="00572E9A">
      <w:pPr>
        <w:pStyle w:val="ListParagraph"/>
        <w:numPr>
          <w:ilvl w:val="0"/>
          <w:numId w:val="6"/>
        </w:numPr>
        <w:tabs>
          <w:tab w:val="right" w:leader="dot" w:pos="9360"/>
        </w:tabs>
        <w:spacing w:after="0"/>
        <w:ind w:left="990"/>
      </w:pPr>
      <w:r w:rsidRPr="00546A99">
        <w:t>Prepare OMB package</w:t>
      </w:r>
      <w:r w:rsidRPr="00546A99">
        <w:tab/>
        <w:t>(COMPLETE)</w:t>
      </w:r>
    </w:p>
    <w:p w14:paraId="05EE1F50" w14:textId="77777777" w:rsidR="00793731" w:rsidRPr="00546A99" w:rsidRDefault="00793731" w:rsidP="00572E9A">
      <w:pPr>
        <w:pStyle w:val="ListParagraph"/>
        <w:numPr>
          <w:ilvl w:val="0"/>
          <w:numId w:val="6"/>
        </w:numPr>
        <w:tabs>
          <w:tab w:val="right" w:leader="dot" w:pos="9360"/>
        </w:tabs>
        <w:spacing w:after="0"/>
        <w:ind w:left="990"/>
      </w:pPr>
      <w:r w:rsidRPr="00546A99">
        <w:t>Submit OMB package</w:t>
      </w:r>
      <w:r w:rsidRPr="00546A99">
        <w:tab/>
        <w:t>(COMPLETE)</w:t>
      </w:r>
    </w:p>
    <w:p w14:paraId="1B33EF7F" w14:textId="77777777" w:rsidR="00793731" w:rsidRPr="00546A99" w:rsidRDefault="00793731" w:rsidP="00572E9A">
      <w:pPr>
        <w:pStyle w:val="ListParagraph"/>
        <w:numPr>
          <w:ilvl w:val="0"/>
          <w:numId w:val="3"/>
        </w:numPr>
        <w:tabs>
          <w:tab w:val="right" w:leader="dot" w:pos="9360"/>
        </w:tabs>
        <w:spacing w:after="0"/>
      </w:pPr>
      <w:r w:rsidRPr="00546A99">
        <w:t>OMB approval</w:t>
      </w:r>
      <w:r w:rsidRPr="00546A99">
        <w:tab/>
        <w:t>(TBD)</w:t>
      </w:r>
    </w:p>
    <w:p w14:paraId="32778DCA" w14:textId="77777777" w:rsidR="00793731" w:rsidRPr="00546A99" w:rsidRDefault="00793731" w:rsidP="00572E9A">
      <w:pPr>
        <w:pStyle w:val="ListParagraph"/>
        <w:numPr>
          <w:ilvl w:val="0"/>
          <w:numId w:val="3"/>
        </w:numPr>
        <w:tabs>
          <w:tab w:val="right" w:leader="dot" w:pos="9360"/>
        </w:tabs>
        <w:spacing w:after="0"/>
      </w:pPr>
      <w:r w:rsidRPr="00546A99">
        <w:t>Conduct data collection</w:t>
      </w:r>
      <w:r w:rsidRPr="00546A99">
        <w:tab/>
        <w:t xml:space="preserve">(Open </w:t>
      </w:r>
      <w:r w:rsidR="003403D9">
        <w:t>5</w:t>
      </w:r>
      <w:r w:rsidRPr="00546A99">
        <w:t xml:space="preserve"> weeks)</w:t>
      </w:r>
    </w:p>
    <w:p w14:paraId="2F875022" w14:textId="77777777" w:rsidR="00793731" w:rsidRPr="00546A99" w:rsidRDefault="00793731" w:rsidP="00572E9A">
      <w:pPr>
        <w:pStyle w:val="ListParagraph"/>
        <w:numPr>
          <w:ilvl w:val="0"/>
          <w:numId w:val="3"/>
        </w:numPr>
        <w:tabs>
          <w:tab w:val="right" w:leader="dot" w:pos="9360"/>
        </w:tabs>
        <w:spacing w:after="0"/>
      </w:pPr>
      <w:r w:rsidRPr="00546A99">
        <w:t>Collect, enter, and analyze data</w:t>
      </w:r>
      <w:r w:rsidRPr="00546A99">
        <w:tab/>
        <w:t>(</w:t>
      </w:r>
      <w:r w:rsidR="001256BF">
        <w:t>5</w:t>
      </w:r>
      <w:r w:rsidRPr="00546A99">
        <w:t xml:space="preserve"> weeks)</w:t>
      </w:r>
    </w:p>
    <w:p w14:paraId="7519E258" w14:textId="77777777" w:rsidR="00793731" w:rsidRPr="00546A99" w:rsidRDefault="00793731" w:rsidP="00572E9A">
      <w:pPr>
        <w:pStyle w:val="ListParagraph"/>
        <w:numPr>
          <w:ilvl w:val="0"/>
          <w:numId w:val="3"/>
        </w:numPr>
        <w:tabs>
          <w:tab w:val="right" w:leader="dot" w:pos="9360"/>
        </w:tabs>
        <w:spacing w:after="0"/>
      </w:pPr>
      <w:r w:rsidRPr="00546A99">
        <w:t>Prepare report</w:t>
      </w:r>
      <w:r w:rsidR="00240966" w:rsidRPr="00546A99">
        <w:t xml:space="preserve"> (Interview Summary</w:t>
      </w:r>
      <w:r w:rsidR="006A23D4" w:rsidRPr="00546A99">
        <w:t xml:space="preserve"> only</w:t>
      </w:r>
      <w:r w:rsidR="00240966" w:rsidRPr="00546A99">
        <w:t>)</w:t>
      </w:r>
      <w:r w:rsidRPr="00546A99">
        <w:tab/>
        <w:t>(</w:t>
      </w:r>
      <w:r w:rsidR="003403D9">
        <w:t>3</w:t>
      </w:r>
      <w:r w:rsidRPr="00546A99">
        <w:t xml:space="preserve"> weeks)</w:t>
      </w:r>
    </w:p>
    <w:p w14:paraId="7D0D3A6F" w14:textId="77777777" w:rsidR="000A71DF" w:rsidRPr="00546A99" w:rsidRDefault="00793731" w:rsidP="00572E9A">
      <w:pPr>
        <w:pStyle w:val="ListParagraph"/>
        <w:numPr>
          <w:ilvl w:val="0"/>
          <w:numId w:val="3"/>
        </w:numPr>
        <w:tabs>
          <w:tab w:val="right" w:leader="dot" w:pos="9360"/>
        </w:tabs>
        <w:spacing w:after="0"/>
      </w:pPr>
      <w:r w:rsidRPr="00546A99">
        <w:t>Disseminate results</w:t>
      </w:r>
      <w:r w:rsidRPr="00546A99">
        <w:tab/>
        <w:t>(</w:t>
      </w:r>
      <w:r w:rsidR="003403D9">
        <w:t>5</w:t>
      </w:r>
      <w:r w:rsidRPr="00546A99">
        <w:t xml:space="preserve"> weeks)</w:t>
      </w:r>
    </w:p>
    <w:p w14:paraId="15558DB8" w14:textId="77777777" w:rsidR="00793731" w:rsidRPr="006338DA" w:rsidRDefault="00793731" w:rsidP="006338DA">
      <w:pPr>
        <w:spacing w:after="0"/>
        <w:rPr>
          <w:rFonts w:asciiTheme="majorHAnsi" w:hAnsiTheme="majorHAnsi"/>
        </w:rPr>
      </w:pPr>
    </w:p>
    <w:p w14:paraId="0E2A7F19" w14:textId="77777777" w:rsidR="00B12F51" w:rsidRPr="00D75750" w:rsidRDefault="00D75750" w:rsidP="00572E9A">
      <w:pPr>
        <w:pStyle w:val="ListParagraph"/>
        <w:numPr>
          <w:ilvl w:val="0"/>
          <w:numId w:val="1"/>
        </w:numPr>
        <w:spacing w:after="0"/>
        <w:ind w:left="360"/>
        <w:rPr>
          <w:rFonts w:asciiTheme="majorHAnsi" w:hAnsiTheme="majorHAnsi"/>
          <w:b/>
        </w:rPr>
      </w:pPr>
      <w:r w:rsidRPr="00D75750">
        <w:rPr>
          <w:rFonts w:asciiTheme="majorHAnsi" w:hAnsiTheme="majorHAnsi"/>
          <w:b/>
          <w:bCs/>
        </w:rPr>
        <w:t xml:space="preserve">Reason(s) Display of OMB Expiration </w:t>
      </w:r>
      <w:r>
        <w:rPr>
          <w:rFonts w:asciiTheme="majorHAnsi" w:hAnsiTheme="majorHAnsi"/>
          <w:b/>
        </w:rPr>
        <w:t xml:space="preserve">Date </w:t>
      </w:r>
      <w:r w:rsidRPr="00D75750">
        <w:rPr>
          <w:rFonts w:asciiTheme="majorHAnsi" w:hAnsiTheme="majorHAnsi"/>
          <w:b/>
          <w:bCs/>
        </w:rPr>
        <w:t>is Inappropriate</w:t>
      </w:r>
    </w:p>
    <w:p w14:paraId="0F5A9EDA" w14:textId="77777777" w:rsidR="00F52BCC" w:rsidRPr="00546A99" w:rsidRDefault="00180D45" w:rsidP="003511E5">
      <w:pPr>
        <w:pStyle w:val="ListParagraph"/>
        <w:spacing w:after="0"/>
        <w:ind w:left="0"/>
      </w:pPr>
      <w:r w:rsidRPr="00546A99">
        <w:t>We are requesting no exemption.</w:t>
      </w:r>
    </w:p>
    <w:p w14:paraId="228CD096" w14:textId="77777777" w:rsidR="00F52BCC" w:rsidRDefault="00F52BCC" w:rsidP="003511E5">
      <w:pPr>
        <w:pStyle w:val="ListParagraph"/>
        <w:spacing w:after="0"/>
        <w:ind w:left="270"/>
        <w:rPr>
          <w:rFonts w:asciiTheme="majorHAnsi" w:hAnsiTheme="majorHAnsi"/>
        </w:rPr>
      </w:pPr>
    </w:p>
    <w:p w14:paraId="1664524E" w14:textId="10544451" w:rsidR="00FB0D8F" w:rsidRDefault="00FB0D8F" w:rsidP="003511E5">
      <w:pPr>
        <w:pStyle w:val="ListParagraph"/>
        <w:spacing w:after="0"/>
        <w:ind w:left="270"/>
        <w:rPr>
          <w:rFonts w:asciiTheme="majorHAnsi" w:hAnsiTheme="majorHAnsi"/>
        </w:rPr>
      </w:pPr>
    </w:p>
    <w:p w14:paraId="4CD48738" w14:textId="77777777" w:rsidR="00FB0D8F" w:rsidRDefault="00FB0D8F" w:rsidP="003511E5">
      <w:pPr>
        <w:pStyle w:val="ListParagraph"/>
        <w:spacing w:after="0"/>
        <w:ind w:left="270"/>
        <w:rPr>
          <w:rFonts w:asciiTheme="majorHAnsi" w:hAnsiTheme="majorHAnsi"/>
        </w:rPr>
      </w:pPr>
    </w:p>
    <w:p w14:paraId="0F2AD799" w14:textId="77777777" w:rsidR="00B12F51" w:rsidRPr="00D26A64" w:rsidRDefault="00B12F51" w:rsidP="00572E9A">
      <w:pPr>
        <w:pStyle w:val="ListParagraph"/>
        <w:numPr>
          <w:ilvl w:val="0"/>
          <w:numId w:val="1"/>
        </w:numPr>
        <w:spacing w:after="0"/>
        <w:ind w:left="360"/>
        <w:rPr>
          <w:rFonts w:asciiTheme="majorHAnsi" w:hAnsiTheme="majorHAnsi"/>
          <w:b/>
        </w:rPr>
      </w:pPr>
      <w:r w:rsidRPr="00D26A64">
        <w:rPr>
          <w:rFonts w:asciiTheme="majorHAnsi" w:hAnsiTheme="majorHAnsi"/>
          <w:b/>
        </w:rPr>
        <w:lastRenderedPageBreak/>
        <w:t>Exceptions to Certification for Paperwork Reduction Act Submissions</w:t>
      </w:r>
    </w:p>
    <w:p w14:paraId="799DB888" w14:textId="77777777" w:rsidR="00F52BCC" w:rsidRDefault="0031279F" w:rsidP="003511E5">
      <w:pPr>
        <w:pStyle w:val="ListParagraph"/>
        <w:spacing w:after="0"/>
        <w:ind w:left="0"/>
      </w:pPr>
      <w:r w:rsidRPr="00546A99">
        <w:t>There are no exceptions to the certification.</w:t>
      </w:r>
      <w:r w:rsidR="00180D45" w:rsidRPr="00546A99">
        <w:t xml:space="preserve">  These activities comply with the requirements in 5 CFR 1320.9.</w:t>
      </w:r>
    </w:p>
    <w:p w14:paraId="551F4815" w14:textId="77777777" w:rsidR="00FB0D8F" w:rsidRPr="00546A99" w:rsidRDefault="00FB0D8F" w:rsidP="003511E5">
      <w:pPr>
        <w:pStyle w:val="ListParagraph"/>
        <w:spacing w:after="0"/>
        <w:ind w:left="0"/>
      </w:pPr>
    </w:p>
    <w:p w14:paraId="21C7D6DE" w14:textId="439D0CA2" w:rsidR="00A36419" w:rsidRDefault="00A36419" w:rsidP="00FB0D8F">
      <w:pPr>
        <w:rPr>
          <w:rFonts w:asciiTheme="majorHAnsi" w:hAnsiTheme="majorHAnsi"/>
          <w:b/>
          <w:sz w:val="28"/>
        </w:rPr>
      </w:pPr>
      <w:r>
        <w:rPr>
          <w:rFonts w:asciiTheme="majorHAnsi" w:hAnsiTheme="majorHAnsi"/>
          <w:b/>
          <w:sz w:val="28"/>
        </w:rPr>
        <w:t>LIST OF ATTACHMENTS</w:t>
      </w:r>
      <w:r w:rsidR="00A33E90">
        <w:rPr>
          <w:rFonts w:asciiTheme="majorHAnsi" w:hAnsiTheme="majorHAnsi"/>
          <w:b/>
          <w:sz w:val="28"/>
        </w:rPr>
        <w:t xml:space="preserve"> – Section A</w:t>
      </w:r>
    </w:p>
    <w:p w14:paraId="0A8AC63D" w14:textId="77777777" w:rsidR="000D4CF0" w:rsidRPr="000D4CF0" w:rsidRDefault="000D4CF0" w:rsidP="000D4CF0">
      <w:pPr>
        <w:spacing w:after="160"/>
      </w:pPr>
      <w:r w:rsidRPr="000D4CF0">
        <w:t>Note: Attachments are included as separate files as instructed.</w:t>
      </w:r>
    </w:p>
    <w:p w14:paraId="58A6B630" w14:textId="0E386412" w:rsidR="00B6634A" w:rsidRDefault="006B0BBF" w:rsidP="00572E9A">
      <w:pPr>
        <w:pStyle w:val="ListParagraph"/>
        <w:numPr>
          <w:ilvl w:val="0"/>
          <w:numId w:val="2"/>
        </w:numPr>
        <w:spacing w:after="120" w:line="360" w:lineRule="auto"/>
        <w:rPr>
          <w:b/>
        </w:rPr>
      </w:pPr>
      <w:r>
        <w:rPr>
          <w:b/>
        </w:rPr>
        <w:t>CDC Grantee List</w:t>
      </w:r>
    </w:p>
    <w:p w14:paraId="2382043E" w14:textId="2463BF69" w:rsidR="00724B87" w:rsidRPr="00CF58BB" w:rsidRDefault="006B0BBF" w:rsidP="00572E9A">
      <w:pPr>
        <w:pStyle w:val="ListParagraph"/>
        <w:numPr>
          <w:ilvl w:val="0"/>
          <w:numId w:val="2"/>
        </w:numPr>
        <w:spacing w:after="120" w:line="360" w:lineRule="auto"/>
        <w:rPr>
          <w:b/>
        </w:rPr>
      </w:pPr>
      <w:r>
        <w:rPr>
          <w:b/>
        </w:rPr>
        <w:t>IIS Functional Standards</w:t>
      </w:r>
    </w:p>
    <w:p w14:paraId="4AA325D2" w14:textId="64358C47" w:rsidR="004F4AD4" w:rsidRDefault="00B403AB" w:rsidP="00572E9A">
      <w:pPr>
        <w:pStyle w:val="ListParagraph"/>
        <w:numPr>
          <w:ilvl w:val="0"/>
          <w:numId w:val="2"/>
        </w:numPr>
        <w:spacing w:after="120" w:line="360" w:lineRule="auto"/>
        <w:rPr>
          <w:b/>
        </w:rPr>
      </w:pPr>
      <w:r>
        <w:rPr>
          <w:b/>
        </w:rPr>
        <w:t>Healthy People 2020 Brochure</w:t>
      </w:r>
    </w:p>
    <w:p w14:paraId="4915C393" w14:textId="19C4EBF9" w:rsidR="00724B87" w:rsidRPr="00724B87" w:rsidRDefault="00B403AB" w:rsidP="00572E9A">
      <w:pPr>
        <w:pStyle w:val="ListParagraph"/>
        <w:numPr>
          <w:ilvl w:val="0"/>
          <w:numId w:val="2"/>
        </w:numPr>
        <w:spacing w:after="120" w:line="360" w:lineRule="auto"/>
        <w:rPr>
          <w:b/>
        </w:rPr>
      </w:pPr>
      <w:r>
        <w:rPr>
          <w:b/>
        </w:rPr>
        <w:t>Bartlett Study</w:t>
      </w:r>
    </w:p>
    <w:p w14:paraId="5375AA5F" w14:textId="53C7962A" w:rsidR="00BC3C49" w:rsidRDefault="00B403AB" w:rsidP="00BC3C49">
      <w:pPr>
        <w:pStyle w:val="ListParagraph"/>
        <w:numPr>
          <w:ilvl w:val="0"/>
          <w:numId w:val="2"/>
        </w:numPr>
        <w:spacing w:after="120" w:line="360" w:lineRule="auto"/>
        <w:rPr>
          <w:b/>
        </w:rPr>
      </w:pPr>
      <w:r>
        <w:rPr>
          <w:b/>
        </w:rPr>
        <w:t>BRP Summary</w:t>
      </w:r>
    </w:p>
    <w:p w14:paraId="35284184" w14:textId="20E3B201" w:rsidR="004F4AD4" w:rsidRPr="00BC3C49" w:rsidRDefault="004F4AD4" w:rsidP="00BC3C49">
      <w:pPr>
        <w:pStyle w:val="ListParagraph"/>
        <w:numPr>
          <w:ilvl w:val="0"/>
          <w:numId w:val="2"/>
        </w:numPr>
        <w:spacing w:after="120" w:line="360" w:lineRule="auto"/>
        <w:rPr>
          <w:b/>
        </w:rPr>
      </w:pPr>
      <w:r w:rsidRPr="00BC3C49">
        <w:rPr>
          <w:b/>
        </w:rPr>
        <w:t>Online Instrument</w:t>
      </w:r>
      <w:r w:rsidR="00707927">
        <w:rPr>
          <w:b/>
        </w:rPr>
        <w:t>-</w:t>
      </w:r>
      <w:r w:rsidRPr="00BC3C49">
        <w:rPr>
          <w:b/>
        </w:rPr>
        <w:t xml:space="preserve"> Web </w:t>
      </w:r>
    </w:p>
    <w:p w14:paraId="646632A7" w14:textId="383125A4" w:rsidR="004F4AD4" w:rsidRDefault="004F4AD4" w:rsidP="00572E9A">
      <w:pPr>
        <w:pStyle w:val="ListParagraph"/>
        <w:numPr>
          <w:ilvl w:val="0"/>
          <w:numId w:val="2"/>
        </w:numPr>
        <w:spacing w:after="120" w:line="360" w:lineRule="auto"/>
        <w:rPr>
          <w:b/>
        </w:rPr>
      </w:pPr>
      <w:r>
        <w:rPr>
          <w:b/>
        </w:rPr>
        <w:t xml:space="preserve">Online </w:t>
      </w:r>
      <w:r w:rsidRPr="000D4CF0">
        <w:rPr>
          <w:b/>
        </w:rPr>
        <w:t>Instrument</w:t>
      </w:r>
      <w:r w:rsidR="00707927">
        <w:rPr>
          <w:b/>
        </w:rPr>
        <w:t>-</w:t>
      </w:r>
      <w:r w:rsidRPr="000D4CF0">
        <w:rPr>
          <w:b/>
        </w:rPr>
        <w:t xml:space="preserve">Word </w:t>
      </w:r>
    </w:p>
    <w:p w14:paraId="2F550724" w14:textId="461B6C37" w:rsidR="00BC3C49" w:rsidRDefault="00BC3C49" w:rsidP="00572E9A">
      <w:pPr>
        <w:pStyle w:val="ListParagraph"/>
        <w:numPr>
          <w:ilvl w:val="0"/>
          <w:numId w:val="2"/>
        </w:numPr>
        <w:spacing w:after="120" w:line="360" w:lineRule="auto"/>
        <w:rPr>
          <w:b/>
        </w:rPr>
      </w:pPr>
      <w:r w:rsidRPr="00BC3C49">
        <w:rPr>
          <w:b/>
        </w:rPr>
        <w:t xml:space="preserve">Interview </w:t>
      </w:r>
      <w:r w:rsidR="00D47354">
        <w:rPr>
          <w:b/>
        </w:rPr>
        <w:t>Guide</w:t>
      </w:r>
    </w:p>
    <w:p w14:paraId="5C414CB7" w14:textId="77777777" w:rsidR="00210C7D" w:rsidRDefault="00210C7D" w:rsidP="000B226A">
      <w:pPr>
        <w:spacing w:after="0"/>
        <w:rPr>
          <w:rFonts w:asciiTheme="majorHAnsi" w:hAnsiTheme="majorHAnsi"/>
          <w:sz w:val="20"/>
        </w:rPr>
      </w:pPr>
    </w:p>
    <w:p w14:paraId="5028F5A6" w14:textId="77777777" w:rsidR="00793731" w:rsidRDefault="00793731" w:rsidP="000B226A">
      <w:pPr>
        <w:spacing w:after="0"/>
        <w:rPr>
          <w:rFonts w:asciiTheme="majorHAnsi" w:hAnsiTheme="majorHAnsi"/>
          <w:sz w:val="20"/>
        </w:rPr>
      </w:pPr>
    </w:p>
    <w:p w14:paraId="4E64D418" w14:textId="77777777" w:rsidR="00793731" w:rsidRDefault="00793731" w:rsidP="000B226A">
      <w:pPr>
        <w:spacing w:after="0"/>
        <w:rPr>
          <w:rFonts w:asciiTheme="majorHAnsi" w:hAnsiTheme="majorHAnsi"/>
          <w:sz w:val="20"/>
        </w:rPr>
      </w:pPr>
    </w:p>
    <w:p w14:paraId="0D29810D" w14:textId="77777777" w:rsidR="00793731" w:rsidRPr="00CD1EA8" w:rsidRDefault="00793731" w:rsidP="000B226A">
      <w:pPr>
        <w:spacing w:after="0"/>
        <w:rPr>
          <w:rFonts w:asciiTheme="majorHAnsi" w:hAnsiTheme="majorHAnsi"/>
          <w:sz w:val="20"/>
        </w:rPr>
      </w:pPr>
    </w:p>
    <w:sectPr w:rsidR="00793731" w:rsidRPr="00CD1EA8" w:rsidSect="00385BB5">
      <w:head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EC1A9" w14:textId="77777777" w:rsidR="003A6B4E" w:rsidRDefault="003A6B4E" w:rsidP="00716F94">
      <w:pPr>
        <w:spacing w:after="0" w:line="240" w:lineRule="auto"/>
      </w:pPr>
      <w:r>
        <w:separator/>
      </w:r>
    </w:p>
  </w:endnote>
  <w:endnote w:type="continuationSeparator" w:id="0">
    <w:p w14:paraId="6BF1D198" w14:textId="77777777" w:rsidR="003A6B4E" w:rsidRDefault="003A6B4E"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51754" w14:textId="77777777" w:rsidR="003A6B4E" w:rsidRDefault="003A6B4E" w:rsidP="00716F94">
      <w:pPr>
        <w:spacing w:after="0" w:line="240" w:lineRule="auto"/>
      </w:pPr>
      <w:r>
        <w:separator/>
      </w:r>
    </w:p>
  </w:footnote>
  <w:footnote w:type="continuationSeparator" w:id="0">
    <w:p w14:paraId="6BB95821" w14:textId="77777777" w:rsidR="003A6B4E" w:rsidRDefault="003A6B4E"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A776C" w14:textId="7E24FFD6" w:rsidR="00B4695E" w:rsidRPr="00716F94" w:rsidRDefault="00B4695E"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EFD"/>
    <w:multiLevelType w:val="hybridMultilevel"/>
    <w:tmpl w:val="70E6B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D54F3D"/>
    <w:multiLevelType w:val="hybridMultilevel"/>
    <w:tmpl w:val="4BB0166A"/>
    <w:lvl w:ilvl="0" w:tplc="D9BC9B6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94058"/>
    <w:multiLevelType w:val="hybridMultilevel"/>
    <w:tmpl w:val="6C9043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317335"/>
    <w:multiLevelType w:val="hybridMultilevel"/>
    <w:tmpl w:val="F0BAD2E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0291481"/>
    <w:multiLevelType w:val="hybridMultilevel"/>
    <w:tmpl w:val="B4CEB998"/>
    <w:lvl w:ilvl="0" w:tplc="D9BC9B6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4C44FC3"/>
    <w:multiLevelType w:val="hybridMultilevel"/>
    <w:tmpl w:val="639A8B6A"/>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182A14"/>
    <w:multiLevelType w:val="hybridMultilevel"/>
    <w:tmpl w:val="7FA43B28"/>
    <w:lvl w:ilvl="0" w:tplc="D9BC9B6C">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B384A10"/>
    <w:multiLevelType w:val="hybridMultilevel"/>
    <w:tmpl w:val="F8F8F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605014"/>
    <w:multiLevelType w:val="hybridMultilevel"/>
    <w:tmpl w:val="860A917E"/>
    <w:lvl w:ilvl="0" w:tplc="E1C03912">
      <w:start w:val="1"/>
      <w:numFmt w:val="bullet"/>
      <w:lvlText w:val=""/>
      <w:lvlJc w:val="left"/>
      <w:pPr>
        <w:ind w:left="99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7F403E"/>
    <w:multiLevelType w:val="hybridMultilevel"/>
    <w:tmpl w:val="A288AC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9F441B"/>
    <w:multiLevelType w:val="hybridMultilevel"/>
    <w:tmpl w:val="0D4A26B8"/>
    <w:lvl w:ilvl="0" w:tplc="D9BC9B6C">
      <w:numFmt w:val="bullet"/>
      <w:lvlText w:val="•"/>
      <w:lvlJc w:val="left"/>
      <w:pPr>
        <w:ind w:left="1080" w:hanging="360"/>
      </w:pPr>
      <w:rPr>
        <w:rFonts w:ascii="Arial" w:eastAsia="Calibri"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E24D1E"/>
    <w:multiLevelType w:val="hybridMultilevel"/>
    <w:tmpl w:val="546C3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2"/>
  </w:num>
  <w:num w:numId="4">
    <w:abstractNumId w:val="15"/>
  </w:num>
  <w:num w:numId="5">
    <w:abstractNumId w:val="2"/>
  </w:num>
  <w:num w:numId="6">
    <w:abstractNumId w:val="10"/>
  </w:num>
  <w:num w:numId="7">
    <w:abstractNumId w:val="4"/>
  </w:num>
  <w:num w:numId="8">
    <w:abstractNumId w:val="9"/>
  </w:num>
  <w:num w:numId="9">
    <w:abstractNumId w:val="5"/>
  </w:num>
  <w:num w:numId="10">
    <w:abstractNumId w:val="16"/>
  </w:num>
  <w:num w:numId="11">
    <w:abstractNumId w:val="13"/>
  </w:num>
  <w:num w:numId="12">
    <w:abstractNumId w:val="0"/>
  </w:num>
  <w:num w:numId="13">
    <w:abstractNumId w:val="7"/>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1718"/>
    <w:rsid w:val="00011A98"/>
    <w:rsid w:val="00011F8D"/>
    <w:rsid w:val="000130B4"/>
    <w:rsid w:val="00014361"/>
    <w:rsid w:val="00020445"/>
    <w:rsid w:val="00040155"/>
    <w:rsid w:val="00040ACC"/>
    <w:rsid w:val="0004189A"/>
    <w:rsid w:val="00047071"/>
    <w:rsid w:val="000474FB"/>
    <w:rsid w:val="0005175A"/>
    <w:rsid w:val="00053A92"/>
    <w:rsid w:val="00054839"/>
    <w:rsid w:val="00057F36"/>
    <w:rsid w:val="0006177E"/>
    <w:rsid w:val="00062386"/>
    <w:rsid w:val="00062AF8"/>
    <w:rsid w:val="00065FA0"/>
    <w:rsid w:val="000A1705"/>
    <w:rsid w:val="000A1DEF"/>
    <w:rsid w:val="000A1F30"/>
    <w:rsid w:val="000A27E9"/>
    <w:rsid w:val="000A2A74"/>
    <w:rsid w:val="000A71DF"/>
    <w:rsid w:val="000B0962"/>
    <w:rsid w:val="000B226A"/>
    <w:rsid w:val="000B2CBC"/>
    <w:rsid w:val="000D4CF0"/>
    <w:rsid w:val="000E6577"/>
    <w:rsid w:val="000E7A19"/>
    <w:rsid w:val="000F1252"/>
    <w:rsid w:val="00104A1B"/>
    <w:rsid w:val="001065FE"/>
    <w:rsid w:val="00111698"/>
    <w:rsid w:val="0011208F"/>
    <w:rsid w:val="001152E1"/>
    <w:rsid w:val="001177DD"/>
    <w:rsid w:val="001256BF"/>
    <w:rsid w:val="00135334"/>
    <w:rsid w:val="001365F6"/>
    <w:rsid w:val="0014122C"/>
    <w:rsid w:val="001412D4"/>
    <w:rsid w:val="00141C8D"/>
    <w:rsid w:val="00144F64"/>
    <w:rsid w:val="00145D62"/>
    <w:rsid w:val="00151567"/>
    <w:rsid w:val="00163E17"/>
    <w:rsid w:val="00166F9E"/>
    <w:rsid w:val="00167880"/>
    <w:rsid w:val="00171489"/>
    <w:rsid w:val="001762AB"/>
    <w:rsid w:val="00180D45"/>
    <w:rsid w:val="00187870"/>
    <w:rsid w:val="00187D5A"/>
    <w:rsid w:val="00192E58"/>
    <w:rsid w:val="001972D7"/>
    <w:rsid w:val="001A0D93"/>
    <w:rsid w:val="001A28F6"/>
    <w:rsid w:val="001B269B"/>
    <w:rsid w:val="001B2831"/>
    <w:rsid w:val="001B4065"/>
    <w:rsid w:val="001B7906"/>
    <w:rsid w:val="001C0493"/>
    <w:rsid w:val="001C0CF0"/>
    <w:rsid w:val="001C28AD"/>
    <w:rsid w:val="001C68BF"/>
    <w:rsid w:val="001C7242"/>
    <w:rsid w:val="001D1096"/>
    <w:rsid w:val="001D28C4"/>
    <w:rsid w:val="001D7FCB"/>
    <w:rsid w:val="001E2B99"/>
    <w:rsid w:val="001E69B6"/>
    <w:rsid w:val="001F3087"/>
    <w:rsid w:val="001F3B57"/>
    <w:rsid w:val="001F3D50"/>
    <w:rsid w:val="001F4DBB"/>
    <w:rsid w:val="00202D07"/>
    <w:rsid w:val="0020312D"/>
    <w:rsid w:val="00206E33"/>
    <w:rsid w:val="002070F0"/>
    <w:rsid w:val="00210519"/>
    <w:rsid w:val="00210C7D"/>
    <w:rsid w:val="00224475"/>
    <w:rsid w:val="00227259"/>
    <w:rsid w:val="0023054C"/>
    <w:rsid w:val="00235771"/>
    <w:rsid w:val="00240966"/>
    <w:rsid w:val="00241B17"/>
    <w:rsid w:val="00241C81"/>
    <w:rsid w:val="00246536"/>
    <w:rsid w:val="00250C00"/>
    <w:rsid w:val="00255C4B"/>
    <w:rsid w:val="00257A1C"/>
    <w:rsid w:val="002675D9"/>
    <w:rsid w:val="0027234C"/>
    <w:rsid w:val="0027234E"/>
    <w:rsid w:val="00273E31"/>
    <w:rsid w:val="002760A8"/>
    <w:rsid w:val="00281795"/>
    <w:rsid w:val="002850E3"/>
    <w:rsid w:val="00287E2F"/>
    <w:rsid w:val="0029373A"/>
    <w:rsid w:val="002A1384"/>
    <w:rsid w:val="002A1710"/>
    <w:rsid w:val="002A1948"/>
    <w:rsid w:val="002A3475"/>
    <w:rsid w:val="002A3D0D"/>
    <w:rsid w:val="002B0F0B"/>
    <w:rsid w:val="002C0877"/>
    <w:rsid w:val="002C0F0E"/>
    <w:rsid w:val="002C223F"/>
    <w:rsid w:val="002C2AE2"/>
    <w:rsid w:val="002C5D1C"/>
    <w:rsid w:val="002D0DCE"/>
    <w:rsid w:val="002E2B10"/>
    <w:rsid w:val="002E73B0"/>
    <w:rsid w:val="002F1502"/>
    <w:rsid w:val="002F2069"/>
    <w:rsid w:val="002F71A2"/>
    <w:rsid w:val="003041AD"/>
    <w:rsid w:val="00307037"/>
    <w:rsid w:val="0031279F"/>
    <w:rsid w:val="00316F00"/>
    <w:rsid w:val="00321B51"/>
    <w:rsid w:val="00330F88"/>
    <w:rsid w:val="003356B0"/>
    <w:rsid w:val="00336D96"/>
    <w:rsid w:val="003403D9"/>
    <w:rsid w:val="00341B98"/>
    <w:rsid w:val="0034310E"/>
    <w:rsid w:val="00344F07"/>
    <w:rsid w:val="003469C8"/>
    <w:rsid w:val="00346C1C"/>
    <w:rsid w:val="00350C8C"/>
    <w:rsid w:val="003511E5"/>
    <w:rsid w:val="00355EA4"/>
    <w:rsid w:val="00357E55"/>
    <w:rsid w:val="003635BE"/>
    <w:rsid w:val="0036473C"/>
    <w:rsid w:val="00366B5E"/>
    <w:rsid w:val="003716E4"/>
    <w:rsid w:val="00375785"/>
    <w:rsid w:val="00375F13"/>
    <w:rsid w:val="003821AE"/>
    <w:rsid w:val="003856D6"/>
    <w:rsid w:val="00385BB5"/>
    <w:rsid w:val="00385E81"/>
    <w:rsid w:val="00386BC2"/>
    <w:rsid w:val="003A14C5"/>
    <w:rsid w:val="003A6B4E"/>
    <w:rsid w:val="003A7CCA"/>
    <w:rsid w:val="003B125E"/>
    <w:rsid w:val="003B2A8F"/>
    <w:rsid w:val="003B5D55"/>
    <w:rsid w:val="003C31C9"/>
    <w:rsid w:val="003C4961"/>
    <w:rsid w:val="003C7C5D"/>
    <w:rsid w:val="003D0AD2"/>
    <w:rsid w:val="003D71EE"/>
    <w:rsid w:val="003F5913"/>
    <w:rsid w:val="004024F8"/>
    <w:rsid w:val="00405696"/>
    <w:rsid w:val="0041159A"/>
    <w:rsid w:val="004305A8"/>
    <w:rsid w:val="004315AE"/>
    <w:rsid w:val="004353D5"/>
    <w:rsid w:val="00436085"/>
    <w:rsid w:val="00443CA0"/>
    <w:rsid w:val="00445E75"/>
    <w:rsid w:val="00450E14"/>
    <w:rsid w:val="00462C65"/>
    <w:rsid w:val="004644F7"/>
    <w:rsid w:val="00464C8A"/>
    <w:rsid w:val="004674E7"/>
    <w:rsid w:val="00467B14"/>
    <w:rsid w:val="00473C30"/>
    <w:rsid w:val="00473F46"/>
    <w:rsid w:val="00474EDA"/>
    <w:rsid w:val="00475C84"/>
    <w:rsid w:val="00476384"/>
    <w:rsid w:val="004824FA"/>
    <w:rsid w:val="00484011"/>
    <w:rsid w:val="004841F1"/>
    <w:rsid w:val="004851E1"/>
    <w:rsid w:val="00497599"/>
    <w:rsid w:val="004A1E3A"/>
    <w:rsid w:val="004A31FF"/>
    <w:rsid w:val="004B1746"/>
    <w:rsid w:val="004B46D6"/>
    <w:rsid w:val="004B4AED"/>
    <w:rsid w:val="004B523A"/>
    <w:rsid w:val="004B6ABF"/>
    <w:rsid w:val="004C0BF6"/>
    <w:rsid w:val="004C4464"/>
    <w:rsid w:val="004C4AEA"/>
    <w:rsid w:val="004C515F"/>
    <w:rsid w:val="004C5ED9"/>
    <w:rsid w:val="004D00E0"/>
    <w:rsid w:val="004D0430"/>
    <w:rsid w:val="004D1DAA"/>
    <w:rsid w:val="004D4EB1"/>
    <w:rsid w:val="004E003C"/>
    <w:rsid w:val="004E16EB"/>
    <w:rsid w:val="004E6665"/>
    <w:rsid w:val="004E7E2D"/>
    <w:rsid w:val="004F2581"/>
    <w:rsid w:val="004F3AFB"/>
    <w:rsid w:val="004F4AD4"/>
    <w:rsid w:val="004F634E"/>
    <w:rsid w:val="004F67A8"/>
    <w:rsid w:val="00504E1D"/>
    <w:rsid w:val="00512CC6"/>
    <w:rsid w:val="0051582C"/>
    <w:rsid w:val="00522A50"/>
    <w:rsid w:val="005252E6"/>
    <w:rsid w:val="00527225"/>
    <w:rsid w:val="0053557D"/>
    <w:rsid w:val="005360C4"/>
    <w:rsid w:val="005410E3"/>
    <w:rsid w:val="00545A86"/>
    <w:rsid w:val="005463DE"/>
    <w:rsid w:val="00546A99"/>
    <w:rsid w:val="00546DC2"/>
    <w:rsid w:val="00553D29"/>
    <w:rsid w:val="005542E8"/>
    <w:rsid w:val="00556630"/>
    <w:rsid w:val="0055686D"/>
    <w:rsid w:val="0055729D"/>
    <w:rsid w:val="005624BF"/>
    <w:rsid w:val="00572E9A"/>
    <w:rsid w:val="00576E04"/>
    <w:rsid w:val="00577184"/>
    <w:rsid w:val="005800EE"/>
    <w:rsid w:val="00582D15"/>
    <w:rsid w:val="005869D6"/>
    <w:rsid w:val="0059331E"/>
    <w:rsid w:val="005A33F6"/>
    <w:rsid w:val="005A59E5"/>
    <w:rsid w:val="005B38C7"/>
    <w:rsid w:val="005B7440"/>
    <w:rsid w:val="005C14A6"/>
    <w:rsid w:val="005C2BE4"/>
    <w:rsid w:val="005D4C52"/>
    <w:rsid w:val="005E2150"/>
    <w:rsid w:val="005E22EE"/>
    <w:rsid w:val="005E2995"/>
    <w:rsid w:val="005E4BDB"/>
    <w:rsid w:val="005E5456"/>
    <w:rsid w:val="005F0038"/>
    <w:rsid w:val="005F3FEF"/>
    <w:rsid w:val="00600C4F"/>
    <w:rsid w:val="00603975"/>
    <w:rsid w:val="00607F7C"/>
    <w:rsid w:val="006102DA"/>
    <w:rsid w:val="00612FC2"/>
    <w:rsid w:val="00616090"/>
    <w:rsid w:val="00616542"/>
    <w:rsid w:val="00622C6B"/>
    <w:rsid w:val="006315A3"/>
    <w:rsid w:val="006338DA"/>
    <w:rsid w:val="006417CF"/>
    <w:rsid w:val="00650416"/>
    <w:rsid w:val="00655C35"/>
    <w:rsid w:val="006579A2"/>
    <w:rsid w:val="00665194"/>
    <w:rsid w:val="006664D6"/>
    <w:rsid w:val="00667C89"/>
    <w:rsid w:val="006711EE"/>
    <w:rsid w:val="006773E9"/>
    <w:rsid w:val="006809BB"/>
    <w:rsid w:val="006809FD"/>
    <w:rsid w:val="00683C7A"/>
    <w:rsid w:val="00686968"/>
    <w:rsid w:val="0069043D"/>
    <w:rsid w:val="00691D1F"/>
    <w:rsid w:val="00697BAE"/>
    <w:rsid w:val="006A0734"/>
    <w:rsid w:val="006A2147"/>
    <w:rsid w:val="006A23D4"/>
    <w:rsid w:val="006A304A"/>
    <w:rsid w:val="006A608D"/>
    <w:rsid w:val="006A7AAC"/>
    <w:rsid w:val="006B0BBF"/>
    <w:rsid w:val="006B3AF0"/>
    <w:rsid w:val="006B4DDC"/>
    <w:rsid w:val="006B5E55"/>
    <w:rsid w:val="006C4DA7"/>
    <w:rsid w:val="006D25A1"/>
    <w:rsid w:val="006E14E9"/>
    <w:rsid w:val="006E68F9"/>
    <w:rsid w:val="006F09A2"/>
    <w:rsid w:val="006F0F14"/>
    <w:rsid w:val="006F6856"/>
    <w:rsid w:val="006F7D2B"/>
    <w:rsid w:val="007014B3"/>
    <w:rsid w:val="00705329"/>
    <w:rsid w:val="00707927"/>
    <w:rsid w:val="007145D0"/>
    <w:rsid w:val="00716F94"/>
    <w:rsid w:val="00720671"/>
    <w:rsid w:val="00724B87"/>
    <w:rsid w:val="00725E53"/>
    <w:rsid w:val="007331BF"/>
    <w:rsid w:val="007507A3"/>
    <w:rsid w:val="00760281"/>
    <w:rsid w:val="00760E12"/>
    <w:rsid w:val="00763CF3"/>
    <w:rsid w:val="00766775"/>
    <w:rsid w:val="00766CFB"/>
    <w:rsid w:val="00767CF8"/>
    <w:rsid w:val="00772293"/>
    <w:rsid w:val="00776981"/>
    <w:rsid w:val="007770D8"/>
    <w:rsid w:val="00781AE3"/>
    <w:rsid w:val="00783C75"/>
    <w:rsid w:val="00784619"/>
    <w:rsid w:val="0078627B"/>
    <w:rsid w:val="0078765B"/>
    <w:rsid w:val="00790C86"/>
    <w:rsid w:val="00792E68"/>
    <w:rsid w:val="00793731"/>
    <w:rsid w:val="00794E32"/>
    <w:rsid w:val="00797DD2"/>
    <w:rsid w:val="007A0D73"/>
    <w:rsid w:val="007A4ADC"/>
    <w:rsid w:val="007A58BE"/>
    <w:rsid w:val="007B305A"/>
    <w:rsid w:val="007B3DEF"/>
    <w:rsid w:val="007B4934"/>
    <w:rsid w:val="007C70CE"/>
    <w:rsid w:val="007D0DD6"/>
    <w:rsid w:val="007D6252"/>
    <w:rsid w:val="007E22A3"/>
    <w:rsid w:val="007E387A"/>
    <w:rsid w:val="007E4FD5"/>
    <w:rsid w:val="007E575D"/>
    <w:rsid w:val="007E6AEF"/>
    <w:rsid w:val="007F3FF5"/>
    <w:rsid w:val="0080703B"/>
    <w:rsid w:val="008078A6"/>
    <w:rsid w:val="0081155F"/>
    <w:rsid w:val="00814D52"/>
    <w:rsid w:val="00814E91"/>
    <w:rsid w:val="00815C7D"/>
    <w:rsid w:val="00817941"/>
    <w:rsid w:val="008229E4"/>
    <w:rsid w:val="00823547"/>
    <w:rsid w:val="008261AB"/>
    <w:rsid w:val="008269AB"/>
    <w:rsid w:val="00827ABC"/>
    <w:rsid w:val="0083198E"/>
    <w:rsid w:val="00832A15"/>
    <w:rsid w:val="00834C91"/>
    <w:rsid w:val="00835CA7"/>
    <w:rsid w:val="008367AF"/>
    <w:rsid w:val="008370D4"/>
    <w:rsid w:val="008414AD"/>
    <w:rsid w:val="00842316"/>
    <w:rsid w:val="008428D9"/>
    <w:rsid w:val="0084548A"/>
    <w:rsid w:val="00846972"/>
    <w:rsid w:val="00852DE6"/>
    <w:rsid w:val="008555C6"/>
    <w:rsid w:val="00861BB8"/>
    <w:rsid w:val="00864938"/>
    <w:rsid w:val="00866917"/>
    <w:rsid w:val="00881351"/>
    <w:rsid w:val="0088467A"/>
    <w:rsid w:val="00884DB9"/>
    <w:rsid w:val="008A31EE"/>
    <w:rsid w:val="008A7308"/>
    <w:rsid w:val="008C3B24"/>
    <w:rsid w:val="008C4565"/>
    <w:rsid w:val="008C4715"/>
    <w:rsid w:val="008C4DC4"/>
    <w:rsid w:val="008C67D2"/>
    <w:rsid w:val="008D3B94"/>
    <w:rsid w:val="008E0683"/>
    <w:rsid w:val="008E37E1"/>
    <w:rsid w:val="008F774A"/>
    <w:rsid w:val="00902DD9"/>
    <w:rsid w:val="00911486"/>
    <w:rsid w:val="009129CA"/>
    <w:rsid w:val="00916845"/>
    <w:rsid w:val="009206B6"/>
    <w:rsid w:val="009252DC"/>
    <w:rsid w:val="009263C1"/>
    <w:rsid w:val="0094001D"/>
    <w:rsid w:val="00941B4F"/>
    <w:rsid w:val="009518C0"/>
    <w:rsid w:val="00956EA3"/>
    <w:rsid w:val="00963CE3"/>
    <w:rsid w:val="00964F18"/>
    <w:rsid w:val="00974424"/>
    <w:rsid w:val="009746E9"/>
    <w:rsid w:val="009806E8"/>
    <w:rsid w:val="00983932"/>
    <w:rsid w:val="00986BEA"/>
    <w:rsid w:val="00987F76"/>
    <w:rsid w:val="009900B3"/>
    <w:rsid w:val="00990CB1"/>
    <w:rsid w:val="00993088"/>
    <w:rsid w:val="0099664F"/>
    <w:rsid w:val="00997D5D"/>
    <w:rsid w:val="009A0447"/>
    <w:rsid w:val="009A2A27"/>
    <w:rsid w:val="009A2CE5"/>
    <w:rsid w:val="009B4A51"/>
    <w:rsid w:val="009C28B1"/>
    <w:rsid w:val="009C61AD"/>
    <w:rsid w:val="009D373D"/>
    <w:rsid w:val="009D6BF5"/>
    <w:rsid w:val="009D7B2C"/>
    <w:rsid w:val="009E0801"/>
    <w:rsid w:val="009E083A"/>
    <w:rsid w:val="009E1D05"/>
    <w:rsid w:val="009E3624"/>
    <w:rsid w:val="009E55F1"/>
    <w:rsid w:val="009E6229"/>
    <w:rsid w:val="009F7DE0"/>
    <w:rsid w:val="00A028BB"/>
    <w:rsid w:val="00A0670F"/>
    <w:rsid w:val="00A11B0C"/>
    <w:rsid w:val="00A147F5"/>
    <w:rsid w:val="00A21228"/>
    <w:rsid w:val="00A21525"/>
    <w:rsid w:val="00A24A2A"/>
    <w:rsid w:val="00A259A8"/>
    <w:rsid w:val="00A25E66"/>
    <w:rsid w:val="00A32FAE"/>
    <w:rsid w:val="00A33B35"/>
    <w:rsid w:val="00A33E90"/>
    <w:rsid w:val="00A345A6"/>
    <w:rsid w:val="00A36419"/>
    <w:rsid w:val="00A44921"/>
    <w:rsid w:val="00A46397"/>
    <w:rsid w:val="00A578C2"/>
    <w:rsid w:val="00A66946"/>
    <w:rsid w:val="00A72652"/>
    <w:rsid w:val="00A75D1C"/>
    <w:rsid w:val="00A809AA"/>
    <w:rsid w:val="00A849B3"/>
    <w:rsid w:val="00A8510D"/>
    <w:rsid w:val="00A86AF3"/>
    <w:rsid w:val="00A90AFF"/>
    <w:rsid w:val="00A90BDC"/>
    <w:rsid w:val="00A95477"/>
    <w:rsid w:val="00A97189"/>
    <w:rsid w:val="00A975A9"/>
    <w:rsid w:val="00AA3192"/>
    <w:rsid w:val="00AA338A"/>
    <w:rsid w:val="00AB0486"/>
    <w:rsid w:val="00AB0C19"/>
    <w:rsid w:val="00AB251E"/>
    <w:rsid w:val="00AB3608"/>
    <w:rsid w:val="00AC1A04"/>
    <w:rsid w:val="00AC5C48"/>
    <w:rsid w:val="00AC63E3"/>
    <w:rsid w:val="00AC784D"/>
    <w:rsid w:val="00AD0C01"/>
    <w:rsid w:val="00AE5D2E"/>
    <w:rsid w:val="00AF0CF4"/>
    <w:rsid w:val="00AF15EF"/>
    <w:rsid w:val="00AF2252"/>
    <w:rsid w:val="00B00B12"/>
    <w:rsid w:val="00B05F91"/>
    <w:rsid w:val="00B1129F"/>
    <w:rsid w:val="00B11D61"/>
    <w:rsid w:val="00B126EF"/>
    <w:rsid w:val="00B12F51"/>
    <w:rsid w:val="00B20DFE"/>
    <w:rsid w:val="00B2178A"/>
    <w:rsid w:val="00B22640"/>
    <w:rsid w:val="00B2660F"/>
    <w:rsid w:val="00B2751E"/>
    <w:rsid w:val="00B27F49"/>
    <w:rsid w:val="00B330EC"/>
    <w:rsid w:val="00B3650C"/>
    <w:rsid w:val="00B403AB"/>
    <w:rsid w:val="00B43B51"/>
    <w:rsid w:val="00B4695E"/>
    <w:rsid w:val="00B47055"/>
    <w:rsid w:val="00B5735E"/>
    <w:rsid w:val="00B61CD3"/>
    <w:rsid w:val="00B63E7D"/>
    <w:rsid w:val="00B64174"/>
    <w:rsid w:val="00B64BFA"/>
    <w:rsid w:val="00B6634A"/>
    <w:rsid w:val="00B70C2A"/>
    <w:rsid w:val="00B71E63"/>
    <w:rsid w:val="00B763A3"/>
    <w:rsid w:val="00B85DE4"/>
    <w:rsid w:val="00B87AAD"/>
    <w:rsid w:val="00B91A31"/>
    <w:rsid w:val="00B95729"/>
    <w:rsid w:val="00BA301E"/>
    <w:rsid w:val="00BA6C28"/>
    <w:rsid w:val="00BA6DB4"/>
    <w:rsid w:val="00BA750F"/>
    <w:rsid w:val="00BA7543"/>
    <w:rsid w:val="00BB1A36"/>
    <w:rsid w:val="00BC3C49"/>
    <w:rsid w:val="00BC3F3C"/>
    <w:rsid w:val="00BC5BB2"/>
    <w:rsid w:val="00BC5F00"/>
    <w:rsid w:val="00BD006B"/>
    <w:rsid w:val="00BE0874"/>
    <w:rsid w:val="00BE738E"/>
    <w:rsid w:val="00BF11A1"/>
    <w:rsid w:val="00BF13CA"/>
    <w:rsid w:val="00BF3F54"/>
    <w:rsid w:val="00BF6409"/>
    <w:rsid w:val="00BF7CE2"/>
    <w:rsid w:val="00C00697"/>
    <w:rsid w:val="00C01A4D"/>
    <w:rsid w:val="00C0376C"/>
    <w:rsid w:val="00C06D77"/>
    <w:rsid w:val="00C14BA6"/>
    <w:rsid w:val="00C22E1B"/>
    <w:rsid w:val="00C27C75"/>
    <w:rsid w:val="00C3485C"/>
    <w:rsid w:val="00C40C78"/>
    <w:rsid w:val="00C4714B"/>
    <w:rsid w:val="00C503E2"/>
    <w:rsid w:val="00C51A09"/>
    <w:rsid w:val="00C53EEF"/>
    <w:rsid w:val="00C544A4"/>
    <w:rsid w:val="00C55D04"/>
    <w:rsid w:val="00C64BB2"/>
    <w:rsid w:val="00C656BF"/>
    <w:rsid w:val="00C768E5"/>
    <w:rsid w:val="00C90479"/>
    <w:rsid w:val="00C97232"/>
    <w:rsid w:val="00CA1FBF"/>
    <w:rsid w:val="00CA2004"/>
    <w:rsid w:val="00CA4463"/>
    <w:rsid w:val="00CA5B99"/>
    <w:rsid w:val="00CB30EB"/>
    <w:rsid w:val="00CB334D"/>
    <w:rsid w:val="00CB56D5"/>
    <w:rsid w:val="00CB7751"/>
    <w:rsid w:val="00CC616E"/>
    <w:rsid w:val="00CD1D7C"/>
    <w:rsid w:val="00CD1EA8"/>
    <w:rsid w:val="00CE2210"/>
    <w:rsid w:val="00CE4F7B"/>
    <w:rsid w:val="00CF58BB"/>
    <w:rsid w:val="00CF5ABD"/>
    <w:rsid w:val="00CF63CE"/>
    <w:rsid w:val="00CF71E4"/>
    <w:rsid w:val="00D0341A"/>
    <w:rsid w:val="00D04546"/>
    <w:rsid w:val="00D067C1"/>
    <w:rsid w:val="00D13B13"/>
    <w:rsid w:val="00D16696"/>
    <w:rsid w:val="00D16E78"/>
    <w:rsid w:val="00D201D3"/>
    <w:rsid w:val="00D26A64"/>
    <w:rsid w:val="00D3194F"/>
    <w:rsid w:val="00D3605D"/>
    <w:rsid w:val="00D3686A"/>
    <w:rsid w:val="00D36D06"/>
    <w:rsid w:val="00D4060A"/>
    <w:rsid w:val="00D40A86"/>
    <w:rsid w:val="00D47354"/>
    <w:rsid w:val="00D50300"/>
    <w:rsid w:val="00D52B9A"/>
    <w:rsid w:val="00D5367E"/>
    <w:rsid w:val="00D53B1E"/>
    <w:rsid w:val="00D63F97"/>
    <w:rsid w:val="00D642D1"/>
    <w:rsid w:val="00D714A2"/>
    <w:rsid w:val="00D71EBB"/>
    <w:rsid w:val="00D735A2"/>
    <w:rsid w:val="00D75750"/>
    <w:rsid w:val="00D82848"/>
    <w:rsid w:val="00D830D3"/>
    <w:rsid w:val="00D84EF0"/>
    <w:rsid w:val="00D856F6"/>
    <w:rsid w:val="00D861ED"/>
    <w:rsid w:val="00D873E0"/>
    <w:rsid w:val="00D94F8B"/>
    <w:rsid w:val="00D95FBF"/>
    <w:rsid w:val="00DA09D0"/>
    <w:rsid w:val="00DA3533"/>
    <w:rsid w:val="00DA358C"/>
    <w:rsid w:val="00DA5988"/>
    <w:rsid w:val="00DA6861"/>
    <w:rsid w:val="00DB1487"/>
    <w:rsid w:val="00DB7F78"/>
    <w:rsid w:val="00DC08BD"/>
    <w:rsid w:val="00DC317C"/>
    <w:rsid w:val="00DC4FF2"/>
    <w:rsid w:val="00DC79CC"/>
    <w:rsid w:val="00DE1D4F"/>
    <w:rsid w:val="00DE243B"/>
    <w:rsid w:val="00E10D39"/>
    <w:rsid w:val="00E134F4"/>
    <w:rsid w:val="00E162E0"/>
    <w:rsid w:val="00E23568"/>
    <w:rsid w:val="00E245B5"/>
    <w:rsid w:val="00E32AC3"/>
    <w:rsid w:val="00E33E1B"/>
    <w:rsid w:val="00E34D3E"/>
    <w:rsid w:val="00E40D26"/>
    <w:rsid w:val="00E446D0"/>
    <w:rsid w:val="00E53FEE"/>
    <w:rsid w:val="00E63D11"/>
    <w:rsid w:val="00E720E9"/>
    <w:rsid w:val="00E736A0"/>
    <w:rsid w:val="00E806AD"/>
    <w:rsid w:val="00E81C5E"/>
    <w:rsid w:val="00E83B3C"/>
    <w:rsid w:val="00E85B0C"/>
    <w:rsid w:val="00E86DEF"/>
    <w:rsid w:val="00E8736B"/>
    <w:rsid w:val="00E90275"/>
    <w:rsid w:val="00E91108"/>
    <w:rsid w:val="00E925D4"/>
    <w:rsid w:val="00E97226"/>
    <w:rsid w:val="00E972D1"/>
    <w:rsid w:val="00E97ACC"/>
    <w:rsid w:val="00E97FF2"/>
    <w:rsid w:val="00EA2B44"/>
    <w:rsid w:val="00EA33EF"/>
    <w:rsid w:val="00EB7869"/>
    <w:rsid w:val="00EB7CF3"/>
    <w:rsid w:val="00EC3989"/>
    <w:rsid w:val="00EC4FFD"/>
    <w:rsid w:val="00EC5EFC"/>
    <w:rsid w:val="00EC6542"/>
    <w:rsid w:val="00EC6ECD"/>
    <w:rsid w:val="00EE36D6"/>
    <w:rsid w:val="00EF33CD"/>
    <w:rsid w:val="00EF5DE8"/>
    <w:rsid w:val="00F04972"/>
    <w:rsid w:val="00F073C5"/>
    <w:rsid w:val="00F12924"/>
    <w:rsid w:val="00F15EC4"/>
    <w:rsid w:val="00F20C9B"/>
    <w:rsid w:val="00F21CF0"/>
    <w:rsid w:val="00F300CB"/>
    <w:rsid w:val="00F31424"/>
    <w:rsid w:val="00F42C3A"/>
    <w:rsid w:val="00F52BCC"/>
    <w:rsid w:val="00F5313F"/>
    <w:rsid w:val="00F64505"/>
    <w:rsid w:val="00F81A48"/>
    <w:rsid w:val="00F85F75"/>
    <w:rsid w:val="00FB09C2"/>
    <w:rsid w:val="00FB0CB1"/>
    <w:rsid w:val="00FB0D8F"/>
    <w:rsid w:val="00FB3D5D"/>
    <w:rsid w:val="00FB5021"/>
    <w:rsid w:val="00FB62BC"/>
    <w:rsid w:val="00FC1A10"/>
    <w:rsid w:val="00FD17C9"/>
    <w:rsid w:val="00FD1F8E"/>
    <w:rsid w:val="00FD2A5B"/>
    <w:rsid w:val="00FD3EDE"/>
    <w:rsid w:val="00FE5BFD"/>
    <w:rsid w:val="00FE6A5C"/>
    <w:rsid w:val="00FF0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1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Proposal Bullet List,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semiHidden/>
    <w:unhideWhenUsed/>
    <w:rsid w:val="000B0962"/>
    <w:pPr>
      <w:spacing w:line="240" w:lineRule="auto"/>
    </w:pPr>
    <w:rPr>
      <w:sz w:val="20"/>
      <w:szCs w:val="20"/>
    </w:rPr>
  </w:style>
  <w:style w:type="character" w:customStyle="1" w:styleId="CommentTextChar">
    <w:name w:val="Comment Text Char"/>
    <w:basedOn w:val="DefaultParagraphFont"/>
    <w:link w:val="CommentText"/>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ListParagraphChar">
    <w:name w:val="List Paragraph Char"/>
    <w:aliases w:val="Proposal Bullet List Char,Paragraph Char"/>
    <w:link w:val="ListParagraph"/>
    <w:uiPriority w:val="34"/>
    <w:rsid w:val="00CA1FBF"/>
  </w:style>
  <w:style w:type="character" w:styleId="FollowedHyperlink">
    <w:name w:val="FollowedHyperlink"/>
    <w:basedOn w:val="DefaultParagraphFont"/>
    <w:uiPriority w:val="99"/>
    <w:semiHidden/>
    <w:unhideWhenUsed/>
    <w:rsid w:val="00546A99"/>
    <w:rPr>
      <w:color w:val="800080" w:themeColor="followedHyperlink"/>
      <w:u w:val="single"/>
    </w:rPr>
  </w:style>
  <w:style w:type="paragraph" w:styleId="FootnoteText">
    <w:name w:val="footnote text"/>
    <w:basedOn w:val="Normal"/>
    <w:link w:val="FootnoteTextChar"/>
    <w:uiPriority w:val="99"/>
    <w:semiHidden/>
    <w:unhideWhenUsed/>
    <w:rsid w:val="003403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03D9"/>
    <w:rPr>
      <w:sz w:val="20"/>
      <w:szCs w:val="20"/>
    </w:rPr>
  </w:style>
  <w:style w:type="character" w:styleId="FootnoteReference">
    <w:name w:val="footnote reference"/>
    <w:basedOn w:val="DefaultParagraphFont"/>
    <w:uiPriority w:val="99"/>
    <w:semiHidden/>
    <w:unhideWhenUsed/>
    <w:rsid w:val="003403D9"/>
    <w:rPr>
      <w:vertAlign w:val="superscript"/>
    </w:rPr>
  </w:style>
  <w:style w:type="paragraph" w:styleId="NoSpacing">
    <w:name w:val="No Spacing"/>
    <w:uiPriority w:val="1"/>
    <w:qFormat/>
    <w:rsid w:val="003A7CCA"/>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Proposal Bullet List,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semiHidden/>
    <w:unhideWhenUsed/>
    <w:rsid w:val="000B0962"/>
    <w:pPr>
      <w:spacing w:line="240" w:lineRule="auto"/>
    </w:pPr>
    <w:rPr>
      <w:sz w:val="20"/>
      <w:szCs w:val="20"/>
    </w:rPr>
  </w:style>
  <w:style w:type="character" w:customStyle="1" w:styleId="CommentTextChar">
    <w:name w:val="Comment Text Char"/>
    <w:basedOn w:val="DefaultParagraphFont"/>
    <w:link w:val="CommentText"/>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ListParagraphChar">
    <w:name w:val="List Paragraph Char"/>
    <w:aliases w:val="Proposal Bullet List Char,Paragraph Char"/>
    <w:link w:val="ListParagraph"/>
    <w:uiPriority w:val="34"/>
    <w:rsid w:val="00CA1FBF"/>
  </w:style>
  <w:style w:type="character" w:styleId="FollowedHyperlink">
    <w:name w:val="FollowedHyperlink"/>
    <w:basedOn w:val="DefaultParagraphFont"/>
    <w:uiPriority w:val="99"/>
    <w:semiHidden/>
    <w:unhideWhenUsed/>
    <w:rsid w:val="00546A99"/>
    <w:rPr>
      <w:color w:val="800080" w:themeColor="followedHyperlink"/>
      <w:u w:val="single"/>
    </w:rPr>
  </w:style>
  <w:style w:type="paragraph" w:styleId="FootnoteText">
    <w:name w:val="footnote text"/>
    <w:basedOn w:val="Normal"/>
    <w:link w:val="FootnoteTextChar"/>
    <w:uiPriority w:val="99"/>
    <w:semiHidden/>
    <w:unhideWhenUsed/>
    <w:rsid w:val="003403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03D9"/>
    <w:rPr>
      <w:sz w:val="20"/>
      <w:szCs w:val="20"/>
    </w:rPr>
  </w:style>
  <w:style w:type="character" w:styleId="FootnoteReference">
    <w:name w:val="footnote reference"/>
    <w:basedOn w:val="DefaultParagraphFont"/>
    <w:uiPriority w:val="99"/>
    <w:semiHidden/>
    <w:unhideWhenUsed/>
    <w:rsid w:val="003403D9"/>
    <w:rPr>
      <w:vertAlign w:val="superscript"/>
    </w:rPr>
  </w:style>
  <w:style w:type="paragraph" w:styleId="NoSpacing">
    <w:name w:val="No Spacing"/>
    <w:uiPriority w:val="1"/>
    <w:qFormat/>
    <w:rsid w:val="003A7CCA"/>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8768">
      <w:bodyDiv w:val="1"/>
      <w:marLeft w:val="45"/>
      <w:marRight w:val="45"/>
      <w:marTop w:val="45"/>
      <w:marBottom w:val="45"/>
      <w:divBdr>
        <w:top w:val="none" w:sz="0" w:space="0" w:color="auto"/>
        <w:left w:val="none" w:sz="0" w:space="0" w:color="auto"/>
        <w:bottom w:val="none" w:sz="0" w:space="0" w:color="auto"/>
        <w:right w:val="none" w:sz="0" w:space="0" w:color="auto"/>
      </w:divBdr>
      <w:divsChild>
        <w:div w:id="1473937050">
          <w:marLeft w:val="0"/>
          <w:marRight w:val="0"/>
          <w:marTop w:val="0"/>
          <w:marBottom w:val="0"/>
          <w:divBdr>
            <w:top w:val="single" w:sz="6" w:space="0" w:color="auto"/>
            <w:left w:val="single" w:sz="6" w:space="0" w:color="auto"/>
            <w:bottom w:val="single" w:sz="6" w:space="0" w:color="auto"/>
            <w:right w:val="single" w:sz="6" w:space="0" w:color="auto"/>
          </w:divBdr>
        </w:div>
      </w:divsChild>
    </w:div>
    <w:div w:id="267783260">
      <w:bodyDiv w:val="1"/>
      <w:marLeft w:val="0"/>
      <w:marRight w:val="0"/>
      <w:marTop w:val="0"/>
      <w:marBottom w:val="0"/>
      <w:divBdr>
        <w:top w:val="none" w:sz="0" w:space="0" w:color="auto"/>
        <w:left w:val="none" w:sz="0" w:space="0" w:color="auto"/>
        <w:bottom w:val="none" w:sz="0" w:space="0" w:color="auto"/>
        <w:right w:val="none" w:sz="0" w:space="0" w:color="auto"/>
      </w:divBdr>
    </w:div>
    <w:div w:id="315914129">
      <w:bodyDiv w:val="1"/>
      <w:marLeft w:val="0"/>
      <w:marRight w:val="0"/>
      <w:marTop w:val="0"/>
      <w:marBottom w:val="0"/>
      <w:divBdr>
        <w:top w:val="none" w:sz="0" w:space="0" w:color="auto"/>
        <w:left w:val="none" w:sz="0" w:space="0" w:color="auto"/>
        <w:bottom w:val="none" w:sz="0" w:space="0" w:color="auto"/>
        <w:right w:val="none" w:sz="0" w:space="0" w:color="auto"/>
      </w:divBdr>
    </w:div>
    <w:div w:id="1532569016">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39942118">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12886385">
      <w:bodyDiv w:val="1"/>
      <w:marLeft w:val="45"/>
      <w:marRight w:val="45"/>
      <w:marTop w:val="45"/>
      <w:marBottom w:val="45"/>
      <w:divBdr>
        <w:top w:val="none" w:sz="0" w:space="0" w:color="auto"/>
        <w:left w:val="none" w:sz="0" w:space="0" w:color="auto"/>
        <w:bottom w:val="none" w:sz="0" w:space="0" w:color="auto"/>
        <w:right w:val="none" w:sz="0" w:space="0" w:color="auto"/>
      </w:divBdr>
      <w:divsChild>
        <w:div w:id="343674544">
          <w:marLeft w:val="0"/>
          <w:marRight w:val="0"/>
          <w:marTop w:val="0"/>
          <w:marBottom w:val="0"/>
          <w:divBdr>
            <w:top w:val="single" w:sz="6" w:space="0" w:color="auto"/>
            <w:left w:val="single" w:sz="6" w:space="0" w:color="auto"/>
            <w:bottom w:val="single" w:sz="6" w:space="0" w:color="auto"/>
            <w:right w:val="single" w:sz="6"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bls.gov/ncs/ocs/sp/nctb1349.pdf"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kga9@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90d605ca92fce21ee156b77949bb6511">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b01f399b77c2942b795ebdeb760dc933"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 xmlns="b5c0ca00-073d-4463-9985-b654f14791fe">OSTLTSDOC-726-28</_dlc_DocId>
    <_dlc_DocIdUrl xmlns="b5c0ca00-073d-4463-9985-b654f14791fe">
      <Url>http://esp.cdc.gov/sites/ostlts/pip/osc/_layouts/DocIdRedir.aspx?ID=OSTLTSDOC-726-28</Url>
      <Description>OSTLTSDOC-726-28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BD925-7F5B-4C4D-9E74-1A7ADA24A519}">
  <ds:schemaRefs>
    <ds:schemaRef ds:uri="http://schemas.microsoft.com/sharepoint/events"/>
  </ds:schemaRefs>
</ds:datastoreItem>
</file>

<file path=customXml/itemProps2.xml><?xml version="1.0" encoding="utf-8"?>
<ds:datastoreItem xmlns:ds="http://schemas.openxmlformats.org/officeDocument/2006/customXml" ds:itemID="{E98860B9-02A6-4590-9E40-889846DD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67509-395C-47DA-A30A-8B8C473B04F7}">
  <ds:schemaRefs>
    <ds:schemaRef ds:uri="http://schemas.microsoft.com/office/2006/metadata/properties"/>
    <ds:schemaRef ds:uri="http://schemas.microsoft.com/office/infopath/2007/PartnerControls"/>
    <ds:schemaRef ds:uri="bd99c180-279b-44c3-9486-dd050336677e"/>
    <ds:schemaRef ds:uri="ce849d94-b00b-4457-8fdf-7e9e81e05b5e"/>
    <ds:schemaRef ds:uri="15b1c282-9287-45cb-9b41-eae3a76919a0"/>
    <ds:schemaRef ds:uri="b5c0ca00-073d-4463-9985-b654f14791fe"/>
  </ds:schemaRefs>
</ds:datastoreItem>
</file>

<file path=customXml/itemProps4.xml><?xml version="1.0" encoding="utf-8"?>
<ds:datastoreItem xmlns:ds="http://schemas.openxmlformats.org/officeDocument/2006/customXml" ds:itemID="{5B7C88D8-721C-4C6A-9C41-3CFFE0395955}">
  <ds:schemaRefs>
    <ds:schemaRef ds:uri="http://schemas.microsoft.com/sharepoint/v3/contenttype/forms"/>
  </ds:schemaRefs>
</ds:datastoreItem>
</file>

<file path=customXml/itemProps5.xml><?xml version="1.0" encoding="utf-8"?>
<ds:datastoreItem xmlns:ds="http://schemas.openxmlformats.org/officeDocument/2006/customXml" ds:itemID="{A4483A2E-F736-4F71-8C14-ECAA1F2871D2}">
  <ds:schemaRefs>
    <ds:schemaRef ds:uri="http://schemas.microsoft.com/office/2006/metadata/customXsn"/>
  </ds:schemaRefs>
</ds:datastoreItem>
</file>

<file path=customXml/itemProps6.xml><?xml version="1.0" encoding="utf-8"?>
<ds:datastoreItem xmlns:ds="http://schemas.openxmlformats.org/officeDocument/2006/customXml" ds:itemID="{370974B1-CF9F-439D-8AAB-C1D1948E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3</cp:revision>
  <cp:lastPrinted>2011-06-07T15:53:00Z</cp:lastPrinted>
  <dcterms:created xsi:type="dcterms:W3CDTF">2014-09-11T16:24:00Z</dcterms:created>
  <dcterms:modified xsi:type="dcterms:W3CDTF">2014-09-11T16:25:00Z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5a6d2776-7ba9-403b-8e65-949b6cfabe82</vt:lpwstr>
  </property>
</Properties>
</file>