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BEA203" w14:textId="77777777" w:rsidR="00716F94" w:rsidRPr="00E27BE8" w:rsidRDefault="00716F94" w:rsidP="00AE4D73">
      <w:pPr>
        <w:spacing w:line="240" w:lineRule="auto"/>
        <w:rPr>
          <w:color w:val="000000" w:themeColor="text1"/>
        </w:rPr>
      </w:pPr>
    </w:p>
    <w:p w14:paraId="7ABEA204" w14:textId="77777777" w:rsidR="009B4A51" w:rsidRPr="00E27BE8" w:rsidRDefault="009B4A51" w:rsidP="00AE4D73">
      <w:pPr>
        <w:spacing w:line="240" w:lineRule="auto"/>
        <w:rPr>
          <w:color w:val="000000" w:themeColor="text1"/>
        </w:rPr>
      </w:pPr>
    </w:p>
    <w:p w14:paraId="7ABEA205" w14:textId="77777777" w:rsidR="009B4A51" w:rsidRPr="00E27BE8" w:rsidRDefault="009B4A51" w:rsidP="00AE4D73">
      <w:pPr>
        <w:spacing w:line="240" w:lineRule="auto"/>
        <w:rPr>
          <w:color w:val="000000" w:themeColor="text1"/>
        </w:rPr>
      </w:pPr>
    </w:p>
    <w:p w14:paraId="7ABEA206" w14:textId="77777777" w:rsidR="009B4A51" w:rsidRPr="00E27BE8" w:rsidRDefault="009B4A51" w:rsidP="00AE4D73">
      <w:pPr>
        <w:spacing w:line="240" w:lineRule="auto"/>
        <w:rPr>
          <w:color w:val="000000" w:themeColor="text1"/>
        </w:rPr>
      </w:pPr>
    </w:p>
    <w:p w14:paraId="7ABEA207" w14:textId="77777777" w:rsidR="009B4A51" w:rsidRPr="00E27BE8" w:rsidRDefault="009B4A51" w:rsidP="00AE4D73">
      <w:pPr>
        <w:spacing w:line="240" w:lineRule="auto"/>
        <w:rPr>
          <w:color w:val="000000" w:themeColor="text1"/>
        </w:rPr>
      </w:pPr>
    </w:p>
    <w:p w14:paraId="6797930F" w14:textId="77777777" w:rsidR="00C35350" w:rsidRDefault="00C35350" w:rsidP="00C35350">
      <w:pPr>
        <w:spacing w:line="240" w:lineRule="auto"/>
        <w:ind w:left="0"/>
        <w:jc w:val="center"/>
        <w:rPr>
          <w:b/>
          <w:sz w:val="40"/>
          <w:szCs w:val="40"/>
        </w:rPr>
      </w:pPr>
    </w:p>
    <w:p w14:paraId="19E170E4" w14:textId="77777777" w:rsidR="00C35350" w:rsidRDefault="00C35350" w:rsidP="00C35350">
      <w:pPr>
        <w:spacing w:line="240" w:lineRule="auto"/>
        <w:ind w:left="0"/>
        <w:jc w:val="center"/>
        <w:rPr>
          <w:b/>
          <w:sz w:val="40"/>
          <w:szCs w:val="40"/>
        </w:rPr>
      </w:pPr>
    </w:p>
    <w:p w14:paraId="78B49AF7" w14:textId="77777777" w:rsidR="00C35350" w:rsidRDefault="00C35350" w:rsidP="00C35350">
      <w:pPr>
        <w:spacing w:line="240" w:lineRule="auto"/>
        <w:ind w:left="0"/>
        <w:jc w:val="center"/>
        <w:rPr>
          <w:b/>
          <w:sz w:val="40"/>
          <w:szCs w:val="40"/>
        </w:rPr>
      </w:pPr>
    </w:p>
    <w:p w14:paraId="43A9E227" w14:textId="77777777" w:rsidR="00C35350" w:rsidRDefault="00C35350" w:rsidP="00C35350">
      <w:pPr>
        <w:spacing w:line="240" w:lineRule="auto"/>
        <w:ind w:left="0"/>
        <w:jc w:val="center"/>
        <w:rPr>
          <w:b/>
          <w:sz w:val="40"/>
          <w:szCs w:val="40"/>
        </w:rPr>
      </w:pPr>
    </w:p>
    <w:p w14:paraId="2B94926B" w14:textId="3CF18E00" w:rsidR="00C35350" w:rsidRDefault="00C35350" w:rsidP="00C35350">
      <w:pPr>
        <w:spacing w:line="240" w:lineRule="auto"/>
        <w:ind w:left="0"/>
        <w:jc w:val="center"/>
        <w:rPr>
          <w:b/>
          <w:sz w:val="40"/>
          <w:szCs w:val="40"/>
        </w:rPr>
      </w:pPr>
      <w:r>
        <w:rPr>
          <w:b/>
          <w:sz w:val="40"/>
          <w:szCs w:val="40"/>
        </w:rPr>
        <w:t>National Public Health Improvement Initiative: Program Assessment</w:t>
      </w:r>
    </w:p>
    <w:p w14:paraId="7DC1D4F4" w14:textId="77777777" w:rsidR="00C35350" w:rsidRDefault="00C35350" w:rsidP="00C35350">
      <w:pPr>
        <w:pStyle w:val="Heading1"/>
        <w:spacing w:line="240" w:lineRule="auto"/>
        <w:rPr>
          <w:color w:val="000000" w:themeColor="text1"/>
        </w:rPr>
      </w:pPr>
    </w:p>
    <w:p w14:paraId="10139CCA" w14:textId="77777777" w:rsidR="00C35350" w:rsidRDefault="00C35350" w:rsidP="00C35350">
      <w:pPr>
        <w:spacing w:line="240" w:lineRule="auto"/>
        <w:rPr>
          <w:color w:val="000000" w:themeColor="text1"/>
        </w:rPr>
      </w:pPr>
    </w:p>
    <w:p w14:paraId="5B72A681" w14:textId="77777777" w:rsidR="00C35350" w:rsidRDefault="00C35350" w:rsidP="00C35350">
      <w:pPr>
        <w:spacing w:line="240" w:lineRule="auto"/>
        <w:ind w:left="0"/>
        <w:jc w:val="center"/>
        <w:rPr>
          <w:color w:val="000000" w:themeColor="text1"/>
        </w:rPr>
      </w:pPr>
    </w:p>
    <w:p w14:paraId="586A9ABF" w14:textId="77777777" w:rsidR="00C35350" w:rsidRDefault="00C35350" w:rsidP="00C35350">
      <w:pPr>
        <w:spacing w:line="240" w:lineRule="auto"/>
        <w:ind w:left="0"/>
        <w:jc w:val="center"/>
        <w:rPr>
          <w:color w:val="000000" w:themeColor="text1"/>
        </w:rPr>
      </w:pPr>
    </w:p>
    <w:p w14:paraId="0CBF8335" w14:textId="77777777" w:rsidR="00C35350" w:rsidRDefault="00C35350" w:rsidP="00C35350">
      <w:pPr>
        <w:spacing w:line="240" w:lineRule="auto"/>
        <w:ind w:left="0"/>
        <w:jc w:val="center"/>
        <w:rPr>
          <w:color w:val="000000" w:themeColor="text1"/>
        </w:rPr>
      </w:pPr>
    </w:p>
    <w:p w14:paraId="2A19385C" w14:textId="77777777" w:rsidR="00C35350" w:rsidRDefault="00C35350" w:rsidP="00C35350">
      <w:pPr>
        <w:spacing w:line="240" w:lineRule="auto"/>
        <w:ind w:left="0"/>
        <w:jc w:val="center"/>
        <w:rPr>
          <w:color w:val="000000" w:themeColor="text1"/>
        </w:rPr>
      </w:pPr>
    </w:p>
    <w:p w14:paraId="2493EC6D" w14:textId="77777777" w:rsidR="00C35350" w:rsidRDefault="00C35350" w:rsidP="00C35350">
      <w:pPr>
        <w:spacing w:line="240" w:lineRule="auto"/>
        <w:ind w:left="0"/>
        <w:jc w:val="center"/>
        <w:rPr>
          <w:color w:val="000000" w:themeColor="text1"/>
        </w:rPr>
      </w:pPr>
      <w:r>
        <w:rPr>
          <w:color w:val="000000" w:themeColor="text1"/>
        </w:rPr>
        <w:t>OSTLTS Generic Information Collection Request</w:t>
      </w:r>
    </w:p>
    <w:p w14:paraId="59E1E49E" w14:textId="77777777" w:rsidR="00C35350" w:rsidRDefault="00C35350" w:rsidP="00C35350">
      <w:pPr>
        <w:pStyle w:val="Header"/>
        <w:ind w:left="0"/>
        <w:jc w:val="center"/>
        <w:rPr>
          <w:color w:val="000000" w:themeColor="text1"/>
        </w:rPr>
      </w:pPr>
      <w:r>
        <w:rPr>
          <w:color w:val="000000" w:themeColor="text1"/>
        </w:rPr>
        <w:t>OMB No. 0920-0879</w:t>
      </w:r>
    </w:p>
    <w:p w14:paraId="4A0C6521" w14:textId="77777777" w:rsidR="00C35350" w:rsidRDefault="00C35350" w:rsidP="00C35350">
      <w:pPr>
        <w:spacing w:line="240" w:lineRule="auto"/>
        <w:rPr>
          <w:color w:val="000000" w:themeColor="text1"/>
        </w:rPr>
      </w:pPr>
    </w:p>
    <w:p w14:paraId="589073C3" w14:textId="77777777" w:rsidR="00C35350" w:rsidRDefault="00C35350" w:rsidP="00C35350">
      <w:pPr>
        <w:spacing w:line="240" w:lineRule="auto"/>
        <w:rPr>
          <w:color w:val="000000" w:themeColor="text1"/>
        </w:rPr>
      </w:pPr>
    </w:p>
    <w:p w14:paraId="38B5D256" w14:textId="77777777" w:rsidR="00C35350" w:rsidRDefault="00C35350" w:rsidP="00C35350">
      <w:pPr>
        <w:spacing w:line="240" w:lineRule="auto"/>
        <w:rPr>
          <w:color w:val="000000" w:themeColor="text1"/>
        </w:rPr>
      </w:pPr>
    </w:p>
    <w:p w14:paraId="3253068F" w14:textId="77777777" w:rsidR="00C35350" w:rsidRDefault="00C35350" w:rsidP="00C35350">
      <w:pPr>
        <w:spacing w:line="240" w:lineRule="auto"/>
        <w:rPr>
          <w:color w:val="000000" w:themeColor="text1"/>
        </w:rPr>
      </w:pPr>
    </w:p>
    <w:p w14:paraId="362F6335" w14:textId="77777777" w:rsidR="00C35350" w:rsidRDefault="00C35350" w:rsidP="00C35350">
      <w:pPr>
        <w:pStyle w:val="Heading2"/>
        <w:spacing w:line="240" w:lineRule="auto"/>
        <w:rPr>
          <w:color w:val="000000" w:themeColor="text1"/>
        </w:rPr>
      </w:pPr>
      <w:r>
        <w:rPr>
          <w:color w:val="000000" w:themeColor="text1"/>
        </w:rPr>
        <w:t>Supporting Statement – Section B</w:t>
      </w:r>
    </w:p>
    <w:p w14:paraId="52FDB820" w14:textId="77777777" w:rsidR="00C35350" w:rsidRDefault="00C35350" w:rsidP="00C35350">
      <w:pPr>
        <w:spacing w:line="240" w:lineRule="auto"/>
        <w:rPr>
          <w:color w:val="000000" w:themeColor="text1"/>
        </w:rPr>
      </w:pPr>
    </w:p>
    <w:p w14:paraId="6A8D9597" w14:textId="77777777" w:rsidR="00C35350" w:rsidRDefault="00C35350" w:rsidP="00C35350">
      <w:pPr>
        <w:spacing w:line="240" w:lineRule="auto"/>
        <w:rPr>
          <w:color w:val="000000" w:themeColor="text1"/>
        </w:rPr>
      </w:pPr>
    </w:p>
    <w:p w14:paraId="54B0A642" w14:textId="77777777" w:rsidR="00C35350" w:rsidRDefault="00C35350" w:rsidP="00C35350">
      <w:pPr>
        <w:spacing w:line="240" w:lineRule="auto"/>
        <w:rPr>
          <w:color w:val="000000" w:themeColor="text1"/>
        </w:rPr>
      </w:pPr>
    </w:p>
    <w:p w14:paraId="17E71B1B" w14:textId="06301841" w:rsidR="00C35350" w:rsidRDefault="00C35350" w:rsidP="00C35350">
      <w:pPr>
        <w:spacing w:line="240" w:lineRule="auto"/>
        <w:ind w:left="0"/>
        <w:jc w:val="center"/>
        <w:rPr>
          <w:color w:val="000000" w:themeColor="text1"/>
        </w:rPr>
      </w:pPr>
      <w:r>
        <w:rPr>
          <w:color w:val="000000" w:themeColor="text1"/>
        </w:rPr>
        <w:t xml:space="preserve">Submitted: June </w:t>
      </w:r>
      <w:r w:rsidR="00323645">
        <w:rPr>
          <w:color w:val="000000" w:themeColor="text1"/>
        </w:rPr>
        <w:t>23</w:t>
      </w:r>
      <w:r>
        <w:rPr>
          <w:color w:val="000000" w:themeColor="text1"/>
        </w:rPr>
        <w:t>, 2014</w:t>
      </w:r>
    </w:p>
    <w:p w14:paraId="18078838" w14:textId="77777777" w:rsidR="00C35350" w:rsidRDefault="00C35350" w:rsidP="00C35350">
      <w:pPr>
        <w:spacing w:line="240" w:lineRule="auto"/>
        <w:rPr>
          <w:color w:val="000000" w:themeColor="text1"/>
        </w:rPr>
      </w:pPr>
    </w:p>
    <w:p w14:paraId="740182AA" w14:textId="77777777" w:rsidR="00C35350" w:rsidRDefault="00C35350" w:rsidP="00C35350">
      <w:pPr>
        <w:spacing w:line="240" w:lineRule="auto"/>
        <w:rPr>
          <w:color w:val="000000" w:themeColor="text1"/>
        </w:rPr>
      </w:pPr>
    </w:p>
    <w:p w14:paraId="78FEA80B" w14:textId="77777777" w:rsidR="00C35350" w:rsidRDefault="00C35350" w:rsidP="00C35350">
      <w:pPr>
        <w:spacing w:line="240" w:lineRule="auto"/>
        <w:ind w:left="0"/>
        <w:rPr>
          <w:b/>
          <w:color w:val="000000" w:themeColor="text1"/>
          <w:u w:val="single"/>
        </w:rPr>
      </w:pPr>
    </w:p>
    <w:p w14:paraId="5C81AA9A" w14:textId="77777777" w:rsidR="00C35350" w:rsidRDefault="00C35350" w:rsidP="00C35350">
      <w:pPr>
        <w:spacing w:line="240" w:lineRule="auto"/>
        <w:ind w:left="0"/>
        <w:rPr>
          <w:b/>
          <w:color w:val="000000" w:themeColor="text1"/>
          <w:u w:val="single"/>
        </w:rPr>
      </w:pPr>
    </w:p>
    <w:p w14:paraId="757AB27B" w14:textId="77777777" w:rsidR="00C35350" w:rsidRDefault="00C35350" w:rsidP="00C35350">
      <w:pPr>
        <w:spacing w:line="240" w:lineRule="auto"/>
        <w:ind w:left="0"/>
        <w:rPr>
          <w:b/>
          <w:color w:val="000000" w:themeColor="text1"/>
          <w:u w:val="single"/>
        </w:rPr>
      </w:pPr>
    </w:p>
    <w:p w14:paraId="7F1DFF08" w14:textId="77777777" w:rsidR="00C35350" w:rsidRDefault="00C35350" w:rsidP="00C35350">
      <w:pPr>
        <w:spacing w:line="240" w:lineRule="auto"/>
        <w:ind w:left="0"/>
        <w:rPr>
          <w:b/>
          <w:color w:val="000000" w:themeColor="text1"/>
          <w:u w:val="single"/>
        </w:rPr>
      </w:pPr>
    </w:p>
    <w:p w14:paraId="3CCDDAC1" w14:textId="77777777" w:rsidR="00C35350" w:rsidRDefault="00C35350" w:rsidP="00C35350">
      <w:pPr>
        <w:spacing w:line="240" w:lineRule="auto"/>
        <w:ind w:left="0"/>
        <w:rPr>
          <w:b/>
          <w:color w:val="000000" w:themeColor="text1"/>
          <w:u w:val="single"/>
        </w:rPr>
      </w:pPr>
      <w:r>
        <w:rPr>
          <w:b/>
          <w:color w:val="000000" w:themeColor="text1"/>
          <w:u w:val="single"/>
        </w:rPr>
        <w:t>Program Official/Project Officer</w:t>
      </w:r>
    </w:p>
    <w:p w14:paraId="404DF9E7" w14:textId="77777777" w:rsidR="00C35350" w:rsidRDefault="00C35350" w:rsidP="00C35350">
      <w:pPr>
        <w:spacing w:line="240" w:lineRule="auto"/>
        <w:ind w:left="0"/>
        <w:rPr>
          <w:rFonts w:cs="Times New Roman"/>
          <w:bCs/>
          <w:color w:val="000000" w:themeColor="text1"/>
        </w:rPr>
      </w:pPr>
      <w:r>
        <w:rPr>
          <w:rFonts w:cs="Times New Roman"/>
          <w:bCs/>
          <w:color w:val="000000" w:themeColor="text1"/>
        </w:rPr>
        <w:t>Garry Lowry</w:t>
      </w:r>
    </w:p>
    <w:p w14:paraId="0A78D9F4" w14:textId="77777777" w:rsidR="00C35350" w:rsidRDefault="00C35350" w:rsidP="00C35350">
      <w:pPr>
        <w:spacing w:line="240" w:lineRule="auto"/>
        <w:ind w:left="0"/>
        <w:rPr>
          <w:rFonts w:cs="Times New Roman"/>
          <w:color w:val="000000" w:themeColor="text1"/>
        </w:rPr>
      </w:pPr>
      <w:r>
        <w:rPr>
          <w:rFonts w:cs="Times New Roman"/>
          <w:color w:val="000000" w:themeColor="text1"/>
        </w:rPr>
        <w:t xml:space="preserve">Health Scientist </w:t>
      </w:r>
    </w:p>
    <w:p w14:paraId="594E209C" w14:textId="77777777" w:rsidR="00C35350" w:rsidRDefault="00C35350" w:rsidP="00C35350">
      <w:pPr>
        <w:spacing w:line="240" w:lineRule="auto"/>
        <w:ind w:left="0"/>
        <w:rPr>
          <w:rFonts w:cs="Times New Roman"/>
          <w:color w:val="000000" w:themeColor="text1"/>
        </w:rPr>
      </w:pPr>
      <w:r>
        <w:rPr>
          <w:rFonts w:cs="Times New Roman"/>
          <w:color w:val="000000" w:themeColor="text1"/>
        </w:rPr>
        <w:t>Applied Systems Research and Evaluation Branch</w:t>
      </w:r>
    </w:p>
    <w:p w14:paraId="2545D8A4" w14:textId="77777777" w:rsidR="00C35350" w:rsidRDefault="00C35350" w:rsidP="00C35350">
      <w:pPr>
        <w:spacing w:line="240" w:lineRule="auto"/>
        <w:ind w:left="0"/>
        <w:rPr>
          <w:rFonts w:cs="Times New Roman"/>
          <w:color w:val="000000" w:themeColor="text1"/>
        </w:rPr>
      </w:pPr>
      <w:r>
        <w:rPr>
          <w:rFonts w:cs="Times New Roman"/>
          <w:color w:val="000000" w:themeColor="text1"/>
        </w:rPr>
        <w:t>Division of Public Health Performance Improvement</w:t>
      </w:r>
    </w:p>
    <w:p w14:paraId="0394C880" w14:textId="77777777" w:rsidR="00C35350" w:rsidRDefault="00C35350" w:rsidP="00C35350">
      <w:pPr>
        <w:spacing w:line="240" w:lineRule="auto"/>
        <w:ind w:left="0"/>
        <w:rPr>
          <w:rFonts w:cs="Times New Roman"/>
          <w:color w:val="000000" w:themeColor="text1"/>
        </w:rPr>
      </w:pPr>
      <w:r>
        <w:rPr>
          <w:rFonts w:cs="Times New Roman"/>
          <w:color w:val="000000" w:themeColor="text1"/>
        </w:rPr>
        <w:t>Office of State, Tribal, Local and Territorial Support</w:t>
      </w:r>
    </w:p>
    <w:p w14:paraId="7DDC7D76" w14:textId="77777777" w:rsidR="00C35350" w:rsidRDefault="00C35350" w:rsidP="00C35350">
      <w:pPr>
        <w:spacing w:line="240" w:lineRule="auto"/>
        <w:ind w:left="0"/>
        <w:rPr>
          <w:rFonts w:cs="Times New Roman"/>
          <w:color w:val="000000" w:themeColor="text1"/>
        </w:rPr>
      </w:pPr>
      <w:r>
        <w:rPr>
          <w:rFonts w:cs="Times New Roman"/>
          <w:color w:val="000000" w:themeColor="text1"/>
        </w:rPr>
        <w:t>Centers for Disease Control</w:t>
      </w:r>
    </w:p>
    <w:p w14:paraId="0EC60318" w14:textId="77777777" w:rsidR="00C35350" w:rsidRDefault="00C35350" w:rsidP="00C35350">
      <w:pPr>
        <w:spacing w:line="240" w:lineRule="auto"/>
        <w:ind w:left="0"/>
        <w:rPr>
          <w:rFonts w:cs="Times New Roman"/>
          <w:color w:val="000000" w:themeColor="text1"/>
        </w:rPr>
      </w:pPr>
      <w:r>
        <w:rPr>
          <w:rFonts w:cs="Times New Roman"/>
          <w:color w:val="000000" w:themeColor="text1"/>
        </w:rPr>
        <w:t>1825 Century Center MS E-70</w:t>
      </w:r>
    </w:p>
    <w:p w14:paraId="5D71607F" w14:textId="77777777" w:rsidR="00C35350" w:rsidRDefault="00C35350" w:rsidP="00C35350">
      <w:pPr>
        <w:spacing w:line="240" w:lineRule="auto"/>
        <w:ind w:left="0"/>
        <w:rPr>
          <w:rFonts w:cs="Times New Roman"/>
          <w:color w:val="000000" w:themeColor="text1"/>
        </w:rPr>
      </w:pPr>
      <w:r>
        <w:rPr>
          <w:rFonts w:cs="Times New Roman"/>
          <w:color w:val="000000" w:themeColor="text1"/>
        </w:rPr>
        <w:t>Phone: 404-498-0361</w:t>
      </w:r>
    </w:p>
    <w:p w14:paraId="647E7511" w14:textId="608EC543" w:rsidR="00C35350" w:rsidRPr="00C35350" w:rsidRDefault="00C35350" w:rsidP="00C35350">
      <w:pPr>
        <w:spacing w:line="240" w:lineRule="auto"/>
        <w:ind w:left="0"/>
        <w:rPr>
          <w:rFonts w:cs="Times New Roman"/>
          <w:color w:val="000000" w:themeColor="text1"/>
        </w:rPr>
      </w:pPr>
      <w:r>
        <w:rPr>
          <w:rFonts w:cs="Times New Roman"/>
          <w:color w:val="000000" w:themeColor="text1"/>
        </w:rPr>
        <w:t xml:space="preserve">Email: </w:t>
      </w:r>
      <w:hyperlink r:id="rId14" w:history="1">
        <w:r>
          <w:rPr>
            <w:rStyle w:val="Hyperlink"/>
            <w:rFonts w:cs="Times New Roman"/>
            <w:color w:val="000000" w:themeColor="text1"/>
          </w:rPr>
          <w:t>gel2@cdc.gov</w:t>
        </w:r>
      </w:hyperlink>
    </w:p>
    <w:p w14:paraId="625DF446" w14:textId="77777777" w:rsidR="00C35350" w:rsidRDefault="00C35350" w:rsidP="00C35350">
      <w:pPr>
        <w:pStyle w:val="Heading3"/>
        <w:spacing w:line="240" w:lineRule="auto"/>
        <w:rPr>
          <w:color w:val="000000" w:themeColor="text1"/>
        </w:rPr>
      </w:pPr>
      <w:r>
        <w:rPr>
          <w:color w:val="000000" w:themeColor="text1"/>
        </w:rPr>
        <w:lastRenderedPageBreak/>
        <w:t>Section B – Information Collection Procedures</w:t>
      </w:r>
    </w:p>
    <w:p w14:paraId="49711F3C" w14:textId="77777777" w:rsidR="00C35350" w:rsidRDefault="00C35350" w:rsidP="00C35350">
      <w:pPr>
        <w:spacing w:line="240" w:lineRule="auto"/>
        <w:rPr>
          <w:color w:val="000000" w:themeColor="text1"/>
        </w:rPr>
      </w:pPr>
    </w:p>
    <w:p w14:paraId="13C819AA" w14:textId="77777777" w:rsidR="00C35350" w:rsidRDefault="00C35350" w:rsidP="00C35350">
      <w:pPr>
        <w:pStyle w:val="Heading4"/>
        <w:spacing w:line="240" w:lineRule="auto"/>
        <w:ind w:left="360"/>
        <w:rPr>
          <w:color w:val="000000" w:themeColor="text1"/>
        </w:rPr>
      </w:pPr>
      <w:r>
        <w:rPr>
          <w:color w:val="000000" w:themeColor="text1"/>
        </w:rPr>
        <w:t xml:space="preserve">Respondent Universe and Sampling Methods </w:t>
      </w:r>
    </w:p>
    <w:p w14:paraId="7E8D5290" w14:textId="77777777" w:rsidR="00C35350" w:rsidRDefault="00C35350" w:rsidP="00C35350">
      <w:pPr>
        <w:spacing w:line="240" w:lineRule="auto"/>
        <w:ind w:left="360"/>
        <w:rPr>
          <w:rFonts w:cs="Times New Roman"/>
          <w:b/>
        </w:rPr>
      </w:pPr>
      <w:r>
        <w:rPr>
          <w:rFonts w:cs="Times New Roman"/>
        </w:rPr>
        <w:t xml:space="preserve">The NPHII awardees consist of the seventy-three states, tribes, locals and territories (STLTs) funded by the </w:t>
      </w:r>
      <w:r>
        <w:t>National Public Health Improvement Initiative (NPHII)</w:t>
      </w:r>
      <w:r>
        <w:rPr>
          <w:rFonts w:cs="Times New Roman"/>
        </w:rPr>
        <w:t xml:space="preserve">.  This includes forty-nine state health departments representing forty-eight states and the District of Columbia, nine local health departments, eight organizations representing the U.S. Territories and Pacific Islands, and seven organizations representing American Indian/Alaska Native Tribes/Organizations for a total of 73 grantees </w:t>
      </w:r>
      <w:r>
        <w:rPr>
          <w:rFonts w:cs="Times New Roman"/>
          <w:b/>
        </w:rPr>
        <w:t xml:space="preserve">(Att. A –NPHII Awardees in statement A). </w:t>
      </w:r>
    </w:p>
    <w:p w14:paraId="0EA56D47" w14:textId="77777777" w:rsidR="00C35350" w:rsidRDefault="00C35350" w:rsidP="00C35350">
      <w:pPr>
        <w:tabs>
          <w:tab w:val="left" w:pos="360"/>
        </w:tabs>
        <w:spacing w:line="240" w:lineRule="auto"/>
        <w:ind w:left="0"/>
      </w:pPr>
    </w:p>
    <w:p w14:paraId="7B5E0625" w14:textId="77777777" w:rsidR="00C35350" w:rsidRDefault="00C35350" w:rsidP="00C35350">
      <w:pPr>
        <w:tabs>
          <w:tab w:val="left" w:pos="360"/>
        </w:tabs>
        <w:spacing w:line="240" w:lineRule="auto"/>
        <w:ind w:left="360"/>
      </w:pPr>
      <w:r>
        <w:t xml:space="preserve">To complete phase one of this data collection, awardee agencies will be selected from the 58 awardees who have maintained a full-time PIM (i.e., at &gt;75% FTE) over the course of the NPHII program. Among these 58 awardees, only the 32 awardees who met at least two of the following three key indicators of successful implementation of NPHII objectives will be included in the sample (metrics 58 and 32 were identified through previous NPHII annual progress reports): </w:t>
      </w:r>
    </w:p>
    <w:p w14:paraId="611EB2F9" w14:textId="77777777" w:rsidR="00C35350" w:rsidRDefault="00C35350" w:rsidP="00C35350">
      <w:pPr>
        <w:pStyle w:val="ListParagraph"/>
        <w:numPr>
          <w:ilvl w:val="0"/>
          <w:numId w:val="26"/>
        </w:numPr>
        <w:spacing w:line="240" w:lineRule="auto"/>
      </w:pPr>
      <w:r>
        <w:t>Establishment of the four components of a performance management system</w:t>
      </w:r>
    </w:p>
    <w:p w14:paraId="71C4EC1F" w14:textId="77777777" w:rsidR="00C35350" w:rsidRDefault="00C35350" w:rsidP="00C35350">
      <w:pPr>
        <w:pStyle w:val="ListParagraph"/>
        <w:numPr>
          <w:ilvl w:val="0"/>
          <w:numId w:val="26"/>
        </w:numPr>
        <w:spacing w:line="240" w:lineRule="auto"/>
      </w:pPr>
      <w:r>
        <w:t>Implementation of two quality improvement projects in year three</w:t>
      </w:r>
    </w:p>
    <w:p w14:paraId="2AA35028" w14:textId="77777777" w:rsidR="00C35350" w:rsidRDefault="00C35350" w:rsidP="00C35350">
      <w:pPr>
        <w:pStyle w:val="ListParagraph"/>
        <w:numPr>
          <w:ilvl w:val="0"/>
          <w:numId w:val="26"/>
        </w:numPr>
        <w:spacing w:line="240" w:lineRule="auto"/>
      </w:pPr>
      <w:r>
        <w:t xml:space="preserve">Completion of the three Public Health Accreditation Board prerequisites  </w:t>
      </w:r>
    </w:p>
    <w:p w14:paraId="5646E1C7" w14:textId="77777777" w:rsidR="00C35350" w:rsidRDefault="00C35350" w:rsidP="00C35350">
      <w:pPr>
        <w:spacing w:line="240" w:lineRule="auto"/>
        <w:ind w:left="360"/>
      </w:pPr>
    </w:p>
    <w:p w14:paraId="78506190" w14:textId="77777777" w:rsidR="00C35350" w:rsidRDefault="00C35350" w:rsidP="00C35350">
      <w:pPr>
        <w:spacing w:line="240" w:lineRule="auto"/>
        <w:ind w:left="360"/>
      </w:pPr>
      <w:r>
        <w:t xml:space="preserve">Of these 32 awardees, 21 awardee agencies will be selected using the following three sampling criteria: </w:t>
      </w:r>
    </w:p>
    <w:p w14:paraId="3EBBBC16" w14:textId="77777777" w:rsidR="00C35350" w:rsidRDefault="00C35350" w:rsidP="00C35350">
      <w:pPr>
        <w:tabs>
          <w:tab w:val="left" w:pos="3375"/>
        </w:tabs>
        <w:spacing w:line="240" w:lineRule="auto"/>
        <w:ind w:left="0"/>
        <w:rPr>
          <w:rFonts w:cs="Times New Roman"/>
        </w:rPr>
      </w:pPr>
    </w:p>
    <w:p w14:paraId="432B6BB0" w14:textId="77777777" w:rsidR="00C35350" w:rsidRDefault="00C35350" w:rsidP="00C35350">
      <w:pPr>
        <w:pStyle w:val="ListParagraph"/>
        <w:numPr>
          <w:ilvl w:val="0"/>
          <w:numId w:val="27"/>
        </w:numPr>
        <w:spacing w:line="240" w:lineRule="auto"/>
        <w:ind w:left="1260"/>
      </w:pPr>
      <w:r>
        <w:rPr>
          <w:b/>
        </w:rPr>
        <w:t xml:space="preserve">Prior experience with NPHII-like activities: </w:t>
      </w:r>
      <w:r>
        <w:t>Indicator for this will be the existence of a performance improvement (PI) office at baseline.</w:t>
      </w:r>
    </w:p>
    <w:p w14:paraId="73CF14A7" w14:textId="77777777" w:rsidR="00C35350" w:rsidRDefault="00C35350" w:rsidP="00C35350">
      <w:pPr>
        <w:pStyle w:val="ListParagraph"/>
        <w:numPr>
          <w:ilvl w:val="0"/>
          <w:numId w:val="27"/>
        </w:numPr>
        <w:spacing w:line="240" w:lineRule="auto"/>
        <w:ind w:left="1260"/>
      </w:pPr>
      <w:r>
        <w:rPr>
          <w:b/>
        </w:rPr>
        <w:t>NPHII funding level</w:t>
      </w:r>
      <w:r>
        <w:t>: The amount of funding awardee agencies received in year four provides context for program outcome achievements.  There are four categories of funding levels used by the NPHII program staff that will be applied ($250k, $300k, $400k, and $500k).</w:t>
      </w:r>
    </w:p>
    <w:p w14:paraId="6A584313" w14:textId="77777777" w:rsidR="00C35350" w:rsidRDefault="00C35350" w:rsidP="00C35350">
      <w:pPr>
        <w:pStyle w:val="ListParagraph"/>
        <w:numPr>
          <w:ilvl w:val="0"/>
          <w:numId w:val="27"/>
        </w:numPr>
        <w:spacing w:line="240" w:lineRule="auto"/>
        <w:ind w:left="1260"/>
      </w:pPr>
      <w:r>
        <w:rPr>
          <w:b/>
        </w:rPr>
        <w:t xml:space="preserve">STLT type: </w:t>
      </w:r>
      <w:r>
        <w:t>We want to ensure representation across state, tribal, local, and territorial awardees. To ensure representation, the awardee types (i.e., state, local, territorial, and tribal) selected for the interviews will be approximately proportional to NPHII awardee types: 67% state, 12% local, 11% territorial, and 10% tribal.</w:t>
      </w:r>
    </w:p>
    <w:p w14:paraId="57122C35" w14:textId="77777777" w:rsidR="00C35350" w:rsidRDefault="00C35350" w:rsidP="00C35350">
      <w:pPr>
        <w:tabs>
          <w:tab w:val="left" w:pos="360"/>
        </w:tabs>
        <w:spacing w:line="240" w:lineRule="auto"/>
        <w:ind w:left="0"/>
      </w:pPr>
    </w:p>
    <w:p w14:paraId="6F36D434" w14:textId="77777777" w:rsidR="00C35350" w:rsidRDefault="00C35350" w:rsidP="00C35350">
      <w:pPr>
        <w:spacing w:line="240" w:lineRule="auto"/>
        <w:ind w:left="360"/>
      </w:pPr>
      <w:r>
        <w:t xml:space="preserve">A total of 21 </w:t>
      </w:r>
      <w:r>
        <w:rPr>
          <w:rFonts w:cs="Times New Roman"/>
        </w:rPr>
        <w:t>Performance Improvement Managers (PIMs)</w:t>
      </w:r>
      <w:r>
        <w:t>, one from each selected awardee agency, will complete an interviewee request form to identify interviewees for phase two of the data collection.</w:t>
      </w:r>
    </w:p>
    <w:p w14:paraId="2577BEC3" w14:textId="77777777" w:rsidR="00C35350" w:rsidRDefault="00C35350" w:rsidP="00C35350">
      <w:pPr>
        <w:spacing w:line="240" w:lineRule="auto"/>
        <w:ind w:left="360"/>
      </w:pPr>
    </w:p>
    <w:p w14:paraId="7DDDF9A8" w14:textId="77777777" w:rsidR="00C35350" w:rsidRDefault="00C35350" w:rsidP="00C35350">
      <w:pPr>
        <w:spacing w:line="240" w:lineRule="auto"/>
        <w:ind w:left="360"/>
        <w:rPr>
          <w:rFonts w:cs="Times New Roman"/>
        </w:rPr>
      </w:pPr>
      <w:r>
        <w:t xml:space="preserve">Phase two will consist of </w:t>
      </w:r>
      <w:r>
        <w:rPr>
          <w:rFonts w:cs="Times New Roman"/>
        </w:rPr>
        <w:t>i</w:t>
      </w:r>
      <w:r>
        <w:t>nterviews that will be conducted with the select NPHII awardee agencies</w:t>
      </w:r>
      <w:r>
        <w:rPr>
          <w:rFonts w:cs="Times New Roman"/>
        </w:rPr>
        <w:t xml:space="preserve">. </w:t>
      </w:r>
      <w:r>
        <w:t>Two leaders from each of the 21 selected awardee agency will be interviewed.</w:t>
      </w:r>
      <w:r>
        <w:rPr>
          <w:rFonts w:cs="Times New Roman"/>
        </w:rPr>
        <w:t xml:space="preserve"> These 42 interviewees will be identified by the interviewee request form completed by each of the 21 PIMs of the selected agencies</w:t>
      </w:r>
      <w:r>
        <w:t xml:space="preserve">. </w:t>
      </w:r>
    </w:p>
    <w:p w14:paraId="47BF926C" w14:textId="77777777" w:rsidR="00C35350" w:rsidRDefault="00C35350" w:rsidP="00C35350">
      <w:pPr>
        <w:spacing w:line="240" w:lineRule="auto"/>
        <w:ind w:left="360"/>
      </w:pPr>
    </w:p>
    <w:p w14:paraId="1B6124C2" w14:textId="77777777" w:rsidR="00C35350" w:rsidRDefault="00C35350" w:rsidP="00C35350">
      <w:pPr>
        <w:spacing w:line="240" w:lineRule="auto"/>
        <w:ind w:left="0"/>
        <w:rPr>
          <w:color w:val="000000" w:themeColor="text1"/>
        </w:rPr>
      </w:pPr>
    </w:p>
    <w:p w14:paraId="78CBF30D" w14:textId="77777777" w:rsidR="00C35350" w:rsidRDefault="00C35350" w:rsidP="00C35350">
      <w:pPr>
        <w:pStyle w:val="Heading4"/>
        <w:spacing w:line="240" w:lineRule="auto"/>
        <w:ind w:left="360"/>
        <w:rPr>
          <w:color w:val="000000" w:themeColor="text1"/>
        </w:rPr>
      </w:pPr>
      <w:r>
        <w:rPr>
          <w:color w:val="000000" w:themeColor="text1"/>
        </w:rPr>
        <w:t xml:space="preserve">Procedures for the Collection of Information   </w:t>
      </w:r>
    </w:p>
    <w:p w14:paraId="43382BFD" w14:textId="77777777" w:rsidR="00C35350" w:rsidRDefault="00C35350" w:rsidP="00C35350">
      <w:pPr>
        <w:spacing w:line="240" w:lineRule="auto"/>
        <w:ind w:left="360"/>
      </w:pPr>
    </w:p>
    <w:p w14:paraId="5CFC62E6" w14:textId="066FEA6B" w:rsidR="00C35350" w:rsidRDefault="00C35350" w:rsidP="00C35350">
      <w:pPr>
        <w:ind w:left="360"/>
        <w:rPr>
          <w:rFonts w:cs="Times New Roman"/>
          <w:b/>
        </w:rPr>
      </w:pPr>
      <w:r>
        <w:t xml:space="preserve">An advance interview notification email will be sent to all NPHII awardee PIMs by the NPHII Team Lead a month in advance of the projected initial contact of selected awardee agencies </w:t>
      </w:r>
      <w:r>
        <w:rPr>
          <w:b/>
        </w:rPr>
        <w:t>(Att.</w:t>
      </w:r>
      <w:r>
        <w:t xml:space="preserve"> </w:t>
      </w:r>
      <w:r w:rsidR="00915DC0">
        <w:rPr>
          <w:rFonts w:cs="Times New Roman"/>
          <w:b/>
        </w:rPr>
        <w:t>G</w:t>
      </w:r>
      <w:r>
        <w:rPr>
          <w:rFonts w:cs="Times New Roman"/>
          <w:b/>
        </w:rPr>
        <w:t xml:space="preserve"> </w:t>
      </w:r>
      <w:r>
        <w:rPr>
          <w:rFonts w:cs="Times New Roman"/>
          <w:b/>
        </w:rPr>
        <w:t xml:space="preserve">- </w:t>
      </w:r>
      <w:r>
        <w:rPr>
          <w:b/>
        </w:rPr>
        <w:t>Advance Notification Email)</w:t>
      </w:r>
      <w:r>
        <w:t xml:space="preserve">. Following this notification email, an email to PIMs at </w:t>
      </w:r>
      <w:r>
        <w:lastRenderedPageBreak/>
        <w:t xml:space="preserve">selected awardee agencies will be sent that provides an introduction to the data collection and a request for potential leadership interviewees at their agency </w:t>
      </w:r>
      <w:r>
        <w:rPr>
          <w:b/>
        </w:rPr>
        <w:t xml:space="preserve">(Att. </w:t>
      </w:r>
      <w:r w:rsidR="00915DC0">
        <w:rPr>
          <w:b/>
        </w:rPr>
        <w:t>D</w:t>
      </w:r>
      <w:r>
        <w:rPr>
          <w:b/>
        </w:rPr>
        <w:t xml:space="preserve"> Interviewee Request Form and Att. </w:t>
      </w:r>
      <w:r w:rsidR="00915DC0">
        <w:rPr>
          <w:b/>
        </w:rPr>
        <w:t xml:space="preserve">E </w:t>
      </w:r>
      <w:r>
        <w:rPr>
          <w:b/>
        </w:rPr>
        <w:t xml:space="preserve">Screenshots of Interviewee Request Form in </w:t>
      </w:r>
      <w:r>
        <w:rPr>
          <w:b/>
        </w:rPr>
        <w:t>statement A).</w:t>
      </w:r>
    </w:p>
    <w:p w14:paraId="596AF129" w14:textId="77777777" w:rsidR="00C35350" w:rsidRDefault="00C35350" w:rsidP="00C35350">
      <w:pPr>
        <w:spacing w:line="240" w:lineRule="auto"/>
        <w:ind w:left="360"/>
        <w:rPr>
          <w:color w:val="000000" w:themeColor="text1"/>
        </w:rPr>
      </w:pPr>
    </w:p>
    <w:p w14:paraId="76B2A967" w14:textId="4DACB4DB" w:rsidR="00C35350" w:rsidRDefault="00C35350" w:rsidP="00C35350">
      <w:pPr>
        <w:spacing w:line="240" w:lineRule="auto"/>
        <w:ind w:left="360"/>
        <w:rPr>
          <w:rFonts w:cs="Times New Roman"/>
        </w:rPr>
      </w:pPr>
      <w:r>
        <w:rPr>
          <w:color w:val="000000" w:themeColor="text1"/>
        </w:rPr>
        <w:t>Potential participants identified by PIMs at select awardee agencies will be sent introduction emails and invited to participate</w:t>
      </w:r>
      <w:r>
        <w:rPr>
          <w:b/>
          <w:color w:val="000000" w:themeColor="text1"/>
        </w:rPr>
        <w:t xml:space="preserve"> (</w:t>
      </w:r>
      <w:r>
        <w:rPr>
          <w:rFonts w:cs="Times New Roman"/>
          <w:b/>
        </w:rPr>
        <w:t xml:space="preserve">Att. </w:t>
      </w:r>
      <w:r w:rsidR="00915DC0">
        <w:rPr>
          <w:rFonts w:cs="Times New Roman"/>
          <w:b/>
        </w:rPr>
        <w:t xml:space="preserve">H </w:t>
      </w:r>
      <w:r>
        <w:rPr>
          <w:rFonts w:cs="Times New Roman"/>
          <w:b/>
        </w:rPr>
        <w:t>– Interview Invitation Email)</w:t>
      </w:r>
      <w:r>
        <w:rPr>
          <w:color w:val="000000" w:themeColor="text1"/>
        </w:rPr>
        <w:t xml:space="preserve">. Those who agree to be interviewed will be contacted via email to send information about the data collection and schedule the interview </w:t>
      </w:r>
      <w:r>
        <w:rPr>
          <w:b/>
          <w:color w:val="000000" w:themeColor="text1"/>
        </w:rPr>
        <w:t>(</w:t>
      </w:r>
      <w:r>
        <w:rPr>
          <w:rFonts w:cs="Times New Roman"/>
          <w:b/>
        </w:rPr>
        <w:t xml:space="preserve">Att. </w:t>
      </w:r>
      <w:r w:rsidR="00915DC0">
        <w:rPr>
          <w:rFonts w:cs="Times New Roman"/>
          <w:b/>
        </w:rPr>
        <w:t xml:space="preserve">I </w:t>
      </w:r>
      <w:r>
        <w:rPr>
          <w:rFonts w:cs="Times New Roman"/>
          <w:b/>
        </w:rPr>
        <w:t xml:space="preserve">– Interview Confirmation Email) </w:t>
      </w:r>
      <w:r>
        <w:rPr>
          <w:rFonts w:cs="Times New Roman"/>
        </w:rPr>
        <w:t>and</w:t>
      </w:r>
      <w:r>
        <w:rPr>
          <w:rFonts w:cs="Times New Roman"/>
          <w:b/>
        </w:rPr>
        <w:t xml:space="preserve"> </w:t>
      </w:r>
      <w:r>
        <w:rPr>
          <w:rFonts w:cs="Times New Roman"/>
        </w:rPr>
        <w:t xml:space="preserve">a reminder email will be sent to participants </w:t>
      </w:r>
      <w:r>
        <w:rPr>
          <w:rFonts w:cs="Times New Roman"/>
          <w:b/>
        </w:rPr>
        <w:t xml:space="preserve">(Att. </w:t>
      </w:r>
      <w:r w:rsidR="00915DC0">
        <w:rPr>
          <w:rFonts w:cs="Times New Roman"/>
          <w:b/>
        </w:rPr>
        <w:t xml:space="preserve">J </w:t>
      </w:r>
      <w:r>
        <w:rPr>
          <w:rFonts w:cs="Times New Roman"/>
          <w:b/>
        </w:rPr>
        <w:t>– Participant Reminder Email)</w:t>
      </w:r>
      <w:r>
        <w:rPr>
          <w:rFonts w:cs="Times New Roman"/>
        </w:rPr>
        <w:t xml:space="preserve">. </w:t>
      </w:r>
    </w:p>
    <w:p w14:paraId="3F19C9C2" w14:textId="77777777" w:rsidR="00C35350" w:rsidRDefault="00C35350" w:rsidP="00C35350">
      <w:pPr>
        <w:spacing w:line="240" w:lineRule="auto"/>
        <w:ind w:left="360"/>
        <w:rPr>
          <w:rFonts w:cs="Times New Roman"/>
        </w:rPr>
      </w:pPr>
    </w:p>
    <w:p w14:paraId="5B5DDC2F" w14:textId="77777777" w:rsidR="00C35350" w:rsidRDefault="00C35350" w:rsidP="00C35350">
      <w:pPr>
        <w:spacing w:line="240" w:lineRule="auto"/>
        <w:ind w:left="360"/>
        <w:rPr>
          <w:rFonts w:cs="Times New Roman"/>
          <w:b/>
        </w:rPr>
      </w:pPr>
      <w:r>
        <w:rPr>
          <w:color w:val="000000" w:themeColor="text1"/>
        </w:rPr>
        <w:t>Forty-two health agency leaders will be interviewed. Each interview will last one hour. The interviews will be conducted by senior associates from ICF International that are working on the qualitative data collection</w:t>
      </w:r>
      <w:proofErr w:type="gramStart"/>
      <w:r>
        <w:rPr>
          <w:color w:val="000000" w:themeColor="text1"/>
        </w:rPr>
        <w:t>..</w:t>
      </w:r>
      <w:proofErr w:type="gramEnd"/>
      <w:r>
        <w:rPr>
          <w:color w:val="000000" w:themeColor="text1"/>
        </w:rPr>
        <w:t xml:space="preserve"> </w:t>
      </w:r>
      <w:r>
        <w:rPr>
          <w:rFonts w:cs="Times New Roman"/>
        </w:rPr>
        <w:t>The interview methodology was chosen over a web-based assessment because it allows awardees to discuss in detail the extent to which NPHII supported improved public health practice and performance and provides more in-depth understanding about the value of NPHII. The findings from the interviews will be used to provide lessons learned to inform current and future performance management and quality improvement initiatives.</w:t>
      </w:r>
    </w:p>
    <w:p w14:paraId="3AD4E691" w14:textId="77777777" w:rsidR="00C35350" w:rsidRDefault="00C35350" w:rsidP="00C35350">
      <w:pPr>
        <w:spacing w:line="240" w:lineRule="auto"/>
        <w:ind w:left="360"/>
        <w:rPr>
          <w:rFonts w:cs="Times New Roman"/>
        </w:rPr>
      </w:pPr>
    </w:p>
    <w:p w14:paraId="149E2D4F" w14:textId="77777777" w:rsidR="00C35350" w:rsidRDefault="00C35350" w:rsidP="00C35350">
      <w:pPr>
        <w:pStyle w:val="ListParagraph"/>
        <w:spacing w:line="240" w:lineRule="auto"/>
        <w:ind w:left="360"/>
        <w:rPr>
          <w:rFonts w:cs="Times New Roman"/>
        </w:rPr>
      </w:pPr>
      <w:r>
        <w:rPr>
          <w:rFonts w:cs="Times New Roman"/>
        </w:rPr>
        <w:t xml:space="preserve">Once the information has been collected, it will be analyzed using qualitative data software such as </w:t>
      </w:r>
      <w:proofErr w:type="spellStart"/>
      <w:r>
        <w:rPr>
          <w:rFonts w:cs="Times New Roman"/>
        </w:rPr>
        <w:t>Atlas.ti</w:t>
      </w:r>
      <w:proofErr w:type="spellEnd"/>
      <w:r>
        <w:rPr>
          <w:rFonts w:cs="Times New Roman"/>
        </w:rPr>
        <w:t>. The software will facilitate analysis by organizing, classifying, and sorting data into frequencies.  Qualitative thematic analyses will be performed on open-ended questions.</w:t>
      </w:r>
    </w:p>
    <w:p w14:paraId="133CE101" w14:textId="77777777" w:rsidR="00C35350" w:rsidRDefault="00C35350" w:rsidP="00C35350">
      <w:pPr>
        <w:spacing w:line="240" w:lineRule="auto"/>
        <w:ind w:left="360"/>
        <w:rPr>
          <w:rFonts w:cs="Times New Roman"/>
        </w:rPr>
      </w:pPr>
    </w:p>
    <w:p w14:paraId="2190AAC6" w14:textId="77777777" w:rsidR="00C35350" w:rsidRDefault="00C35350" w:rsidP="00C35350">
      <w:pPr>
        <w:spacing w:line="240" w:lineRule="auto"/>
        <w:ind w:left="360"/>
        <w:rPr>
          <w:rFonts w:cs="Times New Roman"/>
        </w:rPr>
      </w:pPr>
      <w:r>
        <w:rPr>
          <w:rFonts w:cs="Times New Roman"/>
        </w:rPr>
        <w:t>Data (i.e., transcripts of recorded interviews and/or detailed notes) will be collected by ICF International and provided to CDC and protected under data privacy policies. Data will be stored at CDC on a secured shared drive with access limited to NPHII staff and select NPHII leadership at CDC.</w:t>
      </w:r>
    </w:p>
    <w:p w14:paraId="45F42560" w14:textId="77777777" w:rsidR="00C35350" w:rsidRDefault="00C35350" w:rsidP="00C35350">
      <w:pPr>
        <w:spacing w:line="240" w:lineRule="auto"/>
        <w:ind w:left="360"/>
        <w:rPr>
          <w:color w:val="000000" w:themeColor="text1"/>
        </w:rPr>
      </w:pPr>
    </w:p>
    <w:p w14:paraId="424ABD99" w14:textId="77777777" w:rsidR="00C35350" w:rsidRDefault="00C35350" w:rsidP="00C35350">
      <w:pPr>
        <w:pStyle w:val="Heading4"/>
        <w:spacing w:line="240" w:lineRule="auto"/>
        <w:ind w:left="360"/>
        <w:rPr>
          <w:color w:val="000000" w:themeColor="text1"/>
        </w:rPr>
      </w:pPr>
      <w:r>
        <w:rPr>
          <w:color w:val="000000" w:themeColor="text1"/>
        </w:rPr>
        <w:t>Methods to Maximize Response Rates/Deal with Nonresponse</w:t>
      </w:r>
    </w:p>
    <w:p w14:paraId="48587BBC" w14:textId="464E393F" w:rsidR="00C35350" w:rsidRDefault="00C35350" w:rsidP="00C35350">
      <w:pPr>
        <w:spacing w:line="240" w:lineRule="auto"/>
        <w:ind w:left="360"/>
        <w:rPr>
          <w:rFonts w:cs="Times New Roman"/>
          <w:b/>
        </w:rPr>
      </w:pPr>
      <w:r>
        <w:rPr>
          <w:rFonts w:cs="Times New Roman"/>
        </w:rPr>
        <w:t xml:space="preserve">For potential interviewees that do not respond to the initial contact, a follow-up invitation email will be sent </w:t>
      </w:r>
      <w:r>
        <w:rPr>
          <w:rFonts w:cs="Times New Roman"/>
          <w:b/>
        </w:rPr>
        <w:t xml:space="preserve">(Att. </w:t>
      </w:r>
      <w:r w:rsidR="00915DC0">
        <w:rPr>
          <w:rFonts w:cs="Times New Roman"/>
          <w:b/>
        </w:rPr>
        <w:t xml:space="preserve">K </w:t>
      </w:r>
      <w:r>
        <w:rPr>
          <w:rFonts w:cs="Times New Roman"/>
          <w:b/>
        </w:rPr>
        <w:t>– Follow-up Invitation Email)</w:t>
      </w:r>
      <w:r>
        <w:rPr>
          <w:rFonts w:cs="Times New Roman"/>
        </w:rPr>
        <w:t xml:space="preserve">. Once the interview is scheduled and confirmed, reminder emails </w:t>
      </w:r>
      <w:r>
        <w:rPr>
          <w:rFonts w:cs="Times New Roman"/>
          <w:b/>
        </w:rPr>
        <w:t xml:space="preserve">(Att. </w:t>
      </w:r>
      <w:r w:rsidR="00915DC0">
        <w:rPr>
          <w:rFonts w:cs="Times New Roman"/>
          <w:b/>
        </w:rPr>
        <w:t xml:space="preserve">J </w:t>
      </w:r>
      <w:r>
        <w:rPr>
          <w:rFonts w:cs="Times New Roman"/>
          <w:b/>
        </w:rPr>
        <w:t xml:space="preserve">– Participant Reminder Email) </w:t>
      </w:r>
      <w:r>
        <w:rPr>
          <w:rFonts w:cs="Times New Roman"/>
        </w:rPr>
        <w:t xml:space="preserve">will be sent to encourage participants and maximize response rates. The reminder email will note the confirmed date and time of the interview along with dial-in information including a toll-free number and passcode. </w:t>
      </w:r>
    </w:p>
    <w:p w14:paraId="058FBD62" w14:textId="77777777" w:rsidR="00C35350" w:rsidRDefault="00C35350" w:rsidP="00C35350">
      <w:pPr>
        <w:spacing w:line="240" w:lineRule="auto"/>
        <w:ind w:left="360"/>
        <w:rPr>
          <w:color w:val="000000" w:themeColor="text1"/>
        </w:rPr>
      </w:pPr>
    </w:p>
    <w:p w14:paraId="76610328" w14:textId="77777777" w:rsidR="00C35350" w:rsidRDefault="00C35350" w:rsidP="00C35350">
      <w:pPr>
        <w:pStyle w:val="Heading4"/>
        <w:spacing w:line="240" w:lineRule="auto"/>
        <w:ind w:left="360"/>
        <w:rPr>
          <w:color w:val="000000" w:themeColor="text1"/>
        </w:rPr>
      </w:pPr>
      <w:r>
        <w:rPr>
          <w:color w:val="000000" w:themeColor="text1"/>
        </w:rPr>
        <w:t xml:space="preserve">Test of Procedures or Methods to be </w:t>
      </w:r>
      <w:proofErr w:type="gramStart"/>
      <w:r>
        <w:rPr>
          <w:color w:val="000000" w:themeColor="text1"/>
        </w:rPr>
        <w:t>Undertaken</w:t>
      </w:r>
      <w:proofErr w:type="gramEnd"/>
    </w:p>
    <w:p w14:paraId="02C31C55" w14:textId="77777777" w:rsidR="00C35350" w:rsidRDefault="00C35350" w:rsidP="00C35350">
      <w:pPr>
        <w:spacing w:line="240" w:lineRule="auto"/>
        <w:ind w:left="360"/>
        <w:rPr>
          <w:rFonts w:cs="Times New Roman"/>
        </w:rPr>
      </w:pPr>
      <w:r>
        <w:rPr>
          <w:rFonts w:cs="Times New Roman"/>
        </w:rPr>
        <w:t xml:space="preserve">To ensure that items are understandable by respondents and provide the information needed, the interviewee request form and interview guide were each pilot-tested by six CDC NPHII project officers.  The average time to complete the </w:t>
      </w:r>
      <w:proofErr w:type="spellStart"/>
      <w:r>
        <w:rPr>
          <w:rFonts w:cs="Times New Roman"/>
        </w:rPr>
        <w:t>SurveyMonkey</w:t>
      </w:r>
      <w:proofErr w:type="spellEnd"/>
      <w:r>
        <w:rPr>
          <w:rFonts w:cs="Times New Roman"/>
        </w:rPr>
        <w:t xml:space="preserve"> suggested interviewee form was 10 minutes, with a range of 5-15 minutes. </w:t>
      </w:r>
      <w:r>
        <w:t xml:space="preserve">. It is estimated that respondents will take approximately 10 minutes to complete the form. </w:t>
      </w:r>
      <w:r>
        <w:rPr>
          <w:rFonts w:cs="Times New Roman"/>
        </w:rPr>
        <w:t xml:space="preserve">The average time to complete the interview during the pilot test was 40 minutes, with a range of 30-44 minutes. Based on these results, the estimated time range for actual respondents to complete the instrument is 45-60 minutes, given feedback from pilot testers that the actual interviews with leaders would likely exceed 40 minutes, given the leaders’ experiences. Thus, an upper limit of 60 minutes for the interview will be applied. Pilot test participants also provided specific feedback on the clarity of the questions from different perspectives (e.g., agency- vs. program-leader and STLT awardee type) and suggestions for improving the overall flow of the interview (e.g., question order, addition of transitional language), and item and response wording. </w:t>
      </w:r>
    </w:p>
    <w:p w14:paraId="122293AB" w14:textId="77777777" w:rsidR="00C35350" w:rsidRDefault="00C35350" w:rsidP="00C35350">
      <w:pPr>
        <w:spacing w:line="240" w:lineRule="auto"/>
        <w:ind w:left="360"/>
        <w:rPr>
          <w:rFonts w:cs="Times New Roman"/>
        </w:rPr>
      </w:pPr>
    </w:p>
    <w:p w14:paraId="5387AFBC" w14:textId="77777777" w:rsidR="00C35350" w:rsidRDefault="00C35350" w:rsidP="00C35350">
      <w:pPr>
        <w:spacing w:line="240" w:lineRule="auto"/>
        <w:ind w:left="360"/>
        <w:rPr>
          <w:color w:val="000000" w:themeColor="text1"/>
        </w:rPr>
      </w:pPr>
    </w:p>
    <w:p w14:paraId="176D9B03" w14:textId="77777777" w:rsidR="00C35350" w:rsidRDefault="00C35350" w:rsidP="00C35350">
      <w:pPr>
        <w:pStyle w:val="Heading4"/>
        <w:spacing w:line="240" w:lineRule="auto"/>
        <w:ind w:left="360"/>
        <w:rPr>
          <w:color w:val="000000" w:themeColor="text1"/>
        </w:rPr>
      </w:pPr>
      <w:r>
        <w:rPr>
          <w:color w:val="000000" w:themeColor="text1"/>
        </w:rPr>
        <w:t>Individuals Consulted on Statistical Aspects and Individuals Collecting and/or Analyzing Data</w:t>
      </w:r>
    </w:p>
    <w:p w14:paraId="62E08227" w14:textId="77777777" w:rsidR="00C35350" w:rsidRDefault="00C35350" w:rsidP="00C35350">
      <w:pPr>
        <w:spacing w:line="240" w:lineRule="auto"/>
        <w:ind w:left="0"/>
        <w:rPr>
          <w:rFonts w:cs="Times New Roman"/>
          <w:bCs/>
          <w:color w:val="000000" w:themeColor="text1"/>
        </w:rPr>
      </w:pPr>
    </w:p>
    <w:p w14:paraId="59EDF79F" w14:textId="77777777" w:rsidR="00C35350" w:rsidRDefault="00C35350" w:rsidP="00C35350">
      <w:pPr>
        <w:spacing w:line="240" w:lineRule="auto"/>
        <w:ind w:left="360"/>
        <w:rPr>
          <w:rFonts w:cs="Times New Roman"/>
          <w:bCs/>
          <w:color w:val="000000" w:themeColor="text1"/>
        </w:rPr>
      </w:pPr>
      <w:r>
        <w:rPr>
          <w:rFonts w:cs="Times New Roman"/>
          <w:bCs/>
          <w:color w:val="000000" w:themeColor="text1"/>
        </w:rPr>
        <w:t>Anita McLees</w:t>
      </w:r>
      <w:r>
        <w:rPr>
          <w:rFonts w:cs="Times New Roman"/>
          <w:bCs/>
          <w:color w:val="000000" w:themeColor="text1"/>
        </w:rPr>
        <w:tab/>
      </w:r>
    </w:p>
    <w:p w14:paraId="1941665B" w14:textId="77777777" w:rsidR="00C35350" w:rsidRDefault="00C35350" w:rsidP="00C35350">
      <w:pPr>
        <w:spacing w:line="240" w:lineRule="auto"/>
        <w:ind w:left="360"/>
        <w:rPr>
          <w:rFonts w:cs="Times New Roman"/>
          <w:color w:val="000000" w:themeColor="text1"/>
        </w:rPr>
      </w:pPr>
      <w:r>
        <w:rPr>
          <w:rFonts w:cs="Times New Roman"/>
          <w:color w:val="000000" w:themeColor="text1"/>
        </w:rPr>
        <w:t xml:space="preserve">Health Scientist </w:t>
      </w:r>
    </w:p>
    <w:p w14:paraId="7D00717E" w14:textId="77777777" w:rsidR="00C35350" w:rsidRDefault="00C35350" w:rsidP="00C35350">
      <w:pPr>
        <w:spacing w:line="240" w:lineRule="auto"/>
        <w:ind w:left="360"/>
        <w:rPr>
          <w:rFonts w:cs="Times New Roman"/>
          <w:color w:val="000000" w:themeColor="text1"/>
        </w:rPr>
      </w:pPr>
      <w:r>
        <w:rPr>
          <w:rFonts w:cs="Times New Roman"/>
          <w:color w:val="000000" w:themeColor="text1"/>
        </w:rPr>
        <w:t>Applied Systems Research and Evaluation Branch</w:t>
      </w:r>
    </w:p>
    <w:p w14:paraId="150EF712" w14:textId="77777777" w:rsidR="00C35350" w:rsidRDefault="00C35350" w:rsidP="00C35350">
      <w:pPr>
        <w:spacing w:line="240" w:lineRule="auto"/>
        <w:ind w:left="360"/>
        <w:rPr>
          <w:rFonts w:cs="Times New Roman"/>
          <w:color w:val="000000" w:themeColor="text1"/>
        </w:rPr>
      </w:pPr>
      <w:r>
        <w:rPr>
          <w:rFonts w:cs="Times New Roman"/>
          <w:color w:val="000000" w:themeColor="text1"/>
        </w:rPr>
        <w:t>Division of Public Health Performance Improvement</w:t>
      </w:r>
    </w:p>
    <w:p w14:paraId="7A293099" w14:textId="77777777" w:rsidR="00C35350" w:rsidRDefault="00C35350" w:rsidP="00C35350">
      <w:pPr>
        <w:spacing w:line="240" w:lineRule="auto"/>
        <w:ind w:left="360"/>
        <w:rPr>
          <w:rFonts w:cs="Times New Roman"/>
          <w:color w:val="000000" w:themeColor="text1"/>
        </w:rPr>
      </w:pPr>
      <w:r>
        <w:rPr>
          <w:rFonts w:cs="Times New Roman"/>
          <w:color w:val="000000" w:themeColor="text1"/>
        </w:rPr>
        <w:t>Office of State, Tribal, Local and Territorial Support</w:t>
      </w:r>
    </w:p>
    <w:p w14:paraId="193A4D3A" w14:textId="77777777" w:rsidR="00C35350" w:rsidRDefault="00C35350" w:rsidP="00C35350">
      <w:pPr>
        <w:spacing w:line="240" w:lineRule="auto"/>
        <w:ind w:left="360"/>
        <w:rPr>
          <w:rFonts w:cs="Times New Roman"/>
          <w:color w:val="000000" w:themeColor="text1"/>
        </w:rPr>
      </w:pPr>
      <w:r>
        <w:rPr>
          <w:rFonts w:cs="Times New Roman"/>
          <w:color w:val="000000" w:themeColor="text1"/>
        </w:rPr>
        <w:t>Centers for Disease Control</w:t>
      </w:r>
    </w:p>
    <w:p w14:paraId="6CB17645" w14:textId="77777777" w:rsidR="00C35350" w:rsidRDefault="00C35350" w:rsidP="00C35350">
      <w:pPr>
        <w:spacing w:line="240" w:lineRule="auto"/>
        <w:ind w:left="360"/>
        <w:rPr>
          <w:rFonts w:cs="Times New Roman"/>
          <w:color w:val="000000" w:themeColor="text1"/>
        </w:rPr>
      </w:pPr>
      <w:r>
        <w:rPr>
          <w:rFonts w:cs="Times New Roman"/>
          <w:color w:val="000000" w:themeColor="text1"/>
        </w:rPr>
        <w:t>1825 Century Center MS E-70</w:t>
      </w:r>
    </w:p>
    <w:p w14:paraId="6F132ADA" w14:textId="77777777" w:rsidR="00C35350" w:rsidRDefault="00C35350" w:rsidP="00C35350">
      <w:pPr>
        <w:spacing w:line="240" w:lineRule="auto"/>
        <w:ind w:left="360"/>
        <w:rPr>
          <w:rFonts w:cs="Times New Roman"/>
          <w:color w:val="000000" w:themeColor="text1"/>
        </w:rPr>
      </w:pPr>
      <w:r>
        <w:rPr>
          <w:rFonts w:cs="Times New Roman"/>
          <w:color w:val="000000" w:themeColor="text1"/>
        </w:rPr>
        <w:t>Phone: 404-498-0316</w:t>
      </w:r>
    </w:p>
    <w:p w14:paraId="4D5FDBB7" w14:textId="77777777" w:rsidR="00C35350" w:rsidRDefault="00C35350" w:rsidP="00C35350">
      <w:pPr>
        <w:spacing w:line="240" w:lineRule="auto"/>
        <w:ind w:left="360"/>
        <w:rPr>
          <w:rFonts w:cs="Times New Roman"/>
          <w:color w:val="000000" w:themeColor="text1"/>
        </w:rPr>
      </w:pPr>
      <w:r>
        <w:rPr>
          <w:rFonts w:cs="Times New Roman"/>
          <w:color w:val="000000" w:themeColor="text1"/>
        </w:rPr>
        <w:t xml:space="preserve">Email: </w:t>
      </w:r>
      <w:hyperlink r:id="rId15" w:history="1">
        <w:r>
          <w:rPr>
            <w:rStyle w:val="Hyperlink"/>
            <w:rFonts w:cs="Times New Roman"/>
            <w:color w:val="000000" w:themeColor="text1"/>
          </w:rPr>
          <w:t>zdu5@cdc.gov</w:t>
        </w:r>
      </w:hyperlink>
    </w:p>
    <w:p w14:paraId="717CD252" w14:textId="77777777" w:rsidR="00C35350" w:rsidRDefault="00C35350" w:rsidP="00C35350">
      <w:pPr>
        <w:spacing w:line="240" w:lineRule="auto"/>
        <w:ind w:left="360"/>
        <w:rPr>
          <w:rFonts w:cs="Times New Roman"/>
          <w:b/>
          <w:color w:val="000000" w:themeColor="text1"/>
        </w:rPr>
      </w:pPr>
    </w:p>
    <w:p w14:paraId="5C9D81A2" w14:textId="77777777" w:rsidR="00C35350" w:rsidRDefault="00C35350" w:rsidP="00C35350">
      <w:pPr>
        <w:spacing w:line="240" w:lineRule="auto"/>
        <w:ind w:left="360"/>
        <w:rPr>
          <w:rFonts w:cs="Times New Roman"/>
          <w:bCs/>
          <w:color w:val="000000" w:themeColor="text1"/>
        </w:rPr>
      </w:pPr>
      <w:r>
        <w:rPr>
          <w:rFonts w:cs="Times New Roman"/>
          <w:bCs/>
          <w:color w:val="000000" w:themeColor="text1"/>
        </w:rPr>
        <w:t>Garry Lowry</w:t>
      </w:r>
    </w:p>
    <w:p w14:paraId="218308A2" w14:textId="77777777" w:rsidR="00C35350" w:rsidRDefault="00C35350" w:rsidP="00C35350">
      <w:pPr>
        <w:spacing w:line="240" w:lineRule="auto"/>
        <w:ind w:left="360"/>
        <w:rPr>
          <w:rFonts w:cs="Times New Roman"/>
          <w:color w:val="000000" w:themeColor="text1"/>
        </w:rPr>
      </w:pPr>
      <w:r>
        <w:rPr>
          <w:rFonts w:cs="Times New Roman"/>
          <w:color w:val="000000" w:themeColor="text1"/>
        </w:rPr>
        <w:t xml:space="preserve">Health Scientist </w:t>
      </w:r>
    </w:p>
    <w:p w14:paraId="3AEEEE17" w14:textId="77777777" w:rsidR="00C35350" w:rsidRDefault="00C35350" w:rsidP="00C35350">
      <w:pPr>
        <w:spacing w:line="240" w:lineRule="auto"/>
        <w:ind w:left="360"/>
        <w:rPr>
          <w:rFonts w:cs="Times New Roman"/>
          <w:color w:val="000000" w:themeColor="text1"/>
        </w:rPr>
      </w:pPr>
      <w:r>
        <w:rPr>
          <w:rFonts w:cs="Times New Roman"/>
          <w:color w:val="000000" w:themeColor="text1"/>
        </w:rPr>
        <w:t>Applied Systems Research and Evaluation Branch</w:t>
      </w:r>
    </w:p>
    <w:p w14:paraId="7B30CDE1" w14:textId="77777777" w:rsidR="00C35350" w:rsidRDefault="00C35350" w:rsidP="00C35350">
      <w:pPr>
        <w:spacing w:line="240" w:lineRule="auto"/>
        <w:ind w:left="360"/>
        <w:rPr>
          <w:rFonts w:cs="Times New Roman"/>
          <w:color w:val="000000" w:themeColor="text1"/>
        </w:rPr>
      </w:pPr>
      <w:r>
        <w:rPr>
          <w:rFonts w:cs="Times New Roman"/>
          <w:color w:val="000000" w:themeColor="text1"/>
        </w:rPr>
        <w:t>Division of Public Health Performance Improvement</w:t>
      </w:r>
    </w:p>
    <w:p w14:paraId="1A5735AA" w14:textId="77777777" w:rsidR="00C35350" w:rsidRDefault="00C35350" w:rsidP="00C35350">
      <w:pPr>
        <w:spacing w:line="240" w:lineRule="auto"/>
        <w:ind w:left="360"/>
        <w:rPr>
          <w:rFonts w:cs="Times New Roman"/>
          <w:color w:val="000000" w:themeColor="text1"/>
        </w:rPr>
      </w:pPr>
      <w:r>
        <w:rPr>
          <w:rFonts w:cs="Times New Roman"/>
          <w:color w:val="000000" w:themeColor="text1"/>
        </w:rPr>
        <w:t>Office of State, Tribal, Local and Territorial Support</w:t>
      </w:r>
    </w:p>
    <w:p w14:paraId="1EB27714" w14:textId="77777777" w:rsidR="00C35350" w:rsidRDefault="00C35350" w:rsidP="00C35350">
      <w:pPr>
        <w:spacing w:line="240" w:lineRule="auto"/>
        <w:ind w:left="360"/>
        <w:rPr>
          <w:rFonts w:cs="Times New Roman"/>
          <w:color w:val="000000" w:themeColor="text1"/>
        </w:rPr>
      </w:pPr>
      <w:r>
        <w:rPr>
          <w:rFonts w:cs="Times New Roman"/>
          <w:color w:val="000000" w:themeColor="text1"/>
        </w:rPr>
        <w:t>Centers for Disease Control</w:t>
      </w:r>
    </w:p>
    <w:p w14:paraId="3F8EF635" w14:textId="77777777" w:rsidR="00C35350" w:rsidRDefault="00C35350" w:rsidP="00C35350">
      <w:pPr>
        <w:spacing w:line="240" w:lineRule="auto"/>
        <w:ind w:left="360"/>
        <w:rPr>
          <w:rFonts w:cs="Times New Roman"/>
          <w:color w:val="000000" w:themeColor="text1"/>
        </w:rPr>
      </w:pPr>
      <w:r>
        <w:rPr>
          <w:rFonts w:cs="Times New Roman"/>
          <w:color w:val="000000" w:themeColor="text1"/>
        </w:rPr>
        <w:t>1825 Century Center MS E-70</w:t>
      </w:r>
    </w:p>
    <w:p w14:paraId="6A883514" w14:textId="77777777" w:rsidR="00C35350" w:rsidRDefault="00C35350" w:rsidP="00C35350">
      <w:pPr>
        <w:spacing w:line="240" w:lineRule="auto"/>
        <w:ind w:left="360"/>
        <w:rPr>
          <w:rFonts w:cs="Times New Roman"/>
          <w:color w:val="000000" w:themeColor="text1"/>
        </w:rPr>
      </w:pPr>
      <w:r>
        <w:rPr>
          <w:rFonts w:cs="Times New Roman"/>
          <w:color w:val="000000" w:themeColor="text1"/>
        </w:rPr>
        <w:t>Phone: 404-498-0361</w:t>
      </w:r>
    </w:p>
    <w:p w14:paraId="06693AB4" w14:textId="77777777" w:rsidR="00C35350" w:rsidRDefault="00C35350" w:rsidP="00C35350">
      <w:pPr>
        <w:spacing w:line="240" w:lineRule="auto"/>
        <w:ind w:left="360"/>
        <w:rPr>
          <w:rFonts w:cs="Times New Roman"/>
          <w:color w:val="000000" w:themeColor="text1"/>
        </w:rPr>
      </w:pPr>
      <w:r>
        <w:rPr>
          <w:rFonts w:cs="Times New Roman"/>
          <w:color w:val="000000" w:themeColor="text1"/>
        </w:rPr>
        <w:t xml:space="preserve">Email: </w:t>
      </w:r>
      <w:hyperlink r:id="rId16" w:history="1">
        <w:r>
          <w:rPr>
            <w:rStyle w:val="Hyperlink"/>
            <w:rFonts w:cs="Times New Roman"/>
            <w:color w:val="000000" w:themeColor="text1"/>
          </w:rPr>
          <w:t>gel2@cdc.gov</w:t>
        </w:r>
      </w:hyperlink>
    </w:p>
    <w:p w14:paraId="0DFDB73A" w14:textId="77777777" w:rsidR="00C35350" w:rsidRDefault="00C35350" w:rsidP="00C35350">
      <w:pPr>
        <w:spacing w:line="240" w:lineRule="auto"/>
        <w:ind w:left="360"/>
        <w:rPr>
          <w:rFonts w:cs="Times New Roman"/>
          <w:b/>
          <w:color w:val="000000" w:themeColor="text1"/>
        </w:rPr>
      </w:pPr>
    </w:p>
    <w:p w14:paraId="596AE983" w14:textId="77777777" w:rsidR="00C35350" w:rsidRDefault="00C35350" w:rsidP="00C35350">
      <w:pPr>
        <w:spacing w:line="240" w:lineRule="auto"/>
        <w:ind w:left="360"/>
        <w:rPr>
          <w:rFonts w:cs="Times New Roman"/>
          <w:bCs/>
          <w:color w:val="000000" w:themeColor="text1"/>
        </w:rPr>
      </w:pPr>
      <w:r>
        <w:rPr>
          <w:rFonts w:cs="Times New Roman"/>
          <w:bCs/>
          <w:color w:val="000000" w:themeColor="text1"/>
        </w:rPr>
        <w:t>Nikki Rider</w:t>
      </w:r>
      <w:r>
        <w:rPr>
          <w:rFonts w:cs="Times New Roman"/>
          <w:bCs/>
          <w:color w:val="000000" w:themeColor="text1"/>
        </w:rPr>
        <w:tab/>
      </w:r>
    </w:p>
    <w:p w14:paraId="758D1E54" w14:textId="77777777" w:rsidR="00C35350" w:rsidRDefault="00C35350" w:rsidP="00C35350">
      <w:pPr>
        <w:spacing w:line="240" w:lineRule="auto"/>
        <w:ind w:left="360"/>
        <w:rPr>
          <w:rFonts w:cs="Times New Roman"/>
          <w:color w:val="000000" w:themeColor="text1"/>
        </w:rPr>
      </w:pPr>
      <w:r>
        <w:rPr>
          <w:rFonts w:cs="Times New Roman"/>
          <w:color w:val="000000" w:themeColor="text1"/>
        </w:rPr>
        <w:t>Associate Director, Research and Evaluation</w:t>
      </w:r>
    </w:p>
    <w:p w14:paraId="41D17141" w14:textId="77777777" w:rsidR="00C35350" w:rsidRDefault="00C35350" w:rsidP="00C35350">
      <w:pPr>
        <w:spacing w:line="240" w:lineRule="auto"/>
        <w:ind w:left="360"/>
        <w:rPr>
          <w:rFonts w:cs="Times New Roman"/>
          <w:color w:val="000000" w:themeColor="text1"/>
        </w:rPr>
      </w:pPr>
      <w:r>
        <w:rPr>
          <w:rFonts w:cs="Times New Roman"/>
          <w:color w:val="000000" w:themeColor="text1"/>
        </w:rPr>
        <w:t>National Network of Public Health Institutes</w:t>
      </w:r>
    </w:p>
    <w:p w14:paraId="1AF2A44E" w14:textId="77777777" w:rsidR="00C35350" w:rsidRDefault="00C35350" w:rsidP="00C35350">
      <w:pPr>
        <w:spacing w:line="240" w:lineRule="auto"/>
        <w:ind w:left="360"/>
        <w:rPr>
          <w:rFonts w:cs="Times New Roman"/>
          <w:color w:val="000000" w:themeColor="text1"/>
          <w:lang w:val="fr-FR"/>
        </w:rPr>
      </w:pPr>
      <w:r>
        <w:rPr>
          <w:rFonts w:cs="Times New Roman"/>
          <w:color w:val="000000" w:themeColor="text1"/>
          <w:lang w:val="fr-FR"/>
        </w:rPr>
        <w:t xml:space="preserve">1515 </w:t>
      </w:r>
      <w:proofErr w:type="spellStart"/>
      <w:r>
        <w:rPr>
          <w:rFonts w:cs="Times New Roman"/>
          <w:color w:val="000000" w:themeColor="text1"/>
          <w:lang w:val="fr-FR"/>
        </w:rPr>
        <w:t>Poydras</w:t>
      </w:r>
      <w:proofErr w:type="spellEnd"/>
      <w:r>
        <w:rPr>
          <w:rFonts w:cs="Times New Roman"/>
          <w:color w:val="000000" w:themeColor="text1"/>
          <w:lang w:val="fr-FR"/>
        </w:rPr>
        <w:t xml:space="preserve"> St, Suite 1490, New </w:t>
      </w:r>
      <w:proofErr w:type="spellStart"/>
      <w:r>
        <w:rPr>
          <w:rFonts w:cs="Times New Roman"/>
          <w:color w:val="000000" w:themeColor="text1"/>
          <w:lang w:val="fr-FR"/>
        </w:rPr>
        <w:t>Orleans</w:t>
      </w:r>
      <w:proofErr w:type="spellEnd"/>
      <w:r>
        <w:rPr>
          <w:rFonts w:cs="Times New Roman"/>
          <w:color w:val="000000" w:themeColor="text1"/>
          <w:lang w:val="fr-FR"/>
        </w:rPr>
        <w:t>, LA</w:t>
      </w:r>
    </w:p>
    <w:p w14:paraId="69960812" w14:textId="77777777" w:rsidR="00C35350" w:rsidRDefault="00C35350" w:rsidP="00C35350">
      <w:pPr>
        <w:spacing w:line="240" w:lineRule="auto"/>
        <w:ind w:left="360"/>
        <w:rPr>
          <w:rFonts w:cs="Times New Roman"/>
          <w:color w:val="000000" w:themeColor="text1"/>
          <w:lang w:val="fr-FR"/>
        </w:rPr>
      </w:pPr>
      <w:r>
        <w:rPr>
          <w:rFonts w:cs="Times New Roman"/>
          <w:color w:val="000000" w:themeColor="text1"/>
          <w:lang w:val="fr-FR"/>
        </w:rPr>
        <w:t>Phone: 251-928-8534</w:t>
      </w:r>
    </w:p>
    <w:p w14:paraId="3BC07C2C" w14:textId="77777777" w:rsidR="00C35350" w:rsidRDefault="00C35350" w:rsidP="00C35350">
      <w:pPr>
        <w:spacing w:line="240" w:lineRule="auto"/>
        <w:ind w:left="360"/>
        <w:rPr>
          <w:rFonts w:cs="Times New Roman"/>
          <w:color w:val="000000" w:themeColor="text1"/>
          <w:lang w:val="fr-FR"/>
        </w:rPr>
      </w:pPr>
      <w:r>
        <w:rPr>
          <w:rFonts w:cs="Times New Roman"/>
          <w:color w:val="000000" w:themeColor="text1"/>
          <w:lang w:val="fr-FR"/>
        </w:rPr>
        <w:t xml:space="preserve">Email: </w:t>
      </w:r>
      <w:hyperlink r:id="rId17" w:history="1">
        <w:r>
          <w:rPr>
            <w:rStyle w:val="Hyperlink"/>
            <w:rFonts w:cs="Times New Roman"/>
            <w:color w:val="000000" w:themeColor="text1"/>
            <w:lang w:val="fr-FR"/>
          </w:rPr>
          <w:t>nrider@nnphi.org</w:t>
        </w:r>
      </w:hyperlink>
    </w:p>
    <w:p w14:paraId="62687175" w14:textId="77777777" w:rsidR="00C35350" w:rsidRDefault="00C35350" w:rsidP="00C35350">
      <w:pPr>
        <w:spacing w:line="240" w:lineRule="auto"/>
        <w:ind w:left="0"/>
        <w:rPr>
          <w:color w:val="000000" w:themeColor="text1"/>
          <w:lang w:val="fr-FR"/>
        </w:rPr>
      </w:pPr>
    </w:p>
    <w:p w14:paraId="5BD58EA9" w14:textId="77777777" w:rsidR="00C35350" w:rsidRDefault="00C35350" w:rsidP="00C35350">
      <w:pPr>
        <w:spacing w:line="240" w:lineRule="auto"/>
        <w:ind w:left="0" w:firstLine="360"/>
        <w:rPr>
          <w:color w:val="000000" w:themeColor="text1"/>
          <w:lang w:val="fr-FR"/>
        </w:rPr>
      </w:pPr>
      <w:r>
        <w:rPr>
          <w:color w:val="000000" w:themeColor="text1"/>
          <w:lang w:val="fr-FR"/>
        </w:rPr>
        <w:t>Tamara Lamia</w:t>
      </w:r>
    </w:p>
    <w:p w14:paraId="2ACEDE96" w14:textId="77777777" w:rsidR="00C35350" w:rsidRDefault="00C35350" w:rsidP="00C35350">
      <w:pPr>
        <w:spacing w:line="240" w:lineRule="auto"/>
        <w:ind w:left="0" w:firstLine="360"/>
        <w:rPr>
          <w:color w:val="000000" w:themeColor="text1"/>
        </w:rPr>
      </w:pPr>
      <w:r>
        <w:rPr>
          <w:color w:val="000000" w:themeColor="text1"/>
        </w:rPr>
        <w:t>Senior Manager, Public Health Research and Evaluation</w:t>
      </w:r>
    </w:p>
    <w:p w14:paraId="5D3DD743" w14:textId="77777777" w:rsidR="00C35350" w:rsidRDefault="00C35350" w:rsidP="00C35350">
      <w:pPr>
        <w:spacing w:line="240" w:lineRule="auto"/>
        <w:ind w:left="360"/>
        <w:rPr>
          <w:color w:val="000000" w:themeColor="text1"/>
        </w:rPr>
      </w:pPr>
      <w:r>
        <w:rPr>
          <w:bCs/>
          <w:color w:val="000000" w:themeColor="text1"/>
        </w:rPr>
        <w:t>ICF International</w:t>
      </w:r>
    </w:p>
    <w:p w14:paraId="28781D14" w14:textId="77777777" w:rsidR="00C35350" w:rsidRDefault="00C35350" w:rsidP="00C35350">
      <w:pPr>
        <w:spacing w:line="240" w:lineRule="auto"/>
        <w:ind w:left="0" w:firstLine="360"/>
        <w:rPr>
          <w:color w:val="000000" w:themeColor="text1"/>
        </w:rPr>
      </w:pPr>
      <w:r>
        <w:rPr>
          <w:color w:val="000000" w:themeColor="text1"/>
        </w:rPr>
        <w:t xml:space="preserve">3 Corporate </w:t>
      </w:r>
      <w:proofErr w:type="gramStart"/>
      <w:r>
        <w:rPr>
          <w:color w:val="000000" w:themeColor="text1"/>
        </w:rPr>
        <w:t>Square</w:t>
      </w:r>
      <w:proofErr w:type="gramEnd"/>
      <w:r>
        <w:rPr>
          <w:color w:val="000000" w:themeColor="text1"/>
        </w:rPr>
        <w:t>, Suite 370, Atlanta, GA 30329</w:t>
      </w:r>
    </w:p>
    <w:p w14:paraId="230045C9" w14:textId="77777777" w:rsidR="00C35350" w:rsidRDefault="00C35350" w:rsidP="00C35350">
      <w:pPr>
        <w:spacing w:line="240" w:lineRule="auto"/>
        <w:ind w:left="0" w:firstLine="360"/>
        <w:rPr>
          <w:color w:val="000000" w:themeColor="text1"/>
        </w:rPr>
      </w:pPr>
      <w:r>
        <w:rPr>
          <w:color w:val="000000" w:themeColor="text1"/>
        </w:rPr>
        <w:t>Phone: 404-592-2248</w:t>
      </w:r>
    </w:p>
    <w:p w14:paraId="5C81E85D" w14:textId="77777777" w:rsidR="00C35350" w:rsidRDefault="00C35350" w:rsidP="00C35350">
      <w:pPr>
        <w:spacing w:line="240" w:lineRule="auto"/>
        <w:ind w:left="0" w:firstLine="360"/>
        <w:rPr>
          <w:color w:val="000000" w:themeColor="text1"/>
          <w:u w:val="single"/>
        </w:rPr>
      </w:pPr>
      <w:r>
        <w:rPr>
          <w:color w:val="000000" w:themeColor="text1"/>
        </w:rPr>
        <w:t xml:space="preserve">Email: </w:t>
      </w:r>
      <w:hyperlink r:id="rId18" w:history="1">
        <w:r>
          <w:rPr>
            <w:rStyle w:val="Hyperlink"/>
            <w:color w:val="000000" w:themeColor="text1"/>
          </w:rPr>
          <w:t>Tamara.Lamia@icfi.com</w:t>
        </w:r>
      </w:hyperlink>
    </w:p>
    <w:p w14:paraId="7EBC2866" w14:textId="77777777" w:rsidR="00C35350" w:rsidRDefault="00C35350" w:rsidP="00C35350">
      <w:pPr>
        <w:spacing w:line="240" w:lineRule="auto"/>
        <w:ind w:left="0"/>
        <w:rPr>
          <w:color w:val="000000" w:themeColor="text1"/>
          <w:u w:val="single"/>
        </w:rPr>
      </w:pPr>
    </w:p>
    <w:p w14:paraId="1366D17C" w14:textId="77777777" w:rsidR="00C35350" w:rsidRDefault="00C35350" w:rsidP="00C35350">
      <w:pPr>
        <w:spacing w:line="240" w:lineRule="auto"/>
        <w:ind w:left="0" w:firstLine="360"/>
        <w:rPr>
          <w:color w:val="000000" w:themeColor="text1"/>
        </w:rPr>
      </w:pPr>
    </w:p>
    <w:p w14:paraId="6A7F4242" w14:textId="77777777" w:rsidR="00C35350" w:rsidRDefault="00C35350" w:rsidP="00C35350">
      <w:pPr>
        <w:spacing w:line="240" w:lineRule="auto"/>
        <w:ind w:left="0" w:firstLine="360"/>
        <w:rPr>
          <w:color w:val="000000" w:themeColor="text1"/>
        </w:rPr>
      </w:pPr>
      <w:r>
        <w:rPr>
          <w:color w:val="000000" w:themeColor="text1"/>
        </w:rPr>
        <w:t>Mary Ann Hall</w:t>
      </w:r>
    </w:p>
    <w:p w14:paraId="2F1DD15E" w14:textId="77777777" w:rsidR="00C35350" w:rsidRDefault="00C35350" w:rsidP="00C35350">
      <w:pPr>
        <w:spacing w:line="240" w:lineRule="auto"/>
        <w:ind w:left="0" w:firstLine="360"/>
        <w:rPr>
          <w:color w:val="000000" w:themeColor="text1"/>
        </w:rPr>
      </w:pPr>
      <w:r>
        <w:rPr>
          <w:color w:val="000000" w:themeColor="text1"/>
        </w:rPr>
        <w:t>Senior Associate, Public Health Research and Evaluation</w:t>
      </w:r>
    </w:p>
    <w:p w14:paraId="25F5D280" w14:textId="77777777" w:rsidR="00C35350" w:rsidRDefault="00C35350" w:rsidP="00C35350">
      <w:pPr>
        <w:spacing w:line="240" w:lineRule="auto"/>
        <w:ind w:left="0" w:firstLine="360"/>
        <w:rPr>
          <w:color w:val="000000" w:themeColor="text1"/>
        </w:rPr>
      </w:pPr>
      <w:r>
        <w:rPr>
          <w:bCs/>
          <w:color w:val="000000" w:themeColor="text1"/>
        </w:rPr>
        <w:t>ICF International</w:t>
      </w:r>
    </w:p>
    <w:p w14:paraId="629939B0" w14:textId="77777777" w:rsidR="00C35350" w:rsidRDefault="00C35350" w:rsidP="00C35350">
      <w:pPr>
        <w:spacing w:line="240" w:lineRule="auto"/>
        <w:ind w:left="0" w:firstLine="360"/>
        <w:rPr>
          <w:color w:val="000000" w:themeColor="text1"/>
        </w:rPr>
      </w:pPr>
      <w:r>
        <w:rPr>
          <w:color w:val="000000" w:themeColor="text1"/>
        </w:rPr>
        <w:t xml:space="preserve">3 Corporate </w:t>
      </w:r>
      <w:proofErr w:type="gramStart"/>
      <w:r>
        <w:rPr>
          <w:color w:val="000000" w:themeColor="text1"/>
        </w:rPr>
        <w:t>Square</w:t>
      </w:r>
      <w:proofErr w:type="gramEnd"/>
      <w:r>
        <w:rPr>
          <w:color w:val="000000" w:themeColor="text1"/>
        </w:rPr>
        <w:t>, Suite 370, Atlanta, GA 30329</w:t>
      </w:r>
    </w:p>
    <w:p w14:paraId="2B46EFD4" w14:textId="77777777" w:rsidR="00C35350" w:rsidRDefault="00C35350" w:rsidP="00C35350">
      <w:pPr>
        <w:spacing w:line="240" w:lineRule="auto"/>
        <w:ind w:left="0" w:firstLine="360"/>
        <w:rPr>
          <w:color w:val="000000" w:themeColor="text1"/>
          <w:lang w:val="fr-FR"/>
        </w:rPr>
      </w:pPr>
      <w:r>
        <w:rPr>
          <w:color w:val="000000" w:themeColor="text1"/>
          <w:lang w:val="fr-FR"/>
        </w:rPr>
        <w:t>Email: MaryAnn.Hall@icfi.com</w:t>
      </w:r>
    </w:p>
    <w:p w14:paraId="5B6B5827" w14:textId="77777777" w:rsidR="00C35350" w:rsidRDefault="00C35350" w:rsidP="00C35350">
      <w:pPr>
        <w:spacing w:line="240" w:lineRule="auto"/>
        <w:ind w:left="0"/>
        <w:rPr>
          <w:color w:val="000000" w:themeColor="text1"/>
          <w:lang w:val="fr-FR"/>
        </w:rPr>
      </w:pPr>
    </w:p>
    <w:p w14:paraId="4021BC97" w14:textId="77777777" w:rsidR="00C35350" w:rsidRDefault="00C35350" w:rsidP="00C35350">
      <w:pPr>
        <w:spacing w:line="240" w:lineRule="auto"/>
        <w:ind w:left="0" w:firstLine="360"/>
        <w:rPr>
          <w:color w:val="000000" w:themeColor="text1"/>
          <w:lang w:val="fr-FR"/>
        </w:rPr>
      </w:pPr>
      <w:r>
        <w:rPr>
          <w:color w:val="000000" w:themeColor="text1"/>
          <w:lang w:val="fr-FR"/>
        </w:rPr>
        <w:t>Kari Cruz</w:t>
      </w:r>
    </w:p>
    <w:p w14:paraId="694CC053" w14:textId="77777777" w:rsidR="00C35350" w:rsidRDefault="00C35350" w:rsidP="00C35350">
      <w:pPr>
        <w:spacing w:line="240" w:lineRule="auto"/>
        <w:ind w:left="0" w:firstLine="360"/>
        <w:rPr>
          <w:color w:val="000000" w:themeColor="text1"/>
        </w:rPr>
      </w:pPr>
      <w:r>
        <w:rPr>
          <w:color w:val="000000" w:themeColor="text1"/>
        </w:rPr>
        <w:t>Senior Associate, Public Health Research and Evaluation</w:t>
      </w:r>
    </w:p>
    <w:p w14:paraId="407B1754" w14:textId="77777777" w:rsidR="00C35350" w:rsidRDefault="00C35350" w:rsidP="00C35350">
      <w:pPr>
        <w:spacing w:line="240" w:lineRule="auto"/>
        <w:ind w:left="0" w:firstLine="360"/>
        <w:rPr>
          <w:color w:val="000000" w:themeColor="text1"/>
        </w:rPr>
      </w:pPr>
      <w:r>
        <w:rPr>
          <w:bCs/>
          <w:color w:val="000000" w:themeColor="text1"/>
        </w:rPr>
        <w:t>ICF International</w:t>
      </w:r>
    </w:p>
    <w:p w14:paraId="4D3ACFED" w14:textId="77777777" w:rsidR="00C35350" w:rsidRDefault="00C35350" w:rsidP="00C35350">
      <w:pPr>
        <w:spacing w:line="240" w:lineRule="auto"/>
        <w:ind w:left="0" w:firstLine="360"/>
        <w:rPr>
          <w:color w:val="000000" w:themeColor="text1"/>
        </w:rPr>
      </w:pPr>
      <w:r>
        <w:rPr>
          <w:color w:val="000000" w:themeColor="text1"/>
        </w:rPr>
        <w:lastRenderedPageBreak/>
        <w:t xml:space="preserve">3 Corporate </w:t>
      </w:r>
      <w:proofErr w:type="gramStart"/>
      <w:r>
        <w:rPr>
          <w:color w:val="000000" w:themeColor="text1"/>
        </w:rPr>
        <w:t>Square</w:t>
      </w:r>
      <w:proofErr w:type="gramEnd"/>
      <w:r>
        <w:rPr>
          <w:color w:val="000000" w:themeColor="text1"/>
        </w:rPr>
        <w:t>, Suite 370, Atlanta, GA 30329</w:t>
      </w:r>
    </w:p>
    <w:p w14:paraId="64478BD7" w14:textId="77777777" w:rsidR="00C35350" w:rsidRDefault="00C35350" w:rsidP="00C35350">
      <w:pPr>
        <w:spacing w:line="240" w:lineRule="auto"/>
        <w:ind w:left="0" w:firstLine="360"/>
        <w:rPr>
          <w:color w:val="000000" w:themeColor="text1"/>
        </w:rPr>
      </w:pPr>
      <w:r>
        <w:rPr>
          <w:color w:val="000000" w:themeColor="text1"/>
        </w:rPr>
        <w:t>Email: Kari.Cruz@icfi.com</w:t>
      </w:r>
    </w:p>
    <w:p w14:paraId="27CCA1A8" w14:textId="77777777" w:rsidR="00C35350" w:rsidRDefault="00C35350" w:rsidP="00C35350">
      <w:pPr>
        <w:spacing w:line="240" w:lineRule="auto"/>
        <w:ind w:left="0"/>
        <w:rPr>
          <w:color w:val="000000" w:themeColor="text1"/>
        </w:rPr>
      </w:pPr>
    </w:p>
    <w:p w14:paraId="706268BE" w14:textId="77777777" w:rsidR="00C35350" w:rsidRDefault="00C35350" w:rsidP="00C35350">
      <w:pPr>
        <w:spacing w:line="240" w:lineRule="auto"/>
        <w:ind w:left="0" w:firstLine="360"/>
        <w:rPr>
          <w:color w:val="000000" w:themeColor="text1"/>
        </w:rPr>
      </w:pPr>
      <w:r>
        <w:rPr>
          <w:color w:val="000000" w:themeColor="text1"/>
        </w:rPr>
        <w:t xml:space="preserve">Dara </w:t>
      </w:r>
      <w:proofErr w:type="spellStart"/>
      <w:r>
        <w:rPr>
          <w:color w:val="000000" w:themeColor="text1"/>
        </w:rPr>
        <w:t>Schlueter</w:t>
      </w:r>
      <w:proofErr w:type="spellEnd"/>
    </w:p>
    <w:p w14:paraId="0A594281" w14:textId="77777777" w:rsidR="00C35350" w:rsidRDefault="00C35350" w:rsidP="00C35350">
      <w:pPr>
        <w:spacing w:line="240" w:lineRule="auto"/>
        <w:ind w:left="0" w:firstLine="360"/>
        <w:rPr>
          <w:color w:val="000000" w:themeColor="text1"/>
        </w:rPr>
      </w:pPr>
      <w:r>
        <w:rPr>
          <w:color w:val="000000" w:themeColor="text1"/>
        </w:rPr>
        <w:t>Senior Associate, Public Health Research and Evaluation</w:t>
      </w:r>
    </w:p>
    <w:p w14:paraId="1D58FD8C" w14:textId="77777777" w:rsidR="00C35350" w:rsidRDefault="00C35350" w:rsidP="00C35350">
      <w:pPr>
        <w:spacing w:line="240" w:lineRule="auto"/>
        <w:ind w:left="0" w:firstLine="360"/>
        <w:rPr>
          <w:color w:val="000000" w:themeColor="text1"/>
        </w:rPr>
      </w:pPr>
      <w:r>
        <w:rPr>
          <w:bCs/>
          <w:color w:val="000000" w:themeColor="text1"/>
        </w:rPr>
        <w:t>ICF International</w:t>
      </w:r>
    </w:p>
    <w:p w14:paraId="7A039D8D" w14:textId="77777777" w:rsidR="00C35350" w:rsidRDefault="00C35350" w:rsidP="00C35350">
      <w:pPr>
        <w:spacing w:line="240" w:lineRule="auto"/>
        <w:ind w:left="0" w:firstLine="360"/>
        <w:rPr>
          <w:color w:val="000000" w:themeColor="text1"/>
        </w:rPr>
      </w:pPr>
      <w:r>
        <w:rPr>
          <w:color w:val="000000" w:themeColor="text1"/>
        </w:rPr>
        <w:t xml:space="preserve">3 Corporate </w:t>
      </w:r>
      <w:proofErr w:type="gramStart"/>
      <w:r>
        <w:rPr>
          <w:color w:val="000000" w:themeColor="text1"/>
        </w:rPr>
        <w:t>Square</w:t>
      </w:r>
      <w:proofErr w:type="gramEnd"/>
      <w:r>
        <w:rPr>
          <w:color w:val="000000" w:themeColor="text1"/>
        </w:rPr>
        <w:t>, Suite 370, Atlanta, GA 30329</w:t>
      </w:r>
    </w:p>
    <w:p w14:paraId="77C0252D" w14:textId="77777777" w:rsidR="00C35350" w:rsidRDefault="00C35350" w:rsidP="00C35350">
      <w:pPr>
        <w:spacing w:line="240" w:lineRule="auto"/>
        <w:ind w:left="0" w:firstLine="360"/>
        <w:rPr>
          <w:color w:val="000000" w:themeColor="text1"/>
        </w:rPr>
      </w:pPr>
      <w:r>
        <w:rPr>
          <w:color w:val="000000" w:themeColor="text1"/>
        </w:rPr>
        <w:t>Email: Dara.Schlueter@icfi.com</w:t>
      </w:r>
    </w:p>
    <w:p w14:paraId="215F3266" w14:textId="77777777" w:rsidR="00C35350" w:rsidRDefault="00C35350" w:rsidP="00C35350">
      <w:pPr>
        <w:spacing w:line="240" w:lineRule="auto"/>
        <w:rPr>
          <w:color w:val="000000" w:themeColor="text1"/>
        </w:rPr>
      </w:pPr>
    </w:p>
    <w:p w14:paraId="5C1D410E" w14:textId="77777777" w:rsidR="00C35350" w:rsidRDefault="00C35350" w:rsidP="00C35350">
      <w:pPr>
        <w:spacing w:line="240" w:lineRule="auto"/>
        <w:rPr>
          <w:color w:val="000000" w:themeColor="text1"/>
        </w:rPr>
      </w:pPr>
    </w:p>
    <w:p w14:paraId="6955934B" w14:textId="77777777" w:rsidR="00C35350" w:rsidRDefault="00C35350" w:rsidP="00C35350">
      <w:pPr>
        <w:pStyle w:val="Heading3"/>
        <w:spacing w:line="240" w:lineRule="auto"/>
        <w:rPr>
          <w:color w:val="000000" w:themeColor="text1"/>
        </w:rPr>
      </w:pPr>
    </w:p>
    <w:p w14:paraId="1300A2F4" w14:textId="77777777" w:rsidR="00C35350" w:rsidRDefault="00C35350" w:rsidP="00C35350">
      <w:pPr>
        <w:pStyle w:val="Heading3"/>
        <w:spacing w:line="240" w:lineRule="auto"/>
        <w:rPr>
          <w:color w:val="000000" w:themeColor="text1"/>
        </w:rPr>
      </w:pPr>
    </w:p>
    <w:p w14:paraId="1A78240A" w14:textId="77777777" w:rsidR="00C35350" w:rsidRDefault="00C35350" w:rsidP="00C35350">
      <w:pPr>
        <w:pStyle w:val="Heading3"/>
        <w:spacing w:line="240" w:lineRule="auto"/>
        <w:rPr>
          <w:color w:val="000000" w:themeColor="text1"/>
        </w:rPr>
      </w:pPr>
      <w:r>
        <w:rPr>
          <w:color w:val="000000" w:themeColor="text1"/>
        </w:rPr>
        <w:t>LIST OF ATTACHMENTS – Section B</w:t>
      </w:r>
    </w:p>
    <w:p w14:paraId="0E0B4C5B" w14:textId="77777777" w:rsidR="00C35350" w:rsidRDefault="00C35350" w:rsidP="00C35350">
      <w:pPr>
        <w:spacing w:line="240" w:lineRule="auto"/>
        <w:ind w:left="0"/>
        <w:rPr>
          <w:color w:val="000000" w:themeColor="text1"/>
        </w:rPr>
      </w:pPr>
    </w:p>
    <w:p w14:paraId="627D05CA" w14:textId="477F64EF" w:rsidR="00C35350" w:rsidRDefault="00C35350" w:rsidP="00C35350">
      <w:pPr>
        <w:rPr>
          <w:b/>
        </w:rPr>
      </w:pPr>
      <w:r>
        <w:rPr>
          <w:b/>
        </w:rPr>
        <w:t xml:space="preserve">Att. </w:t>
      </w:r>
      <w:r w:rsidR="00915DC0">
        <w:rPr>
          <w:rFonts w:cs="Times New Roman"/>
          <w:b/>
        </w:rPr>
        <w:t xml:space="preserve">G </w:t>
      </w:r>
      <w:r>
        <w:rPr>
          <w:rFonts w:cs="Times New Roman"/>
          <w:b/>
        </w:rPr>
        <w:t xml:space="preserve">- </w:t>
      </w:r>
      <w:r>
        <w:rPr>
          <w:b/>
        </w:rPr>
        <w:t>Advance Notification Email</w:t>
      </w:r>
    </w:p>
    <w:p w14:paraId="71540234" w14:textId="7D50075A" w:rsidR="00C35350" w:rsidRDefault="00C35350" w:rsidP="00C35350">
      <w:pPr>
        <w:rPr>
          <w:rFonts w:cs="Times New Roman"/>
          <w:b/>
        </w:rPr>
      </w:pPr>
      <w:r>
        <w:rPr>
          <w:rFonts w:cs="Times New Roman"/>
          <w:b/>
        </w:rPr>
        <w:t xml:space="preserve">Att. </w:t>
      </w:r>
      <w:r w:rsidR="00915DC0">
        <w:rPr>
          <w:rFonts w:cs="Times New Roman"/>
          <w:b/>
        </w:rPr>
        <w:t>H</w:t>
      </w:r>
      <w:r>
        <w:rPr>
          <w:rFonts w:cs="Times New Roman"/>
          <w:b/>
        </w:rPr>
        <w:t>– Interview Invitation Email</w:t>
      </w:r>
    </w:p>
    <w:p w14:paraId="3EE56D57" w14:textId="0237026F" w:rsidR="00C35350" w:rsidRDefault="00C35350" w:rsidP="00C35350">
      <w:pPr>
        <w:rPr>
          <w:rFonts w:cs="Times New Roman"/>
          <w:b/>
        </w:rPr>
      </w:pPr>
      <w:r>
        <w:rPr>
          <w:rFonts w:cs="Times New Roman"/>
          <w:b/>
        </w:rPr>
        <w:t xml:space="preserve">Att. </w:t>
      </w:r>
      <w:r w:rsidR="00915DC0">
        <w:rPr>
          <w:rFonts w:cs="Times New Roman"/>
          <w:b/>
        </w:rPr>
        <w:t xml:space="preserve">I </w:t>
      </w:r>
      <w:r>
        <w:rPr>
          <w:rFonts w:cs="Times New Roman"/>
          <w:b/>
        </w:rPr>
        <w:t>– Interview Confirmation Email</w:t>
      </w:r>
    </w:p>
    <w:p w14:paraId="02A08464" w14:textId="1364FDD2" w:rsidR="00C35350" w:rsidRDefault="00C35350" w:rsidP="00C35350">
      <w:pPr>
        <w:rPr>
          <w:rFonts w:cs="Times New Roman"/>
          <w:b/>
        </w:rPr>
      </w:pPr>
      <w:r>
        <w:rPr>
          <w:rFonts w:cs="Times New Roman"/>
          <w:b/>
        </w:rPr>
        <w:t xml:space="preserve">Att. </w:t>
      </w:r>
      <w:r w:rsidR="00915DC0">
        <w:rPr>
          <w:rFonts w:cs="Times New Roman"/>
          <w:b/>
        </w:rPr>
        <w:t>J</w:t>
      </w:r>
      <w:r>
        <w:rPr>
          <w:rFonts w:cs="Times New Roman"/>
          <w:b/>
        </w:rPr>
        <w:t xml:space="preserve"> – Participant Reminder Email</w:t>
      </w:r>
    </w:p>
    <w:p w14:paraId="6303A560" w14:textId="246A1C30" w:rsidR="00C35350" w:rsidRDefault="00C35350" w:rsidP="00C35350">
      <w:pPr>
        <w:rPr>
          <w:rFonts w:cs="Times New Roman"/>
        </w:rPr>
      </w:pPr>
      <w:r>
        <w:rPr>
          <w:rFonts w:cs="Times New Roman"/>
          <w:b/>
        </w:rPr>
        <w:t xml:space="preserve">Att. </w:t>
      </w:r>
      <w:r w:rsidR="00915DC0">
        <w:rPr>
          <w:rFonts w:cs="Times New Roman"/>
          <w:b/>
        </w:rPr>
        <w:t>K</w:t>
      </w:r>
      <w:r>
        <w:rPr>
          <w:rFonts w:cs="Times New Roman"/>
          <w:b/>
        </w:rPr>
        <w:t xml:space="preserve"> </w:t>
      </w:r>
      <w:r>
        <w:rPr>
          <w:rFonts w:cs="Times New Roman"/>
          <w:b/>
        </w:rPr>
        <w:t>– Follow-up Invitation Email</w:t>
      </w:r>
    </w:p>
    <w:p w14:paraId="1DEC44CC" w14:textId="77777777" w:rsidR="00C35350" w:rsidRDefault="00C35350" w:rsidP="00C35350">
      <w:pPr>
        <w:ind w:left="0"/>
        <w:rPr>
          <w:rFonts w:cs="Times New Roman"/>
          <w:b/>
        </w:rPr>
      </w:pPr>
    </w:p>
    <w:p w14:paraId="7ABEA208" w14:textId="77777777" w:rsidR="00667C89" w:rsidRPr="00E27BE8" w:rsidRDefault="00667C89" w:rsidP="00AE4D73">
      <w:pPr>
        <w:spacing w:line="240" w:lineRule="auto"/>
        <w:rPr>
          <w:color w:val="000000" w:themeColor="text1"/>
        </w:rPr>
      </w:pPr>
      <w:bookmarkStart w:id="0" w:name="_GoBack"/>
      <w:bookmarkEnd w:id="0"/>
    </w:p>
    <w:sectPr w:rsidR="00667C89" w:rsidRPr="00E27BE8" w:rsidSect="003E5D57">
      <w:headerReference w:type="default" r:id="rId19"/>
      <w:footerReference w:type="default" r:id="rId2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767838" w14:textId="77777777" w:rsidR="0076508A" w:rsidRDefault="0076508A" w:rsidP="00BC6896">
      <w:r>
        <w:separator/>
      </w:r>
    </w:p>
    <w:p w14:paraId="04EEC22E" w14:textId="77777777" w:rsidR="0076508A" w:rsidRDefault="0076508A" w:rsidP="00BC6896"/>
  </w:endnote>
  <w:endnote w:type="continuationSeparator" w:id="0">
    <w:p w14:paraId="3E1BF9F8" w14:textId="77777777" w:rsidR="0076508A" w:rsidRDefault="0076508A" w:rsidP="00BC6896">
      <w:r>
        <w:continuationSeparator/>
      </w:r>
    </w:p>
    <w:p w14:paraId="52517C61" w14:textId="77777777" w:rsidR="0076508A" w:rsidRDefault="0076508A"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14:paraId="7ABEA296" w14:textId="77777777" w:rsidR="00783A3C" w:rsidRDefault="00783A3C" w:rsidP="00BC6896">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323645">
              <w:rPr>
                <w:b/>
                <w:noProof/>
              </w:rPr>
              <w:t>5</w:t>
            </w:r>
            <w:r>
              <w:rPr>
                <w:b/>
                <w:sz w:val="24"/>
                <w:szCs w:val="24"/>
              </w:rPr>
              <w:fldChar w:fldCharType="end"/>
            </w:r>
            <w:r>
              <w:t xml:space="preserve"> of </w:t>
            </w:r>
            <w:r>
              <w:rPr>
                <w:b/>
                <w:szCs w:val="24"/>
              </w:rPr>
              <w:t>3</w:t>
            </w:r>
          </w:p>
        </w:sdtContent>
      </w:sdt>
    </w:sdtContent>
  </w:sdt>
  <w:p w14:paraId="7ABEA297" w14:textId="77777777" w:rsidR="00783A3C" w:rsidRDefault="00783A3C" w:rsidP="00BC6896">
    <w:pPr>
      <w:pStyle w:val="Footer"/>
    </w:pPr>
  </w:p>
  <w:p w14:paraId="7ABEA298" w14:textId="77777777" w:rsidR="006075F6" w:rsidRDefault="006075F6" w:rsidP="00BC68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FEAC49" w14:textId="77777777" w:rsidR="0076508A" w:rsidRDefault="0076508A" w:rsidP="00BC6896">
      <w:r>
        <w:separator/>
      </w:r>
    </w:p>
    <w:p w14:paraId="3A247112" w14:textId="77777777" w:rsidR="0076508A" w:rsidRDefault="0076508A" w:rsidP="00BC6896"/>
  </w:footnote>
  <w:footnote w:type="continuationSeparator" w:id="0">
    <w:p w14:paraId="17B05CA9" w14:textId="77777777" w:rsidR="0076508A" w:rsidRDefault="0076508A" w:rsidP="00BC6896">
      <w:r>
        <w:continuationSeparator/>
      </w:r>
    </w:p>
    <w:p w14:paraId="63DF78DD" w14:textId="77777777" w:rsidR="0076508A" w:rsidRDefault="0076508A" w:rsidP="00BC68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EA294" w14:textId="77777777" w:rsidR="00783A3C" w:rsidRPr="00716F94" w:rsidRDefault="00783A3C" w:rsidP="00BC6896">
    <w:pPr>
      <w:pStyle w:val="Header"/>
      <w:rPr>
        <w:color w:val="0033CC"/>
      </w:rPr>
    </w:pPr>
    <w:r>
      <w:tab/>
    </w:r>
  </w:p>
  <w:p w14:paraId="7ABEA295" w14:textId="77777777" w:rsidR="006075F6" w:rsidRDefault="006075F6" w:rsidP="00BC68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FE1ACB"/>
    <w:multiLevelType w:val="hybridMultilevel"/>
    <w:tmpl w:val="C9C88E86"/>
    <w:lvl w:ilvl="0" w:tplc="04090011">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5">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B2686E"/>
    <w:multiLevelType w:val="hybridMultilevel"/>
    <w:tmpl w:val="45FAFA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EC4171"/>
    <w:multiLevelType w:val="hybridMultilevel"/>
    <w:tmpl w:val="B3A40DCC"/>
    <w:lvl w:ilvl="0" w:tplc="0409000F">
      <w:start w:val="1"/>
      <w:numFmt w:val="decimal"/>
      <w:lvlText w:val="%1."/>
      <w:lvlJc w:val="left"/>
      <w:pPr>
        <w:ind w:left="720" w:hanging="360"/>
      </w:pPr>
      <w:rPr>
        <w:rFonts w:cs="Times New Roman"/>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6E3552"/>
    <w:multiLevelType w:val="hybridMultilevel"/>
    <w:tmpl w:val="9452AE8C"/>
    <w:lvl w:ilvl="0" w:tplc="9B2A23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9">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FF3700"/>
    <w:multiLevelType w:val="hybridMultilevel"/>
    <w:tmpl w:val="832819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0C6AF8"/>
    <w:multiLevelType w:val="hybridMultilevel"/>
    <w:tmpl w:val="2CF63126"/>
    <w:lvl w:ilvl="0" w:tplc="E4D456D2">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6"/>
  </w:num>
  <w:num w:numId="3">
    <w:abstractNumId w:val="23"/>
  </w:num>
  <w:num w:numId="4">
    <w:abstractNumId w:val="13"/>
  </w:num>
  <w:num w:numId="5">
    <w:abstractNumId w:val="18"/>
  </w:num>
  <w:num w:numId="6">
    <w:abstractNumId w:val="9"/>
  </w:num>
  <w:num w:numId="7">
    <w:abstractNumId w:val="0"/>
  </w:num>
  <w:num w:numId="8">
    <w:abstractNumId w:val="6"/>
  </w:num>
  <w:num w:numId="9">
    <w:abstractNumId w:val="12"/>
  </w:num>
  <w:num w:numId="10">
    <w:abstractNumId w:val="19"/>
  </w:num>
  <w:num w:numId="11">
    <w:abstractNumId w:val="2"/>
  </w:num>
  <w:num w:numId="12">
    <w:abstractNumId w:val="22"/>
  </w:num>
  <w:num w:numId="13">
    <w:abstractNumId w:val="7"/>
  </w:num>
  <w:num w:numId="14">
    <w:abstractNumId w:val="3"/>
  </w:num>
  <w:num w:numId="15">
    <w:abstractNumId w:val="20"/>
  </w:num>
  <w:num w:numId="16">
    <w:abstractNumId w:val="25"/>
  </w:num>
  <w:num w:numId="17">
    <w:abstractNumId w:val="10"/>
  </w:num>
  <w:num w:numId="18">
    <w:abstractNumId w:val="14"/>
  </w:num>
  <w:num w:numId="19">
    <w:abstractNumId w:val="5"/>
  </w:num>
  <w:num w:numId="20">
    <w:abstractNumId w:val="15"/>
  </w:num>
  <w:num w:numId="21">
    <w:abstractNumId w:val="24"/>
  </w:num>
  <w:num w:numId="22">
    <w:abstractNumId w:val="11"/>
    <w:lvlOverride w:ilvl="0">
      <w:startOverride w:val="1"/>
    </w:lvlOverride>
    <w:lvlOverride w:ilvl="1"/>
    <w:lvlOverride w:ilvl="2"/>
    <w:lvlOverride w:ilvl="3"/>
    <w:lvlOverride w:ilvl="4"/>
    <w:lvlOverride w:ilvl="5"/>
    <w:lvlOverride w:ilvl="6"/>
    <w:lvlOverride w:ilvl="7"/>
    <w:lvlOverride w:ilvl="8"/>
  </w:num>
  <w:num w:numId="23">
    <w:abstractNumId w:val="17"/>
  </w:num>
  <w:num w:numId="24">
    <w:abstractNumId w:val="4"/>
  </w:num>
  <w:num w:numId="25">
    <w:abstractNumId w:val="8"/>
  </w:num>
  <w:num w:numId="26">
    <w:abstractNumId w:val="21"/>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59D3"/>
    <w:rsid w:val="00010420"/>
    <w:rsid w:val="00011A98"/>
    <w:rsid w:val="00011F8D"/>
    <w:rsid w:val="000130B4"/>
    <w:rsid w:val="00014361"/>
    <w:rsid w:val="00022BDD"/>
    <w:rsid w:val="0004521C"/>
    <w:rsid w:val="000474FB"/>
    <w:rsid w:val="00052A34"/>
    <w:rsid w:val="00053A92"/>
    <w:rsid w:val="000557D0"/>
    <w:rsid w:val="0005605E"/>
    <w:rsid w:val="00057F36"/>
    <w:rsid w:val="00062F86"/>
    <w:rsid w:val="0008736B"/>
    <w:rsid w:val="000A1F30"/>
    <w:rsid w:val="000C3890"/>
    <w:rsid w:val="000C6EC4"/>
    <w:rsid w:val="000D7594"/>
    <w:rsid w:val="000D7EB6"/>
    <w:rsid w:val="000E6577"/>
    <w:rsid w:val="000E7A19"/>
    <w:rsid w:val="00104A1B"/>
    <w:rsid w:val="001177DD"/>
    <w:rsid w:val="00125976"/>
    <w:rsid w:val="001308EB"/>
    <w:rsid w:val="001412D4"/>
    <w:rsid w:val="00144F64"/>
    <w:rsid w:val="00151567"/>
    <w:rsid w:val="00152294"/>
    <w:rsid w:val="001527B0"/>
    <w:rsid w:val="00163E17"/>
    <w:rsid w:val="00166F9E"/>
    <w:rsid w:val="00180990"/>
    <w:rsid w:val="00187D5A"/>
    <w:rsid w:val="001972D7"/>
    <w:rsid w:val="001A28F6"/>
    <w:rsid w:val="001A7D0E"/>
    <w:rsid w:val="001B2831"/>
    <w:rsid w:val="001C0493"/>
    <w:rsid w:val="001C28AD"/>
    <w:rsid w:val="001C2D05"/>
    <w:rsid w:val="001D7FCB"/>
    <w:rsid w:val="001E2B99"/>
    <w:rsid w:val="001E5828"/>
    <w:rsid w:val="001E69B6"/>
    <w:rsid w:val="001F1D36"/>
    <w:rsid w:val="001F4DBB"/>
    <w:rsid w:val="001F7C89"/>
    <w:rsid w:val="0020312D"/>
    <w:rsid w:val="0020495F"/>
    <w:rsid w:val="00206E33"/>
    <w:rsid w:val="00210519"/>
    <w:rsid w:val="00230CEF"/>
    <w:rsid w:val="00237458"/>
    <w:rsid w:val="00241B17"/>
    <w:rsid w:val="00241C81"/>
    <w:rsid w:val="00257A1C"/>
    <w:rsid w:val="00271785"/>
    <w:rsid w:val="0027234C"/>
    <w:rsid w:val="00272E03"/>
    <w:rsid w:val="00281795"/>
    <w:rsid w:val="002850E3"/>
    <w:rsid w:val="00287E2F"/>
    <w:rsid w:val="002A1948"/>
    <w:rsid w:val="002C0877"/>
    <w:rsid w:val="002C2AE2"/>
    <w:rsid w:val="002C5C4A"/>
    <w:rsid w:val="002D0DCE"/>
    <w:rsid w:val="002E2B10"/>
    <w:rsid w:val="002F1502"/>
    <w:rsid w:val="002F169D"/>
    <w:rsid w:val="002F2069"/>
    <w:rsid w:val="002F54EC"/>
    <w:rsid w:val="002F6F92"/>
    <w:rsid w:val="00301DB2"/>
    <w:rsid w:val="003041AD"/>
    <w:rsid w:val="003104F8"/>
    <w:rsid w:val="0031279F"/>
    <w:rsid w:val="00312D63"/>
    <w:rsid w:val="00323645"/>
    <w:rsid w:val="00327D05"/>
    <w:rsid w:val="00330FC5"/>
    <w:rsid w:val="00335EBD"/>
    <w:rsid w:val="00336D96"/>
    <w:rsid w:val="00344F07"/>
    <w:rsid w:val="003469C8"/>
    <w:rsid w:val="00355EA4"/>
    <w:rsid w:val="003635BE"/>
    <w:rsid w:val="00366B5E"/>
    <w:rsid w:val="00372844"/>
    <w:rsid w:val="00383725"/>
    <w:rsid w:val="0038560A"/>
    <w:rsid w:val="003A3879"/>
    <w:rsid w:val="003C124C"/>
    <w:rsid w:val="003C2504"/>
    <w:rsid w:val="003C31C9"/>
    <w:rsid w:val="003C4961"/>
    <w:rsid w:val="003C6DCF"/>
    <w:rsid w:val="003C7C5D"/>
    <w:rsid w:val="003D05E1"/>
    <w:rsid w:val="003D0AD2"/>
    <w:rsid w:val="003D11FB"/>
    <w:rsid w:val="003E4E7D"/>
    <w:rsid w:val="003E5D57"/>
    <w:rsid w:val="003F5913"/>
    <w:rsid w:val="003F68DA"/>
    <w:rsid w:val="004024F8"/>
    <w:rsid w:val="0041159A"/>
    <w:rsid w:val="004305A8"/>
    <w:rsid w:val="0043417A"/>
    <w:rsid w:val="00443804"/>
    <w:rsid w:val="00443CA0"/>
    <w:rsid w:val="00450E14"/>
    <w:rsid w:val="00462C65"/>
    <w:rsid w:val="00467B14"/>
    <w:rsid w:val="00474EDA"/>
    <w:rsid w:val="0047536D"/>
    <w:rsid w:val="0048209F"/>
    <w:rsid w:val="004824FA"/>
    <w:rsid w:val="00484011"/>
    <w:rsid w:val="004841F1"/>
    <w:rsid w:val="004A1E3A"/>
    <w:rsid w:val="004A4333"/>
    <w:rsid w:val="004C4AEA"/>
    <w:rsid w:val="004D0767"/>
    <w:rsid w:val="004D2F1B"/>
    <w:rsid w:val="004D3E0A"/>
    <w:rsid w:val="004E003C"/>
    <w:rsid w:val="004E16EB"/>
    <w:rsid w:val="004E6665"/>
    <w:rsid w:val="004F634E"/>
    <w:rsid w:val="004F67A8"/>
    <w:rsid w:val="00513147"/>
    <w:rsid w:val="00522A50"/>
    <w:rsid w:val="00527225"/>
    <w:rsid w:val="0053557D"/>
    <w:rsid w:val="005443D4"/>
    <w:rsid w:val="005463DE"/>
    <w:rsid w:val="00546DC2"/>
    <w:rsid w:val="005542E8"/>
    <w:rsid w:val="00556347"/>
    <w:rsid w:val="00556630"/>
    <w:rsid w:val="0055686D"/>
    <w:rsid w:val="005800EE"/>
    <w:rsid w:val="00581F49"/>
    <w:rsid w:val="005869D6"/>
    <w:rsid w:val="005942E0"/>
    <w:rsid w:val="005A33F6"/>
    <w:rsid w:val="005A59E5"/>
    <w:rsid w:val="005B0D44"/>
    <w:rsid w:val="005B7440"/>
    <w:rsid w:val="005C6E9D"/>
    <w:rsid w:val="005E0192"/>
    <w:rsid w:val="005E2150"/>
    <w:rsid w:val="005E2995"/>
    <w:rsid w:val="005F3FEF"/>
    <w:rsid w:val="00601392"/>
    <w:rsid w:val="00603D86"/>
    <w:rsid w:val="006075F6"/>
    <w:rsid w:val="00607F7C"/>
    <w:rsid w:val="006102DA"/>
    <w:rsid w:val="00621F93"/>
    <w:rsid w:val="00630879"/>
    <w:rsid w:val="006315A3"/>
    <w:rsid w:val="00635CEF"/>
    <w:rsid w:val="00637CC1"/>
    <w:rsid w:val="006466BA"/>
    <w:rsid w:val="0065551E"/>
    <w:rsid w:val="006579A2"/>
    <w:rsid w:val="00667C89"/>
    <w:rsid w:val="0067058F"/>
    <w:rsid w:val="006711EE"/>
    <w:rsid w:val="006809BB"/>
    <w:rsid w:val="006809FD"/>
    <w:rsid w:val="00691CAB"/>
    <w:rsid w:val="00691D1F"/>
    <w:rsid w:val="00697BAE"/>
    <w:rsid w:val="006A7F33"/>
    <w:rsid w:val="006B0DB7"/>
    <w:rsid w:val="006B4DDC"/>
    <w:rsid w:val="006B5E55"/>
    <w:rsid w:val="006C4912"/>
    <w:rsid w:val="006D1DAD"/>
    <w:rsid w:val="006D25A1"/>
    <w:rsid w:val="006E6AB2"/>
    <w:rsid w:val="006F6856"/>
    <w:rsid w:val="0071190E"/>
    <w:rsid w:val="007145D0"/>
    <w:rsid w:val="00716F94"/>
    <w:rsid w:val="00723466"/>
    <w:rsid w:val="00760E12"/>
    <w:rsid w:val="00763CF3"/>
    <w:rsid w:val="0076508A"/>
    <w:rsid w:val="00770839"/>
    <w:rsid w:val="00772293"/>
    <w:rsid w:val="00775D03"/>
    <w:rsid w:val="00783A3C"/>
    <w:rsid w:val="00783C75"/>
    <w:rsid w:val="00784619"/>
    <w:rsid w:val="0078627B"/>
    <w:rsid w:val="00794E32"/>
    <w:rsid w:val="007B305A"/>
    <w:rsid w:val="007D2256"/>
    <w:rsid w:val="007E1D84"/>
    <w:rsid w:val="007E428B"/>
    <w:rsid w:val="007F7FBF"/>
    <w:rsid w:val="00800993"/>
    <w:rsid w:val="00815C7D"/>
    <w:rsid w:val="00817941"/>
    <w:rsid w:val="008261AB"/>
    <w:rsid w:val="00834584"/>
    <w:rsid w:val="00835CA7"/>
    <w:rsid w:val="008370D4"/>
    <w:rsid w:val="008414AD"/>
    <w:rsid w:val="0084170C"/>
    <w:rsid w:val="008428D9"/>
    <w:rsid w:val="00877584"/>
    <w:rsid w:val="00884DB9"/>
    <w:rsid w:val="008918AB"/>
    <w:rsid w:val="0089676F"/>
    <w:rsid w:val="008B6F8C"/>
    <w:rsid w:val="008C67D2"/>
    <w:rsid w:val="008C7B9F"/>
    <w:rsid w:val="008E0683"/>
    <w:rsid w:val="008E0FF8"/>
    <w:rsid w:val="008F650A"/>
    <w:rsid w:val="00902DD9"/>
    <w:rsid w:val="009079DA"/>
    <w:rsid w:val="00911486"/>
    <w:rsid w:val="009129CA"/>
    <w:rsid w:val="00915DC0"/>
    <w:rsid w:val="00916127"/>
    <w:rsid w:val="009206B6"/>
    <w:rsid w:val="00920DF9"/>
    <w:rsid w:val="0092450C"/>
    <w:rsid w:val="009263C1"/>
    <w:rsid w:val="00931C02"/>
    <w:rsid w:val="00933856"/>
    <w:rsid w:val="00935FFD"/>
    <w:rsid w:val="0093783F"/>
    <w:rsid w:val="00941B4F"/>
    <w:rsid w:val="0096157C"/>
    <w:rsid w:val="00963CE3"/>
    <w:rsid w:val="00964F18"/>
    <w:rsid w:val="00972E21"/>
    <w:rsid w:val="00974424"/>
    <w:rsid w:val="009759F3"/>
    <w:rsid w:val="00977B59"/>
    <w:rsid w:val="00987F76"/>
    <w:rsid w:val="00993088"/>
    <w:rsid w:val="0099664F"/>
    <w:rsid w:val="00997D5D"/>
    <w:rsid w:val="009A0447"/>
    <w:rsid w:val="009B034F"/>
    <w:rsid w:val="009B4A51"/>
    <w:rsid w:val="009B666A"/>
    <w:rsid w:val="009C2622"/>
    <w:rsid w:val="009C28B1"/>
    <w:rsid w:val="009C61AD"/>
    <w:rsid w:val="009D137B"/>
    <w:rsid w:val="009D373D"/>
    <w:rsid w:val="009D69D0"/>
    <w:rsid w:val="009E1D05"/>
    <w:rsid w:val="009F7283"/>
    <w:rsid w:val="00A021C3"/>
    <w:rsid w:val="00A11B0C"/>
    <w:rsid w:val="00A211BC"/>
    <w:rsid w:val="00A305CE"/>
    <w:rsid w:val="00A33B35"/>
    <w:rsid w:val="00A36419"/>
    <w:rsid w:val="00A479A0"/>
    <w:rsid w:val="00A52DCF"/>
    <w:rsid w:val="00A578C2"/>
    <w:rsid w:val="00A72652"/>
    <w:rsid w:val="00A75D1C"/>
    <w:rsid w:val="00A809AA"/>
    <w:rsid w:val="00A8184F"/>
    <w:rsid w:val="00A83863"/>
    <w:rsid w:val="00A849B3"/>
    <w:rsid w:val="00A8510D"/>
    <w:rsid w:val="00A86AF3"/>
    <w:rsid w:val="00A90BDC"/>
    <w:rsid w:val="00A94C76"/>
    <w:rsid w:val="00A95477"/>
    <w:rsid w:val="00A975A9"/>
    <w:rsid w:val="00AA3192"/>
    <w:rsid w:val="00AB0A46"/>
    <w:rsid w:val="00AB3608"/>
    <w:rsid w:val="00AB40D3"/>
    <w:rsid w:val="00AC5C48"/>
    <w:rsid w:val="00AD3757"/>
    <w:rsid w:val="00AD7954"/>
    <w:rsid w:val="00AE4D73"/>
    <w:rsid w:val="00AF0CF4"/>
    <w:rsid w:val="00AF2252"/>
    <w:rsid w:val="00B1129F"/>
    <w:rsid w:val="00B11D61"/>
    <w:rsid w:val="00B12F51"/>
    <w:rsid w:val="00B2751E"/>
    <w:rsid w:val="00B363F4"/>
    <w:rsid w:val="00B3650C"/>
    <w:rsid w:val="00B40796"/>
    <w:rsid w:val="00B50A2B"/>
    <w:rsid w:val="00B607E5"/>
    <w:rsid w:val="00B64BFA"/>
    <w:rsid w:val="00B744DE"/>
    <w:rsid w:val="00B74633"/>
    <w:rsid w:val="00B8216F"/>
    <w:rsid w:val="00B853F1"/>
    <w:rsid w:val="00B85DE4"/>
    <w:rsid w:val="00B91A31"/>
    <w:rsid w:val="00BA6DB4"/>
    <w:rsid w:val="00BC3F3C"/>
    <w:rsid w:val="00BC5BB2"/>
    <w:rsid w:val="00BC6896"/>
    <w:rsid w:val="00BD1F6E"/>
    <w:rsid w:val="00BD2885"/>
    <w:rsid w:val="00BD7F75"/>
    <w:rsid w:val="00BF0C63"/>
    <w:rsid w:val="00BF3F54"/>
    <w:rsid w:val="00C00697"/>
    <w:rsid w:val="00C0376C"/>
    <w:rsid w:val="00C06D77"/>
    <w:rsid w:val="00C14BA6"/>
    <w:rsid w:val="00C347E7"/>
    <w:rsid w:val="00C3485C"/>
    <w:rsid w:val="00C35350"/>
    <w:rsid w:val="00C420D4"/>
    <w:rsid w:val="00C55F9C"/>
    <w:rsid w:val="00C835A0"/>
    <w:rsid w:val="00C84DC3"/>
    <w:rsid w:val="00C927FB"/>
    <w:rsid w:val="00CA125F"/>
    <w:rsid w:val="00CA2004"/>
    <w:rsid w:val="00CB334D"/>
    <w:rsid w:val="00CB56D5"/>
    <w:rsid w:val="00CD0771"/>
    <w:rsid w:val="00CD0A30"/>
    <w:rsid w:val="00CD1EA8"/>
    <w:rsid w:val="00CE360E"/>
    <w:rsid w:val="00CF0CE8"/>
    <w:rsid w:val="00CF5ABD"/>
    <w:rsid w:val="00CF63CE"/>
    <w:rsid w:val="00CF65F9"/>
    <w:rsid w:val="00D0091B"/>
    <w:rsid w:val="00D067C1"/>
    <w:rsid w:val="00D068C6"/>
    <w:rsid w:val="00D13B13"/>
    <w:rsid w:val="00D16E78"/>
    <w:rsid w:val="00D201D3"/>
    <w:rsid w:val="00D26A64"/>
    <w:rsid w:val="00D328FA"/>
    <w:rsid w:val="00D4221A"/>
    <w:rsid w:val="00D52B9A"/>
    <w:rsid w:val="00D5367E"/>
    <w:rsid w:val="00D7285C"/>
    <w:rsid w:val="00D80CC7"/>
    <w:rsid w:val="00D861ED"/>
    <w:rsid w:val="00D873E0"/>
    <w:rsid w:val="00D94F8B"/>
    <w:rsid w:val="00D96E0E"/>
    <w:rsid w:val="00DA4EA9"/>
    <w:rsid w:val="00DA5988"/>
    <w:rsid w:val="00DC317C"/>
    <w:rsid w:val="00DC3A0B"/>
    <w:rsid w:val="00DC4FF2"/>
    <w:rsid w:val="00DC67CC"/>
    <w:rsid w:val="00DC79CC"/>
    <w:rsid w:val="00DE2411"/>
    <w:rsid w:val="00DE27ED"/>
    <w:rsid w:val="00DF713F"/>
    <w:rsid w:val="00E02CE2"/>
    <w:rsid w:val="00E134F4"/>
    <w:rsid w:val="00E216EB"/>
    <w:rsid w:val="00E23568"/>
    <w:rsid w:val="00E245B5"/>
    <w:rsid w:val="00E24C20"/>
    <w:rsid w:val="00E27BE8"/>
    <w:rsid w:val="00E33E1B"/>
    <w:rsid w:val="00E34D3E"/>
    <w:rsid w:val="00E444B0"/>
    <w:rsid w:val="00E81C5E"/>
    <w:rsid w:val="00E83B3C"/>
    <w:rsid w:val="00E8736B"/>
    <w:rsid w:val="00E90275"/>
    <w:rsid w:val="00E925D4"/>
    <w:rsid w:val="00E96A6B"/>
    <w:rsid w:val="00E97226"/>
    <w:rsid w:val="00EB63B3"/>
    <w:rsid w:val="00EB755A"/>
    <w:rsid w:val="00EC44EA"/>
    <w:rsid w:val="00ED6878"/>
    <w:rsid w:val="00EE0F5D"/>
    <w:rsid w:val="00EF0EC8"/>
    <w:rsid w:val="00EF163D"/>
    <w:rsid w:val="00EF33CD"/>
    <w:rsid w:val="00F05DE4"/>
    <w:rsid w:val="00F2267A"/>
    <w:rsid w:val="00F26C09"/>
    <w:rsid w:val="00F300CB"/>
    <w:rsid w:val="00F42C3A"/>
    <w:rsid w:val="00F52BCC"/>
    <w:rsid w:val="00F5313F"/>
    <w:rsid w:val="00F57581"/>
    <w:rsid w:val="00F7048E"/>
    <w:rsid w:val="00F7213A"/>
    <w:rsid w:val="00F725B5"/>
    <w:rsid w:val="00F81A48"/>
    <w:rsid w:val="00F85060"/>
    <w:rsid w:val="00FB26DD"/>
    <w:rsid w:val="00FD17C9"/>
    <w:rsid w:val="00FD1EF0"/>
    <w:rsid w:val="00FD2A5B"/>
    <w:rsid w:val="00FE0E1C"/>
    <w:rsid w:val="00FE6A5C"/>
    <w:rsid w:val="00FF09C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E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BC6896"/>
    <w:pPr>
      <w:numPr>
        <w:numId w:val="3"/>
      </w:numP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semiHidden/>
    <w:unhideWhenUsed/>
    <w:rsid w:val="00F725B5"/>
    <w:rPr>
      <w:sz w:val="16"/>
      <w:szCs w:val="16"/>
    </w:rPr>
  </w:style>
  <w:style w:type="paragraph" w:styleId="CommentText">
    <w:name w:val="annotation text"/>
    <w:basedOn w:val="Normal"/>
    <w:link w:val="CommentTextChar"/>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BC6896"/>
    <w:rPr>
      <w:rFonts w:asciiTheme="majorHAnsi" w:hAnsiTheme="majorHAns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BC6896"/>
    <w:pPr>
      <w:numPr>
        <w:numId w:val="3"/>
      </w:numP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semiHidden/>
    <w:unhideWhenUsed/>
    <w:rsid w:val="00F725B5"/>
    <w:rPr>
      <w:sz w:val="16"/>
      <w:szCs w:val="16"/>
    </w:rPr>
  </w:style>
  <w:style w:type="paragraph" w:styleId="CommentText">
    <w:name w:val="annotation text"/>
    <w:basedOn w:val="Normal"/>
    <w:link w:val="CommentTextChar"/>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BC6896"/>
    <w:rPr>
      <w:rFonts w:asciiTheme="majorHAnsi" w:hAnsiTheme="maj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500678">
      <w:bodyDiv w:val="1"/>
      <w:marLeft w:val="0"/>
      <w:marRight w:val="0"/>
      <w:marTop w:val="0"/>
      <w:marBottom w:val="0"/>
      <w:divBdr>
        <w:top w:val="none" w:sz="0" w:space="0" w:color="auto"/>
        <w:left w:val="none" w:sz="0" w:space="0" w:color="auto"/>
        <w:bottom w:val="none" w:sz="0" w:space="0" w:color="auto"/>
        <w:right w:val="none" w:sz="0" w:space="0" w:color="auto"/>
      </w:divBdr>
    </w:div>
    <w:div w:id="919633852">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87776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Tamara.Lamia@icfi.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nrider@nnphi.org" TargetMode="External"/><Relationship Id="rId2" Type="http://schemas.openxmlformats.org/officeDocument/2006/relationships/customXml" Target="../customXml/item2.xml"/><Relationship Id="rId16" Type="http://schemas.openxmlformats.org/officeDocument/2006/relationships/hyperlink" Target="mailto:gel2@cdc.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zdu5@cdc.gov"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gel2@cdc.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4b6d642acce4a69bb12b2a8776f908fb">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2acb54aff11e712fd2cd31498753e1a5"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enICPIEmail xmlns="bd99c180-279b-44c3-9486-dd050336677e">=&gt;Enter work email&lt;=</GenICPIEmail>
    <OSC_StateB_List_Of_Attachments xmlns="bd99c180-279b-44c3-9486-dd050336677e" xsi:nil="true"/>
    <OSC_StateB_Respondent_Universe_and_Sampling_Methods xmlns="bd99c180-279b-44c3-9486-dd050336677e" xsi:nil="true"/>
    <OSC_StateB_TableB_1_N1 xmlns="bd99c180-279b-44c3-9486-dd050336677e">0</OSC_StateB_TableB_1_N1>
    <OSC_StateB_TableB_1_N4 xmlns="bd99c180-279b-44c3-9486-dd050336677e">0</OSC_StateB_TableB_1_N4>
    <OSC_StateB_Test_of_Procedures_or_Methods_to_be_Undertaken xmlns="bd99c180-279b-44c3-9486-dd050336677e" xsi:nil="true"/>
    <GenICPICenterDivisionBranch xmlns="bd99c180-279b-44c3-9486-dd050336677e" xsi:nil="true"/>
    <GenICPIWorkMailingAddress xmlns="bd99c180-279b-44c3-9486-dd050336677e">=&gt;Enter work mailing address&lt;=</GenICPIWorkMailingAddress>
    <GenICPICDCID xmlns="bd99c180-279b-44c3-9486-dd050336677e" xsi:nil="true"/>
    <GenICNickname xmlns="15b1c282-9287-45cb-9b41-eae3a76919a0" xsi:nil="true"/>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1 xmlns="bd99c180-279b-44c3-9486-dd050336677e">=&gt;Enter entity 1 or delete this comment&lt;=</OSC_StateB_TableB_1_Entity1>
    <GenICPICIO xmlns="bd99c180-279b-44c3-9486-dd050336677e" xsi:nil="true"/>
    <GenICTitle xmlns="15b1c282-9287-45cb-9b41-eae3a76919a0">=&gt;Enter short but descriptive title reflecting the purpose of the data collection. &lt;=</GenICTitle>
    <OSC_StateB_TableB_1_Entity2 xmlns="bd99c180-279b-44c3-9486-dd050336677e">=&gt;Enter entity 2 or delete this comment&lt;=</OSC_StateB_TableB_1_Entity2>
    <OSC_StateB_TableB_1_Entity3 xmlns="bd99c180-279b-44c3-9486-dd050336677e">=&gt;Enter entity 3 or delete this comment&lt;=</OSC_StateB_TableB_1_Entity3>
    <OSC_StateB_TableB_1_N2 xmlns="bd99c180-279b-44c3-9486-dd050336677e">0</OSC_StateB_TableB_1_N2>
    <OSC_StateB_TableB_1_Entity4 xmlns="bd99c180-279b-44c3-9486-dd050336677e">=&gt;Enter entity 4 or delete this comment&lt;=</OSC_StateB_TableB_1_Entity4>
    <GenICPITitle xmlns="bd99c180-279b-44c3-9486-dd050336677e">=&gt;Enter official CDC title&lt;=</GenICPITitle>
    <OSC_StateB_TableB_1_Potential_Respondent4 xmlns="bd99c180-279b-44c3-9486-dd050336677e">=&gt;Enter potential respondent 4 or delete this comment&lt;=</OSC_StateB_TableB_1_Potential_Respondent4>
    <GenICPIDivisionOROfficeTitle xmlns="bd99c180-279b-44c3-9486-dd050336677e">=&gt;Enter division or office title&lt;=</GenICPIDivisionOROfficeTitle>
    <OSC_StateB_TableB_1_N3 xmlns="bd99c180-279b-44c3-9486-dd050336677e">0</OSC_StateB_TableB_1_N3>
    <OSC_StateB_Methods_to_Maximize_Response_Rates_and_Deal_with_Nonresponse xmlns="bd99c180-279b-44c3-9486-dd050336677e" xsi:nil="true"/>
    <OSC_StateB_TableB_1_Potential_Respondent2 xmlns="bd99c180-279b-44c3-9486-dd050336677e">=&gt;Enter potential respondent 2 or delete this comment&lt;=</OSC_StateB_TableB_1_Potential_Respondent2>
    <OSC_StateB_TableB_1_Potential_Respondent3 xmlns="bd99c180-279b-44c3-9486-dd050336677e">=&gt;Enter potential respondent 3 or delete this comment&lt;=</OSC_StateB_TableB_1_Potential_Respondent3>
    <GenICPIBranchOROfficeTitle xmlns="bd99c180-279b-44c3-9486-dd050336677e">=&gt;Enter branch or office title&lt;=</GenICPIBranchOROfficeTitle>
    <GenICPIFax xmlns="bd99c180-279b-44c3-9486-dd050336677e">=&gt;###-###-####&lt;=</GenICPIFax>
    <GenICPIPhone xmlns="bd99c180-279b-44c3-9486-dd050336677e">=&gt;###-###-####&lt;=</GenICPIPhone>
    <OSC_StateB_Date_Submitted xmlns="bd99c180-279b-44c3-9486-dd050336677e" xsi:nil="true"/>
    <OSC_StateB_TableB_1_N_Total xmlns="bd99c180-279b-44c3-9486-dd050336677e">0</OSC_StateB_TableB_1_N_Total>
    <OSC_StateB_TableB_1_Potential_Respondent1 xmlns="bd99c180-279b-44c3-9486-dd050336677e">=&gt;Enter potential respondent 1 or delete this comment&lt;=</OSC_StateB_TableB_1_Potential_Respondent1>
    <_dlc_DocId xmlns="b5c0ca00-073d-4463-9985-b654f14791fe">OSTLTSDOC-727-6</_dlc_DocId>
    <_dlc_DocIdUrl xmlns="b5c0ca00-073d-4463-9985-b654f14791fe">
      <Url>http://esp.cdc.gov/sites/ostlts/pip/osc/_layouts/DocIdRedir.aspx?ID=OSTLTSDOC-727-6</Url>
      <Description>OSTLTSDOC-727-6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C1D15-3AAA-44D2-8951-72EF7289CEA9}">
  <ds:schemaRefs>
    <ds:schemaRef ds:uri="http://schemas.microsoft.com/office/2006/metadata/customXsn"/>
  </ds:schemaRefs>
</ds:datastoreItem>
</file>

<file path=customXml/itemProps2.xml><?xml version="1.0" encoding="utf-8"?>
<ds:datastoreItem xmlns:ds="http://schemas.openxmlformats.org/officeDocument/2006/customXml" ds:itemID="{97DBF2D6-8524-4E72-9905-D17F8C28AC1B}">
  <ds:schemaRefs>
    <ds:schemaRef ds:uri="http://schemas.microsoft.com/sharepoint/events"/>
  </ds:schemaRefs>
</ds:datastoreItem>
</file>

<file path=customXml/itemProps3.xml><?xml version="1.0" encoding="utf-8"?>
<ds:datastoreItem xmlns:ds="http://schemas.openxmlformats.org/officeDocument/2006/customXml" ds:itemID="{6CCCB901-9D36-4561-BFF8-4A7F0D2D5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E91C24-4F69-4351-97DB-0F97DB6304A4}">
  <ds:schemaRefs>
    <ds:schemaRef ds:uri="http://schemas.microsoft.com/office/2006/metadata/properties"/>
    <ds:schemaRef ds:uri="http://schemas.microsoft.com/office/infopath/2007/PartnerControls"/>
    <ds:schemaRef ds:uri="bd99c180-279b-44c3-9486-dd050336677e"/>
    <ds:schemaRef ds:uri="15b1c282-9287-45cb-9b41-eae3a76919a0"/>
    <ds:schemaRef ds:uri="b5c0ca00-073d-4463-9985-b654f14791fe"/>
  </ds:schemaRefs>
</ds:datastoreItem>
</file>

<file path=customXml/itemProps5.xml><?xml version="1.0" encoding="utf-8"?>
<ds:datastoreItem xmlns:ds="http://schemas.openxmlformats.org/officeDocument/2006/customXml" ds:itemID="{EEC61897-DBCD-4657-83CD-CB77374BF87F}">
  <ds:schemaRefs>
    <ds:schemaRef ds:uri="http://schemas.microsoft.com/sharepoint/v3/contenttype/forms"/>
  </ds:schemaRefs>
</ds:datastoreItem>
</file>

<file path=customXml/itemProps6.xml><?xml version="1.0" encoding="utf-8"?>
<ds:datastoreItem xmlns:ds="http://schemas.openxmlformats.org/officeDocument/2006/customXml" ds:itemID="{16B92D09-5EEF-4E52-83DD-BD124841D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1363</Words>
  <Characters>7772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CDC User</cp:lastModifiedBy>
  <cp:revision>3</cp:revision>
  <cp:lastPrinted>2011-06-07T15:53:00Z</cp:lastPrinted>
  <dcterms:created xsi:type="dcterms:W3CDTF">2014-07-23T14:58:00Z</dcterms:created>
  <dcterms:modified xsi:type="dcterms:W3CDTF">2014-07-23T16:25:00Z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d7882d46-39ab-4cec-b84d-33c6c80d03f8</vt:lpwstr>
  </property>
  <property fmtid="{D5CDD505-2E9C-101B-9397-08002B2CF9AE}" pid="4" name="_AdHocReviewCycleID">
    <vt:i4>-1121955396</vt:i4>
  </property>
  <property fmtid="{D5CDD505-2E9C-101B-9397-08002B2CF9AE}" pid="5" name="_NewReviewCycle">
    <vt:lpwstr/>
  </property>
  <property fmtid="{D5CDD505-2E9C-101B-9397-08002B2CF9AE}" pid="6" name="_EmailSubject">
    <vt:lpwstr>Response to 0920-0879 / 14AJL - NPHII OMB comment</vt:lpwstr>
  </property>
  <property fmtid="{D5CDD505-2E9C-101B-9397-08002B2CF9AE}" pid="7" name="_AuthorEmail">
    <vt:lpwstr>Cortney_Higgins@omb.eop.gov</vt:lpwstr>
  </property>
  <property fmtid="{D5CDD505-2E9C-101B-9397-08002B2CF9AE}" pid="8" name="_AuthorEmailDisplayName">
    <vt:lpwstr>Higgins, Cortney</vt:lpwstr>
  </property>
</Properties>
</file>