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5B" w:rsidRDefault="0088445B" w:rsidP="0088445B">
      <w:pPr>
        <w:spacing w:after="0" w:line="240" w:lineRule="auto"/>
        <w:ind w:firstLine="720"/>
        <w:rPr>
          <w:rFonts w:cs="Arial"/>
          <w:b/>
          <w:bCs/>
        </w:rPr>
      </w:pPr>
      <w:bookmarkStart w:id="0" w:name="_GoBack"/>
      <w:bookmarkEnd w:id="0"/>
      <w:r>
        <w:rPr>
          <w:rFonts w:cs="Arial"/>
          <w:b/>
          <w:bCs/>
        </w:rPr>
        <w:t>Attachment A</w:t>
      </w:r>
    </w:p>
    <w:p w:rsidR="0088445B" w:rsidRDefault="0088445B" w:rsidP="0088445B">
      <w:pPr>
        <w:spacing w:after="0" w:line="240" w:lineRule="auto"/>
        <w:ind w:firstLine="720"/>
        <w:jc w:val="center"/>
        <w:rPr>
          <w:rFonts w:cs="Arial"/>
          <w:b/>
          <w:bCs/>
        </w:rPr>
      </w:pPr>
    </w:p>
    <w:p w:rsidR="0088445B" w:rsidRDefault="0088445B" w:rsidP="0088445B">
      <w:pPr>
        <w:spacing w:after="0" w:line="240" w:lineRule="auto"/>
        <w:ind w:firstLine="720"/>
        <w:jc w:val="center"/>
        <w:rPr>
          <w:rFonts w:cs="Arial"/>
          <w:b/>
          <w:bCs/>
        </w:rPr>
      </w:pPr>
    </w:p>
    <w:p w:rsidR="0088445B" w:rsidRPr="00BB6F71" w:rsidRDefault="0088445B" w:rsidP="0088445B">
      <w:pPr>
        <w:spacing w:after="0" w:line="240" w:lineRule="auto"/>
        <w:ind w:firstLine="720"/>
        <w:jc w:val="center"/>
        <w:rPr>
          <w:rFonts w:cs="Arial"/>
        </w:rPr>
      </w:pPr>
      <w:r>
        <w:rPr>
          <w:rFonts w:cs="Arial"/>
          <w:b/>
          <w:bCs/>
        </w:rPr>
        <w:t>Figure 1. Rate</w:t>
      </w:r>
      <w:r w:rsidRPr="00BB6F71">
        <w:rPr>
          <w:rFonts w:cs="Arial"/>
          <w:b/>
          <w:bCs/>
        </w:rPr>
        <w:t xml:space="preserve"> of cryptosporidiosis</w:t>
      </w:r>
      <w:r w:rsidR="00B678B0">
        <w:rPr>
          <w:rFonts w:cs="Arial"/>
          <w:b/>
          <w:bCs/>
        </w:rPr>
        <w:t>*</w:t>
      </w:r>
      <w:r w:rsidRPr="00BB6F71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by year —</w:t>
      </w:r>
      <w:r w:rsidRPr="00BB6F71">
        <w:rPr>
          <w:rFonts w:cs="Arial"/>
          <w:b/>
          <w:bCs/>
        </w:rPr>
        <w:t>Nationally Notifiable Disease Surveillance System, United States, 1995</w:t>
      </w:r>
      <w:r w:rsidR="00C402F4" w:rsidRPr="00C34E6A">
        <w:rPr>
          <w:rFonts w:asciiTheme="minorHAnsi" w:hAnsi="Calibri"/>
          <w:color w:val="000000" w:themeColor="text1"/>
          <w:kern w:val="24"/>
          <w:vertAlign w:val="superscript"/>
        </w:rPr>
        <w:t>†</w:t>
      </w:r>
      <w:r w:rsidR="00C402F4">
        <w:rPr>
          <w:rFonts w:asciiTheme="minorHAnsi" w:hAnsi="Calibri"/>
          <w:color w:val="000000" w:themeColor="text1"/>
          <w:kern w:val="24"/>
          <w:vertAlign w:val="superscript"/>
        </w:rPr>
        <w:t xml:space="preserve"> </w:t>
      </w:r>
      <w:r w:rsidR="00B678B0">
        <w:rPr>
          <w:rFonts w:cs="Arial"/>
          <w:b/>
          <w:bCs/>
        </w:rPr>
        <w:t>–</w:t>
      </w:r>
      <w:r w:rsidRPr="00BB6F71">
        <w:rPr>
          <w:rFonts w:cs="Arial"/>
          <w:b/>
          <w:bCs/>
        </w:rPr>
        <w:t>2012</w:t>
      </w: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  <w:r w:rsidRPr="00BB6F71">
        <w:rPr>
          <w:rFonts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E1FB9" wp14:editId="05A3B994">
                <wp:simplePos x="0" y="0"/>
                <wp:positionH relativeFrom="column">
                  <wp:posOffset>-38100</wp:posOffset>
                </wp:positionH>
                <wp:positionV relativeFrom="paragraph">
                  <wp:posOffset>235585</wp:posOffset>
                </wp:positionV>
                <wp:extent cx="419100" cy="231457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314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445B" w:rsidRPr="00BB6F71" w:rsidRDefault="0088445B" w:rsidP="008844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Rate per 100,000 person-years</w:t>
                            </w:r>
                          </w:p>
                        </w:txbxContent>
                      </wps:txbx>
                      <wps:bodyPr vert="vert270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-3pt;margin-top:18.55pt;width:33pt;height:1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" filled="f" stroked="f">
                <v:textbox style="layout-flow:vertical;mso-layout-flow-alt:bottom-to-top">
                  <w:txbxContent>
                    <w:p w:rsidR="0088445B" w:rsidRPr="00BB6F71" w:rsidRDefault="0088445B" w:rsidP="0088445B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Rate per 100,000 person-years</w:t>
                      </w:r>
                    </w:p>
                  </w:txbxContent>
                </v:textbox>
              </v:shape>
            </w:pict>
          </mc:Fallback>
        </mc:AlternateContent>
      </w:r>
      <w:r w:rsidRPr="00BB6F71">
        <w:rPr>
          <w:rFonts w:cs="Arial"/>
          <w:noProof/>
          <w:lang w:eastAsia="en-US"/>
        </w:rPr>
        <w:drawing>
          <wp:inline distT="0" distB="0" distL="0" distR="0" wp14:anchorId="7513242D" wp14:editId="7A5FC223">
            <wp:extent cx="4781550" cy="28956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56190" wp14:editId="439CC2AE">
                <wp:simplePos x="0" y="0"/>
                <wp:positionH relativeFrom="column">
                  <wp:posOffset>2505075</wp:posOffset>
                </wp:positionH>
                <wp:positionV relativeFrom="paragraph">
                  <wp:posOffset>115570</wp:posOffset>
                </wp:positionV>
                <wp:extent cx="1219200" cy="400050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445B" w:rsidRPr="00BB6F71" w:rsidRDefault="0088445B" w:rsidP="008844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BB6F71">
                              <w:rPr>
                                <w:rFonts w:asciiTheme="majorHAnsi" w:hAnsiTheme="maj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Year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" o:spid="_x0000_s1027" type="#_x0000_t202" style="position:absolute;left:0;text-align:left;margin-left:197.25pt;margin-top:9.1pt;width:96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" filled="f" stroked="f">
                <v:textbox style="mso-fit-shape-to-text:t">
                  <w:txbxContent>
                    <w:p w:rsidR="0088445B" w:rsidRPr="00BB6F71" w:rsidRDefault="0088445B" w:rsidP="0088445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BB6F71">
                        <w:rPr>
                          <w:rFonts w:asciiTheme="majorHAnsi" w:hAnsiTheme="majorHAns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5603B" wp14:editId="4DA99B2A">
                <wp:simplePos x="0" y="0"/>
                <wp:positionH relativeFrom="column">
                  <wp:posOffset>381000</wp:posOffset>
                </wp:positionH>
                <wp:positionV relativeFrom="paragraph">
                  <wp:posOffset>14605</wp:posOffset>
                </wp:positionV>
                <wp:extent cx="4552315" cy="830580"/>
                <wp:effectExtent l="0" t="0" r="0" b="254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31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45B" w:rsidRPr="00C34E6A" w:rsidRDefault="0088445B" w:rsidP="0088445B">
                            <w:pPr>
                              <w:pStyle w:val="NormalWeb"/>
                              <w:spacing w:after="0" w:afterAutospacing="0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</w:pPr>
                            <w:r w:rsidRPr="00C34E6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  <w:t xml:space="preserve">*N = 102,835 </w:t>
                            </w:r>
                          </w:p>
                          <w:p w:rsidR="0088445B" w:rsidRPr="00C34E6A" w:rsidRDefault="0088445B" w:rsidP="0088445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</w:pPr>
                            <w:r w:rsidRPr="00C34E6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  <w:t>**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C34E6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  <w:t xml:space="preserve">Not confirmed includes probable, suspected, and unknown cases. </w:t>
                            </w:r>
                          </w:p>
                          <w:p w:rsidR="0088445B" w:rsidRPr="00C34E6A" w:rsidRDefault="0088445B" w:rsidP="0088445B">
                            <w:pPr>
                              <w:pStyle w:val="NormalWeb"/>
                              <w:spacing w:before="0" w:beforeAutospacing="0"/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</w:pPr>
                            <w:r w:rsidRPr="00C34E6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vertAlign w:val="superscript"/>
                              </w:rPr>
                              <w:t>†</w:t>
                            </w: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vertAlign w:val="superscript"/>
                              </w:rPr>
                              <w:t xml:space="preserve"> </w:t>
                            </w:r>
                            <w:r w:rsidRPr="00C34E6A"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</w:rPr>
                              <w:t>First full year of national reporting.</w:t>
                            </w:r>
                          </w:p>
                          <w:p w:rsidR="0088445B" w:rsidRDefault="0088445B" w:rsidP="0088445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left:0;text-align:left;margin-left:30pt;margin-top:1.15pt;width:358.45pt;height:6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" filled="f" stroked="f">
                <v:textbox style="mso-fit-shape-to-text:t">
                  <w:txbxContent>
                    <w:p w:rsidR="0088445B" w:rsidRPr="00C34E6A" w:rsidRDefault="0088445B" w:rsidP="0088445B">
                      <w:pPr>
                        <w:pStyle w:val="NormalWeb"/>
                        <w:spacing w:after="0" w:afterAutospacing="0"/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</w:pPr>
                      <w:r w:rsidRPr="00C34E6A"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  <w:t xml:space="preserve">*N = 102,835 </w:t>
                      </w:r>
                    </w:p>
                    <w:p w:rsidR="0088445B" w:rsidRPr="00C34E6A" w:rsidRDefault="0088445B" w:rsidP="0088445B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</w:pPr>
                      <w:r w:rsidRPr="00C34E6A"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  <w:t>**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C34E6A"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  <w:t xml:space="preserve">Not confirmed includes probable, suspected, and unknown cases. </w:t>
                      </w:r>
                    </w:p>
                    <w:p w:rsidR="0088445B" w:rsidRPr="00C34E6A" w:rsidRDefault="0088445B" w:rsidP="0088445B">
                      <w:pPr>
                        <w:pStyle w:val="NormalWeb"/>
                        <w:spacing w:before="0" w:beforeAutospacing="0"/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</w:pPr>
                      <w:r w:rsidRPr="00C34E6A">
                        <w:rPr>
                          <w:rFonts w:asciiTheme="minorHAnsi" w:hAnsi="Calibri"/>
                          <w:color w:val="000000" w:themeColor="text1"/>
                          <w:kern w:val="24"/>
                          <w:vertAlign w:val="superscript"/>
                        </w:rPr>
                        <w:t>†</w:t>
                      </w:r>
                      <w:r>
                        <w:rPr>
                          <w:rFonts w:asciiTheme="minorHAnsi" w:hAnsi="Calibri"/>
                          <w:color w:val="000000" w:themeColor="text1"/>
                          <w:kern w:val="24"/>
                          <w:vertAlign w:val="superscript"/>
                        </w:rPr>
                        <w:t xml:space="preserve"> </w:t>
                      </w:r>
                      <w:r w:rsidRPr="00C34E6A">
                        <w:rPr>
                          <w:rFonts w:asciiTheme="minorHAnsi" w:hAnsi="Calibri"/>
                          <w:color w:val="000000" w:themeColor="text1"/>
                          <w:kern w:val="24"/>
                        </w:rPr>
                        <w:t>First full year of national reporting.</w:t>
                      </w:r>
                    </w:p>
                    <w:p w:rsidR="0088445B" w:rsidRDefault="0088445B" w:rsidP="0088445B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</w:p>
    <w:p w:rsidR="0088445B" w:rsidRDefault="0088445B" w:rsidP="0088445B">
      <w:pPr>
        <w:spacing w:after="0" w:line="240" w:lineRule="auto"/>
        <w:ind w:firstLine="720"/>
        <w:rPr>
          <w:rFonts w:cs="Arial"/>
        </w:rPr>
      </w:pPr>
    </w:p>
    <w:p w:rsidR="0088445B" w:rsidRDefault="0088445B" w:rsidP="0088445B">
      <w:pPr>
        <w:spacing w:after="0" w:line="240" w:lineRule="auto"/>
        <w:rPr>
          <w:rFonts w:cs="Arial"/>
        </w:rPr>
      </w:pPr>
    </w:p>
    <w:p w:rsidR="009E62AA" w:rsidRDefault="00DF7D6F"/>
    <w:sectPr w:rsidR="009E62AA" w:rsidSect="003C4E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5B"/>
    <w:rsid w:val="000A510E"/>
    <w:rsid w:val="001F7E84"/>
    <w:rsid w:val="003C4E16"/>
    <w:rsid w:val="0088445B"/>
    <w:rsid w:val="00B678B0"/>
    <w:rsid w:val="00C402F4"/>
    <w:rsid w:val="00DE707C"/>
    <w:rsid w:val="00D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45B"/>
    <w:rPr>
      <w:rFonts w:asciiTheme="majorHAnsi" w:eastAsiaTheme="minorEastAsia" w:hAnsiTheme="majorHAns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44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45B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45B"/>
    <w:rPr>
      <w:rFonts w:asciiTheme="majorHAnsi" w:eastAsiaTheme="minorEastAsia" w:hAnsiTheme="majorHAns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44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45B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981335666375031E-2"/>
          <c:y val="3.0831228624714786E-2"/>
          <c:w val="0.86418428599202879"/>
          <c:h val="0.8168719010738708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Confirmed</c:v>
                </c:pt>
              </c:strCache>
            </c:strRef>
          </c:tx>
          <c:invertIfNegative val="0"/>
          <c:cat>
            <c:numRef>
              <c:f>Sheet1!$A$2:$A$19</c:f>
              <c:numCache>
                <c:formatCode>General</c:formatCode>
                <c:ptCount val="18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</c:numCache>
            </c:numRef>
          </c:cat>
          <c:val>
            <c:numRef>
              <c:f>Sheet1!$B$2:$B$19</c:f>
              <c:numCache>
                <c:formatCode>0.0</c:formatCode>
                <c:ptCount val="18"/>
                <c:pt idx="0">
                  <c:v>0.9854348189640757</c:v>
                </c:pt>
                <c:pt idx="1">
                  <c:v>0.94099992114160813</c:v>
                </c:pt>
                <c:pt idx="2">
                  <c:v>0.92317197415668639</c:v>
                </c:pt>
                <c:pt idx="3">
                  <c:v>1.3655769283026509</c:v>
                </c:pt>
                <c:pt idx="4">
                  <c:v>0.96115194426058403</c:v>
                </c:pt>
                <c:pt idx="5">
                  <c:v>1.0766848742301114</c:v>
                </c:pt>
                <c:pt idx="6">
                  <c:v>1.3218983801235471</c:v>
                </c:pt>
                <c:pt idx="7">
                  <c:v>1.0232066145888687</c:v>
                </c:pt>
                <c:pt idx="8">
                  <c:v>1.1730117011312475</c:v>
                </c:pt>
                <c:pt idx="9">
                  <c:v>1.2001148968281306</c:v>
                </c:pt>
                <c:pt idx="10">
                  <c:v>1.9085222349895818</c:v>
                </c:pt>
                <c:pt idx="11">
                  <c:v>2.0346543972437394</c:v>
                </c:pt>
                <c:pt idx="12">
                  <c:v>3.708115142266784</c:v>
                </c:pt>
                <c:pt idx="13">
                  <c:v>2.9967710704263038</c:v>
                </c:pt>
                <c:pt idx="14">
                  <c:v>2.4099368100095102</c:v>
                </c:pt>
                <c:pt idx="15">
                  <c:v>2.7079387172100891</c:v>
                </c:pt>
                <c:pt idx="16">
                  <c:v>1.9676635879754683</c:v>
                </c:pt>
                <c:pt idx="17">
                  <c:v>1.6717952468771387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Not confirmed</c:v>
                </c:pt>
              </c:strCache>
            </c:strRef>
          </c:tx>
          <c:invertIfNegative val="0"/>
          <c:cat>
            <c:numRef>
              <c:f>Sheet1!$A$2:$A$19</c:f>
              <c:numCache>
                <c:formatCode>General</c:formatCode>
                <c:ptCount val="18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</c:numCache>
            </c:numRef>
          </c:cat>
          <c:val>
            <c:numRef>
              <c:f>Sheet1!$C$2:$C$19</c:f>
              <c:numCache>
                <c:formatCode>0.0</c:formatCode>
                <c:ptCount val="18"/>
                <c:pt idx="0">
                  <c:v>0.13069028849066247</c:v>
                </c:pt>
                <c:pt idx="1">
                  <c:v>0.10839131241552252</c:v>
                </c:pt>
                <c:pt idx="2">
                  <c:v>1.7971961356248563E-2</c:v>
                </c:pt>
                <c:pt idx="3">
                  <c:v>9.4252721358823802E-3</c:v>
                </c:pt>
                <c:pt idx="4">
                  <c:v>3.1178306916730354E-2</c:v>
                </c:pt>
                <c:pt idx="5">
                  <c:v>3.1896523594703761E-2</c:v>
                </c:pt>
                <c:pt idx="6">
                  <c:v>7.0183083627477945E-3</c:v>
                </c:pt>
                <c:pt idx="7">
                  <c:v>2.5380252417596814E-2</c:v>
                </c:pt>
                <c:pt idx="8">
                  <c:v>3.5504027392453279E-2</c:v>
                </c:pt>
                <c:pt idx="9">
                  <c:v>4.1665912752712558E-2</c:v>
                </c:pt>
                <c:pt idx="10">
                  <c:v>0.89030531919460809</c:v>
                </c:pt>
                <c:pt idx="11">
                  <c:v>0.13673842761908181</c:v>
                </c:pt>
                <c:pt idx="12">
                  <c:v>0.16166983655182846</c:v>
                </c:pt>
                <c:pt idx="13">
                  <c:v>0.4561090173028951</c:v>
                </c:pt>
                <c:pt idx="14">
                  <c:v>8.5731554312525521E-2</c:v>
                </c:pt>
                <c:pt idx="15">
                  <c:v>0.18555053404304539</c:v>
                </c:pt>
                <c:pt idx="16">
                  <c:v>1.0212209324641885</c:v>
                </c:pt>
                <c:pt idx="17">
                  <c:v>0.879221585628983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4239232"/>
        <c:axId val="34240768"/>
      </c:barChart>
      <c:catAx>
        <c:axId val="34239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600">
                <a:latin typeface="Calibri"/>
              </a:defRPr>
            </a:pPr>
            <a:endParaRPr lang="en-US"/>
          </a:p>
        </c:txPr>
        <c:crossAx val="34240768"/>
        <c:crosses val="autoZero"/>
        <c:auto val="1"/>
        <c:lblAlgn val="ctr"/>
        <c:lblOffset val="100"/>
        <c:noMultiLvlLbl val="0"/>
      </c:catAx>
      <c:valAx>
        <c:axId val="3424076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600"/>
            </a:pPr>
            <a:endParaRPr lang="en-US"/>
          </a:p>
        </c:txPr>
        <c:crossAx val="3423923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/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en-US"/>
          </a:p>
        </c:txPr>
      </c:legendEntry>
      <c:layout>
        <c:manualLayout>
          <c:xMode val="edge"/>
          <c:yMode val="edge"/>
          <c:x val="0.1132283464566929"/>
          <c:y val="3.792720862163481E-2"/>
          <c:w val="0.30800865636987684"/>
          <c:h val="0.14699202168624159"/>
        </c:manualLayout>
      </c:layout>
      <c:overlay val="0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0.34783</cdr:x>
      <cdr:y>0.01754</cdr:y>
    </cdr:from>
    <cdr:to>
      <cdr:x>0.42829</cdr:x>
      <cdr:y>0.08224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63167" y="50789"/>
          <a:ext cx="384708" cy="1873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dirty="0"/>
            <a:t>**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55211DD5CFA48818BEC09CBFD1221" ma:contentTypeVersion="0" ma:contentTypeDescription="Create a new document." ma:contentTypeScope="" ma:versionID="719f05d75e62eb8b111c95d75ccb3cbd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OSTLTSDOC-728-340</_dlc_DocId>
    <_dlc_DocIdUrl xmlns="b5c0ca00-073d-4463-9985-b654f14791fe">
      <Url>http://esp.cdc.gov/sites/ostlts/pip/osc/_layouts/DocIdRedir.aspx?ID=OSTLTSDOC-728-340</Url>
      <Description>OSTLTSDOC-728-340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251C08-CBCF-460A-A18E-0F261A8BF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D21A99-104A-4447-A295-1D64EE7E43BA}">
  <ds:schemaRefs>
    <ds:schemaRef ds:uri="http://schemas.microsoft.com/office/2006/metadata/properties"/>
    <ds:schemaRef ds:uri="http://schemas.microsoft.com/office/infopath/2007/PartnerControls"/>
    <ds:schemaRef ds:uri="b5c0ca00-073d-4463-9985-b654f14791fe"/>
  </ds:schemaRefs>
</ds:datastoreItem>
</file>

<file path=customXml/itemProps3.xml><?xml version="1.0" encoding="utf-8"?>
<ds:datastoreItem xmlns:ds="http://schemas.openxmlformats.org/officeDocument/2006/customXml" ds:itemID="{7F167C47-4BF2-4FC6-B803-AD25CEF43F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8CB251-7382-4EDE-90FA-89232F0F3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CDC User</cp:lastModifiedBy>
  <cp:revision>3</cp:revision>
  <dcterms:created xsi:type="dcterms:W3CDTF">2014-10-17T18:07:00Z</dcterms:created>
  <dcterms:modified xsi:type="dcterms:W3CDTF">2014-10-31T20:36:00Z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0x010100C1955211DD5CFA48818BEC09CBFD1221</vt:lpwstr>
  </property>
  <property fmtid="{D5CDD505-2E9C-101B-9397-08002B2CF9AE}" pid="3" name="_dlc_DocIdItemGuid">
    <vt:lpwstr>33bf2458-d2e5-4dbb-999e-8a5393d8c95e</vt:lpwstr>
  </property>
</Properties>
</file>