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11AE" w:rsidRPr="003311AE" w:rsidRDefault="003311AE" w:rsidP="003311AE">
      <w:pPr>
        <w:pStyle w:val="Heading1Black"/>
        <w:rPr>
          <w:rFonts w:ascii="Garamond" w:hAnsi="Garamond"/>
          <w:sz w:val="28"/>
          <w:szCs w:val="28"/>
        </w:rPr>
      </w:pPr>
    </w:p>
    <w:p w:rsidR="003311AE" w:rsidRPr="00405DF5" w:rsidRDefault="003311AE" w:rsidP="003311AE">
      <w:pPr>
        <w:pStyle w:val="Heading1Black"/>
        <w:rPr>
          <w:rFonts w:ascii="Garamond" w:hAnsi="Garamond"/>
          <w:sz w:val="28"/>
          <w:szCs w:val="28"/>
        </w:rPr>
      </w:pPr>
      <w:bookmarkStart w:id="0" w:name="_Toc291509277"/>
      <w:r w:rsidRPr="00405DF5">
        <w:rPr>
          <w:rFonts w:ascii="Garamond" w:hAnsi="Garamond"/>
          <w:sz w:val="28"/>
          <w:szCs w:val="28"/>
        </w:rPr>
        <w:t xml:space="preserve">SUPPORTING </w:t>
      </w:r>
      <w:r w:rsidR="00354300">
        <w:rPr>
          <w:rFonts w:ascii="Garamond" w:hAnsi="Garamond"/>
          <w:sz w:val="28"/>
          <w:szCs w:val="28"/>
        </w:rPr>
        <w:t>STATE</w:t>
      </w:r>
      <w:r w:rsidRPr="00405DF5">
        <w:rPr>
          <w:rFonts w:ascii="Garamond" w:hAnsi="Garamond"/>
          <w:sz w:val="28"/>
          <w:szCs w:val="28"/>
        </w:rPr>
        <w:t>MENT</w:t>
      </w:r>
      <w:bookmarkEnd w:id="0"/>
    </w:p>
    <w:p w:rsidR="003311AE" w:rsidRPr="00405DF5" w:rsidRDefault="003311AE" w:rsidP="003311AE">
      <w:pPr>
        <w:pStyle w:val="Heading1Black"/>
        <w:rPr>
          <w:rFonts w:ascii="Garamond" w:hAnsi="Garamond"/>
          <w:sz w:val="28"/>
          <w:szCs w:val="28"/>
        </w:rPr>
      </w:pPr>
    </w:p>
    <w:p w:rsidR="003311AE" w:rsidRPr="00405DF5" w:rsidRDefault="003E448F" w:rsidP="003311AE">
      <w:pPr>
        <w:pStyle w:val="Heading1Black"/>
        <w:rPr>
          <w:rFonts w:ascii="Garamond" w:hAnsi="Garamond"/>
          <w:sz w:val="28"/>
          <w:szCs w:val="28"/>
        </w:rPr>
      </w:pPr>
      <w:bookmarkStart w:id="1" w:name="_Toc291509278"/>
      <w:r w:rsidRPr="00405DF5">
        <w:rPr>
          <w:rFonts w:ascii="Garamond" w:hAnsi="Garamond"/>
          <w:caps w:val="0"/>
          <w:sz w:val="28"/>
          <w:szCs w:val="28"/>
        </w:rPr>
        <w:t>Part A</w:t>
      </w:r>
      <w:bookmarkEnd w:id="1"/>
    </w:p>
    <w:p w:rsidR="003311AE" w:rsidRPr="00405DF5" w:rsidRDefault="003311AE" w:rsidP="003311AE">
      <w:pPr>
        <w:pStyle w:val="Heading1Black"/>
        <w:rPr>
          <w:rFonts w:ascii="Garamond" w:hAnsi="Garamond"/>
          <w:sz w:val="28"/>
          <w:szCs w:val="28"/>
        </w:rPr>
      </w:pPr>
    </w:p>
    <w:p w:rsidR="003311AE" w:rsidRPr="00405DF5" w:rsidRDefault="003311AE" w:rsidP="003311AE">
      <w:pPr>
        <w:pStyle w:val="Heading1Black"/>
        <w:rPr>
          <w:rFonts w:ascii="Garamond" w:hAnsi="Garamond"/>
          <w:sz w:val="28"/>
          <w:szCs w:val="28"/>
        </w:rPr>
      </w:pPr>
    </w:p>
    <w:p w:rsidR="003311AE" w:rsidRPr="00405DF5" w:rsidRDefault="003311AE" w:rsidP="003311AE">
      <w:pPr>
        <w:pStyle w:val="Heading1Black"/>
        <w:rPr>
          <w:rFonts w:ascii="Garamond" w:hAnsi="Garamond"/>
          <w:sz w:val="28"/>
          <w:szCs w:val="28"/>
        </w:rPr>
      </w:pPr>
    </w:p>
    <w:p w:rsidR="003311AE" w:rsidRPr="00405DF5" w:rsidRDefault="003311AE" w:rsidP="003311AE">
      <w:pPr>
        <w:pStyle w:val="Heading1Black"/>
        <w:rPr>
          <w:rFonts w:ascii="Garamond" w:hAnsi="Garamond"/>
          <w:sz w:val="28"/>
          <w:szCs w:val="28"/>
        </w:rPr>
      </w:pPr>
    </w:p>
    <w:p w:rsidR="003311AE" w:rsidRPr="00405DF5" w:rsidRDefault="003E448F" w:rsidP="003311AE">
      <w:pPr>
        <w:pStyle w:val="Heading1Black"/>
        <w:rPr>
          <w:rFonts w:ascii="Garamond" w:hAnsi="Garamond"/>
          <w:caps w:val="0"/>
          <w:sz w:val="28"/>
          <w:szCs w:val="28"/>
        </w:rPr>
      </w:pPr>
      <w:bookmarkStart w:id="2" w:name="_Toc291509279"/>
      <w:r w:rsidRPr="00405DF5">
        <w:rPr>
          <w:rFonts w:ascii="Garamond" w:hAnsi="Garamond"/>
          <w:caps w:val="0"/>
          <w:sz w:val="28"/>
          <w:szCs w:val="28"/>
        </w:rPr>
        <w:t>Evaluation of the Children’s Health Insurance Program Reauthorization Act of 2009</w:t>
      </w:r>
      <w:r w:rsidR="003311AE" w:rsidRPr="00405DF5">
        <w:rPr>
          <w:rFonts w:ascii="Garamond" w:hAnsi="Garamond"/>
          <w:sz w:val="28"/>
          <w:szCs w:val="28"/>
        </w:rPr>
        <w:t xml:space="preserve"> (CHIPRA) </w:t>
      </w:r>
      <w:r w:rsidRPr="00405DF5">
        <w:rPr>
          <w:rFonts w:ascii="Garamond" w:hAnsi="Garamond"/>
          <w:caps w:val="0"/>
          <w:sz w:val="28"/>
          <w:szCs w:val="28"/>
        </w:rPr>
        <w:t>Quality Demonstration Grant Program</w:t>
      </w:r>
      <w:bookmarkEnd w:id="2"/>
    </w:p>
    <w:p w:rsidR="009231EE" w:rsidRPr="007C68A8" w:rsidRDefault="00F62F86">
      <w:pPr>
        <w:jc w:val="center"/>
        <w:rPr>
          <w:highlight w:val="yellow"/>
        </w:rPr>
      </w:pPr>
      <w:r w:rsidRPr="007C68A8">
        <w:rPr>
          <w:b/>
          <w:highlight w:val="yellow"/>
        </w:rPr>
        <w:t>OMB# 0935-0190</w:t>
      </w:r>
    </w:p>
    <w:p w:rsidR="003311AE" w:rsidRPr="007C68A8" w:rsidRDefault="003311AE" w:rsidP="003311AE">
      <w:pPr>
        <w:pStyle w:val="Heading1Black"/>
        <w:rPr>
          <w:rFonts w:ascii="Garamond" w:hAnsi="Garamond"/>
          <w:sz w:val="28"/>
          <w:szCs w:val="28"/>
          <w:highlight w:val="yellow"/>
        </w:rPr>
      </w:pPr>
    </w:p>
    <w:p w:rsidR="003311AE" w:rsidRPr="007C68A8" w:rsidRDefault="003311AE" w:rsidP="003311AE">
      <w:pPr>
        <w:pStyle w:val="Heading1Black"/>
        <w:rPr>
          <w:rFonts w:ascii="Garamond" w:hAnsi="Garamond"/>
          <w:sz w:val="28"/>
          <w:szCs w:val="28"/>
          <w:highlight w:val="yellow"/>
        </w:rPr>
      </w:pPr>
    </w:p>
    <w:p w:rsidR="003311AE" w:rsidRPr="007C68A8" w:rsidRDefault="003311AE" w:rsidP="003311AE">
      <w:pPr>
        <w:pStyle w:val="Heading1Black"/>
        <w:rPr>
          <w:rFonts w:ascii="Garamond" w:hAnsi="Garamond"/>
          <w:sz w:val="28"/>
          <w:szCs w:val="28"/>
          <w:highlight w:val="yellow"/>
        </w:rPr>
      </w:pPr>
    </w:p>
    <w:p w:rsidR="003311AE" w:rsidRDefault="00321427" w:rsidP="003311AE">
      <w:pPr>
        <w:pStyle w:val="Heading1Black"/>
        <w:rPr>
          <w:rFonts w:ascii="Garamond" w:hAnsi="Garamond"/>
          <w:b w:val="0"/>
          <w:caps w:val="0"/>
          <w:sz w:val="28"/>
          <w:szCs w:val="28"/>
        </w:rPr>
      </w:pPr>
      <w:bookmarkStart w:id="3" w:name="_Toc291509280"/>
      <w:r w:rsidRPr="007C68A8">
        <w:rPr>
          <w:rFonts w:ascii="Garamond" w:hAnsi="Garamond"/>
          <w:b w:val="0"/>
          <w:caps w:val="0"/>
          <w:sz w:val="28"/>
          <w:szCs w:val="28"/>
          <w:highlight w:val="yellow"/>
        </w:rPr>
        <w:t xml:space="preserve">Version: </w:t>
      </w:r>
      <w:r w:rsidR="007A6817" w:rsidRPr="007C68A8">
        <w:rPr>
          <w:rFonts w:ascii="Garamond" w:hAnsi="Garamond"/>
          <w:b w:val="0"/>
          <w:caps w:val="0"/>
          <w:sz w:val="28"/>
          <w:szCs w:val="28"/>
          <w:highlight w:val="yellow"/>
        </w:rPr>
        <w:t xml:space="preserve">February </w:t>
      </w:r>
      <w:r w:rsidR="009D472D" w:rsidRPr="007C68A8">
        <w:rPr>
          <w:rFonts w:ascii="Garamond" w:hAnsi="Garamond"/>
          <w:b w:val="0"/>
          <w:caps w:val="0"/>
          <w:sz w:val="28"/>
          <w:szCs w:val="28"/>
          <w:highlight w:val="yellow"/>
        </w:rPr>
        <w:t>1</w:t>
      </w:r>
      <w:r w:rsidR="009D472D">
        <w:rPr>
          <w:rFonts w:ascii="Garamond" w:hAnsi="Garamond"/>
          <w:b w:val="0"/>
          <w:caps w:val="0"/>
          <w:sz w:val="28"/>
          <w:szCs w:val="28"/>
          <w:highlight w:val="yellow"/>
        </w:rPr>
        <w:t>4</w:t>
      </w:r>
      <w:r w:rsidR="003E448F" w:rsidRPr="007C68A8">
        <w:rPr>
          <w:rFonts w:ascii="Garamond" w:hAnsi="Garamond"/>
          <w:b w:val="0"/>
          <w:caps w:val="0"/>
          <w:sz w:val="28"/>
          <w:szCs w:val="28"/>
          <w:highlight w:val="yellow"/>
        </w:rPr>
        <w:t xml:space="preserve">, </w:t>
      </w:r>
      <w:bookmarkEnd w:id="3"/>
      <w:r w:rsidR="002A26FC" w:rsidRPr="007C68A8">
        <w:rPr>
          <w:rFonts w:ascii="Garamond" w:hAnsi="Garamond"/>
          <w:b w:val="0"/>
          <w:caps w:val="0"/>
          <w:sz w:val="28"/>
          <w:szCs w:val="28"/>
          <w:highlight w:val="yellow"/>
        </w:rPr>
        <w:t>201</w:t>
      </w:r>
      <w:r w:rsidR="007A6817" w:rsidRPr="007C68A8">
        <w:rPr>
          <w:rFonts w:ascii="Garamond" w:hAnsi="Garamond"/>
          <w:b w:val="0"/>
          <w:caps w:val="0"/>
          <w:sz w:val="28"/>
          <w:szCs w:val="28"/>
          <w:highlight w:val="yellow"/>
        </w:rPr>
        <w:t>4</w:t>
      </w:r>
    </w:p>
    <w:p w:rsidR="009231EE" w:rsidRDefault="00AD734B">
      <w:pPr>
        <w:jc w:val="center"/>
        <w:rPr>
          <w:b/>
        </w:rPr>
      </w:pPr>
      <w:r w:rsidRPr="007C68A8">
        <w:rPr>
          <w:highlight w:val="yellow"/>
        </w:rPr>
        <w:t>Revision of Previously Approved Protocol #0935-0190</w:t>
      </w:r>
    </w:p>
    <w:p w:rsidR="003311AE" w:rsidRPr="00405DF5" w:rsidRDefault="003311AE" w:rsidP="003311AE">
      <w:pPr>
        <w:pStyle w:val="Heading1Black"/>
        <w:rPr>
          <w:rFonts w:ascii="Garamond" w:hAnsi="Garamond"/>
          <w:sz w:val="28"/>
          <w:szCs w:val="28"/>
        </w:rPr>
      </w:pPr>
    </w:p>
    <w:p w:rsidR="00E33FB4" w:rsidRPr="00405DF5" w:rsidRDefault="00321427" w:rsidP="003311AE">
      <w:pPr>
        <w:pStyle w:val="Heading1Black"/>
        <w:rPr>
          <w:rFonts w:ascii="Garamond" w:hAnsi="Garamond"/>
          <w:b w:val="0"/>
          <w:sz w:val="28"/>
          <w:szCs w:val="28"/>
        </w:rPr>
      </w:pPr>
      <w:bookmarkStart w:id="4" w:name="_Toc291509281"/>
      <w:r>
        <w:rPr>
          <w:rFonts w:ascii="Garamond" w:hAnsi="Garamond"/>
          <w:b w:val="0"/>
          <w:caps w:val="0"/>
          <w:sz w:val="28"/>
          <w:szCs w:val="28"/>
        </w:rPr>
        <w:t>Agency for Healthcare Research and Quality</w:t>
      </w:r>
      <w:r>
        <w:rPr>
          <w:rFonts w:ascii="Garamond" w:hAnsi="Garamond"/>
          <w:b w:val="0"/>
          <w:sz w:val="28"/>
          <w:szCs w:val="28"/>
        </w:rPr>
        <w:t xml:space="preserve"> (AHRQ)</w:t>
      </w:r>
      <w:bookmarkEnd w:id="4"/>
    </w:p>
    <w:p w:rsidR="00737638" w:rsidRPr="00405DF5" w:rsidRDefault="00737638" w:rsidP="003E448F">
      <w:pPr>
        <w:sectPr w:rsidR="00737638" w:rsidRPr="00405DF5" w:rsidSect="007C0CD8">
          <w:endnotePr>
            <w:numFmt w:val="decimal"/>
          </w:endnotePr>
          <w:pgSz w:w="12240" w:h="15840" w:code="1"/>
          <w:pgMar w:top="1440" w:right="1440" w:bottom="576" w:left="1440" w:header="720" w:footer="576" w:gutter="0"/>
          <w:cols w:space="720"/>
          <w:docGrid w:linePitch="326"/>
        </w:sectPr>
      </w:pPr>
    </w:p>
    <w:p w:rsidR="00737638" w:rsidRPr="00405DF5" w:rsidRDefault="00321427" w:rsidP="00737638">
      <w:pPr>
        <w:pStyle w:val="Heading1Black"/>
        <w:rPr>
          <w:rFonts w:ascii="Arial" w:hAnsi="Arial" w:cs="Arial"/>
        </w:rPr>
      </w:pPr>
      <w:r>
        <w:rPr>
          <w:rFonts w:ascii="Arial" w:hAnsi="Arial" w:cs="Arial"/>
        </w:rPr>
        <w:lastRenderedPageBreak/>
        <w:t>CONTENTS</w:t>
      </w:r>
    </w:p>
    <w:p w:rsidR="00737638" w:rsidRPr="00405DF5" w:rsidRDefault="00DF5E1A" w:rsidP="00FF136B">
      <w:pPr>
        <w:pStyle w:val="TOC1"/>
        <w:rPr>
          <w:noProof/>
          <w:webHidden/>
        </w:rPr>
      </w:pPr>
      <w:r w:rsidRPr="00405DF5">
        <w:fldChar w:fldCharType="begin"/>
      </w:r>
      <w:r w:rsidR="00321427">
        <w:instrText xml:space="preserve"> TOC \o "1-3" \z \t "Heading 1_Black,1,Heading 1_Red,1,Heading 1_Blue,1,Heading 2_Black,2,Heading 2_Red,2,Heading 2_Blue,2,Mark for Appendix Heading_Black,1,Mark for Appendix Heading_Blue,1,Mark for Appendix Heading_Red,1" </w:instrText>
      </w:r>
      <w:r w:rsidRPr="00405DF5">
        <w:fldChar w:fldCharType="separate"/>
      </w:r>
      <w:r w:rsidR="00321427">
        <w:rPr>
          <w:rFonts w:cs="Arial"/>
          <w:noProof/>
        </w:rPr>
        <w:t>A.</w:t>
      </w:r>
      <w:r w:rsidR="00321427">
        <w:rPr>
          <w:rFonts w:cs="Arial"/>
          <w:noProof/>
        </w:rPr>
        <w:tab/>
      </w:r>
      <w:r w:rsidR="00321427">
        <w:rPr>
          <w:rFonts w:eastAsiaTheme="minorEastAsia" w:cstheme="minorBidi"/>
          <w:noProof/>
          <w:szCs w:val="22"/>
        </w:rPr>
        <w:tab/>
      </w:r>
      <w:r w:rsidR="00321427">
        <w:rPr>
          <w:rFonts w:cs="Arial"/>
          <w:noProof/>
        </w:rPr>
        <w:t>Justification</w:t>
      </w:r>
      <w:r w:rsidR="00321427">
        <w:rPr>
          <w:noProof/>
          <w:webHidden/>
        </w:rPr>
        <w:tab/>
      </w:r>
      <w:r w:rsidRPr="00405DF5">
        <w:rPr>
          <w:noProof/>
          <w:webHidden/>
        </w:rPr>
        <w:fldChar w:fldCharType="begin"/>
      </w:r>
      <w:r w:rsidR="00321427">
        <w:rPr>
          <w:noProof/>
          <w:webHidden/>
        </w:rPr>
        <w:instrText xml:space="preserve"> PAGEREF _Toc291509282 \h </w:instrText>
      </w:r>
      <w:r w:rsidRPr="00405DF5">
        <w:rPr>
          <w:noProof/>
          <w:webHidden/>
        </w:rPr>
      </w:r>
      <w:r w:rsidRPr="00405DF5">
        <w:rPr>
          <w:noProof/>
          <w:webHidden/>
        </w:rPr>
        <w:fldChar w:fldCharType="separate"/>
      </w:r>
      <w:r w:rsidR="00204089">
        <w:rPr>
          <w:noProof/>
          <w:webHidden/>
        </w:rPr>
        <w:t>3</w:t>
      </w:r>
      <w:r w:rsidRPr="00405DF5">
        <w:rPr>
          <w:noProof/>
          <w:webHidden/>
        </w:rPr>
        <w:fldChar w:fldCharType="end"/>
      </w:r>
    </w:p>
    <w:p w:rsidR="00737638" w:rsidRPr="00405DF5" w:rsidRDefault="00321427" w:rsidP="00737638">
      <w:pPr>
        <w:pStyle w:val="TOC2"/>
        <w:spacing w:after="0"/>
        <w:rPr>
          <w:rFonts w:ascii="Garamond" w:eastAsiaTheme="minorEastAsia" w:hAnsi="Garamond" w:cs="Arial"/>
          <w:noProof/>
          <w:szCs w:val="22"/>
        </w:rPr>
      </w:pPr>
      <w:r>
        <w:rPr>
          <w:rFonts w:ascii="Garamond" w:hAnsi="Garamond" w:cs="Arial"/>
          <w:noProof/>
        </w:rPr>
        <w:t>1.</w:t>
      </w:r>
      <w:r>
        <w:rPr>
          <w:rFonts w:ascii="Garamond" w:eastAsiaTheme="minorEastAsia" w:hAnsi="Garamond" w:cs="Arial"/>
          <w:noProof/>
          <w:szCs w:val="22"/>
        </w:rPr>
        <w:tab/>
      </w:r>
      <w:r>
        <w:rPr>
          <w:rFonts w:ascii="Garamond" w:hAnsi="Garamond" w:cs="Arial"/>
          <w:noProof/>
        </w:rPr>
        <w:t>Circumstances that Make the Collection of Information Necessary</w:t>
      </w:r>
      <w:r>
        <w:rPr>
          <w:rFonts w:ascii="Garamond" w:hAnsi="Garamond" w:cs="Arial"/>
          <w:noProof/>
          <w:webHidden/>
        </w:rPr>
        <w:tab/>
      </w:r>
      <w:r w:rsidR="00DF5E1A" w:rsidRPr="00405DF5">
        <w:rPr>
          <w:rFonts w:ascii="Garamond" w:hAnsi="Garamond" w:cs="Arial"/>
          <w:noProof/>
          <w:webHidden/>
        </w:rPr>
        <w:fldChar w:fldCharType="begin"/>
      </w:r>
      <w:r>
        <w:rPr>
          <w:rFonts w:ascii="Garamond" w:hAnsi="Garamond" w:cs="Arial"/>
          <w:noProof/>
          <w:webHidden/>
        </w:rPr>
        <w:instrText xml:space="preserve"> PAGEREF _Toc291509283 \h </w:instrText>
      </w:r>
      <w:r w:rsidR="00DF5E1A" w:rsidRPr="00405DF5">
        <w:rPr>
          <w:rFonts w:ascii="Garamond" w:hAnsi="Garamond" w:cs="Arial"/>
          <w:noProof/>
          <w:webHidden/>
        </w:rPr>
      </w:r>
      <w:r w:rsidR="00DF5E1A" w:rsidRPr="00405DF5">
        <w:rPr>
          <w:rFonts w:ascii="Garamond" w:hAnsi="Garamond" w:cs="Arial"/>
          <w:noProof/>
          <w:webHidden/>
        </w:rPr>
        <w:fldChar w:fldCharType="separate"/>
      </w:r>
      <w:r w:rsidR="00204089">
        <w:rPr>
          <w:rFonts w:ascii="Garamond" w:hAnsi="Garamond" w:cs="Arial"/>
          <w:noProof/>
          <w:webHidden/>
        </w:rPr>
        <w:t>3</w:t>
      </w:r>
      <w:r w:rsidR="00DF5E1A" w:rsidRPr="00405DF5">
        <w:rPr>
          <w:rFonts w:ascii="Garamond" w:hAnsi="Garamond" w:cs="Arial"/>
          <w:noProof/>
          <w:webHidden/>
        </w:rPr>
        <w:fldChar w:fldCharType="end"/>
      </w:r>
    </w:p>
    <w:p w:rsidR="00737638" w:rsidRPr="00405DF5" w:rsidRDefault="00321427" w:rsidP="00737638">
      <w:pPr>
        <w:pStyle w:val="TOC2"/>
        <w:spacing w:after="0"/>
        <w:rPr>
          <w:rFonts w:ascii="Garamond" w:eastAsiaTheme="minorEastAsia" w:hAnsi="Garamond" w:cs="Arial"/>
          <w:noProof/>
          <w:szCs w:val="22"/>
        </w:rPr>
      </w:pPr>
      <w:r>
        <w:rPr>
          <w:rFonts w:ascii="Garamond" w:hAnsi="Garamond" w:cs="Arial"/>
          <w:noProof/>
        </w:rPr>
        <w:t>2.</w:t>
      </w:r>
      <w:r>
        <w:rPr>
          <w:rFonts w:ascii="Garamond" w:eastAsiaTheme="minorEastAsia" w:hAnsi="Garamond" w:cs="Arial"/>
          <w:noProof/>
          <w:szCs w:val="22"/>
        </w:rPr>
        <w:tab/>
      </w:r>
      <w:r>
        <w:rPr>
          <w:rFonts w:ascii="Garamond" w:hAnsi="Garamond" w:cs="Arial"/>
          <w:noProof/>
        </w:rPr>
        <w:t>Purpose and Use of Information</w:t>
      </w:r>
      <w:r>
        <w:rPr>
          <w:rFonts w:ascii="Garamond" w:hAnsi="Garamond" w:cs="Arial"/>
          <w:noProof/>
          <w:webHidden/>
        </w:rPr>
        <w:tab/>
      </w:r>
      <w:r w:rsidR="00DF5E1A" w:rsidRPr="00405DF5">
        <w:rPr>
          <w:rFonts w:ascii="Garamond" w:hAnsi="Garamond" w:cs="Arial"/>
          <w:noProof/>
          <w:webHidden/>
        </w:rPr>
        <w:fldChar w:fldCharType="begin"/>
      </w:r>
      <w:r>
        <w:rPr>
          <w:rFonts w:ascii="Garamond" w:hAnsi="Garamond" w:cs="Arial"/>
          <w:noProof/>
          <w:webHidden/>
        </w:rPr>
        <w:instrText xml:space="preserve"> PAGEREF _Toc291509284 \h </w:instrText>
      </w:r>
      <w:r w:rsidR="00DF5E1A" w:rsidRPr="00405DF5">
        <w:rPr>
          <w:rFonts w:ascii="Garamond" w:hAnsi="Garamond" w:cs="Arial"/>
          <w:noProof/>
          <w:webHidden/>
        </w:rPr>
      </w:r>
      <w:r w:rsidR="00DF5E1A" w:rsidRPr="00405DF5">
        <w:rPr>
          <w:rFonts w:ascii="Garamond" w:hAnsi="Garamond" w:cs="Arial"/>
          <w:noProof/>
          <w:webHidden/>
        </w:rPr>
        <w:fldChar w:fldCharType="separate"/>
      </w:r>
      <w:r w:rsidR="00204089">
        <w:rPr>
          <w:rFonts w:ascii="Garamond" w:hAnsi="Garamond" w:cs="Arial"/>
          <w:noProof/>
          <w:webHidden/>
        </w:rPr>
        <w:t>8</w:t>
      </w:r>
      <w:r w:rsidR="00DF5E1A" w:rsidRPr="00405DF5">
        <w:rPr>
          <w:rFonts w:ascii="Garamond" w:hAnsi="Garamond" w:cs="Arial"/>
          <w:noProof/>
          <w:webHidden/>
        </w:rPr>
        <w:fldChar w:fldCharType="end"/>
      </w:r>
    </w:p>
    <w:p w:rsidR="00737638" w:rsidRPr="00405DF5" w:rsidRDefault="00321427" w:rsidP="00737638">
      <w:pPr>
        <w:pStyle w:val="TOC2"/>
        <w:spacing w:after="0"/>
        <w:rPr>
          <w:rFonts w:ascii="Garamond" w:eastAsiaTheme="minorEastAsia" w:hAnsi="Garamond" w:cs="Arial"/>
          <w:noProof/>
          <w:szCs w:val="22"/>
        </w:rPr>
      </w:pPr>
      <w:r>
        <w:rPr>
          <w:rFonts w:ascii="Garamond" w:hAnsi="Garamond" w:cs="Arial"/>
          <w:noProof/>
        </w:rPr>
        <w:t>3.</w:t>
      </w:r>
      <w:r>
        <w:rPr>
          <w:rFonts w:ascii="Garamond" w:eastAsiaTheme="minorEastAsia" w:hAnsi="Garamond" w:cs="Arial"/>
          <w:noProof/>
          <w:szCs w:val="22"/>
        </w:rPr>
        <w:tab/>
      </w:r>
      <w:r>
        <w:rPr>
          <w:rFonts w:ascii="Garamond" w:hAnsi="Garamond" w:cs="Arial"/>
          <w:noProof/>
        </w:rPr>
        <w:t>Use of Improved Information Technology</w:t>
      </w:r>
      <w:r>
        <w:rPr>
          <w:rFonts w:ascii="Garamond" w:hAnsi="Garamond" w:cs="Arial"/>
          <w:noProof/>
          <w:webHidden/>
        </w:rPr>
        <w:tab/>
      </w:r>
      <w:r w:rsidR="00DF5E1A" w:rsidRPr="00405DF5">
        <w:rPr>
          <w:rFonts w:ascii="Garamond" w:hAnsi="Garamond" w:cs="Arial"/>
          <w:noProof/>
          <w:webHidden/>
        </w:rPr>
        <w:fldChar w:fldCharType="begin"/>
      </w:r>
      <w:r>
        <w:rPr>
          <w:rFonts w:ascii="Garamond" w:hAnsi="Garamond" w:cs="Arial"/>
          <w:noProof/>
          <w:webHidden/>
        </w:rPr>
        <w:instrText xml:space="preserve"> PAGEREF _Toc291509285 \h </w:instrText>
      </w:r>
      <w:r w:rsidR="00DF5E1A" w:rsidRPr="00405DF5">
        <w:rPr>
          <w:rFonts w:ascii="Garamond" w:hAnsi="Garamond" w:cs="Arial"/>
          <w:noProof/>
          <w:webHidden/>
        </w:rPr>
      </w:r>
      <w:r w:rsidR="00DF5E1A" w:rsidRPr="00405DF5">
        <w:rPr>
          <w:rFonts w:ascii="Garamond" w:hAnsi="Garamond" w:cs="Arial"/>
          <w:noProof/>
          <w:webHidden/>
        </w:rPr>
        <w:fldChar w:fldCharType="separate"/>
      </w:r>
      <w:r w:rsidR="00204089">
        <w:rPr>
          <w:rFonts w:ascii="Garamond" w:hAnsi="Garamond" w:cs="Arial"/>
          <w:noProof/>
          <w:webHidden/>
        </w:rPr>
        <w:t>9</w:t>
      </w:r>
      <w:r w:rsidR="00DF5E1A" w:rsidRPr="00405DF5">
        <w:rPr>
          <w:rFonts w:ascii="Garamond" w:hAnsi="Garamond" w:cs="Arial"/>
          <w:noProof/>
          <w:webHidden/>
        </w:rPr>
        <w:fldChar w:fldCharType="end"/>
      </w:r>
    </w:p>
    <w:p w:rsidR="00737638" w:rsidRPr="00405DF5" w:rsidRDefault="00321427" w:rsidP="00737638">
      <w:pPr>
        <w:pStyle w:val="TOC2"/>
        <w:spacing w:after="0"/>
        <w:rPr>
          <w:rFonts w:ascii="Garamond" w:eastAsiaTheme="minorEastAsia" w:hAnsi="Garamond" w:cs="Arial"/>
          <w:noProof/>
          <w:szCs w:val="22"/>
        </w:rPr>
      </w:pPr>
      <w:r>
        <w:rPr>
          <w:rFonts w:ascii="Garamond" w:hAnsi="Garamond" w:cs="Arial"/>
          <w:noProof/>
        </w:rPr>
        <w:t>4.</w:t>
      </w:r>
      <w:r>
        <w:rPr>
          <w:rFonts w:ascii="Garamond" w:eastAsiaTheme="minorEastAsia" w:hAnsi="Garamond" w:cs="Arial"/>
          <w:noProof/>
          <w:szCs w:val="22"/>
        </w:rPr>
        <w:tab/>
      </w:r>
      <w:r>
        <w:rPr>
          <w:rFonts w:ascii="Garamond" w:hAnsi="Garamond" w:cs="Arial"/>
          <w:noProof/>
        </w:rPr>
        <w:t>Efforts to Identify Duplication</w:t>
      </w:r>
      <w:r>
        <w:rPr>
          <w:rFonts w:ascii="Garamond" w:hAnsi="Garamond" w:cs="Arial"/>
          <w:noProof/>
          <w:webHidden/>
        </w:rPr>
        <w:tab/>
      </w:r>
      <w:r w:rsidR="00DF5E1A" w:rsidRPr="00405DF5">
        <w:rPr>
          <w:rFonts w:ascii="Garamond" w:hAnsi="Garamond" w:cs="Arial"/>
          <w:noProof/>
          <w:webHidden/>
        </w:rPr>
        <w:fldChar w:fldCharType="begin"/>
      </w:r>
      <w:r>
        <w:rPr>
          <w:rFonts w:ascii="Garamond" w:hAnsi="Garamond" w:cs="Arial"/>
          <w:noProof/>
          <w:webHidden/>
        </w:rPr>
        <w:instrText xml:space="preserve"> PAGEREF _Toc291509286 \h </w:instrText>
      </w:r>
      <w:r w:rsidR="00DF5E1A" w:rsidRPr="00405DF5">
        <w:rPr>
          <w:rFonts w:ascii="Garamond" w:hAnsi="Garamond" w:cs="Arial"/>
          <w:noProof/>
          <w:webHidden/>
        </w:rPr>
      </w:r>
      <w:r w:rsidR="00DF5E1A" w:rsidRPr="00405DF5">
        <w:rPr>
          <w:rFonts w:ascii="Garamond" w:hAnsi="Garamond" w:cs="Arial"/>
          <w:noProof/>
          <w:webHidden/>
        </w:rPr>
        <w:fldChar w:fldCharType="separate"/>
      </w:r>
      <w:r w:rsidR="00204089">
        <w:rPr>
          <w:rFonts w:ascii="Garamond" w:hAnsi="Garamond" w:cs="Arial"/>
          <w:noProof/>
          <w:webHidden/>
        </w:rPr>
        <w:t>10</w:t>
      </w:r>
      <w:r w:rsidR="00DF5E1A" w:rsidRPr="00405DF5">
        <w:rPr>
          <w:rFonts w:ascii="Garamond" w:hAnsi="Garamond" w:cs="Arial"/>
          <w:noProof/>
          <w:webHidden/>
        </w:rPr>
        <w:fldChar w:fldCharType="end"/>
      </w:r>
    </w:p>
    <w:p w:rsidR="00737638" w:rsidRPr="00405DF5" w:rsidRDefault="00321427" w:rsidP="00737638">
      <w:pPr>
        <w:pStyle w:val="TOC2"/>
        <w:spacing w:after="0"/>
        <w:rPr>
          <w:rFonts w:ascii="Garamond" w:eastAsiaTheme="minorEastAsia" w:hAnsi="Garamond" w:cs="Arial"/>
          <w:noProof/>
          <w:szCs w:val="22"/>
        </w:rPr>
      </w:pPr>
      <w:r>
        <w:rPr>
          <w:rFonts w:ascii="Garamond" w:hAnsi="Garamond" w:cs="Arial"/>
          <w:noProof/>
        </w:rPr>
        <w:t>5.</w:t>
      </w:r>
      <w:r>
        <w:rPr>
          <w:rFonts w:ascii="Garamond" w:eastAsiaTheme="minorEastAsia" w:hAnsi="Garamond" w:cs="Arial"/>
          <w:noProof/>
          <w:szCs w:val="22"/>
        </w:rPr>
        <w:tab/>
      </w:r>
      <w:r>
        <w:rPr>
          <w:rFonts w:ascii="Garamond" w:hAnsi="Garamond" w:cs="Arial"/>
          <w:noProof/>
        </w:rPr>
        <w:t>Involvement of Small Entities</w:t>
      </w:r>
      <w:r>
        <w:rPr>
          <w:rFonts w:ascii="Garamond" w:hAnsi="Garamond" w:cs="Arial"/>
          <w:noProof/>
          <w:webHidden/>
        </w:rPr>
        <w:tab/>
      </w:r>
      <w:r w:rsidR="00DF5E1A" w:rsidRPr="00405DF5">
        <w:rPr>
          <w:rFonts w:ascii="Garamond" w:hAnsi="Garamond" w:cs="Arial"/>
          <w:noProof/>
          <w:webHidden/>
        </w:rPr>
        <w:fldChar w:fldCharType="begin"/>
      </w:r>
      <w:r>
        <w:rPr>
          <w:rFonts w:ascii="Garamond" w:hAnsi="Garamond" w:cs="Arial"/>
          <w:noProof/>
          <w:webHidden/>
        </w:rPr>
        <w:instrText xml:space="preserve"> PAGEREF _Toc291509287 \h </w:instrText>
      </w:r>
      <w:r w:rsidR="00DF5E1A" w:rsidRPr="00405DF5">
        <w:rPr>
          <w:rFonts w:ascii="Garamond" w:hAnsi="Garamond" w:cs="Arial"/>
          <w:noProof/>
          <w:webHidden/>
        </w:rPr>
      </w:r>
      <w:r w:rsidR="00DF5E1A" w:rsidRPr="00405DF5">
        <w:rPr>
          <w:rFonts w:ascii="Garamond" w:hAnsi="Garamond" w:cs="Arial"/>
          <w:noProof/>
          <w:webHidden/>
        </w:rPr>
        <w:fldChar w:fldCharType="separate"/>
      </w:r>
      <w:r w:rsidR="00204089">
        <w:rPr>
          <w:rFonts w:ascii="Garamond" w:hAnsi="Garamond" w:cs="Arial"/>
          <w:noProof/>
          <w:webHidden/>
        </w:rPr>
        <w:t>10</w:t>
      </w:r>
      <w:r w:rsidR="00DF5E1A" w:rsidRPr="00405DF5">
        <w:rPr>
          <w:rFonts w:ascii="Garamond" w:hAnsi="Garamond" w:cs="Arial"/>
          <w:noProof/>
          <w:webHidden/>
        </w:rPr>
        <w:fldChar w:fldCharType="end"/>
      </w:r>
    </w:p>
    <w:p w:rsidR="00737638" w:rsidRPr="00405DF5" w:rsidRDefault="00321427" w:rsidP="00737638">
      <w:pPr>
        <w:pStyle w:val="TOC2"/>
        <w:spacing w:after="0"/>
        <w:rPr>
          <w:rFonts w:ascii="Garamond" w:eastAsiaTheme="minorEastAsia" w:hAnsi="Garamond" w:cs="Arial"/>
          <w:noProof/>
          <w:szCs w:val="22"/>
        </w:rPr>
      </w:pPr>
      <w:r>
        <w:rPr>
          <w:rFonts w:ascii="Garamond" w:hAnsi="Garamond" w:cs="Arial"/>
          <w:noProof/>
        </w:rPr>
        <w:t>6.</w:t>
      </w:r>
      <w:r>
        <w:rPr>
          <w:rFonts w:ascii="Garamond" w:eastAsiaTheme="minorEastAsia" w:hAnsi="Garamond" w:cs="Arial"/>
          <w:noProof/>
          <w:szCs w:val="22"/>
        </w:rPr>
        <w:tab/>
      </w:r>
      <w:r>
        <w:rPr>
          <w:rFonts w:ascii="Garamond" w:hAnsi="Garamond" w:cs="Arial"/>
          <w:noProof/>
        </w:rPr>
        <w:t>Consequences If Information Is Collected Less Frequently</w:t>
      </w:r>
      <w:r>
        <w:rPr>
          <w:rFonts w:ascii="Garamond" w:hAnsi="Garamond" w:cs="Arial"/>
          <w:noProof/>
          <w:webHidden/>
        </w:rPr>
        <w:tab/>
      </w:r>
      <w:r w:rsidR="00DF5E1A" w:rsidRPr="00405DF5">
        <w:rPr>
          <w:rFonts w:ascii="Garamond" w:hAnsi="Garamond" w:cs="Arial"/>
          <w:noProof/>
          <w:webHidden/>
        </w:rPr>
        <w:fldChar w:fldCharType="begin"/>
      </w:r>
      <w:r>
        <w:rPr>
          <w:rFonts w:ascii="Garamond" w:hAnsi="Garamond" w:cs="Arial"/>
          <w:noProof/>
          <w:webHidden/>
        </w:rPr>
        <w:instrText xml:space="preserve"> PAGEREF _Toc291509288 \h </w:instrText>
      </w:r>
      <w:r w:rsidR="00DF5E1A" w:rsidRPr="00405DF5">
        <w:rPr>
          <w:rFonts w:ascii="Garamond" w:hAnsi="Garamond" w:cs="Arial"/>
          <w:noProof/>
          <w:webHidden/>
        </w:rPr>
      </w:r>
      <w:r w:rsidR="00DF5E1A" w:rsidRPr="00405DF5">
        <w:rPr>
          <w:rFonts w:ascii="Garamond" w:hAnsi="Garamond" w:cs="Arial"/>
          <w:noProof/>
          <w:webHidden/>
        </w:rPr>
        <w:fldChar w:fldCharType="separate"/>
      </w:r>
      <w:r w:rsidR="00204089">
        <w:rPr>
          <w:rFonts w:ascii="Garamond" w:hAnsi="Garamond" w:cs="Arial"/>
          <w:noProof/>
          <w:webHidden/>
        </w:rPr>
        <w:t>10</w:t>
      </w:r>
      <w:r w:rsidR="00DF5E1A" w:rsidRPr="00405DF5">
        <w:rPr>
          <w:rFonts w:ascii="Garamond" w:hAnsi="Garamond" w:cs="Arial"/>
          <w:noProof/>
          <w:webHidden/>
        </w:rPr>
        <w:fldChar w:fldCharType="end"/>
      </w:r>
    </w:p>
    <w:p w:rsidR="00737638" w:rsidRPr="00405DF5" w:rsidRDefault="00321427" w:rsidP="00737638">
      <w:pPr>
        <w:pStyle w:val="TOC2"/>
        <w:spacing w:after="0"/>
        <w:rPr>
          <w:rFonts w:ascii="Garamond" w:eastAsiaTheme="minorEastAsia" w:hAnsi="Garamond" w:cs="Arial"/>
          <w:noProof/>
          <w:szCs w:val="22"/>
        </w:rPr>
      </w:pPr>
      <w:r>
        <w:rPr>
          <w:rFonts w:ascii="Garamond" w:hAnsi="Garamond" w:cs="Arial"/>
          <w:noProof/>
        </w:rPr>
        <w:t>7.</w:t>
      </w:r>
      <w:r>
        <w:rPr>
          <w:rFonts w:ascii="Garamond" w:eastAsiaTheme="minorEastAsia" w:hAnsi="Garamond" w:cs="Arial"/>
          <w:noProof/>
          <w:szCs w:val="22"/>
        </w:rPr>
        <w:tab/>
      </w:r>
      <w:r>
        <w:rPr>
          <w:rFonts w:ascii="Garamond" w:hAnsi="Garamond" w:cs="Arial"/>
          <w:noProof/>
        </w:rPr>
        <w:t>Special Circumstances</w:t>
      </w:r>
      <w:r>
        <w:rPr>
          <w:rFonts w:ascii="Garamond" w:hAnsi="Garamond" w:cs="Arial"/>
          <w:noProof/>
          <w:webHidden/>
        </w:rPr>
        <w:tab/>
      </w:r>
      <w:r w:rsidR="00DF5E1A" w:rsidRPr="00405DF5">
        <w:rPr>
          <w:rFonts w:ascii="Garamond" w:hAnsi="Garamond" w:cs="Arial"/>
          <w:noProof/>
          <w:webHidden/>
        </w:rPr>
        <w:fldChar w:fldCharType="begin"/>
      </w:r>
      <w:r>
        <w:rPr>
          <w:rFonts w:ascii="Garamond" w:hAnsi="Garamond" w:cs="Arial"/>
          <w:noProof/>
          <w:webHidden/>
        </w:rPr>
        <w:instrText xml:space="preserve"> PAGEREF _Toc291509289 \h </w:instrText>
      </w:r>
      <w:r w:rsidR="00DF5E1A" w:rsidRPr="00405DF5">
        <w:rPr>
          <w:rFonts w:ascii="Garamond" w:hAnsi="Garamond" w:cs="Arial"/>
          <w:noProof/>
          <w:webHidden/>
        </w:rPr>
      </w:r>
      <w:r w:rsidR="00DF5E1A" w:rsidRPr="00405DF5">
        <w:rPr>
          <w:rFonts w:ascii="Garamond" w:hAnsi="Garamond" w:cs="Arial"/>
          <w:noProof/>
          <w:webHidden/>
        </w:rPr>
        <w:fldChar w:fldCharType="separate"/>
      </w:r>
      <w:r w:rsidR="00204089">
        <w:rPr>
          <w:rFonts w:ascii="Garamond" w:hAnsi="Garamond" w:cs="Arial"/>
          <w:noProof/>
          <w:webHidden/>
        </w:rPr>
        <w:t>11</w:t>
      </w:r>
      <w:r w:rsidR="00DF5E1A" w:rsidRPr="00405DF5">
        <w:rPr>
          <w:rFonts w:ascii="Garamond" w:hAnsi="Garamond" w:cs="Arial"/>
          <w:noProof/>
          <w:webHidden/>
        </w:rPr>
        <w:fldChar w:fldCharType="end"/>
      </w:r>
    </w:p>
    <w:p w:rsidR="00737638" w:rsidRPr="00405DF5" w:rsidRDefault="00321427" w:rsidP="00737638">
      <w:pPr>
        <w:pStyle w:val="TOC2"/>
        <w:spacing w:after="0"/>
        <w:rPr>
          <w:rFonts w:ascii="Garamond" w:eastAsiaTheme="minorEastAsia" w:hAnsi="Garamond" w:cs="Arial"/>
          <w:noProof/>
          <w:szCs w:val="22"/>
        </w:rPr>
      </w:pPr>
      <w:r>
        <w:rPr>
          <w:rFonts w:ascii="Garamond" w:hAnsi="Garamond" w:cs="Arial"/>
          <w:noProof/>
        </w:rPr>
        <w:t>8.</w:t>
      </w:r>
      <w:r>
        <w:rPr>
          <w:rFonts w:ascii="Garamond" w:eastAsiaTheme="minorEastAsia" w:hAnsi="Garamond" w:cs="Arial"/>
          <w:noProof/>
          <w:szCs w:val="22"/>
        </w:rPr>
        <w:tab/>
      </w:r>
      <w:r>
        <w:rPr>
          <w:rFonts w:ascii="Garamond" w:hAnsi="Garamond" w:cs="Arial"/>
          <w:noProof/>
        </w:rPr>
        <w:t>Register Notice and Outside Consultations</w:t>
      </w:r>
      <w:r>
        <w:rPr>
          <w:rFonts w:ascii="Garamond" w:hAnsi="Garamond" w:cs="Arial"/>
          <w:noProof/>
          <w:webHidden/>
        </w:rPr>
        <w:tab/>
      </w:r>
      <w:r w:rsidR="00DF5E1A" w:rsidRPr="00405DF5">
        <w:rPr>
          <w:rFonts w:ascii="Garamond" w:hAnsi="Garamond" w:cs="Arial"/>
          <w:noProof/>
          <w:webHidden/>
        </w:rPr>
        <w:fldChar w:fldCharType="begin"/>
      </w:r>
      <w:r>
        <w:rPr>
          <w:rFonts w:ascii="Garamond" w:hAnsi="Garamond" w:cs="Arial"/>
          <w:noProof/>
          <w:webHidden/>
        </w:rPr>
        <w:instrText xml:space="preserve"> PAGEREF _Toc291509290 \h </w:instrText>
      </w:r>
      <w:r w:rsidR="00DF5E1A" w:rsidRPr="00405DF5">
        <w:rPr>
          <w:rFonts w:ascii="Garamond" w:hAnsi="Garamond" w:cs="Arial"/>
          <w:noProof/>
          <w:webHidden/>
        </w:rPr>
      </w:r>
      <w:r w:rsidR="00DF5E1A" w:rsidRPr="00405DF5">
        <w:rPr>
          <w:rFonts w:ascii="Garamond" w:hAnsi="Garamond" w:cs="Arial"/>
          <w:noProof/>
          <w:webHidden/>
        </w:rPr>
        <w:fldChar w:fldCharType="separate"/>
      </w:r>
      <w:r w:rsidR="00204089">
        <w:rPr>
          <w:rFonts w:ascii="Garamond" w:hAnsi="Garamond" w:cs="Arial"/>
          <w:noProof/>
          <w:webHidden/>
        </w:rPr>
        <w:t>11</w:t>
      </w:r>
      <w:r w:rsidR="00DF5E1A" w:rsidRPr="00405DF5">
        <w:rPr>
          <w:rFonts w:ascii="Garamond" w:hAnsi="Garamond" w:cs="Arial"/>
          <w:noProof/>
          <w:webHidden/>
        </w:rPr>
        <w:fldChar w:fldCharType="end"/>
      </w:r>
    </w:p>
    <w:p w:rsidR="00737638" w:rsidRPr="00405DF5" w:rsidRDefault="00321427" w:rsidP="00737638">
      <w:pPr>
        <w:pStyle w:val="TOC2"/>
        <w:spacing w:after="0"/>
        <w:rPr>
          <w:rFonts w:ascii="Garamond" w:eastAsiaTheme="minorEastAsia" w:hAnsi="Garamond" w:cs="Arial"/>
          <w:noProof/>
          <w:szCs w:val="22"/>
        </w:rPr>
      </w:pPr>
      <w:r>
        <w:rPr>
          <w:rFonts w:ascii="Garamond" w:hAnsi="Garamond" w:cs="Arial"/>
          <w:noProof/>
        </w:rPr>
        <w:t>9.</w:t>
      </w:r>
      <w:r>
        <w:rPr>
          <w:rFonts w:ascii="Garamond" w:eastAsiaTheme="minorEastAsia" w:hAnsi="Garamond" w:cs="Arial"/>
          <w:noProof/>
          <w:szCs w:val="22"/>
        </w:rPr>
        <w:tab/>
      </w:r>
      <w:r>
        <w:rPr>
          <w:rFonts w:ascii="Garamond" w:hAnsi="Garamond" w:cs="Arial"/>
          <w:noProof/>
        </w:rPr>
        <w:t>Payments/Gifts to Respondents</w:t>
      </w:r>
      <w:r>
        <w:rPr>
          <w:rFonts w:ascii="Garamond" w:hAnsi="Garamond" w:cs="Arial"/>
          <w:noProof/>
          <w:webHidden/>
        </w:rPr>
        <w:tab/>
      </w:r>
      <w:r w:rsidR="00DF5E1A" w:rsidRPr="00405DF5">
        <w:rPr>
          <w:rFonts w:ascii="Garamond" w:hAnsi="Garamond" w:cs="Arial"/>
          <w:noProof/>
          <w:webHidden/>
        </w:rPr>
        <w:fldChar w:fldCharType="begin"/>
      </w:r>
      <w:r>
        <w:rPr>
          <w:rFonts w:ascii="Garamond" w:hAnsi="Garamond" w:cs="Arial"/>
          <w:noProof/>
          <w:webHidden/>
        </w:rPr>
        <w:instrText xml:space="preserve"> PAGEREF _Toc291509293 \h </w:instrText>
      </w:r>
      <w:r w:rsidR="00DF5E1A" w:rsidRPr="00405DF5">
        <w:rPr>
          <w:rFonts w:ascii="Garamond" w:hAnsi="Garamond" w:cs="Arial"/>
          <w:noProof/>
          <w:webHidden/>
        </w:rPr>
      </w:r>
      <w:r w:rsidR="00DF5E1A" w:rsidRPr="00405DF5">
        <w:rPr>
          <w:rFonts w:ascii="Garamond" w:hAnsi="Garamond" w:cs="Arial"/>
          <w:noProof/>
          <w:webHidden/>
        </w:rPr>
        <w:fldChar w:fldCharType="separate"/>
      </w:r>
      <w:r w:rsidR="00204089">
        <w:rPr>
          <w:rFonts w:ascii="Garamond" w:hAnsi="Garamond" w:cs="Arial"/>
          <w:noProof/>
          <w:webHidden/>
        </w:rPr>
        <w:t>11</w:t>
      </w:r>
      <w:r w:rsidR="00DF5E1A" w:rsidRPr="00405DF5">
        <w:rPr>
          <w:rFonts w:ascii="Garamond" w:hAnsi="Garamond" w:cs="Arial"/>
          <w:noProof/>
          <w:webHidden/>
        </w:rPr>
        <w:fldChar w:fldCharType="end"/>
      </w:r>
    </w:p>
    <w:p w:rsidR="00737638" w:rsidRPr="00405DF5" w:rsidRDefault="00321427" w:rsidP="00737638">
      <w:pPr>
        <w:pStyle w:val="TOC2"/>
        <w:spacing w:after="0"/>
        <w:rPr>
          <w:rFonts w:ascii="Garamond" w:eastAsiaTheme="minorEastAsia" w:hAnsi="Garamond" w:cs="Arial"/>
          <w:noProof/>
          <w:szCs w:val="22"/>
        </w:rPr>
      </w:pPr>
      <w:r>
        <w:rPr>
          <w:rFonts w:ascii="Garamond" w:hAnsi="Garamond" w:cs="Arial"/>
          <w:noProof/>
        </w:rPr>
        <w:t>10.</w:t>
      </w:r>
      <w:r>
        <w:rPr>
          <w:rFonts w:ascii="Garamond" w:eastAsiaTheme="minorEastAsia" w:hAnsi="Garamond" w:cs="Arial"/>
          <w:noProof/>
          <w:szCs w:val="22"/>
        </w:rPr>
        <w:tab/>
      </w:r>
      <w:r>
        <w:rPr>
          <w:rFonts w:ascii="Garamond" w:hAnsi="Garamond" w:cs="Arial"/>
          <w:noProof/>
        </w:rPr>
        <w:t>Assurance of Confidentiality</w:t>
      </w:r>
      <w:r>
        <w:rPr>
          <w:rFonts w:ascii="Garamond" w:hAnsi="Garamond" w:cs="Arial"/>
          <w:noProof/>
          <w:webHidden/>
        </w:rPr>
        <w:tab/>
      </w:r>
      <w:r w:rsidR="00DF5E1A" w:rsidRPr="00405DF5">
        <w:rPr>
          <w:rFonts w:ascii="Garamond" w:hAnsi="Garamond" w:cs="Arial"/>
          <w:noProof/>
          <w:webHidden/>
        </w:rPr>
        <w:fldChar w:fldCharType="begin"/>
      </w:r>
      <w:r>
        <w:rPr>
          <w:rFonts w:ascii="Garamond" w:hAnsi="Garamond" w:cs="Arial"/>
          <w:noProof/>
          <w:webHidden/>
        </w:rPr>
        <w:instrText xml:space="preserve"> PAGEREF _Toc291509294 \h </w:instrText>
      </w:r>
      <w:r w:rsidR="00DF5E1A" w:rsidRPr="00405DF5">
        <w:rPr>
          <w:rFonts w:ascii="Garamond" w:hAnsi="Garamond" w:cs="Arial"/>
          <w:noProof/>
          <w:webHidden/>
        </w:rPr>
      </w:r>
      <w:r w:rsidR="00DF5E1A" w:rsidRPr="00405DF5">
        <w:rPr>
          <w:rFonts w:ascii="Garamond" w:hAnsi="Garamond" w:cs="Arial"/>
          <w:noProof/>
          <w:webHidden/>
        </w:rPr>
        <w:fldChar w:fldCharType="separate"/>
      </w:r>
      <w:r w:rsidR="00204089">
        <w:rPr>
          <w:rFonts w:ascii="Garamond" w:hAnsi="Garamond" w:cs="Arial"/>
          <w:noProof/>
          <w:webHidden/>
        </w:rPr>
        <w:t>12</w:t>
      </w:r>
      <w:r w:rsidR="00DF5E1A" w:rsidRPr="00405DF5">
        <w:rPr>
          <w:rFonts w:ascii="Garamond" w:hAnsi="Garamond" w:cs="Arial"/>
          <w:noProof/>
          <w:webHidden/>
        </w:rPr>
        <w:fldChar w:fldCharType="end"/>
      </w:r>
    </w:p>
    <w:p w:rsidR="00737638" w:rsidRPr="00405DF5" w:rsidRDefault="00321427" w:rsidP="00737638">
      <w:pPr>
        <w:pStyle w:val="TOC2"/>
        <w:spacing w:after="0"/>
        <w:rPr>
          <w:rFonts w:ascii="Garamond" w:eastAsiaTheme="minorEastAsia" w:hAnsi="Garamond" w:cs="Arial"/>
          <w:noProof/>
          <w:szCs w:val="22"/>
        </w:rPr>
      </w:pPr>
      <w:r>
        <w:rPr>
          <w:rFonts w:ascii="Garamond" w:hAnsi="Garamond" w:cs="Arial"/>
          <w:noProof/>
        </w:rPr>
        <w:t>11.</w:t>
      </w:r>
      <w:r>
        <w:rPr>
          <w:rFonts w:ascii="Garamond" w:eastAsiaTheme="minorEastAsia" w:hAnsi="Garamond" w:cs="Arial"/>
          <w:noProof/>
          <w:szCs w:val="22"/>
        </w:rPr>
        <w:tab/>
      </w:r>
      <w:r>
        <w:rPr>
          <w:rFonts w:ascii="Garamond" w:hAnsi="Garamond" w:cs="Arial"/>
          <w:noProof/>
        </w:rPr>
        <w:t>Questions of a Sensitive Nature</w:t>
      </w:r>
      <w:r>
        <w:rPr>
          <w:rFonts w:ascii="Garamond" w:hAnsi="Garamond" w:cs="Arial"/>
          <w:noProof/>
          <w:webHidden/>
        </w:rPr>
        <w:tab/>
      </w:r>
      <w:r w:rsidR="00DF5E1A" w:rsidRPr="00405DF5">
        <w:rPr>
          <w:rFonts w:ascii="Garamond" w:hAnsi="Garamond" w:cs="Arial"/>
          <w:noProof/>
          <w:webHidden/>
        </w:rPr>
        <w:fldChar w:fldCharType="begin"/>
      </w:r>
      <w:r>
        <w:rPr>
          <w:rFonts w:ascii="Garamond" w:hAnsi="Garamond" w:cs="Arial"/>
          <w:noProof/>
          <w:webHidden/>
        </w:rPr>
        <w:instrText xml:space="preserve"> PAGEREF _Toc291509295 \h </w:instrText>
      </w:r>
      <w:r w:rsidR="00DF5E1A" w:rsidRPr="00405DF5">
        <w:rPr>
          <w:rFonts w:ascii="Garamond" w:hAnsi="Garamond" w:cs="Arial"/>
          <w:noProof/>
          <w:webHidden/>
        </w:rPr>
      </w:r>
      <w:r w:rsidR="00DF5E1A" w:rsidRPr="00405DF5">
        <w:rPr>
          <w:rFonts w:ascii="Garamond" w:hAnsi="Garamond" w:cs="Arial"/>
          <w:noProof/>
          <w:webHidden/>
        </w:rPr>
        <w:fldChar w:fldCharType="separate"/>
      </w:r>
      <w:r w:rsidR="00204089">
        <w:rPr>
          <w:rFonts w:ascii="Garamond" w:hAnsi="Garamond" w:cs="Arial"/>
          <w:noProof/>
          <w:webHidden/>
        </w:rPr>
        <w:t>12</w:t>
      </w:r>
      <w:r w:rsidR="00DF5E1A" w:rsidRPr="00405DF5">
        <w:rPr>
          <w:rFonts w:ascii="Garamond" w:hAnsi="Garamond" w:cs="Arial"/>
          <w:noProof/>
          <w:webHidden/>
        </w:rPr>
        <w:fldChar w:fldCharType="end"/>
      </w:r>
    </w:p>
    <w:p w:rsidR="00737638" w:rsidRPr="00405DF5" w:rsidRDefault="00321427" w:rsidP="00737638">
      <w:pPr>
        <w:pStyle w:val="TOC2"/>
        <w:spacing w:after="0"/>
        <w:rPr>
          <w:rFonts w:ascii="Garamond" w:eastAsiaTheme="minorEastAsia" w:hAnsi="Garamond" w:cs="Arial"/>
          <w:noProof/>
          <w:szCs w:val="22"/>
        </w:rPr>
      </w:pPr>
      <w:r>
        <w:rPr>
          <w:rFonts w:ascii="Garamond" w:hAnsi="Garamond" w:cs="Arial"/>
          <w:noProof/>
        </w:rPr>
        <w:t>12.</w:t>
      </w:r>
      <w:r>
        <w:rPr>
          <w:rFonts w:ascii="Garamond" w:eastAsiaTheme="minorEastAsia" w:hAnsi="Garamond" w:cs="Arial"/>
          <w:noProof/>
          <w:szCs w:val="22"/>
        </w:rPr>
        <w:tab/>
      </w:r>
      <w:r>
        <w:rPr>
          <w:rFonts w:ascii="Garamond" w:hAnsi="Garamond" w:cs="Arial"/>
          <w:noProof/>
        </w:rPr>
        <w:t>Estimates of Annualized Burden Hours and Cost</w:t>
      </w:r>
      <w:r>
        <w:rPr>
          <w:rFonts w:ascii="Garamond" w:hAnsi="Garamond" w:cs="Arial"/>
          <w:noProof/>
          <w:webHidden/>
        </w:rPr>
        <w:tab/>
      </w:r>
      <w:r w:rsidR="00DF5E1A" w:rsidRPr="00405DF5">
        <w:rPr>
          <w:rFonts w:ascii="Garamond" w:hAnsi="Garamond" w:cs="Arial"/>
          <w:noProof/>
          <w:webHidden/>
        </w:rPr>
        <w:fldChar w:fldCharType="begin"/>
      </w:r>
      <w:r>
        <w:rPr>
          <w:rFonts w:ascii="Garamond" w:hAnsi="Garamond" w:cs="Arial"/>
          <w:noProof/>
          <w:webHidden/>
        </w:rPr>
        <w:instrText xml:space="preserve"> PAGEREF _Toc291509296 \h </w:instrText>
      </w:r>
      <w:r w:rsidR="00DF5E1A" w:rsidRPr="00405DF5">
        <w:rPr>
          <w:rFonts w:ascii="Garamond" w:hAnsi="Garamond" w:cs="Arial"/>
          <w:noProof/>
          <w:webHidden/>
        </w:rPr>
      </w:r>
      <w:r w:rsidR="00DF5E1A" w:rsidRPr="00405DF5">
        <w:rPr>
          <w:rFonts w:ascii="Garamond" w:hAnsi="Garamond" w:cs="Arial"/>
          <w:noProof/>
          <w:webHidden/>
        </w:rPr>
        <w:fldChar w:fldCharType="separate"/>
      </w:r>
      <w:r w:rsidR="00204089">
        <w:rPr>
          <w:rFonts w:ascii="Garamond" w:hAnsi="Garamond" w:cs="Arial"/>
          <w:noProof/>
          <w:webHidden/>
        </w:rPr>
        <w:t>13</w:t>
      </w:r>
      <w:r w:rsidR="00DF5E1A" w:rsidRPr="00405DF5">
        <w:rPr>
          <w:rFonts w:ascii="Garamond" w:hAnsi="Garamond" w:cs="Arial"/>
          <w:noProof/>
          <w:webHidden/>
        </w:rPr>
        <w:fldChar w:fldCharType="end"/>
      </w:r>
    </w:p>
    <w:p w:rsidR="00737638" w:rsidRPr="00405DF5" w:rsidRDefault="00321427" w:rsidP="00737638">
      <w:pPr>
        <w:pStyle w:val="TOC2"/>
        <w:spacing w:after="0"/>
        <w:rPr>
          <w:rFonts w:ascii="Garamond" w:eastAsiaTheme="minorEastAsia" w:hAnsi="Garamond" w:cs="Arial"/>
          <w:noProof/>
          <w:szCs w:val="22"/>
        </w:rPr>
      </w:pPr>
      <w:r>
        <w:rPr>
          <w:rFonts w:ascii="Garamond" w:hAnsi="Garamond" w:cs="Arial"/>
          <w:noProof/>
        </w:rPr>
        <w:t>13.</w:t>
      </w:r>
      <w:r>
        <w:rPr>
          <w:rFonts w:ascii="Garamond" w:eastAsiaTheme="minorEastAsia" w:hAnsi="Garamond" w:cs="Arial"/>
          <w:noProof/>
          <w:szCs w:val="22"/>
        </w:rPr>
        <w:tab/>
      </w:r>
      <w:r>
        <w:rPr>
          <w:rFonts w:ascii="Garamond" w:hAnsi="Garamond" w:cs="Arial"/>
          <w:noProof/>
        </w:rPr>
        <w:t>Estimates of Annualized Respondent Capital and Maintenance Costs</w:t>
      </w:r>
      <w:r>
        <w:rPr>
          <w:rFonts w:ascii="Garamond" w:hAnsi="Garamond" w:cs="Arial"/>
          <w:noProof/>
          <w:webHidden/>
        </w:rPr>
        <w:tab/>
      </w:r>
      <w:r w:rsidR="00DF5E1A" w:rsidRPr="00405DF5">
        <w:rPr>
          <w:rFonts w:ascii="Garamond" w:hAnsi="Garamond" w:cs="Arial"/>
          <w:noProof/>
          <w:webHidden/>
        </w:rPr>
        <w:fldChar w:fldCharType="begin"/>
      </w:r>
      <w:r>
        <w:rPr>
          <w:rFonts w:ascii="Garamond" w:hAnsi="Garamond" w:cs="Arial"/>
          <w:noProof/>
          <w:webHidden/>
        </w:rPr>
        <w:instrText xml:space="preserve"> PAGEREF _Toc291509297 \h </w:instrText>
      </w:r>
      <w:r w:rsidR="00DF5E1A" w:rsidRPr="00405DF5">
        <w:rPr>
          <w:rFonts w:ascii="Garamond" w:hAnsi="Garamond" w:cs="Arial"/>
          <w:noProof/>
          <w:webHidden/>
        </w:rPr>
      </w:r>
      <w:r w:rsidR="00DF5E1A" w:rsidRPr="00405DF5">
        <w:rPr>
          <w:rFonts w:ascii="Garamond" w:hAnsi="Garamond" w:cs="Arial"/>
          <w:noProof/>
          <w:webHidden/>
        </w:rPr>
        <w:fldChar w:fldCharType="separate"/>
      </w:r>
      <w:r w:rsidR="00204089">
        <w:rPr>
          <w:rFonts w:ascii="Garamond" w:hAnsi="Garamond" w:cs="Arial"/>
          <w:noProof/>
          <w:webHidden/>
        </w:rPr>
        <w:t>15</w:t>
      </w:r>
      <w:r w:rsidR="00DF5E1A" w:rsidRPr="00405DF5">
        <w:rPr>
          <w:rFonts w:ascii="Garamond" w:hAnsi="Garamond" w:cs="Arial"/>
          <w:noProof/>
          <w:webHidden/>
        </w:rPr>
        <w:fldChar w:fldCharType="end"/>
      </w:r>
    </w:p>
    <w:p w:rsidR="00737638" w:rsidRPr="00405DF5" w:rsidRDefault="00321427" w:rsidP="00737638">
      <w:pPr>
        <w:pStyle w:val="TOC2"/>
        <w:spacing w:after="0"/>
        <w:rPr>
          <w:rFonts w:ascii="Garamond" w:eastAsiaTheme="minorEastAsia" w:hAnsi="Garamond" w:cs="Arial"/>
          <w:noProof/>
          <w:szCs w:val="22"/>
        </w:rPr>
      </w:pPr>
      <w:r>
        <w:rPr>
          <w:rFonts w:ascii="Garamond" w:hAnsi="Garamond" w:cs="Arial"/>
          <w:noProof/>
        </w:rPr>
        <w:t>14.</w:t>
      </w:r>
      <w:r>
        <w:rPr>
          <w:rFonts w:ascii="Garamond" w:eastAsiaTheme="minorEastAsia" w:hAnsi="Garamond" w:cs="Arial"/>
          <w:noProof/>
          <w:szCs w:val="22"/>
        </w:rPr>
        <w:tab/>
      </w:r>
      <w:r>
        <w:rPr>
          <w:rFonts w:ascii="Garamond" w:hAnsi="Garamond" w:cs="Arial"/>
          <w:noProof/>
        </w:rPr>
        <w:t>Estimates of Annualized Cost to the Government</w:t>
      </w:r>
      <w:r>
        <w:rPr>
          <w:rFonts w:ascii="Garamond" w:hAnsi="Garamond" w:cs="Arial"/>
          <w:noProof/>
          <w:webHidden/>
        </w:rPr>
        <w:tab/>
      </w:r>
      <w:r w:rsidR="00DF5E1A" w:rsidRPr="00405DF5">
        <w:rPr>
          <w:rFonts w:ascii="Garamond" w:hAnsi="Garamond" w:cs="Arial"/>
          <w:noProof/>
          <w:webHidden/>
        </w:rPr>
        <w:fldChar w:fldCharType="begin"/>
      </w:r>
      <w:r>
        <w:rPr>
          <w:rFonts w:ascii="Garamond" w:hAnsi="Garamond" w:cs="Arial"/>
          <w:noProof/>
          <w:webHidden/>
        </w:rPr>
        <w:instrText xml:space="preserve"> PAGEREF _Toc291509298 \h </w:instrText>
      </w:r>
      <w:r w:rsidR="00DF5E1A" w:rsidRPr="00405DF5">
        <w:rPr>
          <w:rFonts w:ascii="Garamond" w:hAnsi="Garamond" w:cs="Arial"/>
          <w:noProof/>
          <w:webHidden/>
        </w:rPr>
      </w:r>
      <w:r w:rsidR="00DF5E1A" w:rsidRPr="00405DF5">
        <w:rPr>
          <w:rFonts w:ascii="Garamond" w:hAnsi="Garamond" w:cs="Arial"/>
          <w:noProof/>
          <w:webHidden/>
        </w:rPr>
        <w:fldChar w:fldCharType="separate"/>
      </w:r>
      <w:r w:rsidR="00204089">
        <w:rPr>
          <w:rFonts w:ascii="Garamond" w:hAnsi="Garamond" w:cs="Arial"/>
          <w:noProof/>
          <w:webHidden/>
        </w:rPr>
        <w:t>15</w:t>
      </w:r>
      <w:r w:rsidR="00DF5E1A" w:rsidRPr="00405DF5">
        <w:rPr>
          <w:rFonts w:ascii="Garamond" w:hAnsi="Garamond" w:cs="Arial"/>
          <w:noProof/>
          <w:webHidden/>
        </w:rPr>
        <w:fldChar w:fldCharType="end"/>
      </w:r>
    </w:p>
    <w:p w:rsidR="00737638" w:rsidRPr="00405DF5" w:rsidRDefault="00321427" w:rsidP="00737638">
      <w:pPr>
        <w:pStyle w:val="TOC2"/>
        <w:spacing w:after="0"/>
        <w:rPr>
          <w:rFonts w:ascii="Garamond" w:eastAsiaTheme="minorEastAsia" w:hAnsi="Garamond" w:cs="Arial"/>
          <w:noProof/>
          <w:szCs w:val="22"/>
        </w:rPr>
      </w:pPr>
      <w:r>
        <w:rPr>
          <w:rFonts w:ascii="Garamond" w:hAnsi="Garamond" w:cs="Arial"/>
          <w:noProof/>
        </w:rPr>
        <w:t>15.</w:t>
      </w:r>
      <w:r>
        <w:rPr>
          <w:rFonts w:ascii="Garamond" w:eastAsiaTheme="minorEastAsia" w:hAnsi="Garamond" w:cs="Arial"/>
          <w:noProof/>
          <w:szCs w:val="22"/>
        </w:rPr>
        <w:tab/>
      </w:r>
      <w:r>
        <w:rPr>
          <w:rFonts w:ascii="Garamond" w:hAnsi="Garamond" w:cs="Arial"/>
          <w:noProof/>
        </w:rPr>
        <w:t>Changes in Hour Burden</w:t>
      </w:r>
      <w:r>
        <w:rPr>
          <w:rFonts w:ascii="Garamond" w:hAnsi="Garamond" w:cs="Arial"/>
          <w:noProof/>
          <w:webHidden/>
        </w:rPr>
        <w:tab/>
      </w:r>
      <w:r w:rsidR="00DF5E1A" w:rsidRPr="00405DF5">
        <w:rPr>
          <w:rFonts w:ascii="Garamond" w:hAnsi="Garamond" w:cs="Arial"/>
          <w:noProof/>
          <w:webHidden/>
        </w:rPr>
        <w:fldChar w:fldCharType="begin"/>
      </w:r>
      <w:r>
        <w:rPr>
          <w:rFonts w:ascii="Garamond" w:hAnsi="Garamond" w:cs="Arial"/>
          <w:noProof/>
          <w:webHidden/>
        </w:rPr>
        <w:instrText xml:space="preserve"> PAGEREF _Toc291509299 \h </w:instrText>
      </w:r>
      <w:r w:rsidR="00DF5E1A" w:rsidRPr="00405DF5">
        <w:rPr>
          <w:rFonts w:ascii="Garamond" w:hAnsi="Garamond" w:cs="Arial"/>
          <w:noProof/>
          <w:webHidden/>
        </w:rPr>
      </w:r>
      <w:r w:rsidR="00DF5E1A" w:rsidRPr="00405DF5">
        <w:rPr>
          <w:rFonts w:ascii="Garamond" w:hAnsi="Garamond" w:cs="Arial"/>
          <w:noProof/>
          <w:webHidden/>
        </w:rPr>
        <w:fldChar w:fldCharType="separate"/>
      </w:r>
      <w:r w:rsidR="00204089">
        <w:rPr>
          <w:rFonts w:ascii="Garamond" w:hAnsi="Garamond" w:cs="Arial"/>
          <w:noProof/>
          <w:webHidden/>
        </w:rPr>
        <w:t>15</w:t>
      </w:r>
      <w:r w:rsidR="00DF5E1A" w:rsidRPr="00405DF5">
        <w:rPr>
          <w:rFonts w:ascii="Garamond" w:hAnsi="Garamond" w:cs="Arial"/>
          <w:noProof/>
          <w:webHidden/>
        </w:rPr>
        <w:fldChar w:fldCharType="end"/>
      </w:r>
    </w:p>
    <w:p w:rsidR="00737638" w:rsidRPr="00405DF5" w:rsidRDefault="00321427" w:rsidP="00737638">
      <w:pPr>
        <w:pStyle w:val="TOC2"/>
        <w:spacing w:after="0"/>
        <w:rPr>
          <w:rFonts w:ascii="Garamond" w:eastAsiaTheme="minorEastAsia" w:hAnsi="Garamond" w:cs="Arial"/>
          <w:noProof/>
          <w:szCs w:val="22"/>
        </w:rPr>
      </w:pPr>
      <w:r>
        <w:rPr>
          <w:rFonts w:ascii="Garamond" w:hAnsi="Garamond" w:cs="Arial"/>
          <w:noProof/>
        </w:rPr>
        <w:t>16.</w:t>
      </w:r>
      <w:r>
        <w:rPr>
          <w:rFonts w:ascii="Garamond" w:eastAsiaTheme="minorEastAsia" w:hAnsi="Garamond" w:cs="Arial"/>
          <w:noProof/>
          <w:szCs w:val="22"/>
        </w:rPr>
        <w:tab/>
      </w:r>
      <w:r>
        <w:rPr>
          <w:rFonts w:ascii="Garamond" w:hAnsi="Garamond" w:cs="Arial"/>
          <w:noProof/>
        </w:rPr>
        <w:t>Time Schedule, Publication and Analysis Plans</w:t>
      </w:r>
      <w:r>
        <w:rPr>
          <w:rFonts w:ascii="Garamond" w:hAnsi="Garamond" w:cs="Arial"/>
          <w:noProof/>
          <w:webHidden/>
        </w:rPr>
        <w:tab/>
      </w:r>
      <w:r w:rsidR="00DF5E1A" w:rsidRPr="00405DF5">
        <w:rPr>
          <w:rFonts w:ascii="Garamond" w:hAnsi="Garamond" w:cs="Arial"/>
          <w:noProof/>
          <w:webHidden/>
        </w:rPr>
        <w:fldChar w:fldCharType="begin"/>
      </w:r>
      <w:r>
        <w:rPr>
          <w:rFonts w:ascii="Garamond" w:hAnsi="Garamond" w:cs="Arial"/>
          <w:noProof/>
          <w:webHidden/>
        </w:rPr>
        <w:instrText xml:space="preserve"> PAGEREF _Toc291509300 \h </w:instrText>
      </w:r>
      <w:r w:rsidR="00DF5E1A" w:rsidRPr="00405DF5">
        <w:rPr>
          <w:rFonts w:ascii="Garamond" w:hAnsi="Garamond" w:cs="Arial"/>
          <w:noProof/>
          <w:webHidden/>
        </w:rPr>
      </w:r>
      <w:r w:rsidR="00DF5E1A" w:rsidRPr="00405DF5">
        <w:rPr>
          <w:rFonts w:ascii="Garamond" w:hAnsi="Garamond" w:cs="Arial"/>
          <w:noProof/>
          <w:webHidden/>
        </w:rPr>
        <w:fldChar w:fldCharType="separate"/>
      </w:r>
      <w:r w:rsidR="00204089">
        <w:rPr>
          <w:rFonts w:ascii="Garamond" w:hAnsi="Garamond" w:cs="Arial"/>
          <w:noProof/>
          <w:webHidden/>
        </w:rPr>
        <w:t>15</w:t>
      </w:r>
      <w:r w:rsidR="00DF5E1A" w:rsidRPr="00405DF5">
        <w:rPr>
          <w:rFonts w:ascii="Garamond" w:hAnsi="Garamond" w:cs="Arial"/>
          <w:noProof/>
          <w:webHidden/>
        </w:rPr>
        <w:fldChar w:fldCharType="end"/>
      </w:r>
    </w:p>
    <w:p w:rsidR="00737638" w:rsidRPr="00405DF5" w:rsidRDefault="00321427" w:rsidP="00737638">
      <w:pPr>
        <w:pStyle w:val="TOC2"/>
        <w:spacing w:after="0"/>
        <w:rPr>
          <w:rFonts w:ascii="Garamond" w:hAnsi="Garamond" w:cs="Arial"/>
          <w:noProof/>
          <w:webHidden/>
        </w:rPr>
      </w:pPr>
      <w:r>
        <w:rPr>
          <w:rFonts w:ascii="Garamond" w:hAnsi="Garamond" w:cs="Arial"/>
          <w:noProof/>
        </w:rPr>
        <w:t>17.</w:t>
      </w:r>
      <w:r>
        <w:rPr>
          <w:rFonts w:ascii="Garamond" w:eastAsiaTheme="minorEastAsia" w:hAnsi="Garamond" w:cs="Arial"/>
          <w:noProof/>
          <w:szCs w:val="22"/>
        </w:rPr>
        <w:tab/>
      </w:r>
      <w:r>
        <w:rPr>
          <w:rFonts w:ascii="Garamond" w:hAnsi="Garamond" w:cs="Arial"/>
          <w:noProof/>
        </w:rPr>
        <w:t>Exemption for Display of Expiration Date</w:t>
      </w:r>
      <w:r>
        <w:rPr>
          <w:rFonts w:ascii="Garamond" w:hAnsi="Garamond" w:cs="Arial"/>
          <w:noProof/>
          <w:webHidden/>
        </w:rPr>
        <w:tab/>
      </w:r>
      <w:r w:rsidR="00DF5E1A" w:rsidRPr="00405DF5">
        <w:rPr>
          <w:rFonts w:ascii="Garamond" w:hAnsi="Garamond" w:cs="Arial"/>
          <w:noProof/>
          <w:webHidden/>
        </w:rPr>
        <w:fldChar w:fldCharType="begin"/>
      </w:r>
      <w:r>
        <w:rPr>
          <w:rFonts w:ascii="Garamond" w:hAnsi="Garamond" w:cs="Arial"/>
          <w:noProof/>
          <w:webHidden/>
        </w:rPr>
        <w:instrText xml:space="preserve"> PAGEREF _Toc291509301 \h </w:instrText>
      </w:r>
      <w:r w:rsidR="00DF5E1A" w:rsidRPr="00405DF5">
        <w:rPr>
          <w:rFonts w:ascii="Garamond" w:hAnsi="Garamond" w:cs="Arial"/>
          <w:noProof/>
          <w:webHidden/>
        </w:rPr>
      </w:r>
      <w:r w:rsidR="00DF5E1A" w:rsidRPr="00405DF5">
        <w:rPr>
          <w:rFonts w:ascii="Garamond" w:hAnsi="Garamond" w:cs="Arial"/>
          <w:noProof/>
          <w:webHidden/>
        </w:rPr>
        <w:fldChar w:fldCharType="separate"/>
      </w:r>
      <w:r w:rsidR="00204089">
        <w:rPr>
          <w:rFonts w:ascii="Garamond" w:hAnsi="Garamond" w:cs="Arial"/>
          <w:noProof/>
          <w:webHidden/>
        </w:rPr>
        <w:t>15</w:t>
      </w:r>
      <w:r w:rsidR="00DF5E1A" w:rsidRPr="00405DF5">
        <w:rPr>
          <w:rFonts w:ascii="Garamond" w:hAnsi="Garamond" w:cs="Arial"/>
          <w:noProof/>
          <w:webHidden/>
        </w:rPr>
        <w:fldChar w:fldCharType="end"/>
      </w:r>
    </w:p>
    <w:p w:rsidR="00FC0FC9" w:rsidRPr="00405DF5" w:rsidRDefault="00321427" w:rsidP="00AE0ED4">
      <w:pPr>
        <w:tabs>
          <w:tab w:val="left" w:pos="990"/>
        </w:tabs>
        <w:rPr>
          <w:rFonts w:eastAsiaTheme="minorEastAsia"/>
        </w:rPr>
      </w:pPr>
      <w:r>
        <w:rPr>
          <w:rFonts w:eastAsiaTheme="minorEastAsia"/>
        </w:rPr>
        <w:tab/>
        <w:t>List of Attachments</w:t>
      </w:r>
      <w:r>
        <w:rPr>
          <w:rFonts w:eastAsiaTheme="minorEastAsia"/>
        </w:rPr>
        <w:tab/>
        <w:t>…………………………………………</w:t>
      </w:r>
      <w:r>
        <w:rPr>
          <w:rFonts w:eastAsiaTheme="minorEastAsia"/>
        </w:rPr>
        <w:tab/>
        <w:t>………………….11</w:t>
      </w:r>
      <w:r>
        <w:rPr>
          <w:rFonts w:eastAsiaTheme="minorEastAsia"/>
        </w:rPr>
        <w:tab/>
      </w:r>
    </w:p>
    <w:p w:rsidR="003E448F" w:rsidRPr="00405DF5" w:rsidRDefault="00DF5E1A" w:rsidP="00737638">
      <w:pPr>
        <w:spacing w:line="240" w:lineRule="auto"/>
        <w:ind w:firstLine="0"/>
        <w:jc w:val="center"/>
        <w:rPr>
          <w:rFonts w:cs="Lucida Sans"/>
          <w:b/>
        </w:rPr>
        <w:sectPr w:rsidR="003E448F" w:rsidRPr="00405DF5" w:rsidSect="007C0CD8">
          <w:endnotePr>
            <w:numFmt w:val="decimal"/>
          </w:endnotePr>
          <w:pgSz w:w="12240" w:h="15840" w:code="1"/>
          <w:pgMar w:top="1440" w:right="1440" w:bottom="576" w:left="1440" w:header="720" w:footer="576" w:gutter="0"/>
          <w:cols w:space="720"/>
          <w:docGrid w:linePitch="326"/>
        </w:sectPr>
      </w:pPr>
      <w:r w:rsidRPr="00405DF5">
        <w:rPr>
          <w:rFonts w:cs="Lucida Sans"/>
          <w:b/>
        </w:rPr>
        <w:fldChar w:fldCharType="end"/>
      </w:r>
    </w:p>
    <w:p w:rsidR="003E448F" w:rsidRPr="00405DF5" w:rsidRDefault="00321427" w:rsidP="00CA300C">
      <w:pPr>
        <w:pStyle w:val="Heading1Black"/>
        <w:numPr>
          <w:ilvl w:val="0"/>
          <w:numId w:val="24"/>
        </w:numPr>
        <w:rPr>
          <w:rFonts w:ascii="Arial" w:hAnsi="Arial" w:cs="Arial"/>
        </w:rPr>
      </w:pPr>
      <w:bookmarkStart w:id="5" w:name="_Toc291509282"/>
      <w:r>
        <w:rPr>
          <w:rFonts w:ascii="Arial" w:hAnsi="Arial" w:cs="Arial"/>
        </w:rPr>
        <w:lastRenderedPageBreak/>
        <w:t>Justification</w:t>
      </w:r>
      <w:bookmarkEnd w:id="5"/>
    </w:p>
    <w:p w:rsidR="009231EE" w:rsidRPr="007C68A8" w:rsidRDefault="00321427">
      <w:pPr>
        <w:ind w:firstLine="0"/>
        <w:rPr>
          <w:b/>
          <w:highlight w:val="yellow"/>
        </w:rPr>
      </w:pPr>
      <w:r w:rsidRPr="007C68A8">
        <w:rPr>
          <w:b/>
          <w:highlight w:val="yellow"/>
        </w:rPr>
        <w:t xml:space="preserve">Overview of Revision </w:t>
      </w:r>
    </w:p>
    <w:p w:rsidR="009231EE" w:rsidRPr="007C68A8" w:rsidRDefault="00A610EF" w:rsidP="006225CA">
      <w:pPr>
        <w:spacing w:line="240" w:lineRule="auto"/>
        <w:ind w:firstLine="0"/>
        <w:jc w:val="left"/>
        <w:rPr>
          <w:highlight w:val="yellow"/>
        </w:rPr>
      </w:pPr>
      <w:r w:rsidRPr="007C68A8">
        <w:rPr>
          <w:highlight w:val="yellow"/>
        </w:rPr>
        <w:t>The Agency for Healthcare Research and Quality (AHRQ)</w:t>
      </w:r>
      <w:r w:rsidR="006225CA">
        <w:rPr>
          <w:highlight w:val="yellow"/>
        </w:rPr>
        <w:t xml:space="preserve"> </w:t>
      </w:r>
      <w:r w:rsidR="00321427" w:rsidRPr="007C68A8">
        <w:rPr>
          <w:highlight w:val="yellow"/>
        </w:rPr>
        <w:t>request</w:t>
      </w:r>
      <w:r w:rsidRPr="007C68A8">
        <w:rPr>
          <w:highlight w:val="yellow"/>
        </w:rPr>
        <w:t>s</w:t>
      </w:r>
      <w:r w:rsidR="00321427" w:rsidRPr="007C68A8">
        <w:rPr>
          <w:highlight w:val="yellow"/>
        </w:rPr>
        <w:t xml:space="preserve"> to extend and revise a currently approved qualitative study to evaluate the Children’s Health Insurance Program Reauthorization Act of 2009 (CHIPRA) Quality Demonstration Grant program. The first phase of qualitative data collection (</w:t>
      </w:r>
      <w:r w:rsidR="00F62F86" w:rsidRPr="007C68A8">
        <w:rPr>
          <w:highlight w:val="yellow"/>
        </w:rPr>
        <w:t>OMB# 0935-0190</w:t>
      </w:r>
      <w:r w:rsidR="00483F96" w:rsidRPr="007C68A8">
        <w:rPr>
          <w:highlight w:val="yellow"/>
        </w:rPr>
        <w:t>)</w:t>
      </w:r>
      <w:r w:rsidR="00321427" w:rsidRPr="007C68A8">
        <w:rPr>
          <w:highlight w:val="yellow"/>
        </w:rPr>
        <w:t xml:space="preserve"> was approved by the Office of Management and Budget with an expiration date of February 28, 2015. Key informant interviews conducted during the first round of qualitative data collection provided information on early demonstration strategies and lessons learned by the demonstration </w:t>
      </w:r>
      <w:r w:rsidR="00354300" w:rsidRPr="007C68A8">
        <w:rPr>
          <w:highlight w:val="yellow"/>
        </w:rPr>
        <w:t>State</w:t>
      </w:r>
      <w:r w:rsidR="00321427" w:rsidRPr="007C68A8">
        <w:rPr>
          <w:highlight w:val="yellow"/>
        </w:rPr>
        <w:t>s during the first two years of the</w:t>
      </w:r>
      <w:r w:rsidR="00354300" w:rsidRPr="007C68A8">
        <w:rPr>
          <w:highlight w:val="yellow"/>
        </w:rPr>
        <w:t>ir</w:t>
      </w:r>
      <w:r w:rsidR="00321427" w:rsidRPr="007C68A8">
        <w:rPr>
          <w:highlight w:val="yellow"/>
        </w:rPr>
        <w:t xml:space="preserve"> grant projects. This </w:t>
      </w:r>
      <w:r w:rsidR="00354300" w:rsidRPr="007C68A8">
        <w:rPr>
          <w:highlight w:val="yellow"/>
        </w:rPr>
        <w:t xml:space="preserve">revised </w:t>
      </w:r>
      <w:r w:rsidR="00321427" w:rsidRPr="007C68A8">
        <w:rPr>
          <w:highlight w:val="yellow"/>
        </w:rPr>
        <w:t>information collection r</w:t>
      </w:r>
      <w:r w:rsidR="00354300" w:rsidRPr="007C68A8">
        <w:rPr>
          <w:highlight w:val="yellow"/>
        </w:rPr>
        <w:t>equest seeks</w:t>
      </w:r>
      <w:r w:rsidRPr="007C68A8">
        <w:rPr>
          <w:highlight w:val="yellow"/>
        </w:rPr>
        <w:t xml:space="preserve"> approval to</w:t>
      </w:r>
      <w:r w:rsidR="00354300" w:rsidRPr="007C68A8">
        <w:rPr>
          <w:highlight w:val="yellow"/>
        </w:rPr>
        <w:t xml:space="preserve">: (1) conduct a second round of key informant interviews; </w:t>
      </w:r>
      <w:r w:rsidR="006C7B0A">
        <w:rPr>
          <w:highlight w:val="yellow"/>
        </w:rPr>
        <w:t xml:space="preserve">and </w:t>
      </w:r>
      <w:r w:rsidR="00354300" w:rsidRPr="007C68A8">
        <w:rPr>
          <w:highlight w:val="yellow"/>
        </w:rPr>
        <w:t xml:space="preserve">(2) conduct parent and adolescent focus groups in </w:t>
      </w:r>
      <w:r w:rsidR="00200B2A">
        <w:rPr>
          <w:highlight w:val="yellow"/>
        </w:rPr>
        <w:t xml:space="preserve">selected </w:t>
      </w:r>
      <w:r w:rsidR="00354300" w:rsidRPr="007C68A8">
        <w:rPr>
          <w:highlight w:val="yellow"/>
        </w:rPr>
        <w:t>demonstration States</w:t>
      </w:r>
      <w:r w:rsidR="006C7B0A">
        <w:rPr>
          <w:highlight w:val="yellow"/>
        </w:rPr>
        <w:t>.</w:t>
      </w:r>
    </w:p>
    <w:p w:rsidR="009231EE" w:rsidRPr="007C68A8" w:rsidRDefault="009231EE" w:rsidP="006225CA">
      <w:pPr>
        <w:spacing w:line="240" w:lineRule="auto"/>
        <w:ind w:firstLine="0"/>
        <w:jc w:val="left"/>
        <w:rPr>
          <w:highlight w:val="yellow"/>
        </w:rPr>
      </w:pPr>
    </w:p>
    <w:p w:rsidR="009231EE" w:rsidRDefault="00321427" w:rsidP="006225CA">
      <w:pPr>
        <w:spacing w:line="240" w:lineRule="auto"/>
        <w:ind w:firstLine="0"/>
        <w:jc w:val="left"/>
      </w:pPr>
      <w:r w:rsidRPr="007C68A8">
        <w:rPr>
          <w:highlight w:val="yellow"/>
        </w:rPr>
        <w:t>Th</w:t>
      </w:r>
      <w:r w:rsidR="003A4AFA" w:rsidRPr="007C68A8">
        <w:rPr>
          <w:highlight w:val="yellow"/>
        </w:rPr>
        <w:t>e qualitative data collected through this request will contribute to a</w:t>
      </w:r>
      <w:r w:rsidRPr="007C68A8">
        <w:rPr>
          <w:highlight w:val="yellow"/>
        </w:rPr>
        <w:t xml:space="preserve"> study </w:t>
      </w:r>
      <w:r w:rsidR="003A4AFA" w:rsidRPr="007C68A8">
        <w:rPr>
          <w:highlight w:val="yellow"/>
        </w:rPr>
        <w:t xml:space="preserve">that </w:t>
      </w:r>
      <w:r w:rsidRPr="007C68A8">
        <w:rPr>
          <w:highlight w:val="yellow"/>
        </w:rPr>
        <w:t>uses a pre-post mixed method</w:t>
      </w:r>
      <w:r w:rsidR="00A610EF" w:rsidRPr="007C68A8">
        <w:rPr>
          <w:highlight w:val="yellow"/>
        </w:rPr>
        <w:t>s</w:t>
      </w:r>
      <w:r w:rsidRPr="007C68A8">
        <w:rPr>
          <w:highlight w:val="yellow"/>
        </w:rPr>
        <w:t xml:space="preserve"> design. The information gathered from the second round of qualitative data collection will build on the first round to provid</w:t>
      </w:r>
      <w:r w:rsidR="006225CA">
        <w:rPr>
          <w:highlight w:val="yellow"/>
        </w:rPr>
        <w:t xml:space="preserve">e a longitudinal understanding </w:t>
      </w:r>
      <w:r w:rsidRPr="007C68A8">
        <w:rPr>
          <w:highlight w:val="yellow"/>
        </w:rPr>
        <w:t xml:space="preserve">of how implementation </w:t>
      </w:r>
      <w:r w:rsidR="00643D2C" w:rsidRPr="007C68A8">
        <w:rPr>
          <w:highlight w:val="yellow"/>
        </w:rPr>
        <w:t xml:space="preserve">of grant-funded projects </w:t>
      </w:r>
      <w:r w:rsidRPr="007C68A8">
        <w:rPr>
          <w:highlight w:val="yellow"/>
        </w:rPr>
        <w:t>evolved over</w:t>
      </w:r>
      <w:r w:rsidR="00A610EF" w:rsidRPr="007C68A8">
        <w:rPr>
          <w:highlight w:val="yellow"/>
        </w:rPr>
        <w:t xml:space="preserve"> </w:t>
      </w:r>
      <w:r w:rsidRPr="007C68A8">
        <w:rPr>
          <w:highlight w:val="yellow"/>
        </w:rPr>
        <w:t xml:space="preserve">time and </w:t>
      </w:r>
      <w:r w:rsidR="00A610EF" w:rsidRPr="007C68A8">
        <w:rPr>
          <w:highlight w:val="yellow"/>
        </w:rPr>
        <w:t xml:space="preserve">how participants and stakeholders </w:t>
      </w:r>
      <w:r w:rsidRPr="007C68A8">
        <w:rPr>
          <w:highlight w:val="yellow"/>
        </w:rPr>
        <w:t xml:space="preserve">perceive </w:t>
      </w:r>
      <w:r w:rsidR="00A610EF" w:rsidRPr="007C68A8">
        <w:rPr>
          <w:highlight w:val="yellow"/>
        </w:rPr>
        <w:t xml:space="preserve">the </w:t>
      </w:r>
      <w:r w:rsidRPr="007C68A8">
        <w:rPr>
          <w:highlight w:val="yellow"/>
        </w:rPr>
        <w:t xml:space="preserve">impact of the demonstration. The information collected under this request will be analyzed in conjunction with </w:t>
      </w:r>
      <w:r w:rsidR="00200B2A">
        <w:rPr>
          <w:highlight w:val="yellow"/>
        </w:rPr>
        <w:t xml:space="preserve">progress reports and other </w:t>
      </w:r>
      <w:r w:rsidRPr="007C68A8">
        <w:rPr>
          <w:highlight w:val="yellow"/>
        </w:rPr>
        <w:t>documents</w:t>
      </w:r>
      <w:r w:rsidR="00200B2A">
        <w:rPr>
          <w:highlight w:val="yellow"/>
        </w:rPr>
        <w:t xml:space="preserve"> submitted by grantees</w:t>
      </w:r>
      <w:r w:rsidRPr="007C68A8">
        <w:rPr>
          <w:highlight w:val="yellow"/>
        </w:rPr>
        <w:t xml:space="preserve">, Medicaid and CHIP </w:t>
      </w:r>
      <w:r w:rsidR="006D29D8" w:rsidRPr="007C68A8">
        <w:rPr>
          <w:highlight w:val="yellow"/>
        </w:rPr>
        <w:t>administrative</w:t>
      </w:r>
      <w:r w:rsidR="00643D2C" w:rsidRPr="007C68A8">
        <w:rPr>
          <w:highlight w:val="yellow"/>
        </w:rPr>
        <w:t xml:space="preserve"> and </w:t>
      </w:r>
      <w:r w:rsidR="00081406" w:rsidRPr="007C68A8">
        <w:rPr>
          <w:highlight w:val="yellow"/>
        </w:rPr>
        <w:t>claims data</w:t>
      </w:r>
      <w:r w:rsidRPr="007C68A8">
        <w:rPr>
          <w:highlight w:val="yellow"/>
        </w:rPr>
        <w:t>, and provider survey data</w:t>
      </w:r>
      <w:r w:rsidR="00354300" w:rsidRPr="007C68A8">
        <w:rPr>
          <w:highlight w:val="yellow"/>
        </w:rPr>
        <w:t xml:space="preserve"> to gain a comprehensive understanding of the impact</w:t>
      </w:r>
      <w:r w:rsidR="00AD734B" w:rsidRPr="007C68A8">
        <w:rPr>
          <w:highlight w:val="yellow"/>
        </w:rPr>
        <w:t>s</w:t>
      </w:r>
      <w:r w:rsidR="00354300" w:rsidRPr="007C68A8">
        <w:rPr>
          <w:highlight w:val="yellow"/>
        </w:rPr>
        <w:t xml:space="preserve"> of the demonstration and </w:t>
      </w:r>
      <w:r w:rsidR="00AD734B" w:rsidRPr="007C68A8">
        <w:rPr>
          <w:highlight w:val="yellow"/>
        </w:rPr>
        <w:t xml:space="preserve">the strategies </w:t>
      </w:r>
      <w:r w:rsidR="00200B2A">
        <w:rPr>
          <w:highlight w:val="yellow"/>
        </w:rPr>
        <w:t xml:space="preserve">employed by States </w:t>
      </w:r>
      <w:r w:rsidR="00AD734B" w:rsidRPr="007C68A8">
        <w:rPr>
          <w:highlight w:val="yellow"/>
        </w:rPr>
        <w:t xml:space="preserve">for achieving </w:t>
      </w:r>
      <w:r w:rsidR="00200B2A" w:rsidRPr="007C68A8">
        <w:rPr>
          <w:highlight w:val="yellow"/>
        </w:rPr>
        <w:t>th</w:t>
      </w:r>
      <w:r w:rsidR="00200B2A">
        <w:rPr>
          <w:highlight w:val="yellow"/>
        </w:rPr>
        <w:t>os</w:t>
      </w:r>
      <w:r w:rsidR="004C384D">
        <w:rPr>
          <w:highlight w:val="yellow"/>
        </w:rPr>
        <w:t>e</w:t>
      </w:r>
      <w:r w:rsidR="00200B2A">
        <w:rPr>
          <w:highlight w:val="yellow"/>
        </w:rPr>
        <w:t xml:space="preserve"> impacts</w:t>
      </w:r>
      <w:r w:rsidRPr="007C68A8">
        <w:rPr>
          <w:highlight w:val="yellow"/>
        </w:rPr>
        <w:t>. The provider survey was approved under a separate information request (OMB# 0935-0215).</w:t>
      </w:r>
      <w:r w:rsidR="00AD734B">
        <w:rPr>
          <w:color w:val="1F497D"/>
        </w:rPr>
        <w:t xml:space="preserve"> </w:t>
      </w:r>
    </w:p>
    <w:p w:rsidR="009231EE" w:rsidRDefault="009231EE">
      <w:pPr>
        <w:ind w:firstLine="0"/>
      </w:pPr>
    </w:p>
    <w:p w:rsidR="003E448F" w:rsidRPr="00405DF5" w:rsidRDefault="003E448F" w:rsidP="00352FDB">
      <w:pPr>
        <w:pStyle w:val="Heading2Black"/>
        <w:rPr>
          <w:rFonts w:ascii="Arial" w:hAnsi="Arial" w:cs="Arial"/>
          <w:i/>
        </w:rPr>
      </w:pPr>
      <w:bookmarkStart w:id="6" w:name="_Toc291509283"/>
      <w:r w:rsidRPr="00405DF5">
        <w:rPr>
          <w:rFonts w:ascii="Arial" w:hAnsi="Arial" w:cs="Arial"/>
          <w:i/>
        </w:rPr>
        <w:t>1.</w:t>
      </w:r>
      <w:r w:rsidRPr="00405DF5">
        <w:rPr>
          <w:rFonts w:ascii="Arial" w:hAnsi="Arial" w:cs="Arial"/>
          <w:i/>
        </w:rPr>
        <w:tab/>
        <w:t>Circumstances that Make the Collection of Information Necessary</w:t>
      </w:r>
      <w:bookmarkEnd w:id="6"/>
    </w:p>
    <w:p w:rsidR="003E448F" w:rsidRPr="00405DF5" w:rsidRDefault="00321427" w:rsidP="00ED732E">
      <w:pPr>
        <w:pStyle w:val="NormalSS"/>
        <w:ind w:firstLine="0"/>
        <w:jc w:val="left"/>
      </w:pPr>
      <w:r>
        <w:t>The mission of the Agency for Healthcare Research and Quality (AHRQ), set out in its authorizing legislation, The Healthcare Research and Quality Act of 1999 (see http://www.ahrq.gov/hrqa99.pdf), is to enhance the quality, appropriateness, and effectiveness of health services, and access to such services, through the establishment of a broad base of scientific research and through the promotion of improvements in clinical and health systems practices, including the prevention of diseases and other health conditions.  AHRQ shall promote health care quality improvement by conducting and supporting:</w:t>
      </w:r>
    </w:p>
    <w:p w:rsidR="003E448F" w:rsidRPr="00405DF5" w:rsidRDefault="00321427" w:rsidP="00ED732E">
      <w:pPr>
        <w:pStyle w:val="NumberedBullet"/>
        <w:numPr>
          <w:ilvl w:val="0"/>
          <w:numId w:val="17"/>
        </w:numPr>
        <w:jc w:val="left"/>
      </w:pPr>
      <w:r>
        <w:t>research that develops and presents scientific evidence regarding all aspects of health care; and</w:t>
      </w:r>
    </w:p>
    <w:p w:rsidR="003E448F" w:rsidRPr="00405DF5" w:rsidRDefault="00321427" w:rsidP="00ED732E">
      <w:pPr>
        <w:pStyle w:val="NumberedBullet"/>
        <w:numPr>
          <w:ilvl w:val="0"/>
          <w:numId w:val="17"/>
        </w:numPr>
        <w:jc w:val="left"/>
      </w:pPr>
      <w:r>
        <w:t>the synthesis and dissemination of available scientific evidence for use by patients, consumers, practitioners, providers, purchasers, policy makers, and educators; and</w:t>
      </w:r>
    </w:p>
    <w:p w:rsidR="003E448F" w:rsidRPr="00405DF5" w:rsidRDefault="00321427" w:rsidP="00ED732E">
      <w:pPr>
        <w:pStyle w:val="NumberedBulletLASTSS"/>
        <w:numPr>
          <w:ilvl w:val="0"/>
          <w:numId w:val="17"/>
        </w:numPr>
        <w:jc w:val="left"/>
      </w:pPr>
      <w:r>
        <w:t>initiatives to advance private and public efforts to improve health care quality.</w:t>
      </w:r>
    </w:p>
    <w:p w:rsidR="003E448F" w:rsidRPr="00405DF5" w:rsidRDefault="00321427" w:rsidP="008C5847">
      <w:pPr>
        <w:pStyle w:val="NormalSS"/>
        <w:ind w:firstLine="0"/>
        <w:jc w:val="left"/>
      </w:pPr>
      <w:r>
        <w:t>Also, AHRQ shall conduct and support research and evaluations, and support demonstration projects, with respect to (A) the delivery of health care in inner-city areas, and in rural areas (including frontier areas); and (B) health care for priority populations, which shall include (1) low-income groups, (2) minority groups, (3) women, (4) children, (5) the elderly, and (6) individuals with special health care needs, including individuals with disabilities and individuals who need chronic care or end-of-life health care.</w:t>
      </w:r>
    </w:p>
    <w:p w:rsidR="003E448F" w:rsidRPr="00405DF5" w:rsidRDefault="00321427" w:rsidP="00ED732E">
      <w:pPr>
        <w:pStyle w:val="NormalSS"/>
        <w:ind w:firstLine="0"/>
        <w:jc w:val="left"/>
      </w:pPr>
      <w:r>
        <w:rPr>
          <w:bCs/>
          <w:iCs/>
        </w:rPr>
        <w:lastRenderedPageBreak/>
        <w:t xml:space="preserve">Section 401(a) of the Children’s Health Insurance Program Reauthorization Act of 2009 (CHIPRA), Pub. L. 111-3, amended the Social Security Act (the Act) to enact section 1139A (42 U.S.C. 1320b-9a).  AHRQ is requesting approval from the Office of Management and Budget (OMB) </w:t>
      </w:r>
      <w:r w:rsidR="00354300">
        <w:rPr>
          <w:bCs/>
          <w:iCs/>
        </w:rPr>
        <w:t>to conduct focus groups and a second round of</w:t>
      </w:r>
      <w:r>
        <w:rPr>
          <w:bCs/>
          <w:iCs/>
        </w:rPr>
        <w:t xml:space="preserve"> in-depth interviews to support a comprehensive, mixed-methods evaluation of the quality demonstration grants authorized under section 1139A(d) of the Act (Attachment A). Evaluating whether, and through what mechanism, projects funded by the CHIPRA demonstration grants improve the quality of care received by children in Medicaid and CHIP aligns with AHRQ’s mission of improving the quality and effectiveness of health care in the United </w:t>
      </w:r>
      <w:r w:rsidR="00354300">
        <w:rPr>
          <w:bCs/>
          <w:iCs/>
        </w:rPr>
        <w:t>State</w:t>
      </w:r>
      <w:r>
        <w:rPr>
          <w:bCs/>
          <w:iCs/>
        </w:rPr>
        <w:t xml:space="preserve">s. </w:t>
      </w:r>
      <w:r>
        <w:t xml:space="preserve"> </w:t>
      </w:r>
    </w:p>
    <w:p w:rsidR="00293F13" w:rsidRPr="00405DF5" w:rsidRDefault="00321427" w:rsidP="00ED732E">
      <w:pPr>
        <w:pStyle w:val="NormalSS"/>
        <w:ind w:firstLine="0"/>
        <w:jc w:val="left"/>
      </w:pPr>
      <w:r>
        <w:t xml:space="preserve">CHIPRA included funding for five-year grants so that </w:t>
      </w:r>
      <w:r w:rsidR="00354300">
        <w:t>State</w:t>
      </w:r>
      <w:r>
        <w:t>s can experiment with and evaluate several promising ideas related to improving the quality of children’s health care in Medicaid and CHIP.</w:t>
      </w:r>
      <w:r>
        <w:rPr>
          <w:rStyle w:val="FootnoteReference"/>
        </w:rPr>
        <w:footnoteReference w:id="2"/>
      </w:r>
      <w:r w:rsidR="00F62F86" w:rsidRPr="00F62F86">
        <w:t xml:space="preserve"> In February 2010, the U.S. Department of Health and Human Services announced the award of 10 demonstration grants to </w:t>
      </w:r>
      <w:r w:rsidR="00354300">
        <w:t>State</w:t>
      </w:r>
      <w:r w:rsidR="00F62F86" w:rsidRPr="00F62F86">
        <w:t xml:space="preserve">s that convincingly articulated an achievable vision of what they could accomplish by the end of the five-year grant period, described strategies they would use to achieve the objectives, and explained </w:t>
      </w:r>
      <w:r w:rsidR="00F62F86" w:rsidRPr="00F62F86">
        <w:rPr>
          <w:i/>
        </w:rPr>
        <w:t>how</w:t>
      </w:r>
      <w:r w:rsidR="00F62F86" w:rsidRPr="00F62F86">
        <w:t xml:space="preserve"> the strategies would achieve the objectives. Applicants were encouraged by CMS to address multiple grant categories (described below) and to partner with other </w:t>
      </w:r>
      <w:r w:rsidR="00354300">
        <w:t>State</w:t>
      </w:r>
      <w:r w:rsidR="00F62F86" w:rsidRPr="00F62F86">
        <w:t xml:space="preserve">s in designing and implementing their projects.   </w:t>
      </w:r>
    </w:p>
    <w:p w:rsidR="003E448F" w:rsidRPr="00405DF5" w:rsidRDefault="00F62F86" w:rsidP="00ED732E">
      <w:pPr>
        <w:pStyle w:val="NormalSS"/>
        <w:ind w:firstLine="0"/>
        <w:jc w:val="left"/>
      </w:pPr>
      <w:r w:rsidRPr="00F62F86">
        <w:t xml:space="preserve">Of the 10 grantee </w:t>
      </w:r>
      <w:r w:rsidR="00354300">
        <w:t>State</w:t>
      </w:r>
      <w:r w:rsidRPr="00F62F86">
        <w:t xml:space="preserve">s selected, six are partnering with other </w:t>
      </w:r>
      <w:r w:rsidR="00354300">
        <w:t>State</w:t>
      </w:r>
      <w:r w:rsidRPr="00F62F86">
        <w:t xml:space="preserve">s, for a total of 18 demonstration </w:t>
      </w:r>
      <w:r w:rsidR="00354300">
        <w:t>State</w:t>
      </w:r>
      <w:r w:rsidRPr="00F62F86">
        <w:t xml:space="preserve">s. The demonstration </w:t>
      </w:r>
      <w:r w:rsidR="00354300">
        <w:t>State</w:t>
      </w:r>
      <w:r w:rsidRPr="00F62F86">
        <w:t xml:space="preserve">s are: Colorado (partnering with New Mexico); Florida (with Illinois); Maine (with Vermont); Maryland (with Wyoming and Georgia); Massachusetts; North Carolina; Oregon (with Alaska and West Virginia); Pennsylvania; South Carolina; and Utah (with Idaho). </w:t>
      </w:r>
    </w:p>
    <w:p w:rsidR="003E448F" w:rsidRPr="00405DF5" w:rsidRDefault="00F62F86" w:rsidP="00ED732E">
      <w:pPr>
        <w:pStyle w:val="NormalSS"/>
        <w:ind w:firstLine="0"/>
        <w:jc w:val="left"/>
      </w:pPr>
      <w:r w:rsidRPr="00F62F86">
        <w:t xml:space="preserve">These demonstration </w:t>
      </w:r>
      <w:r w:rsidR="00354300">
        <w:t>State</w:t>
      </w:r>
      <w:r w:rsidRPr="00F62F86">
        <w:t>s are implementing 52 distinct projects in at least one of five possible grant categories, A to E. Category A grantees are experimenting with and/or evaluating the use of new pediatric quality measures. Category B grantees are promoting health information technology (</w:t>
      </w:r>
      <w:r w:rsidR="00067A51">
        <w:t xml:space="preserve">health </w:t>
      </w:r>
      <w:r w:rsidRPr="00F62F86">
        <w:t xml:space="preserve">IT) for improved care delivery and patient outcomes. Category C grantees are expanding person-centered medical homes or other provider-based levels of service delivery. Category D grantees will evaluate the impact of a model pediatric electronic health record. Category E grantees are testing other </w:t>
      </w:r>
      <w:r w:rsidR="00354300">
        <w:t>State</w:t>
      </w:r>
      <w:r w:rsidRPr="00F62F86">
        <w:t xml:space="preserve">-designed approaches to quality improvement in Medicaid and CHIP. </w:t>
      </w:r>
    </w:p>
    <w:p w:rsidR="00387B04" w:rsidRPr="00405DF5" w:rsidRDefault="00F62F86" w:rsidP="00387B04">
      <w:pPr>
        <w:pStyle w:val="NormalSS"/>
        <w:ind w:firstLine="0"/>
        <w:jc w:val="left"/>
      </w:pPr>
      <w:r w:rsidRPr="00F62F86">
        <w:t>AHRQ’s goal in supporting an evaluation of the CHIPRA Quality Demonstration Grant Program is to provide insight into how best to implement quality improvement programs and to provide information on how successful programs can be replicated to improve children’s health care quality in Medicaid and CHIP.</w:t>
      </w:r>
      <w:r w:rsidR="00321427">
        <w:rPr>
          <w:rStyle w:val="FootnoteReference"/>
        </w:rPr>
        <w:footnoteReference w:id="3"/>
      </w:r>
      <w:r w:rsidRPr="00F62F86">
        <w:t xml:space="preserve"> To meet these goals, the evaluation has the following requirements: </w:t>
      </w:r>
    </w:p>
    <w:p w:rsidR="009231EE" w:rsidRDefault="00F62F86">
      <w:pPr>
        <w:pStyle w:val="NormalSS"/>
        <w:numPr>
          <w:ilvl w:val="0"/>
          <w:numId w:val="25"/>
        </w:numPr>
        <w:jc w:val="left"/>
      </w:pPr>
      <w:r w:rsidRPr="00F62F86">
        <w:t xml:space="preserve">to identify CHIPRA </w:t>
      </w:r>
      <w:r w:rsidR="00354300">
        <w:t>State</w:t>
      </w:r>
      <w:r w:rsidRPr="00F62F86">
        <w:t xml:space="preserve"> activities that measurably improve </w:t>
      </w:r>
      <w:r w:rsidR="00081406">
        <w:t>children’s</w:t>
      </w:r>
      <w:r w:rsidR="00081406" w:rsidRPr="00F62F86">
        <w:t xml:space="preserve"> health</w:t>
      </w:r>
      <w:r w:rsidRPr="00F62F86">
        <w:t xml:space="preserve"> care, especially as it pertains to</w:t>
      </w:r>
      <w:r w:rsidR="008C73E7">
        <w:t xml:space="preserve"> those enrolled in Medicaid and CHIP</w:t>
      </w:r>
      <w:r w:rsidRPr="00F62F86">
        <w:t xml:space="preserve">.  </w:t>
      </w:r>
    </w:p>
    <w:p w:rsidR="009231EE" w:rsidRDefault="00F62F86">
      <w:pPr>
        <w:pStyle w:val="NormalSS"/>
        <w:numPr>
          <w:ilvl w:val="0"/>
          <w:numId w:val="25"/>
        </w:numPr>
        <w:jc w:val="left"/>
      </w:pPr>
      <w:r w:rsidRPr="00F62F86">
        <w:lastRenderedPageBreak/>
        <w:t xml:space="preserve">to develop a deep, systematic understanding of how CHIPRA demonstration </w:t>
      </w:r>
      <w:r w:rsidR="00354300">
        <w:t>State</w:t>
      </w:r>
      <w:r w:rsidRPr="00F62F86">
        <w:t>s carried out their grant-funded projects.</w:t>
      </w:r>
    </w:p>
    <w:p w:rsidR="009231EE" w:rsidRDefault="00F62F86">
      <w:pPr>
        <w:pStyle w:val="NormalSS"/>
        <w:numPr>
          <w:ilvl w:val="0"/>
          <w:numId w:val="25"/>
        </w:numPr>
        <w:jc w:val="left"/>
      </w:pPr>
      <w:r w:rsidRPr="00F62F86">
        <w:t xml:space="preserve">to understand why the CHIPRA demonstration </w:t>
      </w:r>
      <w:r w:rsidR="00354300">
        <w:t>State</w:t>
      </w:r>
      <w:r w:rsidRPr="00F62F86">
        <w:t>s pursued certain strategies.</w:t>
      </w:r>
    </w:p>
    <w:p w:rsidR="009231EE" w:rsidRDefault="00F62F86">
      <w:pPr>
        <w:pStyle w:val="NormalSS"/>
        <w:numPr>
          <w:ilvl w:val="0"/>
          <w:numId w:val="25"/>
        </w:numPr>
        <w:jc w:val="left"/>
      </w:pPr>
      <w:r w:rsidRPr="00F62F86">
        <w:t xml:space="preserve">to understand whether and how the CHIPRA demonstration </w:t>
      </w:r>
      <w:r w:rsidR="00354300">
        <w:t>State</w:t>
      </w:r>
      <w:r w:rsidRPr="00F62F86">
        <w:t>s’ efforts affected outcomes related to knowledge and behavior change in targeted providers and consumers of health care.</w:t>
      </w:r>
    </w:p>
    <w:p w:rsidR="00AD119C" w:rsidRPr="007C6A3F" w:rsidRDefault="00F62F86" w:rsidP="00ED732E">
      <w:pPr>
        <w:pStyle w:val="NormalSS"/>
        <w:ind w:firstLine="0"/>
        <w:jc w:val="left"/>
      </w:pPr>
      <w:r w:rsidRPr="007C6A3F">
        <w:t xml:space="preserve">To meet AHRQ’s goals and carry out the requirements, the agency’s evaluation contractor, Mathematica Policy Research, with its subcontractors The Urban Institute and AcademyHealth, has designed a comprehensive evaluation that will make the best possible use of quantitative and qualitative research methods, including the following activities and data collections: </w:t>
      </w:r>
    </w:p>
    <w:p w:rsidR="009231EE" w:rsidRPr="002F69A7" w:rsidRDefault="00F62F86" w:rsidP="004C384D">
      <w:pPr>
        <w:pStyle w:val="NormalSS"/>
        <w:numPr>
          <w:ilvl w:val="0"/>
          <w:numId w:val="28"/>
        </w:numPr>
        <w:jc w:val="left"/>
        <w:rPr>
          <w:highlight w:val="yellow"/>
        </w:rPr>
      </w:pPr>
      <w:r w:rsidRPr="002F69A7">
        <w:rPr>
          <w:b/>
          <w:highlight w:val="yellow"/>
        </w:rPr>
        <w:t xml:space="preserve">Key Informant Interviews. </w:t>
      </w:r>
      <w:r w:rsidRPr="002F69A7">
        <w:rPr>
          <w:highlight w:val="yellow"/>
        </w:rPr>
        <w:t xml:space="preserve">Under the previously approved information data collection, researchers visited each of the 18 demonstration </w:t>
      </w:r>
      <w:r w:rsidR="00354300" w:rsidRPr="002F69A7">
        <w:rPr>
          <w:highlight w:val="yellow"/>
        </w:rPr>
        <w:t>State</w:t>
      </w:r>
      <w:r w:rsidRPr="002F69A7">
        <w:rPr>
          <w:highlight w:val="yellow"/>
        </w:rPr>
        <w:t xml:space="preserve">s in 2012 to conduct in-person interviews. Under the revised data collection, researchers will conduct a second round of in-person interviews in each demonstration </w:t>
      </w:r>
      <w:r w:rsidR="00354300" w:rsidRPr="002F69A7">
        <w:rPr>
          <w:highlight w:val="yellow"/>
        </w:rPr>
        <w:t>State</w:t>
      </w:r>
      <w:r w:rsidR="00265BE9" w:rsidRPr="002F69A7">
        <w:rPr>
          <w:highlight w:val="yellow"/>
        </w:rPr>
        <w:t xml:space="preserve"> in 2014</w:t>
      </w:r>
      <w:r w:rsidRPr="002F69A7">
        <w:rPr>
          <w:highlight w:val="yellow"/>
        </w:rPr>
        <w:t>.</w:t>
      </w:r>
      <w:r w:rsidR="007C6A3F">
        <w:rPr>
          <w:highlight w:val="yellow"/>
        </w:rPr>
        <w:t xml:space="preserve"> </w:t>
      </w:r>
      <w:r w:rsidR="00B84901">
        <w:rPr>
          <w:highlight w:val="yellow"/>
        </w:rPr>
        <w:t>In 2014, we plan to interview</w:t>
      </w:r>
      <w:r w:rsidR="00265BE9" w:rsidRPr="002F69A7">
        <w:rPr>
          <w:highlight w:val="yellow"/>
        </w:rPr>
        <w:t xml:space="preserve"> the same individuals who were interviewed in 2012</w:t>
      </w:r>
      <w:r w:rsidR="00B84901">
        <w:rPr>
          <w:highlight w:val="yellow"/>
        </w:rPr>
        <w:t>,</w:t>
      </w:r>
      <w:r w:rsidR="00B84901" w:rsidRPr="00B84901">
        <w:rPr>
          <w:highlight w:val="yellow"/>
        </w:rPr>
        <w:t xml:space="preserve"> </w:t>
      </w:r>
      <w:r w:rsidR="00B84901" w:rsidRPr="00EA4C67">
        <w:rPr>
          <w:highlight w:val="yellow"/>
        </w:rPr>
        <w:t>unless they have had little or no project involvement since 2012, as well as others who may have become involved since 2012</w:t>
      </w:r>
      <w:r w:rsidR="00265BE9" w:rsidRPr="002F69A7">
        <w:rPr>
          <w:highlight w:val="yellow"/>
        </w:rPr>
        <w:t>.</w:t>
      </w:r>
      <w:r w:rsidRPr="002F69A7">
        <w:rPr>
          <w:highlight w:val="yellow"/>
        </w:rPr>
        <w:t xml:space="preserve"> </w:t>
      </w:r>
      <w:r w:rsidR="009B39FB">
        <w:rPr>
          <w:highlight w:val="yellow"/>
        </w:rPr>
        <w:t>The 2014 protocols follow the same structure and cover the same topics as the protocols approved for 2012. For 2014, we r</w:t>
      </w:r>
      <w:r w:rsidR="004C384D">
        <w:rPr>
          <w:highlight w:val="yellow"/>
        </w:rPr>
        <w:t xml:space="preserve">efined </w:t>
      </w:r>
      <w:r w:rsidR="009B39FB">
        <w:rPr>
          <w:highlight w:val="yellow"/>
        </w:rPr>
        <w:t xml:space="preserve">the 2012 protocols </w:t>
      </w:r>
      <w:r w:rsidR="004C384D">
        <w:rPr>
          <w:highlight w:val="yellow"/>
        </w:rPr>
        <w:t xml:space="preserve">to focus on </w:t>
      </w:r>
      <w:r w:rsidR="004C384D" w:rsidRPr="009B39FB">
        <w:rPr>
          <w:highlight w:val="yellow"/>
        </w:rPr>
        <w:t>changes</w:t>
      </w:r>
      <w:r w:rsidR="004C384D" w:rsidRPr="009B39FB">
        <w:rPr>
          <w:i/>
          <w:highlight w:val="yellow"/>
        </w:rPr>
        <w:t xml:space="preserve"> </w:t>
      </w:r>
      <w:r w:rsidR="009B39FB">
        <w:rPr>
          <w:highlight w:val="yellow"/>
        </w:rPr>
        <w:t xml:space="preserve">in program implementation and resulting outcomes </w:t>
      </w:r>
      <w:r w:rsidR="004C384D">
        <w:rPr>
          <w:highlight w:val="yellow"/>
        </w:rPr>
        <w:t>since our last round of data collection.</w:t>
      </w:r>
      <w:r w:rsidRPr="002F69A7">
        <w:rPr>
          <w:highlight w:val="yellow"/>
        </w:rPr>
        <w:t xml:space="preserve"> </w:t>
      </w:r>
      <w:r w:rsidR="00200B2A">
        <w:rPr>
          <w:highlight w:val="yellow"/>
        </w:rPr>
        <w:t xml:space="preserve">This approach will further enable our ability to conduct longitudinal analyses. </w:t>
      </w:r>
    </w:p>
    <w:p w:rsidR="009231EE" w:rsidRPr="007C6A3F" w:rsidRDefault="00C4392D" w:rsidP="004C384D">
      <w:pPr>
        <w:pStyle w:val="NormalSS"/>
        <w:numPr>
          <w:ilvl w:val="1"/>
          <w:numId w:val="28"/>
        </w:numPr>
        <w:tabs>
          <w:tab w:val="clear" w:pos="432"/>
          <w:tab w:val="left" w:pos="270"/>
          <w:tab w:val="left" w:pos="720"/>
        </w:tabs>
        <w:jc w:val="left"/>
      </w:pPr>
      <w:r w:rsidRPr="007C6A3F">
        <w:t>Key Staff Interviews –</w:t>
      </w:r>
      <w:r w:rsidR="009C2BDB" w:rsidRPr="007C6A3F">
        <w:t xml:space="preserve"> </w:t>
      </w:r>
      <w:r w:rsidRPr="007C6A3F">
        <w:t xml:space="preserve">Key staff members are staff directly involved in the design and oversight of grant-funded activities. The purpose of these </w:t>
      </w:r>
      <w:r w:rsidR="00F62F86" w:rsidRPr="007C6A3F">
        <w:t xml:space="preserve">interviews is to gain insight into the implementation of demonstration projects, to understand contextual factors, and to identify lessons and implications for the broad application and sustainability of projects. Semi-structured interviews </w:t>
      </w:r>
      <w:r w:rsidR="00265BE9" w:rsidRPr="007C6A3F">
        <w:t>were</w:t>
      </w:r>
      <w:r w:rsidR="00F62F86" w:rsidRPr="007C6A3F">
        <w:t xml:space="preserve"> conducted with up to 4 key staff members per </w:t>
      </w:r>
      <w:r w:rsidR="00354300" w:rsidRPr="007C6A3F">
        <w:t>State</w:t>
      </w:r>
      <w:r w:rsidR="00997A29" w:rsidRPr="007C6A3F">
        <w:t xml:space="preserve"> in 2012 </w:t>
      </w:r>
      <w:r w:rsidR="00997A29" w:rsidRPr="007C6A3F">
        <w:rPr>
          <w:highlight w:val="yellow"/>
        </w:rPr>
        <w:t xml:space="preserve">and </w:t>
      </w:r>
      <w:r w:rsidR="00265BE9" w:rsidRPr="007C6A3F">
        <w:rPr>
          <w:highlight w:val="yellow"/>
        </w:rPr>
        <w:t xml:space="preserve">will be </w:t>
      </w:r>
      <w:r w:rsidR="009231EE" w:rsidRPr="007C6A3F">
        <w:rPr>
          <w:highlight w:val="yellow"/>
        </w:rPr>
        <w:t>completed</w:t>
      </w:r>
      <w:r w:rsidR="00265BE9" w:rsidRPr="007C6A3F">
        <w:rPr>
          <w:highlight w:val="yellow"/>
        </w:rPr>
        <w:t xml:space="preserve"> with up to 4 key staff members per State in </w:t>
      </w:r>
      <w:r w:rsidR="00997A29" w:rsidRPr="007C6A3F">
        <w:rPr>
          <w:highlight w:val="yellow"/>
        </w:rPr>
        <w:t>2014</w:t>
      </w:r>
      <w:r w:rsidR="00F62F86" w:rsidRPr="007C6A3F">
        <w:rPr>
          <w:highlight w:val="yellow"/>
        </w:rPr>
        <w:t>.</w:t>
      </w:r>
      <w:r w:rsidR="00F62F86" w:rsidRPr="007C6A3F">
        <w:t xml:space="preserve"> </w:t>
      </w:r>
      <w:r w:rsidRPr="007C6A3F">
        <w:t xml:space="preserve">The key staff interview guide </w:t>
      </w:r>
      <w:r w:rsidR="00F62F86" w:rsidRPr="007C6A3F">
        <w:t xml:space="preserve">for 2012 is included as Attachment B and the interview request and confirmation emails as Attachment C. </w:t>
      </w:r>
      <w:r w:rsidR="00F62F86" w:rsidRPr="007C6A3F">
        <w:rPr>
          <w:highlight w:val="yellow"/>
        </w:rPr>
        <w:t xml:space="preserve">The revised key informant interview guide for 2014 is included as Attachment </w:t>
      </w:r>
      <w:r w:rsidR="00781BB2" w:rsidRPr="007C6A3F">
        <w:rPr>
          <w:highlight w:val="yellow"/>
        </w:rPr>
        <w:t>D</w:t>
      </w:r>
      <w:r w:rsidR="00F62F86" w:rsidRPr="007C6A3F">
        <w:rPr>
          <w:highlight w:val="yellow"/>
        </w:rPr>
        <w:t>.</w:t>
      </w:r>
      <w:r w:rsidR="00F62F86" w:rsidRPr="007C6A3F">
        <w:t xml:space="preserve"> </w:t>
      </w:r>
    </w:p>
    <w:p w:rsidR="00997A29" w:rsidRPr="007C6A3F" w:rsidRDefault="00F62F86" w:rsidP="004C384D">
      <w:pPr>
        <w:pStyle w:val="NormalSS"/>
        <w:numPr>
          <w:ilvl w:val="1"/>
          <w:numId w:val="28"/>
        </w:numPr>
        <w:tabs>
          <w:tab w:val="clear" w:pos="432"/>
          <w:tab w:val="left" w:pos="270"/>
          <w:tab w:val="left" w:pos="720"/>
        </w:tabs>
        <w:jc w:val="left"/>
      </w:pPr>
      <w:r w:rsidRPr="007C6A3F">
        <w:t xml:space="preserve">Implementation Staff Interviews – Other implementation staff are staff involved in the day-to-day implementation of grant-funded projects. These staff members include </w:t>
      </w:r>
      <w:r w:rsidR="00354300" w:rsidRPr="007C6A3F">
        <w:t>State</w:t>
      </w:r>
      <w:r w:rsidRPr="007C6A3F">
        <w:t xml:space="preserve"> agency employees, provider trainers or coaches, health IT vendors, and project consultants. The purpose of these interviews is to gain insight into the opportunities and challenges related to key technical aspects of project implementation.</w:t>
      </w:r>
      <w:r w:rsidR="007C6A3F">
        <w:t xml:space="preserve"> </w:t>
      </w:r>
      <w:r w:rsidRPr="007C6A3F">
        <w:t>Semi-structured interviews w</w:t>
      </w:r>
      <w:r w:rsidR="00265BE9" w:rsidRPr="007C6A3F">
        <w:t>ere</w:t>
      </w:r>
      <w:r w:rsidRPr="007C6A3F">
        <w:t xml:space="preserve"> conducted with up to 16 other implementation staff members per </w:t>
      </w:r>
      <w:r w:rsidR="00354300" w:rsidRPr="007C6A3F">
        <w:t>State</w:t>
      </w:r>
      <w:r w:rsidRPr="007C6A3F">
        <w:t xml:space="preserve"> in 2012 </w:t>
      </w:r>
      <w:r w:rsidRPr="007C6A3F">
        <w:rPr>
          <w:highlight w:val="yellow"/>
        </w:rPr>
        <w:t xml:space="preserve">and </w:t>
      </w:r>
      <w:r w:rsidR="00265BE9" w:rsidRPr="007C6A3F">
        <w:rPr>
          <w:highlight w:val="yellow"/>
        </w:rPr>
        <w:t xml:space="preserve">will be </w:t>
      </w:r>
      <w:r w:rsidR="009231EE" w:rsidRPr="007C6A3F">
        <w:rPr>
          <w:highlight w:val="yellow"/>
        </w:rPr>
        <w:t>completed</w:t>
      </w:r>
      <w:r w:rsidR="00265BE9" w:rsidRPr="007C6A3F">
        <w:rPr>
          <w:highlight w:val="yellow"/>
        </w:rPr>
        <w:t xml:space="preserve"> with up to 16 other implementation staff members per State in </w:t>
      </w:r>
      <w:r w:rsidRPr="007C6A3F">
        <w:rPr>
          <w:highlight w:val="yellow"/>
        </w:rPr>
        <w:t>2014.</w:t>
      </w:r>
      <w:r w:rsidRPr="007C6A3F">
        <w:t xml:space="preserve"> The implementation staff interview guide</w:t>
      </w:r>
      <w:r w:rsidR="00B7599C" w:rsidRPr="007C6A3F">
        <w:t xml:space="preserve"> for 2012</w:t>
      </w:r>
      <w:r w:rsidRPr="007C6A3F">
        <w:t xml:space="preserve"> is included as Attachment </w:t>
      </w:r>
      <w:r w:rsidR="00781BB2" w:rsidRPr="007C6A3F">
        <w:t>E</w:t>
      </w:r>
      <w:r w:rsidRPr="007C6A3F">
        <w:t xml:space="preserve"> and the interview request and confirmation emails as Attachment C. </w:t>
      </w:r>
      <w:r w:rsidRPr="007C6A3F">
        <w:rPr>
          <w:highlight w:val="yellow"/>
        </w:rPr>
        <w:t xml:space="preserve">The revised implementation staff interview guide for 2014 is included as Attachment </w:t>
      </w:r>
      <w:r w:rsidR="00781BB2" w:rsidRPr="007C6A3F">
        <w:rPr>
          <w:highlight w:val="yellow"/>
        </w:rPr>
        <w:t>F</w:t>
      </w:r>
      <w:r w:rsidRPr="007C6A3F">
        <w:rPr>
          <w:highlight w:val="yellow"/>
        </w:rPr>
        <w:t>.</w:t>
      </w:r>
      <w:r w:rsidRPr="007C6A3F">
        <w:t xml:space="preserve"> </w:t>
      </w:r>
    </w:p>
    <w:p w:rsidR="00997A29" w:rsidRPr="007C6A3F" w:rsidRDefault="00F62F86" w:rsidP="004C384D">
      <w:pPr>
        <w:pStyle w:val="NormalSS"/>
        <w:numPr>
          <w:ilvl w:val="1"/>
          <w:numId w:val="28"/>
        </w:numPr>
        <w:tabs>
          <w:tab w:val="clear" w:pos="432"/>
          <w:tab w:val="left" w:pos="270"/>
          <w:tab w:val="left" w:pos="720"/>
        </w:tabs>
        <w:jc w:val="left"/>
      </w:pPr>
      <w:r w:rsidRPr="007C6A3F">
        <w:t xml:space="preserve">Stakeholder Interviews – External stakeholders have a direct interest in children’s care quality in Medicaid and CHIP.  Stakeholders include representatives of managed care organizations, </w:t>
      </w:r>
      <w:r w:rsidR="00354300" w:rsidRPr="007C6A3F">
        <w:t>State</w:t>
      </w:r>
      <w:r w:rsidRPr="007C6A3F">
        <w:t xml:space="preserve"> chapters of the American Academy of Pediatrics, advocacy </w:t>
      </w:r>
      <w:r w:rsidRPr="007C6A3F">
        <w:lastRenderedPageBreak/>
        <w:t xml:space="preserve">organizations for children and families, and social service agencies. These stakeholders </w:t>
      </w:r>
      <w:r w:rsidR="00200B2A" w:rsidRPr="007C6A3F">
        <w:t xml:space="preserve">are likely to </w:t>
      </w:r>
      <w:r w:rsidRPr="007C6A3F">
        <w:t>be familiar with the CHIPRA projects and may serve on advisory panels or workgroups related to one or more projects. The interviews will gather insight into the opportunities and challenges related to project implementation, stakeholder satisfaction with their project involvement, and contextual factors.  Semi-structured interviews w</w:t>
      </w:r>
      <w:r w:rsidR="00414621" w:rsidRPr="007C6A3F">
        <w:t>ere</w:t>
      </w:r>
      <w:r w:rsidRPr="007C6A3F">
        <w:t xml:space="preserve"> conducted with up to 8 external stakeholders per </w:t>
      </w:r>
      <w:r w:rsidR="00354300" w:rsidRPr="007C6A3F">
        <w:t>State</w:t>
      </w:r>
      <w:r w:rsidRPr="007C6A3F">
        <w:t xml:space="preserve"> in 2012 </w:t>
      </w:r>
      <w:r w:rsidRPr="007C6A3F">
        <w:rPr>
          <w:highlight w:val="yellow"/>
        </w:rPr>
        <w:t xml:space="preserve">and </w:t>
      </w:r>
      <w:r w:rsidR="00414621" w:rsidRPr="007C6A3F">
        <w:rPr>
          <w:highlight w:val="yellow"/>
        </w:rPr>
        <w:t xml:space="preserve">will be </w:t>
      </w:r>
      <w:r w:rsidR="009231EE" w:rsidRPr="007C6A3F">
        <w:rPr>
          <w:highlight w:val="yellow"/>
        </w:rPr>
        <w:t>completed</w:t>
      </w:r>
      <w:r w:rsidR="00414621" w:rsidRPr="007C6A3F">
        <w:rPr>
          <w:highlight w:val="yellow"/>
        </w:rPr>
        <w:t xml:space="preserve"> with up to 8 external stakeholders per State in </w:t>
      </w:r>
      <w:r w:rsidRPr="007C6A3F">
        <w:rPr>
          <w:highlight w:val="yellow"/>
        </w:rPr>
        <w:t>2014.</w:t>
      </w:r>
      <w:r w:rsidRPr="007C6A3F">
        <w:t xml:space="preserve">  The stakeholder interview guide</w:t>
      </w:r>
      <w:r w:rsidR="00B7599C" w:rsidRPr="007C6A3F">
        <w:t xml:space="preserve"> for 2012</w:t>
      </w:r>
      <w:r w:rsidRPr="007C6A3F">
        <w:t xml:space="preserve"> is included as Attachment </w:t>
      </w:r>
      <w:r w:rsidR="00781BB2" w:rsidRPr="007C6A3F">
        <w:t>G</w:t>
      </w:r>
      <w:r w:rsidRPr="007C6A3F">
        <w:t xml:space="preserve"> and the interview request and confirmation emails as Attachment C. </w:t>
      </w:r>
      <w:r w:rsidRPr="007C6A3F">
        <w:rPr>
          <w:highlight w:val="yellow"/>
        </w:rPr>
        <w:t xml:space="preserve">The revised external stakeholder interview guide for 2014 is included as Attachment </w:t>
      </w:r>
      <w:r w:rsidR="00781BB2" w:rsidRPr="007C6A3F">
        <w:rPr>
          <w:highlight w:val="yellow"/>
        </w:rPr>
        <w:t>H</w:t>
      </w:r>
      <w:r w:rsidRPr="007C6A3F">
        <w:rPr>
          <w:highlight w:val="yellow"/>
        </w:rPr>
        <w:t>.</w:t>
      </w:r>
      <w:r w:rsidRPr="007C6A3F">
        <w:t xml:space="preserve"> </w:t>
      </w:r>
    </w:p>
    <w:p w:rsidR="00997A29" w:rsidRPr="007C6A3F" w:rsidRDefault="00F62F86" w:rsidP="004C384D">
      <w:pPr>
        <w:pStyle w:val="NormalSS"/>
        <w:numPr>
          <w:ilvl w:val="1"/>
          <w:numId w:val="28"/>
        </w:numPr>
        <w:tabs>
          <w:tab w:val="clear" w:pos="432"/>
          <w:tab w:val="left" w:pos="270"/>
          <w:tab w:val="left" w:pos="720"/>
        </w:tabs>
        <w:jc w:val="left"/>
      </w:pPr>
      <w:r w:rsidRPr="007C6A3F">
        <w:t>Health Care Organization Staff Interviews –</w:t>
      </w:r>
      <w:r w:rsidR="00225365" w:rsidRPr="007C6A3F">
        <w:t xml:space="preserve"> </w:t>
      </w:r>
      <w:r w:rsidRPr="007C6A3F">
        <w:t xml:space="preserve">Depending on the projects a </w:t>
      </w:r>
      <w:r w:rsidR="00354300" w:rsidRPr="007C6A3F">
        <w:t>State</w:t>
      </w:r>
      <w:r w:rsidRPr="007C6A3F">
        <w:t xml:space="preserve"> is implementing, health care organizations participating in demonstration activities can include private</w:t>
      </w:r>
      <w:r w:rsidR="00200B2A" w:rsidRPr="007C6A3F">
        <w:t xml:space="preserve"> health care provider</w:t>
      </w:r>
      <w:r w:rsidRPr="007C6A3F">
        <w:t xml:space="preserve"> practices, public </w:t>
      </w:r>
      <w:r w:rsidR="00200B2A" w:rsidRPr="007C6A3F">
        <w:t xml:space="preserve">health </w:t>
      </w:r>
      <w:r w:rsidRPr="007C6A3F">
        <w:t xml:space="preserve">clinics, federally qualified health centers, care management entities, or school based health centers. </w:t>
      </w:r>
      <w:r w:rsidR="00414621" w:rsidRPr="007C6A3F">
        <w:t xml:space="preserve">Staff members include physicians, nurse practitioners, </w:t>
      </w:r>
      <w:r w:rsidR="009231EE" w:rsidRPr="007C6A3F">
        <w:t xml:space="preserve">care managers, </w:t>
      </w:r>
      <w:r w:rsidR="00414621" w:rsidRPr="007C6A3F">
        <w:t xml:space="preserve">physician assistants, practice managers, </w:t>
      </w:r>
      <w:r w:rsidR="009231EE" w:rsidRPr="007C6A3F">
        <w:t>health care organization</w:t>
      </w:r>
      <w:r w:rsidR="00414621" w:rsidRPr="007C6A3F">
        <w:t xml:space="preserve"> administrators, and other staff involved in demonstration activities. </w:t>
      </w:r>
      <w:r w:rsidRPr="007C6A3F">
        <w:t>Interviews will capture information about project-related activities, staff perceptions of outcomes and impacts, and the organizations involvement in other quality-improvement initiatives. Semi-structured interviews w</w:t>
      </w:r>
      <w:r w:rsidR="00414621" w:rsidRPr="007C6A3F">
        <w:t>ere</w:t>
      </w:r>
      <w:r w:rsidRPr="007C6A3F">
        <w:t xml:space="preserve"> conducted with up to 12 staff members per </w:t>
      </w:r>
      <w:r w:rsidR="00354300" w:rsidRPr="007C6A3F">
        <w:t>State</w:t>
      </w:r>
      <w:r w:rsidRPr="007C6A3F">
        <w:t xml:space="preserve"> in 2012 </w:t>
      </w:r>
      <w:r w:rsidRPr="007C6A3F">
        <w:rPr>
          <w:highlight w:val="yellow"/>
        </w:rPr>
        <w:t xml:space="preserve">and </w:t>
      </w:r>
      <w:r w:rsidR="00414621" w:rsidRPr="007C6A3F">
        <w:rPr>
          <w:highlight w:val="yellow"/>
        </w:rPr>
        <w:t xml:space="preserve">will be </w:t>
      </w:r>
      <w:r w:rsidR="009231EE" w:rsidRPr="007C6A3F">
        <w:rPr>
          <w:highlight w:val="yellow"/>
        </w:rPr>
        <w:t>completed</w:t>
      </w:r>
      <w:r w:rsidR="00414621" w:rsidRPr="007C6A3F">
        <w:rPr>
          <w:highlight w:val="yellow"/>
        </w:rPr>
        <w:t xml:space="preserve"> with up to 12 staff members per State in </w:t>
      </w:r>
      <w:r w:rsidRPr="007C6A3F">
        <w:rPr>
          <w:highlight w:val="yellow"/>
        </w:rPr>
        <w:t>2014.</w:t>
      </w:r>
      <w:r w:rsidRPr="007C6A3F">
        <w:t xml:space="preserve"> The health care organization staff interview guide</w:t>
      </w:r>
      <w:r w:rsidR="00B7599C" w:rsidRPr="007C6A3F">
        <w:t xml:space="preserve"> for 2012</w:t>
      </w:r>
      <w:r w:rsidRPr="007C6A3F">
        <w:t xml:space="preserve"> is included as Attachment </w:t>
      </w:r>
      <w:r w:rsidR="00781BB2" w:rsidRPr="007C6A3F">
        <w:t>I</w:t>
      </w:r>
      <w:r w:rsidRPr="007C6A3F">
        <w:t xml:space="preserve"> and the interview request and confirmation emails as Attachment C. </w:t>
      </w:r>
      <w:r w:rsidRPr="007C6A3F">
        <w:rPr>
          <w:highlight w:val="yellow"/>
        </w:rPr>
        <w:t xml:space="preserve">The revised health care organization staff interview guide for 2014 is included as Attachment </w:t>
      </w:r>
      <w:r w:rsidR="00781BB2" w:rsidRPr="007C6A3F">
        <w:rPr>
          <w:highlight w:val="yellow"/>
        </w:rPr>
        <w:t>J</w:t>
      </w:r>
      <w:r w:rsidRPr="007C6A3F">
        <w:rPr>
          <w:highlight w:val="yellow"/>
        </w:rPr>
        <w:t>.</w:t>
      </w:r>
      <w:r w:rsidRPr="007C6A3F">
        <w:t xml:space="preserve"> </w:t>
      </w:r>
    </w:p>
    <w:p w:rsidR="009231EE" w:rsidRPr="002F69A7" w:rsidRDefault="00F62F86" w:rsidP="004C384D">
      <w:pPr>
        <w:pStyle w:val="NormalSS"/>
        <w:numPr>
          <w:ilvl w:val="0"/>
          <w:numId w:val="28"/>
        </w:numPr>
        <w:jc w:val="left"/>
        <w:rPr>
          <w:highlight w:val="yellow"/>
        </w:rPr>
      </w:pPr>
      <w:r w:rsidRPr="002F69A7">
        <w:rPr>
          <w:b/>
          <w:highlight w:val="yellow"/>
        </w:rPr>
        <w:t>Focus Groups</w:t>
      </w:r>
      <w:bookmarkStart w:id="7" w:name="_GoBack"/>
      <w:bookmarkEnd w:id="7"/>
      <w:r w:rsidRPr="002F69A7">
        <w:rPr>
          <w:b/>
          <w:highlight w:val="yellow"/>
        </w:rPr>
        <w:t xml:space="preserve">. </w:t>
      </w:r>
      <w:r w:rsidRPr="002F69A7">
        <w:rPr>
          <w:highlight w:val="yellow"/>
        </w:rPr>
        <w:t xml:space="preserve">Under the revised data collection request, </w:t>
      </w:r>
      <w:r w:rsidR="00200B2A">
        <w:rPr>
          <w:highlight w:val="yellow"/>
        </w:rPr>
        <w:t xml:space="preserve">AHRQ is seeking  approval for </w:t>
      </w:r>
      <w:r w:rsidRPr="002F69A7">
        <w:rPr>
          <w:highlight w:val="yellow"/>
        </w:rPr>
        <w:t xml:space="preserve">researchers </w:t>
      </w:r>
      <w:r w:rsidR="00200B2A">
        <w:rPr>
          <w:highlight w:val="yellow"/>
        </w:rPr>
        <w:t>to</w:t>
      </w:r>
      <w:r w:rsidR="00200B2A" w:rsidRPr="002F69A7">
        <w:rPr>
          <w:highlight w:val="yellow"/>
        </w:rPr>
        <w:t xml:space="preserve"> </w:t>
      </w:r>
      <w:r w:rsidRPr="002F69A7">
        <w:rPr>
          <w:highlight w:val="yellow"/>
        </w:rPr>
        <w:t xml:space="preserve">conduct parent and adolescent focus groups in </w:t>
      </w:r>
      <w:r w:rsidR="00200B2A">
        <w:rPr>
          <w:highlight w:val="yellow"/>
        </w:rPr>
        <w:t xml:space="preserve">selected </w:t>
      </w:r>
      <w:r w:rsidRPr="002F69A7">
        <w:rPr>
          <w:highlight w:val="yellow"/>
        </w:rPr>
        <w:t xml:space="preserve">demonstration </w:t>
      </w:r>
      <w:r w:rsidR="00354300" w:rsidRPr="002F69A7">
        <w:rPr>
          <w:highlight w:val="yellow"/>
        </w:rPr>
        <w:t>State</w:t>
      </w:r>
      <w:r w:rsidRPr="002F69A7">
        <w:rPr>
          <w:highlight w:val="yellow"/>
        </w:rPr>
        <w:t xml:space="preserve">s. </w:t>
      </w:r>
      <w:r w:rsidR="00024D82">
        <w:rPr>
          <w:highlight w:val="yellow"/>
        </w:rPr>
        <w:t xml:space="preserve">Focus groups were not conducted in the first round of data collection. </w:t>
      </w:r>
      <w:r w:rsidR="00354300" w:rsidRPr="002F69A7">
        <w:rPr>
          <w:highlight w:val="yellow"/>
        </w:rPr>
        <w:t>The original information collection</w:t>
      </w:r>
      <w:r w:rsidR="0026205D">
        <w:rPr>
          <w:highlight w:val="yellow"/>
        </w:rPr>
        <w:t xml:space="preserve"> </w:t>
      </w:r>
      <w:r w:rsidR="00354300" w:rsidRPr="002F69A7">
        <w:rPr>
          <w:highlight w:val="yellow"/>
        </w:rPr>
        <w:t xml:space="preserve">request </w:t>
      </w:r>
      <w:r w:rsidR="0026205D">
        <w:rPr>
          <w:highlight w:val="yellow"/>
        </w:rPr>
        <w:t>therefore</w:t>
      </w:r>
      <w:r w:rsidR="0026205D" w:rsidRPr="002F69A7">
        <w:rPr>
          <w:highlight w:val="yellow"/>
        </w:rPr>
        <w:t xml:space="preserve"> </w:t>
      </w:r>
      <w:r w:rsidR="00354300" w:rsidRPr="002F69A7">
        <w:rPr>
          <w:highlight w:val="yellow"/>
        </w:rPr>
        <w:t xml:space="preserve">did not seek approval for focus groups.  </w:t>
      </w:r>
    </w:p>
    <w:p w:rsidR="009231EE" w:rsidRPr="002F69A7" w:rsidRDefault="00C4392D" w:rsidP="004C384D">
      <w:pPr>
        <w:pStyle w:val="NormalSS"/>
        <w:numPr>
          <w:ilvl w:val="1"/>
          <w:numId w:val="28"/>
        </w:numPr>
        <w:tabs>
          <w:tab w:val="clear" w:pos="432"/>
          <w:tab w:val="left" w:pos="270"/>
          <w:tab w:val="left" w:pos="720"/>
        </w:tabs>
        <w:jc w:val="left"/>
        <w:rPr>
          <w:highlight w:val="yellow"/>
        </w:rPr>
      </w:pPr>
      <w:r w:rsidRPr="002F69A7">
        <w:rPr>
          <w:highlight w:val="yellow"/>
        </w:rPr>
        <w:t xml:space="preserve">Parent Focus Groups – We will hold </w:t>
      </w:r>
      <w:r w:rsidR="006C7B0A">
        <w:rPr>
          <w:highlight w:val="yellow"/>
        </w:rPr>
        <w:t xml:space="preserve">a total of 16 </w:t>
      </w:r>
      <w:r w:rsidRPr="002F69A7">
        <w:rPr>
          <w:highlight w:val="yellow"/>
        </w:rPr>
        <w:t xml:space="preserve">in-person focus groups with parents, guardians, or other caregivers of children who are enrolled in Medicaid or CHIP and are served by the medical practices involved in the CHIPRA demonstration. </w:t>
      </w:r>
      <w:r w:rsidR="006C7B0A">
        <w:rPr>
          <w:highlight w:val="yellow"/>
        </w:rPr>
        <w:t xml:space="preserve">Specifically, we will conduct 4 focus groups each in Oregon, Utah, Florida, and South Carolina, 4 of the </w:t>
      </w:r>
      <w:r w:rsidR="00200B2A">
        <w:rPr>
          <w:highlight w:val="yellow"/>
        </w:rPr>
        <w:t>12</w:t>
      </w:r>
      <w:r w:rsidR="0026205D">
        <w:rPr>
          <w:highlight w:val="yellow"/>
        </w:rPr>
        <w:t xml:space="preserve"> </w:t>
      </w:r>
      <w:r w:rsidR="00354300" w:rsidRPr="002F69A7">
        <w:rPr>
          <w:highlight w:val="yellow"/>
        </w:rPr>
        <w:t>State</w:t>
      </w:r>
      <w:r w:rsidR="00F62F86" w:rsidRPr="002F69A7">
        <w:rPr>
          <w:highlight w:val="yellow"/>
        </w:rPr>
        <w:t xml:space="preserve">s </w:t>
      </w:r>
      <w:r w:rsidR="00200B2A">
        <w:rPr>
          <w:highlight w:val="yellow"/>
        </w:rPr>
        <w:t xml:space="preserve">that have </w:t>
      </w:r>
      <w:r w:rsidR="00200B2A" w:rsidRPr="002F69A7">
        <w:rPr>
          <w:highlight w:val="yellow"/>
        </w:rPr>
        <w:t>implement</w:t>
      </w:r>
      <w:r w:rsidR="00200B2A">
        <w:rPr>
          <w:highlight w:val="yellow"/>
        </w:rPr>
        <w:t>ed a</w:t>
      </w:r>
      <w:r w:rsidR="00200B2A" w:rsidRPr="002F69A7">
        <w:rPr>
          <w:highlight w:val="yellow"/>
        </w:rPr>
        <w:t xml:space="preserve"> </w:t>
      </w:r>
      <w:r w:rsidR="00F62F86" w:rsidRPr="002F69A7">
        <w:rPr>
          <w:highlight w:val="yellow"/>
        </w:rPr>
        <w:t>patient-centered med</w:t>
      </w:r>
      <w:r w:rsidR="006C7B0A">
        <w:rPr>
          <w:highlight w:val="yellow"/>
        </w:rPr>
        <w:t>ical home demonstration project</w:t>
      </w:r>
      <w:r w:rsidR="00F62F86" w:rsidRPr="002F69A7">
        <w:rPr>
          <w:highlight w:val="yellow"/>
        </w:rPr>
        <w:t>. The number of participants per focus group will range from 8 to 10, resulting in a maximum of 160 adults participating. The</w:t>
      </w:r>
      <w:r w:rsidR="00F82CE1" w:rsidRPr="002F69A7">
        <w:rPr>
          <w:highlight w:val="yellow"/>
        </w:rPr>
        <w:t xml:space="preserve"> parent focus groups</w:t>
      </w:r>
      <w:r w:rsidR="00F62F86" w:rsidRPr="002F69A7">
        <w:rPr>
          <w:highlight w:val="yellow"/>
        </w:rPr>
        <w:t xml:space="preserve"> will be conducted in </w:t>
      </w:r>
      <w:r w:rsidR="00081406" w:rsidRPr="002F69A7">
        <w:rPr>
          <w:highlight w:val="yellow"/>
        </w:rPr>
        <w:t>English and</w:t>
      </w:r>
      <w:r w:rsidR="00F62F86" w:rsidRPr="002F69A7">
        <w:rPr>
          <w:highlight w:val="yellow"/>
        </w:rPr>
        <w:t xml:space="preserve"> in Spanish. The parent focus group protocol is included as Attachment </w:t>
      </w:r>
      <w:r w:rsidR="00781BB2">
        <w:rPr>
          <w:highlight w:val="yellow"/>
        </w:rPr>
        <w:t>K</w:t>
      </w:r>
      <w:r w:rsidR="00F62F86" w:rsidRPr="002F69A7">
        <w:rPr>
          <w:highlight w:val="yellow"/>
        </w:rPr>
        <w:t xml:space="preserve">, the parent focus group recruitment materials as Attachment </w:t>
      </w:r>
      <w:r w:rsidR="00781BB2">
        <w:rPr>
          <w:highlight w:val="yellow"/>
        </w:rPr>
        <w:t>L</w:t>
      </w:r>
      <w:r w:rsidR="00F62F86" w:rsidRPr="002F69A7">
        <w:rPr>
          <w:highlight w:val="yellow"/>
        </w:rPr>
        <w:t xml:space="preserve">, the parent telephone screening script as Attachment </w:t>
      </w:r>
      <w:r w:rsidR="00781BB2">
        <w:rPr>
          <w:highlight w:val="yellow"/>
        </w:rPr>
        <w:t>M</w:t>
      </w:r>
      <w:r w:rsidR="00F62F86" w:rsidRPr="002F69A7">
        <w:rPr>
          <w:highlight w:val="yellow"/>
        </w:rPr>
        <w:t xml:space="preserve">, the parent pre-focus group interview </w:t>
      </w:r>
      <w:r w:rsidR="00081406">
        <w:rPr>
          <w:highlight w:val="yellow"/>
        </w:rPr>
        <w:t xml:space="preserve">script </w:t>
      </w:r>
      <w:r w:rsidR="00F62F86" w:rsidRPr="002F69A7">
        <w:rPr>
          <w:highlight w:val="yellow"/>
        </w:rPr>
        <w:t xml:space="preserve">as Attachment </w:t>
      </w:r>
      <w:r w:rsidR="00781BB2">
        <w:rPr>
          <w:highlight w:val="yellow"/>
        </w:rPr>
        <w:t>N</w:t>
      </w:r>
      <w:r w:rsidR="00F62F86" w:rsidRPr="002F69A7">
        <w:rPr>
          <w:highlight w:val="yellow"/>
        </w:rPr>
        <w:t xml:space="preserve">, and the informed consent forms as Attachment </w:t>
      </w:r>
      <w:r w:rsidR="00781BB2">
        <w:rPr>
          <w:highlight w:val="yellow"/>
        </w:rPr>
        <w:t>O</w:t>
      </w:r>
      <w:r w:rsidR="00F62F86" w:rsidRPr="002F69A7">
        <w:rPr>
          <w:highlight w:val="yellow"/>
        </w:rPr>
        <w:t xml:space="preserve">. </w:t>
      </w:r>
    </w:p>
    <w:p w:rsidR="009231EE" w:rsidRPr="002F69A7" w:rsidRDefault="00F62F86" w:rsidP="004C384D">
      <w:pPr>
        <w:pStyle w:val="NormalSS"/>
        <w:numPr>
          <w:ilvl w:val="1"/>
          <w:numId w:val="28"/>
        </w:numPr>
        <w:tabs>
          <w:tab w:val="clear" w:pos="432"/>
          <w:tab w:val="left" w:pos="270"/>
          <w:tab w:val="left" w:pos="720"/>
        </w:tabs>
        <w:jc w:val="left"/>
        <w:rPr>
          <w:highlight w:val="yellow"/>
        </w:rPr>
      </w:pPr>
      <w:r w:rsidRPr="002F69A7">
        <w:rPr>
          <w:highlight w:val="yellow"/>
        </w:rPr>
        <w:t xml:space="preserve">Adolescent Focus Groups – We will hold </w:t>
      </w:r>
      <w:r w:rsidR="006C7B0A">
        <w:rPr>
          <w:highlight w:val="yellow"/>
        </w:rPr>
        <w:t xml:space="preserve">four </w:t>
      </w:r>
      <w:r w:rsidRPr="002F69A7">
        <w:rPr>
          <w:highlight w:val="yellow"/>
        </w:rPr>
        <w:t xml:space="preserve">in-person focus groups with adolescents who are enrolled in Medicaid or CHIP and are served by school-based health centers involved in the CHIPRA demonstration. </w:t>
      </w:r>
      <w:r w:rsidR="006C7B0A">
        <w:rPr>
          <w:highlight w:val="yellow"/>
        </w:rPr>
        <w:t>We will hold the focus groups in New Mexico,</w:t>
      </w:r>
      <w:r w:rsidRPr="002F69A7">
        <w:rPr>
          <w:highlight w:val="yellow"/>
        </w:rPr>
        <w:t xml:space="preserve"> </w:t>
      </w:r>
      <w:r w:rsidR="00081406" w:rsidRPr="002F69A7">
        <w:rPr>
          <w:highlight w:val="yellow"/>
        </w:rPr>
        <w:t>one</w:t>
      </w:r>
      <w:r w:rsidR="00200B2A">
        <w:rPr>
          <w:highlight w:val="yellow"/>
        </w:rPr>
        <w:t xml:space="preserve"> of two</w:t>
      </w:r>
      <w:r w:rsidR="00081406" w:rsidRPr="002F69A7">
        <w:rPr>
          <w:highlight w:val="yellow"/>
        </w:rPr>
        <w:t xml:space="preserve"> State</w:t>
      </w:r>
      <w:r w:rsidR="00200B2A">
        <w:rPr>
          <w:highlight w:val="yellow"/>
        </w:rPr>
        <w:t>s that have</w:t>
      </w:r>
      <w:r w:rsidRPr="002F69A7">
        <w:rPr>
          <w:highlight w:val="yellow"/>
        </w:rPr>
        <w:t xml:space="preserve"> implement</w:t>
      </w:r>
      <w:r w:rsidR="00200B2A">
        <w:rPr>
          <w:highlight w:val="yellow"/>
        </w:rPr>
        <w:t>ed</w:t>
      </w:r>
      <w:r w:rsidRPr="002F69A7">
        <w:rPr>
          <w:highlight w:val="yellow"/>
        </w:rPr>
        <w:t xml:space="preserve"> </w:t>
      </w:r>
      <w:r w:rsidR="00261C73" w:rsidRPr="002F69A7">
        <w:rPr>
          <w:highlight w:val="yellow"/>
        </w:rPr>
        <w:t xml:space="preserve">a </w:t>
      </w:r>
      <w:r w:rsidRPr="002F69A7">
        <w:rPr>
          <w:highlight w:val="yellow"/>
        </w:rPr>
        <w:t xml:space="preserve">school-based health center project. The number of participants per focus group will range from 8 </w:t>
      </w:r>
      <w:r w:rsidRPr="002F69A7">
        <w:rPr>
          <w:highlight w:val="yellow"/>
        </w:rPr>
        <w:lastRenderedPageBreak/>
        <w:t xml:space="preserve">to 10, resulting in a maximum of 40 adolescents participating. The adolescent focus group protocol is included as Attachment </w:t>
      </w:r>
      <w:r w:rsidR="00781BB2">
        <w:rPr>
          <w:highlight w:val="yellow"/>
        </w:rPr>
        <w:t>P</w:t>
      </w:r>
      <w:r w:rsidRPr="002F69A7">
        <w:rPr>
          <w:highlight w:val="yellow"/>
        </w:rPr>
        <w:t xml:space="preserve">, the adolescent focus group recruitment materials as Attachment </w:t>
      </w:r>
      <w:r w:rsidR="00781BB2">
        <w:rPr>
          <w:highlight w:val="yellow"/>
        </w:rPr>
        <w:t>Q</w:t>
      </w:r>
      <w:r w:rsidRPr="002F69A7">
        <w:rPr>
          <w:highlight w:val="yellow"/>
        </w:rPr>
        <w:t xml:space="preserve">, the adolescent telephone screening script as Attachment </w:t>
      </w:r>
      <w:r w:rsidR="00781BB2">
        <w:rPr>
          <w:highlight w:val="yellow"/>
        </w:rPr>
        <w:t>R</w:t>
      </w:r>
      <w:r w:rsidRPr="002F69A7">
        <w:rPr>
          <w:highlight w:val="yellow"/>
        </w:rPr>
        <w:t xml:space="preserve">, the adolescent pre-focus group interview </w:t>
      </w:r>
      <w:r w:rsidR="00081406">
        <w:rPr>
          <w:highlight w:val="yellow"/>
        </w:rPr>
        <w:t xml:space="preserve">script </w:t>
      </w:r>
      <w:r w:rsidRPr="002F69A7">
        <w:rPr>
          <w:highlight w:val="yellow"/>
        </w:rPr>
        <w:t xml:space="preserve">as Attachment </w:t>
      </w:r>
      <w:r w:rsidR="00781BB2">
        <w:rPr>
          <w:highlight w:val="yellow"/>
        </w:rPr>
        <w:t>S</w:t>
      </w:r>
      <w:r w:rsidRPr="002F69A7">
        <w:rPr>
          <w:highlight w:val="yellow"/>
        </w:rPr>
        <w:t xml:space="preserve">, and the informed consent forms as Attachment </w:t>
      </w:r>
      <w:r w:rsidR="00781BB2">
        <w:rPr>
          <w:highlight w:val="yellow"/>
        </w:rPr>
        <w:t>O</w:t>
      </w:r>
      <w:r w:rsidRPr="002F69A7">
        <w:rPr>
          <w:highlight w:val="yellow"/>
        </w:rPr>
        <w:t>.</w:t>
      </w:r>
    </w:p>
    <w:p w:rsidR="00997A29" w:rsidRPr="002F69A7" w:rsidRDefault="00F62F86" w:rsidP="004C384D">
      <w:pPr>
        <w:pStyle w:val="NormalSS"/>
        <w:numPr>
          <w:ilvl w:val="0"/>
          <w:numId w:val="28"/>
        </w:numPr>
        <w:tabs>
          <w:tab w:val="clear" w:pos="432"/>
          <w:tab w:val="left" w:pos="270"/>
          <w:tab w:val="left" w:pos="720"/>
        </w:tabs>
        <w:jc w:val="left"/>
        <w:rPr>
          <w:highlight w:val="yellow"/>
        </w:rPr>
      </w:pPr>
      <w:r w:rsidRPr="002F69A7">
        <w:rPr>
          <w:b/>
          <w:highlight w:val="yellow"/>
        </w:rPr>
        <w:t>Project documents produced by the grantees</w:t>
      </w:r>
      <w:r w:rsidRPr="002F69A7">
        <w:rPr>
          <w:highlight w:val="yellow"/>
        </w:rPr>
        <w:t>. We are conducting a</w:t>
      </w:r>
      <w:r w:rsidR="00123839" w:rsidRPr="002F69A7">
        <w:rPr>
          <w:highlight w:val="yellow"/>
        </w:rPr>
        <w:t>n ongoing</w:t>
      </w:r>
      <w:r w:rsidRPr="002F69A7">
        <w:rPr>
          <w:highlight w:val="yellow"/>
        </w:rPr>
        <w:t xml:space="preserve"> review of the </w:t>
      </w:r>
      <w:r w:rsidR="00081406" w:rsidRPr="002F69A7">
        <w:rPr>
          <w:highlight w:val="yellow"/>
        </w:rPr>
        <w:t>following project</w:t>
      </w:r>
      <w:r w:rsidRPr="002F69A7">
        <w:rPr>
          <w:highlight w:val="yellow"/>
        </w:rPr>
        <w:t xml:space="preserve"> documents</w:t>
      </w:r>
      <w:r w:rsidR="00123839" w:rsidRPr="002F69A7">
        <w:rPr>
          <w:highlight w:val="yellow"/>
        </w:rPr>
        <w:t xml:space="preserve"> submitted by States as part of their grant requirements</w:t>
      </w:r>
      <w:r w:rsidRPr="002F69A7">
        <w:rPr>
          <w:highlight w:val="yellow"/>
        </w:rPr>
        <w:t xml:space="preserve">: (1) CHIPRA grant applications; (2) grantees’ final operating plans; (3) grantees’ semi-annual progress reports; and (4) reports produced by </w:t>
      </w:r>
      <w:r w:rsidR="00354300" w:rsidRPr="002F69A7">
        <w:rPr>
          <w:highlight w:val="yellow"/>
        </w:rPr>
        <w:t>State</w:t>
      </w:r>
      <w:r w:rsidRPr="002F69A7">
        <w:rPr>
          <w:highlight w:val="yellow"/>
        </w:rPr>
        <w:t xml:space="preserve">-based evaluation teams. </w:t>
      </w:r>
      <w:r w:rsidR="00E64DD2">
        <w:rPr>
          <w:highlight w:val="yellow"/>
        </w:rPr>
        <w:t>T</w:t>
      </w:r>
      <w:r w:rsidRPr="002F69A7">
        <w:rPr>
          <w:highlight w:val="yellow"/>
        </w:rPr>
        <w:t>hese documents give AHRQ an excellent basis for an informed discussion during in-depth interviews about project resources, evolving strategies, and contextual environments.</w:t>
      </w:r>
      <w:r w:rsidR="00123839" w:rsidRPr="002F69A7">
        <w:rPr>
          <w:highlight w:val="yellow"/>
        </w:rPr>
        <w:t xml:space="preserve"> These documents also provide a useful complement to the in-person interviews by providing</w:t>
      </w:r>
      <w:r w:rsidRPr="002F69A7">
        <w:rPr>
          <w:highlight w:val="yellow"/>
        </w:rPr>
        <w:t xml:space="preserve"> written documentation of complex contextual circumstances, including </w:t>
      </w:r>
      <w:r w:rsidR="00354300" w:rsidRPr="002F69A7">
        <w:rPr>
          <w:highlight w:val="yellow"/>
        </w:rPr>
        <w:t>State</w:t>
      </w:r>
      <w:r w:rsidRPr="002F69A7">
        <w:rPr>
          <w:highlight w:val="yellow"/>
        </w:rPr>
        <w:t xml:space="preserve">s’ prior experience with grant-related initiatives  and current </w:t>
      </w:r>
      <w:r w:rsidR="00067A51">
        <w:rPr>
          <w:highlight w:val="yellow"/>
        </w:rPr>
        <w:t xml:space="preserve">health </w:t>
      </w:r>
      <w:r w:rsidR="00067A51" w:rsidRPr="002F69A7">
        <w:rPr>
          <w:highlight w:val="yellow"/>
        </w:rPr>
        <w:t xml:space="preserve">IT </w:t>
      </w:r>
      <w:r w:rsidRPr="002F69A7">
        <w:rPr>
          <w:highlight w:val="yellow"/>
        </w:rPr>
        <w:t xml:space="preserve">initiatives going on in the </w:t>
      </w:r>
      <w:r w:rsidR="00354300" w:rsidRPr="002F69A7">
        <w:rPr>
          <w:highlight w:val="yellow"/>
        </w:rPr>
        <w:t>State</w:t>
      </w:r>
      <w:r w:rsidRPr="002F69A7">
        <w:rPr>
          <w:highlight w:val="yellow"/>
        </w:rPr>
        <w:t>s. This activity does not impose a burden on the public, does not require OMB clearance</w:t>
      </w:r>
      <w:r w:rsidR="00354300" w:rsidRPr="002F69A7">
        <w:rPr>
          <w:highlight w:val="yellow"/>
        </w:rPr>
        <w:t>,</w:t>
      </w:r>
      <w:r w:rsidRPr="002F69A7">
        <w:rPr>
          <w:highlight w:val="yellow"/>
        </w:rPr>
        <w:t xml:space="preserve"> and is not included in the burden estimates in Section 12.</w:t>
      </w:r>
    </w:p>
    <w:p w:rsidR="00997A29" w:rsidRPr="002F69A7" w:rsidRDefault="00F62F86" w:rsidP="004C384D">
      <w:pPr>
        <w:pStyle w:val="NormalSS"/>
        <w:numPr>
          <w:ilvl w:val="0"/>
          <w:numId w:val="28"/>
        </w:numPr>
        <w:tabs>
          <w:tab w:val="clear" w:pos="432"/>
          <w:tab w:val="left" w:pos="270"/>
        </w:tabs>
        <w:jc w:val="left"/>
        <w:rPr>
          <w:highlight w:val="yellow"/>
        </w:rPr>
      </w:pPr>
      <w:r w:rsidRPr="002F69A7">
        <w:rPr>
          <w:b/>
          <w:highlight w:val="yellow"/>
        </w:rPr>
        <w:t xml:space="preserve">Pediatrician and </w:t>
      </w:r>
      <w:r w:rsidR="00157987" w:rsidRPr="002F69A7">
        <w:rPr>
          <w:b/>
          <w:highlight w:val="yellow"/>
        </w:rPr>
        <w:t>Family Physician</w:t>
      </w:r>
      <w:r w:rsidRPr="002F69A7">
        <w:rPr>
          <w:b/>
          <w:highlight w:val="yellow"/>
        </w:rPr>
        <w:t xml:space="preserve"> Survey</w:t>
      </w:r>
      <w:r w:rsidRPr="002F69A7">
        <w:rPr>
          <w:highlight w:val="yellow"/>
        </w:rPr>
        <w:t xml:space="preserve">. </w:t>
      </w:r>
      <w:r w:rsidR="00157987" w:rsidRPr="002F69A7">
        <w:rPr>
          <w:highlight w:val="yellow"/>
        </w:rPr>
        <w:t xml:space="preserve">The pediatrician and family physician survey was approved under a separate information collection request (OMB# </w:t>
      </w:r>
      <w:r w:rsidR="00157987" w:rsidRPr="00067A51">
        <w:rPr>
          <w:highlight w:val="yellow"/>
        </w:rPr>
        <w:t>0935-0215).</w:t>
      </w:r>
      <w:r w:rsidRPr="002F69A7">
        <w:rPr>
          <w:highlight w:val="yellow"/>
        </w:rPr>
        <w:t>This survey</w:t>
      </w:r>
      <w:r w:rsidR="00200B2A">
        <w:rPr>
          <w:highlight w:val="yellow"/>
        </w:rPr>
        <w:t>, which will be fielded in 2014,</w:t>
      </w:r>
      <w:r w:rsidRPr="002F69A7">
        <w:rPr>
          <w:highlight w:val="yellow"/>
        </w:rPr>
        <w:t xml:space="preserve"> will include a random sample of </w:t>
      </w:r>
      <w:r w:rsidR="00157987" w:rsidRPr="002F69A7">
        <w:rPr>
          <w:highlight w:val="yellow"/>
        </w:rPr>
        <w:t xml:space="preserve">pediatricians and family </w:t>
      </w:r>
      <w:r w:rsidRPr="002F69A7">
        <w:rPr>
          <w:highlight w:val="yellow"/>
        </w:rPr>
        <w:t xml:space="preserve">physicians in </w:t>
      </w:r>
      <w:r w:rsidR="00157987" w:rsidRPr="002F69A7">
        <w:rPr>
          <w:highlight w:val="yellow"/>
        </w:rPr>
        <w:t>two grantee states and one comparison state</w:t>
      </w:r>
      <w:r w:rsidRPr="002F69A7">
        <w:rPr>
          <w:highlight w:val="yellow"/>
        </w:rPr>
        <w:t>. The questionnaire includes questions that support an analysis of (1) physician attitudes towards specific strategies and resources aimed at improving the quality of care provided to pediatric patients</w:t>
      </w:r>
      <w:r w:rsidR="00E64DD2">
        <w:rPr>
          <w:highlight w:val="yellow"/>
        </w:rPr>
        <w:t>,</w:t>
      </w:r>
      <w:r w:rsidRPr="002F69A7">
        <w:rPr>
          <w:highlight w:val="yellow"/>
        </w:rPr>
        <w:t xml:space="preserve"> (2) the extent to which physicians’ practices have attempted to implement changes in order to improve the quality of care provided to pediatric patients</w:t>
      </w:r>
      <w:r w:rsidR="00E64DD2">
        <w:rPr>
          <w:highlight w:val="yellow"/>
        </w:rPr>
        <w:t>,</w:t>
      </w:r>
      <w:r w:rsidRPr="002F69A7">
        <w:rPr>
          <w:highlight w:val="yellow"/>
        </w:rPr>
        <w:t xml:space="preserve"> (3) physician attitudes towards the utility of receiving performance feedback on quality </w:t>
      </w:r>
      <w:r w:rsidR="00081406" w:rsidRPr="002F69A7">
        <w:rPr>
          <w:highlight w:val="yellow"/>
        </w:rPr>
        <w:t>measure relevant</w:t>
      </w:r>
      <w:r w:rsidRPr="002F69A7">
        <w:rPr>
          <w:highlight w:val="yellow"/>
        </w:rPr>
        <w:t xml:space="preserve"> to primary care</w:t>
      </w:r>
      <w:r w:rsidR="00157987" w:rsidRPr="002F69A7">
        <w:rPr>
          <w:highlight w:val="yellow"/>
        </w:rPr>
        <w:t xml:space="preserve"> for children</w:t>
      </w:r>
      <w:r w:rsidR="00E64DD2">
        <w:rPr>
          <w:highlight w:val="yellow"/>
        </w:rPr>
        <w:t>,</w:t>
      </w:r>
      <w:r w:rsidRPr="002F69A7">
        <w:rPr>
          <w:highlight w:val="yellow"/>
        </w:rPr>
        <w:t xml:space="preserve"> (4) perceived usefulness of quality-of-care reports received by physician practices</w:t>
      </w:r>
      <w:r w:rsidR="00E64DD2">
        <w:rPr>
          <w:highlight w:val="yellow"/>
        </w:rPr>
        <w:t>,</w:t>
      </w:r>
      <w:r w:rsidRPr="002F69A7">
        <w:rPr>
          <w:highlight w:val="yellow"/>
        </w:rPr>
        <w:t xml:space="preserve"> (5) current practices and attitudes towards pay-for-performance financial incentive systems based on quality measure outcomes</w:t>
      </w:r>
      <w:r w:rsidR="00E64DD2">
        <w:rPr>
          <w:highlight w:val="yellow"/>
        </w:rPr>
        <w:t>,</w:t>
      </w:r>
      <w:r w:rsidRPr="002F69A7">
        <w:rPr>
          <w:highlight w:val="yellow"/>
        </w:rPr>
        <w:t xml:space="preserve"> (6) physicians’ uses of and attitudes towards electronic health records in quality measurement and improvement</w:t>
      </w:r>
      <w:r w:rsidR="00E64DD2">
        <w:rPr>
          <w:highlight w:val="yellow"/>
        </w:rPr>
        <w:t>,</w:t>
      </w:r>
      <w:r w:rsidRPr="002F69A7">
        <w:rPr>
          <w:highlight w:val="yellow"/>
        </w:rPr>
        <w:t xml:space="preserve"> (7) current and expected medical home accreditation processes</w:t>
      </w:r>
      <w:r w:rsidR="00E64DD2">
        <w:rPr>
          <w:highlight w:val="yellow"/>
        </w:rPr>
        <w:t>,</w:t>
      </w:r>
      <w:r w:rsidRPr="002F69A7">
        <w:rPr>
          <w:highlight w:val="yellow"/>
        </w:rPr>
        <w:t xml:space="preserve"> and (8) physician and practice demographic information. These data will </w:t>
      </w:r>
      <w:r w:rsidR="00742A03">
        <w:rPr>
          <w:highlight w:val="yellow"/>
        </w:rPr>
        <w:t>provide</w:t>
      </w:r>
      <w:r w:rsidRPr="002F69A7">
        <w:rPr>
          <w:highlight w:val="yellow"/>
        </w:rPr>
        <w:t xml:space="preserve"> insight on physician perspectives on quality measures and quality reporting and foster understanding of the strategies and resources that seemed to contribute most (or least) to those outcomes.  </w:t>
      </w:r>
    </w:p>
    <w:p w:rsidR="009231EE" w:rsidRPr="002F69A7" w:rsidRDefault="00F62F86" w:rsidP="004C384D">
      <w:pPr>
        <w:pStyle w:val="NormalSS"/>
        <w:numPr>
          <w:ilvl w:val="0"/>
          <w:numId w:val="28"/>
        </w:numPr>
        <w:tabs>
          <w:tab w:val="clear" w:pos="432"/>
          <w:tab w:val="left" w:pos="270"/>
          <w:tab w:val="left" w:pos="720"/>
        </w:tabs>
        <w:jc w:val="left"/>
        <w:rPr>
          <w:highlight w:val="yellow"/>
        </w:rPr>
      </w:pPr>
      <w:r w:rsidRPr="002F69A7">
        <w:rPr>
          <w:b/>
          <w:highlight w:val="yellow"/>
        </w:rPr>
        <w:t xml:space="preserve">Medicaid and CHIP </w:t>
      </w:r>
      <w:r w:rsidR="006D29D8" w:rsidRPr="002F69A7">
        <w:rPr>
          <w:b/>
          <w:highlight w:val="yellow"/>
        </w:rPr>
        <w:t>Administrative</w:t>
      </w:r>
      <w:r w:rsidRPr="002F69A7">
        <w:rPr>
          <w:b/>
          <w:highlight w:val="yellow"/>
        </w:rPr>
        <w:t xml:space="preserve"> and Claims Data</w:t>
      </w:r>
      <w:r w:rsidR="00C4392D" w:rsidRPr="002F69A7">
        <w:rPr>
          <w:highlight w:val="yellow"/>
        </w:rPr>
        <w:t xml:space="preserve"> – </w:t>
      </w:r>
      <w:r w:rsidR="00F016DA">
        <w:rPr>
          <w:highlight w:val="yellow"/>
        </w:rPr>
        <w:t>S</w:t>
      </w:r>
      <w:r w:rsidR="00F016DA" w:rsidRPr="002F69A7">
        <w:rPr>
          <w:highlight w:val="yellow"/>
        </w:rPr>
        <w:t xml:space="preserve">elect CHIPRA demonstration States </w:t>
      </w:r>
      <w:r w:rsidR="00C4392D" w:rsidRPr="002F69A7">
        <w:rPr>
          <w:highlight w:val="yellow"/>
        </w:rPr>
        <w:t xml:space="preserve">are </w:t>
      </w:r>
      <w:r w:rsidR="00F016DA">
        <w:rPr>
          <w:highlight w:val="yellow"/>
        </w:rPr>
        <w:t>sharing</w:t>
      </w:r>
      <w:r w:rsidR="00F016DA" w:rsidRPr="002F69A7">
        <w:rPr>
          <w:highlight w:val="yellow"/>
        </w:rPr>
        <w:t xml:space="preserve"> </w:t>
      </w:r>
      <w:r w:rsidR="00354300" w:rsidRPr="002F69A7">
        <w:rPr>
          <w:highlight w:val="yellow"/>
        </w:rPr>
        <w:t>State</w:t>
      </w:r>
      <w:r w:rsidR="00C4392D" w:rsidRPr="002F69A7">
        <w:rPr>
          <w:highlight w:val="yellow"/>
        </w:rPr>
        <w:t xml:space="preserve">wide Medicaid and CHIP </w:t>
      </w:r>
      <w:r w:rsidR="006D29D8" w:rsidRPr="002F69A7">
        <w:rPr>
          <w:highlight w:val="yellow"/>
        </w:rPr>
        <w:t>administrative</w:t>
      </w:r>
      <w:r w:rsidR="00C4392D" w:rsidRPr="002F69A7">
        <w:rPr>
          <w:highlight w:val="yellow"/>
        </w:rPr>
        <w:t xml:space="preserve"> and claims data on all pub</w:t>
      </w:r>
      <w:r w:rsidRPr="002F69A7">
        <w:rPr>
          <w:highlight w:val="yellow"/>
        </w:rPr>
        <w:t xml:space="preserve">licly-covered children and youth, ages 0-21. Claims from outpatient, inpatient, long term care, and pharmacy services will be used to create outcome measures of access, quality, and Medicaid expenditures. Claims will also be used for claims-based attribution of children to intervention and comparison practices. The </w:t>
      </w:r>
      <w:r w:rsidR="006D29D8" w:rsidRPr="002F69A7">
        <w:rPr>
          <w:highlight w:val="yellow"/>
        </w:rPr>
        <w:t>administrative</w:t>
      </w:r>
      <w:r w:rsidRPr="002F69A7">
        <w:rPr>
          <w:highlight w:val="yellow"/>
        </w:rPr>
        <w:t xml:space="preserve"> files will provide a limited amount of basic information on child-level demographics as well as define the enrollment periods. </w:t>
      </w:r>
      <w:r w:rsidR="00825A04">
        <w:rPr>
          <w:highlight w:val="yellow"/>
        </w:rPr>
        <w:t>Our</w:t>
      </w:r>
      <w:r w:rsidRPr="002F69A7">
        <w:rPr>
          <w:highlight w:val="yellow"/>
        </w:rPr>
        <w:t xml:space="preserve"> cross-</w:t>
      </w:r>
      <w:r w:rsidR="00354300" w:rsidRPr="002F69A7">
        <w:rPr>
          <w:highlight w:val="yellow"/>
        </w:rPr>
        <w:t>State</w:t>
      </w:r>
      <w:r w:rsidRPr="002F69A7">
        <w:rPr>
          <w:highlight w:val="yellow"/>
        </w:rPr>
        <w:t xml:space="preserve"> quantitative </w:t>
      </w:r>
      <w:r w:rsidR="00825A04">
        <w:rPr>
          <w:highlight w:val="yellow"/>
        </w:rPr>
        <w:t>analysis will examine</w:t>
      </w:r>
      <w:r w:rsidRPr="002F69A7">
        <w:rPr>
          <w:highlight w:val="yellow"/>
        </w:rPr>
        <w:t xml:space="preserve"> the impact of CHIPRA demonstration funding on the adoption or improvement of a</w:t>
      </w:r>
      <w:r w:rsidR="008010B7" w:rsidRPr="002F69A7">
        <w:rPr>
          <w:highlight w:val="yellow"/>
        </w:rPr>
        <w:t>n advance model of primary care, the patient-centered</w:t>
      </w:r>
      <w:r w:rsidR="009231EE" w:rsidRPr="002F69A7">
        <w:rPr>
          <w:highlight w:val="yellow"/>
        </w:rPr>
        <w:t xml:space="preserve"> </w:t>
      </w:r>
      <w:r w:rsidRPr="002F69A7">
        <w:rPr>
          <w:highlight w:val="yellow"/>
        </w:rPr>
        <w:t>medical home, and subsequently, on the access to care, quality of care, and health care expenditures among publicly-insured children. This activity does not impose a burden on the public, does not require OMB clearance</w:t>
      </w:r>
      <w:r w:rsidR="00354300" w:rsidRPr="002F69A7">
        <w:rPr>
          <w:highlight w:val="yellow"/>
        </w:rPr>
        <w:t>,</w:t>
      </w:r>
      <w:r w:rsidRPr="002F69A7">
        <w:rPr>
          <w:highlight w:val="yellow"/>
        </w:rPr>
        <w:t xml:space="preserve"> and is not included in the burden estimates in Section 12. </w:t>
      </w:r>
    </w:p>
    <w:p w:rsidR="00C4392D" w:rsidRPr="002F69A7" w:rsidRDefault="00F62F86" w:rsidP="00C4392D">
      <w:pPr>
        <w:pStyle w:val="NormalSS"/>
        <w:tabs>
          <w:tab w:val="clear" w:pos="432"/>
          <w:tab w:val="left" w:pos="270"/>
          <w:tab w:val="left" w:pos="720"/>
        </w:tabs>
        <w:ind w:firstLine="0"/>
        <w:jc w:val="left"/>
        <w:rPr>
          <w:highlight w:val="yellow"/>
        </w:rPr>
      </w:pPr>
      <w:r w:rsidRPr="002F69A7">
        <w:rPr>
          <w:highlight w:val="yellow"/>
        </w:rPr>
        <w:lastRenderedPageBreak/>
        <w:t>As noted above, this</w:t>
      </w:r>
      <w:r w:rsidR="00354300" w:rsidRPr="002F69A7">
        <w:rPr>
          <w:highlight w:val="yellow"/>
        </w:rPr>
        <w:t xml:space="preserve"> revised</w:t>
      </w:r>
      <w:r w:rsidRPr="002F69A7">
        <w:rPr>
          <w:highlight w:val="yellow"/>
        </w:rPr>
        <w:t xml:space="preserve"> information collection request seeks approval to conduct the second round of interviews and the first round of focus groups only. The remainder of this Supporting </w:t>
      </w:r>
      <w:r w:rsidR="00354300" w:rsidRPr="002F69A7">
        <w:rPr>
          <w:highlight w:val="yellow"/>
        </w:rPr>
        <w:t>State</w:t>
      </w:r>
      <w:r w:rsidRPr="002F69A7">
        <w:rPr>
          <w:highlight w:val="yellow"/>
        </w:rPr>
        <w:t xml:space="preserve">ment, as well as the Supporting </w:t>
      </w:r>
      <w:r w:rsidR="00354300" w:rsidRPr="002F69A7">
        <w:rPr>
          <w:highlight w:val="yellow"/>
        </w:rPr>
        <w:t>State</w:t>
      </w:r>
      <w:r w:rsidRPr="002F69A7">
        <w:rPr>
          <w:highlight w:val="yellow"/>
        </w:rPr>
        <w:t xml:space="preserve">ment Part B, pertains only to the interviews and focus groups. </w:t>
      </w:r>
      <w:r w:rsidR="00354300" w:rsidRPr="002F69A7">
        <w:rPr>
          <w:highlight w:val="yellow"/>
        </w:rPr>
        <w:t xml:space="preserve">The following section provides a description of how AHRQ will use these data to address critical research questions. </w:t>
      </w:r>
    </w:p>
    <w:p w:rsidR="009231EE" w:rsidRPr="007C6A3F" w:rsidRDefault="00F62F86">
      <w:pPr>
        <w:pStyle w:val="NormalSS"/>
        <w:tabs>
          <w:tab w:val="clear" w:pos="432"/>
          <w:tab w:val="left" w:pos="270"/>
          <w:tab w:val="left" w:pos="720"/>
        </w:tabs>
        <w:ind w:firstLine="0"/>
        <w:jc w:val="left"/>
      </w:pPr>
      <w:r w:rsidRPr="007C6A3F">
        <w:t xml:space="preserve">All members of the evaluation team who have or will have access to all of the above-noted project documents have signed AHRQ’s standard confidentiality and non-disclosure agreement.  </w:t>
      </w:r>
    </w:p>
    <w:p w:rsidR="00C4392D" w:rsidRPr="00405DF5" w:rsidRDefault="00F62F86" w:rsidP="00C4392D">
      <w:pPr>
        <w:pStyle w:val="NormalSS"/>
        <w:ind w:firstLine="0"/>
        <w:jc w:val="left"/>
      </w:pPr>
      <w:r w:rsidRPr="007C6A3F">
        <w:t>This study is being conducted by AHRQ through its contractor, Mathematica Policy Research Inc., and their subcontractors, the Urban Institute and AcademyHealth, pursuant to AHRQ’s statutory authority to conduct and support research on health care and on systems for the delivery of such care, including activities with respect to the quality, effectiveness, efficiency, appropriateness and value of healthcare services and with respect to quality measurement and improvement.  42 U.S.C. 299a(a)(1) and (2).</w:t>
      </w:r>
      <w:r w:rsidRPr="00F62F86">
        <w:t xml:space="preserve"> </w:t>
      </w:r>
    </w:p>
    <w:p w:rsidR="00387B04" w:rsidRPr="00405DF5" w:rsidRDefault="00F62F86" w:rsidP="00C13BD4">
      <w:pPr>
        <w:pStyle w:val="NormalSS"/>
        <w:ind w:firstLine="0"/>
        <w:jc w:val="left"/>
        <w:rPr>
          <w:rFonts w:ascii="Arial" w:hAnsi="Arial" w:cs="Arial"/>
          <w:i/>
        </w:rPr>
      </w:pPr>
      <w:r w:rsidRPr="00F62F86">
        <w:t xml:space="preserve"> </w:t>
      </w:r>
      <w:bookmarkStart w:id="8" w:name="_Toc291509284"/>
      <w:r w:rsidRPr="00F62F86">
        <w:rPr>
          <w:rFonts w:ascii="Arial" w:hAnsi="Arial" w:cs="Arial"/>
          <w:b/>
          <w:i/>
        </w:rPr>
        <w:t>2.</w:t>
      </w:r>
      <w:r w:rsidRPr="00F62F86">
        <w:rPr>
          <w:rFonts w:ascii="Arial" w:hAnsi="Arial" w:cs="Arial"/>
          <w:b/>
          <w:i/>
        </w:rPr>
        <w:tab/>
        <w:t>Purpose and Use of Information</w:t>
      </w:r>
      <w:bookmarkEnd w:id="8"/>
      <w:r w:rsidRPr="00F62F86">
        <w:rPr>
          <w:rFonts w:ascii="Arial" w:hAnsi="Arial" w:cs="Arial"/>
          <w:b/>
          <w:i/>
        </w:rPr>
        <w:t xml:space="preserve"> </w:t>
      </w:r>
    </w:p>
    <w:p w:rsidR="00FE56EF" w:rsidRPr="002F69A7" w:rsidRDefault="00F62F86" w:rsidP="00FE56EF">
      <w:pPr>
        <w:pStyle w:val="NormalSS"/>
        <w:ind w:firstLine="0"/>
        <w:jc w:val="left"/>
        <w:rPr>
          <w:highlight w:val="yellow"/>
        </w:rPr>
      </w:pPr>
      <w:r w:rsidRPr="002F69A7">
        <w:rPr>
          <w:highlight w:val="yellow"/>
        </w:rPr>
        <w:t>This evaluation uses a mixed-method approach based on a pre-post design. We will analyze the information we collect</w:t>
      </w:r>
      <w:r w:rsidR="009B39FB">
        <w:rPr>
          <w:highlight w:val="yellow"/>
        </w:rPr>
        <w:t xml:space="preserve">ed and will continue to collect pending OMB approval </w:t>
      </w:r>
      <w:r w:rsidRPr="002F69A7">
        <w:rPr>
          <w:highlight w:val="yellow"/>
        </w:rPr>
        <w:t>to address specific questions related to the evaluation goals</w:t>
      </w:r>
      <w:r w:rsidR="006D29D8" w:rsidRPr="002F69A7">
        <w:rPr>
          <w:highlight w:val="yellow"/>
        </w:rPr>
        <w:t xml:space="preserve"> (see </w:t>
      </w:r>
      <w:r w:rsidR="00197F05" w:rsidRPr="002F69A7">
        <w:rPr>
          <w:highlight w:val="yellow"/>
        </w:rPr>
        <w:t>Attachment</w:t>
      </w:r>
      <w:r w:rsidR="006D29D8" w:rsidRPr="002F69A7">
        <w:rPr>
          <w:highlight w:val="yellow"/>
        </w:rPr>
        <w:t xml:space="preserve"> </w:t>
      </w:r>
      <w:r w:rsidR="00781BB2">
        <w:rPr>
          <w:highlight w:val="yellow"/>
        </w:rPr>
        <w:t>T</w:t>
      </w:r>
      <w:r w:rsidR="006D29D8" w:rsidRPr="002F69A7">
        <w:rPr>
          <w:highlight w:val="yellow"/>
        </w:rPr>
        <w:t>)</w:t>
      </w:r>
      <w:r w:rsidRPr="002F69A7">
        <w:rPr>
          <w:highlight w:val="yellow"/>
        </w:rPr>
        <w:t>.</w:t>
      </w:r>
      <w:r w:rsidR="009231EE" w:rsidRPr="002F69A7">
        <w:rPr>
          <w:rStyle w:val="CommentReference"/>
          <w:highlight w:val="yellow"/>
        </w:rPr>
        <w:t xml:space="preserve"> </w:t>
      </w:r>
      <w:r w:rsidR="00FE56EF" w:rsidRPr="002F69A7">
        <w:rPr>
          <w:highlight w:val="yellow"/>
        </w:rPr>
        <w:t xml:space="preserve"> Depending on the specific question, we will assemble data from the several sources listed above. We will analyze these data using ap</w:t>
      </w:r>
      <w:r w:rsidRPr="002F69A7">
        <w:rPr>
          <w:highlight w:val="yellow"/>
        </w:rPr>
        <w:t xml:space="preserve">propriate quantitative or qualitative methods, synthesize the results, and present integrated findings through issue briefs, manuscripts, or other types of reports. </w:t>
      </w:r>
    </w:p>
    <w:p w:rsidR="00FE56EF" w:rsidRPr="002F69A7" w:rsidRDefault="00F62F86" w:rsidP="00FE56EF">
      <w:pPr>
        <w:pStyle w:val="NormalSS"/>
        <w:ind w:firstLine="0"/>
        <w:jc w:val="left"/>
        <w:rPr>
          <w:highlight w:val="yellow"/>
        </w:rPr>
      </w:pPr>
      <w:r w:rsidRPr="002F69A7">
        <w:rPr>
          <w:highlight w:val="yellow"/>
        </w:rPr>
        <w:t xml:space="preserve">For example, we expect to address the following questions related to the </w:t>
      </w:r>
      <w:r w:rsidR="00354300" w:rsidRPr="002F69A7">
        <w:rPr>
          <w:highlight w:val="yellow"/>
        </w:rPr>
        <w:t>State</w:t>
      </w:r>
      <w:r w:rsidRPr="002F69A7">
        <w:rPr>
          <w:highlight w:val="yellow"/>
        </w:rPr>
        <w:t xml:space="preserve"> </w:t>
      </w:r>
      <w:r w:rsidR="00200B2A">
        <w:rPr>
          <w:highlight w:val="yellow"/>
        </w:rPr>
        <w:t xml:space="preserve">Category A </w:t>
      </w:r>
      <w:r w:rsidRPr="002F69A7">
        <w:rPr>
          <w:highlight w:val="yellow"/>
        </w:rPr>
        <w:t>projects that focused on improving quality of care by using the core quality measure set for children developed by the Centers for Medicare and Medicaid Services (CMS):</w:t>
      </w:r>
    </w:p>
    <w:p w:rsidR="00FE56EF" w:rsidRPr="002F69A7" w:rsidRDefault="00F62F86" w:rsidP="00742A03">
      <w:pPr>
        <w:pStyle w:val="BulletBlack"/>
        <w:ind w:left="720" w:hanging="288"/>
        <w:jc w:val="left"/>
        <w:rPr>
          <w:highlight w:val="yellow"/>
        </w:rPr>
      </w:pPr>
      <w:r w:rsidRPr="002F69A7">
        <w:rPr>
          <w:highlight w:val="yellow"/>
        </w:rPr>
        <w:t xml:space="preserve">Did the collection and reporting of the core measure set have an impact on other quality measurement activities within the </w:t>
      </w:r>
      <w:r w:rsidR="00354300" w:rsidRPr="002F69A7">
        <w:rPr>
          <w:highlight w:val="yellow"/>
        </w:rPr>
        <w:t>State</w:t>
      </w:r>
      <w:r w:rsidRPr="002F69A7">
        <w:rPr>
          <w:highlight w:val="yellow"/>
        </w:rPr>
        <w:t xml:space="preserve">? If so, what was the impact? </w:t>
      </w:r>
    </w:p>
    <w:p w:rsidR="00FE56EF" w:rsidRPr="002F69A7" w:rsidRDefault="00F62F86" w:rsidP="00742A03">
      <w:pPr>
        <w:pStyle w:val="BulletBlack"/>
        <w:ind w:left="720" w:hanging="288"/>
        <w:jc w:val="left"/>
        <w:rPr>
          <w:highlight w:val="yellow"/>
        </w:rPr>
      </w:pPr>
      <w:r w:rsidRPr="002F69A7">
        <w:rPr>
          <w:highlight w:val="yellow"/>
        </w:rPr>
        <w:t xml:space="preserve">Did the use of the core measure set increase evidence-based decision making by providers, the </w:t>
      </w:r>
      <w:r w:rsidR="00354300" w:rsidRPr="002F69A7">
        <w:rPr>
          <w:highlight w:val="yellow"/>
        </w:rPr>
        <w:t>State</w:t>
      </w:r>
      <w:r w:rsidRPr="002F69A7">
        <w:rPr>
          <w:highlight w:val="yellow"/>
        </w:rPr>
        <w:t xml:space="preserve">, or other stakeholders? </w:t>
      </w:r>
    </w:p>
    <w:p w:rsidR="00FE56EF" w:rsidRPr="002F69A7" w:rsidRDefault="00F62F86" w:rsidP="00742A03">
      <w:pPr>
        <w:pStyle w:val="BulletBlack"/>
        <w:ind w:left="720" w:hanging="288"/>
        <w:jc w:val="left"/>
        <w:rPr>
          <w:highlight w:val="yellow"/>
        </w:rPr>
      </w:pPr>
      <w:r w:rsidRPr="002F69A7">
        <w:rPr>
          <w:highlight w:val="yellow"/>
        </w:rPr>
        <w:t xml:space="preserve">What has been the impact on the quality of care for children enrolled in Medicaid or CHIP from any quality improvement activities based on the core measure set? </w:t>
      </w:r>
    </w:p>
    <w:p w:rsidR="00FE56EF" w:rsidRPr="002F69A7" w:rsidRDefault="00F62F86" w:rsidP="00FE56EF">
      <w:pPr>
        <w:pStyle w:val="NormalSS"/>
        <w:ind w:firstLine="0"/>
        <w:jc w:val="left"/>
        <w:rPr>
          <w:highlight w:val="yellow"/>
        </w:rPr>
      </w:pPr>
      <w:r w:rsidRPr="002F69A7">
        <w:rPr>
          <w:highlight w:val="yellow"/>
        </w:rPr>
        <w:t>To address these questions, we expect to analyze information from</w:t>
      </w:r>
      <w:r w:rsidR="00742A03">
        <w:rPr>
          <w:highlight w:val="yellow"/>
        </w:rPr>
        <w:t>:</w:t>
      </w:r>
      <w:r w:rsidRPr="002F69A7">
        <w:rPr>
          <w:highlight w:val="yellow"/>
        </w:rPr>
        <w:t xml:space="preserve"> (1) key informant interviews in the 10 </w:t>
      </w:r>
      <w:r w:rsidR="00354300" w:rsidRPr="002F69A7">
        <w:rPr>
          <w:highlight w:val="yellow"/>
        </w:rPr>
        <w:t>State</w:t>
      </w:r>
      <w:r w:rsidRPr="002F69A7">
        <w:rPr>
          <w:highlight w:val="yellow"/>
        </w:rPr>
        <w:t xml:space="preserve">s that implemented </w:t>
      </w:r>
      <w:r w:rsidR="00200B2A">
        <w:rPr>
          <w:highlight w:val="yellow"/>
        </w:rPr>
        <w:t>Category A</w:t>
      </w:r>
      <w:r w:rsidR="009B39FB">
        <w:rPr>
          <w:highlight w:val="yellow"/>
        </w:rPr>
        <w:t xml:space="preserve"> </w:t>
      </w:r>
      <w:r w:rsidRPr="002F69A7">
        <w:rPr>
          <w:highlight w:val="yellow"/>
        </w:rPr>
        <w:t xml:space="preserve">projects, (2) the physician survey, and (3) reports generated by the </w:t>
      </w:r>
      <w:r w:rsidR="00354300" w:rsidRPr="002F69A7">
        <w:rPr>
          <w:highlight w:val="yellow"/>
        </w:rPr>
        <w:t>State</w:t>
      </w:r>
      <w:r w:rsidRPr="002F69A7">
        <w:rPr>
          <w:highlight w:val="yellow"/>
        </w:rPr>
        <w:t>s themselves. Findings from these analyses will be reviewed and synthesized by members of the project team</w:t>
      </w:r>
      <w:r w:rsidR="00F60DD9">
        <w:rPr>
          <w:highlight w:val="yellow"/>
        </w:rPr>
        <w:t xml:space="preserve"> who will </w:t>
      </w:r>
      <w:r w:rsidRPr="002F69A7">
        <w:rPr>
          <w:highlight w:val="yellow"/>
        </w:rPr>
        <w:t xml:space="preserve">write the report on this issue. </w:t>
      </w:r>
    </w:p>
    <w:p w:rsidR="00D57591" w:rsidRPr="002F69A7" w:rsidRDefault="006D29D8" w:rsidP="00FE56EF">
      <w:pPr>
        <w:pStyle w:val="NormalSS"/>
        <w:ind w:firstLine="0"/>
        <w:jc w:val="left"/>
        <w:rPr>
          <w:highlight w:val="yellow"/>
        </w:rPr>
      </w:pPr>
      <w:r w:rsidRPr="002F69A7">
        <w:rPr>
          <w:highlight w:val="yellow"/>
        </w:rPr>
        <w:t>Similarly, t</w:t>
      </w:r>
      <w:r w:rsidR="00F62F86" w:rsidRPr="002F69A7">
        <w:rPr>
          <w:highlight w:val="yellow"/>
        </w:rPr>
        <w:t xml:space="preserve">o address questions related to the impact of the </w:t>
      </w:r>
      <w:r w:rsidRPr="002F69A7">
        <w:rPr>
          <w:highlight w:val="yellow"/>
        </w:rPr>
        <w:t>patient-centered medical home</w:t>
      </w:r>
      <w:r w:rsidR="00F62F86" w:rsidRPr="002F69A7">
        <w:rPr>
          <w:highlight w:val="yellow"/>
        </w:rPr>
        <w:t xml:space="preserve"> projects</w:t>
      </w:r>
      <w:r w:rsidR="00200B2A">
        <w:rPr>
          <w:highlight w:val="yellow"/>
        </w:rPr>
        <w:t xml:space="preserve"> (Category C)</w:t>
      </w:r>
      <w:r w:rsidR="00F62F86" w:rsidRPr="002F69A7">
        <w:rPr>
          <w:highlight w:val="yellow"/>
        </w:rPr>
        <w:t>, we expect to analyze information from</w:t>
      </w:r>
      <w:r w:rsidR="00BD1617">
        <w:rPr>
          <w:highlight w:val="yellow"/>
        </w:rPr>
        <w:t>:</w:t>
      </w:r>
      <w:r w:rsidR="00F62F86" w:rsidRPr="002F69A7">
        <w:rPr>
          <w:highlight w:val="yellow"/>
        </w:rPr>
        <w:t xml:space="preserve"> (1) Medicaid administrative and claims files for selected </w:t>
      </w:r>
      <w:r w:rsidR="00354300" w:rsidRPr="002F69A7">
        <w:rPr>
          <w:highlight w:val="yellow"/>
        </w:rPr>
        <w:t>State</w:t>
      </w:r>
      <w:r w:rsidR="00F62F86" w:rsidRPr="002F69A7">
        <w:rPr>
          <w:highlight w:val="yellow"/>
        </w:rPr>
        <w:t>s, (2) key informant interviews in the 1</w:t>
      </w:r>
      <w:r w:rsidR="00354300" w:rsidRPr="002F69A7">
        <w:rPr>
          <w:highlight w:val="yellow"/>
        </w:rPr>
        <w:t>2</w:t>
      </w:r>
      <w:r w:rsidR="00F62F86" w:rsidRPr="002F69A7">
        <w:rPr>
          <w:highlight w:val="yellow"/>
        </w:rPr>
        <w:t xml:space="preserve"> </w:t>
      </w:r>
      <w:r w:rsidR="00354300" w:rsidRPr="002F69A7">
        <w:rPr>
          <w:highlight w:val="yellow"/>
        </w:rPr>
        <w:t>State</w:t>
      </w:r>
      <w:r w:rsidR="00F62F86" w:rsidRPr="002F69A7">
        <w:rPr>
          <w:highlight w:val="yellow"/>
        </w:rPr>
        <w:t xml:space="preserve">s that implemented such projects, (3) focus groups held in </w:t>
      </w:r>
      <w:r w:rsidR="00354300" w:rsidRPr="002F69A7">
        <w:rPr>
          <w:highlight w:val="yellow"/>
        </w:rPr>
        <w:t>4</w:t>
      </w:r>
      <w:r w:rsidR="00F62F86" w:rsidRPr="002F69A7">
        <w:rPr>
          <w:highlight w:val="yellow"/>
        </w:rPr>
        <w:t xml:space="preserve"> </w:t>
      </w:r>
      <w:r w:rsidR="00354300" w:rsidRPr="002F69A7">
        <w:rPr>
          <w:highlight w:val="yellow"/>
        </w:rPr>
        <w:t>State</w:t>
      </w:r>
      <w:r w:rsidR="00F62F86" w:rsidRPr="002F69A7">
        <w:rPr>
          <w:highlight w:val="yellow"/>
        </w:rPr>
        <w:t xml:space="preserve">s, and (4) reports generated by the </w:t>
      </w:r>
      <w:r w:rsidR="00354300" w:rsidRPr="002F69A7">
        <w:rPr>
          <w:highlight w:val="yellow"/>
        </w:rPr>
        <w:t>State</w:t>
      </w:r>
      <w:r w:rsidR="00F62F86" w:rsidRPr="002F69A7">
        <w:rPr>
          <w:highlight w:val="yellow"/>
        </w:rPr>
        <w:t xml:space="preserve">s themselves. Thus, depending on the particular evaluation question that we are addressing, we will assemble and analyze different data.  </w:t>
      </w:r>
      <w:r w:rsidR="00354300" w:rsidRPr="002F69A7">
        <w:rPr>
          <w:highlight w:val="yellow"/>
        </w:rPr>
        <w:t xml:space="preserve">For example, we will use </w:t>
      </w:r>
      <w:r w:rsidR="00D64D9C" w:rsidRPr="002F69A7">
        <w:rPr>
          <w:highlight w:val="yellow"/>
        </w:rPr>
        <w:t>Medicaid administrative and claims data and focus group data to assess the impact of the</w:t>
      </w:r>
      <w:r w:rsidRPr="002F69A7">
        <w:rPr>
          <w:highlight w:val="yellow"/>
        </w:rPr>
        <w:t xml:space="preserve"> patient-centered medical </w:t>
      </w:r>
      <w:r w:rsidR="00081406" w:rsidRPr="002F69A7">
        <w:rPr>
          <w:highlight w:val="yellow"/>
        </w:rPr>
        <w:t>home projects</w:t>
      </w:r>
      <w:r w:rsidR="00D64D9C" w:rsidRPr="002F69A7">
        <w:rPr>
          <w:highlight w:val="yellow"/>
        </w:rPr>
        <w:t xml:space="preserve"> in demonstration States. We will then use key informant interview data to gain insight into how successful projects were implemented </w:t>
      </w:r>
      <w:r w:rsidR="00D64D9C" w:rsidRPr="002F69A7">
        <w:rPr>
          <w:highlight w:val="yellow"/>
        </w:rPr>
        <w:lastRenderedPageBreak/>
        <w:t xml:space="preserve">and </w:t>
      </w:r>
      <w:r w:rsidR="00D57591" w:rsidRPr="002F69A7">
        <w:rPr>
          <w:highlight w:val="yellow"/>
        </w:rPr>
        <w:t xml:space="preserve">to </w:t>
      </w:r>
      <w:r w:rsidR="00D64D9C" w:rsidRPr="002F69A7">
        <w:rPr>
          <w:highlight w:val="yellow"/>
        </w:rPr>
        <w:t xml:space="preserve">understand barriers </w:t>
      </w:r>
      <w:r w:rsidR="00BE4F69" w:rsidRPr="002F69A7">
        <w:rPr>
          <w:highlight w:val="yellow"/>
        </w:rPr>
        <w:t>in</w:t>
      </w:r>
      <w:r w:rsidR="00D64D9C" w:rsidRPr="002F69A7">
        <w:rPr>
          <w:highlight w:val="yellow"/>
        </w:rPr>
        <w:t xml:space="preserve"> projects that do not achieve results. The longitudinal interview data will help us understand how those strategies and lessons learned evolved over the course of the </w:t>
      </w:r>
      <w:r w:rsidR="00D57591" w:rsidRPr="002F69A7">
        <w:rPr>
          <w:highlight w:val="yellow"/>
        </w:rPr>
        <w:t>demonstration</w:t>
      </w:r>
      <w:r w:rsidR="00200B2A">
        <w:rPr>
          <w:highlight w:val="yellow"/>
        </w:rPr>
        <w:t xml:space="preserve"> and to what ends</w:t>
      </w:r>
      <w:r w:rsidR="00D64D9C" w:rsidRPr="002F69A7">
        <w:rPr>
          <w:highlight w:val="yellow"/>
        </w:rPr>
        <w:t xml:space="preserve">.  </w:t>
      </w:r>
    </w:p>
    <w:p w:rsidR="00D57591" w:rsidRPr="002F69A7" w:rsidRDefault="00BE4F69" w:rsidP="00FE56EF">
      <w:pPr>
        <w:pStyle w:val="NormalSS"/>
        <w:ind w:firstLine="0"/>
        <w:jc w:val="left"/>
        <w:rPr>
          <w:highlight w:val="yellow"/>
        </w:rPr>
      </w:pPr>
      <w:r w:rsidRPr="002F69A7">
        <w:rPr>
          <w:highlight w:val="yellow"/>
        </w:rPr>
        <w:t>D</w:t>
      </w:r>
      <w:r w:rsidR="00D57591" w:rsidRPr="002F69A7">
        <w:rPr>
          <w:highlight w:val="yellow"/>
        </w:rPr>
        <w:t>eveloping a comprehensive understanding of the CHIPRA quality demonstration grants and their impacts requires analysis of a range of data sources. The unique contributions of the data collected under this information collection request are described below.</w:t>
      </w:r>
    </w:p>
    <w:p w:rsidR="009231EE" w:rsidRPr="002F69A7" w:rsidRDefault="00D57591">
      <w:pPr>
        <w:pStyle w:val="NormalSS"/>
        <w:numPr>
          <w:ilvl w:val="0"/>
          <w:numId w:val="27"/>
        </w:numPr>
        <w:jc w:val="left"/>
        <w:rPr>
          <w:highlight w:val="yellow"/>
        </w:rPr>
      </w:pPr>
      <w:r w:rsidRPr="002F69A7">
        <w:rPr>
          <w:highlight w:val="yellow"/>
        </w:rPr>
        <w:t xml:space="preserve">Key informant interviews. </w:t>
      </w:r>
      <w:r w:rsidR="00F62F86" w:rsidRPr="002F69A7">
        <w:rPr>
          <w:highlight w:val="yellow"/>
        </w:rPr>
        <w:t xml:space="preserve">Collecting high quality, timely interview data from a wide range of sources and knowledgeable respondents directly serves AHRQ’s goal of understanding project implementation and of identifying activities and resources that contributed to any observed improvement in children’s </w:t>
      </w:r>
      <w:r w:rsidR="00BE4F69" w:rsidRPr="002F69A7">
        <w:rPr>
          <w:highlight w:val="yellow"/>
        </w:rPr>
        <w:t xml:space="preserve">health </w:t>
      </w:r>
      <w:r w:rsidR="00F62F86" w:rsidRPr="002F69A7">
        <w:rPr>
          <w:highlight w:val="yellow"/>
        </w:rPr>
        <w:t xml:space="preserve">care quality. </w:t>
      </w:r>
    </w:p>
    <w:p w:rsidR="009231EE" w:rsidRPr="002F69A7" w:rsidRDefault="00D57591">
      <w:pPr>
        <w:pStyle w:val="NormalSS"/>
        <w:numPr>
          <w:ilvl w:val="0"/>
          <w:numId w:val="27"/>
        </w:numPr>
        <w:jc w:val="left"/>
        <w:rPr>
          <w:highlight w:val="yellow"/>
        </w:rPr>
      </w:pPr>
      <w:r w:rsidRPr="002F69A7">
        <w:rPr>
          <w:highlight w:val="yellow"/>
        </w:rPr>
        <w:t xml:space="preserve">Focus groups. </w:t>
      </w:r>
      <w:r w:rsidR="00BE4F69" w:rsidRPr="002F69A7">
        <w:rPr>
          <w:highlight w:val="yellow"/>
        </w:rPr>
        <w:t>T</w:t>
      </w:r>
      <w:r w:rsidR="00F62F86" w:rsidRPr="002F69A7">
        <w:rPr>
          <w:highlight w:val="yellow"/>
        </w:rPr>
        <w:t>he focus groups with parents and adolescents will provide evidence on the experiences of patients and families with demonstration interventions across grantees</w:t>
      </w:r>
      <w:r w:rsidR="00B52EC1" w:rsidRPr="002F69A7">
        <w:rPr>
          <w:highlight w:val="yellow"/>
        </w:rPr>
        <w:t xml:space="preserve"> and provide insight into the success or failure of projects to improve health care in a manner that is responsive to the unique needs of individual families</w:t>
      </w:r>
      <w:r w:rsidR="00F62F86" w:rsidRPr="002F69A7">
        <w:rPr>
          <w:highlight w:val="yellow"/>
        </w:rPr>
        <w:t xml:space="preserve">. Collecting information </w:t>
      </w:r>
      <w:r w:rsidR="00200B2A">
        <w:rPr>
          <w:highlight w:val="yellow"/>
        </w:rPr>
        <w:t xml:space="preserve">directly </w:t>
      </w:r>
      <w:r w:rsidR="00F62F86" w:rsidRPr="002F69A7">
        <w:rPr>
          <w:highlight w:val="yellow"/>
        </w:rPr>
        <w:t xml:space="preserve">from those intended to benefit from the CHIPRA demonstrations will </w:t>
      </w:r>
      <w:r w:rsidR="009B39FB">
        <w:rPr>
          <w:highlight w:val="yellow"/>
        </w:rPr>
        <w:t>explicitly</w:t>
      </w:r>
      <w:r w:rsidR="00200B2A" w:rsidRPr="002F69A7">
        <w:rPr>
          <w:highlight w:val="yellow"/>
        </w:rPr>
        <w:t xml:space="preserve"> </w:t>
      </w:r>
      <w:r w:rsidR="00F62F86" w:rsidRPr="002F69A7">
        <w:rPr>
          <w:highlight w:val="yellow"/>
        </w:rPr>
        <w:t xml:space="preserve">serve AHRQ’s goal of understanding whether and how the CHIPRA quality demonstration projects are impacting the way parents, adolescents, and families experience care. </w:t>
      </w:r>
    </w:p>
    <w:p w:rsidR="003E448F" w:rsidRPr="00405DF5" w:rsidRDefault="00F62F86" w:rsidP="00ED732E">
      <w:pPr>
        <w:pStyle w:val="Heading2Black"/>
        <w:jc w:val="left"/>
        <w:rPr>
          <w:rFonts w:ascii="Arial" w:hAnsi="Arial" w:cs="Arial"/>
          <w:i/>
        </w:rPr>
      </w:pPr>
      <w:bookmarkStart w:id="9" w:name="_Toc291509285"/>
      <w:r w:rsidRPr="00F62F86">
        <w:rPr>
          <w:rFonts w:ascii="Arial" w:hAnsi="Arial" w:cs="Arial"/>
          <w:i/>
        </w:rPr>
        <w:t>3.</w:t>
      </w:r>
      <w:r w:rsidRPr="00F62F86">
        <w:rPr>
          <w:rFonts w:ascii="Arial" w:hAnsi="Arial" w:cs="Arial"/>
          <w:i/>
        </w:rPr>
        <w:tab/>
        <w:t>Use of Improved Information Technology</w:t>
      </w:r>
      <w:bookmarkEnd w:id="9"/>
      <w:r w:rsidRPr="00F62F86">
        <w:rPr>
          <w:rFonts w:ascii="Arial" w:hAnsi="Arial" w:cs="Arial"/>
          <w:i/>
        </w:rPr>
        <w:t xml:space="preserve"> </w:t>
      </w:r>
    </w:p>
    <w:p w:rsidR="00FE56EF" w:rsidRPr="00405DF5" w:rsidRDefault="00F62F86" w:rsidP="00FE56EF">
      <w:pPr>
        <w:pStyle w:val="NormalSS"/>
        <w:ind w:firstLine="0"/>
        <w:jc w:val="left"/>
      </w:pPr>
      <w:r w:rsidRPr="00AC5873">
        <w:rPr>
          <w:highlight w:val="yellow"/>
        </w:rPr>
        <w:t xml:space="preserve">Notes from interviews and focus groups will be taken electronically using password-protected, encrypted laptops on site. In addition, </w:t>
      </w:r>
      <w:r w:rsidR="009231EE" w:rsidRPr="00AC5873">
        <w:rPr>
          <w:highlight w:val="yellow"/>
        </w:rPr>
        <w:t>Federal Information Processing Standards (</w:t>
      </w:r>
      <w:r w:rsidRPr="00AC5873">
        <w:rPr>
          <w:highlight w:val="yellow"/>
        </w:rPr>
        <w:t>FIPS</w:t>
      </w:r>
      <w:r w:rsidR="009231EE" w:rsidRPr="00AC5873">
        <w:rPr>
          <w:highlight w:val="yellow"/>
        </w:rPr>
        <w:t>)</w:t>
      </w:r>
      <w:r w:rsidRPr="00AC5873">
        <w:rPr>
          <w:highlight w:val="yellow"/>
        </w:rPr>
        <w:t>-compliant digital audio recording of all interviews and focus groups</w:t>
      </w:r>
      <w:r w:rsidRPr="00F62F86">
        <w:t xml:space="preserve"> (with respondents’ permission) will be the primary electronic method for ensuring the completeness and quality of interview data.  Recording also enhances efficiency and reduces respondent burden by allowing researchers to review and edit their written or typed notes without calling respondents for clarification or to check quotes. </w:t>
      </w:r>
    </w:p>
    <w:p w:rsidR="003E448F" w:rsidRPr="00405DF5" w:rsidRDefault="00F62F86" w:rsidP="00ED732E">
      <w:pPr>
        <w:pStyle w:val="NormalSS"/>
        <w:ind w:firstLine="0"/>
        <w:jc w:val="left"/>
      </w:pPr>
      <w:r w:rsidRPr="00F62F86">
        <w:t xml:space="preserve">Obtaining high-quality data through semi-structured interviews requires a flexible exchange and a conversational rapport between interviewer and respondent.  While information technology can greatly enhance the smooth administration of large-scale surveys with complex skip patterns, in qualitative interviewing it is often best to avoid complex skip patterns in the first place. For this data collection, we will minimize the skip patterns an interviewer must navigate during interviews by customizing the protocols in advance. The protocols accompanying this package all consist of multiple modules, including modules for each of the five grant categories for which </w:t>
      </w:r>
      <w:r w:rsidR="00354300">
        <w:t>State</w:t>
      </w:r>
      <w:r w:rsidRPr="00F62F86">
        <w:t xml:space="preserve">s may receive funding.  Because we will know before we visit a </w:t>
      </w:r>
      <w:r w:rsidR="00354300">
        <w:t>State</w:t>
      </w:r>
      <w:r w:rsidRPr="00F62F86">
        <w:t xml:space="preserve"> which grant categories that </w:t>
      </w:r>
      <w:r w:rsidR="00354300">
        <w:t>State</w:t>
      </w:r>
      <w:r w:rsidRPr="00F62F86">
        <w:t xml:space="preserve"> is pursuing, we will pare down protocols so they include only the relevant category-specific modules.  In addition, the site visit teams will be led by trained, experienced interviewers. The interviewers will be thoroughly familiar with protocol content so they can readily move back and forth within the protocol without disrupting the conversational flow or asking questions the respondent has already answered.  </w:t>
      </w:r>
    </w:p>
    <w:p w:rsidR="0007587F" w:rsidRPr="00405DF5" w:rsidRDefault="00F62F86" w:rsidP="00ED732E">
      <w:pPr>
        <w:pStyle w:val="NormalSS"/>
        <w:ind w:firstLine="0"/>
        <w:jc w:val="left"/>
      </w:pPr>
      <w:r w:rsidRPr="00F62F86">
        <w:t>After information collection, researchers will use an electronic software program, NVivo, that enables systematic coding and retrieval of textual data according to a specified scheme.</w:t>
      </w:r>
    </w:p>
    <w:p w:rsidR="003E448F" w:rsidRPr="00405DF5" w:rsidRDefault="00F62F86" w:rsidP="00ED732E">
      <w:pPr>
        <w:pStyle w:val="Heading2Black"/>
        <w:jc w:val="left"/>
        <w:rPr>
          <w:rFonts w:ascii="Arial" w:hAnsi="Arial" w:cs="Arial"/>
          <w:i/>
        </w:rPr>
      </w:pPr>
      <w:bookmarkStart w:id="10" w:name="_Toc291509286"/>
      <w:r w:rsidRPr="00F62F86">
        <w:rPr>
          <w:rFonts w:ascii="Arial" w:hAnsi="Arial" w:cs="Arial"/>
          <w:i/>
        </w:rPr>
        <w:lastRenderedPageBreak/>
        <w:t>4.</w:t>
      </w:r>
      <w:r w:rsidRPr="00F62F86">
        <w:rPr>
          <w:rFonts w:ascii="Arial" w:hAnsi="Arial" w:cs="Arial"/>
          <w:i/>
        </w:rPr>
        <w:tab/>
        <w:t>Efforts to Identify Duplication</w:t>
      </w:r>
      <w:bookmarkEnd w:id="10"/>
      <w:r w:rsidRPr="00F62F86">
        <w:rPr>
          <w:rFonts w:ascii="Arial" w:hAnsi="Arial" w:cs="Arial"/>
          <w:i/>
        </w:rPr>
        <w:t xml:space="preserve"> </w:t>
      </w:r>
    </w:p>
    <w:p w:rsidR="003E448F" w:rsidRPr="00405DF5" w:rsidRDefault="00F62F86" w:rsidP="00ED732E">
      <w:pPr>
        <w:pStyle w:val="NormalSS"/>
        <w:ind w:firstLine="0"/>
        <w:jc w:val="left"/>
      </w:pPr>
      <w:r w:rsidRPr="00F62F86">
        <w:t xml:space="preserve">The evaluation of the CHIPRA quality demonstration grants will not duplicate any prior evaluation efforts. No other data collection effort currently exists to collect and analyze data across all of the demonstration grant </w:t>
      </w:r>
      <w:r w:rsidR="00354300">
        <w:t>State</w:t>
      </w:r>
      <w:r w:rsidRPr="00F62F86">
        <w:t>s and across all grant categories.</w:t>
      </w:r>
    </w:p>
    <w:p w:rsidR="003E448F" w:rsidRPr="00405DF5" w:rsidRDefault="00F62F86" w:rsidP="00ED732E">
      <w:pPr>
        <w:pStyle w:val="NormalSS"/>
        <w:ind w:firstLine="0"/>
        <w:jc w:val="left"/>
      </w:pPr>
      <w:r w:rsidRPr="00F62F86">
        <w:t xml:space="preserve">The Centers for Medicare &amp; Medicaid Services (CMS), however, does allow grantees to engage contractors to conduct independent evaluations of the grant-funded projects in their </w:t>
      </w:r>
      <w:r w:rsidR="00354300">
        <w:t>State</w:t>
      </w:r>
      <w:r w:rsidRPr="00F62F86">
        <w:t xml:space="preserve">s. Eight grantees (Colorado, Florida, Maine, Maryland, Massachusetts, Oregon, South Carolina, and Utah) have allocated funds for independent, </w:t>
      </w:r>
      <w:r w:rsidR="00354300">
        <w:t>State</w:t>
      </w:r>
      <w:r w:rsidRPr="00F62F86">
        <w:t xml:space="preserve">-level evaluations. AHRQ’s contractor is working closely with these </w:t>
      </w:r>
      <w:r w:rsidR="00354300">
        <w:t>State</w:t>
      </w:r>
      <w:r w:rsidRPr="00F62F86">
        <w:t>-based evaluators to coordinate data collection activities, avoid duplication, and ensure that the combined cross-</w:t>
      </w:r>
      <w:r w:rsidR="00354300">
        <w:t>State</w:t>
      </w:r>
      <w:r w:rsidRPr="00F62F86">
        <w:t xml:space="preserve"> and </w:t>
      </w:r>
      <w:r w:rsidR="00354300">
        <w:t>State</w:t>
      </w:r>
      <w:r w:rsidRPr="00F62F86">
        <w:t xml:space="preserve"> evaluations are more comprehensive than either would be alone. For </w:t>
      </w:r>
      <w:r w:rsidR="00354300">
        <w:t>State</w:t>
      </w:r>
      <w:r w:rsidRPr="00F62F86">
        <w:t xml:space="preserve">s with independent evaluation teams, sharing of data by the </w:t>
      </w:r>
      <w:r w:rsidR="00354300">
        <w:t>State</w:t>
      </w:r>
      <w:r w:rsidRPr="00F62F86">
        <w:t xml:space="preserve">-based evaluators with AHRQ’s evaluation contractor will reduce duplication of efforts to access and prepare data sets. Semi-structured interviews will be used only to collect evaluation information that cannot be obtained from other sources. Where possible, AHRQ will use existing administrative data and secondary data sources, such as </w:t>
      </w:r>
      <w:r w:rsidR="00354300">
        <w:t>State</w:t>
      </w:r>
      <w:r w:rsidRPr="00F62F86">
        <w:t>s’ written progress reports to CMS</w:t>
      </w:r>
      <w:r w:rsidR="00D57591">
        <w:t xml:space="preserve"> and</w:t>
      </w:r>
      <w:r w:rsidRPr="00F62F86">
        <w:t xml:space="preserve"> Medicaid and CHIP </w:t>
      </w:r>
      <w:r w:rsidR="006D29D8">
        <w:t>administrative</w:t>
      </w:r>
      <w:r w:rsidRPr="00F62F86">
        <w:t xml:space="preserve">, claims, and encounter data to address its research questions. </w:t>
      </w:r>
    </w:p>
    <w:p w:rsidR="00FE56EF" w:rsidRPr="00405DF5" w:rsidRDefault="00F62F86" w:rsidP="00FE56EF">
      <w:pPr>
        <w:pStyle w:val="NormalSS"/>
        <w:ind w:firstLine="0"/>
        <w:jc w:val="left"/>
      </w:pPr>
      <w:r w:rsidRPr="00AC5873">
        <w:rPr>
          <w:highlight w:val="yellow"/>
        </w:rPr>
        <w:t xml:space="preserve">Information collected through the focus groups will be the only data that AHRQ collects directly from Medicaid and CHIP beneficiaries. For </w:t>
      </w:r>
      <w:r w:rsidR="00354300" w:rsidRPr="00AC5873">
        <w:rPr>
          <w:highlight w:val="yellow"/>
        </w:rPr>
        <w:t>State</w:t>
      </w:r>
      <w:r w:rsidRPr="00AC5873">
        <w:rPr>
          <w:highlight w:val="yellow"/>
        </w:rPr>
        <w:t xml:space="preserve">s with independent evaluation teams, AHRQ’s evaluation contractor will </w:t>
      </w:r>
      <w:r w:rsidR="007D3433">
        <w:rPr>
          <w:highlight w:val="yellow"/>
        </w:rPr>
        <w:t xml:space="preserve">continue to </w:t>
      </w:r>
      <w:r w:rsidRPr="00AC5873">
        <w:rPr>
          <w:highlight w:val="yellow"/>
        </w:rPr>
        <w:t xml:space="preserve">coordinate with </w:t>
      </w:r>
      <w:r w:rsidR="00354300" w:rsidRPr="00AC5873">
        <w:rPr>
          <w:highlight w:val="yellow"/>
        </w:rPr>
        <w:t>State</w:t>
      </w:r>
      <w:r w:rsidRPr="00AC5873">
        <w:rPr>
          <w:highlight w:val="yellow"/>
        </w:rPr>
        <w:t xml:space="preserve">-based evaluators to prevent duplication of efforts. Based on our current assessment, only two </w:t>
      </w:r>
      <w:r w:rsidR="00200B2A">
        <w:rPr>
          <w:highlight w:val="yellow"/>
        </w:rPr>
        <w:t xml:space="preserve">demonstration </w:t>
      </w:r>
      <w:r w:rsidR="00354300" w:rsidRPr="00AC5873">
        <w:rPr>
          <w:highlight w:val="yellow"/>
        </w:rPr>
        <w:t>State</w:t>
      </w:r>
      <w:r w:rsidRPr="00AC5873">
        <w:rPr>
          <w:highlight w:val="yellow"/>
        </w:rPr>
        <w:t xml:space="preserve">s are conducting focus groups with parents and adolescents, and </w:t>
      </w:r>
      <w:r w:rsidR="00200B2A">
        <w:rPr>
          <w:highlight w:val="yellow"/>
        </w:rPr>
        <w:t>the information derived from those focus groups have been used solely</w:t>
      </w:r>
      <w:r w:rsidRPr="00AC5873">
        <w:rPr>
          <w:highlight w:val="yellow"/>
        </w:rPr>
        <w:t xml:space="preserve"> for purposes such as planning the intervention (for example, what adolescents want from a school-based health center) or learning whether and how the initial set of CHIPRA core quality measures is being used to improve public reporting of performance on the initial set of core quality measures and related topics (Category A projects).</w:t>
      </w:r>
      <w:r w:rsidR="00F97E5E" w:rsidRPr="00AC5873">
        <w:rPr>
          <w:highlight w:val="yellow"/>
        </w:rPr>
        <w:t xml:space="preserve"> The timing and content of the focus groups conducted by the State-based evaluators does not overlap with the focus groups conducted by AHRQ’s evaluation contractor.</w:t>
      </w:r>
    </w:p>
    <w:p w:rsidR="003E448F" w:rsidRPr="00405DF5" w:rsidRDefault="00F62F86" w:rsidP="00ED732E">
      <w:pPr>
        <w:pStyle w:val="Heading2Black"/>
        <w:jc w:val="left"/>
        <w:rPr>
          <w:rFonts w:ascii="Arial" w:hAnsi="Arial" w:cs="Arial"/>
          <w:i/>
        </w:rPr>
      </w:pPr>
      <w:bookmarkStart w:id="11" w:name="_Toc291509287"/>
      <w:r w:rsidRPr="00F62F86">
        <w:rPr>
          <w:rFonts w:ascii="Arial" w:hAnsi="Arial" w:cs="Arial"/>
          <w:i/>
        </w:rPr>
        <w:t>5.</w:t>
      </w:r>
      <w:r w:rsidRPr="00F62F86">
        <w:rPr>
          <w:rFonts w:ascii="Arial" w:hAnsi="Arial" w:cs="Arial"/>
          <w:i/>
        </w:rPr>
        <w:tab/>
        <w:t>Involvement of Small Entities</w:t>
      </w:r>
      <w:bookmarkEnd w:id="11"/>
    </w:p>
    <w:p w:rsidR="003E448F" w:rsidRPr="00405DF5" w:rsidRDefault="00F62F86" w:rsidP="00ED732E">
      <w:pPr>
        <w:pStyle w:val="NormalSS"/>
        <w:ind w:firstLine="0"/>
        <w:jc w:val="left"/>
      </w:pPr>
      <w:r w:rsidRPr="00AC5873">
        <w:rPr>
          <w:highlight w:val="yellow"/>
        </w:rPr>
        <w:t>Providers in small private practices and school based health centers may be asked to help recruit focus group participants or participate in interviews. The researchers will make every effort to ensure the recruitment burden on participating small practices is minimal.</w:t>
      </w:r>
      <w:r w:rsidRPr="00F62F86">
        <w:t xml:space="preserve">  Every effort will be made to schedule interviews at the convenience of these respondents. In addition, the interviews with these respondents will be short relative to interviews with other respondent types, in part to accommodate small entities. Interview staff will ensure that each interview lasts no more than 45 minutes. Furthermore, to gain a broad picture of participating physicians’ perspectives, the respondents will be distributed across multiple practices. Thus, the burden on whole entities will be small. The information being requested will be held to the minimum required for the intended use.</w:t>
      </w:r>
    </w:p>
    <w:p w:rsidR="003E448F" w:rsidRPr="00405DF5" w:rsidRDefault="00F62F86" w:rsidP="00ED732E">
      <w:pPr>
        <w:pStyle w:val="Heading2Black"/>
        <w:jc w:val="left"/>
        <w:rPr>
          <w:rFonts w:ascii="Arial" w:hAnsi="Arial" w:cs="Arial"/>
          <w:i/>
        </w:rPr>
      </w:pPr>
      <w:bookmarkStart w:id="12" w:name="_Toc291509288"/>
      <w:r w:rsidRPr="00F62F86">
        <w:rPr>
          <w:rFonts w:ascii="Arial" w:hAnsi="Arial" w:cs="Arial"/>
          <w:i/>
        </w:rPr>
        <w:t>6.</w:t>
      </w:r>
      <w:r w:rsidRPr="00F62F86">
        <w:rPr>
          <w:rFonts w:ascii="Arial" w:hAnsi="Arial" w:cs="Arial"/>
          <w:i/>
        </w:rPr>
        <w:tab/>
        <w:t>Consequences If Information Is Collected Less Frequently</w:t>
      </w:r>
      <w:bookmarkEnd w:id="12"/>
    </w:p>
    <w:p w:rsidR="003E448F" w:rsidRPr="00405DF5" w:rsidRDefault="00F62F86" w:rsidP="00D57591">
      <w:pPr>
        <w:pStyle w:val="NormalSS"/>
        <w:ind w:firstLine="0"/>
        <w:jc w:val="left"/>
      </w:pPr>
      <w:r w:rsidRPr="00AC5873">
        <w:rPr>
          <w:highlight w:val="yellow"/>
        </w:rPr>
        <w:t xml:space="preserve">If the second round of interview data and only round of focus group data are not collected, AHRQ will not be able to evaluate the barriers and facilitators to implementing the demonstration </w:t>
      </w:r>
      <w:r w:rsidR="00197F05" w:rsidRPr="00AC5873">
        <w:rPr>
          <w:highlight w:val="yellow"/>
        </w:rPr>
        <w:t xml:space="preserve">projects </w:t>
      </w:r>
      <w:r w:rsidRPr="00AC5873">
        <w:rPr>
          <w:highlight w:val="yellow"/>
        </w:rPr>
        <w:t>or be able to understand whether patients</w:t>
      </w:r>
      <w:r w:rsidR="00197F05" w:rsidRPr="00AC5873">
        <w:rPr>
          <w:highlight w:val="yellow"/>
        </w:rPr>
        <w:t xml:space="preserve"> and their families</w:t>
      </w:r>
      <w:r w:rsidRPr="00AC5873">
        <w:rPr>
          <w:highlight w:val="yellow"/>
        </w:rPr>
        <w:t xml:space="preserve"> observed any changes to how care was delivered as a result the CHIPRA demonstration. The first round of in-person</w:t>
      </w:r>
      <w:r w:rsidR="00D57591" w:rsidRPr="00AC5873">
        <w:rPr>
          <w:highlight w:val="yellow"/>
        </w:rPr>
        <w:t xml:space="preserve"> interviews </w:t>
      </w:r>
      <w:r w:rsidRPr="00AC5873">
        <w:rPr>
          <w:highlight w:val="yellow"/>
        </w:rPr>
        <w:t xml:space="preserve">in the 18 demonstration </w:t>
      </w:r>
      <w:r w:rsidR="00354300" w:rsidRPr="00AC5873">
        <w:rPr>
          <w:highlight w:val="yellow"/>
        </w:rPr>
        <w:t>State</w:t>
      </w:r>
      <w:r w:rsidRPr="00AC5873">
        <w:rPr>
          <w:highlight w:val="yellow"/>
        </w:rPr>
        <w:t xml:space="preserve">s were completed in 2012, approximately two </w:t>
      </w:r>
      <w:r w:rsidR="00197F05" w:rsidRPr="00AC5873">
        <w:rPr>
          <w:highlight w:val="yellow"/>
        </w:rPr>
        <w:t xml:space="preserve">years </w:t>
      </w:r>
      <w:r w:rsidRPr="00AC5873">
        <w:rPr>
          <w:highlight w:val="yellow"/>
        </w:rPr>
        <w:t>into implementation</w:t>
      </w:r>
      <w:r w:rsidR="00197F05" w:rsidRPr="00AC5873">
        <w:rPr>
          <w:highlight w:val="yellow"/>
        </w:rPr>
        <w:t xml:space="preserve"> of </w:t>
      </w:r>
      <w:r w:rsidR="00197F05" w:rsidRPr="00AC5873">
        <w:rPr>
          <w:highlight w:val="yellow"/>
        </w:rPr>
        <w:lastRenderedPageBreak/>
        <w:t>demonstration projects</w:t>
      </w:r>
      <w:r w:rsidRPr="00AC5873">
        <w:rPr>
          <w:highlight w:val="yellow"/>
        </w:rPr>
        <w:t xml:space="preserve">. This time frame was most appropriate for learning about the early implementation experience. It provided AHRQ an opportunity to provide feedback to the </w:t>
      </w:r>
      <w:r w:rsidR="00354300" w:rsidRPr="00AC5873">
        <w:rPr>
          <w:highlight w:val="yellow"/>
        </w:rPr>
        <w:t>State</w:t>
      </w:r>
      <w:r w:rsidRPr="00AC5873">
        <w:rPr>
          <w:highlight w:val="yellow"/>
        </w:rPr>
        <w:t xml:space="preserve">s about their implementation processes and to inform other </w:t>
      </w:r>
      <w:r w:rsidR="00354300" w:rsidRPr="00AC5873">
        <w:rPr>
          <w:highlight w:val="yellow"/>
        </w:rPr>
        <w:t>State</w:t>
      </w:r>
      <w:r w:rsidRPr="00AC5873">
        <w:rPr>
          <w:highlight w:val="yellow"/>
        </w:rPr>
        <w:t xml:space="preserve">s about early implementation strategies. The second round of in-person interviews in the 18 demonstration </w:t>
      </w:r>
      <w:r w:rsidR="00354300" w:rsidRPr="00AC5873">
        <w:rPr>
          <w:highlight w:val="yellow"/>
        </w:rPr>
        <w:t>State</w:t>
      </w:r>
      <w:r w:rsidRPr="00AC5873">
        <w:rPr>
          <w:highlight w:val="yellow"/>
        </w:rPr>
        <w:t>s will be completed in the fourth and final year of demonstration</w:t>
      </w:r>
      <w:r w:rsidR="002309FB">
        <w:rPr>
          <w:highlight w:val="yellow"/>
        </w:rPr>
        <w:t xml:space="preserve"> operations</w:t>
      </w:r>
      <w:r w:rsidRPr="00AC5873">
        <w:rPr>
          <w:highlight w:val="yellow"/>
        </w:rPr>
        <w:t xml:space="preserve">. At this point, interview respondents will understand how the demonstration changed over time, barriers and facilitators to implementation, and perceived outcomes. The parent and adolescent focus groups proposed under this information request will provide the only source of information on perceived impacts of the demonstration by patients and their families. Without this data collection, AHRQ </w:t>
      </w:r>
      <w:r w:rsidR="00D57591" w:rsidRPr="00AC5873">
        <w:rPr>
          <w:highlight w:val="yellow"/>
        </w:rPr>
        <w:t xml:space="preserve">cannot </w:t>
      </w:r>
      <w:r w:rsidRPr="00AC5873">
        <w:rPr>
          <w:highlight w:val="yellow"/>
        </w:rPr>
        <w:t>comprehensively evaluate the impact of the program</w:t>
      </w:r>
      <w:r w:rsidR="00D57591" w:rsidRPr="00AC5873">
        <w:rPr>
          <w:highlight w:val="yellow"/>
        </w:rPr>
        <w:t xml:space="preserve"> </w:t>
      </w:r>
      <w:r w:rsidR="00111B3D">
        <w:rPr>
          <w:highlight w:val="yellow"/>
        </w:rPr>
        <w:t>that would</w:t>
      </w:r>
      <w:r w:rsidR="00111B3D" w:rsidRPr="00AC5873">
        <w:rPr>
          <w:highlight w:val="yellow"/>
        </w:rPr>
        <w:t xml:space="preserve"> </w:t>
      </w:r>
      <w:r w:rsidRPr="00AC5873">
        <w:rPr>
          <w:highlight w:val="yellow"/>
        </w:rPr>
        <w:t>inform</w:t>
      </w:r>
      <w:r w:rsidR="00111B3D">
        <w:rPr>
          <w:highlight w:val="yellow"/>
        </w:rPr>
        <w:t xml:space="preserve"> CMS’</w:t>
      </w:r>
      <w:r w:rsidRPr="00AC5873">
        <w:rPr>
          <w:highlight w:val="yellow"/>
        </w:rPr>
        <w:t xml:space="preserve"> decisions regarding funding for similar initiatives. </w:t>
      </w:r>
    </w:p>
    <w:p w:rsidR="003E448F" w:rsidRPr="00405DF5" w:rsidRDefault="00F62F86" w:rsidP="00ED732E">
      <w:pPr>
        <w:pStyle w:val="Heading2Black"/>
        <w:jc w:val="left"/>
        <w:rPr>
          <w:rFonts w:ascii="Arial" w:hAnsi="Arial" w:cs="Arial"/>
          <w:i/>
        </w:rPr>
      </w:pPr>
      <w:bookmarkStart w:id="13" w:name="_Toc291509289"/>
      <w:r w:rsidRPr="00F62F86">
        <w:rPr>
          <w:rFonts w:ascii="Arial" w:hAnsi="Arial" w:cs="Arial"/>
          <w:i/>
        </w:rPr>
        <w:t>7.</w:t>
      </w:r>
      <w:r w:rsidRPr="00F62F86">
        <w:rPr>
          <w:rFonts w:ascii="Arial" w:hAnsi="Arial" w:cs="Arial"/>
          <w:i/>
        </w:rPr>
        <w:tab/>
        <w:t>Special Circumstances</w:t>
      </w:r>
      <w:bookmarkEnd w:id="13"/>
      <w:r w:rsidRPr="00F62F86">
        <w:rPr>
          <w:rFonts w:ascii="Arial" w:hAnsi="Arial" w:cs="Arial"/>
          <w:i/>
        </w:rPr>
        <w:t xml:space="preserve"> </w:t>
      </w:r>
    </w:p>
    <w:p w:rsidR="003E448F" w:rsidRPr="00405DF5" w:rsidRDefault="00F62F86" w:rsidP="00ED732E">
      <w:pPr>
        <w:pStyle w:val="NormalSS"/>
        <w:ind w:firstLine="0"/>
        <w:jc w:val="left"/>
      </w:pPr>
      <w:r w:rsidRPr="00F62F86">
        <w:t>This request fully complies with the general information collection guidelines of 5 CFR 1320.5(d)(2). No special circumstances apply.</w:t>
      </w:r>
    </w:p>
    <w:p w:rsidR="003E448F" w:rsidRPr="00405DF5" w:rsidRDefault="00F62F86" w:rsidP="00ED732E">
      <w:pPr>
        <w:pStyle w:val="Heading2Black"/>
        <w:jc w:val="left"/>
        <w:rPr>
          <w:rFonts w:ascii="Arial" w:hAnsi="Arial" w:cs="Arial"/>
          <w:i/>
        </w:rPr>
      </w:pPr>
      <w:bookmarkStart w:id="14" w:name="_Toc291509290"/>
      <w:r w:rsidRPr="00F62F86">
        <w:rPr>
          <w:rFonts w:ascii="Arial" w:hAnsi="Arial" w:cs="Arial"/>
          <w:i/>
        </w:rPr>
        <w:t>8.</w:t>
      </w:r>
      <w:r w:rsidRPr="00F62F86">
        <w:rPr>
          <w:rFonts w:ascii="Arial" w:hAnsi="Arial" w:cs="Arial"/>
          <w:i/>
        </w:rPr>
        <w:tab/>
        <w:t>Register Notice and Outside Consultations</w:t>
      </w:r>
      <w:bookmarkEnd w:id="14"/>
    </w:p>
    <w:p w:rsidR="003E448F" w:rsidRPr="00405DF5" w:rsidRDefault="00F62F86" w:rsidP="00ED732E">
      <w:pPr>
        <w:pStyle w:val="Heading3"/>
        <w:jc w:val="left"/>
      </w:pPr>
      <w:bookmarkStart w:id="15" w:name="_Toc291509291"/>
      <w:r w:rsidRPr="00F62F86">
        <w:t>a.</w:t>
      </w:r>
      <w:r w:rsidRPr="00F62F86">
        <w:tab/>
        <w:t>Federal Register Notice</w:t>
      </w:r>
      <w:bookmarkEnd w:id="15"/>
    </w:p>
    <w:p w:rsidR="003E448F" w:rsidRPr="00405DF5" w:rsidRDefault="00F62F86" w:rsidP="00ED732E">
      <w:pPr>
        <w:pStyle w:val="NormalSS"/>
        <w:ind w:firstLine="0"/>
        <w:jc w:val="left"/>
      </w:pPr>
      <w:r w:rsidRPr="00F62F86">
        <w:t>As required by 5 CFR 1320.8(d), notice was published in the Federal Register on July 31, 2013</w:t>
      </w:r>
      <w:r w:rsidR="00FE64C0">
        <w:rPr>
          <w:i/>
        </w:rPr>
        <w:t xml:space="preserve"> </w:t>
      </w:r>
      <w:r w:rsidRPr="00F62F86">
        <w:t xml:space="preserve">for 60 days (see Attachment </w:t>
      </w:r>
      <w:r w:rsidR="00781BB2">
        <w:t>U</w:t>
      </w:r>
      <w:r w:rsidRPr="00F62F86">
        <w:t xml:space="preserve">). No comments </w:t>
      </w:r>
      <w:r w:rsidR="00F218F3">
        <w:t>were</w:t>
      </w:r>
      <w:r w:rsidRPr="00F62F86">
        <w:t xml:space="preserve"> received. </w:t>
      </w:r>
    </w:p>
    <w:p w:rsidR="003E448F" w:rsidRPr="00405DF5" w:rsidRDefault="00F62F86" w:rsidP="00ED732E">
      <w:pPr>
        <w:pStyle w:val="Heading3"/>
        <w:jc w:val="left"/>
      </w:pPr>
      <w:bookmarkStart w:id="16" w:name="_Toc291509292"/>
      <w:r w:rsidRPr="00F62F86">
        <w:t>b.</w:t>
      </w:r>
      <w:r w:rsidRPr="00F62F86">
        <w:tab/>
        <w:t>Outside Consultations</w:t>
      </w:r>
      <w:bookmarkEnd w:id="16"/>
      <w:r w:rsidRPr="00F62F86">
        <w:t xml:space="preserve"> </w:t>
      </w:r>
    </w:p>
    <w:p w:rsidR="003E448F" w:rsidRPr="00405DF5" w:rsidRDefault="00F62F86" w:rsidP="00ED732E">
      <w:pPr>
        <w:pStyle w:val="NormalSS"/>
        <w:ind w:firstLine="0"/>
        <w:jc w:val="left"/>
      </w:pPr>
      <w:r w:rsidRPr="00F62F86">
        <w:t xml:space="preserve">AHRQ’s contractors continually consult individuals outside the agency about the research and data collection activities for this evaluation. These individuals include the CMS personnel who oversee and monitor grant planning and implementation in the demonstration </w:t>
      </w:r>
      <w:r w:rsidR="00354300">
        <w:t>State</w:t>
      </w:r>
      <w:r w:rsidRPr="00F62F86">
        <w:t xml:space="preserve">s: Karen Llanos and Elizabeth Hill (CMS/CMCS). AHRQ’s evaluation contractor also consults a 14-member technical expert panel on design, measurement, and analytical challenges. The panel meets annually, but members have agreed to also be available for individual </w:t>
      </w:r>
      <w:r w:rsidRPr="00781BB2">
        <w:t xml:space="preserve">consultation. Attachment </w:t>
      </w:r>
      <w:r w:rsidR="00781BB2" w:rsidRPr="00781BB2">
        <w:t>V</w:t>
      </w:r>
      <w:r w:rsidRPr="00781BB2">
        <w:t xml:space="preserve"> lists</w:t>
      </w:r>
      <w:r w:rsidRPr="00F62F86">
        <w:t xml:space="preserve"> the members of the technical expert panel and their professional affiliations. There are no unresolved issues stemming from these consultations. </w:t>
      </w:r>
    </w:p>
    <w:p w:rsidR="003E448F" w:rsidRPr="00405DF5" w:rsidRDefault="00F62F86" w:rsidP="00ED732E">
      <w:pPr>
        <w:pStyle w:val="Heading2Black"/>
        <w:jc w:val="left"/>
        <w:rPr>
          <w:rFonts w:ascii="Arial" w:hAnsi="Arial" w:cs="Arial"/>
          <w:i/>
        </w:rPr>
      </w:pPr>
      <w:bookmarkStart w:id="17" w:name="_Toc291509293"/>
      <w:r w:rsidRPr="00F62F86">
        <w:rPr>
          <w:rFonts w:ascii="Arial" w:hAnsi="Arial" w:cs="Arial"/>
          <w:i/>
        </w:rPr>
        <w:t>9.</w:t>
      </w:r>
      <w:r w:rsidRPr="00F62F86">
        <w:rPr>
          <w:rFonts w:ascii="Arial" w:hAnsi="Arial" w:cs="Arial"/>
          <w:i/>
        </w:rPr>
        <w:tab/>
        <w:t>Payments/Gifts to Respondents</w:t>
      </w:r>
      <w:bookmarkEnd w:id="17"/>
    </w:p>
    <w:p w:rsidR="00FE64C0" w:rsidRDefault="00F62F86" w:rsidP="00ED732E">
      <w:pPr>
        <w:pStyle w:val="NormalSS"/>
        <w:ind w:firstLine="0"/>
        <w:jc w:val="left"/>
      </w:pPr>
      <w:r w:rsidRPr="00F62F86">
        <w:t xml:space="preserve">No payments or gifts will be provided to interview respondents. </w:t>
      </w:r>
    </w:p>
    <w:p w:rsidR="00FE64C0" w:rsidRPr="00AC5873" w:rsidRDefault="00F62F86" w:rsidP="00ED732E">
      <w:pPr>
        <w:pStyle w:val="NormalSS"/>
        <w:ind w:firstLine="0"/>
        <w:jc w:val="left"/>
        <w:rPr>
          <w:highlight w:val="yellow"/>
        </w:rPr>
      </w:pPr>
      <w:r w:rsidRPr="00AC5873">
        <w:rPr>
          <w:highlight w:val="yellow"/>
        </w:rPr>
        <w:t xml:space="preserve">Practices and SBHCs will receive a $500 gift card for their assistance with focus group recruitment, identification of a convenient meeting space, and for logistical support during the focus groups (See Attachment </w:t>
      </w:r>
      <w:r w:rsidR="00781BB2">
        <w:rPr>
          <w:highlight w:val="yellow"/>
        </w:rPr>
        <w:t>W</w:t>
      </w:r>
      <w:r w:rsidRPr="00AC5873">
        <w:rPr>
          <w:highlight w:val="yellow"/>
        </w:rPr>
        <w:t xml:space="preserve"> for the provider site recruitment letters).  We arrived at this incentive level after consultation with the </w:t>
      </w:r>
      <w:r w:rsidR="00354300" w:rsidRPr="00AC5873">
        <w:rPr>
          <w:highlight w:val="yellow"/>
        </w:rPr>
        <w:t>State</w:t>
      </w:r>
      <w:r w:rsidRPr="00AC5873">
        <w:rPr>
          <w:highlight w:val="yellow"/>
        </w:rPr>
        <w:t xml:space="preserve"> demonstration leaders about the level of effort required to assist with focus group recruitment. </w:t>
      </w:r>
      <w:r w:rsidR="00FE64C0" w:rsidRPr="00AC5873">
        <w:rPr>
          <w:highlight w:val="yellow"/>
        </w:rPr>
        <w:t>Participating in the demonstration requires a significant amount of work</w:t>
      </w:r>
      <w:r w:rsidR="00197F05" w:rsidRPr="00AC5873">
        <w:rPr>
          <w:highlight w:val="yellow"/>
        </w:rPr>
        <w:t xml:space="preserve"> on the part of practice staff,</w:t>
      </w:r>
      <w:r w:rsidR="00FE64C0" w:rsidRPr="00AC5873">
        <w:rPr>
          <w:highlight w:val="yellow"/>
        </w:rPr>
        <w:t xml:space="preserve"> and m</w:t>
      </w:r>
      <w:r w:rsidRPr="00AC5873">
        <w:rPr>
          <w:highlight w:val="yellow"/>
        </w:rPr>
        <w:t xml:space="preserve">any of the practices and SBHCs participating in the demonstration have </w:t>
      </w:r>
      <w:r w:rsidR="00FE64C0" w:rsidRPr="00AC5873">
        <w:rPr>
          <w:highlight w:val="yellow"/>
        </w:rPr>
        <w:t xml:space="preserve">not been compensated for their time to participate </w:t>
      </w:r>
      <w:r w:rsidRPr="00AC5873">
        <w:rPr>
          <w:highlight w:val="yellow"/>
        </w:rPr>
        <w:t xml:space="preserve">and have many competing demands. </w:t>
      </w:r>
      <w:r w:rsidR="00197F05" w:rsidRPr="00AC5873">
        <w:rPr>
          <w:highlight w:val="yellow"/>
        </w:rPr>
        <w:t>Based on the demonstration leaders input and the contractor’s prior experience, a</w:t>
      </w:r>
      <w:r w:rsidRPr="00AC5873">
        <w:rPr>
          <w:highlight w:val="yellow"/>
        </w:rPr>
        <w:t xml:space="preserve"> smaller incentive is expected to </w:t>
      </w:r>
      <w:r w:rsidR="00FE64C0" w:rsidRPr="00AC5873">
        <w:rPr>
          <w:highlight w:val="yellow"/>
        </w:rPr>
        <w:t>decrease the number of</w:t>
      </w:r>
      <w:r w:rsidRPr="00AC5873">
        <w:rPr>
          <w:highlight w:val="yellow"/>
        </w:rPr>
        <w:t xml:space="preserve"> practices willing to assist with recruitment</w:t>
      </w:r>
      <w:r w:rsidR="00197F05" w:rsidRPr="00AC5873">
        <w:rPr>
          <w:highlight w:val="yellow"/>
        </w:rPr>
        <w:t xml:space="preserve"> for the focus groups. We would expect to need to </w:t>
      </w:r>
      <w:r w:rsidR="00AB7914" w:rsidRPr="00AC5873">
        <w:rPr>
          <w:highlight w:val="yellow"/>
        </w:rPr>
        <w:t xml:space="preserve">expend more resources on recruitment if the incentive level is lowered. </w:t>
      </w:r>
    </w:p>
    <w:p w:rsidR="003E448F" w:rsidRPr="00405DF5" w:rsidRDefault="00F62F86" w:rsidP="00ED732E">
      <w:pPr>
        <w:pStyle w:val="NormalSS"/>
        <w:ind w:firstLine="0"/>
        <w:jc w:val="left"/>
      </w:pPr>
      <w:r w:rsidRPr="00AC5873">
        <w:rPr>
          <w:highlight w:val="yellow"/>
        </w:rPr>
        <w:lastRenderedPageBreak/>
        <w:t xml:space="preserve">Each focus group adult participant will receive a $50 gift card for their participation in the focus group. Adolescent participants will receive a $25 gift card. </w:t>
      </w:r>
      <w:r w:rsidR="009D0E13">
        <w:rPr>
          <w:highlight w:val="yellow"/>
        </w:rPr>
        <w:t xml:space="preserve">We will also hold the focus groups </w:t>
      </w:r>
      <w:r w:rsidR="009D0E13" w:rsidRPr="00AC5873">
        <w:rPr>
          <w:highlight w:val="yellow"/>
        </w:rPr>
        <w:t>at convenient locations and times</w:t>
      </w:r>
      <w:r w:rsidR="009D0E13">
        <w:rPr>
          <w:highlight w:val="yellow"/>
        </w:rPr>
        <w:t xml:space="preserve">, </w:t>
      </w:r>
      <w:r w:rsidR="007D3433">
        <w:rPr>
          <w:highlight w:val="yellow"/>
        </w:rPr>
        <w:t>increasing</w:t>
      </w:r>
      <w:r w:rsidRPr="00AC5873">
        <w:rPr>
          <w:highlight w:val="yellow"/>
        </w:rPr>
        <w:t xml:space="preserve"> individuals</w:t>
      </w:r>
      <w:r w:rsidR="009D0E13">
        <w:rPr>
          <w:highlight w:val="yellow"/>
        </w:rPr>
        <w:t>’</w:t>
      </w:r>
      <w:r w:rsidRPr="00AC5873">
        <w:rPr>
          <w:highlight w:val="yellow"/>
        </w:rPr>
        <w:t xml:space="preserve"> willing</w:t>
      </w:r>
      <w:r w:rsidR="009D0E13">
        <w:rPr>
          <w:highlight w:val="yellow"/>
        </w:rPr>
        <w:t>ness</w:t>
      </w:r>
      <w:r w:rsidR="007D3433">
        <w:rPr>
          <w:highlight w:val="yellow"/>
        </w:rPr>
        <w:t xml:space="preserve"> to attend a group discussion</w:t>
      </w:r>
      <w:r w:rsidRPr="00AC5873">
        <w:rPr>
          <w:highlight w:val="yellow"/>
        </w:rPr>
        <w:t>.</w:t>
      </w:r>
      <w:r w:rsidRPr="00F62F86">
        <w:t xml:space="preserve">    </w:t>
      </w:r>
    </w:p>
    <w:p w:rsidR="003E448F" w:rsidRPr="00405DF5" w:rsidRDefault="00F62F86" w:rsidP="00ED732E">
      <w:pPr>
        <w:pStyle w:val="Heading2Black"/>
        <w:jc w:val="left"/>
        <w:rPr>
          <w:rFonts w:ascii="Arial" w:hAnsi="Arial" w:cs="Arial"/>
          <w:i/>
        </w:rPr>
      </w:pPr>
      <w:bookmarkStart w:id="18" w:name="_Toc291509294"/>
      <w:r w:rsidRPr="00F62F86">
        <w:rPr>
          <w:rFonts w:ascii="Arial" w:hAnsi="Arial" w:cs="Arial"/>
          <w:i/>
        </w:rPr>
        <w:t>10.</w:t>
      </w:r>
      <w:r w:rsidRPr="00F62F86">
        <w:rPr>
          <w:rFonts w:ascii="Arial" w:hAnsi="Arial" w:cs="Arial"/>
          <w:i/>
        </w:rPr>
        <w:tab/>
        <w:t>Assurance of Confidentiality</w:t>
      </w:r>
      <w:bookmarkEnd w:id="18"/>
      <w:r w:rsidRPr="00F62F86">
        <w:rPr>
          <w:rFonts w:ascii="Arial" w:hAnsi="Arial" w:cs="Arial"/>
          <w:i/>
        </w:rPr>
        <w:t xml:space="preserve"> </w:t>
      </w:r>
    </w:p>
    <w:p w:rsidR="003E448F" w:rsidRPr="007C6A3F" w:rsidRDefault="00F62F86" w:rsidP="00ED732E">
      <w:pPr>
        <w:pStyle w:val="NormalSS"/>
        <w:ind w:firstLine="0"/>
        <w:jc w:val="left"/>
      </w:pPr>
      <w:r w:rsidRPr="007C6A3F">
        <w:t>Individuals and organizations will be assured of the confidentiality of their replies under Section 934(c) of the Public Health Service Act, 42 USC 299c-3(c)</w:t>
      </w:r>
      <w:r w:rsidR="007F7B27" w:rsidRPr="007C6A3F">
        <w:t xml:space="preserve"> with requirements </w:t>
      </w:r>
      <w:r w:rsidRPr="007C6A3F">
        <w:t xml:space="preserve">that information collected for research conducted or supported by AHRQ that identifies individuals or </w:t>
      </w:r>
      <w:r w:rsidR="007F7B27" w:rsidRPr="007C6A3F">
        <w:t>organizations</w:t>
      </w:r>
      <w:r w:rsidRPr="007C6A3F">
        <w:t xml:space="preserve"> be used only for the purpose for which it was supplied.</w:t>
      </w:r>
    </w:p>
    <w:p w:rsidR="009D01FD" w:rsidRPr="00405DF5" w:rsidRDefault="00F62F86" w:rsidP="009D01FD">
      <w:pPr>
        <w:pStyle w:val="NormalSS"/>
        <w:ind w:firstLine="0"/>
        <w:jc w:val="left"/>
      </w:pPr>
      <w:r w:rsidRPr="007C6A3F">
        <w:t xml:space="preserve">Interview respondents </w:t>
      </w:r>
      <w:r w:rsidRPr="007C6A3F">
        <w:rPr>
          <w:highlight w:val="yellow"/>
        </w:rPr>
        <w:t>and focus group</w:t>
      </w:r>
      <w:r w:rsidRPr="007C6A3F">
        <w:t xml:space="preserve"> participants will be given this assurance during recruitment and again immediately before their participation. They will further receive assurance that the information being gathered is for research purposes only. Respondents will also be asked if they give permission to have the conversation audio-recorded solely for the purpose of filling in any gaps in the research notes. </w:t>
      </w:r>
      <w:r w:rsidRPr="00AC5873">
        <w:rPr>
          <w:highlight w:val="yellow"/>
        </w:rPr>
        <w:t xml:space="preserve">Participants’ </w:t>
      </w:r>
      <w:r w:rsidR="009231EE" w:rsidRPr="00AC5873">
        <w:rPr>
          <w:highlight w:val="yellow"/>
        </w:rPr>
        <w:t xml:space="preserve">will be referred to by their first </w:t>
      </w:r>
      <w:r w:rsidRPr="00AC5873">
        <w:rPr>
          <w:highlight w:val="yellow"/>
        </w:rPr>
        <w:t>name</w:t>
      </w:r>
      <w:r w:rsidR="007F7B27" w:rsidRPr="00AC5873">
        <w:rPr>
          <w:highlight w:val="yellow"/>
        </w:rPr>
        <w:t>s</w:t>
      </w:r>
      <w:r w:rsidRPr="00AC5873">
        <w:rPr>
          <w:highlight w:val="yellow"/>
        </w:rPr>
        <w:t xml:space="preserve"> </w:t>
      </w:r>
      <w:r w:rsidR="009231EE" w:rsidRPr="00AC5873">
        <w:rPr>
          <w:highlight w:val="yellow"/>
        </w:rPr>
        <w:t xml:space="preserve">during focus groups and </w:t>
      </w:r>
      <w:r w:rsidRPr="00AC5873">
        <w:rPr>
          <w:highlight w:val="yellow"/>
        </w:rPr>
        <w:t>basic demographic information will be collected</w:t>
      </w:r>
      <w:r w:rsidR="007F7B27" w:rsidRPr="00AC5873">
        <w:rPr>
          <w:highlight w:val="yellow"/>
        </w:rPr>
        <w:t xml:space="preserve"> to describe the demographic composition of the focus groups</w:t>
      </w:r>
      <w:r w:rsidRPr="00AC5873">
        <w:rPr>
          <w:highlight w:val="yellow"/>
        </w:rPr>
        <w:t>; th</w:t>
      </w:r>
      <w:r w:rsidR="009231EE" w:rsidRPr="00AC5873">
        <w:rPr>
          <w:highlight w:val="yellow"/>
        </w:rPr>
        <w:t>is</w:t>
      </w:r>
      <w:r w:rsidRPr="00AC5873">
        <w:rPr>
          <w:highlight w:val="yellow"/>
        </w:rPr>
        <w:t xml:space="preserve"> information will not be used to identify focus group respondents on transcripts.  We will not collect social security numbers, home contact information, and similar information that can directly identify the respondent.  Moreover, focus groups will not be held at physician practices to avoid risk of violating participant confidentiality since practice staff may see them and know they have participated.</w:t>
      </w:r>
      <w:r w:rsidRPr="00F62F86">
        <w:t xml:space="preserve">  </w:t>
      </w:r>
    </w:p>
    <w:p w:rsidR="003E448F" w:rsidRPr="00405DF5" w:rsidRDefault="00F62F86" w:rsidP="00ED732E">
      <w:pPr>
        <w:pStyle w:val="NormalSS"/>
        <w:ind w:firstLine="0"/>
        <w:jc w:val="left"/>
      </w:pPr>
      <w:r w:rsidRPr="00F62F86">
        <w:rPr>
          <w:b/>
        </w:rPr>
        <w:t>Safeguarding Data.</w:t>
      </w:r>
      <w:r w:rsidRPr="00F62F86">
        <w:t xml:space="preserve"> The contractor has established data security plans for the handling of all interview notes, coded interview data, and data processing for the interviews and focus groups that it conducts. Its plans meet the requirements of U.S. federal government agencies and are continually reviewed for compliance with new government requirements and data collection needs. Such security is based on (1) exacting company policy promulgated by the highest corporate officers in consultation with systems staff and outside consultants, (2) a secure systems infrastructure that is continually monitored and evaluated with respect to security risks, and (3) secure work practices of an informed staff that take all necessary precautions when dealing with confidential data.</w:t>
      </w:r>
    </w:p>
    <w:p w:rsidR="003E448F" w:rsidRPr="00405DF5" w:rsidRDefault="00F62F86" w:rsidP="00ED732E">
      <w:pPr>
        <w:pStyle w:val="NormalSS"/>
        <w:ind w:firstLine="0"/>
        <w:jc w:val="left"/>
      </w:pPr>
      <w:r w:rsidRPr="00F62F86">
        <w:t>During site visits, evaluation researchers will at all times keep notebooks and laptop computers on their persons or in secure, locked locations.</w:t>
      </w:r>
    </w:p>
    <w:p w:rsidR="003E448F" w:rsidRPr="00405DF5" w:rsidRDefault="00F62F86" w:rsidP="00ED732E">
      <w:pPr>
        <w:pStyle w:val="NormalSS"/>
        <w:ind w:firstLine="0"/>
        <w:jc w:val="left"/>
      </w:pPr>
      <w:r w:rsidRPr="00F62F86">
        <w:t xml:space="preserve">All contractor staff members sign a pledge of confidentiality. A copy of this text is in Attachment </w:t>
      </w:r>
      <w:r w:rsidR="00781BB2">
        <w:t>X</w:t>
      </w:r>
      <w:r w:rsidRPr="00F62F86">
        <w:t>. Confidential data are kept in study-specific folders that only a minimum number of staff members may access. All typed or electronically coded qualitative data are periodically backed up and preserved on secure media.</w:t>
      </w:r>
    </w:p>
    <w:p w:rsidR="003E448F" w:rsidRPr="00405DF5" w:rsidRDefault="00F62F86" w:rsidP="00ED732E">
      <w:pPr>
        <w:pStyle w:val="Heading2Black"/>
        <w:jc w:val="left"/>
        <w:rPr>
          <w:rFonts w:ascii="Arial" w:hAnsi="Arial" w:cs="Arial"/>
          <w:i/>
        </w:rPr>
      </w:pPr>
      <w:bookmarkStart w:id="19" w:name="_Toc291509295"/>
      <w:r w:rsidRPr="00F62F86">
        <w:rPr>
          <w:rFonts w:ascii="Arial" w:hAnsi="Arial" w:cs="Arial"/>
          <w:i/>
        </w:rPr>
        <w:t>11.</w:t>
      </w:r>
      <w:r w:rsidRPr="00F62F86">
        <w:rPr>
          <w:rFonts w:ascii="Arial" w:hAnsi="Arial" w:cs="Arial"/>
          <w:i/>
        </w:rPr>
        <w:tab/>
        <w:t>Questions of a Sensitive Nature</w:t>
      </w:r>
      <w:bookmarkEnd w:id="19"/>
    </w:p>
    <w:p w:rsidR="003E448F" w:rsidRPr="00405DF5" w:rsidRDefault="00F62F86" w:rsidP="00ED732E">
      <w:pPr>
        <w:pStyle w:val="NormalSS"/>
        <w:ind w:firstLine="0"/>
        <w:jc w:val="left"/>
      </w:pPr>
      <w:r w:rsidRPr="00F62F86">
        <w:t xml:space="preserve">AHRQ is not collecting information of a sensitive nature from interview respondents. Questions will elicit information and perspectives about how the CHIPRA demonstration grants are being implemented in the respondent’s </w:t>
      </w:r>
      <w:r w:rsidR="00354300">
        <w:t>State</w:t>
      </w:r>
      <w:r w:rsidRPr="00F62F86">
        <w:t xml:space="preserve">. </w:t>
      </w:r>
    </w:p>
    <w:p w:rsidR="009D01FD" w:rsidRPr="00405DF5" w:rsidRDefault="00F62F86" w:rsidP="009D01FD">
      <w:pPr>
        <w:pStyle w:val="NormalSS"/>
        <w:ind w:firstLine="0"/>
        <w:jc w:val="left"/>
      </w:pPr>
      <w:r w:rsidRPr="00AC5873">
        <w:rPr>
          <w:highlight w:val="yellow"/>
        </w:rPr>
        <w:t xml:space="preserve">Information collected in the focus groups is not </w:t>
      </w:r>
      <w:r w:rsidR="000807F5" w:rsidRPr="00AC5873">
        <w:rPr>
          <w:highlight w:val="yellow"/>
        </w:rPr>
        <w:t>intended to be of a</w:t>
      </w:r>
      <w:r w:rsidRPr="00AC5873">
        <w:rPr>
          <w:highlight w:val="yellow"/>
        </w:rPr>
        <w:t xml:space="preserve"> sensitive nature. Focus group questions are confined to participant’s general experiences, opinions, and perspectives regarding the care received from practices or clinics and clinicians participating in the CHIPRA demonstration. Focus group facilitators will tell participants at the beginning of the group that they are not </w:t>
      </w:r>
      <w:r w:rsidR="000807F5" w:rsidRPr="00AC5873">
        <w:rPr>
          <w:highlight w:val="yellow"/>
        </w:rPr>
        <w:lastRenderedPageBreak/>
        <w:t xml:space="preserve">specifically </w:t>
      </w:r>
      <w:r w:rsidRPr="00AC5873">
        <w:rPr>
          <w:highlight w:val="yellow"/>
        </w:rPr>
        <w:t>interested in the details of their child’s or their own medical condition</w:t>
      </w:r>
      <w:r w:rsidR="000807F5" w:rsidRPr="00AC5873">
        <w:rPr>
          <w:highlight w:val="yellow"/>
        </w:rPr>
        <w:t>. H</w:t>
      </w:r>
      <w:r w:rsidRPr="00AC5873">
        <w:rPr>
          <w:highlight w:val="yellow"/>
        </w:rPr>
        <w:t xml:space="preserve">owever, some participants may choose to share information about their child’s or their own health or medical condition to illustrate how it shaped their experience with their providers. Participants will be asked not to share any personal information about other participants outside of the room. Some focus group participants might have critical views of </w:t>
      </w:r>
      <w:r w:rsidR="00354300" w:rsidRPr="00AC5873">
        <w:rPr>
          <w:highlight w:val="yellow"/>
        </w:rPr>
        <w:t>State</w:t>
      </w:r>
      <w:r w:rsidRPr="00AC5873">
        <w:rPr>
          <w:highlight w:val="yellow"/>
        </w:rPr>
        <w:t xml:space="preserve"> or Federal initiatives or of particular participating organizations (for example, health plans, health systems, community organizations, and the practice they go to and the clinician they see). We will handle such insights with sensitivity and will not share or attribute these comments to individuals in an identifiable way in any written or oral communications.</w:t>
      </w:r>
      <w:r w:rsidRPr="00F62F86">
        <w:t xml:space="preserve">  </w:t>
      </w:r>
    </w:p>
    <w:p w:rsidR="003E448F" w:rsidRPr="00405DF5" w:rsidRDefault="00F62F86" w:rsidP="00ED732E">
      <w:pPr>
        <w:pStyle w:val="Heading2Black"/>
        <w:jc w:val="left"/>
        <w:rPr>
          <w:rFonts w:ascii="Arial" w:hAnsi="Arial" w:cs="Arial"/>
          <w:i/>
        </w:rPr>
      </w:pPr>
      <w:bookmarkStart w:id="20" w:name="_Toc291509296"/>
      <w:r w:rsidRPr="00F62F86">
        <w:rPr>
          <w:rFonts w:ascii="Arial" w:hAnsi="Arial" w:cs="Arial"/>
          <w:i/>
        </w:rPr>
        <w:t>12.</w:t>
      </w:r>
      <w:r w:rsidRPr="00F62F86">
        <w:rPr>
          <w:rFonts w:ascii="Arial" w:hAnsi="Arial" w:cs="Arial"/>
          <w:i/>
        </w:rPr>
        <w:tab/>
        <w:t>Estimates of Annualized Burden Hours and Cost</w:t>
      </w:r>
      <w:bookmarkEnd w:id="20"/>
    </w:p>
    <w:p w:rsidR="009D01FD" w:rsidRPr="007C6A3F" w:rsidRDefault="00F62F86" w:rsidP="00ED732E">
      <w:pPr>
        <w:pStyle w:val="NormalSS"/>
        <w:ind w:firstLine="0"/>
        <w:jc w:val="left"/>
      </w:pPr>
      <w:r w:rsidRPr="007C6A3F">
        <w:t>Exhibit 1 shows the estimated annualized burden hours for respondents</w:t>
      </w:r>
      <w:r w:rsidR="00814784" w:rsidRPr="007C6A3F">
        <w:t>’</w:t>
      </w:r>
      <w:r w:rsidRPr="007C6A3F">
        <w:t xml:space="preserve"> time to participate </w:t>
      </w:r>
      <w:r w:rsidRPr="007C6A3F">
        <w:rPr>
          <w:highlight w:val="yellow"/>
        </w:rPr>
        <w:t xml:space="preserve">in </w:t>
      </w:r>
      <w:r w:rsidR="00814784" w:rsidRPr="007C6A3F">
        <w:rPr>
          <w:highlight w:val="yellow"/>
        </w:rPr>
        <w:t>both round 1 and round 2 of qualitative data collection</w:t>
      </w:r>
      <w:r w:rsidRPr="007C6A3F">
        <w:rPr>
          <w:highlight w:val="yellow"/>
        </w:rPr>
        <w:t>.</w:t>
      </w:r>
      <w:r w:rsidRPr="007C6A3F">
        <w:t xml:space="preserve"> Key </w:t>
      </w:r>
      <w:r w:rsidR="00C13BD4" w:rsidRPr="007C6A3F">
        <w:t>s</w:t>
      </w:r>
      <w:r w:rsidRPr="007C6A3F">
        <w:t xml:space="preserve">taff </w:t>
      </w:r>
      <w:r w:rsidR="00C13BD4" w:rsidRPr="007C6A3F">
        <w:t>i</w:t>
      </w:r>
      <w:r w:rsidRPr="007C6A3F">
        <w:t xml:space="preserve">nterviews </w:t>
      </w:r>
      <w:r w:rsidR="000807F5" w:rsidRPr="007C6A3F">
        <w:t xml:space="preserve">were conducted in 2012 and </w:t>
      </w:r>
      <w:r w:rsidRPr="007C6A3F">
        <w:rPr>
          <w:highlight w:val="yellow"/>
        </w:rPr>
        <w:t xml:space="preserve">will be conducted </w:t>
      </w:r>
      <w:r w:rsidR="009231EE" w:rsidRPr="007C6A3F">
        <w:rPr>
          <w:highlight w:val="yellow"/>
        </w:rPr>
        <w:t>in</w:t>
      </w:r>
      <w:r w:rsidR="005C01C7" w:rsidRPr="007C6A3F">
        <w:rPr>
          <w:highlight w:val="yellow"/>
        </w:rPr>
        <w:t xml:space="preserve"> </w:t>
      </w:r>
      <w:r w:rsidRPr="007C6A3F">
        <w:rPr>
          <w:highlight w:val="yellow"/>
        </w:rPr>
        <w:t>2014</w:t>
      </w:r>
      <w:r w:rsidRPr="007C6A3F">
        <w:t xml:space="preserve"> with up to four persons from each of the 18 CHIPRA demonstration </w:t>
      </w:r>
      <w:r w:rsidR="00354300" w:rsidRPr="007C6A3F">
        <w:t>State</w:t>
      </w:r>
      <w:r w:rsidRPr="007C6A3F">
        <w:t>s (72 total</w:t>
      </w:r>
      <w:r w:rsidR="00C13BD4" w:rsidRPr="007C6A3F">
        <w:t xml:space="preserve"> in each time period</w:t>
      </w:r>
      <w:r w:rsidRPr="007C6A3F">
        <w:t xml:space="preserve">) and will last </w:t>
      </w:r>
      <w:r w:rsidR="004C384D" w:rsidRPr="007C6A3F">
        <w:t>up to</w:t>
      </w:r>
      <w:r w:rsidRPr="007C6A3F">
        <w:t xml:space="preserve"> 1 ½ hours. Implementation </w:t>
      </w:r>
      <w:r w:rsidR="00C13BD4" w:rsidRPr="007C6A3F">
        <w:t>s</w:t>
      </w:r>
      <w:r w:rsidRPr="007C6A3F">
        <w:t xml:space="preserve">taff </w:t>
      </w:r>
      <w:r w:rsidR="00C13BD4" w:rsidRPr="007C6A3F">
        <w:t>i</w:t>
      </w:r>
      <w:r w:rsidRPr="007C6A3F">
        <w:t xml:space="preserve">nterviews </w:t>
      </w:r>
      <w:r w:rsidR="00C13BD4" w:rsidRPr="007C6A3F">
        <w:t xml:space="preserve">were conducted in 2012 and </w:t>
      </w:r>
      <w:r w:rsidR="00C13BD4" w:rsidRPr="007C6A3F">
        <w:rPr>
          <w:highlight w:val="yellow"/>
        </w:rPr>
        <w:t>will be conducted 2014</w:t>
      </w:r>
      <w:r w:rsidR="00C13BD4" w:rsidRPr="007C6A3F">
        <w:t xml:space="preserve"> </w:t>
      </w:r>
      <w:r w:rsidRPr="007C6A3F">
        <w:t xml:space="preserve">with up to 16 persons from each of the 18 CHIPRA demonstration </w:t>
      </w:r>
      <w:r w:rsidR="00354300" w:rsidRPr="007C6A3F">
        <w:t>State</w:t>
      </w:r>
      <w:r w:rsidRPr="007C6A3F">
        <w:t>s (288 total</w:t>
      </w:r>
      <w:r w:rsidR="00C13BD4" w:rsidRPr="007C6A3F">
        <w:t xml:space="preserve"> in each time period</w:t>
      </w:r>
      <w:r w:rsidRPr="007C6A3F">
        <w:t xml:space="preserve">) and take an hour to complete. Stakeholder </w:t>
      </w:r>
      <w:r w:rsidR="00C13BD4" w:rsidRPr="007C6A3F">
        <w:t>i</w:t>
      </w:r>
      <w:r w:rsidRPr="007C6A3F">
        <w:t xml:space="preserve">nterviews </w:t>
      </w:r>
      <w:r w:rsidR="00C13BD4" w:rsidRPr="007C6A3F">
        <w:t xml:space="preserve">were conducted in 2012 </w:t>
      </w:r>
      <w:r w:rsidR="00C13BD4" w:rsidRPr="007C6A3F">
        <w:rPr>
          <w:highlight w:val="yellow"/>
        </w:rPr>
        <w:t>and will be conducted 2014</w:t>
      </w:r>
      <w:r w:rsidR="00C13BD4" w:rsidRPr="007C6A3F">
        <w:t xml:space="preserve"> </w:t>
      </w:r>
      <w:r w:rsidRPr="007C6A3F">
        <w:t xml:space="preserve">with up to 8 persons from each of the 18 CHIPRA demonstration </w:t>
      </w:r>
      <w:r w:rsidR="00354300" w:rsidRPr="007C6A3F">
        <w:t>State</w:t>
      </w:r>
      <w:r w:rsidRPr="007C6A3F">
        <w:t>s (144 total</w:t>
      </w:r>
      <w:r w:rsidR="00C13BD4" w:rsidRPr="007C6A3F">
        <w:t xml:space="preserve"> in each time period</w:t>
      </w:r>
      <w:r w:rsidRPr="007C6A3F">
        <w:t xml:space="preserve">) and also take an hour to complete. Health </w:t>
      </w:r>
      <w:r w:rsidR="00C13BD4" w:rsidRPr="007C6A3F">
        <w:t>c</w:t>
      </w:r>
      <w:r w:rsidRPr="007C6A3F">
        <w:t xml:space="preserve">are </w:t>
      </w:r>
      <w:r w:rsidR="00C13BD4" w:rsidRPr="007C6A3F">
        <w:t>organization staff</w:t>
      </w:r>
      <w:r w:rsidRPr="007C6A3F">
        <w:t xml:space="preserve"> </w:t>
      </w:r>
      <w:r w:rsidR="00C13BD4" w:rsidRPr="007C6A3F">
        <w:t>i</w:t>
      </w:r>
      <w:r w:rsidRPr="007C6A3F">
        <w:t xml:space="preserve">nterviews </w:t>
      </w:r>
      <w:r w:rsidR="00C13BD4" w:rsidRPr="007C6A3F">
        <w:t xml:space="preserve">were conducted in 2012 and </w:t>
      </w:r>
      <w:r w:rsidR="00C13BD4" w:rsidRPr="00930B62">
        <w:rPr>
          <w:highlight w:val="yellow"/>
        </w:rPr>
        <w:t>will be conducted 2014</w:t>
      </w:r>
      <w:r w:rsidR="00C13BD4" w:rsidRPr="007C6A3F">
        <w:t xml:space="preserve"> </w:t>
      </w:r>
      <w:r w:rsidRPr="007C6A3F">
        <w:t xml:space="preserve">with up to 12 persons from each of the 18 CHIPRA demonstration </w:t>
      </w:r>
      <w:r w:rsidR="00354300" w:rsidRPr="007C6A3F">
        <w:t>State</w:t>
      </w:r>
      <w:r w:rsidRPr="007C6A3F">
        <w:t>s (216 total</w:t>
      </w:r>
      <w:r w:rsidR="00C13BD4" w:rsidRPr="007C6A3F">
        <w:t xml:space="preserve"> in each time period</w:t>
      </w:r>
      <w:r w:rsidRPr="007C6A3F">
        <w:t xml:space="preserve">) and will last 45 minutes.  </w:t>
      </w:r>
    </w:p>
    <w:p w:rsidR="004C384D" w:rsidRDefault="00C13BD4" w:rsidP="00ED732E">
      <w:pPr>
        <w:pStyle w:val="NormalSS"/>
        <w:ind w:firstLine="0"/>
        <w:jc w:val="left"/>
        <w:rPr>
          <w:highlight w:val="yellow"/>
        </w:rPr>
      </w:pPr>
      <w:r w:rsidRPr="00AC5873">
        <w:rPr>
          <w:highlight w:val="yellow"/>
        </w:rPr>
        <w:t>For the parent and o</w:t>
      </w:r>
      <w:r w:rsidR="003F1C03">
        <w:rPr>
          <w:highlight w:val="yellow"/>
        </w:rPr>
        <w:t xml:space="preserve">ther caregiver focus groups, we </w:t>
      </w:r>
      <w:r w:rsidRPr="00AC5873">
        <w:rPr>
          <w:highlight w:val="yellow"/>
        </w:rPr>
        <w:t xml:space="preserve">estimate that </w:t>
      </w:r>
      <w:r w:rsidR="00F62F86" w:rsidRPr="00AC5873">
        <w:rPr>
          <w:highlight w:val="yellow"/>
        </w:rPr>
        <w:t>229 parents</w:t>
      </w:r>
      <w:r w:rsidRPr="00AC5873">
        <w:rPr>
          <w:highlight w:val="yellow"/>
        </w:rPr>
        <w:t xml:space="preserve"> and other caregivers</w:t>
      </w:r>
      <w:r w:rsidR="00F62F86" w:rsidRPr="00AC5873">
        <w:rPr>
          <w:highlight w:val="yellow"/>
        </w:rPr>
        <w:t xml:space="preserve"> will </w:t>
      </w:r>
      <w:r w:rsidRPr="00AC5873">
        <w:rPr>
          <w:highlight w:val="yellow"/>
        </w:rPr>
        <w:t xml:space="preserve">need to </w:t>
      </w:r>
      <w:r w:rsidR="00F62F86" w:rsidRPr="00AC5873">
        <w:rPr>
          <w:highlight w:val="yellow"/>
        </w:rPr>
        <w:t xml:space="preserve">be screened to </w:t>
      </w:r>
      <w:r w:rsidRPr="00AC5873">
        <w:rPr>
          <w:highlight w:val="yellow"/>
        </w:rPr>
        <w:t>recruit</w:t>
      </w:r>
      <w:r w:rsidR="00F62F86" w:rsidRPr="00AC5873">
        <w:rPr>
          <w:highlight w:val="yellow"/>
        </w:rPr>
        <w:t xml:space="preserve"> a maximum of 160 parents</w:t>
      </w:r>
      <w:r w:rsidRPr="00AC5873">
        <w:rPr>
          <w:highlight w:val="yellow"/>
        </w:rPr>
        <w:t xml:space="preserve"> and other caregivers</w:t>
      </w:r>
      <w:r w:rsidR="00F62F86" w:rsidRPr="00AC5873">
        <w:rPr>
          <w:highlight w:val="yellow"/>
        </w:rPr>
        <w:t xml:space="preserve"> to participate in 16 focus groups across 4 </w:t>
      </w:r>
      <w:r w:rsidR="00354300" w:rsidRPr="00AC5873">
        <w:rPr>
          <w:highlight w:val="yellow"/>
        </w:rPr>
        <w:t>State</w:t>
      </w:r>
      <w:r w:rsidR="00F62F86" w:rsidRPr="00AC5873">
        <w:rPr>
          <w:highlight w:val="yellow"/>
        </w:rPr>
        <w:t>s</w:t>
      </w:r>
      <w:r w:rsidR="003F1C03">
        <w:rPr>
          <w:highlight w:val="yellow"/>
        </w:rPr>
        <w:t xml:space="preserve"> (70% screen-in rate expected)</w:t>
      </w:r>
      <w:r w:rsidRPr="00AC5873">
        <w:rPr>
          <w:highlight w:val="yellow"/>
        </w:rPr>
        <w:t xml:space="preserve">. </w:t>
      </w:r>
      <w:r w:rsidR="00F62F86" w:rsidRPr="00AC5873">
        <w:rPr>
          <w:highlight w:val="yellow"/>
        </w:rPr>
        <w:t>The screener takes 5 minutes to complete, the pre-focus group interview for eligible participates takes 20 minutes to complete, and the focus group will last one and a half hours</w:t>
      </w:r>
      <w:r w:rsidRPr="00AC5873">
        <w:rPr>
          <w:highlight w:val="yellow"/>
        </w:rPr>
        <w:t>. T</w:t>
      </w:r>
      <w:r w:rsidR="00F62F86" w:rsidRPr="00AC5873">
        <w:rPr>
          <w:highlight w:val="yellow"/>
        </w:rPr>
        <w:t xml:space="preserve">he burden estimate of 2.5 hours includes one hour for travel time to and from the focus group site. </w:t>
      </w:r>
    </w:p>
    <w:p w:rsidR="009D01FD" w:rsidRPr="00AC5873" w:rsidRDefault="00C13BD4" w:rsidP="00ED732E">
      <w:pPr>
        <w:pStyle w:val="NormalSS"/>
        <w:ind w:firstLine="0"/>
        <w:jc w:val="left"/>
        <w:rPr>
          <w:highlight w:val="yellow"/>
        </w:rPr>
      </w:pPr>
      <w:r w:rsidRPr="00AC5873">
        <w:rPr>
          <w:highlight w:val="yellow"/>
        </w:rPr>
        <w:t>For the adolescent focus groups, we estimate that</w:t>
      </w:r>
      <w:r w:rsidR="00F62F86" w:rsidRPr="00AC5873">
        <w:rPr>
          <w:highlight w:val="yellow"/>
        </w:rPr>
        <w:t xml:space="preserve"> 57 adolescents will </w:t>
      </w:r>
      <w:r w:rsidRPr="00AC5873">
        <w:rPr>
          <w:highlight w:val="yellow"/>
        </w:rPr>
        <w:t xml:space="preserve">need to </w:t>
      </w:r>
      <w:r w:rsidR="00F62F86" w:rsidRPr="00AC5873">
        <w:rPr>
          <w:highlight w:val="yellow"/>
        </w:rPr>
        <w:t xml:space="preserve">be screened to get up to 40 adolescents to participate in four focus groups completed in one </w:t>
      </w:r>
      <w:r w:rsidR="00354300" w:rsidRPr="00AC5873">
        <w:rPr>
          <w:highlight w:val="yellow"/>
        </w:rPr>
        <w:t>State</w:t>
      </w:r>
      <w:r w:rsidR="003F1C03">
        <w:rPr>
          <w:highlight w:val="yellow"/>
        </w:rPr>
        <w:t xml:space="preserve"> (70% screen-in rate expected)</w:t>
      </w:r>
      <w:r w:rsidR="00F62F86" w:rsidRPr="00AC5873">
        <w:rPr>
          <w:highlight w:val="yellow"/>
        </w:rPr>
        <w:t>.   The screener takes 5 minutes to complete, the pre-focus group interview for eligible participates takes 20 minutes to complete, and the focus group will last one and a half hours (travel time does not apply because the focus groups will be held on school premises).</w:t>
      </w:r>
    </w:p>
    <w:p w:rsidR="00DE0112" w:rsidRDefault="00F62F86" w:rsidP="00ED732E">
      <w:pPr>
        <w:pStyle w:val="NormalSS"/>
        <w:ind w:firstLine="0"/>
        <w:jc w:val="left"/>
      </w:pPr>
      <w:r w:rsidRPr="00AC5873">
        <w:rPr>
          <w:highlight w:val="yellow"/>
        </w:rPr>
        <w:t xml:space="preserve">The total burden for this evaluation is estimated to be </w:t>
      </w:r>
      <w:r w:rsidR="00C3439E">
        <w:rPr>
          <w:highlight w:val="yellow"/>
        </w:rPr>
        <w:t>1,955</w:t>
      </w:r>
      <w:r w:rsidR="009231EE" w:rsidRPr="00AC5873">
        <w:rPr>
          <w:highlight w:val="yellow"/>
        </w:rPr>
        <w:t xml:space="preserve"> </w:t>
      </w:r>
      <w:r w:rsidRPr="00AC5873">
        <w:rPr>
          <w:highlight w:val="yellow"/>
        </w:rPr>
        <w:t>hours</w:t>
      </w:r>
      <w:r w:rsidR="00597594">
        <w:rPr>
          <w:highlight w:val="yellow"/>
        </w:rPr>
        <w:t>, including the 2012 and 2014 data collections</w:t>
      </w:r>
      <w:r w:rsidRPr="00AC5873">
        <w:rPr>
          <w:highlight w:val="yellow"/>
        </w:rPr>
        <w:t>.</w:t>
      </w:r>
      <w:r w:rsidR="007C68A8" w:rsidRPr="00AC5873">
        <w:rPr>
          <w:highlight w:val="yellow"/>
        </w:rPr>
        <w:t xml:space="preserve"> </w:t>
      </w:r>
      <w:r w:rsidR="004C384D">
        <w:rPr>
          <w:highlight w:val="yellow"/>
        </w:rPr>
        <w:t>Of this total, t</w:t>
      </w:r>
      <w:r w:rsidR="00597594">
        <w:rPr>
          <w:highlight w:val="yellow"/>
        </w:rPr>
        <w:t>he burden estimate for the 2014 interviews and focus groups requested in this revised information collection request is</w:t>
      </w:r>
      <w:r w:rsidR="00597594" w:rsidRPr="00597594">
        <w:rPr>
          <w:highlight w:val="yellow"/>
        </w:rPr>
        <w:t xml:space="preserve"> 1,25</w:t>
      </w:r>
      <w:r w:rsidR="00644B5C">
        <w:rPr>
          <w:highlight w:val="yellow"/>
        </w:rPr>
        <w:t>3</w:t>
      </w:r>
      <w:r w:rsidR="00597594" w:rsidRPr="00597594">
        <w:rPr>
          <w:highlight w:val="yellow"/>
        </w:rPr>
        <w:t xml:space="preserve"> hours. The burden hours for the 2014 data</w:t>
      </w:r>
      <w:r w:rsidR="00597594">
        <w:rPr>
          <w:highlight w:val="yellow"/>
        </w:rPr>
        <w:t xml:space="preserve"> collection are higher than the</w:t>
      </w:r>
      <w:r w:rsidR="00597594" w:rsidRPr="00597594">
        <w:rPr>
          <w:highlight w:val="yellow"/>
        </w:rPr>
        <w:t xml:space="preserve"> 2012 data collection because focus groups will only be completed in 2014.</w:t>
      </w:r>
      <w:r w:rsidR="00597594">
        <w:t xml:space="preserve"> </w:t>
      </w:r>
    </w:p>
    <w:p w:rsidR="00644B5C" w:rsidRDefault="00644B5C" w:rsidP="00ED732E">
      <w:pPr>
        <w:pStyle w:val="NormalSS"/>
        <w:ind w:firstLine="0"/>
        <w:jc w:val="left"/>
      </w:pPr>
    </w:p>
    <w:p w:rsidR="00644B5C" w:rsidRDefault="00644B5C" w:rsidP="00ED732E">
      <w:pPr>
        <w:pStyle w:val="NormalSS"/>
        <w:ind w:firstLine="0"/>
        <w:jc w:val="left"/>
      </w:pPr>
    </w:p>
    <w:p w:rsidR="00644B5C" w:rsidRDefault="00644B5C" w:rsidP="00ED732E">
      <w:pPr>
        <w:pStyle w:val="NormalSS"/>
        <w:ind w:firstLine="0"/>
        <w:jc w:val="left"/>
      </w:pPr>
    </w:p>
    <w:p w:rsidR="00311D91" w:rsidRPr="00405DF5" w:rsidRDefault="00311D91" w:rsidP="00ED732E">
      <w:pPr>
        <w:pStyle w:val="NormalSS"/>
        <w:ind w:firstLine="0"/>
        <w:jc w:val="left"/>
      </w:pPr>
    </w:p>
    <w:p w:rsidR="004432BD" w:rsidRPr="00AC5873" w:rsidRDefault="00F62F86" w:rsidP="001874E0">
      <w:pPr>
        <w:pStyle w:val="MarkforExhibitHeading"/>
        <w:rPr>
          <w:highlight w:val="yellow"/>
        </w:rPr>
      </w:pPr>
      <w:r w:rsidRPr="00AC5873">
        <w:rPr>
          <w:highlight w:val="yellow"/>
        </w:rPr>
        <w:lastRenderedPageBreak/>
        <w:t>Exhibit 1.  Estimated Annualized Burden Hours</w:t>
      </w:r>
    </w:p>
    <w:tbl>
      <w:tblPr>
        <w:tblStyle w:val="TableGrid"/>
        <w:tblW w:w="4896" w:type="pct"/>
        <w:tblInd w:w="115" w:type="dxa"/>
        <w:tblBorders>
          <w:top w:val="single" w:sz="12"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55"/>
        <w:gridCol w:w="1348"/>
        <w:gridCol w:w="1178"/>
        <w:gridCol w:w="1174"/>
        <w:gridCol w:w="1174"/>
        <w:gridCol w:w="1174"/>
        <w:gridCol w:w="1174"/>
      </w:tblGrid>
      <w:tr w:rsidR="007D3433" w:rsidRPr="00AC5873" w:rsidTr="007D3433">
        <w:trPr>
          <w:tblHeader/>
        </w:trPr>
        <w:tc>
          <w:tcPr>
            <w:tcW w:w="1149" w:type="pct"/>
            <w:tcBorders>
              <w:top w:val="single" w:sz="12" w:space="0" w:color="auto"/>
              <w:left w:val="single" w:sz="4" w:space="0" w:color="auto"/>
              <w:bottom w:val="single" w:sz="4" w:space="0" w:color="auto"/>
              <w:right w:val="single" w:sz="4" w:space="0" w:color="auto"/>
            </w:tcBorders>
            <w:shd w:val="clear" w:color="auto" w:fill="auto"/>
            <w:vAlign w:val="bottom"/>
          </w:tcPr>
          <w:p w:rsidR="007D3433" w:rsidRPr="00930B62" w:rsidRDefault="007D3433" w:rsidP="004B69B0">
            <w:pPr>
              <w:pStyle w:val="TableHeaderLeft"/>
              <w:tabs>
                <w:tab w:val="clear" w:pos="432"/>
              </w:tabs>
              <w:rPr>
                <w:rFonts w:ascii="Arial" w:hAnsi="Arial" w:cs="Arial"/>
                <w:szCs w:val="18"/>
                <w:highlight w:val="yellow"/>
              </w:rPr>
            </w:pPr>
            <w:r w:rsidRPr="00930B62">
              <w:rPr>
                <w:rFonts w:ascii="Arial" w:hAnsi="Arial" w:cs="Arial"/>
                <w:szCs w:val="18"/>
                <w:highlight w:val="yellow"/>
              </w:rPr>
              <w:t>Data Collection</w:t>
            </w:r>
          </w:p>
        </w:tc>
        <w:tc>
          <w:tcPr>
            <w:tcW w:w="719" w:type="pct"/>
            <w:tcBorders>
              <w:top w:val="single" w:sz="12" w:space="0" w:color="auto"/>
              <w:left w:val="single" w:sz="4" w:space="0" w:color="auto"/>
              <w:bottom w:val="single" w:sz="4" w:space="0" w:color="auto"/>
              <w:right w:val="single" w:sz="4" w:space="0" w:color="auto"/>
            </w:tcBorders>
            <w:shd w:val="clear" w:color="auto" w:fill="auto"/>
            <w:vAlign w:val="bottom"/>
          </w:tcPr>
          <w:p w:rsidR="007D3433" w:rsidRPr="00930B62" w:rsidRDefault="007D3433" w:rsidP="007D3433">
            <w:pPr>
              <w:pStyle w:val="TableHeaderCenter"/>
              <w:rPr>
                <w:rFonts w:ascii="Arial" w:hAnsi="Arial" w:cs="Arial"/>
                <w:szCs w:val="18"/>
                <w:highlight w:val="yellow"/>
              </w:rPr>
            </w:pPr>
            <w:r w:rsidRPr="00930B62">
              <w:rPr>
                <w:rFonts w:ascii="Arial" w:hAnsi="Arial" w:cs="Arial"/>
                <w:szCs w:val="18"/>
                <w:highlight w:val="yellow"/>
              </w:rPr>
              <w:t>Number of respondents</w:t>
            </w:r>
            <w:r w:rsidRPr="00930B62">
              <w:rPr>
                <w:rFonts w:ascii="Arial" w:hAnsi="Arial" w:cs="Arial"/>
                <w:color w:val="000000"/>
                <w:szCs w:val="18"/>
                <w:highlight w:val="yellow"/>
                <w:vertAlign w:val="superscript"/>
              </w:rPr>
              <w:t xml:space="preserve"> a</w:t>
            </w:r>
          </w:p>
        </w:tc>
        <w:tc>
          <w:tcPr>
            <w:tcW w:w="628" w:type="pct"/>
            <w:tcBorders>
              <w:top w:val="single" w:sz="12" w:space="0" w:color="auto"/>
              <w:left w:val="single" w:sz="4" w:space="0" w:color="auto"/>
              <w:bottom w:val="single" w:sz="4" w:space="0" w:color="auto"/>
              <w:right w:val="single" w:sz="4" w:space="0" w:color="auto"/>
            </w:tcBorders>
            <w:shd w:val="clear" w:color="auto" w:fill="auto"/>
            <w:vAlign w:val="bottom"/>
          </w:tcPr>
          <w:p w:rsidR="007D3433" w:rsidRPr="00930B62" w:rsidRDefault="007D3433" w:rsidP="007D3433">
            <w:pPr>
              <w:pStyle w:val="TableHeaderCenter"/>
              <w:rPr>
                <w:rFonts w:ascii="Arial" w:hAnsi="Arial" w:cs="Arial"/>
                <w:szCs w:val="18"/>
                <w:highlight w:val="yellow"/>
              </w:rPr>
            </w:pPr>
            <w:r w:rsidRPr="00930B62">
              <w:rPr>
                <w:rFonts w:ascii="Arial" w:hAnsi="Arial" w:cs="Arial"/>
                <w:szCs w:val="18"/>
                <w:highlight w:val="yellow"/>
              </w:rPr>
              <w:t>Number of responses per respondent</w:t>
            </w:r>
          </w:p>
        </w:tc>
        <w:tc>
          <w:tcPr>
            <w:tcW w:w="626" w:type="pct"/>
            <w:tcBorders>
              <w:top w:val="single" w:sz="12" w:space="0" w:color="auto"/>
              <w:left w:val="single" w:sz="4" w:space="0" w:color="auto"/>
              <w:bottom w:val="single" w:sz="4" w:space="0" w:color="auto"/>
              <w:right w:val="single" w:sz="4" w:space="0" w:color="auto"/>
            </w:tcBorders>
            <w:shd w:val="clear" w:color="auto" w:fill="auto"/>
            <w:vAlign w:val="bottom"/>
          </w:tcPr>
          <w:p w:rsidR="007D3433" w:rsidRPr="00930B62" w:rsidRDefault="007D3433" w:rsidP="007D3433">
            <w:pPr>
              <w:pStyle w:val="TableHeaderCenter"/>
              <w:rPr>
                <w:rFonts w:ascii="Arial" w:hAnsi="Arial" w:cs="Arial"/>
                <w:szCs w:val="18"/>
                <w:highlight w:val="yellow"/>
              </w:rPr>
            </w:pPr>
            <w:r w:rsidRPr="00930B62">
              <w:rPr>
                <w:rFonts w:ascii="Arial" w:hAnsi="Arial" w:cs="Arial"/>
                <w:szCs w:val="18"/>
                <w:highlight w:val="yellow"/>
              </w:rPr>
              <w:t>Hours per response</w:t>
            </w:r>
          </w:p>
        </w:tc>
        <w:tc>
          <w:tcPr>
            <w:tcW w:w="626" w:type="pct"/>
            <w:tcBorders>
              <w:top w:val="single" w:sz="12" w:space="0" w:color="auto"/>
              <w:left w:val="single" w:sz="4" w:space="0" w:color="auto"/>
              <w:bottom w:val="single" w:sz="4" w:space="0" w:color="auto"/>
              <w:right w:val="single" w:sz="4" w:space="0" w:color="auto"/>
            </w:tcBorders>
            <w:vAlign w:val="bottom"/>
          </w:tcPr>
          <w:p w:rsidR="007D3433" w:rsidRPr="00930B62" w:rsidRDefault="007D3433" w:rsidP="007D3433">
            <w:pPr>
              <w:pStyle w:val="TableHeaderCenter"/>
              <w:rPr>
                <w:rFonts w:ascii="Arial" w:hAnsi="Arial" w:cs="Arial"/>
                <w:szCs w:val="18"/>
                <w:highlight w:val="yellow"/>
              </w:rPr>
            </w:pPr>
            <w:r w:rsidRPr="00930B62">
              <w:rPr>
                <w:rFonts w:ascii="Arial" w:hAnsi="Arial" w:cs="Arial"/>
                <w:szCs w:val="18"/>
                <w:highlight w:val="yellow"/>
              </w:rPr>
              <w:t>2012 burden hours</w:t>
            </w:r>
          </w:p>
        </w:tc>
        <w:tc>
          <w:tcPr>
            <w:tcW w:w="626" w:type="pct"/>
            <w:tcBorders>
              <w:top w:val="single" w:sz="12" w:space="0" w:color="auto"/>
              <w:left w:val="single" w:sz="4" w:space="0" w:color="auto"/>
              <w:bottom w:val="single" w:sz="4" w:space="0" w:color="auto"/>
              <w:right w:val="single" w:sz="4" w:space="0" w:color="auto"/>
            </w:tcBorders>
            <w:vAlign w:val="bottom"/>
          </w:tcPr>
          <w:p w:rsidR="007D3433" w:rsidRPr="00930B62" w:rsidRDefault="007D3433" w:rsidP="007D3433">
            <w:pPr>
              <w:pStyle w:val="TableHeaderCenter"/>
              <w:rPr>
                <w:rFonts w:ascii="Arial" w:hAnsi="Arial" w:cs="Arial"/>
                <w:szCs w:val="18"/>
                <w:highlight w:val="yellow"/>
              </w:rPr>
            </w:pPr>
            <w:r w:rsidRPr="00930B62">
              <w:rPr>
                <w:rFonts w:ascii="Arial" w:hAnsi="Arial" w:cs="Arial"/>
                <w:szCs w:val="18"/>
                <w:highlight w:val="yellow"/>
              </w:rPr>
              <w:t>2014 burden hours</w:t>
            </w:r>
          </w:p>
        </w:tc>
        <w:tc>
          <w:tcPr>
            <w:tcW w:w="626" w:type="pct"/>
            <w:tcBorders>
              <w:top w:val="single" w:sz="12" w:space="0" w:color="auto"/>
              <w:left w:val="single" w:sz="4" w:space="0" w:color="auto"/>
              <w:bottom w:val="single" w:sz="4" w:space="0" w:color="auto"/>
              <w:right w:val="single" w:sz="4" w:space="0" w:color="auto"/>
            </w:tcBorders>
            <w:vAlign w:val="bottom"/>
          </w:tcPr>
          <w:p w:rsidR="007D3433" w:rsidRPr="00930B62" w:rsidRDefault="007D3433" w:rsidP="007D3433">
            <w:pPr>
              <w:pStyle w:val="TableHeaderCenter"/>
              <w:rPr>
                <w:rFonts w:ascii="Arial" w:hAnsi="Arial" w:cs="Arial"/>
                <w:szCs w:val="18"/>
                <w:highlight w:val="yellow"/>
              </w:rPr>
            </w:pPr>
            <w:r w:rsidRPr="00930B62">
              <w:rPr>
                <w:rFonts w:ascii="Arial" w:hAnsi="Arial" w:cs="Arial"/>
                <w:szCs w:val="18"/>
                <w:highlight w:val="yellow"/>
              </w:rPr>
              <w:t>Total burden hours*</w:t>
            </w:r>
          </w:p>
        </w:tc>
      </w:tr>
      <w:tr w:rsidR="007D3433" w:rsidRPr="00AC5873" w:rsidTr="00311D91">
        <w:tc>
          <w:tcPr>
            <w:tcW w:w="1149" w:type="pct"/>
            <w:tcBorders>
              <w:top w:val="single" w:sz="4" w:space="0" w:color="auto"/>
              <w:left w:val="single" w:sz="4" w:space="0" w:color="auto"/>
              <w:bottom w:val="single" w:sz="4" w:space="0" w:color="auto"/>
              <w:right w:val="single" w:sz="4" w:space="0" w:color="auto"/>
            </w:tcBorders>
            <w:shd w:val="clear" w:color="auto" w:fill="auto"/>
            <w:vAlign w:val="center"/>
          </w:tcPr>
          <w:p w:rsidR="007D3433" w:rsidRPr="00930B62" w:rsidRDefault="007D3433" w:rsidP="004B69B0">
            <w:pPr>
              <w:pStyle w:val="TableText"/>
              <w:rPr>
                <w:rFonts w:ascii="Arial" w:hAnsi="Arial" w:cs="Arial"/>
                <w:szCs w:val="18"/>
                <w:highlight w:val="yellow"/>
              </w:rPr>
            </w:pPr>
            <w:r w:rsidRPr="00930B62">
              <w:rPr>
                <w:rFonts w:ascii="Arial" w:hAnsi="Arial" w:cs="Arial"/>
                <w:szCs w:val="18"/>
                <w:highlight w:val="yellow"/>
              </w:rPr>
              <w:t>Key  Staff Interviews</w:t>
            </w:r>
          </w:p>
        </w:tc>
        <w:tc>
          <w:tcPr>
            <w:tcW w:w="719" w:type="pct"/>
            <w:tcBorders>
              <w:top w:val="single" w:sz="4" w:space="0" w:color="auto"/>
              <w:left w:val="single" w:sz="4" w:space="0" w:color="auto"/>
              <w:bottom w:val="single" w:sz="4" w:space="0" w:color="auto"/>
              <w:right w:val="single" w:sz="4" w:space="0" w:color="auto"/>
            </w:tcBorders>
            <w:shd w:val="clear" w:color="auto" w:fill="auto"/>
            <w:vAlign w:val="bottom"/>
          </w:tcPr>
          <w:p w:rsidR="007D3433" w:rsidRPr="00930B62" w:rsidRDefault="007D3433" w:rsidP="00311D91">
            <w:pPr>
              <w:pStyle w:val="TableText"/>
              <w:jc w:val="right"/>
              <w:rPr>
                <w:rFonts w:ascii="Arial" w:hAnsi="Arial" w:cs="Arial"/>
                <w:szCs w:val="18"/>
                <w:highlight w:val="yellow"/>
              </w:rPr>
            </w:pPr>
            <w:r w:rsidRPr="00930B62">
              <w:rPr>
                <w:rFonts w:ascii="Arial" w:hAnsi="Arial" w:cs="Arial"/>
                <w:szCs w:val="18"/>
                <w:highlight w:val="yellow"/>
              </w:rPr>
              <w:t>72</w:t>
            </w:r>
          </w:p>
        </w:tc>
        <w:tc>
          <w:tcPr>
            <w:tcW w:w="628" w:type="pct"/>
            <w:tcBorders>
              <w:top w:val="single" w:sz="4" w:space="0" w:color="auto"/>
              <w:left w:val="single" w:sz="4" w:space="0" w:color="auto"/>
              <w:bottom w:val="single" w:sz="4" w:space="0" w:color="auto"/>
              <w:right w:val="single" w:sz="4" w:space="0" w:color="auto"/>
            </w:tcBorders>
            <w:shd w:val="clear" w:color="auto" w:fill="auto"/>
            <w:vAlign w:val="bottom"/>
          </w:tcPr>
          <w:p w:rsidR="007D3433" w:rsidRPr="00930B62" w:rsidRDefault="007D3433" w:rsidP="00311D91">
            <w:pPr>
              <w:pStyle w:val="TableText"/>
              <w:jc w:val="right"/>
              <w:rPr>
                <w:rFonts w:ascii="Arial" w:hAnsi="Arial" w:cs="Arial"/>
                <w:szCs w:val="18"/>
                <w:highlight w:val="yellow"/>
              </w:rPr>
            </w:pPr>
            <w:r w:rsidRPr="00930B62">
              <w:rPr>
                <w:rFonts w:ascii="Arial" w:hAnsi="Arial" w:cs="Arial"/>
                <w:szCs w:val="18"/>
                <w:highlight w:val="yellow"/>
              </w:rPr>
              <w:t>2</w:t>
            </w:r>
          </w:p>
        </w:tc>
        <w:tc>
          <w:tcPr>
            <w:tcW w:w="626" w:type="pct"/>
            <w:tcBorders>
              <w:top w:val="single" w:sz="4" w:space="0" w:color="auto"/>
              <w:left w:val="single" w:sz="4" w:space="0" w:color="auto"/>
              <w:bottom w:val="single" w:sz="4" w:space="0" w:color="auto"/>
              <w:right w:val="single" w:sz="4" w:space="0" w:color="auto"/>
            </w:tcBorders>
            <w:shd w:val="clear" w:color="auto" w:fill="auto"/>
            <w:vAlign w:val="bottom"/>
          </w:tcPr>
          <w:p w:rsidR="007D3433" w:rsidRPr="00930B62" w:rsidRDefault="007D3433" w:rsidP="00311D91">
            <w:pPr>
              <w:pStyle w:val="TableText"/>
              <w:tabs>
                <w:tab w:val="decimal" w:pos="585"/>
              </w:tabs>
              <w:jc w:val="right"/>
              <w:rPr>
                <w:rFonts w:ascii="Arial" w:hAnsi="Arial" w:cs="Arial"/>
                <w:szCs w:val="18"/>
                <w:highlight w:val="yellow"/>
              </w:rPr>
            </w:pPr>
            <w:r w:rsidRPr="00930B62">
              <w:rPr>
                <w:rFonts w:ascii="Arial" w:hAnsi="Arial" w:cs="Arial"/>
                <w:szCs w:val="18"/>
                <w:highlight w:val="yellow"/>
              </w:rPr>
              <w:t>1.5</w:t>
            </w:r>
          </w:p>
        </w:tc>
        <w:tc>
          <w:tcPr>
            <w:tcW w:w="626" w:type="pct"/>
            <w:tcBorders>
              <w:top w:val="single" w:sz="4" w:space="0" w:color="auto"/>
              <w:left w:val="single" w:sz="4" w:space="0" w:color="auto"/>
              <w:bottom w:val="single" w:sz="4" w:space="0" w:color="auto"/>
              <w:right w:val="single" w:sz="4" w:space="0" w:color="auto"/>
            </w:tcBorders>
            <w:vAlign w:val="bottom"/>
          </w:tcPr>
          <w:p w:rsidR="007D3433" w:rsidRPr="00930B62" w:rsidRDefault="007D3433" w:rsidP="00311D91">
            <w:pPr>
              <w:pStyle w:val="TableText"/>
              <w:jc w:val="right"/>
              <w:rPr>
                <w:rFonts w:ascii="Arial" w:hAnsi="Arial" w:cs="Arial"/>
                <w:color w:val="000000"/>
                <w:szCs w:val="18"/>
                <w:highlight w:val="yellow"/>
              </w:rPr>
            </w:pPr>
            <w:r w:rsidRPr="00930B62">
              <w:rPr>
                <w:rFonts w:ascii="Arial" w:hAnsi="Arial" w:cs="Arial"/>
                <w:color w:val="000000"/>
                <w:szCs w:val="18"/>
                <w:highlight w:val="yellow"/>
              </w:rPr>
              <w:t>108</w:t>
            </w:r>
          </w:p>
        </w:tc>
        <w:tc>
          <w:tcPr>
            <w:tcW w:w="626" w:type="pct"/>
            <w:tcBorders>
              <w:top w:val="single" w:sz="4" w:space="0" w:color="auto"/>
              <w:left w:val="single" w:sz="4" w:space="0" w:color="auto"/>
              <w:bottom w:val="single" w:sz="4" w:space="0" w:color="auto"/>
              <w:right w:val="single" w:sz="4" w:space="0" w:color="auto"/>
            </w:tcBorders>
            <w:vAlign w:val="bottom"/>
          </w:tcPr>
          <w:p w:rsidR="007D3433" w:rsidRPr="00930B62" w:rsidRDefault="007D3433" w:rsidP="00311D91">
            <w:pPr>
              <w:pStyle w:val="TableText"/>
              <w:jc w:val="right"/>
              <w:rPr>
                <w:rFonts w:ascii="Arial" w:hAnsi="Arial" w:cs="Arial"/>
                <w:color w:val="000000"/>
                <w:szCs w:val="18"/>
                <w:highlight w:val="yellow"/>
              </w:rPr>
            </w:pPr>
            <w:r w:rsidRPr="00930B62">
              <w:rPr>
                <w:rFonts w:ascii="Arial" w:hAnsi="Arial" w:cs="Arial"/>
                <w:color w:val="000000"/>
                <w:szCs w:val="18"/>
                <w:highlight w:val="yellow"/>
              </w:rPr>
              <w:t>108</w:t>
            </w:r>
          </w:p>
        </w:tc>
        <w:tc>
          <w:tcPr>
            <w:tcW w:w="626" w:type="pct"/>
            <w:tcBorders>
              <w:top w:val="single" w:sz="4" w:space="0" w:color="auto"/>
              <w:left w:val="single" w:sz="4" w:space="0" w:color="auto"/>
              <w:bottom w:val="single" w:sz="4" w:space="0" w:color="auto"/>
              <w:right w:val="single" w:sz="4" w:space="0" w:color="auto"/>
            </w:tcBorders>
            <w:vAlign w:val="bottom"/>
          </w:tcPr>
          <w:p w:rsidR="007D3433" w:rsidRPr="00930B62" w:rsidRDefault="007D3433" w:rsidP="00311D91">
            <w:pPr>
              <w:pStyle w:val="TableText"/>
              <w:jc w:val="right"/>
              <w:rPr>
                <w:rFonts w:ascii="Arial" w:hAnsi="Arial" w:cs="Arial"/>
                <w:szCs w:val="18"/>
                <w:highlight w:val="yellow"/>
              </w:rPr>
            </w:pPr>
            <w:r w:rsidRPr="00930B62">
              <w:rPr>
                <w:rFonts w:ascii="Arial" w:hAnsi="Arial" w:cs="Arial"/>
                <w:color w:val="000000"/>
                <w:szCs w:val="18"/>
                <w:highlight w:val="yellow"/>
              </w:rPr>
              <w:t>216</w:t>
            </w:r>
          </w:p>
        </w:tc>
      </w:tr>
      <w:tr w:rsidR="007D3433" w:rsidRPr="00AC5873" w:rsidTr="00311D91">
        <w:tc>
          <w:tcPr>
            <w:tcW w:w="1149" w:type="pct"/>
            <w:tcBorders>
              <w:top w:val="single" w:sz="4" w:space="0" w:color="auto"/>
              <w:left w:val="single" w:sz="4" w:space="0" w:color="auto"/>
              <w:bottom w:val="single" w:sz="4" w:space="0" w:color="auto"/>
              <w:right w:val="single" w:sz="4" w:space="0" w:color="auto"/>
            </w:tcBorders>
            <w:shd w:val="clear" w:color="auto" w:fill="auto"/>
          </w:tcPr>
          <w:p w:rsidR="007D3433" w:rsidRPr="00930B62" w:rsidRDefault="007D3433" w:rsidP="004B69B0">
            <w:pPr>
              <w:pStyle w:val="TableText"/>
              <w:rPr>
                <w:rFonts w:ascii="Arial" w:hAnsi="Arial" w:cs="Arial"/>
                <w:szCs w:val="18"/>
                <w:highlight w:val="yellow"/>
              </w:rPr>
            </w:pPr>
            <w:r w:rsidRPr="00930B62">
              <w:rPr>
                <w:rFonts w:ascii="Arial" w:hAnsi="Arial" w:cs="Arial"/>
                <w:szCs w:val="18"/>
                <w:highlight w:val="yellow"/>
              </w:rPr>
              <w:t xml:space="preserve">Implementation Staff Interviews </w:t>
            </w:r>
          </w:p>
        </w:tc>
        <w:tc>
          <w:tcPr>
            <w:tcW w:w="719" w:type="pct"/>
            <w:tcBorders>
              <w:top w:val="single" w:sz="4" w:space="0" w:color="auto"/>
              <w:left w:val="single" w:sz="4" w:space="0" w:color="auto"/>
              <w:bottom w:val="single" w:sz="4" w:space="0" w:color="auto"/>
              <w:right w:val="single" w:sz="4" w:space="0" w:color="auto"/>
            </w:tcBorders>
            <w:shd w:val="clear" w:color="auto" w:fill="auto"/>
            <w:vAlign w:val="bottom"/>
          </w:tcPr>
          <w:p w:rsidR="007D3433" w:rsidRPr="00930B62" w:rsidRDefault="007D3433" w:rsidP="00311D91">
            <w:pPr>
              <w:pStyle w:val="TableText"/>
              <w:jc w:val="right"/>
              <w:rPr>
                <w:rFonts w:ascii="Arial" w:hAnsi="Arial" w:cs="Arial"/>
                <w:szCs w:val="18"/>
                <w:highlight w:val="yellow"/>
              </w:rPr>
            </w:pPr>
            <w:r w:rsidRPr="00930B62">
              <w:rPr>
                <w:rFonts w:ascii="Arial" w:hAnsi="Arial" w:cs="Arial"/>
                <w:szCs w:val="18"/>
                <w:highlight w:val="yellow"/>
              </w:rPr>
              <w:t>288</w:t>
            </w:r>
          </w:p>
        </w:tc>
        <w:tc>
          <w:tcPr>
            <w:tcW w:w="628" w:type="pct"/>
            <w:tcBorders>
              <w:top w:val="single" w:sz="4" w:space="0" w:color="auto"/>
              <w:left w:val="single" w:sz="4" w:space="0" w:color="auto"/>
              <w:bottom w:val="single" w:sz="4" w:space="0" w:color="auto"/>
              <w:right w:val="single" w:sz="4" w:space="0" w:color="auto"/>
            </w:tcBorders>
            <w:shd w:val="clear" w:color="auto" w:fill="auto"/>
            <w:vAlign w:val="bottom"/>
          </w:tcPr>
          <w:p w:rsidR="007D3433" w:rsidRPr="00930B62" w:rsidRDefault="007D3433" w:rsidP="00311D91">
            <w:pPr>
              <w:pStyle w:val="TableText"/>
              <w:jc w:val="right"/>
              <w:rPr>
                <w:rFonts w:ascii="Arial" w:hAnsi="Arial" w:cs="Arial"/>
                <w:szCs w:val="18"/>
                <w:highlight w:val="yellow"/>
              </w:rPr>
            </w:pPr>
            <w:r w:rsidRPr="00930B62">
              <w:rPr>
                <w:rFonts w:ascii="Arial" w:hAnsi="Arial" w:cs="Arial"/>
                <w:szCs w:val="18"/>
                <w:highlight w:val="yellow"/>
              </w:rPr>
              <w:t>2</w:t>
            </w:r>
          </w:p>
        </w:tc>
        <w:tc>
          <w:tcPr>
            <w:tcW w:w="626" w:type="pct"/>
            <w:tcBorders>
              <w:top w:val="single" w:sz="4" w:space="0" w:color="auto"/>
              <w:left w:val="single" w:sz="4" w:space="0" w:color="auto"/>
              <w:bottom w:val="single" w:sz="4" w:space="0" w:color="auto"/>
              <w:right w:val="single" w:sz="4" w:space="0" w:color="auto"/>
            </w:tcBorders>
            <w:shd w:val="clear" w:color="auto" w:fill="auto"/>
            <w:vAlign w:val="bottom"/>
          </w:tcPr>
          <w:p w:rsidR="007D3433" w:rsidRPr="00930B62" w:rsidRDefault="007D3433" w:rsidP="00311D91">
            <w:pPr>
              <w:pStyle w:val="TableText"/>
              <w:tabs>
                <w:tab w:val="decimal" w:pos="585"/>
              </w:tabs>
              <w:jc w:val="right"/>
              <w:rPr>
                <w:rFonts w:ascii="Arial" w:hAnsi="Arial" w:cs="Arial"/>
                <w:szCs w:val="18"/>
                <w:highlight w:val="yellow"/>
              </w:rPr>
            </w:pPr>
            <w:r w:rsidRPr="00930B62">
              <w:rPr>
                <w:rFonts w:ascii="Arial" w:hAnsi="Arial" w:cs="Arial"/>
                <w:szCs w:val="18"/>
                <w:highlight w:val="yellow"/>
              </w:rPr>
              <w:t>1</w:t>
            </w:r>
          </w:p>
        </w:tc>
        <w:tc>
          <w:tcPr>
            <w:tcW w:w="626" w:type="pct"/>
            <w:tcBorders>
              <w:top w:val="single" w:sz="4" w:space="0" w:color="auto"/>
              <w:left w:val="single" w:sz="4" w:space="0" w:color="auto"/>
              <w:bottom w:val="single" w:sz="4" w:space="0" w:color="auto"/>
              <w:right w:val="single" w:sz="4" w:space="0" w:color="auto"/>
            </w:tcBorders>
            <w:vAlign w:val="bottom"/>
          </w:tcPr>
          <w:p w:rsidR="007D3433" w:rsidRPr="00930B62" w:rsidRDefault="007D3433" w:rsidP="00311D91">
            <w:pPr>
              <w:pStyle w:val="TableText"/>
              <w:jc w:val="right"/>
              <w:rPr>
                <w:rFonts w:ascii="Arial" w:hAnsi="Arial" w:cs="Arial"/>
                <w:color w:val="000000"/>
                <w:szCs w:val="18"/>
                <w:highlight w:val="yellow"/>
              </w:rPr>
            </w:pPr>
            <w:r w:rsidRPr="00930B62">
              <w:rPr>
                <w:rFonts w:ascii="Arial" w:hAnsi="Arial" w:cs="Arial"/>
                <w:color w:val="000000"/>
                <w:szCs w:val="18"/>
                <w:highlight w:val="yellow"/>
              </w:rPr>
              <w:t>288</w:t>
            </w:r>
          </w:p>
        </w:tc>
        <w:tc>
          <w:tcPr>
            <w:tcW w:w="626" w:type="pct"/>
            <w:tcBorders>
              <w:top w:val="single" w:sz="4" w:space="0" w:color="auto"/>
              <w:left w:val="single" w:sz="4" w:space="0" w:color="auto"/>
              <w:bottom w:val="single" w:sz="4" w:space="0" w:color="auto"/>
              <w:right w:val="single" w:sz="4" w:space="0" w:color="auto"/>
            </w:tcBorders>
            <w:vAlign w:val="bottom"/>
          </w:tcPr>
          <w:p w:rsidR="007D3433" w:rsidRPr="00930B62" w:rsidRDefault="007D3433" w:rsidP="00311D91">
            <w:pPr>
              <w:pStyle w:val="TableText"/>
              <w:jc w:val="right"/>
              <w:rPr>
                <w:rFonts w:ascii="Arial" w:hAnsi="Arial" w:cs="Arial"/>
                <w:color w:val="000000"/>
                <w:szCs w:val="18"/>
                <w:highlight w:val="yellow"/>
              </w:rPr>
            </w:pPr>
            <w:r w:rsidRPr="00930B62">
              <w:rPr>
                <w:rFonts w:ascii="Arial" w:hAnsi="Arial" w:cs="Arial"/>
                <w:color w:val="000000"/>
                <w:szCs w:val="18"/>
                <w:highlight w:val="yellow"/>
              </w:rPr>
              <w:t>288</w:t>
            </w:r>
          </w:p>
        </w:tc>
        <w:tc>
          <w:tcPr>
            <w:tcW w:w="626" w:type="pct"/>
            <w:tcBorders>
              <w:top w:val="single" w:sz="4" w:space="0" w:color="auto"/>
              <w:left w:val="single" w:sz="4" w:space="0" w:color="auto"/>
              <w:bottom w:val="single" w:sz="4" w:space="0" w:color="auto"/>
              <w:right w:val="single" w:sz="4" w:space="0" w:color="auto"/>
            </w:tcBorders>
            <w:vAlign w:val="bottom"/>
          </w:tcPr>
          <w:p w:rsidR="007D3433" w:rsidRPr="00930B62" w:rsidRDefault="007D3433" w:rsidP="00311D91">
            <w:pPr>
              <w:pStyle w:val="TableText"/>
              <w:jc w:val="right"/>
              <w:rPr>
                <w:rFonts w:ascii="Arial" w:hAnsi="Arial" w:cs="Arial"/>
                <w:szCs w:val="18"/>
                <w:highlight w:val="yellow"/>
              </w:rPr>
            </w:pPr>
            <w:r w:rsidRPr="00930B62">
              <w:rPr>
                <w:rFonts w:ascii="Arial" w:hAnsi="Arial" w:cs="Arial"/>
                <w:color w:val="000000"/>
                <w:szCs w:val="18"/>
                <w:highlight w:val="yellow"/>
              </w:rPr>
              <w:t>576</w:t>
            </w:r>
          </w:p>
        </w:tc>
      </w:tr>
      <w:tr w:rsidR="007D3433" w:rsidRPr="00AC5873" w:rsidTr="00311D91">
        <w:tc>
          <w:tcPr>
            <w:tcW w:w="1149" w:type="pct"/>
            <w:tcBorders>
              <w:top w:val="single" w:sz="4" w:space="0" w:color="auto"/>
              <w:left w:val="single" w:sz="4" w:space="0" w:color="auto"/>
              <w:bottom w:val="single" w:sz="4" w:space="0" w:color="auto"/>
              <w:right w:val="single" w:sz="4" w:space="0" w:color="auto"/>
            </w:tcBorders>
            <w:shd w:val="clear" w:color="auto" w:fill="auto"/>
          </w:tcPr>
          <w:p w:rsidR="007D3433" w:rsidRPr="00930B62" w:rsidRDefault="007D3433" w:rsidP="004B69B0">
            <w:pPr>
              <w:pStyle w:val="TableText"/>
              <w:rPr>
                <w:rFonts w:ascii="Arial" w:hAnsi="Arial" w:cs="Arial"/>
                <w:szCs w:val="18"/>
                <w:highlight w:val="yellow"/>
              </w:rPr>
            </w:pPr>
            <w:r w:rsidRPr="00930B62">
              <w:rPr>
                <w:rFonts w:ascii="Arial" w:hAnsi="Arial" w:cs="Arial"/>
                <w:szCs w:val="18"/>
                <w:highlight w:val="yellow"/>
              </w:rPr>
              <w:t xml:space="preserve">Stakeholder Interviews </w:t>
            </w:r>
          </w:p>
        </w:tc>
        <w:tc>
          <w:tcPr>
            <w:tcW w:w="719" w:type="pct"/>
            <w:tcBorders>
              <w:top w:val="single" w:sz="4" w:space="0" w:color="auto"/>
              <w:left w:val="single" w:sz="4" w:space="0" w:color="auto"/>
              <w:bottom w:val="single" w:sz="4" w:space="0" w:color="auto"/>
              <w:right w:val="single" w:sz="4" w:space="0" w:color="auto"/>
            </w:tcBorders>
            <w:shd w:val="clear" w:color="auto" w:fill="auto"/>
            <w:vAlign w:val="bottom"/>
          </w:tcPr>
          <w:p w:rsidR="007D3433" w:rsidRPr="00930B62" w:rsidRDefault="007D3433" w:rsidP="00311D91">
            <w:pPr>
              <w:pStyle w:val="TableText"/>
              <w:jc w:val="right"/>
              <w:rPr>
                <w:rFonts w:ascii="Arial" w:hAnsi="Arial" w:cs="Arial"/>
                <w:szCs w:val="18"/>
                <w:highlight w:val="yellow"/>
              </w:rPr>
            </w:pPr>
            <w:r w:rsidRPr="00930B62">
              <w:rPr>
                <w:rFonts w:ascii="Arial" w:hAnsi="Arial" w:cs="Arial"/>
                <w:szCs w:val="18"/>
                <w:highlight w:val="yellow"/>
              </w:rPr>
              <w:t>144</w:t>
            </w:r>
          </w:p>
        </w:tc>
        <w:tc>
          <w:tcPr>
            <w:tcW w:w="628" w:type="pct"/>
            <w:tcBorders>
              <w:top w:val="single" w:sz="4" w:space="0" w:color="auto"/>
              <w:left w:val="single" w:sz="4" w:space="0" w:color="auto"/>
              <w:bottom w:val="single" w:sz="4" w:space="0" w:color="auto"/>
              <w:right w:val="single" w:sz="4" w:space="0" w:color="auto"/>
            </w:tcBorders>
            <w:shd w:val="clear" w:color="auto" w:fill="auto"/>
            <w:vAlign w:val="bottom"/>
          </w:tcPr>
          <w:p w:rsidR="007D3433" w:rsidRPr="00930B62" w:rsidRDefault="007D3433" w:rsidP="00311D91">
            <w:pPr>
              <w:pStyle w:val="TableText"/>
              <w:jc w:val="right"/>
              <w:rPr>
                <w:rFonts w:ascii="Arial" w:hAnsi="Arial" w:cs="Arial"/>
                <w:szCs w:val="18"/>
                <w:highlight w:val="yellow"/>
              </w:rPr>
            </w:pPr>
            <w:r w:rsidRPr="00930B62">
              <w:rPr>
                <w:rFonts w:ascii="Arial" w:hAnsi="Arial" w:cs="Arial"/>
                <w:szCs w:val="18"/>
                <w:highlight w:val="yellow"/>
              </w:rPr>
              <w:t>2</w:t>
            </w:r>
          </w:p>
        </w:tc>
        <w:tc>
          <w:tcPr>
            <w:tcW w:w="626" w:type="pct"/>
            <w:tcBorders>
              <w:top w:val="single" w:sz="4" w:space="0" w:color="auto"/>
              <w:left w:val="single" w:sz="4" w:space="0" w:color="auto"/>
              <w:bottom w:val="single" w:sz="4" w:space="0" w:color="auto"/>
              <w:right w:val="single" w:sz="4" w:space="0" w:color="auto"/>
            </w:tcBorders>
            <w:shd w:val="clear" w:color="auto" w:fill="auto"/>
            <w:vAlign w:val="bottom"/>
          </w:tcPr>
          <w:p w:rsidR="007D3433" w:rsidRPr="00930B62" w:rsidRDefault="007D3433" w:rsidP="00311D91">
            <w:pPr>
              <w:pStyle w:val="TableText"/>
              <w:tabs>
                <w:tab w:val="decimal" w:pos="585"/>
              </w:tabs>
              <w:jc w:val="right"/>
              <w:rPr>
                <w:rFonts w:ascii="Arial" w:hAnsi="Arial" w:cs="Arial"/>
                <w:szCs w:val="18"/>
                <w:highlight w:val="yellow"/>
              </w:rPr>
            </w:pPr>
            <w:r w:rsidRPr="00930B62">
              <w:rPr>
                <w:rFonts w:ascii="Arial" w:hAnsi="Arial" w:cs="Arial"/>
                <w:szCs w:val="18"/>
                <w:highlight w:val="yellow"/>
              </w:rPr>
              <w:t>1</w:t>
            </w:r>
          </w:p>
        </w:tc>
        <w:tc>
          <w:tcPr>
            <w:tcW w:w="626" w:type="pct"/>
            <w:tcBorders>
              <w:top w:val="single" w:sz="4" w:space="0" w:color="auto"/>
              <w:left w:val="single" w:sz="4" w:space="0" w:color="auto"/>
              <w:bottom w:val="single" w:sz="4" w:space="0" w:color="auto"/>
              <w:right w:val="single" w:sz="4" w:space="0" w:color="auto"/>
            </w:tcBorders>
            <w:vAlign w:val="bottom"/>
          </w:tcPr>
          <w:p w:rsidR="007D3433" w:rsidRPr="00930B62" w:rsidRDefault="007D3433" w:rsidP="00311D91">
            <w:pPr>
              <w:pStyle w:val="TableText"/>
              <w:jc w:val="right"/>
              <w:rPr>
                <w:rFonts w:ascii="Arial" w:hAnsi="Arial" w:cs="Arial"/>
                <w:color w:val="000000"/>
                <w:szCs w:val="18"/>
                <w:highlight w:val="yellow"/>
              </w:rPr>
            </w:pPr>
            <w:r w:rsidRPr="00930B62">
              <w:rPr>
                <w:rFonts w:ascii="Arial" w:hAnsi="Arial" w:cs="Arial"/>
                <w:color w:val="000000"/>
                <w:szCs w:val="18"/>
                <w:highlight w:val="yellow"/>
              </w:rPr>
              <w:t>144</w:t>
            </w:r>
          </w:p>
        </w:tc>
        <w:tc>
          <w:tcPr>
            <w:tcW w:w="626" w:type="pct"/>
            <w:tcBorders>
              <w:top w:val="single" w:sz="4" w:space="0" w:color="auto"/>
              <w:left w:val="single" w:sz="4" w:space="0" w:color="auto"/>
              <w:bottom w:val="single" w:sz="4" w:space="0" w:color="auto"/>
              <w:right w:val="single" w:sz="4" w:space="0" w:color="auto"/>
            </w:tcBorders>
            <w:vAlign w:val="bottom"/>
          </w:tcPr>
          <w:p w:rsidR="007D3433" w:rsidRPr="00930B62" w:rsidRDefault="007D3433" w:rsidP="00311D91">
            <w:pPr>
              <w:pStyle w:val="TableText"/>
              <w:jc w:val="right"/>
              <w:rPr>
                <w:rFonts w:ascii="Arial" w:hAnsi="Arial" w:cs="Arial"/>
                <w:color w:val="000000"/>
                <w:szCs w:val="18"/>
                <w:highlight w:val="yellow"/>
              </w:rPr>
            </w:pPr>
            <w:r w:rsidRPr="00930B62">
              <w:rPr>
                <w:rFonts w:ascii="Arial" w:hAnsi="Arial" w:cs="Arial"/>
                <w:color w:val="000000"/>
                <w:szCs w:val="18"/>
                <w:highlight w:val="yellow"/>
              </w:rPr>
              <w:t>144</w:t>
            </w:r>
          </w:p>
        </w:tc>
        <w:tc>
          <w:tcPr>
            <w:tcW w:w="626" w:type="pct"/>
            <w:tcBorders>
              <w:top w:val="single" w:sz="4" w:space="0" w:color="auto"/>
              <w:left w:val="single" w:sz="4" w:space="0" w:color="auto"/>
              <w:bottom w:val="single" w:sz="4" w:space="0" w:color="auto"/>
              <w:right w:val="single" w:sz="4" w:space="0" w:color="auto"/>
            </w:tcBorders>
            <w:vAlign w:val="bottom"/>
          </w:tcPr>
          <w:p w:rsidR="007D3433" w:rsidRPr="00930B62" w:rsidRDefault="007D3433" w:rsidP="00311D91">
            <w:pPr>
              <w:pStyle w:val="TableText"/>
              <w:jc w:val="right"/>
              <w:rPr>
                <w:rFonts w:ascii="Arial" w:hAnsi="Arial" w:cs="Arial"/>
                <w:szCs w:val="18"/>
                <w:highlight w:val="yellow"/>
              </w:rPr>
            </w:pPr>
            <w:r w:rsidRPr="00930B62">
              <w:rPr>
                <w:rFonts w:ascii="Arial" w:hAnsi="Arial" w:cs="Arial"/>
                <w:color w:val="000000"/>
                <w:szCs w:val="18"/>
                <w:highlight w:val="yellow"/>
              </w:rPr>
              <w:t>288</w:t>
            </w:r>
          </w:p>
        </w:tc>
      </w:tr>
      <w:tr w:rsidR="007D3433" w:rsidRPr="00AC5873" w:rsidTr="00311D91">
        <w:tc>
          <w:tcPr>
            <w:tcW w:w="1149" w:type="pct"/>
            <w:tcBorders>
              <w:top w:val="single" w:sz="4" w:space="0" w:color="auto"/>
              <w:left w:val="single" w:sz="4" w:space="0" w:color="auto"/>
              <w:bottom w:val="single" w:sz="4" w:space="0" w:color="auto"/>
              <w:right w:val="single" w:sz="4" w:space="0" w:color="auto"/>
            </w:tcBorders>
            <w:shd w:val="clear" w:color="auto" w:fill="auto"/>
          </w:tcPr>
          <w:p w:rsidR="007D3433" w:rsidRPr="00930B62" w:rsidRDefault="007D3433" w:rsidP="004B69B0">
            <w:pPr>
              <w:pStyle w:val="TableText"/>
              <w:rPr>
                <w:rFonts w:ascii="Arial" w:hAnsi="Arial" w:cs="Arial"/>
                <w:szCs w:val="18"/>
                <w:highlight w:val="yellow"/>
              </w:rPr>
            </w:pPr>
            <w:r w:rsidRPr="00930B62">
              <w:rPr>
                <w:rFonts w:ascii="Arial" w:hAnsi="Arial" w:cs="Arial"/>
                <w:szCs w:val="18"/>
                <w:highlight w:val="yellow"/>
              </w:rPr>
              <w:t>Health Care Provider Interviews</w:t>
            </w:r>
          </w:p>
        </w:tc>
        <w:tc>
          <w:tcPr>
            <w:tcW w:w="719" w:type="pct"/>
            <w:tcBorders>
              <w:top w:val="single" w:sz="4" w:space="0" w:color="auto"/>
              <w:left w:val="single" w:sz="4" w:space="0" w:color="auto"/>
              <w:bottom w:val="single" w:sz="4" w:space="0" w:color="auto"/>
              <w:right w:val="single" w:sz="4" w:space="0" w:color="auto"/>
            </w:tcBorders>
            <w:shd w:val="clear" w:color="auto" w:fill="auto"/>
            <w:vAlign w:val="bottom"/>
          </w:tcPr>
          <w:p w:rsidR="007D3433" w:rsidRPr="00930B62" w:rsidRDefault="007D3433" w:rsidP="00311D91">
            <w:pPr>
              <w:pStyle w:val="TableText"/>
              <w:jc w:val="right"/>
              <w:rPr>
                <w:rFonts w:ascii="Arial" w:hAnsi="Arial" w:cs="Arial"/>
                <w:szCs w:val="18"/>
                <w:highlight w:val="yellow"/>
              </w:rPr>
            </w:pPr>
            <w:r w:rsidRPr="00930B62">
              <w:rPr>
                <w:rFonts w:ascii="Arial" w:hAnsi="Arial" w:cs="Arial"/>
                <w:szCs w:val="18"/>
                <w:highlight w:val="yellow"/>
              </w:rPr>
              <w:t>216</w:t>
            </w:r>
          </w:p>
        </w:tc>
        <w:tc>
          <w:tcPr>
            <w:tcW w:w="628" w:type="pct"/>
            <w:tcBorders>
              <w:top w:val="single" w:sz="4" w:space="0" w:color="auto"/>
              <w:left w:val="single" w:sz="4" w:space="0" w:color="auto"/>
              <w:bottom w:val="single" w:sz="4" w:space="0" w:color="auto"/>
              <w:right w:val="single" w:sz="4" w:space="0" w:color="auto"/>
            </w:tcBorders>
            <w:shd w:val="clear" w:color="auto" w:fill="auto"/>
            <w:vAlign w:val="bottom"/>
          </w:tcPr>
          <w:p w:rsidR="007D3433" w:rsidRPr="00930B62" w:rsidRDefault="007D3433" w:rsidP="00311D91">
            <w:pPr>
              <w:pStyle w:val="TableText"/>
              <w:jc w:val="right"/>
              <w:rPr>
                <w:rFonts w:ascii="Arial" w:hAnsi="Arial" w:cs="Arial"/>
                <w:szCs w:val="18"/>
                <w:highlight w:val="yellow"/>
              </w:rPr>
            </w:pPr>
            <w:r w:rsidRPr="00930B62">
              <w:rPr>
                <w:rFonts w:ascii="Arial" w:hAnsi="Arial" w:cs="Arial"/>
                <w:szCs w:val="18"/>
                <w:highlight w:val="yellow"/>
              </w:rPr>
              <w:t>2</w:t>
            </w:r>
          </w:p>
        </w:tc>
        <w:tc>
          <w:tcPr>
            <w:tcW w:w="626" w:type="pct"/>
            <w:tcBorders>
              <w:top w:val="single" w:sz="4" w:space="0" w:color="auto"/>
              <w:left w:val="single" w:sz="4" w:space="0" w:color="auto"/>
              <w:bottom w:val="single" w:sz="4" w:space="0" w:color="auto"/>
              <w:right w:val="single" w:sz="4" w:space="0" w:color="auto"/>
            </w:tcBorders>
            <w:shd w:val="clear" w:color="auto" w:fill="auto"/>
            <w:vAlign w:val="bottom"/>
          </w:tcPr>
          <w:p w:rsidR="007D3433" w:rsidRPr="00930B62" w:rsidRDefault="007D3433" w:rsidP="00311D91">
            <w:pPr>
              <w:pStyle w:val="TableText"/>
              <w:tabs>
                <w:tab w:val="decimal" w:pos="585"/>
              </w:tabs>
              <w:jc w:val="right"/>
              <w:rPr>
                <w:rFonts w:ascii="Arial" w:hAnsi="Arial" w:cs="Arial"/>
                <w:szCs w:val="18"/>
                <w:highlight w:val="yellow"/>
              </w:rPr>
            </w:pPr>
            <w:r w:rsidRPr="00930B62">
              <w:rPr>
                <w:rFonts w:ascii="Arial" w:hAnsi="Arial" w:cs="Arial"/>
                <w:szCs w:val="18"/>
                <w:highlight w:val="yellow"/>
              </w:rPr>
              <w:t>45/60</w:t>
            </w:r>
          </w:p>
        </w:tc>
        <w:tc>
          <w:tcPr>
            <w:tcW w:w="626" w:type="pct"/>
            <w:tcBorders>
              <w:top w:val="single" w:sz="4" w:space="0" w:color="auto"/>
              <w:left w:val="single" w:sz="4" w:space="0" w:color="auto"/>
              <w:bottom w:val="single" w:sz="4" w:space="0" w:color="auto"/>
              <w:right w:val="single" w:sz="4" w:space="0" w:color="auto"/>
            </w:tcBorders>
            <w:vAlign w:val="bottom"/>
          </w:tcPr>
          <w:p w:rsidR="007D3433" w:rsidRPr="00930B62" w:rsidRDefault="007D3433" w:rsidP="00311D91">
            <w:pPr>
              <w:pStyle w:val="TableText"/>
              <w:jc w:val="right"/>
              <w:rPr>
                <w:rFonts w:ascii="Arial" w:hAnsi="Arial" w:cs="Arial"/>
                <w:color w:val="000000"/>
                <w:szCs w:val="18"/>
                <w:highlight w:val="yellow"/>
              </w:rPr>
            </w:pPr>
            <w:r w:rsidRPr="00930B62">
              <w:rPr>
                <w:rFonts w:ascii="Arial" w:hAnsi="Arial" w:cs="Arial"/>
                <w:szCs w:val="18"/>
                <w:highlight w:val="yellow"/>
              </w:rPr>
              <w:t>162</w:t>
            </w:r>
          </w:p>
        </w:tc>
        <w:tc>
          <w:tcPr>
            <w:tcW w:w="626" w:type="pct"/>
            <w:tcBorders>
              <w:top w:val="single" w:sz="4" w:space="0" w:color="auto"/>
              <w:left w:val="single" w:sz="4" w:space="0" w:color="auto"/>
              <w:bottom w:val="single" w:sz="4" w:space="0" w:color="auto"/>
              <w:right w:val="single" w:sz="4" w:space="0" w:color="auto"/>
            </w:tcBorders>
            <w:vAlign w:val="bottom"/>
          </w:tcPr>
          <w:p w:rsidR="007D3433" w:rsidRPr="00930B62" w:rsidRDefault="007D3433" w:rsidP="00311D91">
            <w:pPr>
              <w:pStyle w:val="TableText"/>
              <w:jc w:val="right"/>
              <w:rPr>
                <w:rFonts w:ascii="Arial" w:hAnsi="Arial" w:cs="Arial"/>
                <w:color w:val="000000"/>
                <w:szCs w:val="18"/>
                <w:highlight w:val="yellow"/>
              </w:rPr>
            </w:pPr>
            <w:r w:rsidRPr="00930B62">
              <w:rPr>
                <w:rFonts w:ascii="Arial" w:hAnsi="Arial" w:cs="Arial"/>
                <w:szCs w:val="18"/>
                <w:highlight w:val="yellow"/>
              </w:rPr>
              <w:t>162</w:t>
            </w:r>
          </w:p>
        </w:tc>
        <w:tc>
          <w:tcPr>
            <w:tcW w:w="626" w:type="pct"/>
            <w:tcBorders>
              <w:top w:val="single" w:sz="4" w:space="0" w:color="auto"/>
              <w:left w:val="single" w:sz="4" w:space="0" w:color="auto"/>
              <w:bottom w:val="single" w:sz="4" w:space="0" w:color="auto"/>
              <w:right w:val="single" w:sz="4" w:space="0" w:color="auto"/>
            </w:tcBorders>
            <w:vAlign w:val="bottom"/>
          </w:tcPr>
          <w:p w:rsidR="007D3433" w:rsidRPr="00930B62" w:rsidRDefault="007D3433" w:rsidP="00311D91">
            <w:pPr>
              <w:pStyle w:val="TableText"/>
              <w:jc w:val="right"/>
              <w:rPr>
                <w:rFonts w:ascii="Arial" w:hAnsi="Arial" w:cs="Arial"/>
                <w:szCs w:val="18"/>
                <w:highlight w:val="yellow"/>
              </w:rPr>
            </w:pPr>
            <w:r w:rsidRPr="00930B62">
              <w:rPr>
                <w:rFonts w:ascii="Arial" w:hAnsi="Arial" w:cs="Arial"/>
                <w:color w:val="000000"/>
                <w:szCs w:val="18"/>
                <w:highlight w:val="yellow"/>
              </w:rPr>
              <w:t>324</w:t>
            </w:r>
          </w:p>
        </w:tc>
      </w:tr>
      <w:tr w:rsidR="007D3433" w:rsidRPr="00AC5873" w:rsidTr="00311D91">
        <w:tc>
          <w:tcPr>
            <w:tcW w:w="1149" w:type="pct"/>
            <w:tcBorders>
              <w:top w:val="single" w:sz="4" w:space="0" w:color="auto"/>
              <w:left w:val="single" w:sz="4" w:space="0" w:color="auto"/>
              <w:bottom w:val="single" w:sz="4" w:space="0" w:color="auto"/>
              <w:right w:val="single" w:sz="4" w:space="0" w:color="auto"/>
            </w:tcBorders>
            <w:shd w:val="clear" w:color="auto" w:fill="auto"/>
            <w:vAlign w:val="center"/>
          </w:tcPr>
          <w:p w:rsidR="007D3433" w:rsidRPr="00930B62" w:rsidRDefault="007D3433" w:rsidP="004B69B0">
            <w:pPr>
              <w:pStyle w:val="TableText"/>
              <w:rPr>
                <w:rFonts w:ascii="Arial" w:hAnsi="Arial" w:cs="Arial"/>
                <w:szCs w:val="18"/>
                <w:highlight w:val="yellow"/>
              </w:rPr>
            </w:pPr>
            <w:r w:rsidRPr="00930B62">
              <w:rPr>
                <w:rFonts w:ascii="Arial" w:hAnsi="Arial" w:cs="Arial"/>
                <w:szCs w:val="18"/>
                <w:highlight w:val="yellow"/>
              </w:rPr>
              <w:t>Parent Focus Group Screener</w:t>
            </w:r>
          </w:p>
        </w:tc>
        <w:tc>
          <w:tcPr>
            <w:tcW w:w="719" w:type="pct"/>
            <w:tcBorders>
              <w:top w:val="single" w:sz="4" w:space="0" w:color="auto"/>
              <w:left w:val="single" w:sz="4" w:space="0" w:color="auto"/>
              <w:bottom w:val="single" w:sz="4" w:space="0" w:color="auto"/>
              <w:right w:val="single" w:sz="4" w:space="0" w:color="auto"/>
            </w:tcBorders>
            <w:shd w:val="clear" w:color="auto" w:fill="auto"/>
            <w:vAlign w:val="bottom"/>
          </w:tcPr>
          <w:p w:rsidR="007D3433" w:rsidRPr="00930B62" w:rsidRDefault="007D3433" w:rsidP="00311D91">
            <w:pPr>
              <w:pStyle w:val="TableText"/>
              <w:jc w:val="right"/>
              <w:rPr>
                <w:rFonts w:ascii="Arial" w:hAnsi="Arial" w:cs="Arial"/>
                <w:szCs w:val="18"/>
                <w:highlight w:val="yellow"/>
              </w:rPr>
            </w:pPr>
            <w:r w:rsidRPr="00930B62">
              <w:rPr>
                <w:rFonts w:ascii="Arial" w:hAnsi="Arial" w:cs="Arial"/>
                <w:szCs w:val="18"/>
                <w:highlight w:val="yellow"/>
              </w:rPr>
              <w:t>229</w:t>
            </w:r>
            <w:r w:rsidRPr="00930B62">
              <w:rPr>
                <w:rFonts w:ascii="Arial" w:hAnsi="Arial" w:cs="Arial"/>
                <w:color w:val="000000"/>
                <w:szCs w:val="18"/>
                <w:highlight w:val="yellow"/>
                <w:vertAlign w:val="superscript"/>
              </w:rPr>
              <w:t xml:space="preserve"> b</w:t>
            </w:r>
          </w:p>
        </w:tc>
        <w:tc>
          <w:tcPr>
            <w:tcW w:w="628" w:type="pct"/>
            <w:tcBorders>
              <w:top w:val="single" w:sz="4" w:space="0" w:color="auto"/>
              <w:left w:val="single" w:sz="4" w:space="0" w:color="auto"/>
              <w:bottom w:val="single" w:sz="4" w:space="0" w:color="auto"/>
              <w:right w:val="single" w:sz="4" w:space="0" w:color="auto"/>
            </w:tcBorders>
            <w:shd w:val="clear" w:color="auto" w:fill="auto"/>
            <w:vAlign w:val="bottom"/>
          </w:tcPr>
          <w:p w:rsidR="007D3433" w:rsidRPr="00930B62" w:rsidRDefault="007D3433" w:rsidP="00311D91">
            <w:pPr>
              <w:pStyle w:val="TableText"/>
              <w:jc w:val="right"/>
              <w:rPr>
                <w:rFonts w:ascii="Arial" w:hAnsi="Arial" w:cs="Arial"/>
                <w:szCs w:val="18"/>
                <w:highlight w:val="yellow"/>
              </w:rPr>
            </w:pPr>
            <w:r w:rsidRPr="00930B62">
              <w:rPr>
                <w:rFonts w:ascii="Arial" w:hAnsi="Arial" w:cs="Arial"/>
                <w:szCs w:val="18"/>
                <w:highlight w:val="yellow"/>
              </w:rPr>
              <w:t>1</w:t>
            </w:r>
          </w:p>
        </w:tc>
        <w:tc>
          <w:tcPr>
            <w:tcW w:w="626" w:type="pct"/>
            <w:tcBorders>
              <w:top w:val="single" w:sz="4" w:space="0" w:color="auto"/>
              <w:left w:val="single" w:sz="4" w:space="0" w:color="auto"/>
              <w:bottom w:val="single" w:sz="4" w:space="0" w:color="auto"/>
              <w:right w:val="single" w:sz="4" w:space="0" w:color="auto"/>
            </w:tcBorders>
            <w:shd w:val="clear" w:color="auto" w:fill="auto"/>
            <w:vAlign w:val="bottom"/>
          </w:tcPr>
          <w:p w:rsidR="007D3433" w:rsidRPr="00930B62" w:rsidRDefault="007D3433" w:rsidP="00311D91">
            <w:pPr>
              <w:pStyle w:val="TableText"/>
              <w:tabs>
                <w:tab w:val="decimal" w:pos="585"/>
              </w:tabs>
              <w:jc w:val="right"/>
              <w:rPr>
                <w:rFonts w:ascii="Arial" w:hAnsi="Arial" w:cs="Arial"/>
                <w:szCs w:val="18"/>
                <w:highlight w:val="yellow"/>
              </w:rPr>
            </w:pPr>
            <w:r w:rsidRPr="00930B62">
              <w:rPr>
                <w:rFonts w:ascii="Arial" w:hAnsi="Arial" w:cs="Arial"/>
                <w:szCs w:val="18"/>
                <w:highlight w:val="yellow"/>
              </w:rPr>
              <w:t>5/60</w:t>
            </w:r>
          </w:p>
        </w:tc>
        <w:tc>
          <w:tcPr>
            <w:tcW w:w="626" w:type="pct"/>
            <w:tcBorders>
              <w:top w:val="single" w:sz="4" w:space="0" w:color="auto"/>
              <w:left w:val="single" w:sz="4" w:space="0" w:color="auto"/>
              <w:bottom w:val="single" w:sz="4" w:space="0" w:color="auto"/>
              <w:right w:val="single" w:sz="4" w:space="0" w:color="auto"/>
            </w:tcBorders>
            <w:vAlign w:val="bottom"/>
          </w:tcPr>
          <w:p w:rsidR="007D3433" w:rsidRPr="00930B62" w:rsidRDefault="007D3433" w:rsidP="00311D91">
            <w:pPr>
              <w:pStyle w:val="TableText"/>
              <w:jc w:val="right"/>
              <w:rPr>
                <w:rFonts w:ascii="Arial" w:hAnsi="Arial" w:cs="Arial"/>
                <w:color w:val="000000"/>
                <w:szCs w:val="18"/>
                <w:highlight w:val="yellow"/>
              </w:rPr>
            </w:pPr>
            <w:r w:rsidRPr="00930B62">
              <w:rPr>
                <w:rFonts w:ascii="Arial" w:hAnsi="Arial" w:cs="Arial"/>
                <w:color w:val="000000"/>
                <w:szCs w:val="18"/>
                <w:highlight w:val="yellow"/>
              </w:rPr>
              <w:t>0</w:t>
            </w:r>
          </w:p>
        </w:tc>
        <w:tc>
          <w:tcPr>
            <w:tcW w:w="626" w:type="pct"/>
            <w:tcBorders>
              <w:top w:val="single" w:sz="4" w:space="0" w:color="auto"/>
              <w:left w:val="single" w:sz="4" w:space="0" w:color="auto"/>
              <w:bottom w:val="single" w:sz="4" w:space="0" w:color="auto"/>
              <w:right w:val="single" w:sz="4" w:space="0" w:color="auto"/>
            </w:tcBorders>
            <w:vAlign w:val="bottom"/>
          </w:tcPr>
          <w:p w:rsidR="007D3433" w:rsidRPr="00930B62" w:rsidRDefault="007D3433" w:rsidP="00311D91">
            <w:pPr>
              <w:pStyle w:val="TableText"/>
              <w:jc w:val="right"/>
              <w:rPr>
                <w:rFonts w:ascii="Arial" w:hAnsi="Arial" w:cs="Arial"/>
                <w:szCs w:val="18"/>
                <w:highlight w:val="yellow"/>
              </w:rPr>
            </w:pPr>
            <w:r w:rsidRPr="00930B62">
              <w:rPr>
                <w:rFonts w:ascii="Arial" w:hAnsi="Arial" w:cs="Arial"/>
                <w:color w:val="000000"/>
                <w:szCs w:val="18"/>
                <w:highlight w:val="yellow"/>
              </w:rPr>
              <w:t>19</w:t>
            </w:r>
          </w:p>
        </w:tc>
        <w:tc>
          <w:tcPr>
            <w:tcW w:w="626" w:type="pct"/>
            <w:tcBorders>
              <w:top w:val="single" w:sz="4" w:space="0" w:color="auto"/>
              <w:left w:val="single" w:sz="4" w:space="0" w:color="auto"/>
              <w:bottom w:val="single" w:sz="4" w:space="0" w:color="auto"/>
              <w:right w:val="single" w:sz="4" w:space="0" w:color="auto"/>
            </w:tcBorders>
            <w:vAlign w:val="bottom"/>
          </w:tcPr>
          <w:p w:rsidR="007D3433" w:rsidRPr="00930B62" w:rsidRDefault="007D3433" w:rsidP="00311D91">
            <w:pPr>
              <w:pStyle w:val="TableText"/>
              <w:jc w:val="right"/>
              <w:rPr>
                <w:rFonts w:ascii="Arial" w:hAnsi="Arial" w:cs="Arial"/>
                <w:szCs w:val="18"/>
                <w:highlight w:val="yellow"/>
              </w:rPr>
            </w:pPr>
            <w:r w:rsidRPr="00930B62">
              <w:rPr>
                <w:rFonts w:ascii="Arial" w:hAnsi="Arial" w:cs="Arial"/>
                <w:color w:val="000000"/>
                <w:szCs w:val="18"/>
                <w:highlight w:val="yellow"/>
              </w:rPr>
              <w:t>19</w:t>
            </w:r>
          </w:p>
        </w:tc>
      </w:tr>
      <w:tr w:rsidR="007D3433" w:rsidRPr="00AC5873" w:rsidTr="00311D91">
        <w:tc>
          <w:tcPr>
            <w:tcW w:w="1149" w:type="pct"/>
            <w:tcBorders>
              <w:top w:val="single" w:sz="4" w:space="0" w:color="auto"/>
              <w:left w:val="single" w:sz="4" w:space="0" w:color="auto"/>
              <w:bottom w:val="single" w:sz="4" w:space="0" w:color="auto"/>
              <w:right w:val="single" w:sz="4" w:space="0" w:color="auto"/>
            </w:tcBorders>
            <w:shd w:val="clear" w:color="auto" w:fill="auto"/>
            <w:vAlign w:val="center"/>
          </w:tcPr>
          <w:p w:rsidR="007D3433" w:rsidRPr="00930B62" w:rsidRDefault="007D3433" w:rsidP="004B69B0">
            <w:pPr>
              <w:pStyle w:val="TableText"/>
              <w:rPr>
                <w:rFonts w:ascii="Arial" w:hAnsi="Arial" w:cs="Arial"/>
                <w:szCs w:val="18"/>
                <w:highlight w:val="yellow"/>
              </w:rPr>
            </w:pPr>
            <w:r w:rsidRPr="00930B62">
              <w:rPr>
                <w:rFonts w:ascii="Arial" w:hAnsi="Arial" w:cs="Arial"/>
                <w:szCs w:val="18"/>
                <w:highlight w:val="yellow"/>
              </w:rPr>
              <w:t>Parent Pre-Focus Group Interview</w:t>
            </w:r>
          </w:p>
        </w:tc>
        <w:tc>
          <w:tcPr>
            <w:tcW w:w="719" w:type="pct"/>
            <w:tcBorders>
              <w:top w:val="single" w:sz="4" w:space="0" w:color="auto"/>
              <w:left w:val="single" w:sz="4" w:space="0" w:color="auto"/>
              <w:bottom w:val="single" w:sz="4" w:space="0" w:color="auto"/>
              <w:right w:val="single" w:sz="4" w:space="0" w:color="auto"/>
            </w:tcBorders>
            <w:shd w:val="clear" w:color="auto" w:fill="auto"/>
            <w:vAlign w:val="bottom"/>
          </w:tcPr>
          <w:p w:rsidR="007D3433" w:rsidRPr="00930B62" w:rsidRDefault="007D3433" w:rsidP="00311D91">
            <w:pPr>
              <w:pStyle w:val="TableText"/>
              <w:jc w:val="right"/>
              <w:rPr>
                <w:rFonts w:ascii="Arial" w:hAnsi="Arial" w:cs="Arial"/>
                <w:szCs w:val="18"/>
                <w:highlight w:val="yellow"/>
              </w:rPr>
            </w:pPr>
            <w:r w:rsidRPr="00930B62">
              <w:rPr>
                <w:rFonts w:ascii="Arial" w:hAnsi="Arial" w:cs="Arial"/>
                <w:szCs w:val="18"/>
                <w:highlight w:val="yellow"/>
              </w:rPr>
              <w:t>160</w:t>
            </w:r>
          </w:p>
        </w:tc>
        <w:tc>
          <w:tcPr>
            <w:tcW w:w="628" w:type="pct"/>
            <w:tcBorders>
              <w:top w:val="single" w:sz="4" w:space="0" w:color="auto"/>
              <w:left w:val="single" w:sz="4" w:space="0" w:color="auto"/>
              <w:bottom w:val="single" w:sz="4" w:space="0" w:color="auto"/>
              <w:right w:val="single" w:sz="4" w:space="0" w:color="auto"/>
            </w:tcBorders>
            <w:shd w:val="clear" w:color="auto" w:fill="auto"/>
            <w:vAlign w:val="bottom"/>
          </w:tcPr>
          <w:p w:rsidR="007D3433" w:rsidRPr="00930B62" w:rsidRDefault="007D3433" w:rsidP="00311D91">
            <w:pPr>
              <w:pStyle w:val="TableText"/>
              <w:jc w:val="right"/>
              <w:rPr>
                <w:rFonts w:ascii="Arial" w:hAnsi="Arial" w:cs="Arial"/>
                <w:szCs w:val="18"/>
                <w:highlight w:val="yellow"/>
              </w:rPr>
            </w:pPr>
            <w:r w:rsidRPr="00930B62">
              <w:rPr>
                <w:rFonts w:ascii="Arial" w:hAnsi="Arial" w:cs="Arial"/>
                <w:szCs w:val="18"/>
                <w:highlight w:val="yellow"/>
              </w:rPr>
              <w:t>1</w:t>
            </w:r>
          </w:p>
        </w:tc>
        <w:tc>
          <w:tcPr>
            <w:tcW w:w="626" w:type="pct"/>
            <w:tcBorders>
              <w:top w:val="single" w:sz="4" w:space="0" w:color="auto"/>
              <w:left w:val="single" w:sz="4" w:space="0" w:color="auto"/>
              <w:bottom w:val="single" w:sz="4" w:space="0" w:color="auto"/>
              <w:right w:val="single" w:sz="4" w:space="0" w:color="auto"/>
            </w:tcBorders>
            <w:shd w:val="clear" w:color="auto" w:fill="auto"/>
            <w:vAlign w:val="bottom"/>
          </w:tcPr>
          <w:p w:rsidR="007D3433" w:rsidRPr="00930B62" w:rsidRDefault="007D3433" w:rsidP="00311D91">
            <w:pPr>
              <w:pStyle w:val="TableText"/>
              <w:tabs>
                <w:tab w:val="decimal" w:pos="585"/>
              </w:tabs>
              <w:jc w:val="right"/>
              <w:rPr>
                <w:rFonts w:ascii="Arial" w:hAnsi="Arial" w:cs="Arial"/>
                <w:szCs w:val="18"/>
                <w:highlight w:val="yellow"/>
              </w:rPr>
            </w:pPr>
            <w:r w:rsidRPr="00930B62">
              <w:rPr>
                <w:rFonts w:ascii="Arial" w:hAnsi="Arial" w:cs="Arial"/>
                <w:szCs w:val="18"/>
                <w:highlight w:val="yellow"/>
              </w:rPr>
              <w:t>20/60</w:t>
            </w:r>
          </w:p>
        </w:tc>
        <w:tc>
          <w:tcPr>
            <w:tcW w:w="626" w:type="pct"/>
            <w:tcBorders>
              <w:top w:val="single" w:sz="4" w:space="0" w:color="auto"/>
              <w:left w:val="single" w:sz="4" w:space="0" w:color="auto"/>
              <w:bottom w:val="single" w:sz="4" w:space="0" w:color="auto"/>
              <w:right w:val="single" w:sz="4" w:space="0" w:color="auto"/>
            </w:tcBorders>
            <w:vAlign w:val="bottom"/>
          </w:tcPr>
          <w:p w:rsidR="007D3433" w:rsidRPr="00930B62" w:rsidRDefault="007D3433" w:rsidP="00311D91">
            <w:pPr>
              <w:pStyle w:val="TableText"/>
              <w:jc w:val="right"/>
              <w:rPr>
                <w:rFonts w:ascii="Arial" w:hAnsi="Arial" w:cs="Arial"/>
                <w:color w:val="000000"/>
                <w:szCs w:val="18"/>
                <w:highlight w:val="yellow"/>
              </w:rPr>
            </w:pPr>
            <w:r w:rsidRPr="00930B62">
              <w:rPr>
                <w:rFonts w:ascii="Arial" w:hAnsi="Arial" w:cs="Arial"/>
                <w:color w:val="000000"/>
                <w:szCs w:val="18"/>
                <w:highlight w:val="yellow"/>
              </w:rPr>
              <w:t>0</w:t>
            </w:r>
          </w:p>
        </w:tc>
        <w:tc>
          <w:tcPr>
            <w:tcW w:w="626" w:type="pct"/>
            <w:tcBorders>
              <w:top w:val="single" w:sz="4" w:space="0" w:color="auto"/>
              <w:left w:val="single" w:sz="4" w:space="0" w:color="auto"/>
              <w:bottom w:val="single" w:sz="4" w:space="0" w:color="auto"/>
              <w:right w:val="single" w:sz="4" w:space="0" w:color="auto"/>
            </w:tcBorders>
            <w:vAlign w:val="bottom"/>
          </w:tcPr>
          <w:p w:rsidR="007D3433" w:rsidRPr="00930B62" w:rsidRDefault="007D3433" w:rsidP="00311D91">
            <w:pPr>
              <w:pStyle w:val="TableText"/>
              <w:jc w:val="right"/>
              <w:rPr>
                <w:rFonts w:ascii="Arial" w:hAnsi="Arial" w:cs="Arial"/>
                <w:szCs w:val="18"/>
                <w:highlight w:val="yellow"/>
              </w:rPr>
            </w:pPr>
            <w:r w:rsidRPr="00930B62">
              <w:rPr>
                <w:rFonts w:ascii="Arial" w:hAnsi="Arial" w:cs="Arial"/>
                <w:color w:val="000000"/>
                <w:szCs w:val="18"/>
                <w:highlight w:val="yellow"/>
              </w:rPr>
              <w:t>53</w:t>
            </w:r>
          </w:p>
        </w:tc>
        <w:tc>
          <w:tcPr>
            <w:tcW w:w="626" w:type="pct"/>
            <w:tcBorders>
              <w:top w:val="single" w:sz="4" w:space="0" w:color="auto"/>
              <w:left w:val="single" w:sz="4" w:space="0" w:color="auto"/>
              <w:bottom w:val="single" w:sz="4" w:space="0" w:color="auto"/>
              <w:right w:val="single" w:sz="4" w:space="0" w:color="auto"/>
            </w:tcBorders>
            <w:vAlign w:val="bottom"/>
          </w:tcPr>
          <w:p w:rsidR="007D3433" w:rsidRPr="00930B62" w:rsidRDefault="007D3433" w:rsidP="00311D91">
            <w:pPr>
              <w:pStyle w:val="TableText"/>
              <w:jc w:val="right"/>
              <w:rPr>
                <w:rFonts w:ascii="Arial" w:hAnsi="Arial" w:cs="Arial"/>
                <w:szCs w:val="18"/>
                <w:highlight w:val="yellow"/>
              </w:rPr>
            </w:pPr>
            <w:r w:rsidRPr="00930B62">
              <w:rPr>
                <w:rFonts w:ascii="Arial" w:hAnsi="Arial" w:cs="Arial"/>
                <w:color w:val="000000"/>
                <w:szCs w:val="18"/>
                <w:highlight w:val="yellow"/>
              </w:rPr>
              <w:t>53</w:t>
            </w:r>
          </w:p>
        </w:tc>
      </w:tr>
      <w:tr w:rsidR="007D3433" w:rsidRPr="00AC5873" w:rsidTr="00311D91">
        <w:tc>
          <w:tcPr>
            <w:tcW w:w="1149" w:type="pct"/>
            <w:tcBorders>
              <w:top w:val="single" w:sz="4" w:space="0" w:color="auto"/>
              <w:left w:val="single" w:sz="4" w:space="0" w:color="auto"/>
              <w:bottom w:val="single" w:sz="4" w:space="0" w:color="auto"/>
              <w:right w:val="single" w:sz="4" w:space="0" w:color="auto"/>
            </w:tcBorders>
            <w:shd w:val="clear" w:color="auto" w:fill="auto"/>
            <w:vAlign w:val="center"/>
          </w:tcPr>
          <w:p w:rsidR="007D3433" w:rsidRPr="00930B62" w:rsidRDefault="007D3433" w:rsidP="004B69B0">
            <w:pPr>
              <w:pStyle w:val="TableText"/>
              <w:rPr>
                <w:rFonts w:ascii="Arial" w:hAnsi="Arial" w:cs="Arial"/>
                <w:szCs w:val="18"/>
                <w:highlight w:val="yellow"/>
              </w:rPr>
            </w:pPr>
            <w:r w:rsidRPr="00930B62">
              <w:rPr>
                <w:rFonts w:ascii="Arial" w:hAnsi="Arial" w:cs="Arial"/>
                <w:szCs w:val="18"/>
                <w:highlight w:val="yellow"/>
              </w:rPr>
              <w:t>Parent Focus Groups</w:t>
            </w:r>
          </w:p>
        </w:tc>
        <w:tc>
          <w:tcPr>
            <w:tcW w:w="719" w:type="pct"/>
            <w:tcBorders>
              <w:top w:val="single" w:sz="4" w:space="0" w:color="auto"/>
              <w:left w:val="single" w:sz="4" w:space="0" w:color="auto"/>
              <w:bottom w:val="single" w:sz="4" w:space="0" w:color="auto"/>
              <w:right w:val="single" w:sz="4" w:space="0" w:color="auto"/>
            </w:tcBorders>
            <w:shd w:val="clear" w:color="auto" w:fill="auto"/>
            <w:vAlign w:val="bottom"/>
          </w:tcPr>
          <w:p w:rsidR="007D3433" w:rsidRPr="00930B62" w:rsidRDefault="007D3433" w:rsidP="00311D91">
            <w:pPr>
              <w:pStyle w:val="TableText"/>
              <w:jc w:val="right"/>
              <w:rPr>
                <w:rFonts w:ascii="Arial" w:hAnsi="Arial" w:cs="Arial"/>
                <w:szCs w:val="18"/>
                <w:highlight w:val="yellow"/>
              </w:rPr>
            </w:pPr>
            <w:r w:rsidRPr="00930B62">
              <w:rPr>
                <w:rFonts w:ascii="Arial" w:hAnsi="Arial" w:cs="Arial"/>
                <w:szCs w:val="18"/>
                <w:highlight w:val="yellow"/>
              </w:rPr>
              <w:t>160</w:t>
            </w:r>
          </w:p>
        </w:tc>
        <w:tc>
          <w:tcPr>
            <w:tcW w:w="628" w:type="pct"/>
            <w:tcBorders>
              <w:top w:val="single" w:sz="4" w:space="0" w:color="auto"/>
              <w:left w:val="single" w:sz="4" w:space="0" w:color="auto"/>
              <w:bottom w:val="single" w:sz="4" w:space="0" w:color="auto"/>
              <w:right w:val="single" w:sz="4" w:space="0" w:color="auto"/>
            </w:tcBorders>
            <w:shd w:val="clear" w:color="auto" w:fill="auto"/>
            <w:vAlign w:val="bottom"/>
          </w:tcPr>
          <w:p w:rsidR="007D3433" w:rsidRPr="00930B62" w:rsidRDefault="007D3433" w:rsidP="00311D91">
            <w:pPr>
              <w:pStyle w:val="TableText"/>
              <w:jc w:val="right"/>
              <w:rPr>
                <w:rFonts w:ascii="Arial" w:hAnsi="Arial" w:cs="Arial"/>
                <w:szCs w:val="18"/>
                <w:highlight w:val="yellow"/>
              </w:rPr>
            </w:pPr>
            <w:r w:rsidRPr="00930B62">
              <w:rPr>
                <w:rFonts w:ascii="Arial" w:hAnsi="Arial" w:cs="Arial"/>
                <w:szCs w:val="18"/>
                <w:highlight w:val="yellow"/>
              </w:rPr>
              <w:t>1</w:t>
            </w:r>
          </w:p>
        </w:tc>
        <w:tc>
          <w:tcPr>
            <w:tcW w:w="626" w:type="pct"/>
            <w:tcBorders>
              <w:top w:val="single" w:sz="4" w:space="0" w:color="auto"/>
              <w:left w:val="single" w:sz="4" w:space="0" w:color="auto"/>
              <w:bottom w:val="single" w:sz="4" w:space="0" w:color="auto"/>
              <w:right w:val="single" w:sz="4" w:space="0" w:color="auto"/>
            </w:tcBorders>
            <w:shd w:val="clear" w:color="auto" w:fill="auto"/>
            <w:vAlign w:val="bottom"/>
          </w:tcPr>
          <w:p w:rsidR="007D3433" w:rsidRPr="00930B62" w:rsidRDefault="007D3433" w:rsidP="00311D91">
            <w:pPr>
              <w:pStyle w:val="TableText"/>
              <w:tabs>
                <w:tab w:val="decimal" w:pos="585"/>
              </w:tabs>
              <w:jc w:val="right"/>
              <w:rPr>
                <w:rFonts w:ascii="Arial" w:hAnsi="Arial" w:cs="Arial"/>
                <w:szCs w:val="18"/>
                <w:highlight w:val="yellow"/>
              </w:rPr>
            </w:pPr>
            <w:r w:rsidRPr="00930B62">
              <w:rPr>
                <w:rFonts w:ascii="Arial" w:hAnsi="Arial" w:cs="Arial"/>
                <w:szCs w:val="18"/>
                <w:highlight w:val="yellow"/>
              </w:rPr>
              <w:t>2.5</w:t>
            </w:r>
          </w:p>
        </w:tc>
        <w:tc>
          <w:tcPr>
            <w:tcW w:w="626" w:type="pct"/>
            <w:tcBorders>
              <w:top w:val="single" w:sz="4" w:space="0" w:color="auto"/>
              <w:left w:val="single" w:sz="4" w:space="0" w:color="auto"/>
              <w:bottom w:val="single" w:sz="4" w:space="0" w:color="auto"/>
              <w:right w:val="single" w:sz="4" w:space="0" w:color="auto"/>
            </w:tcBorders>
            <w:vAlign w:val="bottom"/>
          </w:tcPr>
          <w:p w:rsidR="007D3433" w:rsidRPr="00930B62" w:rsidRDefault="007D3433" w:rsidP="00311D91">
            <w:pPr>
              <w:pStyle w:val="TableText"/>
              <w:jc w:val="right"/>
              <w:rPr>
                <w:rFonts w:ascii="Arial" w:hAnsi="Arial" w:cs="Arial"/>
                <w:color w:val="000000"/>
                <w:szCs w:val="18"/>
                <w:highlight w:val="yellow"/>
              </w:rPr>
            </w:pPr>
            <w:r w:rsidRPr="00930B62">
              <w:rPr>
                <w:rFonts w:ascii="Arial" w:hAnsi="Arial" w:cs="Arial"/>
                <w:color w:val="000000"/>
                <w:szCs w:val="18"/>
                <w:highlight w:val="yellow"/>
              </w:rPr>
              <w:t>0</w:t>
            </w:r>
          </w:p>
        </w:tc>
        <w:tc>
          <w:tcPr>
            <w:tcW w:w="626" w:type="pct"/>
            <w:tcBorders>
              <w:top w:val="single" w:sz="4" w:space="0" w:color="auto"/>
              <w:left w:val="single" w:sz="4" w:space="0" w:color="auto"/>
              <w:bottom w:val="single" w:sz="4" w:space="0" w:color="auto"/>
              <w:right w:val="single" w:sz="4" w:space="0" w:color="auto"/>
            </w:tcBorders>
            <w:vAlign w:val="bottom"/>
          </w:tcPr>
          <w:p w:rsidR="007D3433" w:rsidRPr="00930B62" w:rsidRDefault="007D3433" w:rsidP="00311D91">
            <w:pPr>
              <w:pStyle w:val="TableText"/>
              <w:jc w:val="right"/>
              <w:rPr>
                <w:rFonts w:ascii="Arial" w:hAnsi="Arial" w:cs="Arial"/>
                <w:szCs w:val="18"/>
                <w:highlight w:val="yellow"/>
              </w:rPr>
            </w:pPr>
            <w:r w:rsidRPr="00930B62">
              <w:rPr>
                <w:rFonts w:ascii="Arial" w:hAnsi="Arial" w:cs="Arial"/>
                <w:color w:val="000000"/>
                <w:szCs w:val="18"/>
                <w:highlight w:val="yellow"/>
              </w:rPr>
              <w:t>400</w:t>
            </w:r>
          </w:p>
        </w:tc>
        <w:tc>
          <w:tcPr>
            <w:tcW w:w="626" w:type="pct"/>
            <w:tcBorders>
              <w:top w:val="single" w:sz="4" w:space="0" w:color="auto"/>
              <w:left w:val="single" w:sz="4" w:space="0" w:color="auto"/>
              <w:bottom w:val="single" w:sz="4" w:space="0" w:color="auto"/>
              <w:right w:val="single" w:sz="4" w:space="0" w:color="auto"/>
            </w:tcBorders>
            <w:vAlign w:val="bottom"/>
          </w:tcPr>
          <w:p w:rsidR="007D3433" w:rsidRPr="00930B62" w:rsidRDefault="007D3433" w:rsidP="00311D91">
            <w:pPr>
              <w:pStyle w:val="TableText"/>
              <w:jc w:val="right"/>
              <w:rPr>
                <w:rFonts w:ascii="Arial" w:hAnsi="Arial" w:cs="Arial"/>
                <w:szCs w:val="18"/>
                <w:highlight w:val="yellow"/>
              </w:rPr>
            </w:pPr>
            <w:r w:rsidRPr="00930B62">
              <w:rPr>
                <w:rFonts w:ascii="Arial" w:hAnsi="Arial" w:cs="Arial"/>
                <w:color w:val="000000"/>
                <w:szCs w:val="18"/>
                <w:highlight w:val="yellow"/>
              </w:rPr>
              <w:t>400</w:t>
            </w:r>
          </w:p>
        </w:tc>
      </w:tr>
      <w:tr w:rsidR="007D3433" w:rsidRPr="00AC5873" w:rsidTr="00311D91">
        <w:tc>
          <w:tcPr>
            <w:tcW w:w="1149" w:type="pct"/>
            <w:tcBorders>
              <w:top w:val="single" w:sz="4" w:space="0" w:color="auto"/>
              <w:left w:val="single" w:sz="4" w:space="0" w:color="auto"/>
              <w:bottom w:val="single" w:sz="4" w:space="0" w:color="auto"/>
              <w:right w:val="single" w:sz="4" w:space="0" w:color="auto"/>
            </w:tcBorders>
            <w:shd w:val="clear" w:color="auto" w:fill="auto"/>
            <w:vAlign w:val="center"/>
          </w:tcPr>
          <w:p w:rsidR="007D3433" w:rsidRPr="00930B62" w:rsidRDefault="007D3433" w:rsidP="004B69B0">
            <w:pPr>
              <w:pStyle w:val="TableText"/>
              <w:rPr>
                <w:rFonts w:ascii="Arial" w:hAnsi="Arial" w:cs="Arial"/>
                <w:szCs w:val="18"/>
                <w:highlight w:val="yellow"/>
              </w:rPr>
            </w:pPr>
            <w:r w:rsidRPr="00930B62">
              <w:rPr>
                <w:rFonts w:ascii="Arial" w:hAnsi="Arial" w:cs="Arial"/>
                <w:szCs w:val="18"/>
                <w:highlight w:val="yellow"/>
              </w:rPr>
              <w:t>Adolescent Focus Group Screener</w:t>
            </w:r>
          </w:p>
        </w:tc>
        <w:tc>
          <w:tcPr>
            <w:tcW w:w="719" w:type="pct"/>
            <w:tcBorders>
              <w:top w:val="single" w:sz="4" w:space="0" w:color="auto"/>
              <w:left w:val="single" w:sz="4" w:space="0" w:color="auto"/>
              <w:bottom w:val="single" w:sz="4" w:space="0" w:color="auto"/>
              <w:right w:val="single" w:sz="4" w:space="0" w:color="auto"/>
            </w:tcBorders>
            <w:shd w:val="clear" w:color="auto" w:fill="auto"/>
            <w:vAlign w:val="bottom"/>
          </w:tcPr>
          <w:p w:rsidR="007D3433" w:rsidRPr="00930B62" w:rsidRDefault="007D3433" w:rsidP="00311D91">
            <w:pPr>
              <w:pStyle w:val="TableText"/>
              <w:jc w:val="right"/>
              <w:rPr>
                <w:rFonts w:ascii="Arial" w:hAnsi="Arial" w:cs="Arial"/>
                <w:szCs w:val="18"/>
                <w:highlight w:val="yellow"/>
              </w:rPr>
            </w:pPr>
            <w:r w:rsidRPr="00930B62">
              <w:rPr>
                <w:rFonts w:ascii="Arial" w:hAnsi="Arial" w:cs="Arial"/>
                <w:szCs w:val="18"/>
                <w:highlight w:val="yellow"/>
              </w:rPr>
              <w:t>57</w:t>
            </w:r>
            <w:r w:rsidRPr="00930B62">
              <w:rPr>
                <w:rFonts w:ascii="Arial" w:hAnsi="Arial" w:cs="Arial"/>
                <w:color w:val="000000"/>
                <w:szCs w:val="18"/>
                <w:highlight w:val="yellow"/>
                <w:vertAlign w:val="superscript"/>
              </w:rPr>
              <w:t xml:space="preserve"> b</w:t>
            </w:r>
          </w:p>
        </w:tc>
        <w:tc>
          <w:tcPr>
            <w:tcW w:w="628" w:type="pct"/>
            <w:tcBorders>
              <w:top w:val="single" w:sz="4" w:space="0" w:color="auto"/>
              <w:left w:val="single" w:sz="4" w:space="0" w:color="auto"/>
              <w:bottom w:val="single" w:sz="4" w:space="0" w:color="auto"/>
              <w:right w:val="single" w:sz="4" w:space="0" w:color="auto"/>
            </w:tcBorders>
            <w:shd w:val="clear" w:color="auto" w:fill="auto"/>
            <w:vAlign w:val="bottom"/>
          </w:tcPr>
          <w:p w:rsidR="007D3433" w:rsidRPr="00930B62" w:rsidRDefault="007D3433" w:rsidP="00311D91">
            <w:pPr>
              <w:pStyle w:val="TableText"/>
              <w:jc w:val="right"/>
              <w:rPr>
                <w:rFonts w:ascii="Arial" w:hAnsi="Arial" w:cs="Arial"/>
                <w:szCs w:val="18"/>
                <w:highlight w:val="yellow"/>
              </w:rPr>
            </w:pPr>
            <w:r w:rsidRPr="00930B62">
              <w:rPr>
                <w:rFonts w:ascii="Arial" w:hAnsi="Arial" w:cs="Arial"/>
                <w:szCs w:val="18"/>
                <w:highlight w:val="yellow"/>
              </w:rPr>
              <w:t>1</w:t>
            </w:r>
          </w:p>
        </w:tc>
        <w:tc>
          <w:tcPr>
            <w:tcW w:w="626" w:type="pct"/>
            <w:tcBorders>
              <w:top w:val="single" w:sz="4" w:space="0" w:color="auto"/>
              <w:left w:val="single" w:sz="4" w:space="0" w:color="auto"/>
              <w:bottom w:val="single" w:sz="4" w:space="0" w:color="auto"/>
              <w:right w:val="single" w:sz="4" w:space="0" w:color="auto"/>
            </w:tcBorders>
            <w:shd w:val="clear" w:color="auto" w:fill="auto"/>
            <w:vAlign w:val="bottom"/>
          </w:tcPr>
          <w:p w:rsidR="007D3433" w:rsidRPr="00930B62" w:rsidRDefault="007D3433" w:rsidP="00311D91">
            <w:pPr>
              <w:pStyle w:val="TableText"/>
              <w:tabs>
                <w:tab w:val="decimal" w:pos="585"/>
              </w:tabs>
              <w:jc w:val="right"/>
              <w:rPr>
                <w:rFonts w:ascii="Arial" w:hAnsi="Arial" w:cs="Arial"/>
                <w:szCs w:val="18"/>
                <w:highlight w:val="yellow"/>
              </w:rPr>
            </w:pPr>
            <w:r w:rsidRPr="00930B62">
              <w:rPr>
                <w:rFonts w:ascii="Arial" w:hAnsi="Arial" w:cs="Arial"/>
                <w:szCs w:val="18"/>
                <w:highlight w:val="yellow"/>
              </w:rPr>
              <w:t>5/60</w:t>
            </w:r>
          </w:p>
        </w:tc>
        <w:tc>
          <w:tcPr>
            <w:tcW w:w="626" w:type="pct"/>
            <w:tcBorders>
              <w:top w:val="single" w:sz="4" w:space="0" w:color="auto"/>
              <w:left w:val="single" w:sz="4" w:space="0" w:color="auto"/>
              <w:bottom w:val="single" w:sz="4" w:space="0" w:color="auto"/>
              <w:right w:val="single" w:sz="4" w:space="0" w:color="auto"/>
            </w:tcBorders>
            <w:vAlign w:val="bottom"/>
          </w:tcPr>
          <w:p w:rsidR="007D3433" w:rsidRPr="00930B62" w:rsidRDefault="007D3433" w:rsidP="00311D91">
            <w:pPr>
              <w:pStyle w:val="TableText"/>
              <w:jc w:val="right"/>
              <w:rPr>
                <w:rFonts w:ascii="Arial" w:hAnsi="Arial" w:cs="Arial"/>
                <w:color w:val="000000"/>
                <w:szCs w:val="18"/>
                <w:highlight w:val="yellow"/>
              </w:rPr>
            </w:pPr>
            <w:r w:rsidRPr="00930B62">
              <w:rPr>
                <w:rFonts w:ascii="Arial" w:hAnsi="Arial" w:cs="Arial"/>
                <w:color w:val="000000"/>
                <w:szCs w:val="18"/>
                <w:highlight w:val="yellow"/>
              </w:rPr>
              <w:t>0</w:t>
            </w:r>
          </w:p>
        </w:tc>
        <w:tc>
          <w:tcPr>
            <w:tcW w:w="626" w:type="pct"/>
            <w:tcBorders>
              <w:top w:val="single" w:sz="4" w:space="0" w:color="auto"/>
              <w:left w:val="single" w:sz="4" w:space="0" w:color="auto"/>
              <w:bottom w:val="single" w:sz="4" w:space="0" w:color="auto"/>
              <w:right w:val="single" w:sz="4" w:space="0" w:color="auto"/>
            </w:tcBorders>
            <w:vAlign w:val="bottom"/>
          </w:tcPr>
          <w:p w:rsidR="007D3433" w:rsidRPr="00930B62" w:rsidRDefault="007D3433" w:rsidP="00311D91">
            <w:pPr>
              <w:pStyle w:val="TableText"/>
              <w:jc w:val="right"/>
              <w:rPr>
                <w:rFonts w:ascii="Arial" w:hAnsi="Arial" w:cs="Arial"/>
                <w:szCs w:val="18"/>
                <w:highlight w:val="yellow"/>
              </w:rPr>
            </w:pPr>
            <w:r w:rsidRPr="00930B62">
              <w:rPr>
                <w:rFonts w:ascii="Arial" w:hAnsi="Arial" w:cs="Arial"/>
                <w:color w:val="000000"/>
                <w:szCs w:val="18"/>
                <w:highlight w:val="yellow"/>
              </w:rPr>
              <w:t>5</w:t>
            </w:r>
          </w:p>
        </w:tc>
        <w:tc>
          <w:tcPr>
            <w:tcW w:w="626" w:type="pct"/>
            <w:tcBorders>
              <w:top w:val="single" w:sz="4" w:space="0" w:color="auto"/>
              <w:left w:val="single" w:sz="4" w:space="0" w:color="auto"/>
              <w:bottom w:val="single" w:sz="4" w:space="0" w:color="auto"/>
              <w:right w:val="single" w:sz="4" w:space="0" w:color="auto"/>
            </w:tcBorders>
            <w:vAlign w:val="bottom"/>
          </w:tcPr>
          <w:p w:rsidR="007D3433" w:rsidRPr="00930B62" w:rsidRDefault="007D3433" w:rsidP="00311D91">
            <w:pPr>
              <w:pStyle w:val="TableText"/>
              <w:jc w:val="right"/>
              <w:rPr>
                <w:rFonts w:ascii="Arial" w:hAnsi="Arial" w:cs="Arial"/>
                <w:szCs w:val="18"/>
                <w:highlight w:val="yellow"/>
              </w:rPr>
            </w:pPr>
            <w:r w:rsidRPr="00930B62">
              <w:rPr>
                <w:rFonts w:ascii="Arial" w:hAnsi="Arial" w:cs="Arial"/>
                <w:color w:val="000000"/>
                <w:szCs w:val="18"/>
                <w:highlight w:val="yellow"/>
              </w:rPr>
              <w:t>5</w:t>
            </w:r>
          </w:p>
        </w:tc>
      </w:tr>
      <w:tr w:rsidR="007D3433" w:rsidRPr="00AC5873" w:rsidTr="00311D91">
        <w:tc>
          <w:tcPr>
            <w:tcW w:w="1149" w:type="pct"/>
            <w:tcBorders>
              <w:top w:val="single" w:sz="4" w:space="0" w:color="auto"/>
              <w:left w:val="single" w:sz="4" w:space="0" w:color="auto"/>
              <w:bottom w:val="single" w:sz="4" w:space="0" w:color="auto"/>
              <w:right w:val="single" w:sz="4" w:space="0" w:color="auto"/>
            </w:tcBorders>
            <w:shd w:val="clear" w:color="auto" w:fill="auto"/>
            <w:vAlign w:val="center"/>
          </w:tcPr>
          <w:p w:rsidR="007D3433" w:rsidRPr="00930B62" w:rsidRDefault="007D3433" w:rsidP="004B69B0">
            <w:pPr>
              <w:pStyle w:val="TableText"/>
              <w:rPr>
                <w:rFonts w:ascii="Arial" w:hAnsi="Arial" w:cs="Arial"/>
                <w:szCs w:val="18"/>
                <w:highlight w:val="yellow"/>
              </w:rPr>
            </w:pPr>
            <w:r w:rsidRPr="00930B62">
              <w:rPr>
                <w:rFonts w:ascii="Arial" w:hAnsi="Arial" w:cs="Arial"/>
                <w:szCs w:val="18"/>
                <w:highlight w:val="yellow"/>
              </w:rPr>
              <w:t xml:space="preserve">Adolescent Pre-Focus Group Interview </w:t>
            </w:r>
          </w:p>
        </w:tc>
        <w:tc>
          <w:tcPr>
            <w:tcW w:w="719" w:type="pct"/>
            <w:tcBorders>
              <w:top w:val="single" w:sz="4" w:space="0" w:color="auto"/>
              <w:left w:val="single" w:sz="4" w:space="0" w:color="auto"/>
              <w:bottom w:val="single" w:sz="4" w:space="0" w:color="auto"/>
              <w:right w:val="single" w:sz="4" w:space="0" w:color="auto"/>
            </w:tcBorders>
            <w:shd w:val="clear" w:color="auto" w:fill="auto"/>
            <w:vAlign w:val="bottom"/>
          </w:tcPr>
          <w:p w:rsidR="007D3433" w:rsidRPr="00930B62" w:rsidRDefault="007D3433" w:rsidP="00311D91">
            <w:pPr>
              <w:pStyle w:val="TableText"/>
              <w:jc w:val="right"/>
              <w:rPr>
                <w:rFonts w:ascii="Arial" w:hAnsi="Arial" w:cs="Arial"/>
                <w:szCs w:val="18"/>
                <w:highlight w:val="yellow"/>
              </w:rPr>
            </w:pPr>
            <w:r w:rsidRPr="00930B62">
              <w:rPr>
                <w:rFonts w:ascii="Arial" w:hAnsi="Arial" w:cs="Arial"/>
                <w:szCs w:val="18"/>
                <w:highlight w:val="yellow"/>
              </w:rPr>
              <w:t>40</w:t>
            </w:r>
          </w:p>
        </w:tc>
        <w:tc>
          <w:tcPr>
            <w:tcW w:w="628" w:type="pct"/>
            <w:tcBorders>
              <w:top w:val="single" w:sz="4" w:space="0" w:color="auto"/>
              <w:left w:val="single" w:sz="4" w:space="0" w:color="auto"/>
              <w:bottom w:val="single" w:sz="4" w:space="0" w:color="auto"/>
              <w:right w:val="single" w:sz="4" w:space="0" w:color="auto"/>
            </w:tcBorders>
            <w:shd w:val="clear" w:color="auto" w:fill="auto"/>
            <w:vAlign w:val="bottom"/>
          </w:tcPr>
          <w:p w:rsidR="007D3433" w:rsidRPr="00930B62" w:rsidRDefault="007D3433" w:rsidP="00311D91">
            <w:pPr>
              <w:pStyle w:val="TableText"/>
              <w:jc w:val="right"/>
              <w:rPr>
                <w:rFonts w:ascii="Arial" w:hAnsi="Arial" w:cs="Arial"/>
                <w:szCs w:val="18"/>
                <w:highlight w:val="yellow"/>
              </w:rPr>
            </w:pPr>
            <w:r w:rsidRPr="00930B62">
              <w:rPr>
                <w:rFonts w:ascii="Arial" w:hAnsi="Arial" w:cs="Arial"/>
                <w:szCs w:val="18"/>
                <w:highlight w:val="yellow"/>
              </w:rPr>
              <w:t>1</w:t>
            </w:r>
          </w:p>
        </w:tc>
        <w:tc>
          <w:tcPr>
            <w:tcW w:w="626" w:type="pct"/>
            <w:tcBorders>
              <w:top w:val="single" w:sz="4" w:space="0" w:color="auto"/>
              <w:left w:val="single" w:sz="4" w:space="0" w:color="auto"/>
              <w:bottom w:val="single" w:sz="4" w:space="0" w:color="auto"/>
              <w:right w:val="single" w:sz="4" w:space="0" w:color="auto"/>
            </w:tcBorders>
            <w:shd w:val="clear" w:color="auto" w:fill="auto"/>
            <w:vAlign w:val="bottom"/>
          </w:tcPr>
          <w:p w:rsidR="007D3433" w:rsidRPr="00930B62" w:rsidRDefault="007D3433" w:rsidP="00311D91">
            <w:pPr>
              <w:pStyle w:val="TableText"/>
              <w:tabs>
                <w:tab w:val="decimal" w:pos="585"/>
              </w:tabs>
              <w:jc w:val="right"/>
              <w:rPr>
                <w:rFonts w:ascii="Arial" w:hAnsi="Arial" w:cs="Arial"/>
                <w:szCs w:val="18"/>
                <w:highlight w:val="yellow"/>
              </w:rPr>
            </w:pPr>
            <w:r w:rsidRPr="00930B62">
              <w:rPr>
                <w:rFonts w:ascii="Arial" w:hAnsi="Arial" w:cs="Arial"/>
                <w:szCs w:val="18"/>
                <w:highlight w:val="yellow"/>
              </w:rPr>
              <w:t>20/60</w:t>
            </w:r>
          </w:p>
        </w:tc>
        <w:tc>
          <w:tcPr>
            <w:tcW w:w="626" w:type="pct"/>
            <w:tcBorders>
              <w:top w:val="single" w:sz="4" w:space="0" w:color="auto"/>
              <w:left w:val="single" w:sz="4" w:space="0" w:color="auto"/>
              <w:bottom w:val="single" w:sz="4" w:space="0" w:color="auto"/>
              <w:right w:val="single" w:sz="4" w:space="0" w:color="auto"/>
            </w:tcBorders>
            <w:vAlign w:val="bottom"/>
          </w:tcPr>
          <w:p w:rsidR="007D3433" w:rsidRPr="00930B62" w:rsidRDefault="007D3433" w:rsidP="00311D91">
            <w:pPr>
              <w:pStyle w:val="TableText"/>
              <w:jc w:val="right"/>
              <w:rPr>
                <w:rFonts w:ascii="Arial" w:hAnsi="Arial" w:cs="Arial"/>
                <w:color w:val="000000"/>
                <w:szCs w:val="18"/>
                <w:highlight w:val="yellow"/>
              </w:rPr>
            </w:pPr>
            <w:r w:rsidRPr="00930B62">
              <w:rPr>
                <w:rFonts w:ascii="Arial" w:hAnsi="Arial" w:cs="Arial"/>
                <w:color w:val="000000"/>
                <w:szCs w:val="18"/>
                <w:highlight w:val="yellow"/>
              </w:rPr>
              <w:t>0</w:t>
            </w:r>
          </w:p>
        </w:tc>
        <w:tc>
          <w:tcPr>
            <w:tcW w:w="626" w:type="pct"/>
            <w:tcBorders>
              <w:top w:val="single" w:sz="4" w:space="0" w:color="auto"/>
              <w:left w:val="single" w:sz="4" w:space="0" w:color="auto"/>
              <w:bottom w:val="single" w:sz="4" w:space="0" w:color="auto"/>
              <w:right w:val="single" w:sz="4" w:space="0" w:color="auto"/>
            </w:tcBorders>
            <w:vAlign w:val="bottom"/>
          </w:tcPr>
          <w:p w:rsidR="007D3433" w:rsidRPr="00930B62" w:rsidRDefault="007D3433" w:rsidP="00311D91">
            <w:pPr>
              <w:pStyle w:val="TableText"/>
              <w:jc w:val="right"/>
              <w:rPr>
                <w:rFonts w:ascii="Arial" w:hAnsi="Arial" w:cs="Arial"/>
                <w:szCs w:val="18"/>
                <w:highlight w:val="yellow"/>
              </w:rPr>
            </w:pPr>
            <w:r w:rsidRPr="00930B62">
              <w:rPr>
                <w:rFonts w:ascii="Arial" w:hAnsi="Arial" w:cs="Arial"/>
                <w:color w:val="000000"/>
                <w:szCs w:val="18"/>
                <w:highlight w:val="yellow"/>
              </w:rPr>
              <w:t>13</w:t>
            </w:r>
          </w:p>
        </w:tc>
        <w:tc>
          <w:tcPr>
            <w:tcW w:w="626" w:type="pct"/>
            <w:tcBorders>
              <w:top w:val="single" w:sz="4" w:space="0" w:color="auto"/>
              <w:left w:val="single" w:sz="4" w:space="0" w:color="auto"/>
              <w:bottom w:val="single" w:sz="4" w:space="0" w:color="auto"/>
              <w:right w:val="single" w:sz="4" w:space="0" w:color="auto"/>
            </w:tcBorders>
            <w:vAlign w:val="bottom"/>
          </w:tcPr>
          <w:p w:rsidR="007D3433" w:rsidRPr="00930B62" w:rsidRDefault="007D3433" w:rsidP="00311D91">
            <w:pPr>
              <w:pStyle w:val="TableText"/>
              <w:jc w:val="right"/>
              <w:rPr>
                <w:rFonts w:ascii="Arial" w:hAnsi="Arial" w:cs="Arial"/>
                <w:szCs w:val="18"/>
                <w:highlight w:val="yellow"/>
              </w:rPr>
            </w:pPr>
            <w:r w:rsidRPr="00930B62">
              <w:rPr>
                <w:rFonts w:ascii="Arial" w:hAnsi="Arial" w:cs="Arial"/>
                <w:color w:val="000000"/>
                <w:szCs w:val="18"/>
                <w:highlight w:val="yellow"/>
              </w:rPr>
              <w:t>13</w:t>
            </w:r>
          </w:p>
        </w:tc>
      </w:tr>
      <w:tr w:rsidR="007D3433" w:rsidRPr="00AC5873" w:rsidTr="00311D91">
        <w:tc>
          <w:tcPr>
            <w:tcW w:w="1149" w:type="pct"/>
            <w:tcBorders>
              <w:top w:val="single" w:sz="4" w:space="0" w:color="auto"/>
              <w:left w:val="single" w:sz="4" w:space="0" w:color="auto"/>
              <w:bottom w:val="single" w:sz="4" w:space="0" w:color="auto"/>
              <w:right w:val="single" w:sz="4" w:space="0" w:color="auto"/>
            </w:tcBorders>
            <w:shd w:val="clear" w:color="auto" w:fill="auto"/>
            <w:vAlign w:val="center"/>
          </w:tcPr>
          <w:p w:rsidR="007D3433" w:rsidRPr="00930B62" w:rsidRDefault="007D3433" w:rsidP="004B69B0">
            <w:pPr>
              <w:pStyle w:val="TableText"/>
              <w:rPr>
                <w:rFonts w:ascii="Arial" w:hAnsi="Arial" w:cs="Arial"/>
                <w:szCs w:val="18"/>
                <w:highlight w:val="yellow"/>
              </w:rPr>
            </w:pPr>
            <w:r w:rsidRPr="00930B62">
              <w:rPr>
                <w:rFonts w:ascii="Arial" w:hAnsi="Arial" w:cs="Arial"/>
                <w:szCs w:val="18"/>
                <w:highlight w:val="yellow"/>
              </w:rPr>
              <w:t>Adolescent Focus Groups</w:t>
            </w:r>
          </w:p>
        </w:tc>
        <w:tc>
          <w:tcPr>
            <w:tcW w:w="719" w:type="pct"/>
            <w:tcBorders>
              <w:top w:val="single" w:sz="4" w:space="0" w:color="auto"/>
              <w:left w:val="single" w:sz="4" w:space="0" w:color="auto"/>
              <w:bottom w:val="single" w:sz="4" w:space="0" w:color="auto"/>
              <w:right w:val="single" w:sz="4" w:space="0" w:color="auto"/>
            </w:tcBorders>
            <w:shd w:val="clear" w:color="auto" w:fill="auto"/>
            <w:vAlign w:val="bottom"/>
          </w:tcPr>
          <w:p w:rsidR="007D3433" w:rsidRPr="00930B62" w:rsidRDefault="007D3433" w:rsidP="00311D91">
            <w:pPr>
              <w:pStyle w:val="TableText"/>
              <w:jc w:val="right"/>
              <w:rPr>
                <w:rFonts w:ascii="Arial" w:hAnsi="Arial" w:cs="Arial"/>
                <w:szCs w:val="18"/>
                <w:highlight w:val="yellow"/>
              </w:rPr>
            </w:pPr>
            <w:r w:rsidRPr="00930B62">
              <w:rPr>
                <w:rFonts w:ascii="Arial" w:hAnsi="Arial" w:cs="Arial"/>
                <w:szCs w:val="18"/>
                <w:highlight w:val="yellow"/>
              </w:rPr>
              <w:t>40</w:t>
            </w:r>
          </w:p>
        </w:tc>
        <w:tc>
          <w:tcPr>
            <w:tcW w:w="628" w:type="pct"/>
            <w:tcBorders>
              <w:top w:val="single" w:sz="4" w:space="0" w:color="auto"/>
              <w:left w:val="single" w:sz="4" w:space="0" w:color="auto"/>
              <w:bottom w:val="single" w:sz="4" w:space="0" w:color="auto"/>
              <w:right w:val="single" w:sz="4" w:space="0" w:color="auto"/>
            </w:tcBorders>
            <w:shd w:val="clear" w:color="auto" w:fill="auto"/>
            <w:vAlign w:val="bottom"/>
          </w:tcPr>
          <w:p w:rsidR="007D3433" w:rsidRPr="00930B62" w:rsidRDefault="007D3433" w:rsidP="00311D91">
            <w:pPr>
              <w:pStyle w:val="TableText"/>
              <w:jc w:val="right"/>
              <w:rPr>
                <w:rFonts w:ascii="Arial" w:hAnsi="Arial" w:cs="Arial"/>
                <w:szCs w:val="18"/>
                <w:highlight w:val="yellow"/>
              </w:rPr>
            </w:pPr>
            <w:r w:rsidRPr="00930B62">
              <w:rPr>
                <w:rFonts w:ascii="Arial" w:hAnsi="Arial" w:cs="Arial"/>
                <w:szCs w:val="18"/>
                <w:highlight w:val="yellow"/>
              </w:rPr>
              <w:t>1</w:t>
            </w:r>
          </w:p>
        </w:tc>
        <w:tc>
          <w:tcPr>
            <w:tcW w:w="626" w:type="pct"/>
            <w:tcBorders>
              <w:top w:val="single" w:sz="4" w:space="0" w:color="auto"/>
              <w:left w:val="single" w:sz="4" w:space="0" w:color="auto"/>
              <w:bottom w:val="single" w:sz="4" w:space="0" w:color="auto"/>
              <w:right w:val="single" w:sz="4" w:space="0" w:color="auto"/>
            </w:tcBorders>
            <w:shd w:val="clear" w:color="auto" w:fill="auto"/>
            <w:vAlign w:val="bottom"/>
          </w:tcPr>
          <w:p w:rsidR="007D3433" w:rsidRPr="00930B62" w:rsidRDefault="007D3433" w:rsidP="00311D91">
            <w:pPr>
              <w:pStyle w:val="TableText"/>
              <w:tabs>
                <w:tab w:val="decimal" w:pos="585"/>
              </w:tabs>
              <w:jc w:val="right"/>
              <w:rPr>
                <w:rFonts w:ascii="Arial" w:hAnsi="Arial" w:cs="Arial"/>
                <w:szCs w:val="18"/>
                <w:highlight w:val="yellow"/>
              </w:rPr>
            </w:pPr>
            <w:r w:rsidRPr="00930B62">
              <w:rPr>
                <w:rFonts w:ascii="Arial" w:hAnsi="Arial" w:cs="Arial"/>
                <w:szCs w:val="18"/>
                <w:highlight w:val="yellow"/>
              </w:rPr>
              <w:t>1.5</w:t>
            </w:r>
          </w:p>
        </w:tc>
        <w:tc>
          <w:tcPr>
            <w:tcW w:w="626" w:type="pct"/>
            <w:tcBorders>
              <w:top w:val="single" w:sz="4" w:space="0" w:color="auto"/>
              <w:left w:val="single" w:sz="4" w:space="0" w:color="auto"/>
              <w:bottom w:val="single" w:sz="4" w:space="0" w:color="auto"/>
              <w:right w:val="single" w:sz="4" w:space="0" w:color="auto"/>
            </w:tcBorders>
            <w:vAlign w:val="bottom"/>
          </w:tcPr>
          <w:p w:rsidR="007D3433" w:rsidRPr="00930B62" w:rsidRDefault="007D3433" w:rsidP="00311D91">
            <w:pPr>
              <w:pStyle w:val="TableText"/>
              <w:jc w:val="right"/>
              <w:rPr>
                <w:rFonts w:ascii="Arial" w:hAnsi="Arial" w:cs="Arial"/>
                <w:color w:val="000000"/>
                <w:szCs w:val="18"/>
                <w:highlight w:val="yellow"/>
              </w:rPr>
            </w:pPr>
            <w:r w:rsidRPr="00930B62">
              <w:rPr>
                <w:rFonts w:ascii="Arial" w:hAnsi="Arial" w:cs="Arial"/>
                <w:color w:val="000000"/>
                <w:szCs w:val="18"/>
                <w:highlight w:val="yellow"/>
              </w:rPr>
              <w:t>0</w:t>
            </w:r>
          </w:p>
        </w:tc>
        <w:tc>
          <w:tcPr>
            <w:tcW w:w="626" w:type="pct"/>
            <w:tcBorders>
              <w:top w:val="single" w:sz="4" w:space="0" w:color="auto"/>
              <w:left w:val="single" w:sz="4" w:space="0" w:color="auto"/>
              <w:bottom w:val="single" w:sz="4" w:space="0" w:color="auto"/>
              <w:right w:val="single" w:sz="4" w:space="0" w:color="auto"/>
            </w:tcBorders>
            <w:vAlign w:val="bottom"/>
          </w:tcPr>
          <w:p w:rsidR="007D3433" w:rsidRPr="00930B62" w:rsidRDefault="007D3433" w:rsidP="00311D91">
            <w:pPr>
              <w:pStyle w:val="TableText"/>
              <w:jc w:val="right"/>
              <w:rPr>
                <w:rFonts w:ascii="Arial" w:hAnsi="Arial" w:cs="Arial"/>
                <w:szCs w:val="18"/>
                <w:highlight w:val="yellow"/>
              </w:rPr>
            </w:pPr>
            <w:r w:rsidRPr="00930B62">
              <w:rPr>
                <w:rFonts w:ascii="Arial" w:hAnsi="Arial" w:cs="Arial"/>
                <w:color w:val="000000"/>
                <w:szCs w:val="18"/>
                <w:highlight w:val="yellow"/>
              </w:rPr>
              <w:t>60</w:t>
            </w:r>
          </w:p>
        </w:tc>
        <w:tc>
          <w:tcPr>
            <w:tcW w:w="626" w:type="pct"/>
            <w:tcBorders>
              <w:top w:val="single" w:sz="4" w:space="0" w:color="auto"/>
              <w:left w:val="single" w:sz="4" w:space="0" w:color="auto"/>
              <w:bottom w:val="single" w:sz="4" w:space="0" w:color="auto"/>
              <w:right w:val="single" w:sz="4" w:space="0" w:color="auto"/>
            </w:tcBorders>
            <w:vAlign w:val="bottom"/>
          </w:tcPr>
          <w:p w:rsidR="007D3433" w:rsidRPr="00930B62" w:rsidRDefault="007D3433" w:rsidP="00311D91">
            <w:pPr>
              <w:pStyle w:val="TableText"/>
              <w:jc w:val="right"/>
              <w:rPr>
                <w:rFonts w:ascii="Arial" w:hAnsi="Arial" w:cs="Arial"/>
                <w:szCs w:val="18"/>
                <w:highlight w:val="yellow"/>
              </w:rPr>
            </w:pPr>
            <w:r w:rsidRPr="00930B62">
              <w:rPr>
                <w:rFonts w:ascii="Arial" w:hAnsi="Arial" w:cs="Arial"/>
                <w:color w:val="000000"/>
                <w:szCs w:val="18"/>
                <w:highlight w:val="yellow"/>
              </w:rPr>
              <w:t>60</w:t>
            </w:r>
          </w:p>
        </w:tc>
      </w:tr>
      <w:tr w:rsidR="007D3433" w:rsidRPr="00AC5873" w:rsidTr="00311D91">
        <w:tc>
          <w:tcPr>
            <w:tcW w:w="1149" w:type="pct"/>
            <w:tcBorders>
              <w:top w:val="single" w:sz="4" w:space="0" w:color="auto"/>
              <w:left w:val="single" w:sz="4" w:space="0" w:color="auto"/>
              <w:bottom w:val="single" w:sz="4" w:space="0" w:color="auto"/>
              <w:right w:val="single" w:sz="4" w:space="0" w:color="auto"/>
            </w:tcBorders>
            <w:shd w:val="clear" w:color="auto" w:fill="auto"/>
          </w:tcPr>
          <w:p w:rsidR="007D3433" w:rsidRPr="00930B62" w:rsidRDefault="007D3433" w:rsidP="004B69B0">
            <w:pPr>
              <w:pStyle w:val="TableText"/>
              <w:rPr>
                <w:rFonts w:ascii="Arial" w:hAnsi="Arial" w:cs="Arial"/>
                <w:szCs w:val="18"/>
                <w:highlight w:val="yellow"/>
              </w:rPr>
            </w:pPr>
            <w:r w:rsidRPr="00930B62">
              <w:rPr>
                <w:rFonts w:ascii="Arial" w:hAnsi="Arial" w:cs="Arial"/>
                <w:szCs w:val="18"/>
                <w:highlight w:val="yellow"/>
              </w:rPr>
              <w:t>Total</w:t>
            </w:r>
          </w:p>
        </w:tc>
        <w:tc>
          <w:tcPr>
            <w:tcW w:w="719" w:type="pct"/>
            <w:tcBorders>
              <w:top w:val="single" w:sz="4" w:space="0" w:color="auto"/>
              <w:left w:val="single" w:sz="4" w:space="0" w:color="auto"/>
              <w:bottom w:val="single" w:sz="4" w:space="0" w:color="auto"/>
              <w:right w:val="single" w:sz="4" w:space="0" w:color="auto"/>
            </w:tcBorders>
            <w:shd w:val="clear" w:color="auto" w:fill="auto"/>
            <w:vAlign w:val="bottom"/>
          </w:tcPr>
          <w:p w:rsidR="007D3433" w:rsidRPr="00930B62" w:rsidRDefault="003F1C03" w:rsidP="00311D91">
            <w:pPr>
              <w:pStyle w:val="TableText"/>
              <w:jc w:val="right"/>
              <w:rPr>
                <w:rFonts w:ascii="Arial" w:hAnsi="Arial" w:cs="Arial"/>
                <w:szCs w:val="18"/>
                <w:highlight w:val="yellow"/>
              </w:rPr>
            </w:pPr>
            <w:r w:rsidRPr="00930B62">
              <w:rPr>
                <w:rFonts w:ascii="Arial" w:hAnsi="Arial" w:cs="Arial"/>
                <w:szCs w:val="18"/>
                <w:highlight w:val="yellow"/>
              </w:rPr>
              <w:t>1,</w:t>
            </w:r>
            <w:r w:rsidR="006206AF" w:rsidRPr="00930B62">
              <w:rPr>
                <w:rFonts w:ascii="Arial" w:hAnsi="Arial" w:cs="Arial"/>
                <w:szCs w:val="18"/>
                <w:highlight w:val="yellow"/>
              </w:rPr>
              <w:t>006</w:t>
            </w:r>
            <w:r w:rsidR="006206AF" w:rsidRPr="00930B62">
              <w:rPr>
                <w:rFonts w:ascii="Arial" w:hAnsi="Arial" w:cs="Arial"/>
                <w:color w:val="000000"/>
                <w:szCs w:val="18"/>
                <w:highlight w:val="yellow"/>
                <w:vertAlign w:val="superscript"/>
              </w:rPr>
              <w:t>c</w:t>
            </w:r>
          </w:p>
        </w:tc>
        <w:tc>
          <w:tcPr>
            <w:tcW w:w="628" w:type="pct"/>
            <w:tcBorders>
              <w:top w:val="single" w:sz="4" w:space="0" w:color="auto"/>
              <w:left w:val="single" w:sz="4" w:space="0" w:color="auto"/>
              <w:bottom w:val="single" w:sz="4" w:space="0" w:color="auto"/>
              <w:right w:val="single" w:sz="4" w:space="0" w:color="auto"/>
            </w:tcBorders>
            <w:shd w:val="clear" w:color="auto" w:fill="auto"/>
            <w:vAlign w:val="bottom"/>
          </w:tcPr>
          <w:p w:rsidR="007D3433" w:rsidRPr="00930B62" w:rsidRDefault="007D3433" w:rsidP="00311D91">
            <w:pPr>
              <w:pStyle w:val="TableText"/>
              <w:jc w:val="right"/>
              <w:rPr>
                <w:rFonts w:ascii="Arial" w:hAnsi="Arial" w:cs="Arial"/>
                <w:szCs w:val="18"/>
                <w:highlight w:val="yellow"/>
              </w:rPr>
            </w:pPr>
            <w:r w:rsidRPr="00930B62">
              <w:rPr>
                <w:rFonts w:ascii="Arial" w:hAnsi="Arial" w:cs="Arial"/>
                <w:szCs w:val="18"/>
                <w:highlight w:val="yellow"/>
              </w:rPr>
              <w:t>na</w:t>
            </w:r>
          </w:p>
        </w:tc>
        <w:tc>
          <w:tcPr>
            <w:tcW w:w="626" w:type="pct"/>
            <w:tcBorders>
              <w:top w:val="single" w:sz="4" w:space="0" w:color="auto"/>
              <w:left w:val="single" w:sz="4" w:space="0" w:color="auto"/>
              <w:bottom w:val="single" w:sz="4" w:space="0" w:color="auto"/>
              <w:right w:val="single" w:sz="4" w:space="0" w:color="auto"/>
            </w:tcBorders>
            <w:shd w:val="clear" w:color="auto" w:fill="auto"/>
            <w:vAlign w:val="bottom"/>
          </w:tcPr>
          <w:p w:rsidR="007D3433" w:rsidRPr="00930B62" w:rsidRDefault="007D3433" w:rsidP="00311D91">
            <w:pPr>
              <w:pStyle w:val="TableText"/>
              <w:tabs>
                <w:tab w:val="decimal" w:pos="585"/>
              </w:tabs>
              <w:jc w:val="right"/>
              <w:rPr>
                <w:rFonts w:ascii="Arial" w:hAnsi="Arial" w:cs="Arial"/>
                <w:szCs w:val="18"/>
                <w:highlight w:val="yellow"/>
              </w:rPr>
            </w:pPr>
            <w:r w:rsidRPr="00930B62">
              <w:rPr>
                <w:rFonts w:ascii="Arial" w:hAnsi="Arial" w:cs="Arial"/>
                <w:szCs w:val="18"/>
                <w:highlight w:val="yellow"/>
              </w:rPr>
              <w:t>na</w:t>
            </w:r>
          </w:p>
        </w:tc>
        <w:tc>
          <w:tcPr>
            <w:tcW w:w="626" w:type="pct"/>
            <w:tcBorders>
              <w:top w:val="single" w:sz="4" w:space="0" w:color="auto"/>
              <w:left w:val="single" w:sz="4" w:space="0" w:color="auto"/>
              <w:bottom w:val="single" w:sz="4" w:space="0" w:color="auto"/>
              <w:right w:val="single" w:sz="4" w:space="0" w:color="auto"/>
            </w:tcBorders>
            <w:vAlign w:val="bottom"/>
          </w:tcPr>
          <w:p w:rsidR="007D3433" w:rsidRPr="00930B62" w:rsidRDefault="003F1C03" w:rsidP="00311D91">
            <w:pPr>
              <w:pStyle w:val="TableText"/>
              <w:jc w:val="right"/>
              <w:rPr>
                <w:rFonts w:ascii="Arial" w:hAnsi="Arial" w:cs="Arial"/>
                <w:color w:val="000000"/>
                <w:szCs w:val="18"/>
                <w:highlight w:val="yellow"/>
              </w:rPr>
            </w:pPr>
            <w:r w:rsidRPr="00930B62">
              <w:rPr>
                <w:rFonts w:ascii="Arial" w:hAnsi="Arial" w:cs="Arial"/>
                <w:color w:val="000000"/>
                <w:szCs w:val="18"/>
                <w:highlight w:val="yellow"/>
              </w:rPr>
              <w:t>702</w:t>
            </w:r>
          </w:p>
        </w:tc>
        <w:tc>
          <w:tcPr>
            <w:tcW w:w="626" w:type="pct"/>
            <w:tcBorders>
              <w:top w:val="single" w:sz="4" w:space="0" w:color="auto"/>
              <w:left w:val="single" w:sz="4" w:space="0" w:color="auto"/>
              <w:bottom w:val="single" w:sz="4" w:space="0" w:color="auto"/>
              <w:right w:val="single" w:sz="4" w:space="0" w:color="auto"/>
            </w:tcBorders>
            <w:vAlign w:val="bottom"/>
          </w:tcPr>
          <w:p w:rsidR="007D3433" w:rsidRPr="00930B62" w:rsidRDefault="003F1C03" w:rsidP="00311D91">
            <w:pPr>
              <w:pStyle w:val="TableText"/>
              <w:jc w:val="right"/>
              <w:rPr>
                <w:rFonts w:ascii="Arial" w:hAnsi="Arial" w:cs="Arial"/>
                <w:color w:val="000000"/>
                <w:szCs w:val="18"/>
                <w:highlight w:val="yellow"/>
              </w:rPr>
            </w:pPr>
            <w:r w:rsidRPr="00930B62">
              <w:rPr>
                <w:rFonts w:ascii="Arial" w:hAnsi="Arial" w:cs="Arial"/>
                <w:color w:val="000000"/>
                <w:szCs w:val="18"/>
                <w:highlight w:val="yellow"/>
              </w:rPr>
              <w:t>1,2</w:t>
            </w:r>
            <w:r w:rsidR="00644B5C" w:rsidRPr="00930B62">
              <w:rPr>
                <w:rFonts w:ascii="Arial" w:hAnsi="Arial" w:cs="Arial"/>
                <w:color w:val="000000"/>
                <w:szCs w:val="18"/>
                <w:highlight w:val="yellow"/>
              </w:rPr>
              <w:t>53</w:t>
            </w:r>
          </w:p>
        </w:tc>
        <w:tc>
          <w:tcPr>
            <w:tcW w:w="626" w:type="pct"/>
            <w:tcBorders>
              <w:top w:val="single" w:sz="4" w:space="0" w:color="auto"/>
              <w:left w:val="single" w:sz="4" w:space="0" w:color="auto"/>
              <w:bottom w:val="single" w:sz="4" w:space="0" w:color="auto"/>
              <w:right w:val="single" w:sz="4" w:space="0" w:color="auto"/>
            </w:tcBorders>
            <w:vAlign w:val="bottom"/>
          </w:tcPr>
          <w:p w:rsidR="007D3433" w:rsidRPr="00930B62" w:rsidRDefault="007D3433" w:rsidP="00311D91">
            <w:pPr>
              <w:pStyle w:val="TableText"/>
              <w:jc w:val="right"/>
              <w:rPr>
                <w:rFonts w:ascii="Arial" w:hAnsi="Arial" w:cs="Arial"/>
                <w:szCs w:val="18"/>
                <w:highlight w:val="yellow"/>
              </w:rPr>
            </w:pPr>
            <w:r w:rsidRPr="00930B62">
              <w:rPr>
                <w:rFonts w:ascii="Arial" w:hAnsi="Arial" w:cs="Arial"/>
                <w:color w:val="000000"/>
                <w:szCs w:val="18"/>
                <w:highlight w:val="yellow"/>
              </w:rPr>
              <w:t>1,955</w:t>
            </w:r>
          </w:p>
        </w:tc>
      </w:tr>
    </w:tbl>
    <w:p w:rsidR="009231EE" w:rsidRPr="00AC5873" w:rsidRDefault="007C68A8" w:rsidP="009231EE">
      <w:pPr>
        <w:pStyle w:val="TableSignificanceCaption"/>
        <w:ind w:left="180" w:hanging="180"/>
        <w:rPr>
          <w:rFonts w:ascii="Garamond" w:hAnsi="Garamond"/>
          <w:color w:val="000000"/>
          <w:sz w:val="20"/>
          <w:szCs w:val="20"/>
          <w:highlight w:val="yellow"/>
        </w:rPr>
      </w:pPr>
      <w:r w:rsidRPr="00AC5873">
        <w:rPr>
          <w:rFonts w:ascii="Garamond" w:hAnsi="Garamond"/>
          <w:color w:val="000000"/>
          <w:sz w:val="20"/>
          <w:szCs w:val="20"/>
          <w:highlight w:val="yellow"/>
          <w:vertAlign w:val="superscript"/>
        </w:rPr>
        <w:t>a</w:t>
      </w:r>
      <w:r w:rsidR="009231EE" w:rsidRPr="00AC5873">
        <w:rPr>
          <w:rFonts w:ascii="Garamond" w:hAnsi="Garamond"/>
          <w:color w:val="000000"/>
          <w:sz w:val="20"/>
          <w:szCs w:val="20"/>
          <w:highlight w:val="yellow"/>
        </w:rPr>
        <w:t xml:space="preserve"> The number of respondents that will be interviewed in each state will vary depending on the number, scope, complexity, and nature of the projects implemented. This table reflects upper-bound estimates of total burden hours and the number of respondents per type per state.</w:t>
      </w:r>
    </w:p>
    <w:p w:rsidR="009231EE" w:rsidRDefault="007C68A8" w:rsidP="009231EE">
      <w:pPr>
        <w:pStyle w:val="TableSignificanceCaption"/>
        <w:rPr>
          <w:rFonts w:ascii="Garamond" w:hAnsi="Garamond"/>
          <w:color w:val="000000"/>
          <w:sz w:val="20"/>
          <w:szCs w:val="20"/>
          <w:highlight w:val="yellow"/>
        </w:rPr>
      </w:pPr>
      <w:r w:rsidRPr="00AC5873">
        <w:rPr>
          <w:rFonts w:ascii="Garamond" w:hAnsi="Garamond"/>
          <w:color w:val="000000"/>
          <w:sz w:val="20"/>
          <w:szCs w:val="20"/>
          <w:highlight w:val="yellow"/>
          <w:vertAlign w:val="superscript"/>
        </w:rPr>
        <w:t>b</w:t>
      </w:r>
      <w:r w:rsidR="009231EE" w:rsidRPr="00AC5873">
        <w:rPr>
          <w:rFonts w:ascii="Garamond" w:hAnsi="Garamond"/>
          <w:color w:val="000000"/>
          <w:sz w:val="20"/>
          <w:szCs w:val="20"/>
          <w:highlight w:val="yellow"/>
          <w:vertAlign w:val="superscript"/>
        </w:rPr>
        <w:t xml:space="preserve"> </w:t>
      </w:r>
      <w:r w:rsidR="009231EE" w:rsidRPr="00AC5873">
        <w:rPr>
          <w:rFonts w:ascii="Garamond" w:hAnsi="Garamond"/>
          <w:color w:val="000000"/>
          <w:sz w:val="20"/>
          <w:szCs w:val="20"/>
          <w:highlight w:val="yellow"/>
        </w:rPr>
        <w:t>Based on an expected 70% screen-in rate</w:t>
      </w:r>
    </w:p>
    <w:p w:rsidR="006206AF" w:rsidRPr="00AC5873" w:rsidRDefault="006206AF" w:rsidP="00644B5C">
      <w:pPr>
        <w:pStyle w:val="TableSignificanceCaption"/>
        <w:ind w:left="180" w:hanging="180"/>
        <w:rPr>
          <w:rFonts w:ascii="Garamond" w:hAnsi="Garamond"/>
          <w:color w:val="000000"/>
          <w:sz w:val="20"/>
          <w:szCs w:val="20"/>
          <w:highlight w:val="yellow"/>
        </w:rPr>
      </w:pPr>
      <w:r w:rsidRPr="006206AF">
        <w:rPr>
          <w:rFonts w:ascii="Garamond" w:hAnsi="Garamond"/>
          <w:color w:val="000000"/>
          <w:sz w:val="20"/>
          <w:szCs w:val="20"/>
          <w:highlight w:val="yellow"/>
          <w:vertAlign w:val="superscript"/>
        </w:rPr>
        <w:t>c</w:t>
      </w:r>
      <w:r>
        <w:rPr>
          <w:rFonts w:ascii="Garamond" w:hAnsi="Garamond"/>
          <w:color w:val="000000"/>
          <w:sz w:val="20"/>
          <w:szCs w:val="20"/>
          <w:highlight w:val="yellow"/>
          <w:vertAlign w:val="superscript"/>
        </w:rPr>
        <w:t xml:space="preserve"> </w:t>
      </w:r>
      <w:r w:rsidR="00644B5C" w:rsidRPr="00644B5C">
        <w:rPr>
          <w:rFonts w:ascii="Garamond" w:hAnsi="Garamond"/>
          <w:color w:val="000000"/>
          <w:sz w:val="20"/>
          <w:szCs w:val="20"/>
          <w:highlight w:val="yellow"/>
        </w:rPr>
        <w:t xml:space="preserve">Parent and adolescent </w:t>
      </w:r>
      <w:r w:rsidR="00644B5C">
        <w:rPr>
          <w:rFonts w:ascii="Garamond" w:hAnsi="Garamond"/>
          <w:color w:val="000000"/>
          <w:sz w:val="20"/>
          <w:szCs w:val="20"/>
          <w:highlight w:val="yellow"/>
        </w:rPr>
        <w:t>f</w:t>
      </w:r>
      <w:r w:rsidR="00644B5C" w:rsidRPr="00644B5C">
        <w:rPr>
          <w:rFonts w:ascii="Garamond" w:hAnsi="Garamond"/>
          <w:color w:val="000000"/>
          <w:sz w:val="20"/>
          <w:szCs w:val="20"/>
          <w:highlight w:val="yellow"/>
        </w:rPr>
        <w:t xml:space="preserve">ocus </w:t>
      </w:r>
      <w:r w:rsidR="00644B5C">
        <w:rPr>
          <w:rFonts w:ascii="Garamond" w:hAnsi="Garamond"/>
          <w:color w:val="000000"/>
          <w:sz w:val="20"/>
          <w:szCs w:val="20"/>
          <w:highlight w:val="yellow"/>
        </w:rPr>
        <w:t xml:space="preserve">group respondents will complete the screener, pre-focus group interview, and participate in a focus group. They were only counted once in the total number of respondents. </w:t>
      </w:r>
    </w:p>
    <w:p w:rsidR="00F14A77" w:rsidRPr="00AC5873" w:rsidRDefault="00F14A77" w:rsidP="00EC5800">
      <w:pPr>
        <w:pStyle w:val="MarkforExhibitHeading"/>
        <w:rPr>
          <w:rFonts w:ascii="Arial" w:hAnsi="Arial" w:cs="Arial"/>
          <w:highlight w:val="yellow"/>
        </w:rPr>
      </w:pPr>
    </w:p>
    <w:p w:rsidR="00597594" w:rsidRDefault="00F62F86" w:rsidP="00597594">
      <w:pPr>
        <w:pStyle w:val="NormalSS"/>
        <w:ind w:firstLine="0"/>
        <w:jc w:val="left"/>
      </w:pPr>
      <w:r w:rsidRPr="00AC5873">
        <w:rPr>
          <w:highlight w:val="yellow"/>
        </w:rPr>
        <w:t xml:space="preserve">Exhibit 2 shows the estimated </w:t>
      </w:r>
      <w:r w:rsidR="00597594">
        <w:rPr>
          <w:highlight w:val="yellow"/>
        </w:rPr>
        <w:t>total</w:t>
      </w:r>
      <w:r w:rsidRPr="00AC5873">
        <w:rPr>
          <w:highlight w:val="yellow"/>
        </w:rPr>
        <w:t xml:space="preserve"> cost burden associated with respondents</w:t>
      </w:r>
      <w:r w:rsidR="00BC2F43">
        <w:rPr>
          <w:highlight w:val="yellow"/>
        </w:rPr>
        <w:t>’</w:t>
      </w:r>
      <w:r w:rsidRPr="00AC5873">
        <w:rPr>
          <w:highlight w:val="yellow"/>
        </w:rPr>
        <w:t xml:space="preserve"> time to participate in </w:t>
      </w:r>
      <w:r w:rsidR="00BC2F43">
        <w:rPr>
          <w:highlight w:val="yellow"/>
        </w:rPr>
        <w:t>both round 1 and round 2 of qualitative data collection</w:t>
      </w:r>
      <w:r w:rsidR="00597594">
        <w:rPr>
          <w:highlight w:val="yellow"/>
        </w:rPr>
        <w:t xml:space="preserve">.  </w:t>
      </w:r>
      <w:r w:rsidR="004C384D">
        <w:rPr>
          <w:highlight w:val="yellow"/>
        </w:rPr>
        <w:t>Of this amount, t</w:t>
      </w:r>
      <w:r w:rsidR="00597594">
        <w:rPr>
          <w:highlight w:val="yellow"/>
        </w:rPr>
        <w:t xml:space="preserve">he total cost burden </w:t>
      </w:r>
      <w:r w:rsidRPr="00AC5873">
        <w:rPr>
          <w:highlight w:val="yellow"/>
        </w:rPr>
        <w:t>is estimated to be $</w:t>
      </w:r>
      <w:r w:rsidR="00C3439E">
        <w:rPr>
          <w:highlight w:val="yellow"/>
        </w:rPr>
        <w:t>75,20</w:t>
      </w:r>
      <w:r w:rsidR="0053563F">
        <w:rPr>
          <w:highlight w:val="yellow"/>
        </w:rPr>
        <w:t>3</w:t>
      </w:r>
      <w:r w:rsidRPr="00AC5873">
        <w:rPr>
          <w:highlight w:val="yellow"/>
        </w:rPr>
        <w:t xml:space="preserve">. </w:t>
      </w:r>
      <w:r w:rsidR="007C68A8" w:rsidRPr="00AC5873">
        <w:rPr>
          <w:highlight w:val="yellow"/>
        </w:rPr>
        <w:t xml:space="preserve"> </w:t>
      </w:r>
      <w:r w:rsidR="00597594">
        <w:rPr>
          <w:highlight w:val="yellow"/>
        </w:rPr>
        <w:t xml:space="preserve">The annualized cost burden associated with the 2014 interviews and focus groups requested in this revised information request is estimated to be $42,796. </w:t>
      </w:r>
      <w:r w:rsidR="00597594" w:rsidRPr="00597594">
        <w:rPr>
          <w:highlight w:val="yellow"/>
        </w:rPr>
        <w:t xml:space="preserve">The </w:t>
      </w:r>
      <w:r w:rsidR="00597594">
        <w:rPr>
          <w:highlight w:val="yellow"/>
        </w:rPr>
        <w:t>cost burden</w:t>
      </w:r>
      <w:r w:rsidR="00597594" w:rsidRPr="00597594">
        <w:rPr>
          <w:highlight w:val="yellow"/>
        </w:rPr>
        <w:t xml:space="preserve"> for the 2014 data collection </w:t>
      </w:r>
      <w:r w:rsidR="00597594">
        <w:rPr>
          <w:highlight w:val="yellow"/>
        </w:rPr>
        <w:t>is</w:t>
      </w:r>
      <w:r w:rsidR="00597594" w:rsidRPr="00597594">
        <w:rPr>
          <w:highlight w:val="yellow"/>
        </w:rPr>
        <w:t xml:space="preserve"> higher than </w:t>
      </w:r>
      <w:r w:rsidR="00597594">
        <w:rPr>
          <w:highlight w:val="yellow"/>
        </w:rPr>
        <w:t xml:space="preserve">the </w:t>
      </w:r>
      <w:r w:rsidR="00597594" w:rsidRPr="00597594">
        <w:rPr>
          <w:highlight w:val="yellow"/>
        </w:rPr>
        <w:t>2012 data collection because focus groups will only be completed in 2014.</w:t>
      </w:r>
      <w:r w:rsidR="00597594">
        <w:t xml:space="preserve"> </w:t>
      </w:r>
    </w:p>
    <w:p w:rsidR="00311D91" w:rsidRDefault="00311D91" w:rsidP="00597594">
      <w:pPr>
        <w:pStyle w:val="NormalSS"/>
        <w:ind w:firstLine="0"/>
        <w:jc w:val="left"/>
      </w:pPr>
    </w:p>
    <w:p w:rsidR="00311D91" w:rsidRDefault="00311D91" w:rsidP="00597594">
      <w:pPr>
        <w:pStyle w:val="NormalSS"/>
        <w:ind w:firstLine="0"/>
        <w:jc w:val="left"/>
      </w:pPr>
    </w:p>
    <w:p w:rsidR="00311D91" w:rsidRDefault="00311D91" w:rsidP="00597594">
      <w:pPr>
        <w:pStyle w:val="NormalSS"/>
        <w:ind w:firstLine="0"/>
        <w:jc w:val="left"/>
      </w:pPr>
    </w:p>
    <w:p w:rsidR="00311D91" w:rsidRDefault="00311D91" w:rsidP="00597594">
      <w:pPr>
        <w:pStyle w:val="NormalSS"/>
        <w:ind w:firstLine="0"/>
        <w:jc w:val="left"/>
      </w:pPr>
    </w:p>
    <w:p w:rsidR="00311D91" w:rsidRDefault="00311D91" w:rsidP="00597594">
      <w:pPr>
        <w:pStyle w:val="NormalSS"/>
        <w:ind w:firstLine="0"/>
        <w:jc w:val="left"/>
      </w:pPr>
    </w:p>
    <w:p w:rsidR="00311D91" w:rsidRDefault="00311D91" w:rsidP="00597594">
      <w:pPr>
        <w:pStyle w:val="NormalSS"/>
        <w:ind w:firstLine="0"/>
        <w:jc w:val="left"/>
      </w:pPr>
    </w:p>
    <w:p w:rsidR="00311D91" w:rsidRDefault="00311D91" w:rsidP="00597594">
      <w:pPr>
        <w:pStyle w:val="NormalSS"/>
        <w:ind w:firstLine="0"/>
        <w:jc w:val="left"/>
      </w:pPr>
    </w:p>
    <w:p w:rsidR="00311D91" w:rsidRPr="00405DF5" w:rsidRDefault="00311D91" w:rsidP="00597594">
      <w:pPr>
        <w:pStyle w:val="NormalSS"/>
        <w:ind w:firstLine="0"/>
        <w:jc w:val="left"/>
      </w:pPr>
    </w:p>
    <w:p w:rsidR="00EC5800" w:rsidRPr="00AC5873" w:rsidRDefault="00F62F86" w:rsidP="00EC5800">
      <w:pPr>
        <w:pStyle w:val="MarkforExhibitHeading"/>
        <w:rPr>
          <w:rFonts w:ascii="Arial" w:hAnsi="Arial" w:cs="Arial"/>
          <w:highlight w:val="yellow"/>
        </w:rPr>
      </w:pPr>
      <w:r w:rsidRPr="00AC5873">
        <w:rPr>
          <w:rFonts w:ascii="Arial" w:hAnsi="Arial" w:cs="Arial"/>
          <w:highlight w:val="yellow"/>
        </w:rPr>
        <w:lastRenderedPageBreak/>
        <w:t xml:space="preserve">Exhibit 2.  Estimated </w:t>
      </w:r>
      <w:r w:rsidR="00597594">
        <w:rPr>
          <w:rFonts w:ascii="Arial" w:hAnsi="Arial" w:cs="Arial"/>
          <w:highlight w:val="yellow"/>
        </w:rPr>
        <w:t>Total</w:t>
      </w:r>
      <w:r w:rsidRPr="00AC5873">
        <w:rPr>
          <w:rFonts w:ascii="Arial" w:hAnsi="Arial" w:cs="Arial"/>
          <w:highlight w:val="yellow"/>
        </w:rPr>
        <w:t xml:space="preserve"> Cost Burden</w:t>
      </w:r>
    </w:p>
    <w:tbl>
      <w:tblPr>
        <w:tblStyle w:val="TableGrid"/>
        <w:tblW w:w="4653" w:type="pct"/>
        <w:tblInd w:w="115" w:type="dxa"/>
        <w:tblBorders>
          <w:top w:val="single" w:sz="12"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53"/>
        <w:gridCol w:w="1353"/>
        <w:gridCol w:w="807"/>
        <w:gridCol w:w="811"/>
        <w:gridCol w:w="975"/>
        <w:gridCol w:w="937"/>
        <w:gridCol w:w="893"/>
        <w:gridCol w:w="982"/>
      </w:tblGrid>
      <w:tr w:rsidR="00311D91" w:rsidRPr="00644B5C" w:rsidTr="00311D91">
        <w:trPr>
          <w:tblHeader/>
        </w:trPr>
        <w:tc>
          <w:tcPr>
            <w:tcW w:w="1208" w:type="pct"/>
            <w:tcBorders>
              <w:top w:val="single" w:sz="12" w:space="0" w:color="auto"/>
              <w:left w:val="single" w:sz="4" w:space="0" w:color="auto"/>
              <w:bottom w:val="single" w:sz="4" w:space="0" w:color="auto"/>
              <w:right w:val="single" w:sz="4" w:space="0" w:color="auto"/>
            </w:tcBorders>
            <w:shd w:val="clear" w:color="auto" w:fill="auto"/>
            <w:vAlign w:val="bottom"/>
          </w:tcPr>
          <w:p w:rsidR="00644B5C" w:rsidRPr="00930B62" w:rsidRDefault="00644B5C" w:rsidP="00644B5C">
            <w:pPr>
              <w:pStyle w:val="TableHeaderLeft"/>
              <w:tabs>
                <w:tab w:val="clear" w:pos="432"/>
              </w:tabs>
              <w:rPr>
                <w:rFonts w:ascii="Arial" w:hAnsi="Arial" w:cs="Arial"/>
                <w:szCs w:val="18"/>
                <w:highlight w:val="yellow"/>
              </w:rPr>
            </w:pPr>
          </w:p>
          <w:p w:rsidR="00311D91" w:rsidRPr="00930B62" w:rsidRDefault="00311D91" w:rsidP="00644B5C">
            <w:pPr>
              <w:pStyle w:val="TableHeaderLeft"/>
              <w:tabs>
                <w:tab w:val="clear" w:pos="432"/>
              </w:tabs>
              <w:rPr>
                <w:rFonts w:ascii="Arial" w:hAnsi="Arial" w:cs="Arial"/>
                <w:szCs w:val="18"/>
                <w:highlight w:val="yellow"/>
              </w:rPr>
            </w:pPr>
          </w:p>
        </w:tc>
        <w:tc>
          <w:tcPr>
            <w:tcW w:w="759" w:type="pct"/>
            <w:tcBorders>
              <w:top w:val="single" w:sz="12" w:space="0" w:color="auto"/>
              <w:left w:val="single" w:sz="4" w:space="0" w:color="auto"/>
              <w:bottom w:val="single" w:sz="4" w:space="0" w:color="auto"/>
              <w:right w:val="single" w:sz="4" w:space="0" w:color="auto"/>
            </w:tcBorders>
            <w:shd w:val="clear" w:color="auto" w:fill="auto"/>
            <w:vAlign w:val="bottom"/>
          </w:tcPr>
          <w:p w:rsidR="00644B5C" w:rsidRPr="00930B62" w:rsidRDefault="00644B5C" w:rsidP="00644B5C">
            <w:pPr>
              <w:pStyle w:val="TableHeaderCenter"/>
              <w:rPr>
                <w:rFonts w:ascii="Arial" w:hAnsi="Arial" w:cs="Arial"/>
                <w:szCs w:val="18"/>
                <w:highlight w:val="yellow"/>
              </w:rPr>
            </w:pPr>
            <w:r w:rsidRPr="00930B62">
              <w:rPr>
                <w:rFonts w:ascii="Arial" w:hAnsi="Arial" w:cs="Arial"/>
                <w:szCs w:val="18"/>
                <w:highlight w:val="yellow"/>
              </w:rPr>
              <w:t>Number of respondents</w:t>
            </w:r>
          </w:p>
        </w:tc>
        <w:tc>
          <w:tcPr>
            <w:tcW w:w="453" w:type="pct"/>
            <w:tcBorders>
              <w:top w:val="single" w:sz="12" w:space="0" w:color="auto"/>
              <w:left w:val="single" w:sz="4" w:space="0" w:color="auto"/>
              <w:bottom w:val="single" w:sz="4" w:space="0" w:color="auto"/>
              <w:right w:val="single" w:sz="4" w:space="0" w:color="auto"/>
            </w:tcBorders>
            <w:vAlign w:val="bottom"/>
          </w:tcPr>
          <w:p w:rsidR="00644B5C" w:rsidRPr="00930B62" w:rsidRDefault="00644B5C" w:rsidP="00644B5C">
            <w:pPr>
              <w:pStyle w:val="TableHeaderCenter"/>
              <w:rPr>
                <w:rFonts w:ascii="Arial" w:hAnsi="Arial" w:cs="Arial"/>
                <w:szCs w:val="18"/>
                <w:highlight w:val="yellow"/>
              </w:rPr>
            </w:pPr>
            <w:r w:rsidRPr="00930B62">
              <w:rPr>
                <w:rFonts w:ascii="Arial" w:hAnsi="Arial" w:cs="Arial"/>
                <w:szCs w:val="18"/>
                <w:highlight w:val="yellow"/>
              </w:rPr>
              <w:t>2012 burden hours</w:t>
            </w:r>
          </w:p>
        </w:tc>
        <w:tc>
          <w:tcPr>
            <w:tcW w:w="455" w:type="pct"/>
            <w:tcBorders>
              <w:top w:val="single" w:sz="12" w:space="0" w:color="auto"/>
              <w:left w:val="single" w:sz="4" w:space="0" w:color="auto"/>
              <w:bottom w:val="single" w:sz="4" w:space="0" w:color="auto"/>
              <w:right w:val="single" w:sz="4" w:space="0" w:color="auto"/>
            </w:tcBorders>
            <w:shd w:val="clear" w:color="auto" w:fill="auto"/>
            <w:vAlign w:val="bottom"/>
          </w:tcPr>
          <w:p w:rsidR="00644B5C" w:rsidRPr="00930B62" w:rsidRDefault="00644B5C" w:rsidP="00644B5C">
            <w:pPr>
              <w:pStyle w:val="TableHeaderCenter"/>
              <w:rPr>
                <w:rFonts w:ascii="Arial" w:hAnsi="Arial" w:cs="Arial"/>
                <w:szCs w:val="18"/>
                <w:highlight w:val="yellow"/>
              </w:rPr>
            </w:pPr>
            <w:r w:rsidRPr="00930B62">
              <w:rPr>
                <w:rFonts w:ascii="Arial" w:hAnsi="Arial" w:cs="Arial"/>
                <w:szCs w:val="18"/>
                <w:highlight w:val="yellow"/>
              </w:rPr>
              <w:t>2014 burden hours</w:t>
            </w:r>
          </w:p>
        </w:tc>
        <w:tc>
          <w:tcPr>
            <w:tcW w:w="547" w:type="pct"/>
            <w:tcBorders>
              <w:top w:val="single" w:sz="12" w:space="0" w:color="auto"/>
              <w:left w:val="single" w:sz="4" w:space="0" w:color="auto"/>
              <w:bottom w:val="single" w:sz="4" w:space="0" w:color="auto"/>
              <w:right w:val="single" w:sz="4" w:space="0" w:color="auto"/>
            </w:tcBorders>
            <w:shd w:val="clear" w:color="auto" w:fill="auto"/>
            <w:vAlign w:val="bottom"/>
          </w:tcPr>
          <w:p w:rsidR="00644B5C" w:rsidRPr="00930B62" w:rsidRDefault="00644B5C" w:rsidP="00644B5C">
            <w:pPr>
              <w:pStyle w:val="TableHeaderCenter"/>
              <w:rPr>
                <w:rFonts w:ascii="Arial" w:hAnsi="Arial" w:cs="Arial"/>
                <w:szCs w:val="18"/>
                <w:highlight w:val="yellow"/>
              </w:rPr>
            </w:pPr>
            <w:r w:rsidRPr="00930B62">
              <w:rPr>
                <w:rFonts w:ascii="Arial" w:hAnsi="Arial" w:cs="Arial"/>
                <w:szCs w:val="18"/>
                <w:highlight w:val="yellow"/>
              </w:rPr>
              <w:t>Average hourly wage</w:t>
            </w:r>
            <w:r w:rsidRPr="00930B62">
              <w:rPr>
                <w:rFonts w:ascii="Arial" w:hAnsi="Arial" w:cs="Arial"/>
                <w:szCs w:val="18"/>
                <w:highlight w:val="yellow"/>
                <w:vertAlign w:val="superscript"/>
              </w:rPr>
              <w:t>a</w:t>
            </w:r>
          </w:p>
        </w:tc>
        <w:tc>
          <w:tcPr>
            <w:tcW w:w="526" w:type="pct"/>
            <w:tcBorders>
              <w:top w:val="single" w:sz="12" w:space="0" w:color="auto"/>
              <w:left w:val="single" w:sz="4" w:space="0" w:color="auto"/>
              <w:bottom w:val="single" w:sz="4" w:space="0" w:color="auto"/>
              <w:right w:val="single" w:sz="4" w:space="0" w:color="auto"/>
            </w:tcBorders>
          </w:tcPr>
          <w:p w:rsidR="00644B5C" w:rsidRPr="00930B62" w:rsidRDefault="00644B5C" w:rsidP="00644B5C">
            <w:pPr>
              <w:pStyle w:val="TableHeaderCenter"/>
              <w:rPr>
                <w:rFonts w:ascii="Arial" w:hAnsi="Arial" w:cs="Arial"/>
                <w:szCs w:val="18"/>
                <w:highlight w:val="yellow"/>
              </w:rPr>
            </w:pPr>
            <w:r w:rsidRPr="00930B62">
              <w:rPr>
                <w:rFonts w:ascii="Arial" w:hAnsi="Arial" w:cs="Arial"/>
                <w:szCs w:val="18"/>
                <w:highlight w:val="yellow"/>
              </w:rPr>
              <w:t>2012 cost burden</w:t>
            </w:r>
          </w:p>
        </w:tc>
        <w:tc>
          <w:tcPr>
            <w:tcW w:w="501" w:type="pct"/>
            <w:tcBorders>
              <w:top w:val="single" w:sz="12" w:space="0" w:color="auto"/>
              <w:left w:val="single" w:sz="4" w:space="0" w:color="auto"/>
              <w:bottom w:val="single" w:sz="4" w:space="0" w:color="auto"/>
              <w:right w:val="single" w:sz="4" w:space="0" w:color="auto"/>
            </w:tcBorders>
          </w:tcPr>
          <w:p w:rsidR="00644B5C" w:rsidRPr="00930B62" w:rsidRDefault="00644B5C" w:rsidP="00644B5C">
            <w:pPr>
              <w:pStyle w:val="TableHeaderCenter"/>
              <w:rPr>
                <w:rFonts w:ascii="Arial" w:hAnsi="Arial" w:cs="Arial"/>
                <w:szCs w:val="18"/>
                <w:highlight w:val="yellow"/>
              </w:rPr>
            </w:pPr>
            <w:r w:rsidRPr="00930B62">
              <w:rPr>
                <w:rFonts w:ascii="Arial" w:hAnsi="Arial" w:cs="Arial"/>
                <w:szCs w:val="18"/>
                <w:highlight w:val="yellow"/>
              </w:rPr>
              <w:t>2014 cost burden</w:t>
            </w:r>
          </w:p>
        </w:tc>
        <w:tc>
          <w:tcPr>
            <w:tcW w:w="552" w:type="pct"/>
            <w:tcBorders>
              <w:top w:val="single" w:sz="12" w:space="0" w:color="auto"/>
              <w:left w:val="single" w:sz="4" w:space="0" w:color="auto"/>
              <w:bottom w:val="single" w:sz="4" w:space="0" w:color="auto"/>
              <w:right w:val="single" w:sz="4" w:space="0" w:color="auto"/>
            </w:tcBorders>
            <w:shd w:val="clear" w:color="auto" w:fill="auto"/>
            <w:vAlign w:val="bottom"/>
          </w:tcPr>
          <w:p w:rsidR="00644B5C" w:rsidRPr="00930B62" w:rsidRDefault="00644B5C" w:rsidP="00644B5C">
            <w:pPr>
              <w:pStyle w:val="TableHeaderCenter"/>
              <w:rPr>
                <w:rFonts w:ascii="Arial" w:hAnsi="Arial" w:cs="Arial"/>
                <w:szCs w:val="18"/>
                <w:highlight w:val="yellow"/>
              </w:rPr>
            </w:pPr>
            <w:r w:rsidRPr="00930B62">
              <w:rPr>
                <w:rFonts w:ascii="Arial" w:hAnsi="Arial" w:cs="Arial"/>
                <w:szCs w:val="18"/>
                <w:highlight w:val="yellow"/>
              </w:rPr>
              <w:t>Total cost burden</w:t>
            </w:r>
          </w:p>
        </w:tc>
      </w:tr>
      <w:tr w:rsidR="00311D91" w:rsidRPr="00644B5C" w:rsidTr="00311D91">
        <w:tc>
          <w:tcPr>
            <w:tcW w:w="1208" w:type="pct"/>
            <w:tcBorders>
              <w:top w:val="single" w:sz="4" w:space="0" w:color="auto"/>
              <w:left w:val="single" w:sz="4" w:space="0" w:color="auto"/>
              <w:bottom w:val="single" w:sz="4" w:space="0" w:color="auto"/>
              <w:right w:val="single" w:sz="4" w:space="0" w:color="auto"/>
            </w:tcBorders>
            <w:shd w:val="clear" w:color="auto" w:fill="auto"/>
            <w:vAlign w:val="center"/>
          </w:tcPr>
          <w:p w:rsidR="00311D91" w:rsidRPr="00930B62" w:rsidRDefault="00311D91" w:rsidP="00644B5C">
            <w:pPr>
              <w:pStyle w:val="TableText"/>
              <w:rPr>
                <w:rFonts w:ascii="Arial" w:hAnsi="Arial" w:cs="Arial"/>
                <w:szCs w:val="18"/>
                <w:highlight w:val="yellow"/>
              </w:rPr>
            </w:pPr>
            <w:r w:rsidRPr="00930B62">
              <w:rPr>
                <w:rFonts w:ascii="Arial" w:hAnsi="Arial" w:cs="Arial"/>
                <w:szCs w:val="18"/>
                <w:highlight w:val="yellow"/>
              </w:rPr>
              <w:t>Key  Staff Interviews</w:t>
            </w:r>
          </w:p>
        </w:tc>
        <w:tc>
          <w:tcPr>
            <w:tcW w:w="759" w:type="pct"/>
            <w:tcBorders>
              <w:top w:val="single" w:sz="4" w:space="0" w:color="auto"/>
              <w:left w:val="single" w:sz="4" w:space="0" w:color="auto"/>
              <w:bottom w:val="single" w:sz="4" w:space="0" w:color="auto"/>
              <w:right w:val="single" w:sz="4" w:space="0" w:color="auto"/>
            </w:tcBorders>
            <w:shd w:val="clear" w:color="auto" w:fill="auto"/>
            <w:vAlign w:val="bottom"/>
          </w:tcPr>
          <w:p w:rsidR="00311D91" w:rsidRPr="00930B62" w:rsidRDefault="00311D91" w:rsidP="00644B5C">
            <w:pPr>
              <w:pStyle w:val="TableText"/>
              <w:jc w:val="right"/>
              <w:rPr>
                <w:rFonts w:ascii="Arial" w:hAnsi="Arial" w:cs="Arial"/>
                <w:szCs w:val="18"/>
                <w:highlight w:val="yellow"/>
              </w:rPr>
            </w:pPr>
            <w:r w:rsidRPr="00930B62">
              <w:rPr>
                <w:rFonts w:ascii="Arial" w:hAnsi="Arial" w:cs="Arial"/>
                <w:szCs w:val="18"/>
                <w:highlight w:val="yellow"/>
              </w:rPr>
              <w:t>72</w:t>
            </w:r>
          </w:p>
        </w:tc>
        <w:tc>
          <w:tcPr>
            <w:tcW w:w="453" w:type="pct"/>
            <w:tcBorders>
              <w:top w:val="single" w:sz="4" w:space="0" w:color="auto"/>
              <w:left w:val="single" w:sz="4" w:space="0" w:color="auto"/>
              <w:bottom w:val="single" w:sz="4" w:space="0" w:color="auto"/>
              <w:right w:val="single" w:sz="4" w:space="0" w:color="auto"/>
            </w:tcBorders>
            <w:vAlign w:val="bottom"/>
          </w:tcPr>
          <w:p w:rsidR="00311D91" w:rsidRPr="00930B62" w:rsidRDefault="00311D91" w:rsidP="00644B5C">
            <w:pPr>
              <w:pStyle w:val="TableText"/>
              <w:jc w:val="right"/>
              <w:rPr>
                <w:rFonts w:ascii="Arial" w:hAnsi="Arial" w:cs="Arial"/>
                <w:color w:val="000000"/>
                <w:szCs w:val="18"/>
                <w:highlight w:val="yellow"/>
              </w:rPr>
            </w:pPr>
            <w:r w:rsidRPr="00930B62">
              <w:rPr>
                <w:rFonts w:ascii="Arial" w:hAnsi="Arial" w:cs="Arial"/>
                <w:color w:val="000000"/>
                <w:szCs w:val="18"/>
                <w:highlight w:val="yellow"/>
              </w:rPr>
              <w:t>108</w:t>
            </w:r>
          </w:p>
        </w:tc>
        <w:tc>
          <w:tcPr>
            <w:tcW w:w="455" w:type="pct"/>
            <w:tcBorders>
              <w:top w:val="single" w:sz="4" w:space="0" w:color="auto"/>
              <w:left w:val="single" w:sz="4" w:space="0" w:color="auto"/>
              <w:bottom w:val="single" w:sz="4" w:space="0" w:color="auto"/>
              <w:right w:val="single" w:sz="4" w:space="0" w:color="auto"/>
            </w:tcBorders>
            <w:shd w:val="clear" w:color="auto" w:fill="auto"/>
            <w:vAlign w:val="bottom"/>
          </w:tcPr>
          <w:p w:rsidR="00311D91" w:rsidRPr="00930B62" w:rsidRDefault="00311D91" w:rsidP="00644B5C">
            <w:pPr>
              <w:pStyle w:val="TableText"/>
              <w:jc w:val="right"/>
              <w:rPr>
                <w:rFonts w:ascii="Arial" w:hAnsi="Arial" w:cs="Arial"/>
                <w:color w:val="000000"/>
                <w:szCs w:val="18"/>
                <w:highlight w:val="yellow"/>
              </w:rPr>
            </w:pPr>
            <w:r w:rsidRPr="00930B62">
              <w:rPr>
                <w:rFonts w:ascii="Arial" w:hAnsi="Arial" w:cs="Arial"/>
                <w:color w:val="000000"/>
                <w:szCs w:val="18"/>
                <w:highlight w:val="yellow"/>
              </w:rPr>
              <w:t>108</w:t>
            </w:r>
          </w:p>
        </w:tc>
        <w:tc>
          <w:tcPr>
            <w:tcW w:w="547" w:type="pct"/>
            <w:tcBorders>
              <w:top w:val="single" w:sz="4" w:space="0" w:color="auto"/>
              <w:left w:val="single" w:sz="4" w:space="0" w:color="auto"/>
              <w:bottom w:val="single" w:sz="4" w:space="0" w:color="auto"/>
              <w:right w:val="single" w:sz="4" w:space="0" w:color="auto"/>
            </w:tcBorders>
            <w:shd w:val="clear" w:color="auto" w:fill="auto"/>
            <w:vAlign w:val="bottom"/>
          </w:tcPr>
          <w:p w:rsidR="00311D91" w:rsidRPr="00930B62" w:rsidRDefault="00311D91" w:rsidP="00644B5C">
            <w:pPr>
              <w:pStyle w:val="TableText"/>
              <w:jc w:val="right"/>
              <w:rPr>
                <w:rFonts w:ascii="Arial" w:hAnsi="Arial" w:cs="Arial"/>
                <w:szCs w:val="18"/>
                <w:highlight w:val="yellow"/>
              </w:rPr>
            </w:pPr>
            <w:r w:rsidRPr="00930B62">
              <w:rPr>
                <w:rFonts w:ascii="Arial" w:hAnsi="Arial" w:cs="Arial"/>
                <w:szCs w:val="18"/>
                <w:highlight w:val="yellow"/>
              </w:rPr>
              <w:t>$55.22</w:t>
            </w:r>
            <w:r w:rsidRPr="00930B62">
              <w:rPr>
                <w:rFonts w:ascii="Arial" w:hAnsi="Arial" w:cs="Arial"/>
                <w:szCs w:val="18"/>
                <w:highlight w:val="yellow"/>
                <w:vertAlign w:val="superscript"/>
              </w:rPr>
              <w:t>b</w:t>
            </w:r>
          </w:p>
        </w:tc>
        <w:tc>
          <w:tcPr>
            <w:tcW w:w="526" w:type="pct"/>
            <w:tcBorders>
              <w:top w:val="single" w:sz="4" w:space="0" w:color="auto"/>
              <w:left w:val="single" w:sz="4" w:space="0" w:color="auto"/>
              <w:bottom w:val="single" w:sz="4" w:space="0" w:color="auto"/>
              <w:right w:val="single" w:sz="4" w:space="0" w:color="auto"/>
            </w:tcBorders>
            <w:vAlign w:val="bottom"/>
          </w:tcPr>
          <w:p w:rsidR="00311D91" w:rsidRPr="00930B62" w:rsidRDefault="00311D91" w:rsidP="00311D91">
            <w:pPr>
              <w:spacing w:line="240" w:lineRule="auto"/>
              <w:ind w:firstLine="0"/>
              <w:jc w:val="right"/>
              <w:rPr>
                <w:rFonts w:ascii="Arial" w:hAnsi="Arial" w:cs="Arial"/>
                <w:color w:val="000000"/>
                <w:sz w:val="18"/>
                <w:szCs w:val="18"/>
                <w:highlight w:val="yellow"/>
              </w:rPr>
            </w:pPr>
            <w:r w:rsidRPr="00930B62">
              <w:rPr>
                <w:rFonts w:ascii="Arial" w:hAnsi="Arial" w:cs="Arial"/>
                <w:color w:val="000000"/>
                <w:sz w:val="18"/>
                <w:szCs w:val="18"/>
                <w:highlight w:val="yellow"/>
              </w:rPr>
              <w:t>$5,964</w:t>
            </w:r>
          </w:p>
        </w:tc>
        <w:tc>
          <w:tcPr>
            <w:tcW w:w="501" w:type="pct"/>
            <w:tcBorders>
              <w:top w:val="single" w:sz="4" w:space="0" w:color="auto"/>
              <w:left w:val="single" w:sz="4" w:space="0" w:color="auto"/>
              <w:bottom w:val="single" w:sz="4" w:space="0" w:color="auto"/>
              <w:right w:val="single" w:sz="4" w:space="0" w:color="auto"/>
            </w:tcBorders>
            <w:vAlign w:val="bottom"/>
          </w:tcPr>
          <w:p w:rsidR="00311D91" w:rsidRPr="00930B62" w:rsidRDefault="00311D91" w:rsidP="00311D91">
            <w:pPr>
              <w:spacing w:line="240" w:lineRule="auto"/>
              <w:ind w:firstLine="0"/>
              <w:jc w:val="right"/>
              <w:rPr>
                <w:rFonts w:ascii="Arial" w:hAnsi="Arial" w:cs="Arial"/>
                <w:color w:val="000000"/>
                <w:sz w:val="18"/>
                <w:szCs w:val="18"/>
                <w:highlight w:val="yellow"/>
              </w:rPr>
            </w:pPr>
            <w:r w:rsidRPr="00930B62">
              <w:rPr>
                <w:rFonts w:ascii="Arial" w:hAnsi="Arial" w:cs="Arial"/>
                <w:color w:val="000000"/>
                <w:sz w:val="18"/>
                <w:szCs w:val="18"/>
                <w:highlight w:val="yellow"/>
              </w:rPr>
              <w:t>$5,964</w:t>
            </w:r>
          </w:p>
        </w:tc>
        <w:tc>
          <w:tcPr>
            <w:tcW w:w="552" w:type="pct"/>
            <w:tcBorders>
              <w:top w:val="single" w:sz="4" w:space="0" w:color="auto"/>
              <w:left w:val="single" w:sz="4" w:space="0" w:color="auto"/>
              <w:bottom w:val="single" w:sz="4" w:space="0" w:color="auto"/>
              <w:right w:val="single" w:sz="4" w:space="0" w:color="auto"/>
            </w:tcBorders>
            <w:shd w:val="clear" w:color="auto" w:fill="auto"/>
            <w:vAlign w:val="bottom"/>
          </w:tcPr>
          <w:p w:rsidR="00311D91" w:rsidRPr="00930B62" w:rsidRDefault="00311D91" w:rsidP="00644B5C">
            <w:pPr>
              <w:pStyle w:val="TableText"/>
              <w:jc w:val="right"/>
              <w:rPr>
                <w:rFonts w:ascii="Arial" w:hAnsi="Arial" w:cs="Arial"/>
                <w:szCs w:val="18"/>
                <w:highlight w:val="yellow"/>
              </w:rPr>
            </w:pPr>
            <w:r w:rsidRPr="00930B62">
              <w:rPr>
                <w:rFonts w:ascii="Arial" w:hAnsi="Arial" w:cs="Arial"/>
                <w:szCs w:val="18"/>
                <w:highlight w:val="yellow"/>
              </w:rPr>
              <w:t xml:space="preserve">$11,928 </w:t>
            </w:r>
          </w:p>
        </w:tc>
      </w:tr>
      <w:tr w:rsidR="00311D91" w:rsidRPr="00644B5C" w:rsidTr="00311D91">
        <w:tc>
          <w:tcPr>
            <w:tcW w:w="1208" w:type="pct"/>
            <w:tcBorders>
              <w:top w:val="single" w:sz="4" w:space="0" w:color="auto"/>
              <w:left w:val="single" w:sz="4" w:space="0" w:color="auto"/>
              <w:bottom w:val="single" w:sz="4" w:space="0" w:color="auto"/>
              <w:right w:val="single" w:sz="4" w:space="0" w:color="auto"/>
            </w:tcBorders>
            <w:shd w:val="clear" w:color="auto" w:fill="auto"/>
          </w:tcPr>
          <w:p w:rsidR="00311D91" w:rsidRPr="00930B62" w:rsidRDefault="00311D91" w:rsidP="00644B5C">
            <w:pPr>
              <w:pStyle w:val="TableText"/>
              <w:rPr>
                <w:rFonts w:ascii="Arial" w:hAnsi="Arial" w:cs="Arial"/>
                <w:szCs w:val="18"/>
                <w:highlight w:val="yellow"/>
              </w:rPr>
            </w:pPr>
            <w:r w:rsidRPr="00930B62">
              <w:rPr>
                <w:rFonts w:ascii="Arial" w:hAnsi="Arial" w:cs="Arial"/>
                <w:szCs w:val="18"/>
                <w:highlight w:val="yellow"/>
              </w:rPr>
              <w:t xml:space="preserve">Implementation Staff Interviews </w:t>
            </w:r>
          </w:p>
        </w:tc>
        <w:tc>
          <w:tcPr>
            <w:tcW w:w="759" w:type="pct"/>
            <w:tcBorders>
              <w:top w:val="single" w:sz="4" w:space="0" w:color="auto"/>
              <w:left w:val="single" w:sz="4" w:space="0" w:color="auto"/>
              <w:bottom w:val="single" w:sz="4" w:space="0" w:color="auto"/>
              <w:right w:val="single" w:sz="4" w:space="0" w:color="auto"/>
            </w:tcBorders>
            <w:shd w:val="clear" w:color="auto" w:fill="auto"/>
            <w:vAlign w:val="bottom"/>
          </w:tcPr>
          <w:p w:rsidR="00311D91" w:rsidRPr="00930B62" w:rsidRDefault="00311D91" w:rsidP="00644B5C">
            <w:pPr>
              <w:pStyle w:val="TableText"/>
              <w:jc w:val="right"/>
              <w:rPr>
                <w:rFonts w:ascii="Arial" w:hAnsi="Arial" w:cs="Arial"/>
                <w:szCs w:val="18"/>
                <w:highlight w:val="yellow"/>
              </w:rPr>
            </w:pPr>
            <w:r w:rsidRPr="00930B62">
              <w:rPr>
                <w:rFonts w:ascii="Arial" w:hAnsi="Arial" w:cs="Arial"/>
                <w:szCs w:val="18"/>
                <w:highlight w:val="yellow"/>
              </w:rPr>
              <w:t>288</w:t>
            </w:r>
          </w:p>
        </w:tc>
        <w:tc>
          <w:tcPr>
            <w:tcW w:w="453" w:type="pct"/>
            <w:tcBorders>
              <w:top w:val="single" w:sz="4" w:space="0" w:color="auto"/>
              <w:left w:val="single" w:sz="4" w:space="0" w:color="auto"/>
              <w:bottom w:val="single" w:sz="4" w:space="0" w:color="auto"/>
              <w:right w:val="single" w:sz="4" w:space="0" w:color="auto"/>
            </w:tcBorders>
            <w:vAlign w:val="bottom"/>
          </w:tcPr>
          <w:p w:rsidR="00311D91" w:rsidRPr="00930B62" w:rsidRDefault="00311D91" w:rsidP="00644B5C">
            <w:pPr>
              <w:pStyle w:val="TableText"/>
              <w:jc w:val="right"/>
              <w:rPr>
                <w:rFonts w:ascii="Arial" w:hAnsi="Arial" w:cs="Arial"/>
                <w:color w:val="000000"/>
                <w:szCs w:val="18"/>
                <w:highlight w:val="yellow"/>
              </w:rPr>
            </w:pPr>
            <w:r w:rsidRPr="00930B62">
              <w:rPr>
                <w:rFonts w:ascii="Arial" w:hAnsi="Arial" w:cs="Arial"/>
                <w:color w:val="000000"/>
                <w:szCs w:val="18"/>
                <w:highlight w:val="yellow"/>
              </w:rPr>
              <w:t>288</w:t>
            </w:r>
          </w:p>
        </w:tc>
        <w:tc>
          <w:tcPr>
            <w:tcW w:w="455" w:type="pct"/>
            <w:tcBorders>
              <w:top w:val="single" w:sz="4" w:space="0" w:color="auto"/>
              <w:left w:val="single" w:sz="4" w:space="0" w:color="auto"/>
              <w:bottom w:val="single" w:sz="4" w:space="0" w:color="auto"/>
              <w:right w:val="single" w:sz="4" w:space="0" w:color="auto"/>
            </w:tcBorders>
            <w:shd w:val="clear" w:color="auto" w:fill="auto"/>
            <w:vAlign w:val="bottom"/>
          </w:tcPr>
          <w:p w:rsidR="00311D91" w:rsidRPr="00930B62" w:rsidRDefault="00311D91" w:rsidP="00644B5C">
            <w:pPr>
              <w:pStyle w:val="TableText"/>
              <w:jc w:val="right"/>
              <w:rPr>
                <w:rFonts w:ascii="Arial" w:hAnsi="Arial" w:cs="Arial"/>
                <w:color w:val="000000"/>
                <w:szCs w:val="18"/>
                <w:highlight w:val="yellow"/>
              </w:rPr>
            </w:pPr>
            <w:r w:rsidRPr="00930B62">
              <w:rPr>
                <w:rFonts w:ascii="Arial" w:hAnsi="Arial" w:cs="Arial"/>
                <w:color w:val="000000"/>
                <w:szCs w:val="18"/>
                <w:highlight w:val="yellow"/>
              </w:rPr>
              <w:t>288</w:t>
            </w:r>
          </w:p>
        </w:tc>
        <w:tc>
          <w:tcPr>
            <w:tcW w:w="547" w:type="pct"/>
            <w:tcBorders>
              <w:top w:val="single" w:sz="4" w:space="0" w:color="auto"/>
              <w:left w:val="single" w:sz="4" w:space="0" w:color="auto"/>
              <w:bottom w:val="single" w:sz="4" w:space="0" w:color="auto"/>
              <w:right w:val="single" w:sz="4" w:space="0" w:color="auto"/>
            </w:tcBorders>
            <w:shd w:val="clear" w:color="auto" w:fill="auto"/>
            <w:vAlign w:val="bottom"/>
          </w:tcPr>
          <w:p w:rsidR="00311D91" w:rsidRPr="00930B62" w:rsidRDefault="00311D91" w:rsidP="00644B5C">
            <w:pPr>
              <w:pStyle w:val="TableText"/>
              <w:jc w:val="right"/>
              <w:rPr>
                <w:rFonts w:ascii="Arial" w:hAnsi="Arial" w:cs="Arial"/>
                <w:szCs w:val="18"/>
                <w:highlight w:val="yellow"/>
              </w:rPr>
            </w:pPr>
            <w:r w:rsidRPr="00930B62">
              <w:rPr>
                <w:rFonts w:ascii="Arial" w:hAnsi="Arial" w:cs="Arial"/>
                <w:szCs w:val="18"/>
                <w:highlight w:val="yellow"/>
              </w:rPr>
              <w:t>$30.99</w:t>
            </w:r>
            <w:r w:rsidRPr="00930B62">
              <w:rPr>
                <w:rFonts w:ascii="Arial" w:hAnsi="Arial" w:cs="Arial"/>
                <w:szCs w:val="18"/>
                <w:highlight w:val="yellow"/>
                <w:vertAlign w:val="superscript"/>
              </w:rPr>
              <w:t>c</w:t>
            </w:r>
          </w:p>
        </w:tc>
        <w:tc>
          <w:tcPr>
            <w:tcW w:w="526" w:type="pct"/>
            <w:tcBorders>
              <w:top w:val="single" w:sz="4" w:space="0" w:color="auto"/>
              <w:left w:val="single" w:sz="4" w:space="0" w:color="auto"/>
              <w:bottom w:val="single" w:sz="4" w:space="0" w:color="auto"/>
              <w:right w:val="single" w:sz="4" w:space="0" w:color="auto"/>
            </w:tcBorders>
            <w:vAlign w:val="bottom"/>
          </w:tcPr>
          <w:p w:rsidR="00311D91" w:rsidRPr="00930B62" w:rsidRDefault="00311D91" w:rsidP="00311D91">
            <w:pPr>
              <w:spacing w:line="240" w:lineRule="auto"/>
              <w:ind w:firstLine="0"/>
              <w:jc w:val="right"/>
              <w:rPr>
                <w:rFonts w:ascii="Arial" w:hAnsi="Arial" w:cs="Arial"/>
                <w:color w:val="000000"/>
                <w:sz w:val="18"/>
                <w:szCs w:val="18"/>
                <w:highlight w:val="yellow"/>
              </w:rPr>
            </w:pPr>
            <w:r w:rsidRPr="00930B62">
              <w:rPr>
                <w:rFonts w:ascii="Arial" w:hAnsi="Arial" w:cs="Arial"/>
                <w:color w:val="000000"/>
                <w:sz w:val="18"/>
                <w:szCs w:val="18"/>
                <w:highlight w:val="yellow"/>
              </w:rPr>
              <w:t>$8,925</w:t>
            </w:r>
          </w:p>
        </w:tc>
        <w:tc>
          <w:tcPr>
            <w:tcW w:w="501" w:type="pct"/>
            <w:tcBorders>
              <w:top w:val="single" w:sz="4" w:space="0" w:color="auto"/>
              <w:left w:val="single" w:sz="4" w:space="0" w:color="auto"/>
              <w:bottom w:val="single" w:sz="4" w:space="0" w:color="auto"/>
              <w:right w:val="single" w:sz="4" w:space="0" w:color="auto"/>
            </w:tcBorders>
            <w:vAlign w:val="bottom"/>
          </w:tcPr>
          <w:p w:rsidR="00311D91" w:rsidRPr="00930B62" w:rsidRDefault="00311D91" w:rsidP="00311D91">
            <w:pPr>
              <w:spacing w:line="240" w:lineRule="auto"/>
              <w:ind w:firstLine="0"/>
              <w:jc w:val="right"/>
              <w:rPr>
                <w:rFonts w:ascii="Arial" w:hAnsi="Arial" w:cs="Arial"/>
                <w:color w:val="000000"/>
                <w:sz w:val="18"/>
                <w:szCs w:val="18"/>
                <w:highlight w:val="yellow"/>
              </w:rPr>
            </w:pPr>
            <w:r w:rsidRPr="00930B62">
              <w:rPr>
                <w:rFonts w:ascii="Arial" w:hAnsi="Arial" w:cs="Arial"/>
                <w:color w:val="000000"/>
                <w:sz w:val="18"/>
                <w:szCs w:val="18"/>
                <w:highlight w:val="yellow"/>
              </w:rPr>
              <w:t>$8,925</w:t>
            </w:r>
          </w:p>
        </w:tc>
        <w:tc>
          <w:tcPr>
            <w:tcW w:w="552" w:type="pct"/>
            <w:tcBorders>
              <w:top w:val="single" w:sz="4" w:space="0" w:color="auto"/>
              <w:left w:val="single" w:sz="4" w:space="0" w:color="auto"/>
              <w:bottom w:val="single" w:sz="4" w:space="0" w:color="auto"/>
              <w:right w:val="single" w:sz="4" w:space="0" w:color="auto"/>
            </w:tcBorders>
            <w:shd w:val="clear" w:color="auto" w:fill="auto"/>
            <w:vAlign w:val="bottom"/>
          </w:tcPr>
          <w:p w:rsidR="00311D91" w:rsidRPr="00930B62" w:rsidRDefault="00311D91" w:rsidP="00644B5C">
            <w:pPr>
              <w:pStyle w:val="TableText"/>
              <w:jc w:val="right"/>
              <w:rPr>
                <w:rFonts w:ascii="Arial" w:hAnsi="Arial" w:cs="Arial"/>
                <w:szCs w:val="18"/>
                <w:highlight w:val="yellow"/>
              </w:rPr>
            </w:pPr>
            <w:r w:rsidRPr="00930B62">
              <w:rPr>
                <w:rFonts w:ascii="Arial" w:hAnsi="Arial" w:cs="Arial"/>
                <w:szCs w:val="18"/>
                <w:highlight w:val="yellow"/>
              </w:rPr>
              <w:t xml:space="preserve">$17,850 </w:t>
            </w:r>
          </w:p>
        </w:tc>
      </w:tr>
      <w:tr w:rsidR="00311D91" w:rsidRPr="00644B5C" w:rsidTr="00311D91">
        <w:tc>
          <w:tcPr>
            <w:tcW w:w="1208" w:type="pct"/>
            <w:tcBorders>
              <w:top w:val="single" w:sz="4" w:space="0" w:color="auto"/>
              <w:left w:val="single" w:sz="4" w:space="0" w:color="auto"/>
              <w:bottom w:val="single" w:sz="4" w:space="0" w:color="auto"/>
              <w:right w:val="single" w:sz="4" w:space="0" w:color="auto"/>
            </w:tcBorders>
            <w:shd w:val="clear" w:color="auto" w:fill="auto"/>
          </w:tcPr>
          <w:p w:rsidR="00311D91" w:rsidRPr="00930B62" w:rsidRDefault="00311D91" w:rsidP="00644B5C">
            <w:pPr>
              <w:pStyle w:val="TableText"/>
              <w:rPr>
                <w:rFonts w:ascii="Arial" w:hAnsi="Arial" w:cs="Arial"/>
                <w:szCs w:val="18"/>
                <w:highlight w:val="yellow"/>
              </w:rPr>
            </w:pPr>
            <w:r w:rsidRPr="00930B62">
              <w:rPr>
                <w:rFonts w:ascii="Arial" w:hAnsi="Arial" w:cs="Arial"/>
                <w:szCs w:val="18"/>
                <w:highlight w:val="yellow"/>
              </w:rPr>
              <w:t xml:space="preserve">Stakeholder Interviews </w:t>
            </w:r>
          </w:p>
        </w:tc>
        <w:tc>
          <w:tcPr>
            <w:tcW w:w="759" w:type="pct"/>
            <w:tcBorders>
              <w:top w:val="single" w:sz="4" w:space="0" w:color="auto"/>
              <w:left w:val="single" w:sz="4" w:space="0" w:color="auto"/>
              <w:bottom w:val="single" w:sz="4" w:space="0" w:color="auto"/>
              <w:right w:val="single" w:sz="4" w:space="0" w:color="auto"/>
            </w:tcBorders>
            <w:shd w:val="clear" w:color="auto" w:fill="auto"/>
            <w:vAlign w:val="bottom"/>
          </w:tcPr>
          <w:p w:rsidR="00311D91" w:rsidRPr="00930B62" w:rsidRDefault="00311D91" w:rsidP="00644B5C">
            <w:pPr>
              <w:pStyle w:val="TableText"/>
              <w:jc w:val="right"/>
              <w:rPr>
                <w:rFonts w:ascii="Arial" w:hAnsi="Arial" w:cs="Arial"/>
                <w:szCs w:val="18"/>
                <w:highlight w:val="yellow"/>
              </w:rPr>
            </w:pPr>
            <w:r w:rsidRPr="00930B62">
              <w:rPr>
                <w:rFonts w:ascii="Arial" w:hAnsi="Arial" w:cs="Arial"/>
                <w:szCs w:val="18"/>
                <w:highlight w:val="yellow"/>
              </w:rPr>
              <w:t>144</w:t>
            </w:r>
          </w:p>
        </w:tc>
        <w:tc>
          <w:tcPr>
            <w:tcW w:w="453" w:type="pct"/>
            <w:tcBorders>
              <w:top w:val="single" w:sz="4" w:space="0" w:color="auto"/>
              <w:left w:val="single" w:sz="4" w:space="0" w:color="auto"/>
              <w:bottom w:val="single" w:sz="4" w:space="0" w:color="auto"/>
              <w:right w:val="single" w:sz="4" w:space="0" w:color="auto"/>
            </w:tcBorders>
            <w:vAlign w:val="bottom"/>
          </w:tcPr>
          <w:p w:rsidR="00311D91" w:rsidRPr="00930B62" w:rsidRDefault="00311D91" w:rsidP="00644B5C">
            <w:pPr>
              <w:pStyle w:val="TableText"/>
              <w:jc w:val="right"/>
              <w:rPr>
                <w:rFonts w:ascii="Arial" w:hAnsi="Arial" w:cs="Arial"/>
                <w:color w:val="000000"/>
                <w:szCs w:val="18"/>
                <w:highlight w:val="yellow"/>
              </w:rPr>
            </w:pPr>
            <w:r w:rsidRPr="00930B62">
              <w:rPr>
                <w:rFonts w:ascii="Arial" w:hAnsi="Arial" w:cs="Arial"/>
                <w:color w:val="000000"/>
                <w:szCs w:val="18"/>
                <w:highlight w:val="yellow"/>
              </w:rPr>
              <w:t>144</w:t>
            </w:r>
          </w:p>
        </w:tc>
        <w:tc>
          <w:tcPr>
            <w:tcW w:w="455" w:type="pct"/>
            <w:tcBorders>
              <w:top w:val="single" w:sz="4" w:space="0" w:color="auto"/>
              <w:left w:val="single" w:sz="4" w:space="0" w:color="auto"/>
              <w:bottom w:val="single" w:sz="4" w:space="0" w:color="auto"/>
              <w:right w:val="single" w:sz="4" w:space="0" w:color="auto"/>
            </w:tcBorders>
            <w:shd w:val="clear" w:color="auto" w:fill="auto"/>
            <w:vAlign w:val="bottom"/>
          </w:tcPr>
          <w:p w:rsidR="00311D91" w:rsidRPr="00930B62" w:rsidRDefault="00311D91" w:rsidP="00644B5C">
            <w:pPr>
              <w:pStyle w:val="TableText"/>
              <w:jc w:val="right"/>
              <w:rPr>
                <w:rFonts w:ascii="Arial" w:hAnsi="Arial" w:cs="Arial"/>
                <w:color w:val="000000"/>
                <w:szCs w:val="18"/>
                <w:highlight w:val="yellow"/>
              </w:rPr>
            </w:pPr>
            <w:r w:rsidRPr="00930B62">
              <w:rPr>
                <w:rFonts w:ascii="Arial" w:hAnsi="Arial" w:cs="Arial"/>
                <w:color w:val="000000"/>
                <w:szCs w:val="18"/>
                <w:highlight w:val="yellow"/>
              </w:rPr>
              <w:t>144</w:t>
            </w:r>
          </w:p>
        </w:tc>
        <w:tc>
          <w:tcPr>
            <w:tcW w:w="547" w:type="pct"/>
            <w:tcBorders>
              <w:top w:val="single" w:sz="4" w:space="0" w:color="auto"/>
              <w:left w:val="single" w:sz="4" w:space="0" w:color="auto"/>
              <w:bottom w:val="single" w:sz="4" w:space="0" w:color="auto"/>
              <w:right w:val="single" w:sz="4" w:space="0" w:color="auto"/>
            </w:tcBorders>
            <w:shd w:val="clear" w:color="auto" w:fill="auto"/>
            <w:vAlign w:val="bottom"/>
          </w:tcPr>
          <w:p w:rsidR="00311D91" w:rsidRPr="00930B62" w:rsidRDefault="00311D91" w:rsidP="00644B5C">
            <w:pPr>
              <w:pStyle w:val="TableText"/>
              <w:jc w:val="right"/>
              <w:rPr>
                <w:rFonts w:ascii="Arial" w:hAnsi="Arial" w:cs="Arial"/>
                <w:szCs w:val="18"/>
                <w:highlight w:val="yellow"/>
              </w:rPr>
            </w:pPr>
            <w:r w:rsidRPr="00930B62">
              <w:rPr>
                <w:rFonts w:ascii="Arial" w:hAnsi="Arial" w:cs="Arial"/>
                <w:szCs w:val="18"/>
                <w:highlight w:val="yellow"/>
              </w:rPr>
              <w:t>$30.99</w:t>
            </w:r>
            <w:r w:rsidRPr="00930B62">
              <w:rPr>
                <w:rFonts w:ascii="Arial" w:hAnsi="Arial" w:cs="Arial"/>
                <w:szCs w:val="18"/>
                <w:highlight w:val="yellow"/>
                <w:vertAlign w:val="superscript"/>
              </w:rPr>
              <w:t>c</w:t>
            </w:r>
          </w:p>
        </w:tc>
        <w:tc>
          <w:tcPr>
            <w:tcW w:w="526" w:type="pct"/>
            <w:tcBorders>
              <w:top w:val="single" w:sz="4" w:space="0" w:color="auto"/>
              <w:left w:val="single" w:sz="4" w:space="0" w:color="auto"/>
              <w:bottom w:val="single" w:sz="4" w:space="0" w:color="auto"/>
              <w:right w:val="single" w:sz="4" w:space="0" w:color="auto"/>
            </w:tcBorders>
            <w:vAlign w:val="bottom"/>
          </w:tcPr>
          <w:p w:rsidR="00311D91" w:rsidRPr="00930B62" w:rsidRDefault="00311D91" w:rsidP="00311D91">
            <w:pPr>
              <w:spacing w:line="240" w:lineRule="auto"/>
              <w:ind w:firstLine="0"/>
              <w:jc w:val="right"/>
              <w:rPr>
                <w:rFonts w:ascii="Arial" w:hAnsi="Arial" w:cs="Arial"/>
                <w:color w:val="000000"/>
                <w:sz w:val="18"/>
                <w:szCs w:val="18"/>
                <w:highlight w:val="yellow"/>
              </w:rPr>
            </w:pPr>
            <w:r w:rsidRPr="00930B62">
              <w:rPr>
                <w:rFonts w:ascii="Arial" w:hAnsi="Arial" w:cs="Arial"/>
                <w:color w:val="000000"/>
                <w:sz w:val="18"/>
                <w:szCs w:val="18"/>
                <w:highlight w:val="yellow"/>
              </w:rPr>
              <w:t>$4,463</w:t>
            </w:r>
          </w:p>
        </w:tc>
        <w:tc>
          <w:tcPr>
            <w:tcW w:w="501" w:type="pct"/>
            <w:tcBorders>
              <w:top w:val="single" w:sz="4" w:space="0" w:color="auto"/>
              <w:left w:val="single" w:sz="4" w:space="0" w:color="auto"/>
              <w:bottom w:val="single" w:sz="4" w:space="0" w:color="auto"/>
              <w:right w:val="single" w:sz="4" w:space="0" w:color="auto"/>
            </w:tcBorders>
            <w:vAlign w:val="bottom"/>
          </w:tcPr>
          <w:p w:rsidR="00311D91" w:rsidRPr="00930B62" w:rsidRDefault="00311D91" w:rsidP="00311D91">
            <w:pPr>
              <w:spacing w:line="240" w:lineRule="auto"/>
              <w:ind w:firstLine="0"/>
              <w:jc w:val="right"/>
              <w:rPr>
                <w:rFonts w:ascii="Arial" w:hAnsi="Arial" w:cs="Arial"/>
                <w:color w:val="000000"/>
                <w:sz w:val="18"/>
                <w:szCs w:val="18"/>
                <w:highlight w:val="yellow"/>
              </w:rPr>
            </w:pPr>
            <w:r w:rsidRPr="00930B62">
              <w:rPr>
                <w:rFonts w:ascii="Arial" w:hAnsi="Arial" w:cs="Arial"/>
                <w:color w:val="000000"/>
                <w:sz w:val="18"/>
                <w:szCs w:val="18"/>
                <w:highlight w:val="yellow"/>
              </w:rPr>
              <w:t>$4,463</w:t>
            </w:r>
          </w:p>
        </w:tc>
        <w:tc>
          <w:tcPr>
            <w:tcW w:w="552" w:type="pct"/>
            <w:tcBorders>
              <w:top w:val="single" w:sz="4" w:space="0" w:color="auto"/>
              <w:left w:val="single" w:sz="4" w:space="0" w:color="auto"/>
              <w:bottom w:val="single" w:sz="4" w:space="0" w:color="auto"/>
              <w:right w:val="single" w:sz="4" w:space="0" w:color="auto"/>
            </w:tcBorders>
            <w:shd w:val="clear" w:color="auto" w:fill="auto"/>
            <w:vAlign w:val="bottom"/>
          </w:tcPr>
          <w:p w:rsidR="00311D91" w:rsidRPr="00930B62" w:rsidRDefault="00311D91" w:rsidP="00644B5C">
            <w:pPr>
              <w:pStyle w:val="TableText"/>
              <w:jc w:val="right"/>
              <w:rPr>
                <w:rFonts w:ascii="Arial" w:hAnsi="Arial" w:cs="Arial"/>
                <w:szCs w:val="18"/>
                <w:highlight w:val="yellow"/>
              </w:rPr>
            </w:pPr>
            <w:r w:rsidRPr="00930B62">
              <w:rPr>
                <w:rFonts w:ascii="Arial" w:hAnsi="Arial" w:cs="Arial"/>
                <w:szCs w:val="18"/>
                <w:highlight w:val="yellow"/>
              </w:rPr>
              <w:t xml:space="preserve">$8,925 </w:t>
            </w:r>
          </w:p>
        </w:tc>
      </w:tr>
      <w:tr w:rsidR="00311D91" w:rsidRPr="00644B5C" w:rsidTr="00311D91">
        <w:tc>
          <w:tcPr>
            <w:tcW w:w="1208" w:type="pct"/>
            <w:tcBorders>
              <w:top w:val="single" w:sz="4" w:space="0" w:color="auto"/>
              <w:left w:val="single" w:sz="4" w:space="0" w:color="auto"/>
              <w:bottom w:val="single" w:sz="4" w:space="0" w:color="auto"/>
              <w:right w:val="single" w:sz="4" w:space="0" w:color="auto"/>
            </w:tcBorders>
            <w:shd w:val="clear" w:color="auto" w:fill="auto"/>
          </w:tcPr>
          <w:p w:rsidR="00311D91" w:rsidRPr="00930B62" w:rsidRDefault="00311D91" w:rsidP="00644B5C">
            <w:pPr>
              <w:pStyle w:val="TableText"/>
              <w:rPr>
                <w:rFonts w:ascii="Arial" w:hAnsi="Arial" w:cs="Arial"/>
                <w:szCs w:val="18"/>
                <w:highlight w:val="yellow"/>
              </w:rPr>
            </w:pPr>
            <w:r w:rsidRPr="00930B62">
              <w:rPr>
                <w:rFonts w:ascii="Arial" w:hAnsi="Arial" w:cs="Arial"/>
                <w:szCs w:val="18"/>
                <w:highlight w:val="yellow"/>
              </w:rPr>
              <w:t>Health Care Provider Interviews</w:t>
            </w:r>
          </w:p>
        </w:tc>
        <w:tc>
          <w:tcPr>
            <w:tcW w:w="759" w:type="pct"/>
            <w:tcBorders>
              <w:top w:val="single" w:sz="4" w:space="0" w:color="auto"/>
              <w:left w:val="single" w:sz="4" w:space="0" w:color="auto"/>
              <w:bottom w:val="single" w:sz="4" w:space="0" w:color="auto"/>
              <w:right w:val="single" w:sz="4" w:space="0" w:color="auto"/>
            </w:tcBorders>
            <w:shd w:val="clear" w:color="auto" w:fill="auto"/>
            <w:vAlign w:val="bottom"/>
          </w:tcPr>
          <w:p w:rsidR="00311D91" w:rsidRPr="00930B62" w:rsidRDefault="00311D91" w:rsidP="00644B5C">
            <w:pPr>
              <w:pStyle w:val="TableText"/>
              <w:jc w:val="right"/>
              <w:rPr>
                <w:rFonts w:ascii="Arial" w:hAnsi="Arial" w:cs="Arial"/>
                <w:szCs w:val="18"/>
                <w:highlight w:val="yellow"/>
              </w:rPr>
            </w:pPr>
            <w:r w:rsidRPr="00930B62">
              <w:rPr>
                <w:rFonts w:ascii="Arial" w:hAnsi="Arial" w:cs="Arial"/>
                <w:szCs w:val="18"/>
                <w:highlight w:val="yellow"/>
              </w:rPr>
              <w:t>216</w:t>
            </w:r>
          </w:p>
        </w:tc>
        <w:tc>
          <w:tcPr>
            <w:tcW w:w="453" w:type="pct"/>
            <w:tcBorders>
              <w:top w:val="single" w:sz="4" w:space="0" w:color="auto"/>
              <w:left w:val="single" w:sz="4" w:space="0" w:color="auto"/>
              <w:bottom w:val="single" w:sz="4" w:space="0" w:color="auto"/>
              <w:right w:val="single" w:sz="4" w:space="0" w:color="auto"/>
            </w:tcBorders>
            <w:vAlign w:val="bottom"/>
          </w:tcPr>
          <w:p w:rsidR="00311D91" w:rsidRPr="00930B62" w:rsidRDefault="00311D91" w:rsidP="00644B5C">
            <w:pPr>
              <w:pStyle w:val="TableText"/>
              <w:jc w:val="right"/>
              <w:rPr>
                <w:rFonts w:ascii="Arial" w:hAnsi="Arial" w:cs="Arial"/>
                <w:color w:val="000000"/>
                <w:szCs w:val="18"/>
                <w:highlight w:val="yellow"/>
              </w:rPr>
            </w:pPr>
            <w:r w:rsidRPr="00930B62">
              <w:rPr>
                <w:rFonts w:ascii="Arial" w:hAnsi="Arial" w:cs="Arial"/>
                <w:szCs w:val="18"/>
                <w:highlight w:val="yellow"/>
              </w:rPr>
              <w:t>162</w:t>
            </w:r>
          </w:p>
        </w:tc>
        <w:tc>
          <w:tcPr>
            <w:tcW w:w="455" w:type="pct"/>
            <w:tcBorders>
              <w:top w:val="single" w:sz="4" w:space="0" w:color="auto"/>
              <w:left w:val="single" w:sz="4" w:space="0" w:color="auto"/>
              <w:bottom w:val="single" w:sz="4" w:space="0" w:color="auto"/>
              <w:right w:val="single" w:sz="4" w:space="0" w:color="auto"/>
            </w:tcBorders>
            <w:shd w:val="clear" w:color="auto" w:fill="auto"/>
            <w:vAlign w:val="bottom"/>
          </w:tcPr>
          <w:p w:rsidR="00311D91" w:rsidRPr="00930B62" w:rsidRDefault="00311D91" w:rsidP="00644B5C">
            <w:pPr>
              <w:pStyle w:val="TableText"/>
              <w:jc w:val="right"/>
              <w:rPr>
                <w:rFonts w:ascii="Arial" w:hAnsi="Arial" w:cs="Arial"/>
                <w:color w:val="000000"/>
                <w:szCs w:val="18"/>
                <w:highlight w:val="yellow"/>
              </w:rPr>
            </w:pPr>
            <w:r w:rsidRPr="00930B62">
              <w:rPr>
                <w:rFonts w:ascii="Arial" w:hAnsi="Arial" w:cs="Arial"/>
                <w:szCs w:val="18"/>
                <w:highlight w:val="yellow"/>
              </w:rPr>
              <w:t>162</w:t>
            </w:r>
          </w:p>
        </w:tc>
        <w:tc>
          <w:tcPr>
            <w:tcW w:w="547" w:type="pct"/>
            <w:tcBorders>
              <w:top w:val="single" w:sz="4" w:space="0" w:color="auto"/>
              <w:left w:val="single" w:sz="4" w:space="0" w:color="auto"/>
              <w:bottom w:val="single" w:sz="4" w:space="0" w:color="auto"/>
              <w:right w:val="single" w:sz="4" w:space="0" w:color="auto"/>
            </w:tcBorders>
            <w:shd w:val="clear" w:color="auto" w:fill="auto"/>
            <w:vAlign w:val="bottom"/>
          </w:tcPr>
          <w:p w:rsidR="00311D91" w:rsidRPr="00930B62" w:rsidRDefault="00311D91" w:rsidP="00644B5C">
            <w:pPr>
              <w:pStyle w:val="TableText"/>
              <w:jc w:val="right"/>
              <w:rPr>
                <w:rFonts w:ascii="Arial" w:hAnsi="Arial" w:cs="Arial"/>
                <w:szCs w:val="18"/>
                <w:highlight w:val="yellow"/>
              </w:rPr>
            </w:pPr>
            <w:r w:rsidRPr="00930B62">
              <w:rPr>
                <w:rFonts w:ascii="Arial" w:hAnsi="Arial" w:cs="Arial"/>
                <w:szCs w:val="18"/>
                <w:highlight w:val="yellow"/>
              </w:rPr>
              <w:t>$80.59</w:t>
            </w:r>
            <w:r w:rsidRPr="00930B62">
              <w:rPr>
                <w:rFonts w:ascii="Arial" w:hAnsi="Arial" w:cs="Arial"/>
                <w:szCs w:val="18"/>
                <w:highlight w:val="yellow"/>
                <w:vertAlign w:val="superscript"/>
              </w:rPr>
              <w:t>d</w:t>
            </w:r>
          </w:p>
        </w:tc>
        <w:tc>
          <w:tcPr>
            <w:tcW w:w="526" w:type="pct"/>
            <w:tcBorders>
              <w:top w:val="single" w:sz="4" w:space="0" w:color="auto"/>
              <w:left w:val="single" w:sz="4" w:space="0" w:color="auto"/>
              <w:bottom w:val="single" w:sz="4" w:space="0" w:color="auto"/>
              <w:right w:val="single" w:sz="4" w:space="0" w:color="auto"/>
            </w:tcBorders>
            <w:vAlign w:val="bottom"/>
          </w:tcPr>
          <w:p w:rsidR="00311D91" w:rsidRPr="00930B62" w:rsidRDefault="00311D91" w:rsidP="00311D91">
            <w:pPr>
              <w:spacing w:line="240" w:lineRule="auto"/>
              <w:ind w:firstLine="0"/>
              <w:jc w:val="right"/>
              <w:rPr>
                <w:rFonts w:ascii="Arial" w:hAnsi="Arial" w:cs="Arial"/>
                <w:color w:val="000000"/>
                <w:sz w:val="18"/>
                <w:szCs w:val="18"/>
                <w:highlight w:val="yellow"/>
              </w:rPr>
            </w:pPr>
            <w:r w:rsidRPr="00930B62">
              <w:rPr>
                <w:rFonts w:ascii="Arial" w:hAnsi="Arial" w:cs="Arial"/>
                <w:color w:val="000000"/>
                <w:sz w:val="18"/>
                <w:szCs w:val="18"/>
                <w:highlight w:val="yellow"/>
              </w:rPr>
              <w:t>$13,056</w:t>
            </w:r>
          </w:p>
        </w:tc>
        <w:tc>
          <w:tcPr>
            <w:tcW w:w="501" w:type="pct"/>
            <w:tcBorders>
              <w:top w:val="single" w:sz="4" w:space="0" w:color="auto"/>
              <w:left w:val="single" w:sz="4" w:space="0" w:color="auto"/>
              <w:bottom w:val="single" w:sz="4" w:space="0" w:color="auto"/>
              <w:right w:val="single" w:sz="4" w:space="0" w:color="auto"/>
            </w:tcBorders>
            <w:vAlign w:val="bottom"/>
          </w:tcPr>
          <w:p w:rsidR="00311D91" w:rsidRPr="00930B62" w:rsidRDefault="00311D91" w:rsidP="00311D91">
            <w:pPr>
              <w:spacing w:line="240" w:lineRule="auto"/>
              <w:ind w:firstLine="0"/>
              <w:jc w:val="right"/>
              <w:rPr>
                <w:rFonts w:ascii="Arial" w:hAnsi="Arial" w:cs="Arial"/>
                <w:color w:val="000000"/>
                <w:sz w:val="18"/>
                <w:szCs w:val="18"/>
                <w:highlight w:val="yellow"/>
              </w:rPr>
            </w:pPr>
            <w:r w:rsidRPr="00930B62">
              <w:rPr>
                <w:rFonts w:ascii="Arial" w:hAnsi="Arial" w:cs="Arial"/>
                <w:color w:val="000000"/>
                <w:sz w:val="18"/>
                <w:szCs w:val="18"/>
                <w:highlight w:val="yellow"/>
              </w:rPr>
              <w:t>$13,056</w:t>
            </w:r>
          </w:p>
        </w:tc>
        <w:tc>
          <w:tcPr>
            <w:tcW w:w="552" w:type="pct"/>
            <w:tcBorders>
              <w:top w:val="single" w:sz="4" w:space="0" w:color="auto"/>
              <w:left w:val="single" w:sz="4" w:space="0" w:color="auto"/>
              <w:bottom w:val="single" w:sz="4" w:space="0" w:color="auto"/>
              <w:right w:val="single" w:sz="4" w:space="0" w:color="auto"/>
            </w:tcBorders>
            <w:shd w:val="clear" w:color="auto" w:fill="auto"/>
            <w:vAlign w:val="bottom"/>
          </w:tcPr>
          <w:p w:rsidR="00311D91" w:rsidRPr="00930B62" w:rsidRDefault="00311D91" w:rsidP="00644B5C">
            <w:pPr>
              <w:pStyle w:val="TableText"/>
              <w:jc w:val="right"/>
              <w:rPr>
                <w:rFonts w:ascii="Arial" w:hAnsi="Arial" w:cs="Arial"/>
                <w:szCs w:val="18"/>
                <w:highlight w:val="yellow"/>
              </w:rPr>
            </w:pPr>
            <w:r w:rsidRPr="00930B62">
              <w:rPr>
                <w:rFonts w:ascii="Arial" w:hAnsi="Arial" w:cs="Arial"/>
                <w:szCs w:val="18"/>
                <w:highlight w:val="yellow"/>
              </w:rPr>
              <w:t xml:space="preserve">$26,111 </w:t>
            </w:r>
          </w:p>
        </w:tc>
      </w:tr>
      <w:tr w:rsidR="00311D91" w:rsidRPr="00644B5C" w:rsidTr="00311D91">
        <w:tc>
          <w:tcPr>
            <w:tcW w:w="1208" w:type="pct"/>
            <w:tcBorders>
              <w:top w:val="single" w:sz="4" w:space="0" w:color="auto"/>
              <w:left w:val="single" w:sz="4" w:space="0" w:color="auto"/>
              <w:bottom w:val="single" w:sz="4" w:space="0" w:color="auto"/>
              <w:right w:val="single" w:sz="4" w:space="0" w:color="auto"/>
            </w:tcBorders>
            <w:shd w:val="clear" w:color="auto" w:fill="auto"/>
            <w:vAlign w:val="center"/>
          </w:tcPr>
          <w:p w:rsidR="00311D91" w:rsidRPr="00930B62" w:rsidRDefault="00311D91" w:rsidP="00644B5C">
            <w:pPr>
              <w:pStyle w:val="TableText"/>
              <w:rPr>
                <w:rFonts w:ascii="Arial" w:hAnsi="Arial" w:cs="Arial"/>
                <w:szCs w:val="18"/>
                <w:highlight w:val="yellow"/>
              </w:rPr>
            </w:pPr>
            <w:r w:rsidRPr="00930B62">
              <w:rPr>
                <w:rFonts w:ascii="Arial" w:hAnsi="Arial" w:cs="Arial"/>
                <w:szCs w:val="18"/>
                <w:highlight w:val="yellow"/>
              </w:rPr>
              <w:t>Parent Focus Group Screener</w:t>
            </w:r>
          </w:p>
        </w:tc>
        <w:tc>
          <w:tcPr>
            <w:tcW w:w="759" w:type="pct"/>
            <w:tcBorders>
              <w:top w:val="single" w:sz="4" w:space="0" w:color="auto"/>
              <w:left w:val="single" w:sz="4" w:space="0" w:color="auto"/>
              <w:bottom w:val="single" w:sz="4" w:space="0" w:color="auto"/>
              <w:right w:val="single" w:sz="4" w:space="0" w:color="auto"/>
            </w:tcBorders>
            <w:shd w:val="clear" w:color="auto" w:fill="auto"/>
            <w:vAlign w:val="bottom"/>
          </w:tcPr>
          <w:p w:rsidR="00311D91" w:rsidRPr="00930B62" w:rsidRDefault="00311D91" w:rsidP="00644B5C">
            <w:pPr>
              <w:pStyle w:val="TableText"/>
              <w:jc w:val="right"/>
              <w:rPr>
                <w:rFonts w:ascii="Arial" w:hAnsi="Arial" w:cs="Arial"/>
                <w:szCs w:val="18"/>
                <w:highlight w:val="yellow"/>
              </w:rPr>
            </w:pPr>
            <w:r w:rsidRPr="00930B62">
              <w:rPr>
                <w:rFonts w:ascii="Arial" w:hAnsi="Arial" w:cs="Arial"/>
                <w:szCs w:val="18"/>
                <w:highlight w:val="yellow"/>
              </w:rPr>
              <w:t>229</w:t>
            </w:r>
            <w:r w:rsidRPr="00930B62">
              <w:rPr>
                <w:rFonts w:ascii="Arial" w:hAnsi="Arial" w:cs="Arial"/>
                <w:color w:val="000000"/>
                <w:szCs w:val="18"/>
                <w:highlight w:val="yellow"/>
                <w:vertAlign w:val="superscript"/>
              </w:rPr>
              <w:t xml:space="preserve"> g</w:t>
            </w:r>
          </w:p>
        </w:tc>
        <w:tc>
          <w:tcPr>
            <w:tcW w:w="453" w:type="pct"/>
            <w:tcBorders>
              <w:top w:val="single" w:sz="4" w:space="0" w:color="auto"/>
              <w:left w:val="single" w:sz="4" w:space="0" w:color="auto"/>
              <w:bottom w:val="single" w:sz="4" w:space="0" w:color="auto"/>
              <w:right w:val="single" w:sz="4" w:space="0" w:color="auto"/>
            </w:tcBorders>
            <w:vAlign w:val="bottom"/>
          </w:tcPr>
          <w:p w:rsidR="00311D91" w:rsidRPr="00930B62" w:rsidRDefault="00311D91" w:rsidP="00644B5C">
            <w:pPr>
              <w:pStyle w:val="TableText"/>
              <w:jc w:val="right"/>
              <w:rPr>
                <w:rFonts w:ascii="Arial" w:hAnsi="Arial" w:cs="Arial"/>
                <w:color w:val="000000"/>
                <w:szCs w:val="18"/>
                <w:highlight w:val="yellow"/>
              </w:rPr>
            </w:pPr>
            <w:r w:rsidRPr="00930B62">
              <w:rPr>
                <w:rFonts w:ascii="Arial" w:hAnsi="Arial" w:cs="Arial"/>
                <w:color w:val="000000"/>
                <w:szCs w:val="18"/>
                <w:highlight w:val="yellow"/>
              </w:rPr>
              <w:t>0</w:t>
            </w:r>
          </w:p>
        </w:tc>
        <w:tc>
          <w:tcPr>
            <w:tcW w:w="455" w:type="pct"/>
            <w:tcBorders>
              <w:top w:val="single" w:sz="4" w:space="0" w:color="auto"/>
              <w:left w:val="single" w:sz="4" w:space="0" w:color="auto"/>
              <w:bottom w:val="single" w:sz="4" w:space="0" w:color="auto"/>
              <w:right w:val="single" w:sz="4" w:space="0" w:color="auto"/>
            </w:tcBorders>
            <w:shd w:val="clear" w:color="auto" w:fill="auto"/>
            <w:vAlign w:val="bottom"/>
          </w:tcPr>
          <w:p w:rsidR="00311D91" w:rsidRPr="00930B62" w:rsidRDefault="00311D91" w:rsidP="00644B5C">
            <w:pPr>
              <w:pStyle w:val="TableText"/>
              <w:jc w:val="right"/>
              <w:rPr>
                <w:rFonts w:ascii="Arial" w:hAnsi="Arial" w:cs="Arial"/>
                <w:szCs w:val="18"/>
                <w:highlight w:val="yellow"/>
              </w:rPr>
            </w:pPr>
            <w:r w:rsidRPr="00930B62">
              <w:rPr>
                <w:rFonts w:ascii="Arial" w:hAnsi="Arial" w:cs="Arial"/>
                <w:color w:val="000000"/>
                <w:szCs w:val="18"/>
                <w:highlight w:val="yellow"/>
              </w:rPr>
              <w:t>19</w:t>
            </w:r>
          </w:p>
        </w:tc>
        <w:tc>
          <w:tcPr>
            <w:tcW w:w="547" w:type="pct"/>
            <w:tcBorders>
              <w:top w:val="single" w:sz="4" w:space="0" w:color="auto"/>
              <w:left w:val="single" w:sz="4" w:space="0" w:color="auto"/>
              <w:bottom w:val="single" w:sz="4" w:space="0" w:color="auto"/>
              <w:right w:val="single" w:sz="4" w:space="0" w:color="auto"/>
            </w:tcBorders>
            <w:shd w:val="clear" w:color="auto" w:fill="auto"/>
            <w:vAlign w:val="bottom"/>
          </w:tcPr>
          <w:p w:rsidR="00311D91" w:rsidRPr="00930B62" w:rsidRDefault="00311D91" w:rsidP="00644B5C">
            <w:pPr>
              <w:pStyle w:val="TableText"/>
              <w:jc w:val="right"/>
              <w:rPr>
                <w:rFonts w:ascii="Arial" w:hAnsi="Arial" w:cs="Arial"/>
                <w:szCs w:val="18"/>
                <w:highlight w:val="yellow"/>
              </w:rPr>
            </w:pPr>
            <w:r w:rsidRPr="00930B62">
              <w:rPr>
                <w:rFonts w:ascii="Arial" w:hAnsi="Arial" w:cs="Arial"/>
                <w:szCs w:val="18"/>
                <w:highlight w:val="yellow"/>
              </w:rPr>
              <w:t>$22.01</w:t>
            </w:r>
            <w:r w:rsidRPr="00930B62">
              <w:rPr>
                <w:rFonts w:ascii="Arial" w:hAnsi="Arial" w:cs="Arial"/>
                <w:szCs w:val="18"/>
                <w:highlight w:val="yellow"/>
                <w:vertAlign w:val="superscript"/>
              </w:rPr>
              <w:t>e</w:t>
            </w:r>
          </w:p>
        </w:tc>
        <w:tc>
          <w:tcPr>
            <w:tcW w:w="526" w:type="pct"/>
            <w:tcBorders>
              <w:top w:val="single" w:sz="4" w:space="0" w:color="auto"/>
              <w:left w:val="single" w:sz="4" w:space="0" w:color="auto"/>
              <w:bottom w:val="single" w:sz="4" w:space="0" w:color="auto"/>
              <w:right w:val="single" w:sz="4" w:space="0" w:color="auto"/>
            </w:tcBorders>
            <w:vAlign w:val="bottom"/>
          </w:tcPr>
          <w:p w:rsidR="00311D91" w:rsidRPr="00930B62" w:rsidRDefault="00311D91" w:rsidP="00311D91">
            <w:pPr>
              <w:spacing w:line="240" w:lineRule="auto"/>
              <w:ind w:firstLine="0"/>
              <w:jc w:val="right"/>
              <w:rPr>
                <w:rFonts w:ascii="Arial" w:hAnsi="Arial" w:cs="Arial"/>
                <w:color w:val="000000"/>
                <w:sz w:val="18"/>
                <w:szCs w:val="18"/>
                <w:highlight w:val="yellow"/>
              </w:rPr>
            </w:pPr>
            <w:r w:rsidRPr="00930B62">
              <w:rPr>
                <w:rFonts w:ascii="Arial" w:hAnsi="Arial" w:cs="Arial"/>
                <w:color w:val="000000"/>
                <w:sz w:val="18"/>
                <w:szCs w:val="18"/>
                <w:highlight w:val="yellow"/>
              </w:rPr>
              <w:t>$0</w:t>
            </w:r>
          </w:p>
        </w:tc>
        <w:tc>
          <w:tcPr>
            <w:tcW w:w="501" w:type="pct"/>
            <w:tcBorders>
              <w:top w:val="single" w:sz="4" w:space="0" w:color="auto"/>
              <w:left w:val="single" w:sz="4" w:space="0" w:color="auto"/>
              <w:bottom w:val="single" w:sz="4" w:space="0" w:color="auto"/>
              <w:right w:val="single" w:sz="4" w:space="0" w:color="auto"/>
            </w:tcBorders>
            <w:vAlign w:val="bottom"/>
          </w:tcPr>
          <w:p w:rsidR="00311D91" w:rsidRPr="00930B62" w:rsidRDefault="00311D91" w:rsidP="00311D91">
            <w:pPr>
              <w:spacing w:line="240" w:lineRule="auto"/>
              <w:ind w:firstLine="0"/>
              <w:jc w:val="right"/>
              <w:rPr>
                <w:rFonts w:ascii="Arial" w:hAnsi="Arial" w:cs="Arial"/>
                <w:color w:val="000000"/>
                <w:sz w:val="18"/>
                <w:szCs w:val="18"/>
                <w:highlight w:val="yellow"/>
              </w:rPr>
            </w:pPr>
            <w:r w:rsidRPr="00930B62">
              <w:rPr>
                <w:rFonts w:ascii="Arial" w:hAnsi="Arial" w:cs="Arial"/>
                <w:color w:val="000000"/>
                <w:sz w:val="18"/>
                <w:szCs w:val="18"/>
                <w:highlight w:val="yellow"/>
              </w:rPr>
              <w:t>$418</w:t>
            </w:r>
          </w:p>
        </w:tc>
        <w:tc>
          <w:tcPr>
            <w:tcW w:w="552" w:type="pct"/>
            <w:tcBorders>
              <w:top w:val="single" w:sz="4" w:space="0" w:color="auto"/>
              <w:left w:val="single" w:sz="4" w:space="0" w:color="auto"/>
              <w:bottom w:val="single" w:sz="4" w:space="0" w:color="auto"/>
              <w:right w:val="single" w:sz="4" w:space="0" w:color="auto"/>
            </w:tcBorders>
            <w:shd w:val="clear" w:color="auto" w:fill="auto"/>
            <w:vAlign w:val="bottom"/>
          </w:tcPr>
          <w:p w:rsidR="00311D91" w:rsidRPr="00930B62" w:rsidRDefault="00311D91" w:rsidP="00644B5C">
            <w:pPr>
              <w:pStyle w:val="TableText"/>
              <w:jc w:val="right"/>
              <w:rPr>
                <w:rFonts w:ascii="Arial" w:hAnsi="Arial" w:cs="Arial"/>
                <w:szCs w:val="18"/>
                <w:highlight w:val="yellow"/>
              </w:rPr>
            </w:pPr>
            <w:r w:rsidRPr="00930B62">
              <w:rPr>
                <w:rFonts w:ascii="Arial" w:hAnsi="Arial" w:cs="Arial"/>
                <w:szCs w:val="18"/>
                <w:highlight w:val="yellow"/>
              </w:rPr>
              <w:t xml:space="preserve">$418 </w:t>
            </w:r>
          </w:p>
        </w:tc>
      </w:tr>
      <w:tr w:rsidR="00311D91" w:rsidRPr="00644B5C" w:rsidTr="00311D91">
        <w:tc>
          <w:tcPr>
            <w:tcW w:w="1208" w:type="pct"/>
            <w:tcBorders>
              <w:top w:val="single" w:sz="4" w:space="0" w:color="auto"/>
              <w:left w:val="single" w:sz="4" w:space="0" w:color="auto"/>
              <w:bottom w:val="single" w:sz="4" w:space="0" w:color="auto"/>
              <w:right w:val="single" w:sz="4" w:space="0" w:color="auto"/>
            </w:tcBorders>
            <w:shd w:val="clear" w:color="auto" w:fill="auto"/>
            <w:vAlign w:val="center"/>
          </w:tcPr>
          <w:p w:rsidR="00311D91" w:rsidRPr="00930B62" w:rsidRDefault="00311D91" w:rsidP="00644B5C">
            <w:pPr>
              <w:pStyle w:val="TableText"/>
              <w:rPr>
                <w:rFonts w:ascii="Arial" w:hAnsi="Arial" w:cs="Arial"/>
                <w:szCs w:val="18"/>
                <w:highlight w:val="yellow"/>
              </w:rPr>
            </w:pPr>
            <w:r w:rsidRPr="00930B62">
              <w:rPr>
                <w:rFonts w:ascii="Arial" w:hAnsi="Arial" w:cs="Arial"/>
                <w:szCs w:val="18"/>
                <w:highlight w:val="yellow"/>
              </w:rPr>
              <w:t>Parent Pre-Focus Group Interview</w:t>
            </w:r>
          </w:p>
        </w:tc>
        <w:tc>
          <w:tcPr>
            <w:tcW w:w="759" w:type="pct"/>
            <w:tcBorders>
              <w:top w:val="single" w:sz="4" w:space="0" w:color="auto"/>
              <w:left w:val="single" w:sz="4" w:space="0" w:color="auto"/>
              <w:bottom w:val="single" w:sz="4" w:space="0" w:color="auto"/>
              <w:right w:val="single" w:sz="4" w:space="0" w:color="auto"/>
            </w:tcBorders>
            <w:shd w:val="clear" w:color="auto" w:fill="auto"/>
            <w:vAlign w:val="bottom"/>
          </w:tcPr>
          <w:p w:rsidR="00311D91" w:rsidRPr="00930B62" w:rsidRDefault="00311D91" w:rsidP="00644B5C">
            <w:pPr>
              <w:pStyle w:val="TableText"/>
              <w:jc w:val="right"/>
              <w:rPr>
                <w:rFonts w:ascii="Arial" w:hAnsi="Arial" w:cs="Arial"/>
                <w:szCs w:val="18"/>
                <w:highlight w:val="yellow"/>
              </w:rPr>
            </w:pPr>
            <w:r w:rsidRPr="00930B62">
              <w:rPr>
                <w:rFonts w:ascii="Arial" w:hAnsi="Arial" w:cs="Arial"/>
                <w:szCs w:val="18"/>
                <w:highlight w:val="yellow"/>
              </w:rPr>
              <w:t>160</w:t>
            </w:r>
          </w:p>
        </w:tc>
        <w:tc>
          <w:tcPr>
            <w:tcW w:w="453" w:type="pct"/>
            <w:tcBorders>
              <w:top w:val="single" w:sz="4" w:space="0" w:color="auto"/>
              <w:left w:val="single" w:sz="4" w:space="0" w:color="auto"/>
              <w:bottom w:val="single" w:sz="4" w:space="0" w:color="auto"/>
              <w:right w:val="single" w:sz="4" w:space="0" w:color="auto"/>
            </w:tcBorders>
            <w:vAlign w:val="bottom"/>
          </w:tcPr>
          <w:p w:rsidR="00311D91" w:rsidRPr="00930B62" w:rsidRDefault="00311D91" w:rsidP="00644B5C">
            <w:pPr>
              <w:pStyle w:val="TableText"/>
              <w:jc w:val="right"/>
              <w:rPr>
                <w:rFonts w:ascii="Arial" w:hAnsi="Arial" w:cs="Arial"/>
                <w:color w:val="000000"/>
                <w:szCs w:val="18"/>
                <w:highlight w:val="yellow"/>
              </w:rPr>
            </w:pPr>
            <w:r w:rsidRPr="00930B62">
              <w:rPr>
                <w:rFonts w:ascii="Arial" w:hAnsi="Arial" w:cs="Arial"/>
                <w:color w:val="000000"/>
                <w:szCs w:val="18"/>
                <w:highlight w:val="yellow"/>
              </w:rPr>
              <w:t>0</w:t>
            </w:r>
          </w:p>
        </w:tc>
        <w:tc>
          <w:tcPr>
            <w:tcW w:w="455" w:type="pct"/>
            <w:tcBorders>
              <w:top w:val="single" w:sz="4" w:space="0" w:color="auto"/>
              <w:left w:val="single" w:sz="4" w:space="0" w:color="auto"/>
              <w:bottom w:val="single" w:sz="4" w:space="0" w:color="auto"/>
              <w:right w:val="single" w:sz="4" w:space="0" w:color="auto"/>
            </w:tcBorders>
            <w:shd w:val="clear" w:color="auto" w:fill="auto"/>
            <w:vAlign w:val="bottom"/>
          </w:tcPr>
          <w:p w:rsidR="00311D91" w:rsidRPr="00930B62" w:rsidRDefault="00311D91" w:rsidP="00644B5C">
            <w:pPr>
              <w:pStyle w:val="TableText"/>
              <w:jc w:val="right"/>
              <w:rPr>
                <w:rFonts w:ascii="Arial" w:hAnsi="Arial" w:cs="Arial"/>
                <w:szCs w:val="18"/>
                <w:highlight w:val="yellow"/>
              </w:rPr>
            </w:pPr>
            <w:r w:rsidRPr="00930B62">
              <w:rPr>
                <w:rFonts w:ascii="Arial" w:hAnsi="Arial" w:cs="Arial"/>
                <w:color w:val="000000"/>
                <w:szCs w:val="18"/>
                <w:highlight w:val="yellow"/>
              </w:rPr>
              <w:t>53</w:t>
            </w:r>
          </w:p>
        </w:tc>
        <w:tc>
          <w:tcPr>
            <w:tcW w:w="547" w:type="pct"/>
            <w:tcBorders>
              <w:top w:val="single" w:sz="4" w:space="0" w:color="auto"/>
              <w:left w:val="single" w:sz="4" w:space="0" w:color="auto"/>
              <w:bottom w:val="single" w:sz="4" w:space="0" w:color="auto"/>
              <w:right w:val="single" w:sz="4" w:space="0" w:color="auto"/>
            </w:tcBorders>
            <w:shd w:val="clear" w:color="auto" w:fill="auto"/>
            <w:vAlign w:val="bottom"/>
          </w:tcPr>
          <w:p w:rsidR="00311D91" w:rsidRPr="00930B62" w:rsidRDefault="00311D91" w:rsidP="00644B5C">
            <w:pPr>
              <w:pStyle w:val="TableText"/>
              <w:jc w:val="right"/>
              <w:rPr>
                <w:rFonts w:ascii="Arial" w:hAnsi="Arial" w:cs="Arial"/>
                <w:szCs w:val="18"/>
                <w:highlight w:val="yellow"/>
              </w:rPr>
            </w:pPr>
            <w:r w:rsidRPr="00930B62">
              <w:rPr>
                <w:rFonts w:ascii="Arial" w:hAnsi="Arial" w:cs="Arial"/>
                <w:szCs w:val="18"/>
                <w:highlight w:val="yellow"/>
              </w:rPr>
              <w:t>$22.01</w:t>
            </w:r>
            <w:r w:rsidRPr="00930B62">
              <w:rPr>
                <w:rFonts w:ascii="Arial" w:hAnsi="Arial" w:cs="Arial"/>
                <w:szCs w:val="18"/>
                <w:highlight w:val="yellow"/>
                <w:vertAlign w:val="superscript"/>
              </w:rPr>
              <w:t>e</w:t>
            </w:r>
          </w:p>
        </w:tc>
        <w:tc>
          <w:tcPr>
            <w:tcW w:w="526" w:type="pct"/>
            <w:tcBorders>
              <w:top w:val="single" w:sz="4" w:space="0" w:color="auto"/>
              <w:left w:val="single" w:sz="4" w:space="0" w:color="auto"/>
              <w:bottom w:val="single" w:sz="4" w:space="0" w:color="auto"/>
              <w:right w:val="single" w:sz="4" w:space="0" w:color="auto"/>
            </w:tcBorders>
            <w:vAlign w:val="bottom"/>
          </w:tcPr>
          <w:p w:rsidR="00311D91" w:rsidRPr="00930B62" w:rsidRDefault="00311D91" w:rsidP="00311D91">
            <w:pPr>
              <w:spacing w:line="240" w:lineRule="auto"/>
              <w:ind w:firstLine="0"/>
              <w:jc w:val="right"/>
              <w:rPr>
                <w:rFonts w:ascii="Arial" w:hAnsi="Arial" w:cs="Arial"/>
                <w:color w:val="000000"/>
                <w:sz w:val="18"/>
                <w:szCs w:val="18"/>
                <w:highlight w:val="yellow"/>
              </w:rPr>
            </w:pPr>
            <w:r w:rsidRPr="00930B62">
              <w:rPr>
                <w:rFonts w:ascii="Arial" w:hAnsi="Arial" w:cs="Arial"/>
                <w:color w:val="000000"/>
                <w:sz w:val="18"/>
                <w:szCs w:val="18"/>
                <w:highlight w:val="yellow"/>
              </w:rPr>
              <w:t>$0</w:t>
            </w:r>
          </w:p>
        </w:tc>
        <w:tc>
          <w:tcPr>
            <w:tcW w:w="501" w:type="pct"/>
            <w:tcBorders>
              <w:top w:val="single" w:sz="4" w:space="0" w:color="auto"/>
              <w:left w:val="single" w:sz="4" w:space="0" w:color="auto"/>
              <w:bottom w:val="single" w:sz="4" w:space="0" w:color="auto"/>
              <w:right w:val="single" w:sz="4" w:space="0" w:color="auto"/>
            </w:tcBorders>
            <w:vAlign w:val="bottom"/>
          </w:tcPr>
          <w:p w:rsidR="00311D91" w:rsidRPr="00930B62" w:rsidRDefault="00311D91" w:rsidP="00311D91">
            <w:pPr>
              <w:spacing w:line="240" w:lineRule="auto"/>
              <w:ind w:firstLine="0"/>
              <w:jc w:val="right"/>
              <w:rPr>
                <w:rFonts w:ascii="Arial" w:hAnsi="Arial" w:cs="Arial"/>
                <w:color w:val="000000"/>
                <w:sz w:val="18"/>
                <w:szCs w:val="18"/>
                <w:highlight w:val="yellow"/>
              </w:rPr>
            </w:pPr>
            <w:r w:rsidRPr="00930B62">
              <w:rPr>
                <w:rFonts w:ascii="Arial" w:hAnsi="Arial" w:cs="Arial"/>
                <w:color w:val="000000"/>
                <w:sz w:val="18"/>
                <w:szCs w:val="18"/>
                <w:highlight w:val="yellow"/>
              </w:rPr>
              <w:t>$1,167</w:t>
            </w:r>
          </w:p>
        </w:tc>
        <w:tc>
          <w:tcPr>
            <w:tcW w:w="552" w:type="pct"/>
            <w:tcBorders>
              <w:top w:val="single" w:sz="4" w:space="0" w:color="auto"/>
              <w:left w:val="single" w:sz="4" w:space="0" w:color="auto"/>
              <w:bottom w:val="single" w:sz="4" w:space="0" w:color="auto"/>
              <w:right w:val="single" w:sz="4" w:space="0" w:color="auto"/>
            </w:tcBorders>
            <w:shd w:val="clear" w:color="auto" w:fill="auto"/>
            <w:vAlign w:val="bottom"/>
          </w:tcPr>
          <w:p w:rsidR="00311D91" w:rsidRPr="00930B62" w:rsidRDefault="00311D91" w:rsidP="00644B5C">
            <w:pPr>
              <w:pStyle w:val="TableText"/>
              <w:jc w:val="right"/>
              <w:rPr>
                <w:rFonts w:ascii="Arial" w:hAnsi="Arial" w:cs="Arial"/>
                <w:szCs w:val="18"/>
                <w:highlight w:val="yellow"/>
              </w:rPr>
            </w:pPr>
            <w:r w:rsidRPr="00930B62">
              <w:rPr>
                <w:rFonts w:ascii="Arial" w:hAnsi="Arial" w:cs="Arial"/>
                <w:szCs w:val="18"/>
                <w:highlight w:val="yellow"/>
              </w:rPr>
              <w:t>$1,167</w:t>
            </w:r>
          </w:p>
        </w:tc>
      </w:tr>
      <w:tr w:rsidR="00311D91" w:rsidRPr="00644B5C" w:rsidTr="00311D91">
        <w:tc>
          <w:tcPr>
            <w:tcW w:w="1208" w:type="pct"/>
            <w:tcBorders>
              <w:top w:val="single" w:sz="4" w:space="0" w:color="auto"/>
              <w:left w:val="single" w:sz="4" w:space="0" w:color="auto"/>
              <w:bottom w:val="single" w:sz="4" w:space="0" w:color="auto"/>
              <w:right w:val="single" w:sz="4" w:space="0" w:color="auto"/>
            </w:tcBorders>
            <w:shd w:val="clear" w:color="auto" w:fill="auto"/>
            <w:vAlign w:val="center"/>
          </w:tcPr>
          <w:p w:rsidR="00311D91" w:rsidRPr="00930B62" w:rsidRDefault="00311D91" w:rsidP="00644B5C">
            <w:pPr>
              <w:pStyle w:val="TableText"/>
              <w:rPr>
                <w:rFonts w:ascii="Arial" w:hAnsi="Arial" w:cs="Arial"/>
                <w:szCs w:val="18"/>
                <w:highlight w:val="yellow"/>
              </w:rPr>
            </w:pPr>
            <w:r w:rsidRPr="00930B62">
              <w:rPr>
                <w:rFonts w:ascii="Arial" w:hAnsi="Arial" w:cs="Arial"/>
                <w:szCs w:val="18"/>
                <w:highlight w:val="yellow"/>
              </w:rPr>
              <w:t>Parent Focus Groups</w:t>
            </w:r>
          </w:p>
        </w:tc>
        <w:tc>
          <w:tcPr>
            <w:tcW w:w="759" w:type="pct"/>
            <w:tcBorders>
              <w:top w:val="single" w:sz="4" w:space="0" w:color="auto"/>
              <w:left w:val="single" w:sz="4" w:space="0" w:color="auto"/>
              <w:bottom w:val="single" w:sz="4" w:space="0" w:color="auto"/>
              <w:right w:val="single" w:sz="4" w:space="0" w:color="auto"/>
            </w:tcBorders>
            <w:shd w:val="clear" w:color="auto" w:fill="auto"/>
            <w:vAlign w:val="bottom"/>
          </w:tcPr>
          <w:p w:rsidR="00311D91" w:rsidRPr="00930B62" w:rsidRDefault="00311D91" w:rsidP="00644B5C">
            <w:pPr>
              <w:pStyle w:val="TableText"/>
              <w:jc w:val="right"/>
              <w:rPr>
                <w:rFonts w:ascii="Arial" w:hAnsi="Arial" w:cs="Arial"/>
                <w:szCs w:val="18"/>
                <w:highlight w:val="yellow"/>
              </w:rPr>
            </w:pPr>
            <w:r w:rsidRPr="00930B62">
              <w:rPr>
                <w:rFonts w:ascii="Arial" w:hAnsi="Arial" w:cs="Arial"/>
                <w:szCs w:val="18"/>
                <w:highlight w:val="yellow"/>
              </w:rPr>
              <w:t>160</w:t>
            </w:r>
          </w:p>
        </w:tc>
        <w:tc>
          <w:tcPr>
            <w:tcW w:w="453" w:type="pct"/>
            <w:tcBorders>
              <w:top w:val="single" w:sz="4" w:space="0" w:color="auto"/>
              <w:left w:val="single" w:sz="4" w:space="0" w:color="auto"/>
              <w:bottom w:val="single" w:sz="4" w:space="0" w:color="auto"/>
              <w:right w:val="single" w:sz="4" w:space="0" w:color="auto"/>
            </w:tcBorders>
            <w:vAlign w:val="bottom"/>
          </w:tcPr>
          <w:p w:rsidR="00311D91" w:rsidRPr="00930B62" w:rsidRDefault="00311D91" w:rsidP="00644B5C">
            <w:pPr>
              <w:pStyle w:val="TableText"/>
              <w:jc w:val="right"/>
              <w:rPr>
                <w:rFonts w:ascii="Arial" w:hAnsi="Arial" w:cs="Arial"/>
                <w:color w:val="000000"/>
                <w:szCs w:val="18"/>
                <w:highlight w:val="yellow"/>
              </w:rPr>
            </w:pPr>
            <w:r w:rsidRPr="00930B62">
              <w:rPr>
                <w:rFonts w:ascii="Arial" w:hAnsi="Arial" w:cs="Arial"/>
                <w:color w:val="000000"/>
                <w:szCs w:val="18"/>
                <w:highlight w:val="yellow"/>
              </w:rPr>
              <w:t>0</w:t>
            </w:r>
          </w:p>
        </w:tc>
        <w:tc>
          <w:tcPr>
            <w:tcW w:w="455" w:type="pct"/>
            <w:tcBorders>
              <w:top w:val="single" w:sz="4" w:space="0" w:color="auto"/>
              <w:left w:val="single" w:sz="4" w:space="0" w:color="auto"/>
              <w:bottom w:val="single" w:sz="4" w:space="0" w:color="auto"/>
              <w:right w:val="single" w:sz="4" w:space="0" w:color="auto"/>
            </w:tcBorders>
            <w:shd w:val="clear" w:color="auto" w:fill="auto"/>
            <w:vAlign w:val="bottom"/>
          </w:tcPr>
          <w:p w:rsidR="00311D91" w:rsidRPr="00930B62" w:rsidRDefault="00311D91" w:rsidP="00644B5C">
            <w:pPr>
              <w:pStyle w:val="TableText"/>
              <w:jc w:val="right"/>
              <w:rPr>
                <w:rFonts w:ascii="Arial" w:hAnsi="Arial" w:cs="Arial"/>
                <w:szCs w:val="18"/>
                <w:highlight w:val="yellow"/>
              </w:rPr>
            </w:pPr>
            <w:r w:rsidRPr="00930B62">
              <w:rPr>
                <w:rFonts w:ascii="Arial" w:hAnsi="Arial" w:cs="Arial"/>
                <w:color w:val="000000"/>
                <w:szCs w:val="18"/>
                <w:highlight w:val="yellow"/>
              </w:rPr>
              <w:t>400</w:t>
            </w:r>
          </w:p>
        </w:tc>
        <w:tc>
          <w:tcPr>
            <w:tcW w:w="547" w:type="pct"/>
            <w:tcBorders>
              <w:top w:val="single" w:sz="4" w:space="0" w:color="auto"/>
              <w:left w:val="single" w:sz="4" w:space="0" w:color="auto"/>
              <w:bottom w:val="single" w:sz="4" w:space="0" w:color="auto"/>
              <w:right w:val="single" w:sz="4" w:space="0" w:color="auto"/>
            </w:tcBorders>
            <w:shd w:val="clear" w:color="auto" w:fill="auto"/>
            <w:vAlign w:val="bottom"/>
          </w:tcPr>
          <w:p w:rsidR="00311D91" w:rsidRPr="00930B62" w:rsidRDefault="00311D91" w:rsidP="00644B5C">
            <w:pPr>
              <w:pStyle w:val="TableText"/>
              <w:jc w:val="right"/>
              <w:rPr>
                <w:rFonts w:ascii="Arial" w:hAnsi="Arial" w:cs="Arial"/>
                <w:szCs w:val="18"/>
                <w:highlight w:val="yellow"/>
              </w:rPr>
            </w:pPr>
            <w:r w:rsidRPr="00930B62">
              <w:rPr>
                <w:rFonts w:ascii="Arial" w:hAnsi="Arial" w:cs="Arial"/>
                <w:szCs w:val="18"/>
                <w:highlight w:val="yellow"/>
              </w:rPr>
              <w:t>$22.01</w:t>
            </w:r>
            <w:r w:rsidRPr="00930B62">
              <w:rPr>
                <w:rFonts w:ascii="Arial" w:hAnsi="Arial" w:cs="Arial"/>
                <w:szCs w:val="18"/>
                <w:highlight w:val="yellow"/>
                <w:vertAlign w:val="superscript"/>
              </w:rPr>
              <w:t>e</w:t>
            </w:r>
          </w:p>
        </w:tc>
        <w:tc>
          <w:tcPr>
            <w:tcW w:w="526" w:type="pct"/>
            <w:tcBorders>
              <w:top w:val="single" w:sz="4" w:space="0" w:color="auto"/>
              <w:left w:val="single" w:sz="4" w:space="0" w:color="auto"/>
              <w:bottom w:val="single" w:sz="4" w:space="0" w:color="auto"/>
              <w:right w:val="single" w:sz="4" w:space="0" w:color="auto"/>
            </w:tcBorders>
            <w:vAlign w:val="bottom"/>
          </w:tcPr>
          <w:p w:rsidR="00311D91" w:rsidRPr="00930B62" w:rsidRDefault="00311D91" w:rsidP="00311D91">
            <w:pPr>
              <w:spacing w:line="240" w:lineRule="auto"/>
              <w:ind w:firstLine="0"/>
              <w:jc w:val="right"/>
              <w:rPr>
                <w:rFonts w:ascii="Arial" w:hAnsi="Arial" w:cs="Arial"/>
                <w:color w:val="000000"/>
                <w:sz w:val="18"/>
                <w:szCs w:val="18"/>
                <w:highlight w:val="yellow"/>
              </w:rPr>
            </w:pPr>
            <w:r w:rsidRPr="00930B62">
              <w:rPr>
                <w:rFonts w:ascii="Arial" w:hAnsi="Arial" w:cs="Arial"/>
                <w:color w:val="000000"/>
                <w:sz w:val="18"/>
                <w:szCs w:val="18"/>
                <w:highlight w:val="yellow"/>
              </w:rPr>
              <w:t>$0</w:t>
            </w:r>
          </w:p>
        </w:tc>
        <w:tc>
          <w:tcPr>
            <w:tcW w:w="501" w:type="pct"/>
            <w:tcBorders>
              <w:top w:val="single" w:sz="4" w:space="0" w:color="auto"/>
              <w:left w:val="single" w:sz="4" w:space="0" w:color="auto"/>
              <w:bottom w:val="single" w:sz="4" w:space="0" w:color="auto"/>
              <w:right w:val="single" w:sz="4" w:space="0" w:color="auto"/>
            </w:tcBorders>
            <w:vAlign w:val="bottom"/>
          </w:tcPr>
          <w:p w:rsidR="00311D91" w:rsidRPr="00930B62" w:rsidRDefault="00311D91" w:rsidP="00311D91">
            <w:pPr>
              <w:spacing w:line="240" w:lineRule="auto"/>
              <w:ind w:firstLine="0"/>
              <w:jc w:val="right"/>
              <w:rPr>
                <w:rFonts w:ascii="Arial" w:hAnsi="Arial" w:cs="Arial"/>
                <w:color w:val="000000"/>
                <w:sz w:val="18"/>
                <w:szCs w:val="18"/>
                <w:highlight w:val="yellow"/>
              </w:rPr>
            </w:pPr>
            <w:r w:rsidRPr="00930B62">
              <w:rPr>
                <w:rFonts w:ascii="Arial" w:hAnsi="Arial" w:cs="Arial"/>
                <w:color w:val="000000"/>
                <w:sz w:val="18"/>
                <w:szCs w:val="18"/>
                <w:highlight w:val="yellow"/>
              </w:rPr>
              <w:t>$8,804</w:t>
            </w:r>
          </w:p>
        </w:tc>
        <w:tc>
          <w:tcPr>
            <w:tcW w:w="552" w:type="pct"/>
            <w:tcBorders>
              <w:top w:val="single" w:sz="4" w:space="0" w:color="auto"/>
              <w:left w:val="single" w:sz="4" w:space="0" w:color="auto"/>
              <w:bottom w:val="single" w:sz="4" w:space="0" w:color="auto"/>
              <w:right w:val="single" w:sz="4" w:space="0" w:color="auto"/>
            </w:tcBorders>
            <w:shd w:val="clear" w:color="auto" w:fill="auto"/>
            <w:vAlign w:val="bottom"/>
          </w:tcPr>
          <w:p w:rsidR="00311D91" w:rsidRPr="00930B62" w:rsidRDefault="00311D91" w:rsidP="00644B5C">
            <w:pPr>
              <w:pStyle w:val="TableText"/>
              <w:jc w:val="right"/>
              <w:rPr>
                <w:rFonts w:ascii="Arial" w:hAnsi="Arial" w:cs="Arial"/>
                <w:szCs w:val="18"/>
                <w:highlight w:val="yellow"/>
              </w:rPr>
            </w:pPr>
            <w:r w:rsidRPr="00930B62">
              <w:rPr>
                <w:rFonts w:ascii="Arial" w:hAnsi="Arial" w:cs="Arial"/>
                <w:szCs w:val="18"/>
                <w:highlight w:val="yellow"/>
              </w:rPr>
              <w:t xml:space="preserve">$8,804 </w:t>
            </w:r>
          </w:p>
        </w:tc>
      </w:tr>
      <w:tr w:rsidR="00311D91" w:rsidRPr="00644B5C" w:rsidTr="00311D91">
        <w:tc>
          <w:tcPr>
            <w:tcW w:w="1208" w:type="pct"/>
            <w:tcBorders>
              <w:top w:val="single" w:sz="4" w:space="0" w:color="auto"/>
              <w:left w:val="single" w:sz="4" w:space="0" w:color="auto"/>
              <w:bottom w:val="single" w:sz="4" w:space="0" w:color="auto"/>
              <w:right w:val="single" w:sz="4" w:space="0" w:color="auto"/>
            </w:tcBorders>
            <w:shd w:val="clear" w:color="auto" w:fill="auto"/>
            <w:vAlign w:val="center"/>
          </w:tcPr>
          <w:p w:rsidR="00311D91" w:rsidRPr="00930B62" w:rsidRDefault="00311D91" w:rsidP="00644B5C">
            <w:pPr>
              <w:pStyle w:val="TableText"/>
              <w:rPr>
                <w:rFonts w:ascii="Arial" w:hAnsi="Arial" w:cs="Arial"/>
                <w:szCs w:val="18"/>
                <w:highlight w:val="yellow"/>
              </w:rPr>
            </w:pPr>
            <w:r w:rsidRPr="00930B62">
              <w:rPr>
                <w:rFonts w:ascii="Arial" w:hAnsi="Arial" w:cs="Arial"/>
                <w:szCs w:val="18"/>
                <w:highlight w:val="yellow"/>
              </w:rPr>
              <w:t>Adolescent Focus Group Screener</w:t>
            </w:r>
          </w:p>
        </w:tc>
        <w:tc>
          <w:tcPr>
            <w:tcW w:w="759" w:type="pct"/>
            <w:tcBorders>
              <w:top w:val="single" w:sz="4" w:space="0" w:color="auto"/>
              <w:left w:val="single" w:sz="4" w:space="0" w:color="auto"/>
              <w:bottom w:val="single" w:sz="4" w:space="0" w:color="auto"/>
              <w:right w:val="single" w:sz="4" w:space="0" w:color="auto"/>
            </w:tcBorders>
            <w:shd w:val="clear" w:color="auto" w:fill="auto"/>
            <w:vAlign w:val="bottom"/>
          </w:tcPr>
          <w:p w:rsidR="00311D91" w:rsidRPr="00930B62" w:rsidRDefault="00311D91" w:rsidP="00644B5C">
            <w:pPr>
              <w:pStyle w:val="TableText"/>
              <w:jc w:val="right"/>
              <w:rPr>
                <w:rFonts w:ascii="Arial" w:hAnsi="Arial" w:cs="Arial"/>
                <w:szCs w:val="18"/>
                <w:highlight w:val="yellow"/>
              </w:rPr>
            </w:pPr>
            <w:r w:rsidRPr="00930B62">
              <w:rPr>
                <w:rFonts w:ascii="Arial" w:hAnsi="Arial" w:cs="Arial"/>
                <w:szCs w:val="18"/>
                <w:highlight w:val="yellow"/>
              </w:rPr>
              <w:t>57</w:t>
            </w:r>
            <w:r w:rsidRPr="00930B62">
              <w:rPr>
                <w:rFonts w:ascii="Arial" w:hAnsi="Arial" w:cs="Arial"/>
                <w:color w:val="000000"/>
                <w:szCs w:val="18"/>
                <w:highlight w:val="yellow"/>
                <w:vertAlign w:val="superscript"/>
              </w:rPr>
              <w:t xml:space="preserve"> g</w:t>
            </w:r>
          </w:p>
        </w:tc>
        <w:tc>
          <w:tcPr>
            <w:tcW w:w="453" w:type="pct"/>
            <w:tcBorders>
              <w:top w:val="single" w:sz="4" w:space="0" w:color="auto"/>
              <w:left w:val="single" w:sz="4" w:space="0" w:color="auto"/>
              <w:bottom w:val="single" w:sz="4" w:space="0" w:color="auto"/>
              <w:right w:val="single" w:sz="4" w:space="0" w:color="auto"/>
            </w:tcBorders>
            <w:vAlign w:val="bottom"/>
          </w:tcPr>
          <w:p w:rsidR="00311D91" w:rsidRPr="00930B62" w:rsidRDefault="00311D91" w:rsidP="00644B5C">
            <w:pPr>
              <w:pStyle w:val="TableText"/>
              <w:jc w:val="right"/>
              <w:rPr>
                <w:rFonts w:ascii="Arial" w:hAnsi="Arial" w:cs="Arial"/>
                <w:color w:val="000000"/>
                <w:szCs w:val="18"/>
                <w:highlight w:val="yellow"/>
              </w:rPr>
            </w:pPr>
            <w:r w:rsidRPr="00930B62">
              <w:rPr>
                <w:rFonts w:ascii="Arial" w:hAnsi="Arial" w:cs="Arial"/>
                <w:color w:val="000000"/>
                <w:szCs w:val="18"/>
                <w:highlight w:val="yellow"/>
              </w:rPr>
              <w:t>0</w:t>
            </w:r>
          </w:p>
        </w:tc>
        <w:tc>
          <w:tcPr>
            <w:tcW w:w="455" w:type="pct"/>
            <w:tcBorders>
              <w:top w:val="single" w:sz="4" w:space="0" w:color="auto"/>
              <w:left w:val="single" w:sz="4" w:space="0" w:color="auto"/>
              <w:bottom w:val="single" w:sz="4" w:space="0" w:color="auto"/>
              <w:right w:val="single" w:sz="4" w:space="0" w:color="auto"/>
            </w:tcBorders>
            <w:shd w:val="clear" w:color="auto" w:fill="auto"/>
            <w:vAlign w:val="bottom"/>
          </w:tcPr>
          <w:p w:rsidR="00311D91" w:rsidRPr="00930B62" w:rsidRDefault="00311D91" w:rsidP="00644B5C">
            <w:pPr>
              <w:pStyle w:val="TableText"/>
              <w:jc w:val="right"/>
              <w:rPr>
                <w:rFonts w:ascii="Arial" w:hAnsi="Arial" w:cs="Arial"/>
                <w:szCs w:val="18"/>
                <w:highlight w:val="yellow"/>
              </w:rPr>
            </w:pPr>
            <w:r w:rsidRPr="00930B62">
              <w:rPr>
                <w:rFonts w:ascii="Arial" w:hAnsi="Arial" w:cs="Arial"/>
                <w:color w:val="000000"/>
                <w:szCs w:val="18"/>
                <w:highlight w:val="yellow"/>
              </w:rPr>
              <w:t>5</w:t>
            </w:r>
          </w:p>
        </w:tc>
        <w:tc>
          <w:tcPr>
            <w:tcW w:w="547" w:type="pct"/>
            <w:tcBorders>
              <w:top w:val="single" w:sz="4" w:space="0" w:color="auto"/>
              <w:left w:val="single" w:sz="4" w:space="0" w:color="auto"/>
              <w:bottom w:val="single" w:sz="4" w:space="0" w:color="auto"/>
              <w:right w:val="single" w:sz="4" w:space="0" w:color="auto"/>
            </w:tcBorders>
            <w:shd w:val="clear" w:color="auto" w:fill="auto"/>
            <w:vAlign w:val="bottom"/>
          </w:tcPr>
          <w:p w:rsidR="00311D91" w:rsidRPr="00930B62" w:rsidRDefault="00311D91" w:rsidP="00644B5C">
            <w:pPr>
              <w:pStyle w:val="TableText"/>
              <w:jc w:val="right"/>
              <w:rPr>
                <w:rFonts w:ascii="Arial" w:hAnsi="Arial" w:cs="Arial"/>
                <w:szCs w:val="18"/>
                <w:highlight w:val="yellow"/>
              </w:rPr>
            </w:pPr>
            <w:r w:rsidRPr="00930B62">
              <w:rPr>
                <w:rFonts w:ascii="Arial" w:hAnsi="Arial" w:cs="Arial"/>
                <w:szCs w:val="18"/>
                <w:highlight w:val="yellow"/>
              </w:rPr>
              <w:t>$0</w:t>
            </w:r>
            <w:r w:rsidRPr="00930B62">
              <w:rPr>
                <w:rFonts w:ascii="Arial" w:hAnsi="Arial" w:cs="Arial"/>
                <w:szCs w:val="18"/>
                <w:highlight w:val="yellow"/>
                <w:vertAlign w:val="superscript"/>
              </w:rPr>
              <w:t>f</w:t>
            </w:r>
          </w:p>
        </w:tc>
        <w:tc>
          <w:tcPr>
            <w:tcW w:w="526" w:type="pct"/>
            <w:tcBorders>
              <w:top w:val="single" w:sz="4" w:space="0" w:color="auto"/>
              <w:left w:val="single" w:sz="4" w:space="0" w:color="auto"/>
              <w:bottom w:val="single" w:sz="4" w:space="0" w:color="auto"/>
              <w:right w:val="single" w:sz="4" w:space="0" w:color="auto"/>
            </w:tcBorders>
            <w:vAlign w:val="bottom"/>
          </w:tcPr>
          <w:p w:rsidR="00311D91" w:rsidRPr="00930B62" w:rsidRDefault="00311D91" w:rsidP="00311D91">
            <w:pPr>
              <w:spacing w:line="240" w:lineRule="auto"/>
              <w:ind w:firstLine="0"/>
              <w:jc w:val="right"/>
              <w:rPr>
                <w:rFonts w:ascii="Arial" w:hAnsi="Arial" w:cs="Arial"/>
                <w:color w:val="000000"/>
                <w:sz w:val="18"/>
                <w:szCs w:val="18"/>
                <w:highlight w:val="yellow"/>
              </w:rPr>
            </w:pPr>
            <w:r w:rsidRPr="00930B62">
              <w:rPr>
                <w:rFonts w:ascii="Arial" w:hAnsi="Arial" w:cs="Arial"/>
                <w:color w:val="000000"/>
                <w:sz w:val="18"/>
                <w:szCs w:val="18"/>
                <w:highlight w:val="yellow"/>
              </w:rPr>
              <w:t>$0</w:t>
            </w:r>
          </w:p>
        </w:tc>
        <w:tc>
          <w:tcPr>
            <w:tcW w:w="501" w:type="pct"/>
            <w:tcBorders>
              <w:top w:val="single" w:sz="4" w:space="0" w:color="auto"/>
              <w:left w:val="single" w:sz="4" w:space="0" w:color="auto"/>
              <w:bottom w:val="single" w:sz="4" w:space="0" w:color="auto"/>
              <w:right w:val="single" w:sz="4" w:space="0" w:color="auto"/>
            </w:tcBorders>
            <w:vAlign w:val="bottom"/>
          </w:tcPr>
          <w:p w:rsidR="00311D91" w:rsidRPr="00930B62" w:rsidRDefault="00311D91" w:rsidP="00311D91">
            <w:pPr>
              <w:spacing w:line="240" w:lineRule="auto"/>
              <w:ind w:firstLine="0"/>
              <w:jc w:val="right"/>
              <w:rPr>
                <w:rFonts w:ascii="Arial" w:hAnsi="Arial" w:cs="Arial"/>
                <w:color w:val="000000"/>
                <w:sz w:val="18"/>
                <w:szCs w:val="18"/>
                <w:highlight w:val="yellow"/>
              </w:rPr>
            </w:pPr>
            <w:r w:rsidRPr="00930B62">
              <w:rPr>
                <w:rFonts w:ascii="Arial" w:hAnsi="Arial" w:cs="Arial"/>
                <w:color w:val="000000"/>
                <w:sz w:val="18"/>
                <w:szCs w:val="18"/>
                <w:highlight w:val="yellow"/>
              </w:rPr>
              <w:t>$0</w:t>
            </w:r>
          </w:p>
        </w:tc>
        <w:tc>
          <w:tcPr>
            <w:tcW w:w="552" w:type="pct"/>
            <w:tcBorders>
              <w:top w:val="single" w:sz="4" w:space="0" w:color="auto"/>
              <w:left w:val="single" w:sz="4" w:space="0" w:color="auto"/>
              <w:bottom w:val="single" w:sz="4" w:space="0" w:color="auto"/>
              <w:right w:val="single" w:sz="4" w:space="0" w:color="auto"/>
            </w:tcBorders>
            <w:shd w:val="clear" w:color="auto" w:fill="auto"/>
            <w:vAlign w:val="bottom"/>
          </w:tcPr>
          <w:p w:rsidR="00311D91" w:rsidRPr="00930B62" w:rsidRDefault="00311D91" w:rsidP="00644B5C">
            <w:pPr>
              <w:pStyle w:val="TableText"/>
              <w:jc w:val="right"/>
              <w:rPr>
                <w:rFonts w:ascii="Arial" w:hAnsi="Arial" w:cs="Arial"/>
                <w:szCs w:val="18"/>
                <w:highlight w:val="yellow"/>
              </w:rPr>
            </w:pPr>
            <w:r w:rsidRPr="00930B62">
              <w:rPr>
                <w:rFonts w:ascii="Arial" w:hAnsi="Arial" w:cs="Arial"/>
                <w:szCs w:val="18"/>
                <w:highlight w:val="yellow"/>
              </w:rPr>
              <w:t>$0.00</w:t>
            </w:r>
          </w:p>
        </w:tc>
      </w:tr>
      <w:tr w:rsidR="00311D91" w:rsidRPr="00644B5C" w:rsidTr="00311D91">
        <w:tc>
          <w:tcPr>
            <w:tcW w:w="1208" w:type="pct"/>
            <w:tcBorders>
              <w:top w:val="single" w:sz="4" w:space="0" w:color="auto"/>
              <w:left w:val="single" w:sz="4" w:space="0" w:color="auto"/>
              <w:bottom w:val="single" w:sz="4" w:space="0" w:color="auto"/>
              <w:right w:val="single" w:sz="4" w:space="0" w:color="auto"/>
            </w:tcBorders>
            <w:shd w:val="clear" w:color="auto" w:fill="auto"/>
            <w:vAlign w:val="center"/>
          </w:tcPr>
          <w:p w:rsidR="00311D91" w:rsidRPr="00930B62" w:rsidRDefault="00311D91" w:rsidP="00644B5C">
            <w:pPr>
              <w:pStyle w:val="TableText"/>
              <w:rPr>
                <w:rFonts w:ascii="Arial" w:hAnsi="Arial" w:cs="Arial"/>
                <w:szCs w:val="18"/>
                <w:highlight w:val="yellow"/>
              </w:rPr>
            </w:pPr>
            <w:r w:rsidRPr="00930B62">
              <w:rPr>
                <w:rFonts w:ascii="Arial" w:hAnsi="Arial" w:cs="Arial"/>
                <w:szCs w:val="18"/>
                <w:highlight w:val="yellow"/>
              </w:rPr>
              <w:t xml:space="preserve">Adolescent Pre-Focus Group Interview </w:t>
            </w:r>
          </w:p>
        </w:tc>
        <w:tc>
          <w:tcPr>
            <w:tcW w:w="759" w:type="pct"/>
            <w:tcBorders>
              <w:top w:val="single" w:sz="4" w:space="0" w:color="auto"/>
              <w:left w:val="single" w:sz="4" w:space="0" w:color="auto"/>
              <w:bottom w:val="single" w:sz="4" w:space="0" w:color="auto"/>
              <w:right w:val="single" w:sz="4" w:space="0" w:color="auto"/>
            </w:tcBorders>
            <w:shd w:val="clear" w:color="auto" w:fill="auto"/>
            <w:vAlign w:val="bottom"/>
          </w:tcPr>
          <w:p w:rsidR="00311D91" w:rsidRPr="00930B62" w:rsidRDefault="00311D91" w:rsidP="00644B5C">
            <w:pPr>
              <w:pStyle w:val="TableText"/>
              <w:jc w:val="right"/>
              <w:rPr>
                <w:rFonts w:ascii="Arial" w:hAnsi="Arial" w:cs="Arial"/>
                <w:szCs w:val="18"/>
                <w:highlight w:val="yellow"/>
              </w:rPr>
            </w:pPr>
            <w:r w:rsidRPr="00930B62">
              <w:rPr>
                <w:rFonts w:ascii="Arial" w:hAnsi="Arial" w:cs="Arial"/>
                <w:szCs w:val="18"/>
                <w:highlight w:val="yellow"/>
              </w:rPr>
              <w:t>40</w:t>
            </w:r>
          </w:p>
        </w:tc>
        <w:tc>
          <w:tcPr>
            <w:tcW w:w="453" w:type="pct"/>
            <w:tcBorders>
              <w:top w:val="single" w:sz="4" w:space="0" w:color="auto"/>
              <w:left w:val="single" w:sz="4" w:space="0" w:color="auto"/>
              <w:bottom w:val="single" w:sz="4" w:space="0" w:color="auto"/>
              <w:right w:val="single" w:sz="4" w:space="0" w:color="auto"/>
            </w:tcBorders>
            <w:vAlign w:val="bottom"/>
          </w:tcPr>
          <w:p w:rsidR="00311D91" w:rsidRPr="00930B62" w:rsidRDefault="00311D91" w:rsidP="00644B5C">
            <w:pPr>
              <w:pStyle w:val="TableText"/>
              <w:jc w:val="right"/>
              <w:rPr>
                <w:rFonts w:ascii="Arial" w:hAnsi="Arial" w:cs="Arial"/>
                <w:color w:val="000000"/>
                <w:szCs w:val="18"/>
                <w:highlight w:val="yellow"/>
              </w:rPr>
            </w:pPr>
            <w:r w:rsidRPr="00930B62">
              <w:rPr>
                <w:rFonts w:ascii="Arial" w:hAnsi="Arial" w:cs="Arial"/>
                <w:color w:val="000000"/>
                <w:szCs w:val="18"/>
                <w:highlight w:val="yellow"/>
              </w:rPr>
              <w:t>0</w:t>
            </w:r>
          </w:p>
        </w:tc>
        <w:tc>
          <w:tcPr>
            <w:tcW w:w="455" w:type="pct"/>
            <w:tcBorders>
              <w:top w:val="single" w:sz="4" w:space="0" w:color="auto"/>
              <w:left w:val="single" w:sz="4" w:space="0" w:color="auto"/>
              <w:bottom w:val="single" w:sz="4" w:space="0" w:color="auto"/>
              <w:right w:val="single" w:sz="4" w:space="0" w:color="auto"/>
            </w:tcBorders>
            <w:shd w:val="clear" w:color="auto" w:fill="auto"/>
            <w:vAlign w:val="bottom"/>
          </w:tcPr>
          <w:p w:rsidR="00311D91" w:rsidRPr="00930B62" w:rsidRDefault="00311D91" w:rsidP="00644B5C">
            <w:pPr>
              <w:pStyle w:val="TableText"/>
              <w:jc w:val="right"/>
              <w:rPr>
                <w:rFonts w:ascii="Arial" w:hAnsi="Arial" w:cs="Arial"/>
                <w:szCs w:val="18"/>
                <w:highlight w:val="yellow"/>
              </w:rPr>
            </w:pPr>
            <w:r w:rsidRPr="00930B62">
              <w:rPr>
                <w:rFonts w:ascii="Arial" w:hAnsi="Arial" w:cs="Arial"/>
                <w:color w:val="000000"/>
                <w:szCs w:val="18"/>
                <w:highlight w:val="yellow"/>
              </w:rPr>
              <w:t>13</w:t>
            </w:r>
          </w:p>
        </w:tc>
        <w:tc>
          <w:tcPr>
            <w:tcW w:w="547" w:type="pct"/>
            <w:tcBorders>
              <w:top w:val="single" w:sz="4" w:space="0" w:color="auto"/>
              <w:left w:val="single" w:sz="4" w:space="0" w:color="auto"/>
              <w:bottom w:val="single" w:sz="4" w:space="0" w:color="auto"/>
              <w:right w:val="single" w:sz="4" w:space="0" w:color="auto"/>
            </w:tcBorders>
            <w:shd w:val="clear" w:color="auto" w:fill="auto"/>
            <w:vAlign w:val="bottom"/>
          </w:tcPr>
          <w:p w:rsidR="00311D91" w:rsidRPr="00930B62" w:rsidRDefault="00311D91" w:rsidP="00644B5C">
            <w:pPr>
              <w:pStyle w:val="TableText"/>
              <w:jc w:val="right"/>
              <w:rPr>
                <w:rFonts w:ascii="Arial" w:hAnsi="Arial" w:cs="Arial"/>
                <w:szCs w:val="18"/>
                <w:highlight w:val="yellow"/>
              </w:rPr>
            </w:pPr>
            <w:r w:rsidRPr="00930B62">
              <w:rPr>
                <w:rFonts w:ascii="Arial" w:hAnsi="Arial" w:cs="Arial"/>
                <w:szCs w:val="18"/>
                <w:highlight w:val="yellow"/>
              </w:rPr>
              <w:t>$0</w:t>
            </w:r>
            <w:r w:rsidRPr="00930B62">
              <w:rPr>
                <w:rFonts w:ascii="Arial" w:hAnsi="Arial" w:cs="Arial"/>
                <w:szCs w:val="18"/>
                <w:highlight w:val="yellow"/>
                <w:vertAlign w:val="superscript"/>
              </w:rPr>
              <w:t>f</w:t>
            </w:r>
          </w:p>
        </w:tc>
        <w:tc>
          <w:tcPr>
            <w:tcW w:w="526" w:type="pct"/>
            <w:tcBorders>
              <w:top w:val="single" w:sz="4" w:space="0" w:color="auto"/>
              <w:left w:val="single" w:sz="4" w:space="0" w:color="auto"/>
              <w:bottom w:val="single" w:sz="4" w:space="0" w:color="auto"/>
              <w:right w:val="single" w:sz="4" w:space="0" w:color="auto"/>
            </w:tcBorders>
            <w:vAlign w:val="bottom"/>
          </w:tcPr>
          <w:p w:rsidR="00311D91" w:rsidRPr="00930B62" w:rsidRDefault="00311D91" w:rsidP="00311D91">
            <w:pPr>
              <w:spacing w:line="240" w:lineRule="auto"/>
              <w:ind w:firstLine="0"/>
              <w:jc w:val="right"/>
              <w:rPr>
                <w:rFonts w:ascii="Arial" w:hAnsi="Arial" w:cs="Arial"/>
                <w:color w:val="000000"/>
                <w:sz w:val="18"/>
                <w:szCs w:val="18"/>
                <w:highlight w:val="yellow"/>
              </w:rPr>
            </w:pPr>
            <w:r w:rsidRPr="00930B62">
              <w:rPr>
                <w:rFonts w:ascii="Arial" w:hAnsi="Arial" w:cs="Arial"/>
                <w:color w:val="000000"/>
                <w:sz w:val="18"/>
                <w:szCs w:val="18"/>
                <w:highlight w:val="yellow"/>
              </w:rPr>
              <w:t>$0</w:t>
            </w:r>
          </w:p>
        </w:tc>
        <w:tc>
          <w:tcPr>
            <w:tcW w:w="501" w:type="pct"/>
            <w:tcBorders>
              <w:top w:val="single" w:sz="4" w:space="0" w:color="auto"/>
              <w:left w:val="single" w:sz="4" w:space="0" w:color="auto"/>
              <w:bottom w:val="single" w:sz="4" w:space="0" w:color="auto"/>
              <w:right w:val="single" w:sz="4" w:space="0" w:color="auto"/>
            </w:tcBorders>
            <w:vAlign w:val="bottom"/>
          </w:tcPr>
          <w:p w:rsidR="00311D91" w:rsidRPr="00930B62" w:rsidRDefault="00311D91" w:rsidP="00311D91">
            <w:pPr>
              <w:spacing w:line="240" w:lineRule="auto"/>
              <w:ind w:firstLine="0"/>
              <w:jc w:val="right"/>
              <w:rPr>
                <w:rFonts w:ascii="Arial" w:hAnsi="Arial" w:cs="Arial"/>
                <w:color w:val="000000"/>
                <w:sz w:val="18"/>
                <w:szCs w:val="18"/>
                <w:highlight w:val="yellow"/>
              </w:rPr>
            </w:pPr>
            <w:r w:rsidRPr="00930B62">
              <w:rPr>
                <w:rFonts w:ascii="Arial" w:hAnsi="Arial" w:cs="Arial"/>
                <w:color w:val="000000"/>
                <w:sz w:val="18"/>
                <w:szCs w:val="18"/>
                <w:highlight w:val="yellow"/>
              </w:rPr>
              <w:t>$0</w:t>
            </w:r>
          </w:p>
        </w:tc>
        <w:tc>
          <w:tcPr>
            <w:tcW w:w="552" w:type="pct"/>
            <w:tcBorders>
              <w:top w:val="single" w:sz="4" w:space="0" w:color="auto"/>
              <w:left w:val="single" w:sz="4" w:space="0" w:color="auto"/>
              <w:bottom w:val="single" w:sz="4" w:space="0" w:color="auto"/>
              <w:right w:val="single" w:sz="4" w:space="0" w:color="auto"/>
            </w:tcBorders>
            <w:shd w:val="clear" w:color="auto" w:fill="auto"/>
            <w:vAlign w:val="bottom"/>
          </w:tcPr>
          <w:p w:rsidR="00311D91" w:rsidRPr="00930B62" w:rsidRDefault="00311D91" w:rsidP="00644B5C">
            <w:pPr>
              <w:pStyle w:val="TableText"/>
              <w:jc w:val="right"/>
              <w:rPr>
                <w:rFonts w:ascii="Arial" w:hAnsi="Arial" w:cs="Arial"/>
                <w:szCs w:val="18"/>
                <w:highlight w:val="yellow"/>
              </w:rPr>
            </w:pPr>
            <w:r w:rsidRPr="00930B62">
              <w:rPr>
                <w:rFonts w:ascii="Arial" w:hAnsi="Arial" w:cs="Arial"/>
                <w:szCs w:val="18"/>
                <w:highlight w:val="yellow"/>
              </w:rPr>
              <w:t>$0.00</w:t>
            </w:r>
          </w:p>
        </w:tc>
      </w:tr>
      <w:tr w:rsidR="00311D91" w:rsidRPr="00644B5C" w:rsidTr="00311D91">
        <w:tc>
          <w:tcPr>
            <w:tcW w:w="1208" w:type="pct"/>
            <w:tcBorders>
              <w:top w:val="single" w:sz="4" w:space="0" w:color="auto"/>
              <w:left w:val="single" w:sz="4" w:space="0" w:color="auto"/>
              <w:bottom w:val="single" w:sz="4" w:space="0" w:color="auto"/>
              <w:right w:val="single" w:sz="4" w:space="0" w:color="auto"/>
            </w:tcBorders>
            <w:shd w:val="clear" w:color="auto" w:fill="auto"/>
            <w:vAlign w:val="center"/>
          </w:tcPr>
          <w:p w:rsidR="00311D91" w:rsidRPr="00930B62" w:rsidRDefault="00311D91" w:rsidP="00644B5C">
            <w:pPr>
              <w:pStyle w:val="TableText"/>
              <w:rPr>
                <w:rFonts w:ascii="Arial" w:hAnsi="Arial" w:cs="Arial"/>
                <w:szCs w:val="18"/>
                <w:highlight w:val="yellow"/>
              </w:rPr>
            </w:pPr>
            <w:r w:rsidRPr="00930B62">
              <w:rPr>
                <w:rFonts w:ascii="Arial" w:hAnsi="Arial" w:cs="Arial"/>
                <w:szCs w:val="18"/>
                <w:highlight w:val="yellow"/>
              </w:rPr>
              <w:t>Adolescent Focus Groups</w:t>
            </w:r>
          </w:p>
        </w:tc>
        <w:tc>
          <w:tcPr>
            <w:tcW w:w="759" w:type="pct"/>
            <w:tcBorders>
              <w:top w:val="single" w:sz="4" w:space="0" w:color="auto"/>
              <w:left w:val="single" w:sz="4" w:space="0" w:color="auto"/>
              <w:bottom w:val="single" w:sz="4" w:space="0" w:color="auto"/>
              <w:right w:val="single" w:sz="4" w:space="0" w:color="auto"/>
            </w:tcBorders>
            <w:shd w:val="clear" w:color="auto" w:fill="auto"/>
            <w:vAlign w:val="bottom"/>
          </w:tcPr>
          <w:p w:rsidR="00311D91" w:rsidRPr="00930B62" w:rsidRDefault="00311D91" w:rsidP="00644B5C">
            <w:pPr>
              <w:pStyle w:val="TableText"/>
              <w:jc w:val="right"/>
              <w:rPr>
                <w:rFonts w:ascii="Arial" w:hAnsi="Arial" w:cs="Arial"/>
                <w:szCs w:val="18"/>
                <w:highlight w:val="yellow"/>
              </w:rPr>
            </w:pPr>
            <w:r w:rsidRPr="00930B62">
              <w:rPr>
                <w:rFonts w:ascii="Arial" w:hAnsi="Arial" w:cs="Arial"/>
                <w:szCs w:val="18"/>
                <w:highlight w:val="yellow"/>
              </w:rPr>
              <w:t>40</w:t>
            </w:r>
          </w:p>
        </w:tc>
        <w:tc>
          <w:tcPr>
            <w:tcW w:w="453" w:type="pct"/>
            <w:tcBorders>
              <w:top w:val="single" w:sz="4" w:space="0" w:color="auto"/>
              <w:left w:val="single" w:sz="4" w:space="0" w:color="auto"/>
              <w:bottom w:val="single" w:sz="4" w:space="0" w:color="auto"/>
              <w:right w:val="single" w:sz="4" w:space="0" w:color="auto"/>
            </w:tcBorders>
            <w:vAlign w:val="bottom"/>
          </w:tcPr>
          <w:p w:rsidR="00311D91" w:rsidRPr="00930B62" w:rsidRDefault="00311D91" w:rsidP="00644B5C">
            <w:pPr>
              <w:pStyle w:val="TableText"/>
              <w:jc w:val="right"/>
              <w:rPr>
                <w:rFonts w:ascii="Arial" w:hAnsi="Arial" w:cs="Arial"/>
                <w:color w:val="000000"/>
                <w:szCs w:val="18"/>
                <w:highlight w:val="yellow"/>
              </w:rPr>
            </w:pPr>
            <w:r w:rsidRPr="00930B62">
              <w:rPr>
                <w:rFonts w:ascii="Arial" w:hAnsi="Arial" w:cs="Arial"/>
                <w:color w:val="000000"/>
                <w:szCs w:val="18"/>
                <w:highlight w:val="yellow"/>
              </w:rPr>
              <w:t>0</w:t>
            </w:r>
          </w:p>
        </w:tc>
        <w:tc>
          <w:tcPr>
            <w:tcW w:w="455" w:type="pct"/>
            <w:tcBorders>
              <w:top w:val="single" w:sz="4" w:space="0" w:color="auto"/>
              <w:left w:val="single" w:sz="4" w:space="0" w:color="auto"/>
              <w:bottom w:val="single" w:sz="4" w:space="0" w:color="auto"/>
              <w:right w:val="single" w:sz="4" w:space="0" w:color="auto"/>
            </w:tcBorders>
            <w:shd w:val="clear" w:color="auto" w:fill="auto"/>
            <w:vAlign w:val="bottom"/>
          </w:tcPr>
          <w:p w:rsidR="00311D91" w:rsidRPr="00930B62" w:rsidRDefault="00311D91" w:rsidP="00644B5C">
            <w:pPr>
              <w:pStyle w:val="TableText"/>
              <w:jc w:val="right"/>
              <w:rPr>
                <w:rFonts w:ascii="Arial" w:hAnsi="Arial" w:cs="Arial"/>
                <w:szCs w:val="18"/>
                <w:highlight w:val="yellow"/>
              </w:rPr>
            </w:pPr>
            <w:r w:rsidRPr="00930B62">
              <w:rPr>
                <w:rFonts w:ascii="Arial" w:hAnsi="Arial" w:cs="Arial"/>
                <w:color w:val="000000"/>
                <w:szCs w:val="18"/>
                <w:highlight w:val="yellow"/>
              </w:rPr>
              <w:t>60</w:t>
            </w:r>
          </w:p>
        </w:tc>
        <w:tc>
          <w:tcPr>
            <w:tcW w:w="547" w:type="pct"/>
            <w:tcBorders>
              <w:top w:val="single" w:sz="4" w:space="0" w:color="auto"/>
              <w:left w:val="single" w:sz="4" w:space="0" w:color="auto"/>
              <w:bottom w:val="single" w:sz="4" w:space="0" w:color="auto"/>
              <w:right w:val="single" w:sz="4" w:space="0" w:color="auto"/>
            </w:tcBorders>
            <w:shd w:val="clear" w:color="auto" w:fill="auto"/>
            <w:vAlign w:val="bottom"/>
          </w:tcPr>
          <w:p w:rsidR="00311D91" w:rsidRPr="00930B62" w:rsidRDefault="00311D91" w:rsidP="00644B5C">
            <w:pPr>
              <w:pStyle w:val="TableText"/>
              <w:jc w:val="right"/>
              <w:rPr>
                <w:rFonts w:ascii="Arial" w:hAnsi="Arial" w:cs="Arial"/>
                <w:szCs w:val="18"/>
                <w:highlight w:val="yellow"/>
              </w:rPr>
            </w:pPr>
            <w:r w:rsidRPr="00930B62">
              <w:rPr>
                <w:rFonts w:ascii="Arial" w:hAnsi="Arial" w:cs="Arial"/>
                <w:szCs w:val="18"/>
                <w:highlight w:val="yellow"/>
              </w:rPr>
              <w:t>$0</w:t>
            </w:r>
            <w:r w:rsidRPr="00930B62">
              <w:rPr>
                <w:rFonts w:ascii="Arial" w:hAnsi="Arial" w:cs="Arial"/>
                <w:szCs w:val="18"/>
                <w:highlight w:val="yellow"/>
                <w:vertAlign w:val="superscript"/>
              </w:rPr>
              <w:t>f</w:t>
            </w:r>
          </w:p>
        </w:tc>
        <w:tc>
          <w:tcPr>
            <w:tcW w:w="526" w:type="pct"/>
            <w:tcBorders>
              <w:top w:val="single" w:sz="4" w:space="0" w:color="auto"/>
              <w:left w:val="single" w:sz="4" w:space="0" w:color="auto"/>
              <w:bottom w:val="single" w:sz="4" w:space="0" w:color="auto"/>
              <w:right w:val="single" w:sz="4" w:space="0" w:color="auto"/>
            </w:tcBorders>
            <w:vAlign w:val="bottom"/>
          </w:tcPr>
          <w:p w:rsidR="00311D91" w:rsidRPr="00930B62" w:rsidRDefault="00311D91" w:rsidP="00311D91">
            <w:pPr>
              <w:spacing w:line="240" w:lineRule="auto"/>
              <w:ind w:firstLine="0"/>
              <w:jc w:val="right"/>
              <w:rPr>
                <w:rFonts w:ascii="Arial" w:hAnsi="Arial" w:cs="Arial"/>
                <w:color w:val="000000"/>
                <w:sz w:val="18"/>
                <w:szCs w:val="18"/>
                <w:highlight w:val="yellow"/>
              </w:rPr>
            </w:pPr>
            <w:r w:rsidRPr="00930B62">
              <w:rPr>
                <w:rFonts w:ascii="Arial" w:hAnsi="Arial" w:cs="Arial"/>
                <w:color w:val="000000"/>
                <w:sz w:val="18"/>
                <w:szCs w:val="18"/>
                <w:highlight w:val="yellow"/>
              </w:rPr>
              <w:t>$0</w:t>
            </w:r>
          </w:p>
        </w:tc>
        <w:tc>
          <w:tcPr>
            <w:tcW w:w="501" w:type="pct"/>
            <w:tcBorders>
              <w:top w:val="single" w:sz="4" w:space="0" w:color="auto"/>
              <w:left w:val="single" w:sz="4" w:space="0" w:color="auto"/>
              <w:bottom w:val="single" w:sz="4" w:space="0" w:color="auto"/>
              <w:right w:val="single" w:sz="4" w:space="0" w:color="auto"/>
            </w:tcBorders>
            <w:vAlign w:val="bottom"/>
          </w:tcPr>
          <w:p w:rsidR="00311D91" w:rsidRPr="00930B62" w:rsidRDefault="00311D91" w:rsidP="00311D91">
            <w:pPr>
              <w:spacing w:line="240" w:lineRule="auto"/>
              <w:ind w:firstLine="0"/>
              <w:jc w:val="right"/>
              <w:rPr>
                <w:rFonts w:ascii="Arial" w:hAnsi="Arial" w:cs="Arial"/>
                <w:color w:val="000000"/>
                <w:sz w:val="18"/>
                <w:szCs w:val="18"/>
                <w:highlight w:val="yellow"/>
              </w:rPr>
            </w:pPr>
            <w:r w:rsidRPr="00930B62">
              <w:rPr>
                <w:rFonts w:ascii="Arial" w:hAnsi="Arial" w:cs="Arial"/>
                <w:color w:val="000000"/>
                <w:sz w:val="18"/>
                <w:szCs w:val="18"/>
                <w:highlight w:val="yellow"/>
              </w:rPr>
              <w:t>$0</w:t>
            </w:r>
          </w:p>
        </w:tc>
        <w:tc>
          <w:tcPr>
            <w:tcW w:w="552" w:type="pct"/>
            <w:tcBorders>
              <w:top w:val="single" w:sz="4" w:space="0" w:color="auto"/>
              <w:left w:val="single" w:sz="4" w:space="0" w:color="auto"/>
              <w:bottom w:val="single" w:sz="4" w:space="0" w:color="auto"/>
              <w:right w:val="single" w:sz="4" w:space="0" w:color="auto"/>
            </w:tcBorders>
            <w:shd w:val="clear" w:color="auto" w:fill="auto"/>
            <w:vAlign w:val="bottom"/>
          </w:tcPr>
          <w:p w:rsidR="00311D91" w:rsidRPr="00930B62" w:rsidRDefault="00311D91" w:rsidP="00644B5C">
            <w:pPr>
              <w:pStyle w:val="TableText"/>
              <w:jc w:val="right"/>
              <w:rPr>
                <w:rFonts w:ascii="Arial" w:hAnsi="Arial" w:cs="Arial"/>
                <w:szCs w:val="18"/>
                <w:highlight w:val="yellow"/>
              </w:rPr>
            </w:pPr>
            <w:r w:rsidRPr="00930B62">
              <w:rPr>
                <w:rFonts w:ascii="Arial" w:hAnsi="Arial" w:cs="Arial"/>
                <w:szCs w:val="18"/>
                <w:highlight w:val="yellow"/>
              </w:rPr>
              <w:t>$0.00</w:t>
            </w:r>
          </w:p>
        </w:tc>
      </w:tr>
      <w:tr w:rsidR="00311D91" w:rsidRPr="00644B5C" w:rsidTr="00311D91">
        <w:tc>
          <w:tcPr>
            <w:tcW w:w="1208" w:type="pct"/>
            <w:tcBorders>
              <w:top w:val="single" w:sz="4" w:space="0" w:color="auto"/>
              <w:left w:val="single" w:sz="4" w:space="0" w:color="auto"/>
              <w:bottom w:val="single" w:sz="4" w:space="0" w:color="auto"/>
              <w:right w:val="single" w:sz="4" w:space="0" w:color="auto"/>
            </w:tcBorders>
            <w:shd w:val="clear" w:color="auto" w:fill="auto"/>
          </w:tcPr>
          <w:p w:rsidR="00644B5C" w:rsidRPr="00644B5C" w:rsidRDefault="00644B5C" w:rsidP="00644B5C">
            <w:pPr>
              <w:pStyle w:val="TableText"/>
              <w:rPr>
                <w:rFonts w:ascii="Arial" w:hAnsi="Arial" w:cs="Arial"/>
                <w:szCs w:val="18"/>
                <w:highlight w:val="yellow"/>
              </w:rPr>
            </w:pPr>
            <w:r w:rsidRPr="00644B5C">
              <w:rPr>
                <w:rFonts w:ascii="Arial" w:hAnsi="Arial" w:cs="Arial"/>
                <w:szCs w:val="18"/>
                <w:highlight w:val="yellow"/>
              </w:rPr>
              <w:t>Total</w:t>
            </w:r>
          </w:p>
        </w:tc>
        <w:tc>
          <w:tcPr>
            <w:tcW w:w="759" w:type="pct"/>
            <w:tcBorders>
              <w:top w:val="single" w:sz="4" w:space="0" w:color="auto"/>
              <w:left w:val="single" w:sz="4" w:space="0" w:color="auto"/>
              <w:bottom w:val="single" w:sz="4" w:space="0" w:color="auto"/>
              <w:right w:val="single" w:sz="4" w:space="0" w:color="auto"/>
            </w:tcBorders>
            <w:shd w:val="clear" w:color="auto" w:fill="auto"/>
            <w:vAlign w:val="bottom"/>
          </w:tcPr>
          <w:p w:rsidR="00644B5C" w:rsidRPr="00644B5C" w:rsidRDefault="00644B5C" w:rsidP="00644B5C">
            <w:pPr>
              <w:tabs>
                <w:tab w:val="clear" w:pos="432"/>
              </w:tabs>
              <w:spacing w:line="240" w:lineRule="auto"/>
              <w:ind w:firstLine="0"/>
              <w:jc w:val="right"/>
              <w:rPr>
                <w:rFonts w:ascii="Arial" w:hAnsi="Arial" w:cs="Arial"/>
                <w:sz w:val="18"/>
                <w:szCs w:val="18"/>
              </w:rPr>
            </w:pPr>
            <w:r w:rsidRPr="00644B5C">
              <w:rPr>
                <w:rFonts w:ascii="Arial" w:hAnsi="Arial" w:cs="Arial"/>
                <w:sz w:val="18"/>
                <w:szCs w:val="18"/>
                <w:highlight w:val="yellow"/>
              </w:rPr>
              <w:t>1,006</w:t>
            </w:r>
            <w:r w:rsidRPr="00644B5C">
              <w:rPr>
                <w:rFonts w:ascii="Arial" w:hAnsi="Arial" w:cs="Arial"/>
                <w:color w:val="000000"/>
                <w:sz w:val="18"/>
                <w:szCs w:val="18"/>
                <w:vertAlign w:val="superscript"/>
              </w:rPr>
              <w:t>h</w:t>
            </w:r>
          </w:p>
        </w:tc>
        <w:tc>
          <w:tcPr>
            <w:tcW w:w="453" w:type="pct"/>
            <w:tcBorders>
              <w:top w:val="single" w:sz="4" w:space="0" w:color="auto"/>
              <w:left w:val="single" w:sz="4" w:space="0" w:color="auto"/>
              <w:bottom w:val="single" w:sz="4" w:space="0" w:color="auto"/>
              <w:right w:val="single" w:sz="4" w:space="0" w:color="auto"/>
            </w:tcBorders>
            <w:vAlign w:val="bottom"/>
          </w:tcPr>
          <w:p w:rsidR="00644B5C" w:rsidRPr="00644B5C" w:rsidRDefault="00644B5C" w:rsidP="00644B5C">
            <w:pPr>
              <w:pStyle w:val="TableText"/>
              <w:jc w:val="right"/>
              <w:rPr>
                <w:rFonts w:ascii="Arial" w:hAnsi="Arial" w:cs="Arial"/>
                <w:color w:val="000000"/>
                <w:szCs w:val="18"/>
                <w:highlight w:val="yellow"/>
              </w:rPr>
            </w:pPr>
            <w:r w:rsidRPr="00644B5C">
              <w:rPr>
                <w:rFonts w:ascii="Arial" w:hAnsi="Arial" w:cs="Arial"/>
                <w:color w:val="000000"/>
                <w:szCs w:val="18"/>
                <w:highlight w:val="yellow"/>
              </w:rPr>
              <w:t>702</w:t>
            </w:r>
          </w:p>
        </w:tc>
        <w:tc>
          <w:tcPr>
            <w:tcW w:w="455" w:type="pct"/>
            <w:tcBorders>
              <w:top w:val="single" w:sz="4" w:space="0" w:color="auto"/>
              <w:left w:val="single" w:sz="4" w:space="0" w:color="auto"/>
              <w:bottom w:val="single" w:sz="4" w:space="0" w:color="auto"/>
              <w:right w:val="single" w:sz="4" w:space="0" w:color="auto"/>
            </w:tcBorders>
            <w:shd w:val="clear" w:color="auto" w:fill="auto"/>
            <w:vAlign w:val="bottom"/>
          </w:tcPr>
          <w:p w:rsidR="00644B5C" w:rsidRPr="00644B5C" w:rsidRDefault="00644B5C" w:rsidP="00644B5C">
            <w:pPr>
              <w:pStyle w:val="TableText"/>
              <w:jc w:val="right"/>
              <w:rPr>
                <w:rFonts w:ascii="Arial" w:hAnsi="Arial" w:cs="Arial"/>
                <w:color w:val="000000"/>
                <w:szCs w:val="18"/>
                <w:highlight w:val="yellow"/>
              </w:rPr>
            </w:pPr>
            <w:r w:rsidRPr="00644B5C">
              <w:rPr>
                <w:rFonts w:ascii="Arial" w:hAnsi="Arial" w:cs="Arial"/>
                <w:color w:val="000000"/>
                <w:szCs w:val="18"/>
                <w:highlight w:val="yellow"/>
              </w:rPr>
              <w:t>1,253</w:t>
            </w:r>
          </w:p>
        </w:tc>
        <w:tc>
          <w:tcPr>
            <w:tcW w:w="547" w:type="pct"/>
            <w:tcBorders>
              <w:top w:val="single" w:sz="4" w:space="0" w:color="auto"/>
              <w:left w:val="single" w:sz="4" w:space="0" w:color="auto"/>
              <w:bottom w:val="single" w:sz="4" w:space="0" w:color="auto"/>
              <w:right w:val="single" w:sz="4" w:space="0" w:color="auto"/>
            </w:tcBorders>
            <w:shd w:val="clear" w:color="auto" w:fill="auto"/>
            <w:vAlign w:val="bottom"/>
          </w:tcPr>
          <w:p w:rsidR="00644B5C" w:rsidRPr="00644B5C" w:rsidRDefault="00644B5C" w:rsidP="00644B5C">
            <w:pPr>
              <w:pStyle w:val="TableText"/>
              <w:jc w:val="right"/>
              <w:rPr>
                <w:rFonts w:ascii="Arial" w:hAnsi="Arial" w:cs="Arial"/>
                <w:szCs w:val="18"/>
                <w:highlight w:val="yellow"/>
              </w:rPr>
            </w:pPr>
            <w:r w:rsidRPr="00644B5C">
              <w:rPr>
                <w:rFonts w:ascii="Arial" w:hAnsi="Arial" w:cs="Arial"/>
                <w:szCs w:val="18"/>
                <w:highlight w:val="yellow"/>
              </w:rPr>
              <w:t>na</w:t>
            </w:r>
          </w:p>
        </w:tc>
        <w:tc>
          <w:tcPr>
            <w:tcW w:w="526" w:type="pct"/>
            <w:tcBorders>
              <w:top w:val="single" w:sz="4" w:space="0" w:color="auto"/>
              <w:left w:val="single" w:sz="4" w:space="0" w:color="auto"/>
              <w:bottom w:val="single" w:sz="4" w:space="0" w:color="auto"/>
              <w:right w:val="single" w:sz="4" w:space="0" w:color="auto"/>
            </w:tcBorders>
            <w:vAlign w:val="bottom"/>
          </w:tcPr>
          <w:p w:rsidR="00644B5C" w:rsidRPr="00644B5C" w:rsidRDefault="00644B5C" w:rsidP="00644B5C">
            <w:pPr>
              <w:spacing w:line="240" w:lineRule="auto"/>
              <w:ind w:firstLine="0"/>
              <w:jc w:val="right"/>
              <w:rPr>
                <w:rFonts w:ascii="Arial" w:hAnsi="Arial" w:cs="Arial"/>
                <w:color w:val="000000"/>
                <w:sz w:val="18"/>
                <w:szCs w:val="18"/>
              </w:rPr>
            </w:pPr>
            <w:r w:rsidRPr="00644B5C">
              <w:rPr>
                <w:rFonts w:ascii="Arial" w:hAnsi="Arial" w:cs="Arial"/>
                <w:color w:val="000000"/>
                <w:sz w:val="18"/>
                <w:szCs w:val="18"/>
                <w:highlight w:val="yellow"/>
              </w:rPr>
              <w:t xml:space="preserve">$32,407 </w:t>
            </w:r>
          </w:p>
        </w:tc>
        <w:tc>
          <w:tcPr>
            <w:tcW w:w="501" w:type="pct"/>
            <w:tcBorders>
              <w:top w:val="single" w:sz="4" w:space="0" w:color="auto"/>
              <w:left w:val="single" w:sz="4" w:space="0" w:color="auto"/>
              <w:bottom w:val="single" w:sz="4" w:space="0" w:color="auto"/>
              <w:right w:val="single" w:sz="4" w:space="0" w:color="auto"/>
            </w:tcBorders>
            <w:vAlign w:val="bottom"/>
          </w:tcPr>
          <w:p w:rsidR="00644B5C" w:rsidRPr="00644B5C" w:rsidRDefault="00644B5C" w:rsidP="00644B5C">
            <w:pPr>
              <w:spacing w:line="240" w:lineRule="auto"/>
              <w:ind w:firstLine="0"/>
              <w:jc w:val="right"/>
              <w:rPr>
                <w:rFonts w:ascii="Arial" w:hAnsi="Arial" w:cs="Arial"/>
                <w:color w:val="000000"/>
                <w:sz w:val="18"/>
                <w:szCs w:val="18"/>
              </w:rPr>
            </w:pPr>
            <w:r w:rsidRPr="00644B5C">
              <w:rPr>
                <w:rFonts w:ascii="Arial" w:hAnsi="Arial" w:cs="Arial"/>
                <w:color w:val="000000"/>
                <w:sz w:val="18"/>
                <w:szCs w:val="18"/>
                <w:highlight w:val="yellow"/>
              </w:rPr>
              <w:t xml:space="preserve">$42,796 </w:t>
            </w:r>
          </w:p>
        </w:tc>
        <w:tc>
          <w:tcPr>
            <w:tcW w:w="552" w:type="pct"/>
            <w:tcBorders>
              <w:top w:val="single" w:sz="4" w:space="0" w:color="auto"/>
              <w:left w:val="single" w:sz="4" w:space="0" w:color="auto"/>
              <w:bottom w:val="single" w:sz="4" w:space="0" w:color="auto"/>
              <w:right w:val="single" w:sz="4" w:space="0" w:color="auto"/>
            </w:tcBorders>
            <w:shd w:val="clear" w:color="auto" w:fill="auto"/>
            <w:vAlign w:val="bottom"/>
          </w:tcPr>
          <w:p w:rsidR="00644B5C" w:rsidRPr="00644B5C" w:rsidRDefault="00644B5C" w:rsidP="00644B5C">
            <w:pPr>
              <w:pStyle w:val="TableText"/>
              <w:jc w:val="right"/>
              <w:rPr>
                <w:rFonts w:ascii="Arial" w:hAnsi="Arial" w:cs="Arial"/>
                <w:szCs w:val="18"/>
                <w:highlight w:val="yellow"/>
              </w:rPr>
            </w:pPr>
            <w:r w:rsidRPr="00644B5C">
              <w:rPr>
                <w:rFonts w:ascii="Arial" w:hAnsi="Arial" w:cs="Arial"/>
                <w:szCs w:val="18"/>
                <w:highlight w:val="yellow"/>
              </w:rPr>
              <w:t>$75,203</w:t>
            </w:r>
          </w:p>
        </w:tc>
      </w:tr>
    </w:tbl>
    <w:p w:rsidR="009231EE" w:rsidRPr="00AC5873" w:rsidRDefault="00F62F86" w:rsidP="00644B5C">
      <w:pPr>
        <w:pStyle w:val="TableFootnoteCaption"/>
        <w:tabs>
          <w:tab w:val="clear" w:pos="432"/>
          <w:tab w:val="left" w:pos="180"/>
        </w:tabs>
        <w:spacing w:after="0"/>
        <w:ind w:left="180" w:hanging="180"/>
        <w:jc w:val="left"/>
        <w:rPr>
          <w:sz w:val="20"/>
          <w:szCs w:val="20"/>
          <w:highlight w:val="yellow"/>
          <w:vertAlign w:val="superscript"/>
        </w:rPr>
      </w:pPr>
      <w:r w:rsidRPr="00AC5873">
        <w:rPr>
          <w:rFonts w:ascii="Garamond" w:hAnsi="Garamond"/>
          <w:sz w:val="20"/>
          <w:szCs w:val="20"/>
          <w:highlight w:val="yellow"/>
          <w:vertAlign w:val="superscript"/>
        </w:rPr>
        <w:t>a</w:t>
      </w:r>
      <w:r w:rsidRPr="00AC5873">
        <w:rPr>
          <w:rFonts w:ascii="Garamond" w:hAnsi="Garamond"/>
          <w:b/>
          <w:sz w:val="20"/>
          <w:szCs w:val="20"/>
          <w:highlight w:val="yellow"/>
        </w:rPr>
        <w:t xml:space="preserve"> </w:t>
      </w:r>
      <w:r w:rsidRPr="00AC5873">
        <w:rPr>
          <w:rFonts w:ascii="Garamond" w:hAnsi="Garamond"/>
          <w:sz w:val="20"/>
          <w:szCs w:val="20"/>
          <w:highlight w:val="yellow"/>
        </w:rPr>
        <w:t>“</w:t>
      </w:r>
      <w:r w:rsidRPr="00AC5873">
        <w:rPr>
          <w:rFonts w:ascii="Garamond" w:hAnsi="Garamond"/>
          <w:color w:val="000000"/>
          <w:sz w:val="20"/>
          <w:szCs w:val="20"/>
          <w:highlight w:val="yellow"/>
        </w:rPr>
        <w:t xml:space="preserve">National Compensation Survey: Occupational </w:t>
      </w:r>
      <w:r w:rsidR="009A55B0" w:rsidRPr="00AC5873">
        <w:rPr>
          <w:rFonts w:ascii="Garamond" w:hAnsi="Garamond"/>
          <w:color w:val="000000"/>
          <w:sz w:val="20"/>
          <w:szCs w:val="20"/>
          <w:highlight w:val="yellow"/>
        </w:rPr>
        <w:t>W</w:t>
      </w:r>
      <w:r w:rsidRPr="00AC5873">
        <w:rPr>
          <w:rFonts w:ascii="Garamond" w:hAnsi="Garamond"/>
          <w:color w:val="000000"/>
          <w:sz w:val="20"/>
          <w:szCs w:val="20"/>
          <w:highlight w:val="yellow"/>
        </w:rPr>
        <w:t xml:space="preserve">ages in the United </w:t>
      </w:r>
      <w:r w:rsidR="00354300" w:rsidRPr="00AC5873">
        <w:rPr>
          <w:rFonts w:ascii="Garamond" w:hAnsi="Garamond"/>
          <w:color w:val="000000"/>
          <w:sz w:val="20"/>
          <w:szCs w:val="20"/>
          <w:highlight w:val="yellow"/>
        </w:rPr>
        <w:t>State</w:t>
      </w:r>
      <w:r w:rsidRPr="00AC5873">
        <w:rPr>
          <w:rFonts w:ascii="Garamond" w:hAnsi="Garamond"/>
          <w:color w:val="000000"/>
          <w:sz w:val="20"/>
          <w:szCs w:val="20"/>
          <w:highlight w:val="yellow"/>
        </w:rPr>
        <w:t>s May 2012</w:t>
      </w:r>
      <w:r w:rsidR="009A55B0" w:rsidRPr="00AC5873">
        <w:rPr>
          <w:rFonts w:ascii="Garamond" w:hAnsi="Garamond"/>
          <w:color w:val="000000"/>
          <w:sz w:val="20"/>
          <w:szCs w:val="20"/>
          <w:highlight w:val="yellow"/>
        </w:rPr>
        <w:t>.”</w:t>
      </w:r>
      <w:r w:rsidRPr="00AC5873">
        <w:rPr>
          <w:rFonts w:ascii="Garamond" w:hAnsi="Garamond"/>
          <w:color w:val="000000"/>
          <w:sz w:val="20"/>
          <w:szCs w:val="20"/>
          <w:highlight w:val="yellow"/>
        </w:rPr>
        <w:t xml:space="preserve"> U.S. Department of Labor, Bureau of Labor Statistics.</w:t>
      </w:r>
    </w:p>
    <w:p w:rsidR="009231EE" w:rsidRPr="00AC5873" w:rsidRDefault="00C62E50">
      <w:pPr>
        <w:pStyle w:val="TableFootnoteCaption"/>
        <w:tabs>
          <w:tab w:val="clear" w:pos="432"/>
          <w:tab w:val="left" w:pos="180"/>
        </w:tabs>
        <w:spacing w:after="0"/>
        <w:ind w:left="180" w:hanging="180"/>
        <w:jc w:val="left"/>
        <w:rPr>
          <w:color w:val="000000"/>
          <w:sz w:val="20"/>
          <w:szCs w:val="20"/>
          <w:highlight w:val="yellow"/>
        </w:rPr>
      </w:pPr>
      <w:r w:rsidRPr="00AC5873">
        <w:rPr>
          <w:rFonts w:ascii="Garamond" w:hAnsi="Garamond"/>
          <w:sz w:val="20"/>
          <w:szCs w:val="20"/>
          <w:highlight w:val="yellow"/>
          <w:vertAlign w:val="superscript"/>
        </w:rPr>
        <w:t>b</w:t>
      </w:r>
      <w:r w:rsidR="00F62F86" w:rsidRPr="00AC5873">
        <w:rPr>
          <w:rFonts w:ascii="Garamond" w:hAnsi="Garamond"/>
          <w:b/>
          <w:sz w:val="20"/>
          <w:szCs w:val="20"/>
          <w:highlight w:val="yellow"/>
        </w:rPr>
        <w:t xml:space="preserve">  </w:t>
      </w:r>
      <w:r w:rsidR="00F62F86" w:rsidRPr="00AC5873">
        <w:rPr>
          <w:rFonts w:ascii="Garamond" w:hAnsi="Garamond"/>
          <w:color w:val="000000"/>
          <w:sz w:val="20"/>
          <w:szCs w:val="20"/>
          <w:highlight w:val="yellow"/>
        </w:rPr>
        <w:t>Based on the mean wages for general and operations manager (11-1021)</w:t>
      </w:r>
    </w:p>
    <w:p w:rsidR="00F7260B" w:rsidRPr="00AC5873" w:rsidRDefault="009A55B0" w:rsidP="00F7260B">
      <w:pPr>
        <w:tabs>
          <w:tab w:val="clear" w:pos="432"/>
        </w:tabs>
        <w:spacing w:line="240" w:lineRule="auto"/>
        <w:ind w:firstLine="0"/>
        <w:jc w:val="left"/>
        <w:rPr>
          <w:color w:val="000000"/>
          <w:sz w:val="20"/>
          <w:szCs w:val="20"/>
          <w:highlight w:val="yellow"/>
        </w:rPr>
      </w:pPr>
      <w:r w:rsidRPr="00AC5873">
        <w:rPr>
          <w:color w:val="000000"/>
          <w:sz w:val="20"/>
          <w:szCs w:val="20"/>
          <w:highlight w:val="yellow"/>
          <w:vertAlign w:val="superscript"/>
        </w:rPr>
        <w:t>c</w:t>
      </w:r>
      <w:r w:rsidR="00F62F86" w:rsidRPr="00AC5873">
        <w:rPr>
          <w:color w:val="000000"/>
          <w:sz w:val="20"/>
          <w:szCs w:val="20"/>
          <w:highlight w:val="yellow"/>
        </w:rPr>
        <w:t xml:space="preserve">  Based on the mean wages for social and community service managers (11-9151)</w:t>
      </w:r>
    </w:p>
    <w:p w:rsidR="00F7260B" w:rsidRPr="00AC5873" w:rsidRDefault="009A55B0" w:rsidP="00F7260B">
      <w:pPr>
        <w:tabs>
          <w:tab w:val="clear" w:pos="432"/>
        </w:tabs>
        <w:spacing w:line="240" w:lineRule="auto"/>
        <w:ind w:firstLine="0"/>
        <w:jc w:val="left"/>
        <w:rPr>
          <w:color w:val="000000"/>
          <w:sz w:val="20"/>
          <w:szCs w:val="20"/>
          <w:highlight w:val="yellow"/>
        </w:rPr>
      </w:pPr>
      <w:r w:rsidRPr="00AC5873">
        <w:rPr>
          <w:color w:val="000000"/>
          <w:sz w:val="20"/>
          <w:szCs w:val="20"/>
          <w:highlight w:val="yellow"/>
          <w:vertAlign w:val="superscript"/>
        </w:rPr>
        <w:t>d</w:t>
      </w:r>
      <w:r w:rsidR="00F62F86" w:rsidRPr="00AC5873">
        <w:rPr>
          <w:color w:val="000000"/>
          <w:sz w:val="20"/>
          <w:szCs w:val="20"/>
          <w:highlight w:val="yellow"/>
        </w:rPr>
        <w:t xml:space="preserve">  Based on the mean wages for general pediatricians (</w:t>
      </w:r>
      <w:r w:rsidR="00F62F86" w:rsidRPr="00AC5873">
        <w:rPr>
          <w:sz w:val="20"/>
          <w:szCs w:val="20"/>
          <w:highlight w:val="yellow"/>
        </w:rPr>
        <w:t>29-1065)</w:t>
      </w:r>
    </w:p>
    <w:p w:rsidR="00F7260B" w:rsidRPr="00AC5873" w:rsidRDefault="009A55B0" w:rsidP="00F7260B">
      <w:pPr>
        <w:tabs>
          <w:tab w:val="clear" w:pos="432"/>
        </w:tabs>
        <w:spacing w:line="240" w:lineRule="auto"/>
        <w:ind w:firstLine="0"/>
        <w:jc w:val="left"/>
        <w:rPr>
          <w:color w:val="000000"/>
          <w:sz w:val="20"/>
          <w:szCs w:val="20"/>
          <w:highlight w:val="yellow"/>
        </w:rPr>
      </w:pPr>
      <w:r w:rsidRPr="00AC5873">
        <w:rPr>
          <w:color w:val="000000"/>
          <w:sz w:val="20"/>
          <w:szCs w:val="20"/>
          <w:highlight w:val="yellow"/>
          <w:vertAlign w:val="superscript"/>
        </w:rPr>
        <w:t>e</w:t>
      </w:r>
      <w:r w:rsidR="00F62F86" w:rsidRPr="00AC5873">
        <w:rPr>
          <w:color w:val="000000"/>
          <w:sz w:val="20"/>
          <w:szCs w:val="20"/>
          <w:highlight w:val="yellow"/>
          <w:vertAlign w:val="superscript"/>
        </w:rPr>
        <w:t xml:space="preserve"> </w:t>
      </w:r>
      <w:r w:rsidR="00F62F86" w:rsidRPr="00AC5873">
        <w:rPr>
          <w:color w:val="000000"/>
          <w:sz w:val="20"/>
          <w:szCs w:val="20"/>
          <w:highlight w:val="yellow"/>
        </w:rPr>
        <w:t xml:space="preserve"> Based on the mean wages for all occupations </w:t>
      </w:r>
    </w:p>
    <w:p w:rsidR="00F7260B" w:rsidRDefault="009A55B0" w:rsidP="00F7260B">
      <w:pPr>
        <w:tabs>
          <w:tab w:val="clear" w:pos="432"/>
        </w:tabs>
        <w:spacing w:line="240" w:lineRule="auto"/>
        <w:ind w:firstLine="0"/>
        <w:jc w:val="left"/>
        <w:rPr>
          <w:color w:val="000000"/>
          <w:sz w:val="20"/>
          <w:szCs w:val="20"/>
        </w:rPr>
      </w:pPr>
      <w:r w:rsidRPr="00AC5873">
        <w:rPr>
          <w:color w:val="000000"/>
          <w:sz w:val="20"/>
          <w:szCs w:val="20"/>
          <w:highlight w:val="yellow"/>
          <w:vertAlign w:val="superscript"/>
        </w:rPr>
        <w:t>f</w:t>
      </w:r>
      <w:r w:rsidR="00F62F86" w:rsidRPr="00AC5873">
        <w:rPr>
          <w:color w:val="000000"/>
          <w:sz w:val="20"/>
          <w:szCs w:val="20"/>
          <w:highlight w:val="yellow"/>
          <w:vertAlign w:val="superscript"/>
        </w:rPr>
        <w:t xml:space="preserve"> </w:t>
      </w:r>
      <w:r w:rsidR="00F62F86" w:rsidRPr="00AC5873">
        <w:rPr>
          <w:color w:val="000000"/>
          <w:sz w:val="20"/>
          <w:szCs w:val="20"/>
          <w:highlight w:val="yellow"/>
        </w:rPr>
        <w:t xml:space="preserve"> Wage rates for adolescents are assumed to be zero.</w:t>
      </w:r>
      <w:r w:rsidR="00F62F86" w:rsidRPr="00F62F86">
        <w:rPr>
          <w:color w:val="000000"/>
          <w:sz w:val="20"/>
          <w:szCs w:val="20"/>
        </w:rPr>
        <w:t xml:space="preserve"> </w:t>
      </w:r>
    </w:p>
    <w:p w:rsidR="00644B5C" w:rsidRDefault="00644B5C" w:rsidP="00644B5C">
      <w:pPr>
        <w:pStyle w:val="TableSignificanceCaption"/>
        <w:rPr>
          <w:rFonts w:ascii="Garamond" w:hAnsi="Garamond"/>
          <w:color w:val="000000"/>
          <w:sz w:val="20"/>
          <w:szCs w:val="20"/>
          <w:highlight w:val="yellow"/>
        </w:rPr>
      </w:pPr>
      <w:r>
        <w:rPr>
          <w:rFonts w:ascii="Garamond" w:hAnsi="Garamond"/>
          <w:color w:val="000000"/>
          <w:sz w:val="20"/>
          <w:szCs w:val="20"/>
          <w:highlight w:val="yellow"/>
          <w:vertAlign w:val="superscript"/>
        </w:rPr>
        <w:t xml:space="preserve">g </w:t>
      </w:r>
      <w:r w:rsidRPr="00AC5873">
        <w:rPr>
          <w:rFonts w:ascii="Garamond" w:hAnsi="Garamond"/>
          <w:color w:val="000000"/>
          <w:sz w:val="20"/>
          <w:szCs w:val="20"/>
          <w:highlight w:val="yellow"/>
        </w:rPr>
        <w:t>Based on an expected 70% screen-in rate</w:t>
      </w:r>
    </w:p>
    <w:p w:rsidR="00644B5C" w:rsidRPr="00AC5873" w:rsidRDefault="00644B5C" w:rsidP="00644B5C">
      <w:pPr>
        <w:pStyle w:val="TableSignificanceCaption"/>
        <w:ind w:left="180" w:hanging="180"/>
        <w:rPr>
          <w:rFonts w:ascii="Garamond" w:hAnsi="Garamond"/>
          <w:color w:val="000000"/>
          <w:sz w:val="20"/>
          <w:szCs w:val="20"/>
          <w:highlight w:val="yellow"/>
        </w:rPr>
      </w:pPr>
      <w:r>
        <w:rPr>
          <w:rFonts w:ascii="Garamond" w:hAnsi="Garamond"/>
          <w:color w:val="000000"/>
          <w:sz w:val="20"/>
          <w:szCs w:val="20"/>
          <w:highlight w:val="yellow"/>
          <w:vertAlign w:val="superscript"/>
        </w:rPr>
        <w:t xml:space="preserve">h </w:t>
      </w:r>
      <w:r w:rsidRPr="00644B5C">
        <w:rPr>
          <w:rFonts w:ascii="Garamond" w:hAnsi="Garamond"/>
          <w:color w:val="000000"/>
          <w:sz w:val="20"/>
          <w:szCs w:val="20"/>
          <w:highlight w:val="yellow"/>
        </w:rPr>
        <w:t xml:space="preserve">Parent and adolescent </w:t>
      </w:r>
      <w:r>
        <w:rPr>
          <w:rFonts w:ascii="Garamond" w:hAnsi="Garamond"/>
          <w:color w:val="000000"/>
          <w:sz w:val="20"/>
          <w:szCs w:val="20"/>
          <w:highlight w:val="yellow"/>
        </w:rPr>
        <w:t>f</w:t>
      </w:r>
      <w:r w:rsidRPr="00644B5C">
        <w:rPr>
          <w:rFonts w:ascii="Garamond" w:hAnsi="Garamond"/>
          <w:color w:val="000000"/>
          <w:sz w:val="20"/>
          <w:szCs w:val="20"/>
          <w:highlight w:val="yellow"/>
        </w:rPr>
        <w:t xml:space="preserve">ocus </w:t>
      </w:r>
      <w:r>
        <w:rPr>
          <w:rFonts w:ascii="Garamond" w:hAnsi="Garamond"/>
          <w:color w:val="000000"/>
          <w:sz w:val="20"/>
          <w:szCs w:val="20"/>
          <w:highlight w:val="yellow"/>
        </w:rPr>
        <w:t xml:space="preserve">group respondents will complete the screener, pre-focus group interview, and participate in a focus group. They were only counted once in the total number of respondents. </w:t>
      </w:r>
    </w:p>
    <w:p w:rsidR="00644B5C" w:rsidRPr="009A55B0" w:rsidRDefault="00644B5C" w:rsidP="00F7260B">
      <w:pPr>
        <w:tabs>
          <w:tab w:val="clear" w:pos="432"/>
        </w:tabs>
        <w:spacing w:line="240" w:lineRule="auto"/>
        <w:ind w:firstLine="0"/>
        <w:jc w:val="left"/>
        <w:rPr>
          <w:color w:val="000000"/>
          <w:sz w:val="20"/>
          <w:szCs w:val="20"/>
        </w:rPr>
      </w:pPr>
    </w:p>
    <w:p w:rsidR="009231EE" w:rsidRDefault="009231EE">
      <w:pPr>
        <w:pStyle w:val="TableFootnoteCaption"/>
        <w:tabs>
          <w:tab w:val="clear" w:pos="432"/>
          <w:tab w:val="left" w:pos="180"/>
        </w:tabs>
        <w:spacing w:after="0"/>
        <w:ind w:left="180" w:hanging="180"/>
        <w:jc w:val="left"/>
        <w:rPr>
          <w:rFonts w:ascii="Arial" w:hAnsi="Arial" w:cs="Arial"/>
        </w:rPr>
      </w:pPr>
    </w:p>
    <w:p w:rsidR="009D01FD" w:rsidRPr="00405DF5" w:rsidRDefault="00F62F86" w:rsidP="009D01FD">
      <w:pPr>
        <w:pStyle w:val="NormalSS"/>
        <w:ind w:firstLine="0"/>
        <w:jc w:val="left"/>
      </w:pPr>
      <w:bookmarkStart w:id="21" w:name="_Toc291509297"/>
      <w:r w:rsidRPr="00F62F86">
        <w:t xml:space="preserve">Throughout the information collection process, we will monitor the length of the interviews, comments received from participants and field interviewers, and the number of individuals who refuse to be interviewed. If this information indicates that the burden on participants is so great as to undermine the collection of high quality data, we will revise our procedures accordingly. For example, we may reduce the length of the semi-structured interviews. If we need to revise our procedures, we will work with OMB to implement specific changes. </w:t>
      </w:r>
    </w:p>
    <w:p w:rsidR="001F1362" w:rsidRPr="00405DF5" w:rsidRDefault="00F62F86" w:rsidP="00ED732E">
      <w:pPr>
        <w:pStyle w:val="Heading2Black"/>
        <w:jc w:val="left"/>
        <w:rPr>
          <w:rFonts w:ascii="Arial" w:hAnsi="Arial" w:cs="Arial"/>
          <w:i/>
        </w:rPr>
      </w:pPr>
      <w:r w:rsidRPr="00F62F86">
        <w:rPr>
          <w:rFonts w:ascii="Arial" w:hAnsi="Arial" w:cs="Arial"/>
          <w:i/>
        </w:rPr>
        <w:t>13.</w:t>
      </w:r>
      <w:r w:rsidRPr="00F62F86">
        <w:rPr>
          <w:rFonts w:ascii="Arial" w:hAnsi="Arial" w:cs="Arial"/>
          <w:i/>
        </w:rPr>
        <w:tab/>
        <w:t>Estimates of Annualized Respondent Capital and Maintenance Costs</w:t>
      </w:r>
      <w:bookmarkEnd w:id="21"/>
    </w:p>
    <w:p w:rsidR="001F1362" w:rsidRPr="00405DF5" w:rsidRDefault="00F62F86" w:rsidP="00ED732E">
      <w:pPr>
        <w:pStyle w:val="NormalSS"/>
        <w:ind w:firstLine="0"/>
        <w:jc w:val="left"/>
      </w:pPr>
      <w:r w:rsidRPr="00F62F86">
        <w:t>Capital and maintenance costs include the purchase of equipment, computers or computer software or services, or storage facilities for records, as a result of complying with this data collection.  There are no additional costs to the respondents.</w:t>
      </w:r>
    </w:p>
    <w:p w:rsidR="001F1362" w:rsidRPr="00405DF5" w:rsidRDefault="00F62F86" w:rsidP="00ED732E">
      <w:pPr>
        <w:pStyle w:val="Heading2Black"/>
        <w:jc w:val="left"/>
        <w:rPr>
          <w:rFonts w:ascii="Arial" w:hAnsi="Arial" w:cs="Arial"/>
          <w:i/>
        </w:rPr>
      </w:pPr>
      <w:bookmarkStart w:id="22" w:name="_Toc291509298"/>
      <w:r w:rsidRPr="00F62F86">
        <w:rPr>
          <w:rFonts w:ascii="Arial" w:hAnsi="Arial" w:cs="Arial"/>
          <w:i/>
        </w:rPr>
        <w:t>14.</w:t>
      </w:r>
      <w:r w:rsidRPr="00F62F86">
        <w:rPr>
          <w:rFonts w:ascii="Arial" w:hAnsi="Arial" w:cs="Arial"/>
          <w:i/>
        </w:rPr>
        <w:tab/>
        <w:t>Estimates of Annualized Cost to the Government</w:t>
      </w:r>
      <w:bookmarkEnd w:id="22"/>
    </w:p>
    <w:p w:rsidR="001F1362" w:rsidRPr="00405DF5" w:rsidRDefault="00F62F86" w:rsidP="00ED732E">
      <w:pPr>
        <w:pStyle w:val="NormalSS"/>
        <w:ind w:firstLine="0"/>
        <w:jc w:val="left"/>
      </w:pPr>
      <w:r w:rsidRPr="00F62F86">
        <w:t>Exhibit 3 shows the total and annualized cost for this evaluation.  The total cost to the government of the entire evaluation contract is $8,258,311 (including a base period and four option periods); the annualized cost is $1,651,662 per year (Exhibit 3).  These costs will be incurred from 2010 to 201</w:t>
      </w:r>
      <w:r w:rsidR="003E5087">
        <w:t>5</w:t>
      </w:r>
      <w:r w:rsidRPr="00F62F86">
        <w:t>.</w:t>
      </w:r>
    </w:p>
    <w:p w:rsidR="00CD53E9" w:rsidRPr="00405DF5" w:rsidRDefault="00F62F86" w:rsidP="002F0255">
      <w:pPr>
        <w:pStyle w:val="MarkforExhibitHeading"/>
        <w:rPr>
          <w:rFonts w:ascii="Arial" w:hAnsi="Arial" w:cs="Arial"/>
        </w:rPr>
      </w:pPr>
      <w:r w:rsidRPr="00F62F86">
        <w:rPr>
          <w:rFonts w:ascii="Arial" w:hAnsi="Arial" w:cs="Arial"/>
        </w:rPr>
        <w:t>Exhibit 3.  Estimated Total and Annual Cost</w:t>
      </w:r>
    </w:p>
    <w:tbl>
      <w:tblPr>
        <w:tblStyle w:val="TableGrid"/>
        <w:tblW w:w="3380" w:type="pct"/>
        <w:tblInd w:w="115" w:type="dxa"/>
        <w:tblBorders>
          <w:top w:val="single" w:sz="12" w:space="0" w:color="auto"/>
          <w:left w:val="none" w:sz="0" w:space="0" w:color="auto"/>
          <w:bottom w:val="single" w:sz="4" w:space="0" w:color="auto"/>
          <w:right w:val="none" w:sz="0" w:space="0" w:color="auto"/>
          <w:insideH w:val="single" w:sz="4" w:space="0" w:color="auto"/>
          <w:insideV w:val="single" w:sz="4" w:space="0" w:color="auto"/>
        </w:tblBorders>
        <w:tblLayout w:type="fixed"/>
        <w:tblLook w:val="04A0" w:firstRow="1" w:lastRow="0" w:firstColumn="1" w:lastColumn="0" w:noHBand="0" w:noVBand="1"/>
      </w:tblPr>
      <w:tblGrid>
        <w:gridCol w:w="3346"/>
        <w:gridCol w:w="1687"/>
        <w:gridCol w:w="1440"/>
      </w:tblGrid>
      <w:tr w:rsidR="00CD53E9" w:rsidRPr="00405DF5" w:rsidTr="001874E0">
        <w:trPr>
          <w:tblHeader/>
        </w:trPr>
        <w:tc>
          <w:tcPr>
            <w:tcW w:w="2585" w:type="pct"/>
            <w:tcBorders>
              <w:top w:val="single" w:sz="12" w:space="0" w:color="auto"/>
              <w:left w:val="single" w:sz="4" w:space="0" w:color="auto"/>
            </w:tcBorders>
            <w:shd w:val="clear" w:color="auto" w:fill="auto"/>
            <w:vAlign w:val="center"/>
          </w:tcPr>
          <w:p w:rsidR="00CD53E9" w:rsidRPr="00405DF5" w:rsidRDefault="00F62F86" w:rsidP="004B69B0">
            <w:pPr>
              <w:pStyle w:val="TableHeaderLeft"/>
              <w:tabs>
                <w:tab w:val="clear" w:pos="432"/>
              </w:tabs>
              <w:rPr>
                <w:rFonts w:ascii="Arial" w:hAnsi="Arial" w:cs="Arial"/>
              </w:rPr>
            </w:pPr>
            <w:r w:rsidRPr="00F62F86">
              <w:rPr>
                <w:rFonts w:ascii="Arial" w:hAnsi="Arial" w:cs="Arial"/>
              </w:rPr>
              <w:t>Cost Component</w:t>
            </w:r>
          </w:p>
        </w:tc>
        <w:tc>
          <w:tcPr>
            <w:tcW w:w="1303" w:type="pct"/>
            <w:tcBorders>
              <w:top w:val="single" w:sz="12" w:space="0" w:color="auto"/>
            </w:tcBorders>
            <w:shd w:val="clear" w:color="auto" w:fill="auto"/>
            <w:vAlign w:val="center"/>
          </w:tcPr>
          <w:p w:rsidR="00CD53E9" w:rsidRPr="00405DF5" w:rsidRDefault="00F62F86" w:rsidP="004B69B0">
            <w:pPr>
              <w:pStyle w:val="TableHeaderCenter"/>
              <w:rPr>
                <w:rFonts w:ascii="Arial" w:hAnsi="Arial" w:cs="Arial"/>
              </w:rPr>
            </w:pPr>
            <w:r w:rsidRPr="00F62F86">
              <w:rPr>
                <w:rFonts w:ascii="Arial" w:hAnsi="Arial" w:cs="Arial"/>
              </w:rPr>
              <w:t>Total Cost</w:t>
            </w:r>
          </w:p>
        </w:tc>
        <w:tc>
          <w:tcPr>
            <w:tcW w:w="1112" w:type="pct"/>
            <w:tcBorders>
              <w:top w:val="single" w:sz="12" w:space="0" w:color="auto"/>
              <w:right w:val="single" w:sz="4" w:space="0" w:color="auto"/>
            </w:tcBorders>
            <w:shd w:val="clear" w:color="auto" w:fill="auto"/>
            <w:vAlign w:val="center"/>
          </w:tcPr>
          <w:p w:rsidR="00CD53E9" w:rsidRPr="00405DF5" w:rsidRDefault="00F62F86" w:rsidP="004B69B0">
            <w:pPr>
              <w:pStyle w:val="TableHeaderCenter"/>
              <w:rPr>
                <w:rFonts w:ascii="Arial" w:hAnsi="Arial" w:cs="Arial"/>
              </w:rPr>
            </w:pPr>
            <w:r w:rsidRPr="00F62F86">
              <w:rPr>
                <w:rFonts w:ascii="Arial" w:hAnsi="Arial" w:cs="Arial"/>
              </w:rPr>
              <w:t>Annual Cost</w:t>
            </w:r>
          </w:p>
        </w:tc>
      </w:tr>
      <w:tr w:rsidR="00790CD6" w:rsidRPr="00405DF5" w:rsidTr="001874E0">
        <w:tc>
          <w:tcPr>
            <w:tcW w:w="2585" w:type="pct"/>
            <w:tcBorders>
              <w:left w:val="single" w:sz="4" w:space="0" w:color="auto"/>
              <w:right w:val="single" w:sz="4" w:space="0" w:color="auto"/>
            </w:tcBorders>
            <w:shd w:val="clear" w:color="auto" w:fill="auto"/>
            <w:vAlign w:val="center"/>
          </w:tcPr>
          <w:p w:rsidR="00790CD6" w:rsidRPr="00405DF5" w:rsidRDefault="00F62F86" w:rsidP="002F0255">
            <w:pPr>
              <w:pStyle w:val="TableText"/>
              <w:spacing w:before="20" w:after="20"/>
              <w:rPr>
                <w:rFonts w:ascii="Arial" w:hAnsi="Arial" w:cs="Arial"/>
              </w:rPr>
            </w:pPr>
            <w:r w:rsidRPr="00F62F86">
              <w:rPr>
                <w:rFonts w:ascii="Arial" w:hAnsi="Arial" w:cs="Arial"/>
              </w:rPr>
              <w:lastRenderedPageBreak/>
              <w:t>Administration</w:t>
            </w:r>
          </w:p>
        </w:tc>
        <w:tc>
          <w:tcPr>
            <w:tcW w:w="1303" w:type="pct"/>
            <w:tcBorders>
              <w:top w:val="nil"/>
              <w:left w:val="single" w:sz="4" w:space="0" w:color="auto"/>
              <w:bottom w:val="nil"/>
              <w:right w:val="single" w:sz="4" w:space="0" w:color="auto"/>
            </w:tcBorders>
            <w:shd w:val="clear" w:color="auto" w:fill="auto"/>
            <w:vAlign w:val="center"/>
          </w:tcPr>
          <w:p w:rsidR="00790CD6" w:rsidRPr="00405DF5" w:rsidRDefault="00F62F86" w:rsidP="0082232B">
            <w:pPr>
              <w:pStyle w:val="TableText"/>
              <w:spacing w:before="20" w:after="20"/>
              <w:jc w:val="right"/>
              <w:rPr>
                <w:rFonts w:ascii="Arial" w:hAnsi="Arial" w:cs="Arial"/>
              </w:rPr>
            </w:pPr>
            <w:r w:rsidRPr="00F62F86">
              <w:rPr>
                <w:rFonts w:ascii="Arial" w:hAnsi="Arial" w:cs="Arial"/>
              </w:rPr>
              <w:t>$571,422</w:t>
            </w:r>
          </w:p>
        </w:tc>
        <w:tc>
          <w:tcPr>
            <w:tcW w:w="1112" w:type="pct"/>
            <w:tcBorders>
              <w:top w:val="nil"/>
              <w:left w:val="single" w:sz="4" w:space="0" w:color="auto"/>
              <w:bottom w:val="nil"/>
              <w:right w:val="single" w:sz="4" w:space="0" w:color="auto"/>
            </w:tcBorders>
            <w:shd w:val="clear" w:color="auto" w:fill="auto"/>
            <w:vAlign w:val="center"/>
          </w:tcPr>
          <w:p w:rsidR="00790CD6" w:rsidRPr="00405DF5" w:rsidRDefault="00F62F86" w:rsidP="0082232B">
            <w:pPr>
              <w:pStyle w:val="TableText"/>
              <w:tabs>
                <w:tab w:val="left" w:pos="2571"/>
              </w:tabs>
              <w:spacing w:before="20" w:after="20"/>
              <w:ind w:left="432" w:hanging="432"/>
              <w:jc w:val="right"/>
              <w:rPr>
                <w:rFonts w:ascii="Arial" w:hAnsi="Arial" w:cs="Arial"/>
              </w:rPr>
            </w:pPr>
            <w:r w:rsidRPr="00F62F86">
              <w:rPr>
                <w:rFonts w:ascii="Arial" w:hAnsi="Arial" w:cs="Arial"/>
              </w:rPr>
              <w:t>$114,284</w:t>
            </w:r>
          </w:p>
        </w:tc>
      </w:tr>
      <w:tr w:rsidR="00CD53E9" w:rsidRPr="00405DF5" w:rsidTr="001874E0">
        <w:tc>
          <w:tcPr>
            <w:tcW w:w="2585" w:type="pct"/>
            <w:tcBorders>
              <w:left w:val="single" w:sz="4" w:space="0" w:color="auto"/>
            </w:tcBorders>
            <w:shd w:val="clear" w:color="auto" w:fill="auto"/>
          </w:tcPr>
          <w:p w:rsidR="00CD53E9" w:rsidRPr="00405DF5" w:rsidRDefault="00F62F86" w:rsidP="002F0255">
            <w:pPr>
              <w:pStyle w:val="TableText"/>
              <w:spacing w:before="20" w:after="20"/>
              <w:rPr>
                <w:rFonts w:ascii="Arial" w:hAnsi="Arial" w:cs="Arial"/>
              </w:rPr>
            </w:pPr>
            <w:r w:rsidRPr="00F62F86">
              <w:rPr>
                <w:rFonts w:ascii="Arial" w:hAnsi="Arial" w:cs="Arial"/>
              </w:rPr>
              <w:t>Coordination</w:t>
            </w:r>
          </w:p>
        </w:tc>
        <w:tc>
          <w:tcPr>
            <w:tcW w:w="1303" w:type="pct"/>
            <w:shd w:val="clear" w:color="auto" w:fill="auto"/>
          </w:tcPr>
          <w:p w:rsidR="00CD53E9" w:rsidRPr="00405DF5" w:rsidRDefault="00F62F86" w:rsidP="002F0255">
            <w:pPr>
              <w:pStyle w:val="TableText"/>
              <w:spacing w:before="20" w:after="20"/>
              <w:jc w:val="right"/>
              <w:rPr>
                <w:rFonts w:ascii="Arial" w:hAnsi="Arial" w:cs="Arial"/>
              </w:rPr>
            </w:pPr>
            <w:r w:rsidRPr="00F62F86">
              <w:rPr>
                <w:rFonts w:ascii="Arial" w:hAnsi="Arial" w:cs="Arial"/>
              </w:rPr>
              <w:t>38,003</w:t>
            </w:r>
          </w:p>
        </w:tc>
        <w:tc>
          <w:tcPr>
            <w:tcW w:w="1112" w:type="pct"/>
            <w:tcBorders>
              <w:right w:val="single" w:sz="4" w:space="0" w:color="auto"/>
            </w:tcBorders>
            <w:shd w:val="clear" w:color="auto" w:fill="auto"/>
            <w:vAlign w:val="center"/>
          </w:tcPr>
          <w:p w:rsidR="00CD53E9" w:rsidRPr="00405DF5" w:rsidRDefault="00F62F86" w:rsidP="002F0255">
            <w:pPr>
              <w:pStyle w:val="TableText"/>
              <w:spacing w:before="20" w:after="20"/>
              <w:jc w:val="right"/>
              <w:rPr>
                <w:rFonts w:ascii="Arial" w:hAnsi="Arial" w:cs="Arial"/>
              </w:rPr>
            </w:pPr>
            <w:r w:rsidRPr="00F62F86">
              <w:rPr>
                <w:rFonts w:ascii="Arial" w:hAnsi="Arial" w:cs="Arial"/>
              </w:rPr>
              <w:t xml:space="preserve">7,601 </w:t>
            </w:r>
          </w:p>
        </w:tc>
      </w:tr>
      <w:tr w:rsidR="00CD53E9" w:rsidRPr="00405DF5" w:rsidTr="001874E0">
        <w:tc>
          <w:tcPr>
            <w:tcW w:w="2585" w:type="pct"/>
            <w:tcBorders>
              <w:left w:val="single" w:sz="4" w:space="0" w:color="auto"/>
            </w:tcBorders>
            <w:shd w:val="clear" w:color="auto" w:fill="auto"/>
          </w:tcPr>
          <w:p w:rsidR="00CD53E9" w:rsidRPr="00405DF5" w:rsidRDefault="00F62F86" w:rsidP="002F0255">
            <w:pPr>
              <w:pStyle w:val="TableText"/>
              <w:spacing w:before="20" w:after="20"/>
              <w:rPr>
                <w:rFonts w:ascii="Arial" w:hAnsi="Arial" w:cs="Arial"/>
              </w:rPr>
            </w:pPr>
            <w:r w:rsidRPr="00F62F86">
              <w:rPr>
                <w:rFonts w:ascii="Arial" w:hAnsi="Arial" w:cs="Arial"/>
              </w:rPr>
              <w:t>Stakeholder Feedback</w:t>
            </w:r>
          </w:p>
        </w:tc>
        <w:tc>
          <w:tcPr>
            <w:tcW w:w="1303" w:type="pct"/>
            <w:shd w:val="clear" w:color="auto" w:fill="auto"/>
          </w:tcPr>
          <w:p w:rsidR="00CD53E9" w:rsidRPr="00405DF5" w:rsidRDefault="00F62F86" w:rsidP="002F0255">
            <w:pPr>
              <w:pStyle w:val="TableText"/>
              <w:spacing w:before="20" w:after="20"/>
              <w:jc w:val="right"/>
              <w:rPr>
                <w:rFonts w:ascii="Arial" w:hAnsi="Arial" w:cs="Arial"/>
              </w:rPr>
            </w:pPr>
            <w:r w:rsidRPr="00F62F86">
              <w:rPr>
                <w:rFonts w:ascii="Arial" w:hAnsi="Arial" w:cs="Arial"/>
              </w:rPr>
              <w:t>201,637</w:t>
            </w:r>
          </w:p>
        </w:tc>
        <w:tc>
          <w:tcPr>
            <w:tcW w:w="1112" w:type="pct"/>
            <w:tcBorders>
              <w:right w:val="single" w:sz="4" w:space="0" w:color="auto"/>
            </w:tcBorders>
            <w:shd w:val="clear" w:color="auto" w:fill="auto"/>
            <w:vAlign w:val="center"/>
          </w:tcPr>
          <w:p w:rsidR="00CD53E9" w:rsidRPr="00405DF5" w:rsidRDefault="00F62F86" w:rsidP="002F0255">
            <w:pPr>
              <w:pStyle w:val="TableText"/>
              <w:spacing w:before="20" w:after="20"/>
              <w:jc w:val="right"/>
              <w:rPr>
                <w:rFonts w:ascii="Arial" w:hAnsi="Arial" w:cs="Arial"/>
              </w:rPr>
            </w:pPr>
            <w:r w:rsidRPr="00F62F86">
              <w:rPr>
                <w:rFonts w:ascii="Arial" w:hAnsi="Arial" w:cs="Arial"/>
              </w:rPr>
              <w:t xml:space="preserve">40,327 </w:t>
            </w:r>
          </w:p>
        </w:tc>
      </w:tr>
      <w:tr w:rsidR="00CD53E9" w:rsidRPr="00405DF5" w:rsidTr="001874E0">
        <w:tc>
          <w:tcPr>
            <w:tcW w:w="2585" w:type="pct"/>
            <w:tcBorders>
              <w:left w:val="single" w:sz="4" w:space="0" w:color="auto"/>
            </w:tcBorders>
            <w:shd w:val="clear" w:color="auto" w:fill="auto"/>
          </w:tcPr>
          <w:p w:rsidR="00CD53E9" w:rsidRPr="00405DF5" w:rsidRDefault="00F62F86" w:rsidP="002F0255">
            <w:pPr>
              <w:pStyle w:val="TableText"/>
              <w:spacing w:before="20" w:after="20"/>
              <w:rPr>
                <w:rFonts w:ascii="Arial" w:hAnsi="Arial" w:cs="Arial"/>
              </w:rPr>
            </w:pPr>
            <w:r w:rsidRPr="00F62F86">
              <w:rPr>
                <w:rFonts w:ascii="Arial" w:hAnsi="Arial" w:cs="Arial"/>
              </w:rPr>
              <w:t>Technical Expert Panel</w:t>
            </w:r>
          </w:p>
        </w:tc>
        <w:tc>
          <w:tcPr>
            <w:tcW w:w="1303" w:type="pct"/>
            <w:shd w:val="clear" w:color="auto" w:fill="auto"/>
          </w:tcPr>
          <w:p w:rsidR="00CD53E9" w:rsidRPr="00405DF5" w:rsidRDefault="00F62F86" w:rsidP="002F0255">
            <w:pPr>
              <w:pStyle w:val="TableText"/>
              <w:spacing w:before="20" w:after="20"/>
              <w:jc w:val="right"/>
              <w:rPr>
                <w:rFonts w:ascii="Arial" w:hAnsi="Arial" w:cs="Arial"/>
              </w:rPr>
            </w:pPr>
            <w:r w:rsidRPr="00F62F86">
              <w:rPr>
                <w:rFonts w:ascii="Arial" w:hAnsi="Arial" w:cs="Arial"/>
              </w:rPr>
              <w:t>359,276</w:t>
            </w:r>
          </w:p>
        </w:tc>
        <w:tc>
          <w:tcPr>
            <w:tcW w:w="1112" w:type="pct"/>
            <w:tcBorders>
              <w:right w:val="single" w:sz="4" w:space="0" w:color="auto"/>
            </w:tcBorders>
            <w:shd w:val="clear" w:color="auto" w:fill="auto"/>
            <w:vAlign w:val="center"/>
          </w:tcPr>
          <w:p w:rsidR="00CD53E9" w:rsidRPr="00405DF5" w:rsidRDefault="00F62F86" w:rsidP="002F0255">
            <w:pPr>
              <w:pStyle w:val="TableText"/>
              <w:spacing w:before="20" w:after="20"/>
              <w:jc w:val="right"/>
              <w:rPr>
                <w:rFonts w:ascii="Arial" w:hAnsi="Arial" w:cs="Arial"/>
              </w:rPr>
            </w:pPr>
            <w:r w:rsidRPr="00F62F86">
              <w:rPr>
                <w:rFonts w:ascii="Arial" w:hAnsi="Arial" w:cs="Arial"/>
              </w:rPr>
              <w:t xml:space="preserve">71,855 </w:t>
            </w:r>
          </w:p>
        </w:tc>
      </w:tr>
      <w:tr w:rsidR="00CD53E9" w:rsidRPr="00405DF5" w:rsidTr="001874E0">
        <w:tc>
          <w:tcPr>
            <w:tcW w:w="2585" w:type="pct"/>
            <w:tcBorders>
              <w:left w:val="single" w:sz="4" w:space="0" w:color="auto"/>
            </w:tcBorders>
            <w:shd w:val="clear" w:color="auto" w:fill="auto"/>
          </w:tcPr>
          <w:p w:rsidR="00CD53E9" w:rsidRPr="00405DF5" w:rsidRDefault="00F62F86" w:rsidP="002F0255">
            <w:pPr>
              <w:pStyle w:val="TableText"/>
              <w:spacing w:before="20" w:after="20"/>
              <w:rPr>
                <w:rFonts w:ascii="Arial" w:hAnsi="Arial" w:cs="Arial"/>
              </w:rPr>
            </w:pPr>
            <w:r w:rsidRPr="00F62F86">
              <w:rPr>
                <w:rFonts w:ascii="Arial" w:hAnsi="Arial" w:cs="Arial"/>
              </w:rPr>
              <w:t>Evaluation Design &amp; Implementation</w:t>
            </w:r>
          </w:p>
        </w:tc>
        <w:tc>
          <w:tcPr>
            <w:tcW w:w="1303" w:type="pct"/>
            <w:shd w:val="clear" w:color="auto" w:fill="auto"/>
          </w:tcPr>
          <w:p w:rsidR="00CD53E9" w:rsidRPr="00405DF5" w:rsidRDefault="00F62F86" w:rsidP="002F0255">
            <w:pPr>
              <w:pStyle w:val="TableText"/>
              <w:spacing w:before="20" w:after="20"/>
              <w:jc w:val="right"/>
              <w:rPr>
                <w:rFonts w:ascii="Arial" w:hAnsi="Arial" w:cs="Arial"/>
              </w:rPr>
            </w:pPr>
            <w:r w:rsidRPr="00F62F86">
              <w:rPr>
                <w:rFonts w:ascii="Arial" w:hAnsi="Arial" w:cs="Arial"/>
              </w:rPr>
              <w:t>3,981,390</w:t>
            </w:r>
          </w:p>
        </w:tc>
        <w:tc>
          <w:tcPr>
            <w:tcW w:w="1112" w:type="pct"/>
            <w:tcBorders>
              <w:right w:val="single" w:sz="4" w:space="0" w:color="auto"/>
            </w:tcBorders>
            <w:shd w:val="clear" w:color="auto" w:fill="auto"/>
            <w:vAlign w:val="center"/>
          </w:tcPr>
          <w:p w:rsidR="00CD53E9" w:rsidRPr="00405DF5" w:rsidRDefault="00F62F86" w:rsidP="002F0255">
            <w:pPr>
              <w:pStyle w:val="TableText"/>
              <w:spacing w:before="20" w:after="20"/>
              <w:jc w:val="right"/>
              <w:rPr>
                <w:rFonts w:ascii="Arial" w:hAnsi="Arial" w:cs="Arial"/>
              </w:rPr>
            </w:pPr>
            <w:r w:rsidRPr="00F62F86">
              <w:rPr>
                <w:rFonts w:ascii="Arial" w:hAnsi="Arial" w:cs="Arial"/>
              </w:rPr>
              <w:t xml:space="preserve">796,278 </w:t>
            </w:r>
          </w:p>
        </w:tc>
      </w:tr>
      <w:tr w:rsidR="00CD53E9" w:rsidRPr="00405DF5" w:rsidTr="001874E0">
        <w:tc>
          <w:tcPr>
            <w:tcW w:w="2585" w:type="pct"/>
            <w:tcBorders>
              <w:left w:val="single" w:sz="4" w:space="0" w:color="auto"/>
            </w:tcBorders>
            <w:shd w:val="clear" w:color="auto" w:fill="auto"/>
          </w:tcPr>
          <w:p w:rsidR="00CD53E9" w:rsidRPr="00405DF5" w:rsidRDefault="00F62F86" w:rsidP="002F0255">
            <w:pPr>
              <w:pStyle w:val="TableText"/>
              <w:spacing w:before="20" w:after="20"/>
              <w:rPr>
                <w:rFonts w:ascii="Arial" w:hAnsi="Arial" w:cs="Arial"/>
              </w:rPr>
            </w:pPr>
            <w:r w:rsidRPr="00F62F86">
              <w:rPr>
                <w:rFonts w:ascii="Arial" w:hAnsi="Arial" w:cs="Arial"/>
              </w:rPr>
              <w:t>Technical Assistance Plan</w:t>
            </w:r>
          </w:p>
        </w:tc>
        <w:tc>
          <w:tcPr>
            <w:tcW w:w="1303" w:type="pct"/>
            <w:shd w:val="clear" w:color="auto" w:fill="auto"/>
          </w:tcPr>
          <w:p w:rsidR="00CD53E9" w:rsidRPr="00405DF5" w:rsidRDefault="00F62F86" w:rsidP="002F0255">
            <w:pPr>
              <w:pStyle w:val="TableText"/>
              <w:spacing w:before="20" w:after="20"/>
              <w:jc w:val="right"/>
              <w:rPr>
                <w:rFonts w:ascii="Arial" w:hAnsi="Arial" w:cs="Arial"/>
              </w:rPr>
            </w:pPr>
            <w:r w:rsidRPr="00F62F86">
              <w:rPr>
                <w:rFonts w:ascii="Arial" w:hAnsi="Arial" w:cs="Arial"/>
              </w:rPr>
              <w:t>934,440</w:t>
            </w:r>
          </w:p>
        </w:tc>
        <w:tc>
          <w:tcPr>
            <w:tcW w:w="1112" w:type="pct"/>
            <w:tcBorders>
              <w:right w:val="single" w:sz="4" w:space="0" w:color="auto"/>
            </w:tcBorders>
            <w:shd w:val="clear" w:color="auto" w:fill="auto"/>
            <w:vAlign w:val="center"/>
          </w:tcPr>
          <w:p w:rsidR="00CD53E9" w:rsidRPr="00405DF5" w:rsidRDefault="00F62F86" w:rsidP="002F0255">
            <w:pPr>
              <w:pStyle w:val="TableText"/>
              <w:spacing w:before="20" w:after="20"/>
              <w:jc w:val="right"/>
              <w:rPr>
                <w:rFonts w:ascii="Arial" w:hAnsi="Arial" w:cs="Arial"/>
              </w:rPr>
            </w:pPr>
            <w:r w:rsidRPr="00F62F86">
              <w:rPr>
                <w:rFonts w:ascii="Arial" w:hAnsi="Arial" w:cs="Arial"/>
              </w:rPr>
              <w:t xml:space="preserve">186,888 </w:t>
            </w:r>
          </w:p>
        </w:tc>
      </w:tr>
      <w:tr w:rsidR="00CD53E9" w:rsidRPr="00405DF5" w:rsidTr="001874E0">
        <w:tc>
          <w:tcPr>
            <w:tcW w:w="2585" w:type="pct"/>
            <w:tcBorders>
              <w:left w:val="single" w:sz="4" w:space="0" w:color="auto"/>
            </w:tcBorders>
            <w:shd w:val="clear" w:color="auto" w:fill="auto"/>
          </w:tcPr>
          <w:p w:rsidR="00CD53E9" w:rsidRPr="00405DF5" w:rsidRDefault="00F62F86" w:rsidP="002F0255">
            <w:pPr>
              <w:pStyle w:val="TableText"/>
              <w:spacing w:before="20" w:after="20"/>
              <w:rPr>
                <w:rFonts w:ascii="Arial" w:hAnsi="Arial" w:cs="Arial"/>
              </w:rPr>
            </w:pPr>
            <w:r w:rsidRPr="00F62F86">
              <w:rPr>
                <w:rFonts w:ascii="Arial" w:hAnsi="Arial" w:cs="Arial"/>
              </w:rPr>
              <w:t>Data Collection Instruments</w:t>
            </w:r>
          </w:p>
        </w:tc>
        <w:tc>
          <w:tcPr>
            <w:tcW w:w="1303" w:type="pct"/>
            <w:shd w:val="clear" w:color="auto" w:fill="auto"/>
          </w:tcPr>
          <w:p w:rsidR="00CD53E9" w:rsidRPr="00405DF5" w:rsidRDefault="00F62F86" w:rsidP="002F0255">
            <w:pPr>
              <w:pStyle w:val="TableText"/>
              <w:spacing w:before="20" w:after="20"/>
              <w:jc w:val="right"/>
              <w:rPr>
                <w:rFonts w:ascii="Arial" w:hAnsi="Arial" w:cs="Arial"/>
              </w:rPr>
            </w:pPr>
            <w:r w:rsidRPr="00F62F86">
              <w:rPr>
                <w:rFonts w:ascii="Arial" w:hAnsi="Arial" w:cs="Arial"/>
              </w:rPr>
              <w:t>138,997</w:t>
            </w:r>
          </w:p>
        </w:tc>
        <w:tc>
          <w:tcPr>
            <w:tcW w:w="1112" w:type="pct"/>
            <w:tcBorders>
              <w:right w:val="single" w:sz="4" w:space="0" w:color="auto"/>
            </w:tcBorders>
            <w:shd w:val="clear" w:color="auto" w:fill="auto"/>
            <w:vAlign w:val="center"/>
          </w:tcPr>
          <w:p w:rsidR="00CD53E9" w:rsidRPr="00405DF5" w:rsidRDefault="00F62F86" w:rsidP="002F0255">
            <w:pPr>
              <w:pStyle w:val="TableText"/>
              <w:spacing w:before="20" w:after="20"/>
              <w:jc w:val="right"/>
              <w:rPr>
                <w:rFonts w:ascii="Arial" w:hAnsi="Arial" w:cs="Arial"/>
              </w:rPr>
            </w:pPr>
            <w:r w:rsidRPr="00F62F86">
              <w:rPr>
                <w:rFonts w:ascii="Arial" w:hAnsi="Arial" w:cs="Arial"/>
              </w:rPr>
              <w:t xml:space="preserve">27,799 </w:t>
            </w:r>
          </w:p>
        </w:tc>
      </w:tr>
      <w:tr w:rsidR="00CD53E9" w:rsidRPr="00405DF5" w:rsidTr="001874E0">
        <w:tc>
          <w:tcPr>
            <w:tcW w:w="2585" w:type="pct"/>
            <w:tcBorders>
              <w:left w:val="single" w:sz="4" w:space="0" w:color="auto"/>
            </w:tcBorders>
            <w:shd w:val="clear" w:color="auto" w:fill="auto"/>
          </w:tcPr>
          <w:p w:rsidR="00CD53E9" w:rsidRPr="00405DF5" w:rsidRDefault="00F62F86" w:rsidP="002F0255">
            <w:pPr>
              <w:pStyle w:val="TableText"/>
              <w:spacing w:before="20" w:after="20"/>
              <w:rPr>
                <w:rFonts w:ascii="Arial" w:hAnsi="Arial" w:cs="Arial"/>
              </w:rPr>
            </w:pPr>
            <w:r w:rsidRPr="00F62F86">
              <w:rPr>
                <w:rFonts w:ascii="Arial" w:hAnsi="Arial" w:cs="Arial"/>
              </w:rPr>
              <w:t>OMB Clearance</w:t>
            </w:r>
          </w:p>
        </w:tc>
        <w:tc>
          <w:tcPr>
            <w:tcW w:w="1303" w:type="pct"/>
            <w:shd w:val="clear" w:color="auto" w:fill="auto"/>
          </w:tcPr>
          <w:p w:rsidR="00CD53E9" w:rsidRPr="00405DF5" w:rsidRDefault="00F62F86" w:rsidP="002F0255">
            <w:pPr>
              <w:pStyle w:val="TableText"/>
              <w:spacing w:before="20" w:after="20"/>
              <w:jc w:val="right"/>
              <w:rPr>
                <w:rFonts w:ascii="Arial" w:hAnsi="Arial" w:cs="Arial"/>
              </w:rPr>
            </w:pPr>
            <w:r w:rsidRPr="00F62F86">
              <w:rPr>
                <w:rFonts w:ascii="Arial" w:hAnsi="Arial" w:cs="Arial"/>
              </w:rPr>
              <w:t>35,617</w:t>
            </w:r>
          </w:p>
        </w:tc>
        <w:tc>
          <w:tcPr>
            <w:tcW w:w="1112" w:type="pct"/>
            <w:tcBorders>
              <w:right w:val="single" w:sz="4" w:space="0" w:color="auto"/>
            </w:tcBorders>
            <w:shd w:val="clear" w:color="auto" w:fill="auto"/>
            <w:vAlign w:val="center"/>
          </w:tcPr>
          <w:p w:rsidR="00CD53E9" w:rsidRPr="00405DF5" w:rsidRDefault="00F62F86" w:rsidP="002F0255">
            <w:pPr>
              <w:pStyle w:val="TableText"/>
              <w:spacing w:before="20" w:after="20"/>
              <w:jc w:val="right"/>
              <w:rPr>
                <w:rFonts w:ascii="Arial" w:hAnsi="Arial" w:cs="Arial"/>
              </w:rPr>
            </w:pPr>
            <w:r w:rsidRPr="00F62F86">
              <w:rPr>
                <w:rFonts w:ascii="Arial" w:hAnsi="Arial" w:cs="Arial"/>
              </w:rPr>
              <w:t xml:space="preserve">17,808 </w:t>
            </w:r>
          </w:p>
        </w:tc>
      </w:tr>
      <w:tr w:rsidR="00CD53E9" w:rsidRPr="00405DF5" w:rsidTr="001874E0">
        <w:tc>
          <w:tcPr>
            <w:tcW w:w="2585" w:type="pct"/>
            <w:tcBorders>
              <w:left w:val="single" w:sz="4" w:space="0" w:color="auto"/>
            </w:tcBorders>
            <w:shd w:val="clear" w:color="auto" w:fill="auto"/>
          </w:tcPr>
          <w:p w:rsidR="00CD53E9" w:rsidRPr="00405DF5" w:rsidRDefault="00F62F86" w:rsidP="002F0255">
            <w:pPr>
              <w:pStyle w:val="TableText"/>
              <w:spacing w:before="20" w:after="20"/>
              <w:rPr>
                <w:rFonts w:ascii="Arial" w:hAnsi="Arial" w:cs="Arial"/>
              </w:rPr>
            </w:pPr>
            <w:r w:rsidRPr="00F62F86">
              <w:rPr>
                <w:rFonts w:ascii="Arial" w:hAnsi="Arial" w:cs="Arial"/>
              </w:rPr>
              <w:t>Section 508 Compliance</w:t>
            </w:r>
          </w:p>
        </w:tc>
        <w:tc>
          <w:tcPr>
            <w:tcW w:w="1303" w:type="pct"/>
            <w:shd w:val="clear" w:color="auto" w:fill="auto"/>
          </w:tcPr>
          <w:p w:rsidR="00CD53E9" w:rsidRPr="00405DF5" w:rsidRDefault="00F62F86" w:rsidP="002F0255">
            <w:pPr>
              <w:pStyle w:val="TableText"/>
              <w:spacing w:before="20" w:after="20"/>
              <w:jc w:val="right"/>
              <w:rPr>
                <w:rFonts w:ascii="Arial" w:hAnsi="Arial" w:cs="Arial"/>
              </w:rPr>
            </w:pPr>
            <w:r w:rsidRPr="00F62F86">
              <w:rPr>
                <w:rFonts w:ascii="Arial" w:hAnsi="Arial" w:cs="Arial"/>
              </w:rPr>
              <w:t>13,883</w:t>
            </w:r>
          </w:p>
        </w:tc>
        <w:tc>
          <w:tcPr>
            <w:tcW w:w="1112" w:type="pct"/>
            <w:tcBorders>
              <w:right w:val="single" w:sz="4" w:space="0" w:color="auto"/>
            </w:tcBorders>
            <w:shd w:val="clear" w:color="auto" w:fill="auto"/>
            <w:vAlign w:val="center"/>
          </w:tcPr>
          <w:p w:rsidR="00CD53E9" w:rsidRPr="00405DF5" w:rsidRDefault="00F62F86" w:rsidP="002F0255">
            <w:pPr>
              <w:pStyle w:val="TableText"/>
              <w:spacing w:before="20" w:after="20"/>
              <w:jc w:val="right"/>
              <w:rPr>
                <w:rFonts w:ascii="Arial" w:hAnsi="Arial" w:cs="Arial"/>
              </w:rPr>
            </w:pPr>
            <w:r w:rsidRPr="00F62F86">
              <w:rPr>
                <w:rFonts w:ascii="Arial" w:hAnsi="Arial" w:cs="Arial"/>
              </w:rPr>
              <w:t xml:space="preserve">2,777 </w:t>
            </w:r>
          </w:p>
        </w:tc>
      </w:tr>
      <w:tr w:rsidR="00CD53E9" w:rsidRPr="00405DF5" w:rsidTr="001874E0">
        <w:tc>
          <w:tcPr>
            <w:tcW w:w="2585" w:type="pct"/>
            <w:tcBorders>
              <w:left w:val="single" w:sz="4" w:space="0" w:color="auto"/>
            </w:tcBorders>
            <w:shd w:val="clear" w:color="auto" w:fill="auto"/>
          </w:tcPr>
          <w:p w:rsidR="00CD53E9" w:rsidRPr="00405DF5" w:rsidRDefault="00F62F86" w:rsidP="002F0255">
            <w:pPr>
              <w:pStyle w:val="TableText"/>
              <w:spacing w:before="20" w:after="20"/>
              <w:rPr>
                <w:rFonts w:ascii="Arial" w:hAnsi="Arial" w:cs="Arial"/>
              </w:rPr>
            </w:pPr>
            <w:r w:rsidRPr="00F62F86">
              <w:rPr>
                <w:rFonts w:ascii="Arial" w:hAnsi="Arial" w:cs="Arial"/>
              </w:rPr>
              <w:t>Data and Analysis Reports</w:t>
            </w:r>
          </w:p>
        </w:tc>
        <w:tc>
          <w:tcPr>
            <w:tcW w:w="1303" w:type="pct"/>
            <w:shd w:val="clear" w:color="auto" w:fill="auto"/>
          </w:tcPr>
          <w:p w:rsidR="00CD53E9" w:rsidRPr="00405DF5" w:rsidRDefault="00F62F86" w:rsidP="002F0255">
            <w:pPr>
              <w:pStyle w:val="TableText"/>
              <w:spacing w:before="20" w:after="20"/>
              <w:jc w:val="right"/>
              <w:rPr>
                <w:rFonts w:ascii="Arial" w:hAnsi="Arial" w:cs="Arial"/>
              </w:rPr>
            </w:pPr>
            <w:r w:rsidRPr="00F62F86">
              <w:rPr>
                <w:rFonts w:ascii="Arial" w:hAnsi="Arial" w:cs="Arial"/>
              </w:rPr>
              <w:t>735,426</w:t>
            </w:r>
          </w:p>
        </w:tc>
        <w:tc>
          <w:tcPr>
            <w:tcW w:w="1112" w:type="pct"/>
            <w:tcBorders>
              <w:right w:val="single" w:sz="4" w:space="0" w:color="auto"/>
            </w:tcBorders>
            <w:shd w:val="clear" w:color="auto" w:fill="auto"/>
            <w:vAlign w:val="center"/>
          </w:tcPr>
          <w:p w:rsidR="00CD53E9" w:rsidRPr="00405DF5" w:rsidRDefault="00F62F86" w:rsidP="002F0255">
            <w:pPr>
              <w:pStyle w:val="TableText"/>
              <w:spacing w:before="20" w:after="20"/>
              <w:jc w:val="right"/>
              <w:rPr>
                <w:rFonts w:ascii="Arial" w:hAnsi="Arial" w:cs="Arial"/>
              </w:rPr>
            </w:pPr>
            <w:r w:rsidRPr="00F62F86">
              <w:rPr>
                <w:rFonts w:ascii="Arial" w:hAnsi="Arial" w:cs="Arial"/>
              </w:rPr>
              <w:t xml:space="preserve">147,085 </w:t>
            </w:r>
          </w:p>
        </w:tc>
      </w:tr>
      <w:tr w:rsidR="00CD53E9" w:rsidRPr="00405DF5" w:rsidTr="001874E0">
        <w:tc>
          <w:tcPr>
            <w:tcW w:w="2585" w:type="pct"/>
            <w:tcBorders>
              <w:left w:val="single" w:sz="4" w:space="0" w:color="auto"/>
              <w:bottom w:val="single" w:sz="4" w:space="0" w:color="auto"/>
            </w:tcBorders>
            <w:shd w:val="clear" w:color="auto" w:fill="auto"/>
          </w:tcPr>
          <w:p w:rsidR="00CD53E9" w:rsidRPr="00405DF5" w:rsidRDefault="00F62F86" w:rsidP="002F0255">
            <w:pPr>
              <w:pStyle w:val="TableText"/>
              <w:spacing w:before="20" w:after="20"/>
              <w:rPr>
                <w:rFonts w:ascii="Arial" w:hAnsi="Arial" w:cs="Arial"/>
              </w:rPr>
            </w:pPr>
            <w:r w:rsidRPr="00F62F86">
              <w:rPr>
                <w:rFonts w:ascii="Arial" w:hAnsi="Arial" w:cs="Arial"/>
              </w:rPr>
              <w:t>Interim Evaluation Reports</w:t>
            </w:r>
          </w:p>
        </w:tc>
        <w:tc>
          <w:tcPr>
            <w:tcW w:w="1303" w:type="pct"/>
            <w:tcBorders>
              <w:bottom w:val="single" w:sz="4" w:space="0" w:color="auto"/>
            </w:tcBorders>
            <w:shd w:val="clear" w:color="auto" w:fill="auto"/>
          </w:tcPr>
          <w:p w:rsidR="00CD53E9" w:rsidRPr="00405DF5" w:rsidRDefault="00F62F86" w:rsidP="002F0255">
            <w:pPr>
              <w:pStyle w:val="TableText"/>
              <w:spacing w:before="20" w:after="20"/>
              <w:jc w:val="right"/>
              <w:rPr>
                <w:rFonts w:ascii="Arial" w:hAnsi="Arial" w:cs="Arial"/>
              </w:rPr>
            </w:pPr>
            <w:r w:rsidRPr="00F62F86">
              <w:rPr>
                <w:rFonts w:ascii="Arial" w:hAnsi="Arial" w:cs="Arial"/>
              </w:rPr>
              <w:t>408,803</w:t>
            </w:r>
          </w:p>
        </w:tc>
        <w:tc>
          <w:tcPr>
            <w:tcW w:w="1112" w:type="pct"/>
            <w:tcBorders>
              <w:bottom w:val="single" w:sz="4" w:space="0" w:color="auto"/>
              <w:right w:val="single" w:sz="4" w:space="0" w:color="auto"/>
            </w:tcBorders>
            <w:shd w:val="clear" w:color="auto" w:fill="auto"/>
            <w:vAlign w:val="center"/>
          </w:tcPr>
          <w:p w:rsidR="00CD53E9" w:rsidRPr="00405DF5" w:rsidRDefault="00F62F86" w:rsidP="002F0255">
            <w:pPr>
              <w:pStyle w:val="TableText"/>
              <w:spacing w:before="20" w:after="20"/>
              <w:jc w:val="right"/>
              <w:rPr>
                <w:rFonts w:ascii="Arial" w:hAnsi="Arial" w:cs="Arial"/>
              </w:rPr>
            </w:pPr>
            <w:r w:rsidRPr="00F62F86">
              <w:rPr>
                <w:rFonts w:ascii="Arial" w:hAnsi="Arial" w:cs="Arial"/>
              </w:rPr>
              <w:t xml:space="preserve">81,761 </w:t>
            </w:r>
          </w:p>
        </w:tc>
      </w:tr>
      <w:tr w:rsidR="00CD53E9" w:rsidRPr="00405DF5" w:rsidTr="001874E0">
        <w:tc>
          <w:tcPr>
            <w:tcW w:w="2585" w:type="pct"/>
            <w:tcBorders>
              <w:top w:val="single" w:sz="4" w:space="0" w:color="auto"/>
              <w:left w:val="single" w:sz="4" w:space="0" w:color="auto"/>
            </w:tcBorders>
            <w:shd w:val="clear" w:color="auto" w:fill="auto"/>
          </w:tcPr>
          <w:p w:rsidR="00FC0FC9" w:rsidRPr="00405DF5" w:rsidRDefault="00F62F86" w:rsidP="001874E0">
            <w:pPr>
              <w:pStyle w:val="TableText"/>
              <w:spacing w:before="20" w:after="20"/>
              <w:rPr>
                <w:rFonts w:ascii="Arial" w:hAnsi="Arial" w:cs="Arial"/>
              </w:rPr>
            </w:pPr>
            <w:r w:rsidRPr="00F62F86">
              <w:rPr>
                <w:rFonts w:ascii="Arial" w:hAnsi="Arial" w:cs="Arial"/>
              </w:rPr>
              <w:t>Dissemination</w:t>
            </w:r>
          </w:p>
        </w:tc>
        <w:tc>
          <w:tcPr>
            <w:tcW w:w="1303" w:type="pct"/>
            <w:tcBorders>
              <w:top w:val="single" w:sz="4" w:space="0" w:color="auto"/>
            </w:tcBorders>
            <w:shd w:val="clear" w:color="auto" w:fill="auto"/>
          </w:tcPr>
          <w:p w:rsidR="00FC0FC9" w:rsidRPr="00405DF5" w:rsidRDefault="00F62F86" w:rsidP="001874E0">
            <w:pPr>
              <w:pStyle w:val="TableText"/>
              <w:spacing w:before="20" w:after="20"/>
              <w:jc w:val="right"/>
              <w:rPr>
                <w:rFonts w:ascii="Arial" w:hAnsi="Arial" w:cs="Arial"/>
              </w:rPr>
            </w:pPr>
            <w:r w:rsidRPr="00F62F86">
              <w:rPr>
                <w:rFonts w:ascii="Arial" w:hAnsi="Arial" w:cs="Arial"/>
              </w:rPr>
              <w:t>736,149</w:t>
            </w:r>
          </w:p>
        </w:tc>
        <w:tc>
          <w:tcPr>
            <w:tcW w:w="1112" w:type="pct"/>
            <w:tcBorders>
              <w:top w:val="single" w:sz="4" w:space="0" w:color="auto"/>
              <w:right w:val="single" w:sz="4" w:space="0" w:color="auto"/>
            </w:tcBorders>
            <w:shd w:val="clear" w:color="auto" w:fill="auto"/>
            <w:vAlign w:val="center"/>
          </w:tcPr>
          <w:p w:rsidR="00FC0FC9" w:rsidRPr="00405DF5" w:rsidRDefault="00F62F86" w:rsidP="001874E0">
            <w:pPr>
              <w:pStyle w:val="TableText"/>
              <w:spacing w:before="20" w:after="20"/>
              <w:jc w:val="right"/>
              <w:rPr>
                <w:rFonts w:ascii="Arial" w:hAnsi="Arial" w:cs="Arial"/>
              </w:rPr>
            </w:pPr>
            <w:r w:rsidRPr="00F62F86">
              <w:rPr>
                <w:rFonts w:ascii="Arial" w:hAnsi="Arial" w:cs="Arial"/>
              </w:rPr>
              <w:t>184,037</w:t>
            </w:r>
          </w:p>
        </w:tc>
      </w:tr>
      <w:tr w:rsidR="00CD53E9" w:rsidRPr="00405DF5" w:rsidTr="001874E0">
        <w:tc>
          <w:tcPr>
            <w:tcW w:w="2585" w:type="pct"/>
            <w:tcBorders>
              <w:left w:val="single" w:sz="4" w:space="0" w:color="auto"/>
            </w:tcBorders>
            <w:shd w:val="clear" w:color="auto" w:fill="auto"/>
          </w:tcPr>
          <w:p w:rsidR="00FC0FC9" w:rsidRPr="00405DF5" w:rsidRDefault="00F62F86" w:rsidP="001874E0">
            <w:pPr>
              <w:pStyle w:val="TableText"/>
              <w:spacing w:before="20" w:after="20"/>
              <w:rPr>
                <w:rFonts w:ascii="Arial" w:hAnsi="Arial" w:cs="Arial"/>
              </w:rPr>
            </w:pPr>
            <w:r w:rsidRPr="00F62F86">
              <w:rPr>
                <w:rFonts w:ascii="Arial" w:hAnsi="Arial" w:cs="Arial"/>
              </w:rPr>
              <w:t>Final Report</w:t>
            </w:r>
          </w:p>
        </w:tc>
        <w:tc>
          <w:tcPr>
            <w:tcW w:w="1303" w:type="pct"/>
            <w:shd w:val="clear" w:color="auto" w:fill="auto"/>
          </w:tcPr>
          <w:p w:rsidR="00FC0FC9" w:rsidRPr="00405DF5" w:rsidRDefault="00F62F86" w:rsidP="001874E0">
            <w:pPr>
              <w:pStyle w:val="TableText"/>
              <w:spacing w:before="20" w:after="20"/>
              <w:jc w:val="right"/>
              <w:rPr>
                <w:rFonts w:ascii="Arial" w:hAnsi="Arial" w:cs="Arial"/>
              </w:rPr>
            </w:pPr>
            <w:r w:rsidRPr="00F62F86">
              <w:rPr>
                <w:rFonts w:ascii="Arial" w:hAnsi="Arial" w:cs="Arial"/>
              </w:rPr>
              <w:t>103,269</w:t>
            </w:r>
          </w:p>
        </w:tc>
        <w:tc>
          <w:tcPr>
            <w:tcW w:w="1112" w:type="pct"/>
            <w:tcBorders>
              <w:right w:val="single" w:sz="4" w:space="0" w:color="auto"/>
            </w:tcBorders>
            <w:shd w:val="clear" w:color="auto" w:fill="auto"/>
            <w:vAlign w:val="center"/>
          </w:tcPr>
          <w:p w:rsidR="00FC0FC9" w:rsidRPr="00405DF5" w:rsidRDefault="00F62F86" w:rsidP="001874E0">
            <w:pPr>
              <w:pStyle w:val="TableText"/>
              <w:spacing w:before="20" w:after="20"/>
              <w:jc w:val="right"/>
              <w:rPr>
                <w:rFonts w:ascii="Arial" w:hAnsi="Arial" w:cs="Arial"/>
              </w:rPr>
            </w:pPr>
            <w:r w:rsidRPr="00F62F86">
              <w:rPr>
                <w:rFonts w:ascii="Arial" w:hAnsi="Arial" w:cs="Arial"/>
              </w:rPr>
              <w:t>103,269</w:t>
            </w:r>
          </w:p>
        </w:tc>
      </w:tr>
      <w:tr w:rsidR="0082232B" w:rsidRPr="00405DF5" w:rsidTr="001874E0">
        <w:tc>
          <w:tcPr>
            <w:tcW w:w="2585" w:type="pct"/>
            <w:tcBorders>
              <w:left w:val="single" w:sz="4" w:space="0" w:color="auto"/>
              <w:right w:val="single" w:sz="4" w:space="0" w:color="auto"/>
            </w:tcBorders>
            <w:shd w:val="clear" w:color="auto" w:fill="auto"/>
          </w:tcPr>
          <w:p w:rsidR="00FC0FC9" w:rsidRPr="00405DF5" w:rsidRDefault="00F62F86">
            <w:pPr>
              <w:pStyle w:val="TableText"/>
              <w:spacing w:before="240"/>
              <w:jc w:val="center"/>
              <w:rPr>
                <w:rFonts w:ascii="Arial" w:hAnsi="Arial" w:cs="Arial"/>
                <w:b/>
              </w:rPr>
            </w:pPr>
            <w:r w:rsidRPr="00F62F86">
              <w:rPr>
                <w:rFonts w:ascii="Arial" w:hAnsi="Arial" w:cs="Arial"/>
                <w:b/>
              </w:rPr>
              <w:t>Total</w:t>
            </w:r>
          </w:p>
        </w:tc>
        <w:tc>
          <w:tcPr>
            <w:tcW w:w="1303" w:type="pct"/>
            <w:tcBorders>
              <w:top w:val="nil"/>
              <w:left w:val="single" w:sz="4" w:space="0" w:color="auto"/>
              <w:bottom w:val="single" w:sz="4" w:space="0" w:color="auto"/>
              <w:right w:val="single" w:sz="4" w:space="0" w:color="auto"/>
            </w:tcBorders>
            <w:shd w:val="clear" w:color="auto" w:fill="auto"/>
          </w:tcPr>
          <w:p w:rsidR="00FC0FC9" w:rsidRPr="00405DF5" w:rsidRDefault="00F62F86">
            <w:pPr>
              <w:pStyle w:val="TableText"/>
              <w:spacing w:before="240"/>
              <w:jc w:val="center"/>
              <w:rPr>
                <w:rFonts w:ascii="Arial" w:hAnsi="Arial" w:cs="Arial"/>
                <w:b/>
              </w:rPr>
            </w:pPr>
            <w:r w:rsidRPr="00F62F86">
              <w:rPr>
                <w:rFonts w:ascii="Arial" w:hAnsi="Arial" w:cs="Arial"/>
                <w:b/>
              </w:rPr>
              <w:t>$8,258,311</w:t>
            </w:r>
          </w:p>
        </w:tc>
        <w:tc>
          <w:tcPr>
            <w:tcW w:w="1112" w:type="pct"/>
            <w:tcBorders>
              <w:top w:val="nil"/>
              <w:left w:val="single" w:sz="4" w:space="0" w:color="auto"/>
              <w:bottom w:val="single" w:sz="4" w:space="0" w:color="auto"/>
              <w:right w:val="single" w:sz="4" w:space="0" w:color="auto"/>
            </w:tcBorders>
            <w:shd w:val="clear" w:color="auto" w:fill="auto"/>
            <w:vAlign w:val="center"/>
          </w:tcPr>
          <w:p w:rsidR="00FC0FC9" w:rsidRPr="00405DF5" w:rsidRDefault="00F62F86">
            <w:pPr>
              <w:pStyle w:val="TableText"/>
              <w:spacing w:before="240"/>
              <w:jc w:val="center"/>
              <w:rPr>
                <w:rFonts w:ascii="Arial" w:hAnsi="Arial" w:cs="Arial"/>
                <w:b/>
              </w:rPr>
            </w:pPr>
            <w:r w:rsidRPr="00F62F86">
              <w:rPr>
                <w:rFonts w:ascii="Arial" w:hAnsi="Arial" w:cs="Arial"/>
                <w:b/>
              </w:rPr>
              <w:t>$1,651,662</w:t>
            </w:r>
          </w:p>
        </w:tc>
      </w:tr>
    </w:tbl>
    <w:p w:rsidR="001F1362" w:rsidRPr="00405DF5" w:rsidRDefault="00F62F86" w:rsidP="00ED732E">
      <w:pPr>
        <w:pStyle w:val="Heading2Black"/>
        <w:spacing w:before="360"/>
        <w:jc w:val="left"/>
        <w:rPr>
          <w:rFonts w:ascii="Arial" w:hAnsi="Arial" w:cs="Arial"/>
          <w:i/>
        </w:rPr>
      </w:pPr>
      <w:bookmarkStart w:id="23" w:name="_Toc291509299"/>
      <w:r w:rsidRPr="00F62F86">
        <w:rPr>
          <w:rFonts w:ascii="Arial" w:hAnsi="Arial" w:cs="Arial"/>
          <w:i/>
        </w:rPr>
        <w:t>15.</w:t>
      </w:r>
      <w:r w:rsidRPr="00F62F86">
        <w:rPr>
          <w:rFonts w:ascii="Arial" w:hAnsi="Arial" w:cs="Arial"/>
          <w:i/>
        </w:rPr>
        <w:tab/>
        <w:t>Changes in Hour Burden</w:t>
      </w:r>
      <w:bookmarkEnd w:id="23"/>
    </w:p>
    <w:p w:rsidR="001F1362" w:rsidRPr="00405DF5" w:rsidRDefault="00F62F86" w:rsidP="00BF1A70">
      <w:pPr>
        <w:pStyle w:val="NormalSS"/>
        <w:ind w:firstLine="0"/>
        <w:jc w:val="left"/>
      </w:pPr>
      <w:r w:rsidRPr="00AC5873">
        <w:rPr>
          <w:highlight w:val="yellow"/>
        </w:rPr>
        <w:t>Under the revised information collection request, we are requesting to conduct a second round of interviews with all interview respondents as well as a round of focus groups. Therefore, the number of responses per respondent increased from one to two for interview respondents</w:t>
      </w:r>
      <w:r w:rsidR="00FD6B13" w:rsidRPr="00AC5873">
        <w:rPr>
          <w:highlight w:val="yellow"/>
        </w:rPr>
        <w:t>,</w:t>
      </w:r>
      <w:r w:rsidRPr="00AC5873">
        <w:rPr>
          <w:highlight w:val="yellow"/>
        </w:rPr>
        <w:t xml:space="preserve"> and burden hours were added to account for focus group recruitment and participation. </w:t>
      </w:r>
      <w:r w:rsidR="003E5087" w:rsidRPr="00AC5873">
        <w:rPr>
          <w:highlight w:val="yellow"/>
        </w:rPr>
        <w:t>In the original information collection request, we requested to conduct follow up telephone interviews with key informant staff and telephone interviews with staff in non demonstration States. We did not collect this information</w:t>
      </w:r>
      <w:r w:rsidR="00FD6B13" w:rsidRPr="00AC5873">
        <w:rPr>
          <w:highlight w:val="yellow"/>
        </w:rPr>
        <w:t>,</w:t>
      </w:r>
      <w:r w:rsidR="003E5087" w:rsidRPr="00AC5873">
        <w:rPr>
          <w:highlight w:val="yellow"/>
        </w:rPr>
        <w:t xml:space="preserve"> and those hours are no longer included in the burden estimates.</w:t>
      </w:r>
      <w:r w:rsidR="003E5087">
        <w:t xml:space="preserve"> </w:t>
      </w:r>
    </w:p>
    <w:p w:rsidR="001F1362" w:rsidRPr="00405DF5" w:rsidRDefault="00F62F86" w:rsidP="00ED732E">
      <w:pPr>
        <w:pStyle w:val="Heading2Black"/>
        <w:jc w:val="left"/>
        <w:rPr>
          <w:rFonts w:ascii="Arial" w:hAnsi="Arial" w:cs="Arial"/>
          <w:i/>
        </w:rPr>
      </w:pPr>
      <w:bookmarkStart w:id="24" w:name="_Toc291509300"/>
      <w:r w:rsidRPr="00F62F86">
        <w:rPr>
          <w:rFonts w:ascii="Arial" w:hAnsi="Arial" w:cs="Arial"/>
          <w:i/>
        </w:rPr>
        <w:t>16.</w:t>
      </w:r>
      <w:r w:rsidRPr="00F62F86">
        <w:rPr>
          <w:rFonts w:ascii="Arial" w:hAnsi="Arial" w:cs="Arial"/>
          <w:i/>
        </w:rPr>
        <w:tab/>
        <w:t>Time Schedule, Publication and Analysis Plans</w:t>
      </w:r>
      <w:bookmarkEnd w:id="24"/>
    </w:p>
    <w:p w:rsidR="001F1362" w:rsidRPr="00AC5873" w:rsidRDefault="00F62F86" w:rsidP="00BF1A70">
      <w:pPr>
        <w:pStyle w:val="NormalSS"/>
        <w:spacing w:before="360"/>
        <w:ind w:firstLine="0"/>
        <w:jc w:val="left"/>
        <w:rPr>
          <w:highlight w:val="yellow"/>
        </w:rPr>
      </w:pPr>
      <w:r w:rsidRPr="00AC5873">
        <w:rPr>
          <w:highlight w:val="yellow"/>
        </w:rPr>
        <w:t xml:space="preserve">The first round of data collection started in March 2012. </w:t>
      </w:r>
      <w:r w:rsidR="00FD6B13" w:rsidRPr="00AC5873">
        <w:rPr>
          <w:highlight w:val="yellow"/>
        </w:rPr>
        <w:t xml:space="preserve">Products based on analyses of these data are publicly available on the demonstration evaluation website: </w:t>
      </w:r>
      <w:hyperlink r:id="rId9" w:history="1">
        <w:r w:rsidR="00FD6B13" w:rsidRPr="00AC5873">
          <w:rPr>
            <w:rStyle w:val="Hyperlink"/>
            <w:highlight w:val="yellow"/>
          </w:rPr>
          <w:t>http://www.ahrq.gov/policymakers/chipra/demoeval/index.html</w:t>
        </w:r>
      </w:hyperlink>
      <w:r w:rsidR="00FD6B13" w:rsidRPr="00AC5873">
        <w:rPr>
          <w:highlight w:val="yellow"/>
        </w:rPr>
        <w:t xml:space="preserve">. </w:t>
      </w:r>
      <w:r w:rsidRPr="00AC5873">
        <w:rPr>
          <w:highlight w:val="yellow"/>
        </w:rPr>
        <w:t xml:space="preserve">AHRQ expects the second round of data collection to begin in </w:t>
      </w:r>
      <w:r w:rsidR="00063CE8">
        <w:rPr>
          <w:highlight w:val="yellow"/>
        </w:rPr>
        <w:t>March</w:t>
      </w:r>
      <w:r w:rsidR="00063CE8" w:rsidRPr="00AC5873">
        <w:rPr>
          <w:highlight w:val="yellow"/>
        </w:rPr>
        <w:t xml:space="preserve"> </w:t>
      </w:r>
      <w:r w:rsidRPr="00AC5873">
        <w:rPr>
          <w:highlight w:val="yellow"/>
        </w:rPr>
        <w:t xml:space="preserve">2014, pending OMB approval of the revised information data request, and </w:t>
      </w:r>
      <w:r w:rsidR="00FD6B13" w:rsidRPr="00AC5873">
        <w:rPr>
          <w:highlight w:val="yellow"/>
        </w:rPr>
        <w:t xml:space="preserve">to </w:t>
      </w:r>
      <w:r w:rsidRPr="00AC5873">
        <w:rPr>
          <w:highlight w:val="yellow"/>
        </w:rPr>
        <w:t xml:space="preserve">be completed by </w:t>
      </w:r>
      <w:r w:rsidR="003F1C03">
        <w:rPr>
          <w:highlight w:val="yellow"/>
        </w:rPr>
        <w:t xml:space="preserve">August </w:t>
      </w:r>
      <w:r w:rsidRPr="00AC5873">
        <w:rPr>
          <w:highlight w:val="yellow"/>
        </w:rPr>
        <w:t xml:space="preserve">2014.  AHRQ’s contractor will  </w:t>
      </w:r>
      <w:r w:rsidR="003E5087" w:rsidRPr="00AC5873">
        <w:rPr>
          <w:highlight w:val="yellow"/>
        </w:rPr>
        <w:t xml:space="preserve">continue to </w:t>
      </w:r>
      <w:r w:rsidRPr="00AC5873">
        <w:rPr>
          <w:highlight w:val="yellow"/>
        </w:rPr>
        <w:t>prepare communication materials for a range of audiences (</w:t>
      </w:r>
      <w:r w:rsidR="00354300" w:rsidRPr="00AC5873">
        <w:rPr>
          <w:highlight w:val="yellow"/>
        </w:rPr>
        <w:t>State</w:t>
      </w:r>
      <w:r w:rsidRPr="00AC5873">
        <w:rPr>
          <w:highlight w:val="yellow"/>
        </w:rPr>
        <w:t xml:space="preserve"> policymakers, </w:t>
      </w:r>
      <w:r w:rsidR="00354300" w:rsidRPr="00AC5873">
        <w:rPr>
          <w:highlight w:val="yellow"/>
        </w:rPr>
        <w:t>State</w:t>
      </w:r>
      <w:r w:rsidRPr="00AC5873">
        <w:rPr>
          <w:highlight w:val="yellow"/>
        </w:rPr>
        <w:t xml:space="preserve"> agency staff, Medicaid and CHIP providers, and academics) until the contract ends on September 8,</w:t>
      </w:r>
      <w:r w:rsidR="00FD6B13" w:rsidRPr="00AC5873">
        <w:rPr>
          <w:highlight w:val="yellow"/>
        </w:rPr>
        <w:t xml:space="preserve"> </w:t>
      </w:r>
      <w:r w:rsidRPr="00AC5873">
        <w:rPr>
          <w:highlight w:val="yellow"/>
        </w:rPr>
        <w:t>2015.  The effort to publish will include preparing and submitting manuscripts to peer-reviewed publications</w:t>
      </w:r>
      <w:r w:rsidR="00AC5873">
        <w:rPr>
          <w:highlight w:val="yellow"/>
        </w:rPr>
        <w:t xml:space="preserve">. </w:t>
      </w:r>
      <w:r w:rsidR="003C167E" w:rsidRPr="00AC5873">
        <w:rPr>
          <w:highlight w:val="yellow"/>
        </w:rPr>
        <w:t>Interview</w:t>
      </w:r>
      <w:r w:rsidRPr="00AC5873">
        <w:rPr>
          <w:highlight w:val="yellow"/>
        </w:rPr>
        <w:t xml:space="preserve"> data described in this clearance package will be analyzed to address the research goals described in Section 1.</w:t>
      </w:r>
    </w:p>
    <w:p w:rsidR="00387B04" w:rsidRPr="00AC5873" w:rsidRDefault="00405DF5">
      <w:pPr>
        <w:pStyle w:val="BulletBlack"/>
        <w:jc w:val="left"/>
        <w:rPr>
          <w:highlight w:val="yellow"/>
        </w:rPr>
      </w:pPr>
      <w:r w:rsidRPr="00AC5873">
        <w:rPr>
          <w:highlight w:val="yellow"/>
        </w:rPr>
        <w:t>The first round of interview data collected under the previously approved package was</w:t>
      </w:r>
      <w:r w:rsidR="001F1362" w:rsidRPr="00AC5873">
        <w:rPr>
          <w:highlight w:val="yellow"/>
        </w:rPr>
        <w:t xml:space="preserve"> used to assess the use, availability, and </w:t>
      </w:r>
      <w:r w:rsidR="00F62F86" w:rsidRPr="00AC5873">
        <w:rPr>
          <w:highlight w:val="yellow"/>
        </w:rPr>
        <w:t>perceived importance (that is, the importance as perceived by the respondents)</w:t>
      </w:r>
      <w:r w:rsidR="001F1362" w:rsidRPr="00AC5873">
        <w:rPr>
          <w:highlight w:val="yellow"/>
        </w:rPr>
        <w:t xml:space="preserve"> of resources in the preceding year; the selection and implementation of early strategies; resulting outputs; and perceptions of short-term outcomes. </w:t>
      </w:r>
    </w:p>
    <w:p w:rsidR="001F1362" w:rsidRPr="00AC5873" w:rsidRDefault="00405DF5" w:rsidP="00ED732E">
      <w:pPr>
        <w:pStyle w:val="BulletBlack"/>
        <w:jc w:val="left"/>
        <w:rPr>
          <w:highlight w:val="yellow"/>
        </w:rPr>
      </w:pPr>
      <w:r w:rsidRPr="00AC5873">
        <w:rPr>
          <w:highlight w:val="yellow"/>
        </w:rPr>
        <w:t xml:space="preserve">The second round of interview data collected under this revised information collection package will be used </w:t>
      </w:r>
      <w:r w:rsidR="003C167E" w:rsidRPr="00AC5873">
        <w:rPr>
          <w:highlight w:val="yellow"/>
        </w:rPr>
        <w:t>to</w:t>
      </w:r>
      <w:r w:rsidRPr="00AC5873">
        <w:rPr>
          <w:highlight w:val="yellow"/>
        </w:rPr>
        <w:t xml:space="preserve"> assess changes in </w:t>
      </w:r>
      <w:r w:rsidR="00E4135E" w:rsidRPr="00AC5873">
        <w:rPr>
          <w:highlight w:val="yellow"/>
        </w:rPr>
        <w:t xml:space="preserve">State </w:t>
      </w:r>
      <w:r w:rsidRPr="00AC5873">
        <w:rPr>
          <w:highlight w:val="yellow"/>
        </w:rPr>
        <w:t xml:space="preserve">demonstration strategies and context since the last round of interviews; barriers and facilitators to </w:t>
      </w:r>
      <w:r w:rsidRPr="00AC5873">
        <w:rPr>
          <w:highlight w:val="yellow"/>
        </w:rPr>
        <w:lastRenderedPageBreak/>
        <w:t xml:space="preserve">implementing demonstration strategies; </w:t>
      </w:r>
      <w:r w:rsidR="00354300" w:rsidRPr="00AC5873">
        <w:rPr>
          <w:highlight w:val="yellow"/>
        </w:rPr>
        <w:t>State</w:t>
      </w:r>
      <w:r w:rsidRPr="00AC5873">
        <w:rPr>
          <w:highlight w:val="yellow"/>
        </w:rPr>
        <w:t>-and provider-level changes made in response to the demonstration; and the perceive</w:t>
      </w:r>
      <w:r w:rsidR="00673517">
        <w:rPr>
          <w:highlight w:val="yellow"/>
        </w:rPr>
        <w:t>d</w:t>
      </w:r>
      <w:r w:rsidRPr="00AC5873">
        <w:rPr>
          <w:highlight w:val="yellow"/>
        </w:rPr>
        <w:t xml:space="preserve"> impact of those changes on access, quality, and cost of care</w:t>
      </w:r>
      <w:r w:rsidR="001F1362" w:rsidRPr="00AC5873">
        <w:rPr>
          <w:highlight w:val="yellow"/>
        </w:rPr>
        <w:t xml:space="preserve">. </w:t>
      </w:r>
    </w:p>
    <w:p w:rsidR="00930B62" w:rsidRDefault="00405DF5" w:rsidP="00930B62">
      <w:pPr>
        <w:pStyle w:val="BulletBlack"/>
      </w:pPr>
      <w:r w:rsidRPr="00AC5873">
        <w:rPr>
          <w:highlight w:val="yellow"/>
        </w:rPr>
        <w:t xml:space="preserve">The focus group data collected under this revised information collection package will provide the patient and family perspective on how providers changed the way they deliver care and the impact of those changes on their experience of care. </w:t>
      </w:r>
    </w:p>
    <w:p w:rsidR="001F1362" w:rsidRPr="00405DF5" w:rsidRDefault="00FD6B13" w:rsidP="00BF1A70">
      <w:pPr>
        <w:pStyle w:val="NormalSS"/>
        <w:ind w:firstLine="0"/>
        <w:jc w:val="left"/>
      </w:pPr>
      <w:r>
        <w:t>N</w:t>
      </w:r>
      <w:r w:rsidR="001F1362" w:rsidRPr="00405DF5">
        <w:t xml:space="preserve">otes from all interviews and </w:t>
      </w:r>
      <w:r w:rsidR="003E5087">
        <w:t>focus groups</w:t>
      </w:r>
      <w:r w:rsidR="001F1362" w:rsidRPr="00405DF5">
        <w:t xml:space="preserve"> will be typed, uploaded to </w:t>
      </w:r>
      <w:r>
        <w:t>qualitative data analysis software (</w:t>
      </w:r>
      <w:r w:rsidR="00E13DA3" w:rsidRPr="00405DF5">
        <w:t>NVivo</w:t>
      </w:r>
      <w:r>
        <w:t>)</w:t>
      </w:r>
      <w:r w:rsidR="001F1362" w:rsidRPr="00405DF5">
        <w:t>, and coded according to a specified scheme. Anal</w:t>
      </w:r>
      <w:r w:rsidR="00F62F86" w:rsidRPr="00F62F86">
        <w:t xml:space="preserve">ysis of the interviews will emphasize fidelity to implementation plans and progress in implementation. The analysis will include identification of themes within and across </w:t>
      </w:r>
      <w:r w:rsidR="00354300">
        <w:t>State</w:t>
      </w:r>
      <w:r w:rsidR="00F62F86" w:rsidRPr="00F62F86">
        <w:t xml:space="preserve">s by grant category. Throughout the process of gathering, reviewing, and analyzing qualitative data, quotations will be noted that capture a point of view or an experience particularly well. For each project in each of five grant categories, findings from the implementation analysis will be used to interpret findings about outcomes and to help establish a basis for causal inference. In brief, the interview data collected under this clearance package, when combined with evaluation data from other sources, will directly support an analysis of (1) the implementation of specific strategies related to quality measurement and reporting, </w:t>
      </w:r>
      <w:r w:rsidR="00EE6E3C">
        <w:t xml:space="preserve"> health </w:t>
      </w:r>
      <w:r w:rsidR="00F62F86" w:rsidRPr="00F62F86">
        <w:t xml:space="preserve">IT, provider-based models, and pediatric electronic health records; (2) whether and how implementation seemed to affect children’s care quality in Medicaid and CHIP; (3) the likelihood that quality improvements will be sustainable when grant funding ends; and (4) the potential for other </w:t>
      </w:r>
      <w:r w:rsidR="00354300">
        <w:t>State</w:t>
      </w:r>
      <w:r w:rsidR="00F62F86" w:rsidRPr="00F62F86">
        <w:t xml:space="preserve">s to replicate the achievements of the demonstration </w:t>
      </w:r>
      <w:r w:rsidR="00354300">
        <w:t>State</w:t>
      </w:r>
      <w:r w:rsidR="00F62F86" w:rsidRPr="00F62F86">
        <w:t xml:space="preserve">s.  </w:t>
      </w:r>
    </w:p>
    <w:p w:rsidR="001F1362" w:rsidRPr="00405DF5" w:rsidRDefault="00F62F86" w:rsidP="00ED732E">
      <w:pPr>
        <w:pStyle w:val="Heading2Black"/>
        <w:jc w:val="left"/>
        <w:rPr>
          <w:rFonts w:ascii="Arial" w:hAnsi="Arial" w:cs="Arial"/>
          <w:i/>
        </w:rPr>
      </w:pPr>
      <w:bookmarkStart w:id="25" w:name="_Toc291509301"/>
      <w:r w:rsidRPr="00F62F86">
        <w:rPr>
          <w:rFonts w:ascii="Arial" w:hAnsi="Arial" w:cs="Arial"/>
          <w:i/>
        </w:rPr>
        <w:t>17.</w:t>
      </w:r>
      <w:r w:rsidRPr="00F62F86">
        <w:rPr>
          <w:rFonts w:ascii="Arial" w:hAnsi="Arial" w:cs="Arial"/>
          <w:i/>
        </w:rPr>
        <w:tab/>
        <w:t>Exemption for Display of Expiration Date</w:t>
      </w:r>
      <w:bookmarkEnd w:id="25"/>
      <w:r w:rsidRPr="00F62F86">
        <w:rPr>
          <w:rFonts w:ascii="Arial" w:hAnsi="Arial" w:cs="Arial"/>
          <w:i/>
        </w:rPr>
        <w:t xml:space="preserve"> </w:t>
      </w:r>
    </w:p>
    <w:p w:rsidR="001F1362" w:rsidRPr="00405DF5" w:rsidRDefault="00F62F86" w:rsidP="00BF1A70">
      <w:pPr>
        <w:pStyle w:val="NormalSS"/>
        <w:ind w:firstLine="0"/>
        <w:jc w:val="left"/>
      </w:pPr>
      <w:r w:rsidRPr="00F62F86">
        <w:t>AHRQ does not seek this exemption.</w:t>
      </w:r>
    </w:p>
    <w:p w:rsidR="00F84F66" w:rsidRPr="00405DF5" w:rsidRDefault="00F62F86" w:rsidP="00FF136B">
      <w:pPr>
        <w:pStyle w:val="TOC1"/>
      </w:pPr>
      <w:r w:rsidRPr="00F62F86">
        <w:t>List of Attachments:</w:t>
      </w:r>
    </w:p>
    <w:p w:rsidR="00597594" w:rsidRPr="003041F8" w:rsidRDefault="00597594" w:rsidP="00597594">
      <w:pPr>
        <w:pStyle w:val="NormalSS"/>
        <w:tabs>
          <w:tab w:val="clear" w:pos="432"/>
          <w:tab w:val="left" w:pos="0"/>
        </w:tabs>
        <w:spacing w:after="0"/>
        <w:ind w:firstLine="0"/>
        <w:jc w:val="left"/>
        <w:rPr>
          <w:highlight w:val="yellow"/>
        </w:rPr>
      </w:pPr>
      <w:r w:rsidRPr="003041F8">
        <w:rPr>
          <w:highlight w:val="yellow"/>
        </w:rPr>
        <w:t>Attachment A – Children’s Health Insurance Program Reauthorization Act of 2009</w:t>
      </w:r>
      <w:r w:rsidRPr="003041F8">
        <w:rPr>
          <w:highlight w:val="yellow"/>
        </w:rPr>
        <w:br/>
        <w:t>Attachment B – 2012 Key Staff Interview Guide</w:t>
      </w:r>
    </w:p>
    <w:p w:rsidR="00597594" w:rsidRPr="003041F8" w:rsidRDefault="00597594" w:rsidP="00597594">
      <w:pPr>
        <w:pStyle w:val="NormalSS"/>
        <w:spacing w:after="0"/>
        <w:ind w:firstLine="0"/>
        <w:jc w:val="left"/>
        <w:rPr>
          <w:highlight w:val="yellow"/>
        </w:rPr>
      </w:pPr>
      <w:r w:rsidRPr="003041F8">
        <w:rPr>
          <w:highlight w:val="yellow"/>
        </w:rPr>
        <w:t>Attachment C–Interview Request and Confirmation Emails</w:t>
      </w:r>
      <w:r w:rsidRPr="003041F8">
        <w:rPr>
          <w:highlight w:val="yellow"/>
        </w:rPr>
        <w:br/>
        <w:t xml:space="preserve">Attachment </w:t>
      </w:r>
      <w:r>
        <w:rPr>
          <w:highlight w:val="yellow"/>
        </w:rPr>
        <w:t>D</w:t>
      </w:r>
      <w:r w:rsidRPr="003041F8">
        <w:rPr>
          <w:highlight w:val="yellow"/>
        </w:rPr>
        <w:t xml:space="preserve"> – 2014 Key Staff Interview Guide</w:t>
      </w:r>
    </w:p>
    <w:p w:rsidR="00597594" w:rsidRPr="003041F8" w:rsidRDefault="00597594" w:rsidP="00597594">
      <w:pPr>
        <w:pStyle w:val="NormalSS"/>
        <w:spacing w:after="0"/>
        <w:ind w:firstLine="0"/>
        <w:jc w:val="left"/>
        <w:rPr>
          <w:highlight w:val="yellow"/>
        </w:rPr>
      </w:pPr>
      <w:r w:rsidRPr="003041F8">
        <w:rPr>
          <w:highlight w:val="yellow"/>
        </w:rPr>
        <w:t xml:space="preserve"> Attachment </w:t>
      </w:r>
      <w:r>
        <w:rPr>
          <w:highlight w:val="yellow"/>
        </w:rPr>
        <w:t>E</w:t>
      </w:r>
      <w:r w:rsidRPr="003041F8">
        <w:rPr>
          <w:highlight w:val="yellow"/>
        </w:rPr>
        <w:t xml:space="preserve"> – 2012 Implementation Staff Interview Guide</w:t>
      </w:r>
      <w:r w:rsidRPr="003041F8">
        <w:rPr>
          <w:highlight w:val="yellow"/>
        </w:rPr>
        <w:br/>
        <w:t>Attachment</w:t>
      </w:r>
      <w:r>
        <w:rPr>
          <w:highlight w:val="yellow"/>
        </w:rPr>
        <w:t xml:space="preserve"> F</w:t>
      </w:r>
      <w:r w:rsidRPr="003041F8">
        <w:rPr>
          <w:highlight w:val="yellow"/>
        </w:rPr>
        <w:t xml:space="preserve"> – 2014 Implementation Staff Interview Guide</w:t>
      </w:r>
    </w:p>
    <w:p w:rsidR="00597594" w:rsidRPr="003041F8" w:rsidRDefault="00597594" w:rsidP="00597594">
      <w:pPr>
        <w:pStyle w:val="NormalSS"/>
        <w:spacing w:after="0"/>
        <w:ind w:firstLine="0"/>
        <w:jc w:val="left"/>
        <w:rPr>
          <w:highlight w:val="yellow"/>
        </w:rPr>
      </w:pPr>
      <w:r w:rsidRPr="003041F8">
        <w:rPr>
          <w:highlight w:val="yellow"/>
        </w:rPr>
        <w:t xml:space="preserve">Attachment </w:t>
      </w:r>
      <w:r>
        <w:rPr>
          <w:highlight w:val="yellow"/>
        </w:rPr>
        <w:t>G</w:t>
      </w:r>
      <w:r w:rsidRPr="003041F8">
        <w:rPr>
          <w:highlight w:val="yellow"/>
        </w:rPr>
        <w:t xml:space="preserve"> – 2012 Stakeholder Interview Guides</w:t>
      </w:r>
      <w:r w:rsidRPr="003041F8">
        <w:rPr>
          <w:highlight w:val="yellow"/>
        </w:rPr>
        <w:br/>
        <w:t>Attachment</w:t>
      </w:r>
      <w:r>
        <w:rPr>
          <w:highlight w:val="yellow"/>
        </w:rPr>
        <w:t xml:space="preserve"> H</w:t>
      </w:r>
      <w:r w:rsidRPr="003041F8">
        <w:rPr>
          <w:highlight w:val="yellow"/>
        </w:rPr>
        <w:t xml:space="preserve"> – 2014 Stakeholder Interview Guide</w:t>
      </w:r>
    </w:p>
    <w:p w:rsidR="00597594" w:rsidRPr="003041F8" w:rsidRDefault="00597594" w:rsidP="00597594">
      <w:pPr>
        <w:pStyle w:val="NormalSS"/>
        <w:spacing w:after="0"/>
        <w:ind w:firstLine="0"/>
        <w:jc w:val="left"/>
        <w:rPr>
          <w:highlight w:val="yellow"/>
        </w:rPr>
      </w:pPr>
      <w:r w:rsidRPr="003041F8">
        <w:rPr>
          <w:highlight w:val="yellow"/>
        </w:rPr>
        <w:t xml:space="preserve">Attachment </w:t>
      </w:r>
      <w:r>
        <w:rPr>
          <w:highlight w:val="yellow"/>
        </w:rPr>
        <w:t>I</w:t>
      </w:r>
      <w:r w:rsidRPr="003041F8">
        <w:rPr>
          <w:highlight w:val="yellow"/>
        </w:rPr>
        <w:t xml:space="preserve"> – 2012 Health Care </w:t>
      </w:r>
      <w:r w:rsidR="00930B62">
        <w:rPr>
          <w:highlight w:val="yellow"/>
        </w:rPr>
        <w:t xml:space="preserve">Organization Staff </w:t>
      </w:r>
      <w:r w:rsidRPr="003041F8">
        <w:rPr>
          <w:highlight w:val="yellow"/>
        </w:rPr>
        <w:t>Interview Guides</w:t>
      </w:r>
      <w:r w:rsidRPr="003041F8">
        <w:rPr>
          <w:highlight w:val="yellow"/>
        </w:rPr>
        <w:br/>
        <w:t xml:space="preserve">Attachment </w:t>
      </w:r>
      <w:r>
        <w:rPr>
          <w:highlight w:val="yellow"/>
        </w:rPr>
        <w:t>J</w:t>
      </w:r>
      <w:r w:rsidRPr="003041F8">
        <w:rPr>
          <w:highlight w:val="yellow"/>
        </w:rPr>
        <w:t xml:space="preserve"> – 2014 Health Care Organization Staff Interview Guide</w:t>
      </w:r>
    </w:p>
    <w:p w:rsidR="00597594" w:rsidRPr="003041F8" w:rsidRDefault="00597594" w:rsidP="00597594">
      <w:pPr>
        <w:pStyle w:val="NormalSS"/>
        <w:spacing w:after="0"/>
        <w:ind w:firstLine="0"/>
        <w:jc w:val="left"/>
        <w:rPr>
          <w:highlight w:val="yellow"/>
        </w:rPr>
      </w:pPr>
      <w:r w:rsidRPr="003041F8">
        <w:rPr>
          <w:highlight w:val="yellow"/>
        </w:rPr>
        <w:t xml:space="preserve">Attachment </w:t>
      </w:r>
      <w:r>
        <w:rPr>
          <w:highlight w:val="yellow"/>
        </w:rPr>
        <w:t>K</w:t>
      </w:r>
      <w:r w:rsidRPr="003041F8">
        <w:rPr>
          <w:highlight w:val="yellow"/>
        </w:rPr>
        <w:t xml:space="preserve"> – 2014 Parent Focus Group Protocol</w:t>
      </w:r>
    </w:p>
    <w:p w:rsidR="00597594" w:rsidRPr="003041F8" w:rsidRDefault="00597594" w:rsidP="00597594">
      <w:pPr>
        <w:pStyle w:val="NormalSS"/>
        <w:spacing w:after="0"/>
        <w:ind w:firstLine="0"/>
        <w:jc w:val="left"/>
        <w:rPr>
          <w:highlight w:val="yellow"/>
        </w:rPr>
      </w:pPr>
      <w:r w:rsidRPr="003041F8">
        <w:rPr>
          <w:highlight w:val="yellow"/>
        </w:rPr>
        <w:t xml:space="preserve">Attachment </w:t>
      </w:r>
      <w:r>
        <w:rPr>
          <w:highlight w:val="yellow"/>
        </w:rPr>
        <w:t>L</w:t>
      </w:r>
      <w:r w:rsidRPr="003041F8">
        <w:rPr>
          <w:highlight w:val="yellow"/>
        </w:rPr>
        <w:t xml:space="preserve"> – 2014 Parent Focus Group Recruitment Materials</w:t>
      </w:r>
    </w:p>
    <w:p w:rsidR="00597594" w:rsidRPr="003041F8" w:rsidRDefault="00597594" w:rsidP="00597594">
      <w:pPr>
        <w:pStyle w:val="NormalSS"/>
        <w:spacing w:after="0"/>
        <w:ind w:firstLine="0"/>
        <w:jc w:val="left"/>
        <w:rPr>
          <w:highlight w:val="yellow"/>
        </w:rPr>
      </w:pPr>
      <w:r w:rsidRPr="003041F8">
        <w:rPr>
          <w:highlight w:val="yellow"/>
        </w:rPr>
        <w:t xml:space="preserve">Attachment </w:t>
      </w:r>
      <w:r>
        <w:rPr>
          <w:highlight w:val="yellow"/>
        </w:rPr>
        <w:t>M</w:t>
      </w:r>
      <w:r w:rsidRPr="003041F8">
        <w:rPr>
          <w:highlight w:val="yellow"/>
        </w:rPr>
        <w:t xml:space="preserve"> – 2014 Parent Telephone Screening Script </w:t>
      </w:r>
    </w:p>
    <w:p w:rsidR="00597594" w:rsidRPr="003041F8" w:rsidRDefault="00597594" w:rsidP="00597594">
      <w:pPr>
        <w:pStyle w:val="NormalSS"/>
        <w:spacing w:after="0"/>
        <w:ind w:firstLine="0"/>
        <w:jc w:val="left"/>
        <w:rPr>
          <w:highlight w:val="yellow"/>
        </w:rPr>
      </w:pPr>
      <w:r w:rsidRPr="003041F8">
        <w:rPr>
          <w:highlight w:val="yellow"/>
        </w:rPr>
        <w:t xml:space="preserve">Attachment </w:t>
      </w:r>
      <w:r>
        <w:rPr>
          <w:highlight w:val="yellow"/>
        </w:rPr>
        <w:t>N</w:t>
      </w:r>
      <w:r w:rsidRPr="003041F8">
        <w:rPr>
          <w:highlight w:val="yellow"/>
        </w:rPr>
        <w:t xml:space="preserve"> – 2014 Parent Pre-Focus Group </w:t>
      </w:r>
      <w:r>
        <w:rPr>
          <w:highlight w:val="yellow"/>
        </w:rPr>
        <w:t>Interview Script</w:t>
      </w:r>
      <w:r w:rsidRPr="003041F8">
        <w:rPr>
          <w:highlight w:val="yellow"/>
        </w:rPr>
        <w:t xml:space="preserve"> </w:t>
      </w:r>
    </w:p>
    <w:p w:rsidR="00597594" w:rsidRPr="003041F8" w:rsidRDefault="00597594" w:rsidP="00597594">
      <w:pPr>
        <w:pStyle w:val="NormalSS"/>
        <w:spacing w:after="0"/>
        <w:ind w:firstLine="0"/>
        <w:rPr>
          <w:highlight w:val="yellow"/>
        </w:rPr>
      </w:pPr>
      <w:r w:rsidRPr="003041F8">
        <w:rPr>
          <w:highlight w:val="yellow"/>
        </w:rPr>
        <w:t xml:space="preserve">Attachment </w:t>
      </w:r>
      <w:r>
        <w:rPr>
          <w:highlight w:val="yellow"/>
        </w:rPr>
        <w:t>O</w:t>
      </w:r>
      <w:r w:rsidRPr="003041F8">
        <w:rPr>
          <w:highlight w:val="yellow"/>
        </w:rPr>
        <w:t xml:space="preserve"> – 2014 </w:t>
      </w:r>
      <w:r w:rsidR="00930B62">
        <w:rPr>
          <w:highlight w:val="yellow"/>
        </w:rPr>
        <w:t xml:space="preserve">Parent and Adolescent </w:t>
      </w:r>
      <w:r w:rsidRPr="003041F8">
        <w:rPr>
          <w:highlight w:val="yellow"/>
        </w:rPr>
        <w:t>Informed Consent Forms</w:t>
      </w:r>
    </w:p>
    <w:p w:rsidR="00597594" w:rsidRPr="003041F8" w:rsidRDefault="00597594" w:rsidP="00597594">
      <w:pPr>
        <w:pStyle w:val="NormalSS"/>
        <w:spacing w:after="0"/>
        <w:ind w:firstLine="0"/>
        <w:rPr>
          <w:highlight w:val="yellow"/>
        </w:rPr>
      </w:pPr>
      <w:r w:rsidRPr="003041F8">
        <w:rPr>
          <w:highlight w:val="yellow"/>
        </w:rPr>
        <w:t xml:space="preserve">Attachment </w:t>
      </w:r>
      <w:r>
        <w:rPr>
          <w:highlight w:val="yellow"/>
        </w:rPr>
        <w:t>P</w:t>
      </w:r>
      <w:r w:rsidRPr="003041F8">
        <w:rPr>
          <w:highlight w:val="yellow"/>
        </w:rPr>
        <w:t xml:space="preserve"> – 2014 Adolescent Focus Group Protocol</w:t>
      </w:r>
    </w:p>
    <w:p w:rsidR="00597594" w:rsidRPr="003041F8" w:rsidRDefault="00597594" w:rsidP="00597594">
      <w:pPr>
        <w:pStyle w:val="NormalSS"/>
        <w:spacing w:after="0"/>
        <w:ind w:firstLine="0"/>
        <w:rPr>
          <w:highlight w:val="yellow"/>
        </w:rPr>
      </w:pPr>
      <w:r w:rsidRPr="003041F8">
        <w:rPr>
          <w:highlight w:val="yellow"/>
        </w:rPr>
        <w:t xml:space="preserve">Attachment </w:t>
      </w:r>
      <w:r>
        <w:rPr>
          <w:highlight w:val="yellow"/>
        </w:rPr>
        <w:t>Q</w:t>
      </w:r>
      <w:r w:rsidRPr="003041F8">
        <w:rPr>
          <w:highlight w:val="yellow"/>
        </w:rPr>
        <w:t xml:space="preserve"> – 2014 Adolescent Focus Group Recruitment Materials</w:t>
      </w:r>
    </w:p>
    <w:p w:rsidR="00597594" w:rsidRPr="003041F8" w:rsidRDefault="00597594" w:rsidP="00597594">
      <w:pPr>
        <w:pStyle w:val="NormalSS"/>
        <w:spacing w:after="0"/>
        <w:ind w:firstLine="0"/>
        <w:rPr>
          <w:highlight w:val="yellow"/>
        </w:rPr>
      </w:pPr>
      <w:r w:rsidRPr="003041F8">
        <w:rPr>
          <w:highlight w:val="yellow"/>
        </w:rPr>
        <w:t xml:space="preserve">Attachment </w:t>
      </w:r>
      <w:r>
        <w:rPr>
          <w:highlight w:val="yellow"/>
        </w:rPr>
        <w:t>R</w:t>
      </w:r>
      <w:r w:rsidRPr="003041F8">
        <w:rPr>
          <w:highlight w:val="yellow"/>
        </w:rPr>
        <w:t xml:space="preserve"> – 2014 Adolescent Telephone Screening Script</w:t>
      </w:r>
    </w:p>
    <w:p w:rsidR="00597594" w:rsidRPr="003041F8" w:rsidRDefault="00597594" w:rsidP="00597594">
      <w:pPr>
        <w:pStyle w:val="NormalSS"/>
        <w:spacing w:after="0"/>
        <w:ind w:firstLine="0"/>
        <w:rPr>
          <w:highlight w:val="yellow"/>
        </w:rPr>
      </w:pPr>
      <w:r w:rsidRPr="003041F8">
        <w:rPr>
          <w:highlight w:val="yellow"/>
        </w:rPr>
        <w:t xml:space="preserve">Attachment </w:t>
      </w:r>
      <w:r>
        <w:rPr>
          <w:highlight w:val="yellow"/>
        </w:rPr>
        <w:t>S</w:t>
      </w:r>
      <w:r w:rsidRPr="003041F8">
        <w:rPr>
          <w:highlight w:val="yellow"/>
        </w:rPr>
        <w:t xml:space="preserve"> – 2014 Adolescent Pre-Focus Group Interview </w:t>
      </w:r>
      <w:r>
        <w:rPr>
          <w:highlight w:val="yellow"/>
        </w:rPr>
        <w:t>Script</w:t>
      </w:r>
    </w:p>
    <w:p w:rsidR="00597594" w:rsidRPr="003041F8" w:rsidRDefault="00597594" w:rsidP="00597594">
      <w:pPr>
        <w:pStyle w:val="NormalSS"/>
        <w:spacing w:after="0"/>
        <w:ind w:firstLine="0"/>
        <w:rPr>
          <w:highlight w:val="yellow"/>
        </w:rPr>
      </w:pPr>
      <w:r w:rsidRPr="003041F8">
        <w:rPr>
          <w:highlight w:val="yellow"/>
        </w:rPr>
        <w:t xml:space="preserve">Attachment </w:t>
      </w:r>
      <w:r>
        <w:rPr>
          <w:highlight w:val="yellow"/>
        </w:rPr>
        <w:t>T</w:t>
      </w:r>
      <w:r w:rsidRPr="003041F8">
        <w:rPr>
          <w:highlight w:val="yellow"/>
        </w:rPr>
        <w:t>- CHIPRA Quality Demonstration Evaluation Research Questions</w:t>
      </w:r>
    </w:p>
    <w:p w:rsidR="00597594" w:rsidRPr="003041F8" w:rsidRDefault="00597594" w:rsidP="00597594">
      <w:pPr>
        <w:pStyle w:val="NormalSS"/>
        <w:tabs>
          <w:tab w:val="clear" w:pos="432"/>
          <w:tab w:val="left" w:pos="0"/>
        </w:tabs>
        <w:spacing w:after="0"/>
        <w:ind w:firstLine="0"/>
        <w:jc w:val="left"/>
        <w:rPr>
          <w:highlight w:val="yellow"/>
        </w:rPr>
      </w:pPr>
      <w:r w:rsidRPr="003041F8">
        <w:rPr>
          <w:highlight w:val="yellow"/>
        </w:rPr>
        <w:t>Attachment U – Federal Register Notice</w:t>
      </w:r>
      <w:r w:rsidRPr="003041F8">
        <w:rPr>
          <w:highlight w:val="yellow"/>
        </w:rPr>
        <w:br/>
        <w:t>Attachment V – TEP Members</w:t>
      </w:r>
    </w:p>
    <w:p w:rsidR="00597594" w:rsidRPr="003041F8" w:rsidRDefault="00597594" w:rsidP="00597594">
      <w:pPr>
        <w:pStyle w:val="NormalSS"/>
        <w:spacing w:after="0"/>
        <w:ind w:firstLine="0"/>
        <w:rPr>
          <w:highlight w:val="yellow"/>
        </w:rPr>
      </w:pPr>
      <w:r w:rsidRPr="003041F8">
        <w:rPr>
          <w:highlight w:val="yellow"/>
        </w:rPr>
        <w:lastRenderedPageBreak/>
        <w:t xml:space="preserve">Attachment </w:t>
      </w:r>
      <w:r>
        <w:rPr>
          <w:highlight w:val="yellow"/>
        </w:rPr>
        <w:t>W</w:t>
      </w:r>
      <w:r w:rsidRPr="003041F8">
        <w:rPr>
          <w:highlight w:val="yellow"/>
        </w:rPr>
        <w:t xml:space="preserve"> -- Provider Site Recruitment Letters</w:t>
      </w:r>
    </w:p>
    <w:p w:rsidR="00597594" w:rsidRPr="00F84F66" w:rsidRDefault="00597594" w:rsidP="00597594">
      <w:pPr>
        <w:pStyle w:val="NormalSS"/>
        <w:tabs>
          <w:tab w:val="clear" w:pos="432"/>
          <w:tab w:val="left" w:pos="0"/>
        </w:tabs>
        <w:spacing w:after="0"/>
        <w:ind w:firstLine="0"/>
        <w:jc w:val="left"/>
      </w:pPr>
      <w:r w:rsidRPr="003041F8">
        <w:rPr>
          <w:highlight w:val="yellow"/>
        </w:rPr>
        <w:t xml:space="preserve">Attachment </w:t>
      </w:r>
      <w:r>
        <w:rPr>
          <w:highlight w:val="yellow"/>
        </w:rPr>
        <w:t>X</w:t>
      </w:r>
      <w:r w:rsidRPr="003041F8">
        <w:rPr>
          <w:highlight w:val="yellow"/>
        </w:rPr>
        <w:t xml:space="preserve"> – Confidentiality Pledge</w:t>
      </w:r>
    </w:p>
    <w:p w:rsidR="00F84F66" w:rsidRPr="00F84F66" w:rsidRDefault="00F84F66" w:rsidP="00781BB2">
      <w:pPr>
        <w:pStyle w:val="NormalSS"/>
        <w:tabs>
          <w:tab w:val="clear" w:pos="432"/>
          <w:tab w:val="left" w:pos="0"/>
        </w:tabs>
        <w:spacing w:after="0"/>
        <w:ind w:firstLine="0"/>
        <w:jc w:val="left"/>
      </w:pPr>
    </w:p>
    <w:sectPr w:rsidR="00F84F66" w:rsidRPr="00F84F66" w:rsidSect="007C0CD8">
      <w:headerReference w:type="default" r:id="rId10"/>
      <w:footerReference w:type="default" r:id="rId11"/>
      <w:endnotePr>
        <w:numFmt w:val="decimal"/>
      </w:endnotePr>
      <w:pgSz w:w="12240" w:h="15840" w:code="1"/>
      <w:pgMar w:top="1440" w:right="1440" w:bottom="576" w:left="1440" w:header="720" w:footer="576"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6A3F" w:rsidRDefault="007C6A3F">
      <w:pPr>
        <w:spacing w:line="240" w:lineRule="auto"/>
        <w:ind w:firstLine="0"/>
      </w:pPr>
    </w:p>
  </w:endnote>
  <w:endnote w:type="continuationSeparator" w:id="0">
    <w:p w:rsidR="007C6A3F" w:rsidRDefault="007C6A3F">
      <w:pPr>
        <w:spacing w:line="240" w:lineRule="auto"/>
        <w:ind w:firstLine="0"/>
      </w:pPr>
    </w:p>
  </w:endnote>
  <w:endnote w:type="continuationNotice" w:id="1">
    <w:p w:rsidR="007C6A3F" w:rsidRDefault="007C6A3F">
      <w:pPr>
        <w:spacing w:line="240" w:lineRule="auto"/>
        <w:ind w:firstLine="0"/>
      </w:pPr>
    </w:p>
    <w:p w:rsidR="007C6A3F" w:rsidRDefault="007C6A3F"/>
    <w:p w:rsidR="007C6A3F" w:rsidRDefault="007C6A3F">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N:\Project\06816_CHIPRA_QDE\DC1\Common\Task 800 OMB\820 OMB Revisions\2014\Qualitative\CHIPRASupporting Statement Part A -- Revised Feb 14 2014.docx</w:t>
      </w:r>
      <w:r>
        <w:rPr>
          <w:snapToGrid w:val="0"/>
          <w:sz w:val="16"/>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Lucida Sans">
    <w:panose1 w:val="020B06020405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6A3F" w:rsidRDefault="007C6A3F" w:rsidP="001F16C6">
    <w:pPr>
      <w:pStyle w:val="Footer"/>
      <w:tabs>
        <w:tab w:val="clear" w:pos="432"/>
        <w:tab w:val="clear" w:pos="4320"/>
        <w:tab w:val="clear" w:pos="8640"/>
        <w:tab w:val="center" w:pos="4770"/>
        <w:tab w:val="right" w:pos="9360"/>
      </w:tabs>
      <w:spacing w:before="120"/>
      <w:ind w:firstLine="0"/>
      <w:jc w:val="center"/>
      <w:rPr>
        <w:rStyle w:val="PageNumber"/>
        <w:b/>
        <w:sz w:val="17"/>
      </w:rPr>
    </w:pPr>
    <w:r>
      <w:rPr>
        <w:rStyle w:val="PageNumber"/>
      </w:rPr>
      <w:fldChar w:fldCharType="begin"/>
    </w:r>
    <w:r>
      <w:rPr>
        <w:rStyle w:val="PageNumber"/>
      </w:rPr>
      <w:instrText xml:space="preserve"> PAGE </w:instrText>
    </w:r>
    <w:r>
      <w:rPr>
        <w:rStyle w:val="PageNumber"/>
      </w:rPr>
      <w:fldChar w:fldCharType="separate"/>
    </w:r>
    <w:r w:rsidR="00037A2C">
      <w:rPr>
        <w:rStyle w:val="PageNumber"/>
        <w:noProof/>
      </w:rPr>
      <w:t>8</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6A3F" w:rsidRDefault="007C6A3F">
      <w:pPr>
        <w:spacing w:line="240" w:lineRule="auto"/>
        <w:ind w:firstLine="0"/>
      </w:pPr>
      <w:r>
        <w:separator/>
      </w:r>
    </w:p>
  </w:footnote>
  <w:footnote w:type="continuationSeparator" w:id="0">
    <w:p w:rsidR="007C6A3F" w:rsidRDefault="007C6A3F">
      <w:pPr>
        <w:spacing w:line="240" w:lineRule="auto"/>
        <w:ind w:firstLine="0"/>
      </w:pPr>
      <w:r>
        <w:separator/>
      </w:r>
    </w:p>
    <w:p w:rsidR="007C6A3F" w:rsidRDefault="007C6A3F">
      <w:pPr>
        <w:spacing w:line="240" w:lineRule="auto"/>
        <w:ind w:firstLine="0"/>
        <w:rPr>
          <w:i/>
        </w:rPr>
      </w:pPr>
      <w:r>
        <w:rPr>
          <w:i/>
        </w:rPr>
        <w:t>(continued)</w:t>
      </w:r>
    </w:p>
  </w:footnote>
  <w:footnote w:type="continuationNotice" w:id="1">
    <w:p w:rsidR="007C6A3F" w:rsidRDefault="007C6A3F">
      <w:pPr>
        <w:pStyle w:val="Footer"/>
      </w:pPr>
    </w:p>
  </w:footnote>
  <w:footnote w:id="2">
    <w:p w:rsidR="007C6A3F" w:rsidRDefault="007C6A3F">
      <w:pPr>
        <w:pStyle w:val="FootnoteText"/>
      </w:pPr>
      <w:r w:rsidRPr="007D4222">
        <w:rPr>
          <w:rStyle w:val="FootnoteReference"/>
        </w:rPr>
        <w:footnoteRef/>
      </w:r>
      <w:r w:rsidRPr="007D4222">
        <w:t xml:space="preserve"> Department of Health and Human Service, Centers for Medicare &amp; Medicaid Services. Medicaid and Children’s Health Insurance Programs: Children’s Health Insurance Program Reauthorization Act of 2009: Section 401(D). Invitation to Apply for FY2010 CHIPRA Quality Demonstration Grants. September 30, 2009, CFDA 93.767.</w:t>
      </w:r>
      <w:r>
        <w:t xml:space="preserve"> </w:t>
      </w:r>
    </w:p>
  </w:footnote>
  <w:footnote w:id="3">
    <w:p w:rsidR="007C6A3F" w:rsidRDefault="007C6A3F">
      <w:pPr>
        <w:pStyle w:val="FootnoteText"/>
      </w:pPr>
      <w:r>
        <w:rPr>
          <w:rStyle w:val="FootnoteReference"/>
        </w:rPr>
        <w:footnoteRef/>
      </w:r>
      <w:r>
        <w:t xml:space="preserve"> Ibid.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6A3F" w:rsidRPr="000A4439" w:rsidRDefault="007C6A3F" w:rsidP="006C5B99">
    <w:pPr>
      <w:pStyle w:val="Header"/>
      <w:rPr>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1A2019"/>
    <w:multiLevelType w:val="hybridMultilevel"/>
    <w:tmpl w:val="2780DCC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9B1CF2"/>
    <w:multiLevelType w:val="hybridMultilevel"/>
    <w:tmpl w:val="ADB8DAE0"/>
    <w:lvl w:ilvl="0" w:tplc="04090001">
      <w:start w:val="1"/>
      <w:numFmt w:val="bullet"/>
      <w:lvlText w:val=""/>
      <w:lvlJc w:val="left"/>
      <w:pPr>
        <w:ind w:left="775" w:hanging="360"/>
      </w:pPr>
      <w:rPr>
        <w:rFonts w:ascii="Symbol" w:hAnsi="Symbol" w:hint="default"/>
      </w:rPr>
    </w:lvl>
    <w:lvl w:ilvl="1" w:tplc="04090003" w:tentative="1">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2">
    <w:nsid w:val="0DEB1093"/>
    <w:multiLevelType w:val="hybridMultilevel"/>
    <w:tmpl w:val="2CB0EB0A"/>
    <w:lvl w:ilvl="0" w:tplc="04090011">
      <w:start w:val="1"/>
      <w:numFmt w:val="decimal"/>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
    <w:nsid w:val="110D5AD2"/>
    <w:multiLevelType w:val="hybridMultilevel"/>
    <w:tmpl w:val="02CE0FC2"/>
    <w:lvl w:ilvl="0" w:tplc="BF56F608">
      <w:start w:val="1"/>
      <w:numFmt w:val="bullet"/>
      <w:pStyle w:val="BulletRedLastSS"/>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7">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1D5A443B"/>
    <w:multiLevelType w:val="hybridMultilevel"/>
    <w:tmpl w:val="7870E56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F7513D4"/>
    <w:multiLevelType w:val="hybridMultilevel"/>
    <w:tmpl w:val="4E440EE0"/>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0">
    <w:nsid w:val="20E40AB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2">
    <w:nsid w:val="26E43BA7"/>
    <w:multiLevelType w:val="hybridMultilevel"/>
    <w:tmpl w:val="2CB0EB0A"/>
    <w:lvl w:ilvl="0" w:tplc="04090011">
      <w:start w:val="1"/>
      <w:numFmt w:val="decimal"/>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3">
    <w:nsid w:val="2F702959"/>
    <w:multiLevelType w:val="hybridMultilevel"/>
    <w:tmpl w:val="DAEAFBDA"/>
    <w:lvl w:ilvl="0" w:tplc="04090011">
      <w:start w:val="1"/>
      <w:numFmt w:val="decimal"/>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4">
    <w:nsid w:val="364A6A04"/>
    <w:multiLevelType w:val="hybridMultilevel"/>
    <w:tmpl w:val="75B64554"/>
    <w:lvl w:ilvl="0" w:tplc="04090015">
      <w:start w:val="1"/>
      <w:numFmt w:val="upperLetter"/>
      <w:lvlText w:val="%1."/>
      <w:lvlJc w:val="left"/>
      <w:pPr>
        <w:ind w:left="720" w:hanging="36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9327C26"/>
    <w:multiLevelType w:val="hybridMultilevel"/>
    <w:tmpl w:val="C5E8062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F5142B4"/>
    <w:multiLevelType w:val="hybridMultilevel"/>
    <w:tmpl w:val="7A30F8A6"/>
    <w:lvl w:ilvl="0" w:tplc="04090011">
      <w:start w:val="1"/>
      <w:numFmt w:val="decimal"/>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7">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18">
    <w:nsid w:val="5F547443"/>
    <w:multiLevelType w:val="hybridMultilevel"/>
    <w:tmpl w:val="E7DEE1F4"/>
    <w:lvl w:ilvl="0" w:tplc="4080ECB0">
      <w:start w:val="1"/>
      <w:numFmt w:val="bullet"/>
      <w:pStyle w:val="BulletBlueLastDS"/>
      <w:lvlText w:val=""/>
      <w:lvlJc w:val="left"/>
      <w:pPr>
        <w:ind w:left="115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9">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0">
    <w:nsid w:val="640C62C1"/>
    <w:multiLevelType w:val="hybridMultilevel"/>
    <w:tmpl w:val="8AEC0C86"/>
    <w:lvl w:ilvl="0" w:tplc="5FAE32F2">
      <w:start w:val="1"/>
      <w:numFmt w:val="bullet"/>
      <w:pStyle w:val="BulletRed"/>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1">
    <w:nsid w:val="652D4D3C"/>
    <w:multiLevelType w:val="multilevel"/>
    <w:tmpl w:val="92E4DAE2"/>
    <w:styleLink w:val="MPROutline"/>
    <w:lvl w:ilvl="0">
      <w:start w:val="1"/>
      <w:numFmt w:val="upperRoman"/>
      <w:lvlText w:val="%1."/>
      <w:lvlJc w:val="left"/>
      <w:pPr>
        <w:tabs>
          <w:tab w:val="num" w:pos="720"/>
        </w:tabs>
        <w:ind w:left="720" w:hanging="720"/>
      </w:pPr>
      <w:rPr>
        <w:rFonts w:ascii="Garamond" w:hAnsi="Garamond"/>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2">
    <w:nsid w:val="6678613F"/>
    <w:multiLevelType w:val="hybridMultilevel"/>
    <w:tmpl w:val="9564B2F6"/>
    <w:lvl w:ilvl="0" w:tplc="61A0D038">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3">
    <w:nsid w:val="74BD3D44"/>
    <w:multiLevelType w:val="hybridMultilevel"/>
    <w:tmpl w:val="0FCA0D7E"/>
    <w:lvl w:ilvl="0" w:tplc="4A946B26">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4">
    <w:nsid w:val="76CE08AD"/>
    <w:multiLevelType w:val="hybridMultilevel"/>
    <w:tmpl w:val="803CF2C0"/>
    <w:lvl w:ilvl="0" w:tplc="C7C448C8">
      <w:start w:val="1"/>
      <w:numFmt w:val="upp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5">
    <w:nsid w:val="774F6075"/>
    <w:multiLevelType w:val="hybridMultilevel"/>
    <w:tmpl w:val="BE380A3E"/>
    <w:lvl w:ilvl="0" w:tplc="3F4A7FB8">
      <w:start w:val="1"/>
      <w:numFmt w:val="decimal"/>
      <w:lvlText w:val="%1."/>
      <w:lvlJc w:val="left"/>
      <w:pPr>
        <w:ind w:left="810" w:hanging="360"/>
      </w:pPr>
      <w:rPr>
        <w:rFonts w:ascii="Garamond" w:eastAsia="Times New Roman" w:hAnsi="Garamond" w:cs="Times New Roman"/>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6">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17"/>
  </w:num>
  <w:num w:numId="2">
    <w:abstractNumId w:val="23"/>
  </w:num>
  <w:num w:numId="3">
    <w:abstractNumId w:val="19"/>
  </w:num>
  <w:num w:numId="4">
    <w:abstractNumId w:val="4"/>
  </w:num>
  <w:num w:numId="5">
    <w:abstractNumId w:val="3"/>
  </w:num>
  <w:num w:numId="6">
    <w:abstractNumId w:val="26"/>
  </w:num>
  <w:num w:numId="7">
    <w:abstractNumId w:val="22"/>
  </w:num>
  <w:num w:numId="8">
    <w:abstractNumId w:val="7"/>
  </w:num>
  <w:num w:numId="9">
    <w:abstractNumId w:val="9"/>
  </w:num>
  <w:num w:numId="10">
    <w:abstractNumId w:val="11"/>
  </w:num>
  <w:num w:numId="11">
    <w:abstractNumId w:val="5"/>
  </w:num>
  <w:num w:numId="12">
    <w:abstractNumId w:val="20"/>
  </w:num>
  <w:num w:numId="13">
    <w:abstractNumId w:val="6"/>
  </w:num>
  <w:num w:numId="14">
    <w:abstractNumId w:val="18"/>
  </w:num>
  <w:num w:numId="15">
    <w:abstractNumId w:val="21"/>
  </w:num>
  <w:num w:numId="16">
    <w:abstractNumId w:val="10"/>
  </w:num>
  <w:num w:numId="17">
    <w:abstractNumId w:val="13"/>
  </w:num>
  <w:num w:numId="18">
    <w:abstractNumId w:val="2"/>
  </w:num>
  <w:num w:numId="19">
    <w:abstractNumId w:val="16"/>
  </w:num>
  <w:num w:numId="20">
    <w:abstractNumId w:val="12"/>
  </w:num>
  <w:num w:numId="21">
    <w:abstractNumId w:val="9"/>
  </w:num>
  <w:num w:numId="22">
    <w:abstractNumId w:val="15"/>
  </w:num>
  <w:num w:numId="23">
    <w:abstractNumId w:val="8"/>
  </w:num>
  <w:num w:numId="24">
    <w:abstractNumId w:val="24"/>
  </w:num>
  <w:num w:numId="25">
    <w:abstractNumId w:val="0"/>
  </w:num>
  <w:num w:numId="26">
    <w:abstractNumId w:val="25"/>
  </w:num>
  <w:num w:numId="27">
    <w:abstractNumId w:val="1"/>
  </w:num>
  <w:num w:numId="28">
    <w:abstractNumId w:val="1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activeWritingStyle w:appName="MSWord" w:lang="en-US" w:vendorID="64" w:dllVersion="131077" w:nlCheck="1" w:checkStyle="1"/>
  <w:activeWritingStyle w:appName="MSWord" w:lang="en-US" w:vendorID="64" w:dllVersion="131078" w:nlCheck="1" w:checkStyle="1"/>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defaultTabStop w:val="432"/>
  <w:drawingGridHorizontalSpacing w:val="120"/>
  <w:drawingGridVerticalSpacing w:val="75"/>
  <w:displayHorizontalDrawingGridEvery w:val="0"/>
  <w:displayVerticalDrawingGridEvery w:val="0"/>
  <w:noPunctuationKerning/>
  <w:characterSpacingControl w:val="doNotCompress"/>
  <w:hdrShapeDefaults>
    <o:shapedefaults v:ext="edit" spidmax="8193"/>
  </w:hdrShapeDefaults>
  <w:footnotePr>
    <w:footnote w:id="-1"/>
    <w:footnote w:id="0"/>
    <w:footnote w:id="1"/>
  </w:footnotePr>
  <w:endnotePr>
    <w:numFmt w:val="decimal"/>
    <w:endnote w:id="-1"/>
    <w:endnote w:id="0"/>
    <w:endnote w:id="1"/>
  </w:endnotePr>
  <w:compat>
    <w:doNotUseHTMLParagraphAutoSpacing/>
    <w:compatSetting w:name="compatibilityMode" w:uri="http://schemas.microsoft.com/office/word" w:val="12"/>
  </w:compat>
  <w:rsids>
    <w:rsidRoot w:val="003E448F"/>
    <w:rsid w:val="000015FB"/>
    <w:rsid w:val="00004445"/>
    <w:rsid w:val="00006E1F"/>
    <w:rsid w:val="00007CA0"/>
    <w:rsid w:val="00012372"/>
    <w:rsid w:val="00012863"/>
    <w:rsid w:val="00013B4D"/>
    <w:rsid w:val="000147C5"/>
    <w:rsid w:val="000166FB"/>
    <w:rsid w:val="00017DD1"/>
    <w:rsid w:val="00021A62"/>
    <w:rsid w:val="00024D82"/>
    <w:rsid w:val="000300AF"/>
    <w:rsid w:val="000325E9"/>
    <w:rsid w:val="00037098"/>
    <w:rsid w:val="00037A2C"/>
    <w:rsid w:val="00046CA3"/>
    <w:rsid w:val="00046E51"/>
    <w:rsid w:val="00052499"/>
    <w:rsid w:val="00053423"/>
    <w:rsid w:val="00053968"/>
    <w:rsid w:val="0006082B"/>
    <w:rsid w:val="00063123"/>
    <w:rsid w:val="00063CE8"/>
    <w:rsid w:val="00063FEF"/>
    <w:rsid w:val="000660D7"/>
    <w:rsid w:val="00066AB9"/>
    <w:rsid w:val="00067A51"/>
    <w:rsid w:val="000725E9"/>
    <w:rsid w:val="0007587F"/>
    <w:rsid w:val="0007589F"/>
    <w:rsid w:val="000769A1"/>
    <w:rsid w:val="00076CF0"/>
    <w:rsid w:val="000807F5"/>
    <w:rsid w:val="00080DFA"/>
    <w:rsid w:val="000812AE"/>
    <w:rsid w:val="00081406"/>
    <w:rsid w:val="00081D47"/>
    <w:rsid w:val="00090529"/>
    <w:rsid w:val="000964BC"/>
    <w:rsid w:val="0009719C"/>
    <w:rsid w:val="000A2F59"/>
    <w:rsid w:val="000A4439"/>
    <w:rsid w:val="000A544F"/>
    <w:rsid w:val="000B221D"/>
    <w:rsid w:val="000B2BD0"/>
    <w:rsid w:val="000B3A77"/>
    <w:rsid w:val="000B43A9"/>
    <w:rsid w:val="000B7E70"/>
    <w:rsid w:val="000B7EBE"/>
    <w:rsid w:val="000C0118"/>
    <w:rsid w:val="000C15B4"/>
    <w:rsid w:val="000C5D21"/>
    <w:rsid w:val="000C70DC"/>
    <w:rsid w:val="000C72F8"/>
    <w:rsid w:val="000D709F"/>
    <w:rsid w:val="000E0A20"/>
    <w:rsid w:val="000E1D9E"/>
    <w:rsid w:val="000E652C"/>
    <w:rsid w:val="000E6D11"/>
    <w:rsid w:val="000E6FF6"/>
    <w:rsid w:val="000F79B9"/>
    <w:rsid w:val="00105D23"/>
    <w:rsid w:val="001073C9"/>
    <w:rsid w:val="0011073F"/>
    <w:rsid w:val="00111B3D"/>
    <w:rsid w:val="00123839"/>
    <w:rsid w:val="00123E1B"/>
    <w:rsid w:val="00130424"/>
    <w:rsid w:val="0013282C"/>
    <w:rsid w:val="00132E2F"/>
    <w:rsid w:val="001358D4"/>
    <w:rsid w:val="00135AF5"/>
    <w:rsid w:val="00141646"/>
    <w:rsid w:val="00141705"/>
    <w:rsid w:val="00141A0B"/>
    <w:rsid w:val="001425AF"/>
    <w:rsid w:val="00142AE3"/>
    <w:rsid w:val="00144DA7"/>
    <w:rsid w:val="00155E8A"/>
    <w:rsid w:val="0015677D"/>
    <w:rsid w:val="00157987"/>
    <w:rsid w:val="00160306"/>
    <w:rsid w:val="00160E09"/>
    <w:rsid w:val="00162191"/>
    <w:rsid w:val="0016241D"/>
    <w:rsid w:val="00167442"/>
    <w:rsid w:val="0017076C"/>
    <w:rsid w:val="00176E2D"/>
    <w:rsid w:val="00181F53"/>
    <w:rsid w:val="00182F30"/>
    <w:rsid w:val="0018564C"/>
    <w:rsid w:val="001874E0"/>
    <w:rsid w:val="001913B8"/>
    <w:rsid w:val="001933B1"/>
    <w:rsid w:val="00195443"/>
    <w:rsid w:val="00197F05"/>
    <w:rsid w:val="001A07D4"/>
    <w:rsid w:val="001B360E"/>
    <w:rsid w:val="001C6D08"/>
    <w:rsid w:val="001D189D"/>
    <w:rsid w:val="001D247C"/>
    <w:rsid w:val="001D3C41"/>
    <w:rsid w:val="001D3FA6"/>
    <w:rsid w:val="001D634E"/>
    <w:rsid w:val="001D70D3"/>
    <w:rsid w:val="001E0AB2"/>
    <w:rsid w:val="001E466A"/>
    <w:rsid w:val="001E5F31"/>
    <w:rsid w:val="001F1362"/>
    <w:rsid w:val="001F16C6"/>
    <w:rsid w:val="001F5410"/>
    <w:rsid w:val="0020021E"/>
    <w:rsid w:val="00200B10"/>
    <w:rsid w:val="00200B2A"/>
    <w:rsid w:val="00200CC4"/>
    <w:rsid w:val="00204089"/>
    <w:rsid w:val="002053F3"/>
    <w:rsid w:val="00207091"/>
    <w:rsid w:val="00213C45"/>
    <w:rsid w:val="00222C53"/>
    <w:rsid w:val="0022402B"/>
    <w:rsid w:val="00225365"/>
    <w:rsid w:val="002309FB"/>
    <w:rsid w:val="00235B1C"/>
    <w:rsid w:val="00236122"/>
    <w:rsid w:val="0023642C"/>
    <w:rsid w:val="002437DA"/>
    <w:rsid w:val="00243909"/>
    <w:rsid w:val="00243DEE"/>
    <w:rsid w:val="0025182E"/>
    <w:rsid w:val="0025512B"/>
    <w:rsid w:val="002613D2"/>
    <w:rsid w:val="00261B44"/>
    <w:rsid w:val="00261C73"/>
    <w:rsid w:val="0026205D"/>
    <w:rsid w:val="00264716"/>
    <w:rsid w:val="00265BE9"/>
    <w:rsid w:val="002661FC"/>
    <w:rsid w:val="00267F6C"/>
    <w:rsid w:val="00271B2B"/>
    <w:rsid w:val="00274A21"/>
    <w:rsid w:val="00280AB2"/>
    <w:rsid w:val="00281C08"/>
    <w:rsid w:val="00282FD0"/>
    <w:rsid w:val="00283AA1"/>
    <w:rsid w:val="00284557"/>
    <w:rsid w:val="002849EE"/>
    <w:rsid w:val="00287FD7"/>
    <w:rsid w:val="002921C5"/>
    <w:rsid w:val="00293F13"/>
    <w:rsid w:val="002942FB"/>
    <w:rsid w:val="00295466"/>
    <w:rsid w:val="002A0847"/>
    <w:rsid w:val="002A111C"/>
    <w:rsid w:val="002A1ADA"/>
    <w:rsid w:val="002A26FC"/>
    <w:rsid w:val="002A28C9"/>
    <w:rsid w:val="002A3752"/>
    <w:rsid w:val="002A70E7"/>
    <w:rsid w:val="002A7359"/>
    <w:rsid w:val="002A7C0B"/>
    <w:rsid w:val="002B1593"/>
    <w:rsid w:val="002B68A5"/>
    <w:rsid w:val="002B6DA0"/>
    <w:rsid w:val="002C413C"/>
    <w:rsid w:val="002C64E8"/>
    <w:rsid w:val="002C7011"/>
    <w:rsid w:val="002C734A"/>
    <w:rsid w:val="002D0A34"/>
    <w:rsid w:val="002D279D"/>
    <w:rsid w:val="002D6999"/>
    <w:rsid w:val="002E38E0"/>
    <w:rsid w:val="002E7968"/>
    <w:rsid w:val="002F0255"/>
    <w:rsid w:val="002F1DAC"/>
    <w:rsid w:val="002F1E71"/>
    <w:rsid w:val="002F440B"/>
    <w:rsid w:val="002F69A7"/>
    <w:rsid w:val="002F71D4"/>
    <w:rsid w:val="002F7C83"/>
    <w:rsid w:val="00300CE3"/>
    <w:rsid w:val="00303CF8"/>
    <w:rsid w:val="00311D91"/>
    <w:rsid w:val="00313671"/>
    <w:rsid w:val="00313E69"/>
    <w:rsid w:val="003142E6"/>
    <w:rsid w:val="00317EDA"/>
    <w:rsid w:val="00320EB3"/>
    <w:rsid w:val="00321200"/>
    <w:rsid w:val="00321427"/>
    <w:rsid w:val="003311AE"/>
    <w:rsid w:val="0033350F"/>
    <w:rsid w:val="00336A60"/>
    <w:rsid w:val="00342CD8"/>
    <w:rsid w:val="003438FF"/>
    <w:rsid w:val="00343A0C"/>
    <w:rsid w:val="00344110"/>
    <w:rsid w:val="00350399"/>
    <w:rsid w:val="00350E63"/>
    <w:rsid w:val="00352FDB"/>
    <w:rsid w:val="00353544"/>
    <w:rsid w:val="00353E51"/>
    <w:rsid w:val="00354300"/>
    <w:rsid w:val="00354942"/>
    <w:rsid w:val="00354C34"/>
    <w:rsid w:val="00355F73"/>
    <w:rsid w:val="0035674B"/>
    <w:rsid w:val="003607F3"/>
    <w:rsid w:val="00362133"/>
    <w:rsid w:val="00372AB1"/>
    <w:rsid w:val="00374549"/>
    <w:rsid w:val="003810FB"/>
    <w:rsid w:val="00381A96"/>
    <w:rsid w:val="00381B5C"/>
    <w:rsid w:val="00383057"/>
    <w:rsid w:val="00385478"/>
    <w:rsid w:val="00386508"/>
    <w:rsid w:val="00387B04"/>
    <w:rsid w:val="00394752"/>
    <w:rsid w:val="003A1506"/>
    <w:rsid w:val="003A1774"/>
    <w:rsid w:val="003A17E0"/>
    <w:rsid w:val="003A26BB"/>
    <w:rsid w:val="003A4AFA"/>
    <w:rsid w:val="003B11B4"/>
    <w:rsid w:val="003B1FFC"/>
    <w:rsid w:val="003B303A"/>
    <w:rsid w:val="003B32E0"/>
    <w:rsid w:val="003C0A5F"/>
    <w:rsid w:val="003C167E"/>
    <w:rsid w:val="003C27A1"/>
    <w:rsid w:val="003C57EB"/>
    <w:rsid w:val="003C7D42"/>
    <w:rsid w:val="003D77B2"/>
    <w:rsid w:val="003E0A97"/>
    <w:rsid w:val="003E0D48"/>
    <w:rsid w:val="003E2689"/>
    <w:rsid w:val="003E448F"/>
    <w:rsid w:val="003E4DE6"/>
    <w:rsid w:val="003E5087"/>
    <w:rsid w:val="003F160A"/>
    <w:rsid w:val="003F1C03"/>
    <w:rsid w:val="003F43C8"/>
    <w:rsid w:val="00401627"/>
    <w:rsid w:val="004036B9"/>
    <w:rsid w:val="00405DF5"/>
    <w:rsid w:val="00406F06"/>
    <w:rsid w:val="0040780A"/>
    <w:rsid w:val="00410D8F"/>
    <w:rsid w:val="00410F60"/>
    <w:rsid w:val="0041164F"/>
    <w:rsid w:val="004118E0"/>
    <w:rsid w:val="00412D08"/>
    <w:rsid w:val="00413987"/>
    <w:rsid w:val="00414621"/>
    <w:rsid w:val="00414FF6"/>
    <w:rsid w:val="004178CB"/>
    <w:rsid w:val="00417B7A"/>
    <w:rsid w:val="00423049"/>
    <w:rsid w:val="0042391D"/>
    <w:rsid w:val="0042461E"/>
    <w:rsid w:val="00427D48"/>
    <w:rsid w:val="004338D1"/>
    <w:rsid w:val="00434A6A"/>
    <w:rsid w:val="004432BD"/>
    <w:rsid w:val="0044551C"/>
    <w:rsid w:val="00446472"/>
    <w:rsid w:val="00446CE2"/>
    <w:rsid w:val="00447C62"/>
    <w:rsid w:val="00450873"/>
    <w:rsid w:val="00455C65"/>
    <w:rsid w:val="00455C7B"/>
    <w:rsid w:val="00463045"/>
    <w:rsid w:val="00467627"/>
    <w:rsid w:val="00470D37"/>
    <w:rsid w:val="00474405"/>
    <w:rsid w:val="0047478B"/>
    <w:rsid w:val="00475483"/>
    <w:rsid w:val="00476CB1"/>
    <w:rsid w:val="00482549"/>
    <w:rsid w:val="0048330B"/>
    <w:rsid w:val="00483F96"/>
    <w:rsid w:val="00490847"/>
    <w:rsid w:val="00490F60"/>
    <w:rsid w:val="00492B73"/>
    <w:rsid w:val="004A0392"/>
    <w:rsid w:val="004A04EF"/>
    <w:rsid w:val="004A071B"/>
    <w:rsid w:val="004A1F20"/>
    <w:rsid w:val="004A46CC"/>
    <w:rsid w:val="004A4F28"/>
    <w:rsid w:val="004B0D54"/>
    <w:rsid w:val="004B69B0"/>
    <w:rsid w:val="004C384D"/>
    <w:rsid w:val="004C5ED1"/>
    <w:rsid w:val="004D3F0C"/>
    <w:rsid w:val="004D545D"/>
    <w:rsid w:val="004D62CD"/>
    <w:rsid w:val="004D684B"/>
    <w:rsid w:val="004E534A"/>
    <w:rsid w:val="004E7BD5"/>
    <w:rsid w:val="004E7D79"/>
    <w:rsid w:val="004F0B74"/>
    <w:rsid w:val="004F493C"/>
    <w:rsid w:val="005059A7"/>
    <w:rsid w:val="00506EDD"/>
    <w:rsid w:val="00514703"/>
    <w:rsid w:val="00516B47"/>
    <w:rsid w:val="005231F8"/>
    <w:rsid w:val="00525772"/>
    <w:rsid w:val="00527B1B"/>
    <w:rsid w:val="00531424"/>
    <w:rsid w:val="005352B3"/>
    <w:rsid w:val="0053563F"/>
    <w:rsid w:val="00537F22"/>
    <w:rsid w:val="005408D7"/>
    <w:rsid w:val="00542523"/>
    <w:rsid w:val="00546F02"/>
    <w:rsid w:val="005471B7"/>
    <w:rsid w:val="00553784"/>
    <w:rsid w:val="00557FE1"/>
    <w:rsid w:val="005604DC"/>
    <w:rsid w:val="005637D0"/>
    <w:rsid w:val="0056487B"/>
    <w:rsid w:val="005811B3"/>
    <w:rsid w:val="00581EE2"/>
    <w:rsid w:val="00582CD2"/>
    <w:rsid w:val="00583141"/>
    <w:rsid w:val="00584664"/>
    <w:rsid w:val="00587004"/>
    <w:rsid w:val="0058753C"/>
    <w:rsid w:val="00591AE6"/>
    <w:rsid w:val="00592E1A"/>
    <w:rsid w:val="00597594"/>
    <w:rsid w:val="00597C9C"/>
    <w:rsid w:val="00597FEB"/>
    <w:rsid w:val="005A19C0"/>
    <w:rsid w:val="005A2290"/>
    <w:rsid w:val="005A3631"/>
    <w:rsid w:val="005A3D02"/>
    <w:rsid w:val="005A4E2C"/>
    <w:rsid w:val="005A52EB"/>
    <w:rsid w:val="005A66CB"/>
    <w:rsid w:val="005B0472"/>
    <w:rsid w:val="005B0688"/>
    <w:rsid w:val="005C01C7"/>
    <w:rsid w:val="005C228F"/>
    <w:rsid w:val="005C272F"/>
    <w:rsid w:val="005C4030"/>
    <w:rsid w:val="005C5423"/>
    <w:rsid w:val="005C6542"/>
    <w:rsid w:val="005D01A8"/>
    <w:rsid w:val="005E1375"/>
    <w:rsid w:val="005E1794"/>
    <w:rsid w:val="005E7695"/>
    <w:rsid w:val="005F162C"/>
    <w:rsid w:val="005F430F"/>
    <w:rsid w:val="005F53E1"/>
    <w:rsid w:val="005F5A53"/>
    <w:rsid w:val="006150A8"/>
    <w:rsid w:val="00617E1C"/>
    <w:rsid w:val="006206AF"/>
    <w:rsid w:val="006225CA"/>
    <w:rsid w:val="0062522C"/>
    <w:rsid w:val="00626C58"/>
    <w:rsid w:val="00632445"/>
    <w:rsid w:val="00635EC3"/>
    <w:rsid w:val="00636860"/>
    <w:rsid w:val="0063744D"/>
    <w:rsid w:val="00637A61"/>
    <w:rsid w:val="0064008B"/>
    <w:rsid w:val="00641AC0"/>
    <w:rsid w:val="00643D2C"/>
    <w:rsid w:val="00644B5C"/>
    <w:rsid w:val="006454C2"/>
    <w:rsid w:val="00645FA6"/>
    <w:rsid w:val="00650A81"/>
    <w:rsid w:val="00655087"/>
    <w:rsid w:val="00656171"/>
    <w:rsid w:val="0066293D"/>
    <w:rsid w:val="006659C4"/>
    <w:rsid w:val="00666769"/>
    <w:rsid w:val="00670448"/>
    <w:rsid w:val="00671125"/>
    <w:rsid w:val="006714AC"/>
    <w:rsid w:val="00671E2B"/>
    <w:rsid w:val="00672F90"/>
    <w:rsid w:val="00673517"/>
    <w:rsid w:val="0067684B"/>
    <w:rsid w:val="00677BF6"/>
    <w:rsid w:val="00682BCD"/>
    <w:rsid w:val="00690AF2"/>
    <w:rsid w:val="00690B57"/>
    <w:rsid w:val="00692855"/>
    <w:rsid w:val="00693B40"/>
    <w:rsid w:val="006959AF"/>
    <w:rsid w:val="006A3DE8"/>
    <w:rsid w:val="006A5367"/>
    <w:rsid w:val="006A7614"/>
    <w:rsid w:val="006B0652"/>
    <w:rsid w:val="006B0FA0"/>
    <w:rsid w:val="006B2B5D"/>
    <w:rsid w:val="006B43E8"/>
    <w:rsid w:val="006C59AF"/>
    <w:rsid w:val="006C5B99"/>
    <w:rsid w:val="006C5F78"/>
    <w:rsid w:val="006C7B0A"/>
    <w:rsid w:val="006D29D8"/>
    <w:rsid w:val="006D413F"/>
    <w:rsid w:val="006D4322"/>
    <w:rsid w:val="006D44FA"/>
    <w:rsid w:val="006D4B04"/>
    <w:rsid w:val="006D67B8"/>
    <w:rsid w:val="006D6B4E"/>
    <w:rsid w:val="006D7D87"/>
    <w:rsid w:val="006E0333"/>
    <w:rsid w:val="006E1339"/>
    <w:rsid w:val="006E2AEF"/>
    <w:rsid w:val="006E3DE1"/>
    <w:rsid w:val="006E3F5D"/>
    <w:rsid w:val="006F02FE"/>
    <w:rsid w:val="006F053F"/>
    <w:rsid w:val="006F168E"/>
    <w:rsid w:val="006F460F"/>
    <w:rsid w:val="00702D34"/>
    <w:rsid w:val="007058BA"/>
    <w:rsid w:val="00707664"/>
    <w:rsid w:val="007117DF"/>
    <w:rsid w:val="00711CA6"/>
    <w:rsid w:val="0071244B"/>
    <w:rsid w:val="00712A21"/>
    <w:rsid w:val="00714D57"/>
    <w:rsid w:val="00717B10"/>
    <w:rsid w:val="00720A3E"/>
    <w:rsid w:val="00720F11"/>
    <w:rsid w:val="007214EF"/>
    <w:rsid w:val="00723188"/>
    <w:rsid w:val="00723C00"/>
    <w:rsid w:val="00723D16"/>
    <w:rsid w:val="007241C1"/>
    <w:rsid w:val="00726DD4"/>
    <w:rsid w:val="00730892"/>
    <w:rsid w:val="00732E7B"/>
    <w:rsid w:val="00737638"/>
    <w:rsid w:val="00742342"/>
    <w:rsid w:val="00742A03"/>
    <w:rsid w:val="00742C8C"/>
    <w:rsid w:val="00744CFB"/>
    <w:rsid w:val="0074653C"/>
    <w:rsid w:val="00747001"/>
    <w:rsid w:val="00747B99"/>
    <w:rsid w:val="00747FB5"/>
    <w:rsid w:val="00751EF8"/>
    <w:rsid w:val="007525FD"/>
    <w:rsid w:val="00754E03"/>
    <w:rsid w:val="00763A57"/>
    <w:rsid w:val="00765666"/>
    <w:rsid w:val="00766466"/>
    <w:rsid w:val="00773734"/>
    <w:rsid w:val="007761AF"/>
    <w:rsid w:val="0078127B"/>
    <w:rsid w:val="00781BB2"/>
    <w:rsid w:val="00784BA2"/>
    <w:rsid w:val="00785D97"/>
    <w:rsid w:val="007906CE"/>
    <w:rsid w:val="00790CD6"/>
    <w:rsid w:val="00793D85"/>
    <w:rsid w:val="007959C1"/>
    <w:rsid w:val="00796F78"/>
    <w:rsid w:val="007A1CAC"/>
    <w:rsid w:val="007A5733"/>
    <w:rsid w:val="007A5803"/>
    <w:rsid w:val="007A6817"/>
    <w:rsid w:val="007B1599"/>
    <w:rsid w:val="007B2015"/>
    <w:rsid w:val="007B2276"/>
    <w:rsid w:val="007B5799"/>
    <w:rsid w:val="007B5DBB"/>
    <w:rsid w:val="007B5F1A"/>
    <w:rsid w:val="007B6D9E"/>
    <w:rsid w:val="007B705F"/>
    <w:rsid w:val="007C0CD8"/>
    <w:rsid w:val="007C1E2F"/>
    <w:rsid w:val="007C21D9"/>
    <w:rsid w:val="007C2DC0"/>
    <w:rsid w:val="007C3668"/>
    <w:rsid w:val="007C4167"/>
    <w:rsid w:val="007C4C0A"/>
    <w:rsid w:val="007C5524"/>
    <w:rsid w:val="007C68A8"/>
    <w:rsid w:val="007C6A3F"/>
    <w:rsid w:val="007D3433"/>
    <w:rsid w:val="007D4181"/>
    <w:rsid w:val="007D4222"/>
    <w:rsid w:val="007D4918"/>
    <w:rsid w:val="007D4EE1"/>
    <w:rsid w:val="007D64C8"/>
    <w:rsid w:val="007E1553"/>
    <w:rsid w:val="007E1CE6"/>
    <w:rsid w:val="007E461C"/>
    <w:rsid w:val="007E4B90"/>
    <w:rsid w:val="007E6625"/>
    <w:rsid w:val="007F0DA1"/>
    <w:rsid w:val="007F1C0F"/>
    <w:rsid w:val="007F2742"/>
    <w:rsid w:val="007F3E0A"/>
    <w:rsid w:val="007F58E6"/>
    <w:rsid w:val="007F686C"/>
    <w:rsid w:val="007F6C82"/>
    <w:rsid w:val="007F76BA"/>
    <w:rsid w:val="007F7B27"/>
    <w:rsid w:val="0080000C"/>
    <w:rsid w:val="008010B7"/>
    <w:rsid w:val="00806376"/>
    <w:rsid w:val="00813568"/>
    <w:rsid w:val="00814784"/>
    <w:rsid w:val="00815ABB"/>
    <w:rsid w:val="008169DF"/>
    <w:rsid w:val="00816DF1"/>
    <w:rsid w:val="00816ED8"/>
    <w:rsid w:val="0082232B"/>
    <w:rsid w:val="00825A04"/>
    <w:rsid w:val="0083138F"/>
    <w:rsid w:val="00833128"/>
    <w:rsid w:val="00840E7C"/>
    <w:rsid w:val="008421A1"/>
    <w:rsid w:val="008432EE"/>
    <w:rsid w:val="00850CF2"/>
    <w:rsid w:val="00851DFB"/>
    <w:rsid w:val="0086207C"/>
    <w:rsid w:val="0086314C"/>
    <w:rsid w:val="0086519F"/>
    <w:rsid w:val="00865D38"/>
    <w:rsid w:val="00874265"/>
    <w:rsid w:val="008840EE"/>
    <w:rsid w:val="00884FC8"/>
    <w:rsid w:val="00886F93"/>
    <w:rsid w:val="00890D9F"/>
    <w:rsid w:val="00893B1D"/>
    <w:rsid w:val="00894485"/>
    <w:rsid w:val="00895A2A"/>
    <w:rsid w:val="008A24A1"/>
    <w:rsid w:val="008A3B53"/>
    <w:rsid w:val="008B032B"/>
    <w:rsid w:val="008B1F5A"/>
    <w:rsid w:val="008B43D6"/>
    <w:rsid w:val="008C0EA3"/>
    <w:rsid w:val="008C4666"/>
    <w:rsid w:val="008C5847"/>
    <w:rsid w:val="008C73E7"/>
    <w:rsid w:val="008D0DC0"/>
    <w:rsid w:val="008D0E3E"/>
    <w:rsid w:val="008D11A7"/>
    <w:rsid w:val="008D129A"/>
    <w:rsid w:val="008D5B53"/>
    <w:rsid w:val="008E12AE"/>
    <w:rsid w:val="008E27F1"/>
    <w:rsid w:val="008E602B"/>
    <w:rsid w:val="008F312B"/>
    <w:rsid w:val="008F33E4"/>
    <w:rsid w:val="008F5A8F"/>
    <w:rsid w:val="009009D0"/>
    <w:rsid w:val="00902B68"/>
    <w:rsid w:val="00903CAA"/>
    <w:rsid w:val="00905B9A"/>
    <w:rsid w:val="00912344"/>
    <w:rsid w:val="009156D2"/>
    <w:rsid w:val="0092134D"/>
    <w:rsid w:val="009231EE"/>
    <w:rsid w:val="00924D50"/>
    <w:rsid w:val="00925707"/>
    <w:rsid w:val="00930B62"/>
    <w:rsid w:val="00931BDB"/>
    <w:rsid w:val="00936037"/>
    <w:rsid w:val="009422F6"/>
    <w:rsid w:val="00944D67"/>
    <w:rsid w:val="00952303"/>
    <w:rsid w:val="009527CF"/>
    <w:rsid w:val="00952FE4"/>
    <w:rsid w:val="00955CD5"/>
    <w:rsid w:val="00956F27"/>
    <w:rsid w:val="0095754B"/>
    <w:rsid w:val="009603FE"/>
    <w:rsid w:val="009672E4"/>
    <w:rsid w:val="00971C87"/>
    <w:rsid w:val="00972701"/>
    <w:rsid w:val="00977EE7"/>
    <w:rsid w:val="00980DB0"/>
    <w:rsid w:val="00982CCF"/>
    <w:rsid w:val="00984B0B"/>
    <w:rsid w:val="00984FB8"/>
    <w:rsid w:val="00987148"/>
    <w:rsid w:val="00993134"/>
    <w:rsid w:val="00994EDD"/>
    <w:rsid w:val="00997375"/>
    <w:rsid w:val="00997A29"/>
    <w:rsid w:val="009A55B0"/>
    <w:rsid w:val="009B061F"/>
    <w:rsid w:val="009B0CDB"/>
    <w:rsid w:val="009B20BD"/>
    <w:rsid w:val="009B3736"/>
    <w:rsid w:val="009B39FB"/>
    <w:rsid w:val="009B61A1"/>
    <w:rsid w:val="009C0EAF"/>
    <w:rsid w:val="009C1F87"/>
    <w:rsid w:val="009C2BDB"/>
    <w:rsid w:val="009C4947"/>
    <w:rsid w:val="009C67C5"/>
    <w:rsid w:val="009D01FD"/>
    <w:rsid w:val="009D0E13"/>
    <w:rsid w:val="009D44A2"/>
    <w:rsid w:val="009D472D"/>
    <w:rsid w:val="009E08FB"/>
    <w:rsid w:val="009E1C0F"/>
    <w:rsid w:val="009E3C39"/>
    <w:rsid w:val="009E6146"/>
    <w:rsid w:val="009E7EE8"/>
    <w:rsid w:val="009F3745"/>
    <w:rsid w:val="00A01202"/>
    <w:rsid w:val="00A05188"/>
    <w:rsid w:val="00A05273"/>
    <w:rsid w:val="00A0718C"/>
    <w:rsid w:val="00A10ACD"/>
    <w:rsid w:val="00A129F1"/>
    <w:rsid w:val="00A13B9C"/>
    <w:rsid w:val="00A26CF0"/>
    <w:rsid w:val="00A274D2"/>
    <w:rsid w:val="00A3193B"/>
    <w:rsid w:val="00A31BC3"/>
    <w:rsid w:val="00A3304F"/>
    <w:rsid w:val="00A356E7"/>
    <w:rsid w:val="00A36752"/>
    <w:rsid w:val="00A37976"/>
    <w:rsid w:val="00A42745"/>
    <w:rsid w:val="00A43B1C"/>
    <w:rsid w:val="00A467CE"/>
    <w:rsid w:val="00A47569"/>
    <w:rsid w:val="00A5366E"/>
    <w:rsid w:val="00A55276"/>
    <w:rsid w:val="00A553D5"/>
    <w:rsid w:val="00A56BB5"/>
    <w:rsid w:val="00A56C6B"/>
    <w:rsid w:val="00A57F56"/>
    <w:rsid w:val="00A60FFF"/>
    <w:rsid w:val="00A610EF"/>
    <w:rsid w:val="00A61A2C"/>
    <w:rsid w:val="00A62305"/>
    <w:rsid w:val="00A6306A"/>
    <w:rsid w:val="00A63890"/>
    <w:rsid w:val="00A678FC"/>
    <w:rsid w:val="00A71B7A"/>
    <w:rsid w:val="00A7238D"/>
    <w:rsid w:val="00A72CF0"/>
    <w:rsid w:val="00A73026"/>
    <w:rsid w:val="00A73912"/>
    <w:rsid w:val="00A80A4F"/>
    <w:rsid w:val="00A83B25"/>
    <w:rsid w:val="00A91891"/>
    <w:rsid w:val="00A9613A"/>
    <w:rsid w:val="00A973B2"/>
    <w:rsid w:val="00AA3D03"/>
    <w:rsid w:val="00AA771A"/>
    <w:rsid w:val="00AB0F92"/>
    <w:rsid w:val="00AB567E"/>
    <w:rsid w:val="00AB7914"/>
    <w:rsid w:val="00AC08A8"/>
    <w:rsid w:val="00AC3943"/>
    <w:rsid w:val="00AC4317"/>
    <w:rsid w:val="00AC433F"/>
    <w:rsid w:val="00AC5873"/>
    <w:rsid w:val="00AC5EBF"/>
    <w:rsid w:val="00AC6365"/>
    <w:rsid w:val="00AC6981"/>
    <w:rsid w:val="00AD119C"/>
    <w:rsid w:val="00AD4163"/>
    <w:rsid w:val="00AD734B"/>
    <w:rsid w:val="00AE06F7"/>
    <w:rsid w:val="00AE0ED4"/>
    <w:rsid w:val="00AE309B"/>
    <w:rsid w:val="00AE3A26"/>
    <w:rsid w:val="00AF0F2F"/>
    <w:rsid w:val="00AF1B2F"/>
    <w:rsid w:val="00B12125"/>
    <w:rsid w:val="00B13000"/>
    <w:rsid w:val="00B172BF"/>
    <w:rsid w:val="00B21550"/>
    <w:rsid w:val="00B24137"/>
    <w:rsid w:val="00B24C06"/>
    <w:rsid w:val="00B273DF"/>
    <w:rsid w:val="00B3112E"/>
    <w:rsid w:val="00B31FEF"/>
    <w:rsid w:val="00B325E1"/>
    <w:rsid w:val="00B3588C"/>
    <w:rsid w:val="00B35D36"/>
    <w:rsid w:val="00B43736"/>
    <w:rsid w:val="00B43B36"/>
    <w:rsid w:val="00B528FB"/>
    <w:rsid w:val="00B52EC1"/>
    <w:rsid w:val="00B559AA"/>
    <w:rsid w:val="00B564BC"/>
    <w:rsid w:val="00B63270"/>
    <w:rsid w:val="00B64400"/>
    <w:rsid w:val="00B65228"/>
    <w:rsid w:val="00B65801"/>
    <w:rsid w:val="00B6729C"/>
    <w:rsid w:val="00B70CD9"/>
    <w:rsid w:val="00B71319"/>
    <w:rsid w:val="00B714B7"/>
    <w:rsid w:val="00B71820"/>
    <w:rsid w:val="00B7599C"/>
    <w:rsid w:val="00B82E71"/>
    <w:rsid w:val="00B83493"/>
    <w:rsid w:val="00B84901"/>
    <w:rsid w:val="00B85ACB"/>
    <w:rsid w:val="00B940DD"/>
    <w:rsid w:val="00B95847"/>
    <w:rsid w:val="00B966ED"/>
    <w:rsid w:val="00BA0B00"/>
    <w:rsid w:val="00BA268A"/>
    <w:rsid w:val="00BA3D8F"/>
    <w:rsid w:val="00BA65A5"/>
    <w:rsid w:val="00BB6461"/>
    <w:rsid w:val="00BB6A0B"/>
    <w:rsid w:val="00BB756B"/>
    <w:rsid w:val="00BC08A1"/>
    <w:rsid w:val="00BC15E4"/>
    <w:rsid w:val="00BC2347"/>
    <w:rsid w:val="00BC2F43"/>
    <w:rsid w:val="00BC4502"/>
    <w:rsid w:val="00BC520B"/>
    <w:rsid w:val="00BD1617"/>
    <w:rsid w:val="00BD1A05"/>
    <w:rsid w:val="00BD1B80"/>
    <w:rsid w:val="00BD6595"/>
    <w:rsid w:val="00BE181F"/>
    <w:rsid w:val="00BE1C71"/>
    <w:rsid w:val="00BE335A"/>
    <w:rsid w:val="00BE4ACD"/>
    <w:rsid w:val="00BE4F69"/>
    <w:rsid w:val="00BE5AB2"/>
    <w:rsid w:val="00BE77B9"/>
    <w:rsid w:val="00BF187B"/>
    <w:rsid w:val="00BF1A70"/>
    <w:rsid w:val="00BF4A07"/>
    <w:rsid w:val="00BF63BA"/>
    <w:rsid w:val="00C01FF4"/>
    <w:rsid w:val="00C02961"/>
    <w:rsid w:val="00C02B5E"/>
    <w:rsid w:val="00C057EF"/>
    <w:rsid w:val="00C07274"/>
    <w:rsid w:val="00C13BD4"/>
    <w:rsid w:val="00C14296"/>
    <w:rsid w:val="00C14796"/>
    <w:rsid w:val="00C15276"/>
    <w:rsid w:val="00C16B6E"/>
    <w:rsid w:val="00C2333D"/>
    <w:rsid w:val="00C2452C"/>
    <w:rsid w:val="00C251C0"/>
    <w:rsid w:val="00C2591B"/>
    <w:rsid w:val="00C2695D"/>
    <w:rsid w:val="00C27A15"/>
    <w:rsid w:val="00C32246"/>
    <w:rsid w:val="00C3439E"/>
    <w:rsid w:val="00C41693"/>
    <w:rsid w:val="00C41F57"/>
    <w:rsid w:val="00C4260B"/>
    <w:rsid w:val="00C43792"/>
    <w:rsid w:val="00C4392D"/>
    <w:rsid w:val="00C450AE"/>
    <w:rsid w:val="00C51E09"/>
    <w:rsid w:val="00C53387"/>
    <w:rsid w:val="00C546B7"/>
    <w:rsid w:val="00C54E65"/>
    <w:rsid w:val="00C56E15"/>
    <w:rsid w:val="00C56ED2"/>
    <w:rsid w:val="00C62E50"/>
    <w:rsid w:val="00C6623A"/>
    <w:rsid w:val="00C673E2"/>
    <w:rsid w:val="00C70B6C"/>
    <w:rsid w:val="00C70CD3"/>
    <w:rsid w:val="00C7231D"/>
    <w:rsid w:val="00C74089"/>
    <w:rsid w:val="00C758F5"/>
    <w:rsid w:val="00C90E85"/>
    <w:rsid w:val="00C919D6"/>
    <w:rsid w:val="00C92E5D"/>
    <w:rsid w:val="00C93509"/>
    <w:rsid w:val="00C93B7A"/>
    <w:rsid w:val="00C97024"/>
    <w:rsid w:val="00C9777C"/>
    <w:rsid w:val="00CA0455"/>
    <w:rsid w:val="00CA10AB"/>
    <w:rsid w:val="00CA300C"/>
    <w:rsid w:val="00CA4A39"/>
    <w:rsid w:val="00CA4C69"/>
    <w:rsid w:val="00CA58CB"/>
    <w:rsid w:val="00CA5D77"/>
    <w:rsid w:val="00CB137C"/>
    <w:rsid w:val="00CB4E54"/>
    <w:rsid w:val="00CB66CC"/>
    <w:rsid w:val="00CB6AA7"/>
    <w:rsid w:val="00CC215D"/>
    <w:rsid w:val="00CC3F2F"/>
    <w:rsid w:val="00CC4A6A"/>
    <w:rsid w:val="00CC602E"/>
    <w:rsid w:val="00CC62E0"/>
    <w:rsid w:val="00CD0EB5"/>
    <w:rsid w:val="00CD19F7"/>
    <w:rsid w:val="00CD5264"/>
    <w:rsid w:val="00CD53E9"/>
    <w:rsid w:val="00CD55D6"/>
    <w:rsid w:val="00CD5CE6"/>
    <w:rsid w:val="00CD6D27"/>
    <w:rsid w:val="00CD6F65"/>
    <w:rsid w:val="00CE16E0"/>
    <w:rsid w:val="00CF5581"/>
    <w:rsid w:val="00CF65D3"/>
    <w:rsid w:val="00D038C5"/>
    <w:rsid w:val="00D04749"/>
    <w:rsid w:val="00D11C16"/>
    <w:rsid w:val="00D1214E"/>
    <w:rsid w:val="00D14FDB"/>
    <w:rsid w:val="00D150CA"/>
    <w:rsid w:val="00D15D3F"/>
    <w:rsid w:val="00D20BD0"/>
    <w:rsid w:val="00D2311D"/>
    <w:rsid w:val="00D27605"/>
    <w:rsid w:val="00D27D6D"/>
    <w:rsid w:val="00D325D6"/>
    <w:rsid w:val="00D3638A"/>
    <w:rsid w:val="00D36521"/>
    <w:rsid w:val="00D42C39"/>
    <w:rsid w:val="00D451FE"/>
    <w:rsid w:val="00D53781"/>
    <w:rsid w:val="00D57591"/>
    <w:rsid w:val="00D62525"/>
    <w:rsid w:val="00D62AA3"/>
    <w:rsid w:val="00D62DF9"/>
    <w:rsid w:val="00D64D9C"/>
    <w:rsid w:val="00D67274"/>
    <w:rsid w:val="00D72E9F"/>
    <w:rsid w:val="00D76451"/>
    <w:rsid w:val="00D77566"/>
    <w:rsid w:val="00D82AE4"/>
    <w:rsid w:val="00D90DB4"/>
    <w:rsid w:val="00D90FFE"/>
    <w:rsid w:val="00D919B3"/>
    <w:rsid w:val="00D94283"/>
    <w:rsid w:val="00DA2812"/>
    <w:rsid w:val="00DA371A"/>
    <w:rsid w:val="00DA39C5"/>
    <w:rsid w:val="00DA621C"/>
    <w:rsid w:val="00DB1C97"/>
    <w:rsid w:val="00DB3842"/>
    <w:rsid w:val="00DB4896"/>
    <w:rsid w:val="00DB5A55"/>
    <w:rsid w:val="00DB6227"/>
    <w:rsid w:val="00DB625D"/>
    <w:rsid w:val="00DB6E90"/>
    <w:rsid w:val="00DB783D"/>
    <w:rsid w:val="00DC05C1"/>
    <w:rsid w:val="00DC374D"/>
    <w:rsid w:val="00DC6AAA"/>
    <w:rsid w:val="00DD0CAF"/>
    <w:rsid w:val="00DD24B6"/>
    <w:rsid w:val="00DD7626"/>
    <w:rsid w:val="00DE0112"/>
    <w:rsid w:val="00DE1DED"/>
    <w:rsid w:val="00DE264C"/>
    <w:rsid w:val="00DE5628"/>
    <w:rsid w:val="00DE6AD2"/>
    <w:rsid w:val="00DE6E1C"/>
    <w:rsid w:val="00DF1FC3"/>
    <w:rsid w:val="00DF5E1A"/>
    <w:rsid w:val="00E008D5"/>
    <w:rsid w:val="00E03491"/>
    <w:rsid w:val="00E04753"/>
    <w:rsid w:val="00E0544B"/>
    <w:rsid w:val="00E05A64"/>
    <w:rsid w:val="00E12C39"/>
    <w:rsid w:val="00E12DEF"/>
    <w:rsid w:val="00E13871"/>
    <w:rsid w:val="00E13DA3"/>
    <w:rsid w:val="00E154AB"/>
    <w:rsid w:val="00E16A37"/>
    <w:rsid w:val="00E247BB"/>
    <w:rsid w:val="00E27E46"/>
    <w:rsid w:val="00E33FB4"/>
    <w:rsid w:val="00E35802"/>
    <w:rsid w:val="00E36FE2"/>
    <w:rsid w:val="00E4135E"/>
    <w:rsid w:val="00E50DFD"/>
    <w:rsid w:val="00E51F41"/>
    <w:rsid w:val="00E53EAE"/>
    <w:rsid w:val="00E55107"/>
    <w:rsid w:val="00E6158B"/>
    <w:rsid w:val="00E63ACD"/>
    <w:rsid w:val="00E64BCB"/>
    <w:rsid w:val="00E64DD2"/>
    <w:rsid w:val="00E66375"/>
    <w:rsid w:val="00E673D2"/>
    <w:rsid w:val="00E701E0"/>
    <w:rsid w:val="00E72220"/>
    <w:rsid w:val="00E74213"/>
    <w:rsid w:val="00E76CD9"/>
    <w:rsid w:val="00E80549"/>
    <w:rsid w:val="00E85272"/>
    <w:rsid w:val="00E91E19"/>
    <w:rsid w:val="00E9267D"/>
    <w:rsid w:val="00E95106"/>
    <w:rsid w:val="00E95612"/>
    <w:rsid w:val="00E97E08"/>
    <w:rsid w:val="00EA0211"/>
    <w:rsid w:val="00EA023E"/>
    <w:rsid w:val="00EA0EBF"/>
    <w:rsid w:val="00EA4BA6"/>
    <w:rsid w:val="00EC0B2E"/>
    <w:rsid w:val="00EC438C"/>
    <w:rsid w:val="00EC5800"/>
    <w:rsid w:val="00ED1CC5"/>
    <w:rsid w:val="00ED47C6"/>
    <w:rsid w:val="00ED732E"/>
    <w:rsid w:val="00ED74EC"/>
    <w:rsid w:val="00ED79BB"/>
    <w:rsid w:val="00EE0957"/>
    <w:rsid w:val="00EE0E4E"/>
    <w:rsid w:val="00EE1C06"/>
    <w:rsid w:val="00EE4D69"/>
    <w:rsid w:val="00EE6CC9"/>
    <w:rsid w:val="00EE6E3C"/>
    <w:rsid w:val="00EF0715"/>
    <w:rsid w:val="00EF0B95"/>
    <w:rsid w:val="00EF1732"/>
    <w:rsid w:val="00EF3ABF"/>
    <w:rsid w:val="00EF5DAD"/>
    <w:rsid w:val="00EF636A"/>
    <w:rsid w:val="00EF6795"/>
    <w:rsid w:val="00EF6ADF"/>
    <w:rsid w:val="00EF776D"/>
    <w:rsid w:val="00F016DA"/>
    <w:rsid w:val="00F03412"/>
    <w:rsid w:val="00F11FE7"/>
    <w:rsid w:val="00F142BF"/>
    <w:rsid w:val="00F14A77"/>
    <w:rsid w:val="00F14F8F"/>
    <w:rsid w:val="00F1508D"/>
    <w:rsid w:val="00F218F3"/>
    <w:rsid w:val="00F2775E"/>
    <w:rsid w:val="00F30F6D"/>
    <w:rsid w:val="00F31B00"/>
    <w:rsid w:val="00F336F6"/>
    <w:rsid w:val="00F35860"/>
    <w:rsid w:val="00F35ACC"/>
    <w:rsid w:val="00F36C1D"/>
    <w:rsid w:val="00F40E54"/>
    <w:rsid w:val="00F42C01"/>
    <w:rsid w:val="00F45261"/>
    <w:rsid w:val="00F5243D"/>
    <w:rsid w:val="00F56DD5"/>
    <w:rsid w:val="00F570F0"/>
    <w:rsid w:val="00F5739C"/>
    <w:rsid w:val="00F5755F"/>
    <w:rsid w:val="00F60DD9"/>
    <w:rsid w:val="00F623D8"/>
    <w:rsid w:val="00F62807"/>
    <w:rsid w:val="00F62F86"/>
    <w:rsid w:val="00F63BF7"/>
    <w:rsid w:val="00F647CA"/>
    <w:rsid w:val="00F65996"/>
    <w:rsid w:val="00F674E6"/>
    <w:rsid w:val="00F7260B"/>
    <w:rsid w:val="00F731D3"/>
    <w:rsid w:val="00F82CE1"/>
    <w:rsid w:val="00F84F66"/>
    <w:rsid w:val="00F90B78"/>
    <w:rsid w:val="00F96808"/>
    <w:rsid w:val="00F968DD"/>
    <w:rsid w:val="00F97E5E"/>
    <w:rsid w:val="00FA2139"/>
    <w:rsid w:val="00FA63D5"/>
    <w:rsid w:val="00FA7F74"/>
    <w:rsid w:val="00FB0335"/>
    <w:rsid w:val="00FB3929"/>
    <w:rsid w:val="00FB6B35"/>
    <w:rsid w:val="00FB6B9E"/>
    <w:rsid w:val="00FC0114"/>
    <w:rsid w:val="00FC0EF5"/>
    <w:rsid w:val="00FC0FC9"/>
    <w:rsid w:val="00FC4D7A"/>
    <w:rsid w:val="00FC5611"/>
    <w:rsid w:val="00FC5F8C"/>
    <w:rsid w:val="00FC79B6"/>
    <w:rsid w:val="00FD0F36"/>
    <w:rsid w:val="00FD1CCB"/>
    <w:rsid w:val="00FD5BC7"/>
    <w:rsid w:val="00FD62CE"/>
    <w:rsid w:val="00FD6B13"/>
    <w:rsid w:val="00FE130F"/>
    <w:rsid w:val="00FE2767"/>
    <w:rsid w:val="00FE56EF"/>
    <w:rsid w:val="00FE64C0"/>
    <w:rsid w:val="00FF07AE"/>
    <w:rsid w:val="00FF0DCF"/>
    <w:rsid w:val="00FF13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aramond" w:eastAsia="Times New Roman" w:hAnsi="Garamond"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uiPriority="39"/>
    <w:lsdException w:name="toc 9" w:uiPriority="39"/>
    <w:lsdException w:name="footnote text" w:uiPriority="0"/>
    <w:lsdException w:name="header" w:qFormat="1"/>
    <w:lsdException w:name="footer" w:qFormat="1"/>
    <w:lsdException w:name="caption" w:uiPriority="35" w:qFormat="1"/>
    <w:lsdException w:name="footnote reference" w:uiPriority="0"/>
    <w:lsdException w:name="page number" w:qFormat="1"/>
    <w:lsdException w:name="Title" w:uiPriority="10" w:unhideWhenUsed="0" w:qFormat="1"/>
    <w:lsdException w:name="Default Paragraph Font" w:uiPriority="1"/>
    <w:lsdException w:name="Subtitle" w:uiPriority="11" w:unhideWhenUsed="0" w:qFormat="1"/>
    <w:lsdException w:name="Strong" w:uiPriority="22" w:unhideWhenUsed="0" w:qFormat="1"/>
    <w:lsdException w:name="Emphasis"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6F168E"/>
    <w:pPr>
      <w:tabs>
        <w:tab w:val="left" w:pos="432"/>
      </w:tabs>
      <w:spacing w:line="480" w:lineRule="auto"/>
      <w:ind w:firstLine="432"/>
      <w:jc w:val="both"/>
    </w:pPr>
  </w:style>
  <w:style w:type="paragraph" w:styleId="Heading1">
    <w:name w:val="heading 1"/>
    <w:basedOn w:val="Normal"/>
    <w:next w:val="Normal"/>
    <w:semiHidden/>
    <w:qFormat/>
    <w:rsid w:val="003A1506"/>
    <w:pPr>
      <w:spacing w:after="840" w:line="240" w:lineRule="auto"/>
      <w:ind w:firstLine="0"/>
      <w:jc w:val="center"/>
      <w:outlineLvl w:val="0"/>
    </w:pPr>
    <w:rPr>
      <w:b/>
      <w:caps/>
    </w:rPr>
  </w:style>
  <w:style w:type="paragraph" w:styleId="Heading2">
    <w:name w:val="heading 2"/>
    <w:basedOn w:val="Normal"/>
    <w:next w:val="Normal"/>
    <w:semiHidden/>
    <w:qFormat/>
    <w:rsid w:val="003A1506"/>
    <w:pPr>
      <w:keepNext/>
      <w:spacing w:after="240" w:line="240" w:lineRule="auto"/>
      <w:ind w:left="432" w:hanging="432"/>
      <w:outlineLvl w:val="1"/>
    </w:pPr>
    <w:rPr>
      <w:b/>
      <w:caps/>
    </w:rPr>
  </w:style>
  <w:style w:type="paragraph" w:styleId="Heading3">
    <w:name w:val="heading 3"/>
    <w:basedOn w:val="Normal"/>
    <w:next w:val="Normal"/>
    <w:qFormat/>
    <w:rsid w:val="006F168E"/>
    <w:pPr>
      <w:keepNext/>
      <w:spacing w:after="240" w:line="240" w:lineRule="auto"/>
      <w:ind w:left="432" w:hanging="432"/>
      <w:outlineLvl w:val="2"/>
    </w:pPr>
    <w:rPr>
      <w:b/>
    </w:rPr>
  </w:style>
  <w:style w:type="paragraph" w:styleId="Heading4">
    <w:name w:val="heading 4"/>
    <w:basedOn w:val="Normal"/>
    <w:next w:val="Normal"/>
    <w:qFormat/>
    <w:rsid w:val="006F168E"/>
    <w:pPr>
      <w:spacing w:after="240" w:line="240" w:lineRule="auto"/>
      <w:ind w:left="432" w:hanging="432"/>
      <w:outlineLvl w:val="3"/>
    </w:pPr>
    <w:rPr>
      <w:b/>
    </w:rPr>
  </w:style>
  <w:style w:type="paragraph" w:styleId="Heading5">
    <w:name w:val="heading 5"/>
    <w:aliases w:val="Heading 5 (business proposal only)"/>
    <w:basedOn w:val="Normal"/>
    <w:next w:val="Normal"/>
    <w:semiHidden/>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semiHidden/>
    <w:qFormat/>
    <w:rsid w:val="003A1506"/>
    <w:pPr>
      <w:outlineLvl w:val="5"/>
    </w:pPr>
  </w:style>
  <w:style w:type="paragraph" w:styleId="Heading7">
    <w:name w:val="heading 7"/>
    <w:aliases w:val="Heading 7 (business proposal only)"/>
    <w:basedOn w:val="Normal"/>
    <w:next w:val="Normal"/>
    <w:semiHidden/>
    <w:qFormat/>
    <w:rsid w:val="003A1506"/>
    <w:pPr>
      <w:outlineLvl w:val="6"/>
    </w:pPr>
  </w:style>
  <w:style w:type="paragraph" w:styleId="Heading8">
    <w:name w:val="heading 8"/>
    <w:aliases w:val="Heading 8 (business proposal only)"/>
    <w:basedOn w:val="Normal"/>
    <w:next w:val="Normal"/>
    <w:semiHidden/>
    <w:qFormat/>
    <w:rsid w:val="003A1506"/>
    <w:pPr>
      <w:outlineLvl w:val="7"/>
    </w:pPr>
  </w:style>
  <w:style w:type="paragraph" w:styleId="Heading9">
    <w:name w:val="heading 9"/>
    <w:aliases w:val="Heading 9 (business proposal only)"/>
    <w:basedOn w:val="Normal"/>
    <w:next w:val="Normal"/>
    <w:semiHidden/>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uiPriority w:val="39"/>
    <w:qFormat/>
    <w:rsid w:val="00FF136B"/>
    <w:pPr>
      <w:tabs>
        <w:tab w:val="center" w:pos="432"/>
        <w:tab w:val="left" w:pos="1008"/>
        <w:tab w:val="right" w:leader="dot" w:pos="9360"/>
      </w:tabs>
      <w:spacing w:after="240"/>
      <w:ind w:left="1008" w:hanging="1008"/>
    </w:pPr>
    <w:rPr>
      <w:rFonts w:ascii="Lucida Sans" w:hAnsi="Lucida Sans"/>
      <w:b/>
      <w:caps/>
      <w:sz w:val="22"/>
    </w:rPr>
  </w:style>
  <w:style w:type="paragraph" w:customStyle="1" w:styleId="NormalSS">
    <w:name w:val="NormalSS"/>
    <w:basedOn w:val="Normal"/>
    <w:qFormat/>
    <w:rsid w:val="0058753C"/>
    <w:pPr>
      <w:spacing w:after="240" w:line="240" w:lineRule="auto"/>
    </w:pPr>
  </w:style>
  <w:style w:type="paragraph" w:styleId="Footer">
    <w:name w:val="footer"/>
    <w:basedOn w:val="Normal"/>
    <w:qFormat/>
    <w:rsid w:val="003B1FFC"/>
    <w:pPr>
      <w:tabs>
        <w:tab w:val="center" w:pos="4320"/>
        <w:tab w:val="right" w:pos="8640"/>
      </w:tabs>
      <w:spacing w:before="360" w:line="240" w:lineRule="auto"/>
    </w:pPr>
  </w:style>
  <w:style w:type="character" w:styleId="PageNumber">
    <w:name w:val="page number"/>
    <w:basedOn w:val="DefaultParagraphFont"/>
    <w:semiHidden/>
    <w:qFormat/>
    <w:rsid w:val="003B1FFC"/>
    <w:rPr>
      <w:rFonts w:ascii="Garamond" w:hAnsi="Garamond"/>
      <w:sz w:val="24"/>
    </w:rPr>
  </w:style>
  <w:style w:type="paragraph" w:customStyle="1" w:styleId="Heading1Black">
    <w:name w:val="Heading 1_Black"/>
    <w:basedOn w:val="Normal"/>
    <w:next w:val="Normal"/>
    <w:qFormat/>
    <w:rsid w:val="006F168E"/>
    <w:pPr>
      <w:spacing w:before="240" w:after="240" w:line="240" w:lineRule="auto"/>
      <w:ind w:firstLine="0"/>
      <w:jc w:val="center"/>
      <w:outlineLvl w:val="0"/>
    </w:pPr>
    <w:rPr>
      <w:rFonts w:ascii="Lucida Sans" w:hAnsi="Lucida Sans"/>
      <w:b/>
      <w:caps/>
    </w:rPr>
  </w:style>
  <w:style w:type="paragraph" w:customStyle="1" w:styleId="ParagraphLAST">
    <w:name w:val="Paragraph (LAST)"/>
    <w:basedOn w:val="Normal"/>
    <w:next w:val="Normal"/>
    <w:qFormat/>
    <w:rsid w:val="00DB6227"/>
    <w:pPr>
      <w:spacing w:after="240"/>
    </w:pPr>
  </w:style>
  <w:style w:type="paragraph" w:styleId="TOC2">
    <w:name w:val="toc 2"/>
    <w:next w:val="Normal"/>
    <w:autoRedefine/>
    <w:uiPriority w:val="39"/>
    <w:qFormat/>
    <w:rsid w:val="007959C1"/>
    <w:pPr>
      <w:tabs>
        <w:tab w:val="left" w:pos="1008"/>
        <w:tab w:val="left" w:pos="1440"/>
        <w:tab w:val="right" w:leader="dot" w:pos="9360"/>
      </w:tabs>
      <w:spacing w:after="240"/>
      <w:ind w:left="1440" w:right="475" w:hanging="432"/>
    </w:pPr>
    <w:rPr>
      <w:rFonts w:ascii="Lucida Sans" w:hAnsi="Lucida Sans"/>
      <w:sz w:val="22"/>
    </w:rPr>
  </w:style>
  <w:style w:type="paragraph" w:styleId="TOC3">
    <w:name w:val="toc 3"/>
    <w:next w:val="Normal"/>
    <w:autoRedefine/>
    <w:uiPriority w:val="39"/>
    <w:qFormat/>
    <w:rsid w:val="00282FD0"/>
    <w:pPr>
      <w:tabs>
        <w:tab w:val="left" w:pos="1915"/>
        <w:tab w:val="right" w:leader="dot" w:pos="9360"/>
      </w:tabs>
      <w:ind w:left="1915" w:right="475" w:hanging="475"/>
    </w:pPr>
    <w:rPr>
      <w:rFonts w:ascii="Lucida Sans" w:hAnsi="Lucida Sans"/>
      <w:sz w:val="22"/>
    </w:rPr>
  </w:style>
  <w:style w:type="paragraph" w:styleId="TOC4">
    <w:name w:val="toc 4"/>
    <w:next w:val="Normal"/>
    <w:autoRedefine/>
    <w:qFormat/>
    <w:rsid w:val="00EE0957"/>
    <w:pPr>
      <w:tabs>
        <w:tab w:val="left" w:pos="1440"/>
        <w:tab w:val="right" w:leader="dot" w:pos="9360"/>
      </w:tabs>
      <w:ind w:left="2390" w:hanging="475"/>
    </w:pPr>
    <w:rPr>
      <w:rFonts w:ascii="Lucida Sans" w:hAnsi="Lucida Sans"/>
      <w:noProof/>
      <w:sz w:val="22"/>
    </w:rPr>
  </w:style>
  <w:style w:type="paragraph" w:styleId="FootnoteText">
    <w:name w:val="footnote text"/>
    <w:basedOn w:val="Normal"/>
    <w:link w:val="FootnoteTextChar"/>
    <w:rsid w:val="00850CF2"/>
    <w:pPr>
      <w:spacing w:after="120" w:line="240" w:lineRule="auto"/>
    </w:pPr>
    <w:rPr>
      <w:sz w:val="20"/>
    </w:rPr>
  </w:style>
  <w:style w:type="paragraph" w:customStyle="1" w:styleId="Dash">
    <w:name w:val="Dash"/>
    <w:qFormat/>
    <w:rsid w:val="00850CF2"/>
    <w:pPr>
      <w:numPr>
        <w:numId w:val="8"/>
      </w:numPr>
      <w:tabs>
        <w:tab w:val="left" w:pos="1080"/>
      </w:tabs>
      <w:spacing w:after="120"/>
      <w:ind w:left="1080" w:right="720"/>
      <w:jc w:val="both"/>
    </w:p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qFormat/>
    <w:rsid w:val="00DB6227"/>
    <w:pPr>
      <w:numPr>
        <w:numId w:val="1"/>
      </w:numPr>
      <w:tabs>
        <w:tab w:val="clear" w:pos="432"/>
        <w:tab w:val="clear" w:pos="792"/>
        <w:tab w:val="left" w:pos="360"/>
      </w:tabs>
      <w:spacing w:after="120" w:line="240" w:lineRule="auto"/>
      <w:ind w:left="720" w:right="360" w:hanging="288"/>
    </w:pPr>
  </w:style>
  <w:style w:type="paragraph" w:customStyle="1" w:styleId="Outline">
    <w:name w:val="Outline"/>
    <w:basedOn w:val="Normal"/>
    <w:semiHidden/>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semiHidden/>
    <w:rsid w:val="00850CF2"/>
    <w:pPr>
      <w:spacing w:after="240" w:line="240" w:lineRule="auto"/>
    </w:pPr>
  </w:style>
  <w:style w:type="character" w:styleId="EndnoteReference">
    <w:name w:val="endnote reference"/>
    <w:basedOn w:val="DefaultParagraphFont"/>
    <w:semiHidden/>
    <w:rsid w:val="003A1506"/>
    <w:rPr>
      <w:vertAlign w:val="superscript"/>
    </w:rPr>
  </w:style>
  <w:style w:type="paragraph" w:customStyle="1" w:styleId="MarkforTableHeading">
    <w:name w:val="Mark for Table Heading"/>
    <w:basedOn w:val="Normal"/>
    <w:next w:val="Normal"/>
    <w:qFormat/>
    <w:rsid w:val="00542523"/>
    <w:pPr>
      <w:keepNext/>
      <w:spacing w:after="60" w:line="240" w:lineRule="auto"/>
      <w:ind w:firstLine="0"/>
    </w:pPr>
    <w:rPr>
      <w:rFonts w:ascii="Lucida Sans" w:hAnsi="Lucida Sans"/>
      <w:b/>
      <w:sz w:val="18"/>
    </w:rPr>
  </w:style>
  <w:style w:type="paragraph" w:customStyle="1" w:styleId="References">
    <w:name w:val="References"/>
    <w:basedOn w:val="Normal"/>
    <w:qFormat/>
    <w:rsid w:val="005A19C0"/>
    <w:pPr>
      <w:spacing w:after="240" w:line="240" w:lineRule="auto"/>
      <w:ind w:left="432" w:hanging="432"/>
    </w:pPr>
  </w:style>
  <w:style w:type="paragraph" w:customStyle="1" w:styleId="MarkforFigureHeading">
    <w:name w:val="Mark for Figure Heading"/>
    <w:basedOn w:val="MarkforTableHeading"/>
    <w:next w:val="Normal"/>
    <w:qFormat/>
    <w:rsid w:val="004118E0"/>
  </w:style>
  <w:style w:type="paragraph" w:customStyle="1" w:styleId="MarkforExhibitHeading">
    <w:name w:val="Mark for Exhibit Heading"/>
    <w:basedOn w:val="Normal"/>
    <w:next w:val="Normal"/>
    <w:qFormat/>
    <w:rsid w:val="00046E51"/>
    <w:pPr>
      <w:keepNext/>
      <w:spacing w:after="60" w:line="240" w:lineRule="auto"/>
      <w:ind w:firstLine="0"/>
    </w:pPr>
    <w:rPr>
      <w:rFonts w:ascii="Lucida Sans" w:hAnsi="Lucida Sans"/>
      <w:b/>
      <w:sz w:val="18"/>
    </w:rPr>
  </w:style>
  <w:style w:type="paragraph" w:styleId="TableofFigures">
    <w:name w:val="table of figures"/>
    <w:basedOn w:val="Normal"/>
    <w:next w:val="Normal"/>
    <w:semiHidden/>
    <w:rsid w:val="00A61A2C"/>
    <w:pPr>
      <w:tabs>
        <w:tab w:val="clear" w:pos="432"/>
        <w:tab w:val="left" w:pos="1440"/>
        <w:tab w:val="right" w:leader="dot" w:pos="9346"/>
      </w:tabs>
      <w:spacing w:after="240" w:line="240" w:lineRule="auto"/>
      <w:ind w:left="1440" w:hanging="1440"/>
      <w:jc w:val="left"/>
    </w:pPr>
    <w:rPr>
      <w:rFonts w:ascii="Lucida Sans" w:hAnsi="Lucida Sans"/>
      <w:sz w:val="22"/>
    </w:rPr>
  </w:style>
  <w:style w:type="character" w:customStyle="1" w:styleId="MTEquationSection">
    <w:name w:val="MTEquationSection"/>
    <w:basedOn w:val="DefaultParagraphFont"/>
    <w:semiHidden/>
    <w:rsid w:val="003A1506"/>
    <w:rPr>
      <w:vanish/>
      <w:color w:val="FF0000"/>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semiHidden/>
    <w:rsid w:val="002A28C9"/>
    <w:pPr>
      <w:numPr>
        <w:numId w:val="6"/>
      </w:numPr>
      <w:ind w:left="720" w:hanging="288"/>
      <w:contextualSpacing/>
    </w:pPr>
  </w:style>
  <w:style w:type="paragraph" w:styleId="Header">
    <w:name w:val="header"/>
    <w:basedOn w:val="Normal"/>
    <w:link w:val="HeaderChar"/>
    <w:qFormat/>
    <w:rsid w:val="006C5B9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rsid w:val="006C5B99"/>
    <w:rPr>
      <w:i/>
      <w:sz w:val="22"/>
    </w:rPr>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A356E7"/>
    <w:pPr>
      <w:spacing w:after="120"/>
      <w:ind w:firstLine="0"/>
    </w:pPr>
    <w:rPr>
      <w:rFonts w:ascii="Lucida Sans" w:hAnsi="Lucida Sans"/>
      <w:sz w:val="18"/>
    </w:rPr>
  </w:style>
  <w:style w:type="paragraph" w:customStyle="1" w:styleId="TableHeaderCenter">
    <w:name w:val="Table Header Center"/>
    <w:basedOn w:val="NormalSS"/>
    <w:qFormat/>
    <w:rsid w:val="001E466A"/>
    <w:pPr>
      <w:spacing w:before="120" w:after="60"/>
      <w:ind w:firstLine="0"/>
      <w:jc w:val="center"/>
    </w:pPr>
    <w:rPr>
      <w:rFonts w:ascii="Lucida Sans" w:hAnsi="Lucida Sans"/>
      <w:sz w:val="18"/>
    </w:rPr>
  </w:style>
  <w:style w:type="paragraph" w:customStyle="1" w:styleId="TableHeaderLeft">
    <w:name w:val="Table Header Left"/>
    <w:basedOn w:val="NormalSS"/>
    <w:qFormat/>
    <w:rsid w:val="001E466A"/>
    <w:pPr>
      <w:spacing w:before="120" w:after="60"/>
      <w:ind w:firstLine="0"/>
      <w:jc w:val="left"/>
    </w:pPr>
    <w:rPr>
      <w:rFonts w:ascii="Lucida Sans" w:hAnsi="Lucida Sans"/>
      <w:sz w:val="18"/>
    </w:rPr>
  </w:style>
  <w:style w:type="paragraph" w:customStyle="1" w:styleId="Normalcontinued">
    <w:name w:val="Normal (continued)"/>
    <w:basedOn w:val="Normal"/>
    <w:next w:val="Normal"/>
    <w:qFormat/>
    <w:rsid w:val="0058753C"/>
    <w:pPr>
      <w:ind w:firstLine="0"/>
    </w:pPr>
  </w:style>
  <w:style w:type="paragraph" w:customStyle="1" w:styleId="NormalSScontinued">
    <w:name w:val="NormalSS (continued)"/>
    <w:basedOn w:val="NormalSS"/>
    <w:next w:val="NormalSS"/>
    <w:qFormat/>
    <w:rsid w:val="00F62807"/>
    <w:pPr>
      <w:ind w:firstLine="0"/>
    </w:pPr>
  </w:style>
  <w:style w:type="paragraph" w:customStyle="1" w:styleId="ParagraphLASTcontinued">
    <w:name w:val="Paragraph (LAST_continued)"/>
    <w:basedOn w:val="ParagraphLAST"/>
    <w:next w:val="Normal"/>
    <w:qFormat/>
    <w:rsid w:val="007F686C"/>
    <w:pPr>
      <w:ind w:firstLine="0"/>
    </w:pPr>
  </w:style>
  <w:style w:type="paragraph" w:customStyle="1" w:styleId="TableText">
    <w:name w:val="Table Text"/>
    <w:basedOn w:val="NormalSS"/>
    <w:qFormat/>
    <w:rsid w:val="001E466A"/>
    <w:pPr>
      <w:tabs>
        <w:tab w:val="clear" w:pos="432"/>
      </w:tabs>
      <w:spacing w:after="0"/>
      <w:ind w:firstLine="0"/>
      <w:jc w:val="left"/>
    </w:pPr>
    <w:rPr>
      <w:rFonts w:ascii="Lucida Sans" w:hAnsi="Lucida Sans"/>
      <w:sz w:val="18"/>
    </w:rPr>
  </w:style>
  <w:style w:type="paragraph" w:customStyle="1" w:styleId="TableSourceCaption">
    <w:name w:val="Table Source_Caption"/>
    <w:basedOn w:val="NormalSS"/>
    <w:qFormat/>
    <w:rsid w:val="001E466A"/>
    <w:pPr>
      <w:tabs>
        <w:tab w:val="clear" w:pos="432"/>
      </w:tabs>
      <w:spacing w:after="120"/>
      <w:ind w:left="1080" w:hanging="1080"/>
    </w:pPr>
    <w:rPr>
      <w:rFonts w:ascii="Lucida Sans" w:hAnsi="Lucida Sans"/>
      <w:sz w:val="18"/>
    </w:rPr>
  </w:style>
  <w:style w:type="paragraph" w:customStyle="1" w:styleId="AcknowledgmentnoTOCBlack">
    <w:name w:val="Acknowledgment no TOC_Black"/>
    <w:basedOn w:val="Normal"/>
    <w:next w:val="Normal"/>
    <w:qFormat/>
    <w:rsid w:val="006F168E"/>
    <w:pPr>
      <w:spacing w:before="240" w:after="240" w:line="240" w:lineRule="auto"/>
      <w:ind w:firstLine="0"/>
      <w:jc w:val="center"/>
      <w:outlineLvl w:val="0"/>
    </w:pPr>
    <w:rPr>
      <w:rFonts w:ascii="Lucida Sans" w:hAnsi="Lucida Sans"/>
      <w:b/>
      <w:caps/>
    </w:rPr>
  </w:style>
  <w:style w:type="paragraph" w:customStyle="1" w:styleId="AcknowledgmentnoTOCRed">
    <w:name w:val="Acknowledgment no TOC_Red"/>
    <w:basedOn w:val="AcknowledgmentnoTOCBlack"/>
    <w:next w:val="Normal"/>
    <w:qFormat/>
    <w:rsid w:val="00066AB9"/>
    <w:rPr>
      <w:color w:val="C00000"/>
    </w:rPr>
  </w:style>
  <w:style w:type="paragraph" w:customStyle="1" w:styleId="AcknowledgmentnoTOCBlue">
    <w:name w:val="Acknowledgment no TOC_Blue"/>
    <w:basedOn w:val="AcknowledgmentnoTOCBlack"/>
    <w:next w:val="Normal"/>
    <w:qFormat/>
    <w:rsid w:val="004F493C"/>
    <w:rPr>
      <w:color w:val="345294"/>
    </w:rPr>
  </w:style>
  <w:style w:type="paragraph" w:customStyle="1" w:styleId="BulletBlack">
    <w:name w:val="Bullet_Black"/>
    <w:basedOn w:val="Normal"/>
    <w:qFormat/>
    <w:rsid w:val="002A28C9"/>
    <w:pPr>
      <w:numPr>
        <w:numId w:val="9"/>
      </w:numPr>
      <w:tabs>
        <w:tab w:val="clear" w:pos="432"/>
        <w:tab w:val="left" w:pos="360"/>
      </w:tabs>
      <w:spacing w:after="120" w:line="240" w:lineRule="auto"/>
      <w:ind w:right="360"/>
    </w:pPr>
  </w:style>
  <w:style w:type="paragraph" w:customStyle="1" w:styleId="BulletRed">
    <w:name w:val="Bullet_Red"/>
    <w:basedOn w:val="BulletBlack"/>
    <w:qFormat/>
    <w:rsid w:val="00AC5EBF"/>
    <w:pPr>
      <w:numPr>
        <w:numId w:val="12"/>
      </w:numPr>
      <w:ind w:left="720" w:hanging="288"/>
    </w:pPr>
  </w:style>
  <w:style w:type="paragraph" w:customStyle="1" w:styleId="BulletBlue">
    <w:name w:val="Bullet_Blue"/>
    <w:basedOn w:val="BulletBlack"/>
    <w:qFormat/>
    <w:rsid w:val="00C2452C"/>
    <w:pPr>
      <w:numPr>
        <w:numId w:val="10"/>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13"/>
      </w:numPr>
      <w:ind w:left="720" w:hanging="288"/>
    </w:pPr>
  </w:style>
  <w:style w:type="paragraph" w:customStyle="1" w:styleId="BulletBlueLastSS">
    <w:name w:val="Bullet_Blue (Last SS)"/>
    <w:basedOn w:val="BulletBlackLastSS"/>
    <w:next w:val="NormalSS"/>
    <w:qFormat/>
    <w:rsid w:val="00C2452C"/>
    <w:pPr>
      <w:numPr>
        <w:numId w:val="11"/>
      </w:numPr>
      <w:ind w:left="720" w:hanging="288"/>
    </w:pPr>
  </w:style>
  <w:style w:type="paragraph" w:customStyle="1" w:styleId="BulletBlackLastDS">
    <w:name w:val="Bullet_Black (Last DS)"/>
    <w:basedOn w:val="BulletBlackLastSS"/>
    <w:next w:val="Normal"/>
    <w:qFormat/>
    <w:rsid w:val="001E466A"/>
    <w:pPr>
      <w:spacing w:after="360"/>
    </w:pPr>
  </w:style>
  <w:style w:type="paragraph" w:customStyle="1" w:styleId="BulletRedLastDS">
    <w:name w:val="Bullet_Red (Last DS)"/>
    <w:basedOn w:val="BulletRedLastSS"/>
    <w:next w:val="Normal"/>
    <w:qFormat/>
    <w:rsid w:val="001E466A"/>
    <w:pPr>
      <w:spacing w:after="360"/>
    </w:pPr>
  </w:style>
  <w:style w:type="paragraph" w:customStyle="1" w:styleId="BulletBlueLastDS">
    <w:name w:val="Bullet_Blue (Last DS)"/>
    <w:basedOn w:val="BulletBlackLastDS"/>
    <w:next w:val="Normal"/>
    <w:qFormat/>
    <w:rsid w:val="00C2452C"/>
    <w:pPr>
      <w:numPr>
        <w:numId w:val="14"/>
      </w:numPr>
      <w:ind w:left="720" w:hanging="288"/>
    </w:pPr>
  </w:style>
  <w:style w:type="table" w:styleId="TableGrid">
    <w:name w:val="Table Grid"/>
    <w:basedOn w:val="TableNormal"/>
    <w:uiPriority w:val="59"/>
    <w:rsid w:val="00645FA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6F168E"/>
    <w:pPr>
      <w:keepNext/>
      <w:spacing w:after="240" w:line="240" w:lineRule="auto"/>
      <w:ind w:left="432" w:hanging="432"/>
      <w:outlineLvl w:val="1"/>
    </w:pPr>
    <w:rPr>
      <w:rFonts w:ascii="Lucida Sans" w:hAnsi="Lucida Sans"/>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637A61"/>
  </w:style>
  <w:style w:type="paragraph" w:customStyle="1" w:styleId="Heading2RedNoTOC">
    <w:name w:val="Heading 2_Red No TOC"/>
    <w:basedOn w:val="Heading2Red"/>
    <w:next w:val="Normal"/>
    <w:qFormat/>
    <w:rsid w:val="00637A61"/>
  </w:style>
  <w:style w:type="paragraph" w:customStyle="1" w:styleId="Heading2BlueNoTOC">
    <w:name w:val="Heading 2_Blue No TOC"/>
    <w:basedOn w:val="Heading2Blue"/>
    <w:next w:val="Normal"/>
    <w:qFormat/>
    <w:rsid w:val="00637A61"/>
  </w:style>
  <w:style w:type="paragraph" w:customStyle="1" w:styleId="MarkforAttachmentHeadingBlack">
    <w:name w:val="Mark for Attachment Heading_Black"/>
    <w:basedOn w:val="Normal"/>
    <w:next w:val="Normal"/>
    <w:qFormat/>
    <w:rsid w:val="006F168E"/>
    <w:pPr>
      <w:ind w:firstLine="0"/>
      <w:jc w:val="center"/>
      <w:outlineLvl w:val="0"/>
    </w:pPr>
    <w:rPr>
      <w:rFonts w:ascii="Lucida Sans" w:hAnsi="Lucida Sans"/>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6F168E"/>
    <w:pPr>
      <w:ind w:firstLine="0"/>
      <w:jc w:val="center"/>
      <w:outlineLvl w:val="0"/>
    </w:pPr>
    <w:rPr>
      <w:rFonts w:ascii="Lucida Sans" w:hAnsi="Lucida Sans"/>
      <w:b/>
      <w:caps/>
    </w:rPr>
  </w:style>
  <w:style w:type="paragraph" w:customStyle="1" w:styleId="MarkforAppendixHeadingRed">
    <w:name w:val="Mark for Appendix Heading_Red"/>
    <w:basedOn w:val="MarkforAppendixHeadingBlack"/>
    <w:next w:val="Normal"/>
    <w:qFormat/>
    <w:rsid w:val="00DB6227"/>
    <w:rPr>
      <w:color w:val="C00000"/>
    </w:rPr>
  </w:style>
  <w:style w:type="paragraph" w:customStyle="1" w:styleId="MarkforAppendixHeadingBlue">
    <w:name w:val="Mark for Appendix Heading_Blue"/>
    <w:basedOn w:val="MarkforAppendixHeadingBlack"/>
    <w:next w:val="Normal"/>
    <w:qFormat/>
    <w:rsid w:val="004F493C"/>
    <w:rPr>
      <w:color w:val="345294"/>
    </w:rPr>
  </w:style>
  <w:style w:type="paragraph" w:customStyle="1" w:styleId="NumberedBulletLastDS">
    <w:name w:val="Numbered Bullet (Last DS)"/>
    <w:basedOn w:val="NumberedBulletLASTSS"/>
    <w:next w:val="Normal"/>
    <w:qFormat/>
    <w:rsid w:val="00264716"/>
    <w:pPr>
      <w:spacing w:after="360"/>
    </w:pPr>
  </w:style>
  <w:style w:type="paragraph" w:customStyle="1" w:styleId="TableSignificanceCaption">
    <w:name w:val="Table Significance_Caption"/>
    <w:basedOn w:val="TableSourceCaption"/>
    <w:qFormat/>
    <w:rsid w:val="001E466A"/>
    <w:pPr>
      <w:spacing w:after="0"/>
    </w:pPr>
  </w:style>
  <w:style w:type="paragraph" w:customStyle="1" w:styleId="TitleofDocumentVertical">
    <w:name w:val="Title of Document Vertical"/>
    <w:basedOn w:val="Normal"/>
    <w:qFormat/>
    <w:rsid w:val="00DB6227"/>
    <w:pPr>
      <w:spacing w:before="3120" w:after="240" w:line="360" w:lineRule="exact"/>
      <w:ind w:firstLine="0"/>
    </w:pPr>
    <w:rPr>
      <w:rFonts w:ascii="Lucida Sans" w:hAnsi="Lucida Sans"/>
      <w:b/>
      <w:sz w:val="22"/>
    </w:rPr>
  </w:style>
  <w:style w:type="paragraph" w:customStyle="1" w:styleId="TitleofDocumentHorizontal">
    <w:name w:val="Title of Document Horizontal"/>
    <w:basedOn w:val="TitleofDocumentVertical"/>
    <w:qFormat/>
    <w:rsid w:val="00DB6227"/>
    <w:pPr>
      <w:spacing w:before="0" w:after="160"/>
    </w:pPr>
  </w:style>
  <w:style w:type="paragraph" w:customStyle="1" w:styleId="TitleofDocumentNoPhoto">
    <w:name w:val="Title of Document No Photo"/>
    <w:basedOn w:val="TitleofDocumentHorizontal"/>
    <w:qFormat/>
    <w:rsid w:val="00DB6227"/>
  </w:style>
  <w:style w:type="paragraph" w:customStyle="1" w:styleId="TableSpace">
    <w:name w:val="TableSpace"/>
    <w:basedOn w:val="TableSourceCaption"/>
    <w:next w:val="TableFootnoteCaption"/>
    <w:semiHidden/>
    <w:qFormat/>
    <w:rsid w:val="00754E03"/>
    <w:pPr>
      <w:spacing w:after="0"/>
    </w:pPr>
  </w:style>
  <w:style w:type="table" w:customStyle="1" w:styleId="SMPRTableRed">
    <w:name w:val="SMPR_Table_Red"/>
    <w:basedOn w:val="TableNormal"/>
    <w:uiPriority w:val="99"/>
    <w:rsid w:val="00F968DD"/>
    <w:rPr>
      <w:rFonts w:ascii="Lucida Sans" w:hAnsi="Lucida Sans"/>
      <w:sz w:val="20"/>
    </w:rPr>
    <w:tblPr>
      <w:tblInd w:w="115" w:type="dxa"/>
      <w:tblBorders>
        <w:top w:val="single" w:sz="12" w:space="0" w:color="C00000"/>
        <w:bottom w:val="single" w:sz="4" w:space="0" w:color="C00000"/>
      </w:tblBorders>
      <w:tblCellMar>
        <w:top w:w="0" w:type="dxa"/>
        <w:left w:w="108" w:type="dxa"/>
        <w:bottom w:w="0" w:type="dxa"/>
        <w:right w:w="108" w:type="dxa"/>
      </w:tblCellMar>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7F0DA1"/>
    <w:tblPr>
      <w:tblInd w:w="115" w:type="dxa"/>
      <w:tblBorders>
        <w:top w:val="single" w:sz="12" w:space="0" w:color="345294"/>
        <w:bottom w:val="single" w:sz="4" w:space="0" w:color="345294"/>
      </w:tblBorders>
      <w:tblCellMar>
        <w:top w:w="0" w:type="dxa"/>
        <w:left w:w="108" w:type="dxa"/>
        <w:bottom w:w="0" w:type="dxa"/>
        <w:right w:w="108" w:type="dxa"/>
      </w:tblCellMar>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F968DD"/>
    <w:tblPr>
      <w:tblInd w:w="115" w:type="dxa"/>
      <w:tblBorders>
        <w:top w:val="single" w:sz="12" w:space="0" w:color="auto"/>
        <w:bottom w:val="single" w:sz="4" w:space="0" w:color="auto"/>
      </w:tblBorders>
      <w:tblCellMar>
        <w:top w:w="0" w:type="dxa"/>
        <w:left w:w="108" w:type="dxa"/>
        <w:bottom w:w="0" w:type="dxa"/>
        <w:right w:w="108" w:type="dxa"/>
      </w:tblCellMar>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0B7E70"/>
    <w:pPr>
      <w:numPr>
        <w:numId w:val="15"/>
      </w:numPr>
    </w:pPr>
  </w:style>
  <w:style w:type="paragraph" w:styleId="TOC5">
    <w:name w:val="toc 5"/>
    <w:basedOn w:val="Normal"/>
    <w:next w:val="Normal"/>
    <w:autoRedefine/>
    <w:uiPriority w:val="39"/>
    <w:semiHidden/>
    <w:unhideWhenUsed/>
    <w:rsid w:val="00BC15E4"/>
    <w:pPr>
      <w:tabs>
        <w:tab w:val="clear" w:pos="432"/>
      </w:tabs>
      <w:spacing w:after="100"/>
      <w:ind w:left="960"/>
    </w:pPr>
  </w:style>
  <w:style w:type="paragraph" w:styleId="TOC6">
    <w:name w:val="toc 6"/>
    <w:basedOn w:val="Normal"/>
    <w:next w:val="Normal"/>
    <w:autoRedefine/>
    <w:uiPriority w:val="39"/>
    <w:semiHidden/>
    <w:unhideWhenUsed/>
    <w:rsid w:val="00BC15E4"/>
    <w:pPr>
      <w:tabs>
        <w:tab w:val="clear" w:pos="432"/>
      </w:tabs>
      <w:spacing w:after="100"/>
      <w:ind w:left="1200"/>
    </w:pPr>
  </w:style>
  <w:style w:type="paragraph" w:styleId="TOC7">
    <w:name w:val="toc 7"/>
    <w:basedOn w:val="Normal"/>
    <w:next w:val="Normal"/>
    <w:autoRedefine/>
    <w:uiPriority w:val="39"/>
    <w:semiHidden/>
    <w:unhideWhenUsed/>
    <w:rsid w:val="00BC15E4"/>
    <w:pPr>
      <w:tabs>
        <w:tab w:val="clear" w:pos="432"/>
      </w:tabs>
      <w:spacing w:after="100"/>
      <w:ind w:left="1440"/>
    </w:pPr>
  </w:style>
  <w:style w:type="paragraph" w:styleId="TOC8">
    <w:name w:val="toc 8"/>
    <w:basedOn w:val="Normal"/>
    <w:next w:val="Normal"/>
    <w:autoRedefine/>
    <w:uiPriority w:val="39"/>
    <w:semiHidden/>
    <w:unhideWhenUsed/>
    <w:rsid w:val="00BC15E4"/>
    <w:pPr>
      <w:tabs>
        <w:tab w:val="clear" w:pos="432"/>
      </w:tabs>
      <w:spacing w:after="100"/>
      <w:ind w:left="1680"/>
    </w:pPr>
  </w:style>
  <w:style w:type="paragraph" w:styleId="TOC9">
    <w:name w:val="toc 9"/>
    <w:basedOn w:val="Normal"/>
    <w:next w:val="Normal"/>
    <w:autoRedefine/>
    <w:uiPriority w:val="39"/>
    <w:semiHidden/>
    <w:unhideWhenUsed/>
    <w:rsid w:val="00BC15E4"/>
    <w:pPr>
      <w:tabs>
        <w:tab w:val="clear" w:pos="432"/>
      </w:tabs>
      <w:spacing w:after="100"/>
      <w:ind w:left="1920"/>
    </w:pPr>
  </w:style>
  <w:style w:type="character" w:styleId="CommentReference">
    <w:name w:val="annotation reference"/>
    <w:basedOn w:val="DefaultParagraphFont"/>
    <w:uiPriority w:val="99"/>
    <w:semiHidden/>
    <w:unhideWhenUsed/>
    <w:rsid w:val="00BF1A70"/>
    <w:rPr>
      <w:sz w:val="16"/>
      <w:szCs w:val="16"/>
    </w:rPr>
  </w:style>
  <w:style w:type="paragraph" w:styleId="CommentText">
    <w:name w:val="annotation text"/>
    <w:basedOn w:val="Normal"/>
    <w:link w:val="CommentTextChar"/>
    <w:uiPriority w:val="99"/>
    <w:semiHidden/>
    <w:unhideWhenUsed/>
    <w:rsid w:val="00BF1A70"/>
    <w:pPr>
      <w:spacing w:line="240" w:lineRule="auto"/>
    </w:pPr>
    <w:rPr>
      <w:sz w:val="20"/>
      <w:szCs w:val="20"/>
    </w:rPr>
  </w:style>
  <w:style w:type="character" w:customStyle="1" w:styleId="CommentTextChar">
    <w:name w:val="Comment Text Char"/>
    <w:basedOn w:val="DefaultParagraphFont"/>
    <w:link w:val="CommentText"/>
    <w:uiPriority w:val="99"/>
    <w:semiHidden/>
    <w:rsid w:val="00BF1A70"/>
    <w:rPr>
      <w:sz w:val="20"/>
      <w:szCs w:val="20"/>
    </w:rPr>
  </w:style>
  <w:style w:type="paragraph" w:styleId="CommentSubject">
    <w:name w:val="annotation subject"/>
    <w:basedOn w:val="CommentText"/>
    <w:next w:val="CommentText"/>
    <w:link w:val="CommentSubjectChar"/>
    <w:uiPriority w:val="99"/>
    <w:semiHidden/>
    <w:unhideWhenUsed/>
    <w:rsid w:val="00BF1A70"/>
    <w:rPr>
      <w:b/>
      <w:bCs/>
    </w:rPr>
  </w:style>
  <w:style w:type="character" w:customStyle="1" w:styleId="CommentSubjectChar">
    <w:name w:val="Comment Subject Char"/>
    <w:basedOn w:val="CommentTextChar"/>
    <w:link w:val="CommentSubject"/>
    <w:uiPriority w:val="99"/>
    <w:semiHidden/>
    <w:rsid w:val="00BF1A70"/>
    <w:rPr>
      <w:b/>
      <w:bCs/>
      <w:sz w:val="20"/>
      <w:szCs w:val="20"/>
    </w:rPr>
  </w:style>
  <w:style w:type="character" w:styleId="Hyperlink">
    <w:name w:val="Hyperlink"/>
    <w:basedOn w:val="DefaultParagraphFont"/>
    <w:uiPriority w:val="99"/>
    <w:unhideWhenUsed/>
    <w:rsid w:val="00C70CD3"/>
    <w:rPr>
      <w:strike w:val="0"/>
      <w:dstrike w:val="0"/>
      <w:color w:val="336699"/>
      <w:u w:val="none"/>
      <w:effect w:val="none"/>
    </w:rPr>
  </w:style>
  <w:style w:type="paragraph" w:styleId="PlainText">
    <w:name w:val="Plain Text"/>
    <w:basedOn w:val="Normal"/>
    <w:link w:val="PlainTextChar"/>
    <w:uiPriority w:val="99"/>
    <w:semiHidden/>
    <w:unhideWhenUsed/>
    <w:rsid w:val="007D4222"/>
    <w:pPr>
      <w:tabs>
        <w:tab w:val="clear" w:pos="432"/>
      </w:tabs>
      <w:spacing w:line="240" w:lineRule="auto"/>
      <w:ind w:firstLine="0"/>
      <w:jc w:val="left"/>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semiHidden/>
    <w:rsid w:val="007D4222"/>
    <w:rPr>
      <w:rFonts w:ascii="Consolas" w:eastAsiaTheme="minorHAnsi" w:hAnsi="Consolas" w:cstheme="minorBidi"/>
      <w:sz w:val="21"/>
      <w:szCs w:val="21"/>
    </w:rPr>
  </w:style>
  <w:style w:type="character" w:customStyle="1" w:styleId="FootnoteTextChar">
    <w:name w:val="Footnote Text Char"/>
    <w:basedOn w:val="DefaultParagraphFont"/>
    <w:link w:val="FootnoteText"/>
    <w:rsid w:val="00FE56EF"/>
    <w:rPr>
      <w:sz w:val="20"/>
    </w:rPr>
  </w:style>
  <w:style w:type="paragraph" w:styleId="Revision">
    <w:name w:val="Revision"/>
    <w:hidden/>
    <w:uiPriority w:val="99"/>
    <w:semiHidden/>
    <w:rsid w:val="00AB791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TOC1">
    <w:name w:val="MPROutline"/>
    <w:pPr>
      <w:numPr>
        <w:numId w:val="1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245029">
      <w:bodyDiv w:val="1"/>
      <w:marLeft w:val="0"/>
      <w:marRight w:val="0"/>
      <w:marTop w:val="0"/>
      <w:marBottom w:val="0"/>
      <w:divBdr>
        <w:top w:val="none" w:sz="0" w:space="0" w:color="auto"/>
        <w:left w:val="none" w:sz="0" w:space="0" w:color="auto"/>
        <w:bottom w:val="none" w:sz="0" w:space="0" w:color="auto"/>
        <w:right w:val="none" w:sz="0" w:space="0" w:color="auto"/>
      </w:divBdr>
    </w:div>
    <w:div w:id="732582530">
      <w:bodyDiv w:val="1"/>
      <w:marLeft w:val="0"/>
      <w:marRight w:val="0"/>
      <w:marTop w:val="0"/>
      <w:marBottom w:val="0"/>
      <w:divBdr>
        <w:top w:val="none" w:sz="0" w:space="0" w:color="auto"/>
        <w:left w:val="none" w:sz="0" w:space="0" w:color="auto"/>
        <w:bottom w:val="none" w:sz="0" w:space="0" w:color="auto"/>
        <w:right w:val="none" w:sz="0" w:space="0" w:color="auto"/>
      </w:divBdr>
      <w:divsChild>
        <w:div w:id="442724404">
          <w:marLeft w:val="0"/>
          <w:marRight w:val="0"/>
          <w:marTop w:val="0"/>
          <w:marBottom w:val="0"/>
          <w:divBdr>
            <w:top w:val="none" w:sz="0" w:space="0" w:color="auto"/>
            <w:left w:val="none" w:sz="0" w:space="0" w:color="auto"/>
            <w:bottom w:val="none" w:sz="0" w:space="0" w:color="auto"/>
            <w:right w:val="none" w:sz="0" w:space="0" w:color="auto"/>
          </w:divBdr>
          <w:divsChild>
            <w:div w:id="1481381253">
              <w:marLeft w:val="0"/>
              <w:marRight w:val="0"/>
              <w:marTop w:val="0"/>
              <w:marBottom w:val="0"/>
              <w:divBdr>
                <w:top w:val="none" w:sz="0" w:space="0" w:color="auto"/>
                <w:left w:val="none" w:sz="0" w:space="0" w:color="auto"/>
                <w:bottom w:val="none" w:sz="0" w:space="0" w:color="auto"/>
                <w:right w:val="none" w:sz="0" w:space="0" w:color="auto"/>
              </w:divBdr>
              <w:divsChild>
                <w:div w:id="623003075">
                  <w:marLeft w:val="75"/>
                  <w:marRight w:val="75"/>
                  <w:marTop w:val="0"/>
                  <w:marBottom w:val="351"/>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ahrq.gov/policymakers/chipra/demoeval/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437A67-E9CA-4016-9101-B6108DF471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7416</Words>
  <Characters>43437</Characters>
  <Application>Microsoft Office Word</Application>
  <DocSecurity>4</DocSecurity>
  <Lines>361</Lines>
  <Paragraphs>101</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50752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Sheena Flowers</dc:creator>
  <cp:lastModifiedBy>Cindy Brach</cp:lastModifiedBy>
  <cp:revision>2</cp:revision>
  <cp:lastPrinted>2014-02-11T21:40:00Z</cp:lastPrinted>
  <dcterms:created xsi:type="dcterms:W3CDTF">2014-02-14T22:11:00Z</dcterms:created>
  <dcterms:modified xsi:type="dcterms:W3CDTF">2014-02-14T22:11:00Z</dcterms:modified>
</cp:coreProperties>
</file>