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B55" w:rsidRPr="001B2B55" w:rsidRDefault="001B2B55" w:rsidP="00F16CA0">
      <w:pPr>
        <w:shd w:val="clear" w:color="auto" w:fill="660000"/>
        <w:spacing w:after="0" w:line="240" w:lineRule="auto"/>
        <w:rPr>
          <w:sz w:val="8"/>
          <w:szCs w:val="8"/>
        </w:rPr>
      </w:pPr>
    </w:p>
    <w:p w:rsidR="001B2B55" w:rsidRPr="001B2B55" w:rsidRDefault="001B2B55" w:rsidP="001B2B55">
      <w:pPr>
        <w:spacing w:after="0" w:line="240" w:lineRule="auto"/>
        <w:rPr>
          <w:sz w:val="12"/>
          <w:szCs w:val="12"/>
        </w:rPr>
      </w:pPr>
    </w:p>
    <w:p w:rsidR="001B2B55" w:rsidRPr="00F16CA0" w:rsidRDefault="001B2B55" w:rsidP="00F16CA0">
      <w:pPr>
        <w:shd w:val="clear" w:color="auto" w:fill="660000"/>
        <w:spacing w:after="0" w:line="240" w:lineRule="auto"/>
        <w:rPr>
          <w:sz w:val="16"/>
          <w:szCs w:val="16"/>
        </w:rPr>
      </w:pPr>
    </w:p>
    <w:p w:rsidR="001B2B55" w:rsidRPr="001B2B55" w:rsidRDefault="001B2B55" w:rsidP="001B2B55">
      <w:pPr>
        <w:spacing w:after="0" w:line="240" w:lineRule="auto"/>
      </w:pPr>
    </w:p>
    <w:p w:rsidR="001B2B55" w:rsidRPr="001B2B55" w:rsidRDefault="001B2B55" w:rsidP="001B2B55">
      <w:pPr>
        <w:spacing w:after="0" w:line="240" w:lineRule="auto"/>
      </w:pPr>
    </w:p>
    <w:p w:rsidR="001B2B55" w:rsidRPr="001B2B55" w:rsidRDefault="001B2B55" w:rsidP="001B2B55">
      <w:pPr>
        <w:spacing w:after="0" w:line="240" w:lineRule="auto"/>
        <w:rPr>
          <w:sz w:val="40"/>
          <w:szCs w:val="40"/>
        </w:rPr>
      </w:pPr>
      <w:r w:rsidRPr="001B2B55">
        <w:rPr>
          <w:sz w:val="40"/>
          <w:szCs w:val="40"/>
        </w:rPr>
        <w:t xml:space="preserve">Evaluation </w:t>
      </w:r>
      <w:r w:rsidR="00E11506">
        <w:rPr>
          <w:sz w:val="40"/>
          <w:szCs w:val="40"/>
        </w:rPr>
        <w:t xml:space="preserve">of the Rural Community Hospital </w:t>
      </w:r>
      <w:r w:rsidRPr="001B2B55">
        <w:rPr>
          <w:sz w:val="40"/>
          <w:szCs w:val="40"/>
        </w:rPr>
        <w:t xml:space="preserve">Demonstration </w:t>
      </w:r>
    </w:p>
    <w:p w:rsidR="001B2B55" w:rsidRPr="001B2B55" w:rsidRDefault="001B2B55" w:rsidP="001B2B55">
      <w:pPr>
        <w:spacing w:after="0" w:line="240" w:lineRule="auto"/>
        <w:rPr>
          <w:sz w:val="24"/>
          <w:szCs w:val="24"/>
        </w:rPr>
      </w:pPr>
      <w:r w:rsidRPr="001B2B55">
        <w:rPr>
          <w:sz w:val="24"/>
          <w:szCs w:val="24"/>
        </w:rPr>
        <w:t>Contract Number: HHSM-500-2011-00013I</w:t>
      </w:r>
    </w:p>
    <w:p w:rsidR="001B2B55" w:rsidRPr="00BB3D98" w:rsidRDefault="001B2B55" w:rsidP="001B2B55">
      <w:pPr>
        <w:pStyle w:val="NoSpacing"/>
        <w:rPr>
          <w:rFonts w:ascii="Times New Roman" w:hAnsi="Times New Roman" w:cs="Times New Roman"/>
          <w:b/>
          <w:bCs/>
          <w:sz w:val="32"/>
          <w:szCs w:val="32"/>
        </w:rPr>
      </w:pPr>
    </w:p>
    <w:p w:rsidR="001B2B55" w:rsidRDefault="001B2B55" w:rsidP="003E09CD">
      <w:pPr>
        <w:spacing w:after="0" w:line="240" w:lineRule="auto"/>
      </w:pPr>
    </w:p>
    <w:p w:rsidR="001B2B55" w:rsidRDefault="001B2B55" w:rsidP="003E09CD">
      <w:pPr>
        <w:spacing w:after="0" w:line="240" w:lineRule="auto"/>
      </w:pPr>
    </w:p>
    <w:p w:rsidR="00E9602A" w:rsidRDefault="00E9602A" w:rsidP="003E09CD">
      <w:pPr>
        <w:spacing w:after="0" w:line="240" w:lineRule="auto"/>
      </w:pPr>
    </w:p>
    <w:p w:rsidR="0040225F" w:rsidRPr="001B2B55" w:rsidRDefault="001B2B55" w:rsidP="003E09CD">
      <w:pPr>
        <w:spacing w:after="0" w:line="240" w:lineRule="auto"/>
        <w:rPr>
          <w:b/>
          <w:sz w:val="36"/>
          <w:szCs w:val="36"/>
        </w:rPr>
      </w:pPr>
      <w:r w:rsidRPr="001B2B55">
        <w:rPr>
          <w:b/>
          <w:sz w:val="36"/>
          <w:szCs w:val="36"/>
        </w:rPr>
        <w:t>Supporting Statement</w:t>
      </w:r>
    </w:p>
    <w:p w:rsidR="001B2B55" w:rsidRDefault="001B2B55" w:rsidP="003E09CD">
      <w:pPr>
        <w:spacing w:after="0" w:line="240" w:lineRule="auto"/>
        <w:rPr>
          <w:sz w:val="32"/>
          <w:szCs w:val="32"/>
        </w:rPr>
      </w:pPr>
    </w:p>
    <w:p w:rsidR="00E9602A" w:rsidRPr="001B2B55" w:rsidRDefault="003E09CD" w:rsidP="003E09CD">
      <w:pPr>
        <w:spacing w:after="0" w:line="240" w:lineRule="auto"/>
        <w:rPr>
          <w:sz w:val="40"/>
          <w:szCs w:val="40"/>
        </w:rPr>
      </w:pPr>
      <w:r w:rsidRPr="001B2B55">
        <w:rPr>
          <w:sz w:val="40"/>
          <w:szCs w:val="40"/>
        </w:rPr>
        <w:t>Information Collection Request for Paperwork Reduction Act</w:t>
      </w:r>
      <w:r w:rsidR="0040225F" w:rsidRPr="001B2B55">
        <w:rPr>
          <w:sz w:val="40"/>
          <w:szCs w:val="40"/>
        </w:rPr>
        <w:t xml:space="preserve"> Clea</w:t>
      </w:r>
      <w:r w:rsidRPr="001B2B55">
        <w:rPr>
          <w:sz w:val="40"/>
          <w:szCs w:val="40"/>
        </w:rPr>
        <w:t xml:space="preserve">rance </w:t>
      </w:r>
    </w:p>
    <w:p w:rsidR="003E09CD" w:rsidRDefault="003E09CD" w:rsidP="003E09CD">
      <w:pPr>
        <w:spacing w:after="0" w:line="240" w:lineRule="auto"/>
      </w:pPr>
    </w:p>
    <w:p w:rsidR="001B2B55" w:rsidRDefault="001B2B55" w:rsidP="003E09CD">
      <w:pPr>
        <w:spacing w:after="0" w:line="240" w:lineRule="auto"/>
      </w:pPr>
    </w:p>
    <w:p w:rsidR="001B2B55" w:rsidRDefault="001B2B55" w:rsidP="003E09CD">
      <w:pPr>
        <w:spacing w:after="0" w:line="240" w:lineRule="auto"/>
      </w:pPr>
    </w:p>
    <w:p w:rsidR="001B2B55" w:rsidRDefault="001B2B55" w:rsidP="003E09CD">
      <w:pPr>
        <w:spacing w:after="0" w:line="240" w:lineRule="auto"/>
      </w:pPr>
    </w:p>
    <w:p w:rsidR="001B2B55" w:rsidRDefault="001B2B55" w:rsidP="003E09CD">
      <w:pPr>
        <w:spacing w:after="0" w:line="240" w:lineRule="auto"/>
      </w:pPr>
    </w:p>
    <w:p w:rsidR="001B2B55" w:rsidRDefault="001B2B55" w:rsidP="003E09CD">
      <w:pPr>
        <w:spacing w:after="0" w:line="240" w:lineRule="auto"/>
      </w:pPr>
    </w:p>
    <w:p w:rsidR="001B2B55" w:rsidRPr="001B2B55" w:rsidRDefault="001B2B55" w:rsidP="003E09CD">
      <w:pPr>
        <w:spacing w:after="0" w:line="240" w:lineRule="auto"/>
        <w:rPr>
          <w:sz w:val="28"/>
          <w:szCs w:val="28"/>
        </w:rPr>
      </w:pPr>
    </w:p>
    <w:p w:rsidR="001B2B55" w:rsidRDefault="001B2B55" w:rsidP="003E09CD">
      <w:pPr>
        <w:spacing w:after="0" w:line="240" w:lineRule="auto"/>
      </w:pPr>
    </w:p>
    <w:p w:rsidR="001B2B55" w:rsidRDefault="001B2B55" w:rsidP="003E09CD">
      <w:pPr>
        <w:spacing w:after="0" w:line="240" w:lineRule="auto"/>
      </w:pPr>
    </w:p>
    <w:p w:rsidR="001B2B55" w:rsidRDefault="001B2B55" w:rsidP="003E09CD">
      <w:pPr>
        <w:spacing w:after="0" w:line="240" w:lineRule="auto"/>
      </w:pPr>
    </w:p>
    <w:p w:rsidR="001B2B55" w:rsidRDefault="001B2B55" w:rsidP="003E09CD">
      <w:pPr>
        <w:spacing w:after="0" w:line="240" w:lineRule="auto"/>
      </w:pPr>
    </w:p>
    <w:p w:rsidR="001B2B55" w:rsidRDefault="001B2B55" w:rsidP="003E09CD">
      <w:pPr>
        <w:spacing w:after="0" w:line="240" w:lineRule="auto"/>
      </w:pPr>
    </w:p>
    <w:p w:rsidR="001B2B55" w:rsidRDefault="001B2B55" w:rsidP="003E09CD">
      <w:pPr>
        <w:spacing w:after="0" w:line="240" w:lineRule="auto"/>
      </w:pPr>
    </w:p>
    <w:p w:rsidR="00E9602A" w:rsidRPr="001B2B55" w:rsidRDefault="001B2B55" w:rsidP="003E09CD">
      <w:pPr>
        <w:spacing w:after="0" w:line="240" w:lineRule="auto"/>
        <w:rPr>
          <w:i/>
        </w:rPr>
      </w:pPr>
      <w:r w:rsidRPr="001B2B55">
        <w:rPr>
          <w:i/>
        </w:rPr>
        <w:t xml:space="preserve">Prepared for: </w:t>
      </w:r>
    </w:p>
    <w:p w:rsidR="001B2B55" w:rsidRDefault="001B2B55" w:rsidP="003E09CD">
      <w:pPr>
        <w:spacing w:after="0" w:line="240" w:lineRule="auto"/>
      </w:pPr>
    </w:p>
    <w:p w:rsidR="001B2B55" w:rsidRPr="001B2B55" w:rsidRDefault="001B2B55" w:rsidP="003E09CD">
      <w:pPr>
        <w:spacing w:after="0" w:line="240" w:lineRule="auto"/>
        <w:rPr>
          <w:rStyle w:val="st"/>
          <w:sz w:val="24"/>
          <w:szCs w:val="24"/>
        </w:rPr>
      </w:pPr>
      <w:r w:rsidRPr="001B2B55">
        <w:rPr>
          <w:rStyle w:val="st"/>
          <w:sz w:val="24"/>
          <w:szCs w:val="24"/>
        </w:rPr>
        <w:t>The Center for Medicare &amp; Medicaid Services</w:t>
      </w:r>
    </w:p>
    <w:p w:rsidR="001B2B55" w:rsidRPr="001B2B55" w:rsidRDefault="001B2B55" w:rsidP="003E09CD">
      <w:pPr>
        <w:spacing w:after="0" w:line="240" w:lineRule="auto"/>
        <w:rPr>
          <w:sz w:val="24"/>
          <w:szCs w:val="24"/>
        </w:rPr>
      </w:pPr>
      <w:r w:rsidRPr="001B2B55">
        <w:rPr>
          <w:rStyle w:val="st"/>
          <w:sz w:val="24"/>
          <w:szCs w:val="24"/>
        </w:rPr>
        <w:t xml:space="preserve">U.S. Department of Health </w:t>
      </w:r>
      <w:r w:rsidR="00042090" w:rsidRPr="001B2B55">
        <w:rPr>
          <w:rStyle w:val="st"/>
          <w:sz w:val="24"/>
          <w:szCs w:val="24"/>
        </w:rPr>
        <w:t>and</w:t>
      </w:r>
      <w:r w:rsidRPr="001B2B55">
        <w:rPr>
          <w:rStyle w:val="st"/>
          <w:sz w:val="24"/>
          <w:szCs w:val="24"/>
        </w:rPr>
        <w:t xml:space="preserve"> Human Services</w:t>
      </w:r>
    </w:p>
    <w:p w:rsidR="001B2B55" w:rsidRDefault="001B2B55" w:rsidP="003E09CD">
      <w:pPr>
        <w:spacing w:after="0" w:line="240" w:lineRule="auto"/>
      </w:pPr>
    </w:p>
    <w:p w:rsidR="001B2B55" w:rsidRDefault="001B2B55" w:rsidP="003E09CD">
      <w:pPr>
        <w:spacing w:after="0" w:line="240" w:lineRule="auto"/>
      </w:pPr>
    </w:p>
    <w:p w:rsidR="001B2B55" w:rsidRPr="001B2B55" w:rsidRDefault="00890A95" w:rsidP="003E09CD">
      <w:pPr>
        <w:spacing w:after="0" w:line="240" w:lineRule="auto"/>
        <w:rPr>
          <w:i/>
        </w:rPr>
      </w:pPr>
      <w:r w:rsidRPr="001B2B55">
        <w:rPr>
          <w:i/>
        </w:rPr>
        <w:t>Prepared by:</w:t>
      </w:r>
      <w:r w:rsidR="00E11506">
        <w:rPr>
          <w:i/>
        </w:rPr>
        <w:t xml:space="preserve"> </w:t>
      </w:r>
    </w:p>
    <w:p w:rsidR="001B2B55" w:rsidRDefault="001B2B55" w:rsidP="003E09CD">
      <w:pPr>
        <w:spacing w:after="0" w:line="240" w:lineRule="auto"/>
      </w:pPr>
    </w:p>
    <w:p w:rsidR="0072047F" w:rsidRDefault="0072047F" w:rsidP="003E09CD">
      <w:pPr>
        <w:spacing w:after="0" w:line="240" w:lineRule="auto"/>
      </w:pPr>
      <w:r w:rsidRPr="00163DA5">
        <w:rPr>
          <w:sz w:val="24"/>
          <w:szCs w:val="24"/>
        </w:rPr>
        <w:t>IMPAQ International</w:t>
      </w:r>
    </w:p>
    <w:p w:rsidR="001B2B55" w:rsidRPr="001B2B55" w:rsidRDefault="00890A95" w:rsidP="003E09CD">
      <w:pPr>
        <w:spacing w:after="0" w:line="240" w:lineRule="auto"/>
        <w:rPr>
          <w:sz w:val="24"/>
          <w:szCs w:val="24"/>
        </w:rPr>
      </w:pPr>
      <w:r w:rsidRPr="001B2B55">
        <w:rPr>
          <w:sz w:val="24"/>
          <w:szCs w:val="24"/>
        </w:rPr>
        <w:t>B</w:t>
      </w:r>
      <w:r w:rsidR="001B2B55" w:rsidRPr="001B2B55">
        <w:rPr>
          <w:sz w:val="24"/>
          <w:szCs w:val="24"/>
        </w:rPr>
        <w:t xml:space="preserve">erkeley Policy Associates </w:t>
      </w:r>
    </w:p>
    <w:p w:rsidR="00E9602A" w:rsidRPr="001B2B55" w:rsidRDefault="00890A95" w:rsidP="003E09CD">
      <w:pPr>
        <w:spacing w:after="0" w:line="240" w:lineRule="auto"/>
        <w:rPr>
          <w:sz w:val="24"/>
          <w:szCs w:val="24"/>
        </w:rPr>
      </w:pPr>
      <w:r w:rsidRPr="001B2B55">
        <w:rPr>
          <w:sz w:val="24"/>
          <w:szCs w:val="24"/>
        </w:rPr>
        <w:t>Mission</w:t>
      </w:r>
      <w:r w:rsidR="001B2B55" w:rsidRPr="001B2B55">
        <w:rPr>
          <w:sz w:val="24"/>
          <w:szCs w:val="24"/>
        </w:rPr>
        <w:t xml:space="preserve"> Analytics Group</w:t>
      </w:r>
    </w:p>
    <w:p w:rsidR="00E9602A" w:rsidRDefault="00E9602A">
      <w:pPr>
        <w:spacing w:after="0" w:line="240" w:lineRule="auto"/>
      </w:pPr>
    </w:p>
    <w:p w:rsidR="001B2B55" w:rsidRDefault="001B2B55">
      <w:pPr>
        <w:spacing w:after="0" w:line="240" w:lineRule="auto"/>
      </w:pPr>
    </w:p>
    <w:p w:rsidR="00A8421E" w:rsidRPr="001B2B55" w:rsidRDefault="00A8421E" w:rsidP="00F16CA0">
      <w:pPr>
        <w:shd w:val="clear" w:color="auto" w:fill="660000"/>
        <w:rPr>
          <w:sz w:val="8"/>
          <w:szCs w:val="8"/>
        </w:rPr>
      </w:pPr>
      <w:r w:rsidRPr="001B2B55">
        <w:rPr>
          <w:sz w:val="8"/>
          <w:szCs w:val="8"/>
        </w:rPr>
        <w:br w:type="page"/>
      </w:r>
    </w:p>
    <w:p w:rsidR="00E9602A" w:rsidRDefault="00E9602A">
      <w:pPr>
        <w:spacing w:after="0" w:line="240" w:lineRule="auto"/>
      </w:pPr>
    </w:p>
    <w:p w:rsidR="0040225F" w:rsidRDefault="0040225F">
      <w:pPr>
        <w:spacing w:after="0" w:line="240" w:lineRule="auto"/>
      </w:pPr>
    </w:p>
    <w:sdt>
      <w:sdtPr>
        <w:rPr>
          <w:rFonts w:eastAsiaTheme="minorEastAsia" w:cstheme="minorBidi"/>
          <w:b w:val="0"/>
          <w:bCs w:val="0"/>
          <w:sz w:val="22"/>
          <w:szCs w:val="22"/>
        </w:rPr>
        <w:id w:val="371641669"/>
        <w:docPartObj>
          <w:docPartGallery w:val="Table of Contents"/>
          <w:docPartUnique/>
        </w:docPartObj>
      </w:sdtPr>
      <w:sdtEndPr/>
      <w:sdtContent>
        <w:p w:rsidR="00E92DA2" w:rsidRDefault="00E92DA2">
          <w:pPr>
            <w:pStyle w:val="TOCHeading"/>
          </w:pPr>
          <w:r>
            <w:t>Contents</w:t>
          </w:r>
        </w:p>
        <w:p w:rsidR="00D52A0D" w:rsidRDefault="00EC1377">
          <w:pPr>
            <w:pStyle w:val="TOC1"/>
            <w:tabs>
              <w:tab w:val="right" w:leader="dot" w:pos="9350"/>
            </w:tabs>
            <w:rPr>
              <w:noProof/>
              <w:lang w:eastAsia="ja-JP"/>
            </w:rPr>
          </w:pPr>
          <w:r>
            <w:fldChar w:fldCharType="begin"/>
          </w:r>
          <w:r w:rsidR="00E92DA2">
            <w:instrText xml:space="preserve"> TOC \o "1-3" \h \z \u </w:instrText>
          </w:r>
          <w:r>
            <w:fldChar w:fldCharType="separate"/>
          </w:r>
          <w:hyperlink w:anchor="_Toc349642826" w:history="1">
            <w:r w:rsidR="00D52A0D" w:rsidRPr="004572B3">
              <w:rPr>
                <w:rStyle w:val="Hyperlink"/>
                <w:noProof/>
              </w:rPr>
              <w:t>Part A. Justification</w:t>
            </w:r>
            <w:r w:rsidR="00D52A0D">
              <w:rPr>
                <w:noProof/>
                <w:webHidden/>
              </w:rPr>
              <w:tab/>
            </w:r>
            <w:r>
              <w:rPr>
                <w:noProof/>
                <w:webHidden/>
              </w:rPr>
              <w:fldChar w:fldCharType="begin"/>
            </w:r>
            <w:r w:rsidR="00D52A0D">
              <w:rPr>
                <w:noProof/>
                <w:webHidden/>
              </w:rPr>
              <w:instrText xml:space="preserve"> PAGEREF _Toc349642826 \h </w:instrText>
            </w:r>
            <w:r>
              <w:rPr>
                <w:noProof/>
                <w:webHidden/>
              </w:rPr>
            </w:r>
            <w:r>
              <w:rPr>
                <w:noProof/>
                <w:webHidden/>
              </w:rPr>
              <w:fldChar w:fldCharType="separate"/>
            </w:r>
            <w:r w:rsidR="001806D3">
              <w:rPr>
                <w:noProof/>
                <w:webHidden/>
              </w:rPr>
              <w:t>1</w:t>
            </w:r>
            <w:r>
              <w:rPr>
                <w:noProof/>
                <w:webHidden/>
              </w:rPr>
              <w:fldChar w:fldCharType="end"/>
            </w:r>
          </w:hyperlink>
        </w:p>
        <w:p w:rsidR="00D52A0D" w:rsidRDefault="00FB7CB5">
          <w:pPr>
            <w:pStyle w:val="TOC2"/>
            <w:rPr>
              <w:noProof/>
              <w:lang w:eastAsia="ja-JP"/>
            </w:rPr>
          </w:pPr>
          <w:hyperlink w:anchor="_Toc349642827" w:history="1">
            <w:r w:rsidR="00D52A0D" w:rsidRPr="004572B3">
              <w:rPr>
                <w:rStyle w:val="Hyperlink"/>
                <w:noProof/>
              </w:rPr>
              <w:t>1.</w:t>
            </w:r>
            <w:r w:rsidR="00D52A0D">
              <w:rPr>
                <w:noProof/>
                <w:lang w:eastAsia="ja-JP"/>
              </w:rPr>
              <w:tab/>
            </w:r>
            <w:r w:rsidR="00D52A0D" w:rsidRPr="004572B3">
              <w:rPr>
                <w:rStyle w:val="Hyperlink"/>
                <w:noProof/>
              </w:rPr>
              <w:t>Circumstances Making the Collection of Information Necessary</w:t>
            </w:r>
            <w:r w:rsidR="00D52A0D">
              <w:rPr>
                <w:noProof/>
                <w:webHidden/>
              </w:rPr>
              <w:tab/>
            </w:r>
            <w:r w:rsidR="00EC1377">
              <w:rPr>
                <w:noProof/>
                <w:webHidden/>
              </w:rPr>
              <w:fldChar w:fldCharType="begin"/>
            </w:r>
            <w:r w:rsidR="00D52A0D">
              <w:rPr>
                <w:noProof/>
                <w:webHidden/>
              </w:rPr>
              <w:instrText xml:space="preserve"> PAGEREF _Toc349642827 \h </w:instrText>
            </w:r>
            <w:r w:rsidR="00EC1377">
              <w:rPr>
                <w:noProof/>
                <w:webHidden/>
              </w:rPr>
            </w:r>
            <w:r w:rsidR="00EC1377">
              <w:rPr>
                <w:noProof/>
                <w:webHidden/>
              </w:rPr>
              <w:fldChar w:fldCharType="separate"/>
            </w:r>
            <w:r w:rsidR="001806D3">
              <w:rPr>
                <w:noProof/>
                <w:webHidden/>
              </w:rPr>
              <w:t>1</w:t>
            </w:r>
            <w:r w:rsidR="00EC1377">
              <w:rPr>
                <w:noProof/>
                <w:webHidden/>
              </w:rPr>
              <w:fldChar w:fldCharType="end"/>
            </w:r>
          </w:hyperlink>
        </w:p>
        <w:p w:rsidR="00D52A0D" w:rsidRDefault="00FB7CB5">
          <w:pPr>
            <w:pStyle w:val="TOC2"/>
            <w:rPr>
              <w:noProof/>
              <w:lang w:eastAsia="ja-JP"/>
            </w:rPr>
          </w:pPr>
          <w:hyperlink w:anchor="_Toc349642828" w:history="1">
            <w:r w:rsidR="00D52A0D" w:rsidRPr="004572B3">
              <w:rPr>
                <w:rStyle w:val="Hyperlink"/>
                <w:noProof/>
              </w:rPr>
              <w:t>2.</w:t>
            </w:r>
            <w:r w:rsidR="00D52A0D">
              <w:rPr>
                <w:noProof/>
                <w:lang w:eastAsia="ja-JP"/>
              </w:rPr>
              <w:tab/>
            </w:r>
            <w:r w:rsidR="00D52A0D" w:rsidRPr="004572B3">
              <w:rPr>
                <w:rStyle w:val="Hyperlink"/>
                <w:noProof/>
              </w:rPr>
              <w:t>Purpose and Use of the Information Collection</w:t>
            </w:r>
            <w:r w:rsidR="00D52A0D">
              <w:rPr>
                <w:noProof/>
                <w:webHidden/>
              </w:rPr>
              <w:tab/>
            </w:r>
            <w:r w:rsidR="00EC1377">
              <w:rPr>
                <w:noProof/>
                <w:webHidden/>
              </w:rPr>
              <w:fldChar w:fldCharType="begin"/>
            </w:r>
            <w:r w:rsidR="00D52A0D">
              <w:rPr>
                <w:noProof/>
                <w:webHidden/>
              </w:rPr>
              <w:instrText xml:space="preserve"> PAGEREF _Toc349642828 \h </w:instrText>
            </w:r>
            <w:r w:rsidR="00EC1377">
              <w:rPr>
                <w:noProof/>
                <w:webHidden/>
              </w:rPr>
            </w:r>
            <w:r w:rsidR="00EC1377">
              <w:rPr>
                <w:noProof/>
                <w:webHidden/>
              </w:rPr>
              <w:fldChar w:fldCharType="separate"/>
            </w:r>
            <w:r w:rsidR="001806D3">
              <w:rPr>
                <w:noProof/>
                <w:webHidden/>
              </w:rPr>
              <w:t>2</w:t>
            </w:r>
            <w:r w:rsidR="00EC1377">
              <w:rPr>
                <w:noProof/>
                <w:webHidden/>
              </w:rPr>
              <w:fldChar w:fldCharType="end"/>
            </w:r>
          </w:hyperlink>
        </w:p>
        <w:p w:rsidR="00D52A0D" w:rsidRDefault="00FB7CB5">
          <w:pPr>
            <w:pStyle w:val="TOC2"/>
            <w:rPr>
              <w:noProof/>
              <w:lang w:eastAsia="ja-JP"/>
            </w:rPr>
          </w:pPr>
          <w:hyperlink w:anchor="_Toc349642829" w:history="1">
            <w:r w:rsidR="00D52A0D" w:rsidRPr="004572B3">
              <w:rPr>
                <w:rStyle w:val="Hyperlink"/>
                <w:noProof/>
              </w:rPr>
              <w:t>3.</w:t>
            </w:r>
            <w:r w:rsidR="00D52A0D">
              <w:rPr>
                <w:noProof/>
                <w:lang w:eastAsia="ja-JP"/>
              </w:rPr>
              <w:tab/>
            </w:r>
            <w:r w:rsidR="00D52A0D" w:rsidRPr="004572B3">
              <w:rPr>
                <w:rStyle w:val="Hyperlink"/>
                <w:noProof/>
              </w:rPr>
              <w:t>Use of Improved Technology and Burden Reduction</w:t>
            </w:r>
            <w:r w:rsidR="00D52A0D">
              <w:rPr>
                <w:noProof/>
                <w:webHidden/>
              </w:rPr>
              <w:tab/>
            </w:r>
            <w:r w:rsidR="00EC1377">
              <w:rPr>
                <w:noProof/>
                <w:webHidden/>
              </w:rPr>
              <w:fldChar w:fldCharType="begin"/>
            </w:r>
            <w:r w:rsidR="00D52A0D">
              <w:rPr>
                <w:noProof/>
                <w:webHidden/>
              </w:rPr>
              <w:instrText xml:space="preserve"> PAGEREF _Toc349642829 \h </w:instrText>
            </w:r>
            <w:r w:rsidR="00EC1377">
              <w:rPr>
                <w:noProof/>
                <w:webHidden/>
              </w:rPr>
            </w:r>
            <w:r w:rsidR="00EC1377">
              <w:rPr>
                <w:noProof/>
                <w:webHidden/>
              </w:rPr>
              <w:fldChar w:fldCharType="separate"/>
            </w:r>
            <w:r w:rsidR="001806D3">
              <w:rPr>
                <w:noProof/>
                <w:webHidden/>
              </w:rPr>
              <w:t>5</w:t>
            </w:r>
            <w:r w:rsidR="00EC1377">
              <w:rPr>
                <w:noProof/>
                <w:webHidden/>
              </w:rPr>
              <w:fldChar w:fldCharType="end"/>
            </w:r>
          </w:hyperlink>
        </w:p>
        <w:p w:rsidR="00D52A0D" w:rsidRDefault="00FB7CB5">
          <w:pPr>
            <w:pStyle w:val="TOC2"/>
            <w:rPr>
              <w:noProof/>
              <w:lang w:eastAsia="ja-JP"/>
            </w:rPr>
          </w:pPr>
          <w:hyperlink w:anchor="_Toc349642830" w:history="1">
            <w:r w:rsidR="00D52A0D" w:rsidRPr="004572B3">
              <w:rPr>
                <w:rStyle w:val="Hyperlink"/>
                <w:noProof/>
              </w:rPr>
              <w:t>4.</w:t>
            </w:r>
            <w:r w:rsidR="00D52A0D">
              <w:rPr>
                <w:noProof/>
                <w:lang w:eastAsia="ja-JP"/>
              </w:rPr>
              <w:tab/>
            </w:r>
            <w:r w:rsidR="00D52A0D" w:rsidRPr="004572B3">
              <w:rPr>
                <w:rStyle w:val="Hyperlink"/>
                <w:noProof/>
              </w:rPr>
              <w:t>Efforts to Identify Duplication and Use of Similar Information</w:t>
            </w:r>
            <w:r w:rsidR="00D52A0D">
              <w:rPr>
                <w:noProof/>
                <w:webHidden/>
              </w:rPr>
              <w:tab/>
            </w:r>
            <w:r w:rsidR="00EC1377">
              <w:rPr>
                <w:noProof/>
                <w:webHidden/>
              </w:rPr>
              <w:fldChar w:fldCharType="begin"/>
            </w:r>
            <w:r w:rsidR="00D52A0D">
              <w:rPr>
                <w:noProof/>
                <w:webHidden/>
              </w:rPr>
              <w:instrText xml:space="preserve"> PAGEREF _Toc349642830 \h </w:instrText>
            </w:r>
            <w:r w:rsidR="00EC1377">
              <w:rPr>
                <w:noProof/>
                <w:webHidden/>
              </w:rPr>
            </w:r>
            <w:r w:rsidR="00EC1377">
              <w:rPr>
                <w:noProof/>
                <w:webHidden/>
              </w:rPr>
              <w:fldChar w:fldCharType="separate"/>
            </w:r>
            <w:r w:rsidR="001806D3">
              <w:rPr>
                <w:noProof/>
                <w:webHidden/>
              </w:rPr>
              <w:t>5</w:t>
            </w:r>
            <w:r w:rsidR="00EC1377">
              <w:rPr>
                <w:noProof/>
                <w:webHidden/>
              </w:rPr>
              <w:fldChar w:fldCharType="end"/>
            </w:r>
          </w:hyperlink>
        </w:p>
        <w:p w:rsidR="00D52A0D" w:rsidRDefault="00FB7CB5">
          <w:pPr>
            <w:pStyle w:val="TOC2"/>
            <w:rPr>
              <w:noProof/>
              <w:lang w:eastAsia="ja-JP"/>
            </w:rPr>
          </w:pPr>
          <w:hyperlink w:anchor="_Toc349642831" w:history="1">
            <w:r w:rsidR="00D52A0D" w:rsidRPr="004572B3">
              <w:rPr>
                <w:rStyle w:val="Hyperlink"/>
                <w:noProof/>
              </w:rPr>
              <w:t>5.</w:t>
            </w:r>
            <w:r w:rsidR="00D52A0D">
              <w:rPr>
                <w:noProof/>
                <w:lang w:eastAsia="ja-JP"/>
              </w:rPr>
              <w:tab/>
            </w:r>
            <w:r w:rsidR="00D52A0D" w:rsidRPr="004572B3">
              <w:rPr>
                <w:rStyle w:val="Hyperlink"/>
                <w:noProof/>
              </w:rPr>
              <w:t>Impact on Small Businesses or Other Small Entities</w:t>
            </w:r>
            <w:r w:rsidR="00D52A0D">
              <w:rPr>
                <w:noProof/>
                <w:webHidden/>
              </w:rPr>
              <w:tab/>
            </w:r>
            <w:r w:rsidR="00EC1377">
              <w:rPr>
                <w:noProof/>
                <w:webHidden/>
              </w:rPr>
              <w:fldChar w:fldCharType="begin"/>
            </w:r>
            <w:r w:rsidR="00D52A0D">
              <w:rPr>
                <w:noProof/>
                <w:webHidden/>
              </w:rPr>
              <w:instrText xml:space="preserve"> PAGEREF _Toc349642831 \h </w:instrText>
            </w:r>
            <w:r w:rsidR="00EC1377">
              <w:rPr>
                <w:noProof/>
                <w:webHidden/>
              </w:rPr>
            </w:r>
            <w:r w:rsidR="00EC1377">
              <w:rPr>
                <w:noProof/>
                <w:webHidden/>
              </w:rPr>
              <w:fldChar w:fldCharType="separate"/>
            </w:r>
            <w:r w:rsidR="001806D3">
              <w:rPr>
                <w:noProof/>
                <w:webHidden/>
              </w:rPr>
              <w:t>6</w:t>
            </w:r>
            <w:r w:rsidR="00EC1377">
              <w:rPr>
                <w:noProof/>
                <w:webHidden/>
              </w:rPr>
              <w:fldChar w:fldCharType="end"/>
            </w:r>
          </w:hyperlink>
        </w:p>
        <w:p w:rsidR="00D52A0D" w:rsidRDefault="00FB7CB5">
          <w:pPr>
            <w:pStyle w:val="TOC2"/>
            <w:rPr>
              <w:noProof/>
              <w:lang w:eastAsia="ja-JP"/>
            </w:rPr>
          </w:pPr>
          <w:hyperlink w:anchor="_Toc349642832" w:history="1">
            <w:r w:rsidR="00D52A0D" w:rsidRPr="004572B3">
              <w:rPr>
                <w:rStyle w:val="Hyperlink"/>
                <w:noProof/>
              </w:rPr>
              <w:t>6.</w:t>
            </w:r>
            <w:r w:rsidR="00D52A0D">
              <w:rPr>
                <w:noProof/>
                <w:lang w:eastAsia="ja-JP"/>
              </w:rPr>
              <w:tab/>
            </w:r>
            <w:r w:rsidR="00D52A0D" w:rsidRPr="004572B3">
              <w:rPr>
                <w:rStyle w:val="Hyperlink"/>
                <w:noProof/>
              </w:rPr>
              <w:t>Consequences of Collecting the Information Less Frequently</w:t>
            </w:r>
            <w:r w:rsidR="00D52A0D">
              <w:rPr>
                <w:noProof/>
                <w:webHidden/>
              </w:rPr>
              <w:tab/>
            </w:r>
            <w:r w:rsidR="00EC1377">
              <w:rPr>
                <w:noProof/>
                <w:webHidden/>
              </w:rPr>
              <w:fldChar w:fldCharType="begin"/>
            </w:r>
            <w:r w:rsidR="00D52A0D">
              <w:rPr>
                <w:noProof/>
                <w:webHidden/>
              </w:rPr>
              <w:instrText xml:space="preserve"> PAGEREF _Toc349642832 \h </w:instrText>
            </w:r>
            <w:r w:rsidR="00EC1377">
              <w:rPr>
                <w:noProof/>
                <w:webHidden/>
              </w:rPr>
            </w:r>
            <w:r w:rsidR="00EC1377">
              <w:rPr>
                <w:noProof/>
                <w:webHidden/>
              </w:rPr>
              <w:fldChar w:fldCharType="separate"/>
            </w:r>
            <w:r w:rsidR="001806D3">
              <w:rPr>
                <w:noProof/>
                <w:webHidden/>
              </w:rPr>
              <w:t>6</w:t>
            </w:r>
            <w:r w:rsidR="00EC1377">
              <w:rPr>
                <w:noProof/>
                <w:webHidden/>
              </w:rPr>
              <w:fldChar w:fldCharType="end"/>
            </w:r>
          </w:hyperlink>
        </w:p>
        <w:p w:rsidR="00D52A0D" w:rsidRDefault="00FB7CB5">
          <w:pPr>
            <w:pStyle w:val="TOC2"/>
            <w:rPr>
              <w:noProof/>
              <w:lang w:eastAsia="ja-JP"/>
            </w:rPr>
          </w:pPr>
          <w:hyperlink w:anchor="_Toc349642833" w:history="1">
            <w:r w:rsidR="00D52A0D" w:rsidRPr="004572B3">
              <w:rPr>
                <w:rStyle w:val="Hyperlink"/>
                <w:noProof/>
              </w:rPr>
              <w:t>7.</w:t>
            </w:r>
            <w:r w:rsidR="00D52A0D">
              <w:rPr>
                <w:noProof/>
                <w:lang w:eastAsia="ja-JP"/>
              </w:rPr>
              <w:tab/>
            </w:r>
            <w:r w:rsidR="00D52A0D" w:rsidRPr="004572B3">
              <w:rPr>
                <w:rStyle w:val="Hyperlink"/>
                <w:noProof/>
              </w:rPr>
              <w:t>Special Circumstances Relating to the Guidelines of 5 CFR 1320.5</w:t>
            </w:r>
            <w:r w:rsidR="00D52A0D">
              <w:rPr>
                <w:noProof/>
                <w:webHidden/>
              </w:rPr>
              <w:tab/>
            </w:r>
            <w:r w:rsidR="00EC1377">
              <w:rPr>
                <w:noProof/>
                <w:webHidden/>
              </w:rPr>
              <w:fldChar w:fldCharType="begin"/>
            </w:r>
            <w:r w:rsidR="00D52A0D">
              <w:rPr>
                <w:noProof/>
                <w:webHidden/>
              </w:rPr>
              <w:instrText xml:space="preserve"> PAGEREF _Toc349642833 \h </w:instrText>
            </w:r>
            <w:r w:rsidR="00EC1377">
              <w:rPr>
                <w:noProof/>
                <w:webHidden/>
              </w:rPr>
            </w:r>
            <w:r w:rsidR="00EC1377">
              <w:rPr>
                <w:noProof/>
                <w:webHidden/>
              </w:rPr>
              <w:fldChar w:fldCharType="separate"/>
            </w:r>
            <w:r w:rsidR="001806D3">
              <w:rPr>
                <w:noProof/>
                <w:webHidden/>
              </w:rPr>
              <w:t>6</w:t>
            </w:r>
            <w:r w:rsidR="00EC1377">
              <w:rPr>
                <w:noProof/>
                <w:webHidden/>
              </w:rPr>
              <w:fldChar w:fldCharType="end"/>
            </w:r>
          </w:hyperlink>
        </w:p>
        <w:p w:rsidR="00D52A0D" w:rsidRDefault="00FB7CB5">
          <w:pPr>
            <w:pStyle w:val="TOC2"/>
            <w:rPr>
              <w:noProof/>
              <w:lang w:eastAsia="ja-JP"/>
            </w:rPr>
          </w:pPr>
          <w:hyperlink w:anchor="_Toc349642834" w:history="1">
            <w:r w:rsidR="00D52A0D" w:rsidRPr="004572B3">
              <w:rPr>
                <w:rStyle w:val="Hyperlink"/>
                <w:noProof/>
              </w:rPr>
              <w:t>8.</w:t>
            </w:r>
            <w:r w:rsidR="00D52A0D">
              <w:rPr>
                <w:noProof/>
                <w:lang w:eastAsia="ja-JP"/>
              </w:rPr>
              <w:tab/>
            </w:r>
            <w:r w:rsidR="00D52A0D" w:rsidRPr="004572B3">
              <w:rPr>
                <w:rStyle w:val="Hyperlink"/>
                <w:noProof/>
              </w:rPr>
              <w:t>Comments in Response to the Federal Register Notice and Efforts to</w:t>
            </w:r>
            <w:r w:rsidR="00D52A0D">
              <w:rPr>
                <w:rStyle w:val="Hyperlink"/>
                <w:noProof/>
              </w:rPr>
              <w:br/>
              <w:t xml:space="preserve">            </w:t>
            </w:r>
            <w:r w:rsidR="00D52A0D" w:rsidRPr="004572B3">
              <w:rPr>
                <w:rStyle w:val="Hyperlink"/>
                <w:noProof/>
              </w:rPr>
              <w:t xml:space="preserve"> Consult Outside the Agency</w:t>
            </w:r>
            <w:r w:rsidR="00D52A0D">
              <w:rPr>
                <w:noProof/>
                <w:webHidden/>
              </w:rPr>
              <w:tab/>
            </w:r>
            <w:r w:rsidR="00EC1377">
              <w:rPr>
                <w:noProof/>
                <w:webHidden/>
              </w:rPr>
              <w:fldChar w:fldCharType="begin"/>
            </w:r>
            <w:r w:rsidR="00D52A0D">
              <w:rPr>
                <w:noProof/>
                <w:webHidden/>
              </w:rPr>
              <w:instrText xml:space="preserve"> PAGEREF _Toc349642834 \h </w:instrText>
            </w:r>
            <w:r w:rsidR="00EC1377">
              <w:rPr>
                <w:noProof/>
                <w:webHidden/>
              </w:rPr>
            </w:r>
            <w:r w:rsidR="00EC1377">
              <w:rPr>
                <w:noProof/>
                <w:webHidden/>
              </w:rPr>
              <w:fldChar w:fldCharType="separate"/>
            </w:r>
            <w:r w:rsidR="001806D3">
              <w:rPr>
                <w:noProof/>
                <w:webHidden/>
              </w:rPr>
              <w:t>6</w:t>
            </w:r>
            <w:r w:rsidR="00EC1377">
              <w:rPr>
                <w:noProof/>
                <w:webHidden/>
              </w:rPr>
              <w:fldChar w:fldCharType="end"/>
            </w:r>
          </w:hyperlink>
        </w:p>
        <w:p w:rsidR="00D52A0D" w:rsidRDefault="00FB7CB5">
          <w:pPr>
            <w:pStyle w:val="TOC2"/>
            <w:rPr>
              <w:noProof/>
              <w:lang w:eastAsia="ja-JP"/>
            </w:rPr>
          </w:pPr>
          <w:hyperlink w:anchor="_Toc349642835" w:history="1">
            <w:r w:rsidR="00D52A0D" w:rsidRPr="004572B3">
              <w:rPr>
                <w:rStyle w:val="Hyperlink"/>
                <w:noProof/>
              </w:rPr>
              <w:t>9.</w:t>
            </w:r>
            <w:r w:rsidR="00D52A0D">
              <w:rPr>
                <w:noProof/>
                <w:lang w:eastAsia="ja-JP"/>
              </w:rPr>
              <w:tab/>
            </w:r>
            <w:r w:rsidR="00D52A0D" w:rsidRPr="004572B3">
              <w:rPr>
                <w:rStyle w:val="Hyperlink"/>
                <w:noProof/>
              </w:rPr>
              <w:t>Explanation of Any Payment or Gift to Respondents</w:t>
            </w:r>
            <w:r w:rsidR="00D52A0D">
              <w:rPr>
                <w:noProof/>
                <w:webHidden/>
              </w:rPr>
              <w:tab/>
            </w:r>
            <w:r w:rsidR="00EC1377">
              <w:rPr>
                <w:noProof/>
                <w:webHidden/>
              </w:rPr>
              <w:fldChar w:fldCharType="begin"/>
            </w:r>
            <w:r w:rsidR="00D52A0D">
              <w:rPr>
                <w:noProof/>
                <w:webHidden/>
              </w:rPr>
              <w:instrText xml:space="preserve"> PAGEREF _Toc349642835 \h </w:instrText>
            </w:r>
            <w:r w:rsidR="00EC1377">
              <w:rPr>
                <w:noProof/>
                <w:webHidden/>
              </w:rPr>
            </w:r>
            <w:r w:rsidR="00EC1377">
              <w:rPr>
                <w:noProof/>
                <w:webHidden/>
              </w:rPr>
              <w:fldChar w:fldCharType="separate"/>
            </w:r>
            <w:r w:rsidR="001806D3">
              <w:rPr>
                <w:noProof/>
                <w:webHidden/>
              </w:rPr>
              <w:t>7</w:t>
            </w:r>
            <w:r w:rsidR="00EC1377">
              <w:rPr>
                <w:noProof/>
                <w:webHidden/>
              </w:rPr>
              <w:fldChar w:fldCharType="end"/>
            </w:r>
          </w:hyperlink>
        </w:p>
        <w:p w:rsidR="00D52A0D" w:rsidRDefault="00FB7CB5">
          <w:pPr>
            <w:pStyle w:val="TOC2"/>
            <w:rPr>
              <w:noProof/>
              <w:lang w:eastAsia="ja-JP"/>
            </w:rPr>
          </w:pPr>
          <w:hyperlink w:anchor="_Toc349642836" w:history="1">
            <w:r w:rsidR="00D52A0D" w:rsidRPr="004572B3">
              <w:rPr>
                <w:rStyle w:val="Hyperlink"/>
                <w:noProof/>
              </w:rPr>
              <w:t>10.</w:t>
            </w:r>
            <w:r w:rsidR="00D52A0D">
              <w:rPr>
                <w:noProof/>
                <w:lang w:eastAsia="ja-JP"/>
              </w:rPr>
              <w:tab/>
            </w:r>
            <w:r w:rsidR="00D52A0D" w:rsidRPr="004572B3">
              <w:rPr>
                <w:rStyle w:val="Hyperlink"/>
                <w:noProof/>
              </w:rPr>
              <w:t>Assurance of Confidentiality Provided to Respondents</w:t>
            </w:r>
            <w:r w:rsidR="00D52A0D">
              <w:rPr>
                <w:noProof/>
                <w:webHidden/>
              </w:rPr>
              <w:tab/>
            </w:r>
            <w:r w:rsidR="00EC1377">
              <w:rPr>
                <w:noProof/>
                <w:webHidden/>
              </w:rPr>
              <w:fldChar w:fldCharType="begin"/>
            </w:r>
            <w:r w:rsidR="00D52A0D">
              <w:rPr>
                <w:noProof/>
                <w:webHidden/>
              </w:rPr>
              <w:instrText xml:space="preserve"> PAGEREF _Toc349642836 \h </w:instrText>
            </w:r>
            <w:r w:rsidR="00EC1377">
              <w:rPr>
                <w:noProof/>
                <w:webHidden/>
              </w:rPr>
            </w:r>
            <w:r w:rsidR="00EC1377">
              <w:rPr>
                <w:noProof/>
                <w:webHidden/>
              </w:rPr>
              <w:fldChar w:fldCharType="separate"/>
            </w:r>
            <w:r w:rsidR="001806D3">
              <w:rPr>
                <w:noProof/>
                <w:webHidden/>
              </w:rPr>
              <w:t>7</w:t>
            </w:r>
            <w:r w:rsidR="00EC1377">
              <w:rPr>
                <w:noProof/>
                <w:webHidden/>
              </w:rPr>
              <w:fldChar w:fldCharType="end"/>
            </w:r>
          </w:hyperlink>
        </w:p>
        <w:p w:rsidR="00D52A0D" w:rsidRDefault="00FB7CB5">
          <w:pPr>
            <w:pStyle w:val="TOC2"/>
            <w:rPr>
              <w:noProof/>
              <w:lang w:eastAsia="ja-JP"/>
            </w:rPr>
          </w:pPr>
          <w:hyperlink w:anchor="_Toc349642837" w:history="1">
            <w:r w:rsidR="00D52A0D" w:rsidRPr="004572B3">
              <w:rPr>
                <w:rStyle w:val="Hyperlink"/>
                <w:noProof/>
              </w:rPr>
              <w:t>11.</w:t>
            </w:r>
            <w:r w:rsidR="00D52A0D">
              <w:rPr>
                <w:noProof/>
                <w:lang w:eastAsia="ja-JP"/>
              </w:rPr>
              <w:tab/>
            </w:r>
            <w:r w:rsidR="00D52A0D" w:rsidRPr="004572B3">
              <w:rPr>
                <w:rStyle w:val="Hyperlink"/>
                <w:noProof/>
              </w:rPr>
              <w:t>Justification for Sensitive Questions</w:t>
            </w:r>
            <w:r w:rsidR="00D52A0D">
              <w:rPr>
                <w:noProof/>
                <w:webHidden/>
              </w:rPr>
              <w:tab/>
            </w:r>
            <w:r w:rsidR="00EC1377">
              <w:rPr>
                <w:noProof/>
                <w:webHidden/>
              </w:rPr>
              <w:fldChar w:fldCharType="begin"/>
            </w:r>
            <w:r w:rsidR="00D52A0D">
              <w:rPr>
                <w:noProof/>
                <w:webHidden/>
              </w:rPr>
              <w:instrText xml:space="preserve"> PAGEREF _Toc349642837 \h </w:instrText>
            </w:r>
            <w:r w:rsidR="00EC1377">
              <w:rPr>
                <w:noProof/>
                <w:webHidden/>
              </w:rPr>
            </w:r>
            <w:r w:rsidR="00EC1377">
              <w:rPr>
                <w:noProof/>
                <w:webHidden/>
              </w:rPr>
              <w:fldChar w:fldCharType="separate"/>
            </w:r>
            <w:r w:rsidR="001806D3">
              <w:rPr>
                <w:noProof/>
                <w:webHidden/>
              </w:rPr>
              <w:t>8</w:t>
            </w:r>
            <w:r w:rsidR="00EC1377">
              <w:rPr>
                <w:noProof/>
                <w:webHidden/>
              </w:rPr>
              <w:fldChar w:fldCharType="end"/>
            </w:r>
          </w:hyperlink>
        </w:p>
        <w:p w:rsidR="00D52A0D" w:rsidRDefault="00FB7CB5">
          <w:pPr>
            <w:pStyle w:val="TOC2"/>
            <w:rPr>
              <w:noProof/>
              <w:lang w:eastAsia="ja-JP"/>
            </w:rPr>
          </w:pPr>
          <w:hyperlink w:anchor="_Toc349642838" w:history="1">
            <w:r w:rsidR="00D52A0D" w:rsidRPr="004572B3">
              <w:rPr>
                <w:rStyle w:val="Hyperlink"/>
                <w:noProof/>
              </w:rPr>
              <w:t>12.</w:t>
            </w:r>
            <w:r w:rsidR="00D52A0D">
              <w:rPr>
                <w:noProof/>
                <w:lang w:eastAsia="ja-JP"/>
              </w:rPr>
              <w:tab/>
            </w:r>
            <w:r w:rsidR="00D52A0D" w:rsidRPr="004572B3">
              <w:rPr>
                <w:rStyle w:val="Hyperlink"/>
                <w:noProof/>
              </w:rPr>
              <w:t>Estimates of Annualized Burden Hours and Costs</w:t>
            </w:r>
            <w:r w:rsidR="00D52A0D">
              <w:rPr>
                <w:noProof/>
                <w:webHidden/>
              </w:rPr>
              <w:tab/>
            </w:r>
            <w:r w:rsidR="00EC1377">
              <w:rPr>
                <w:noProof/>
                <w:webHidden/>
              </w:rPr>
              <w:fldChar w:fldCharType="begin"/>
            </w:r>
            <w:r w:rsidR="00D52A0D">
              <w:rPr>
                <w:noProof/>
                <w:webHidden/>
              </w:rPr>
              <w:instrText xml:space="preserve"> PAGEREF _Toc349642838 \h </w:instrText>
            </w:r>
            <w:r w:rsidR="00EC1377">
              <w:rPr>
                <w:noProof/>
                <w:webHidden/>
              </w:rPr>
            </w:r>
            <w:r w:rsidR="00EC1377">
              <w:rPr>
                <w:noProof/>
                <w:webHidden/>
              </w:rPr>
              <w:fldChar w:fldCharType="separate"/>
            </w:r>
            <w:r w:rsidR="001806D3">
              <w:rPr>
                <w:noProof/>
                <w:webHidden/>
              </w:rPr>
              <w:t>8</w:t>
            </w:r>
            <w:r w:rsidR="00EC1377">
              <w:rPr>
                <w:noProof/>
                <w:webHidden/>
              </w:rPr>
              <w:fldChar w:fldCharType="end"/>
            </w:r>
          </w:hyperlink>
        </w:p>
        <w:p w:rsidR="00D52A0D" w:rsidRDefault="00FB7CB5">
          <w:pPr>
            <w:pStyle w:val="TOC2"/>
            <w:rPr>
              <w:noProof/>
              <w:lang w:eastAsia="ja-JP"/>
            </w:rPr>
          </w:pPr>
          <w:hyperlink w:anchor="_Toc349642839" w:history="1">
            <w:r w:rsidR="00D52A0D" w:rsidRPr="004572B3">
              <w:rPr>
                <w:rStyle w:val="Hyperlink"/>
                <w:noProof/>
              </w:rPr>
              <w:t>13.</w:t>
            </w:r>
            <w:r w:rsidR="00D52A0D">
              <w:rPr>
                <w:noProof/>
                <w:lang w:eastAsia="ja-JP"/>
              </w:rPr>
              <w:tab/>
            </w:r>
            <w:r w:rsidR="00D52A0D" w:rsidRPr="004572B3">
              <w:rPr>
                <w:rStyle w:val="Hyperlink"/>
                <w:noProof/>
              </w:rPr>
              <w:t>Estimates of Other Total Annual Cost Burden to Respondents and Record Keepers</w:t>
            </w:r>
            <w:r w:rsidR="00D52A0D">
              <w:rPr>
                <w:noProof/>
                <w:webHidden/>
              </w:rPr>
              <w:tab/>
            </w:r>
            <w:r w:rsidR="00EC1377">
              <w:rPr>
                <w:noProof/>
                <w:webHidden/>
              </w:rPr>
              <w:fldChar w:fldCharType="begin"/>
            </w:r>
            <w:r w:rsidR="00D52A0D">
              <w:rPr>
                <w:noProof/>
                <w:webHidden/>
              </w:rPr>
              <w:instrText xml:space="preserve"> PAGEREF _Toc349642839 \h </w:instrText>
            </w:r>
            <w:r w:rsidR="00EC1377">
              <w:rPr>
                <w:noProof/>
                <w:webHidden/>
              </w:rPr>
            </w:r>
            <w:r w:rsidR="00EC1377">
              <w:rPr>
                <w:noProof/>
                <w:webHidden/>
              </w:rPr>
              <w:fldChar w:fldCharType="separate"/>
            </w:r>
            <w:r w:rsidR="001806D3">
              <w:rPr>
                <w:noProof/>
                <w:webHidden/>
              </w:rPr>
              <w:t>10</w:t>
            </w:r>
            <w:r w:rsidR="00EC1377">
              <w:rPr>
                <w:noProof/>
                <w:webHidden/>
              </w:rPr>
              <w:fldChar w:fldCharType="end"/>
            </w:r>
          </w:hyperlink>
        </w:p>
        <w:p w:rsidR="00D52A0D" w:rsidRDefault="00FB7CB5">
          <w:pPr>
            <w:pStyle w:val="TOC2"/>
            <w:rPr>
              <w:noProof/>
              <w:lang w:eastAsia="ja-JP"/>
            </w:rPr>
          </w:pPr>
          <w:hyperlink w:anchor="_Toc349642840" w:history="1">
            <w:r w:rsidR="00D52A0D" w:rsidRPr="004572B3">
              <w:rPr>
                <w:rStyle w:val="Hyperlink"/>
                <w:noProof/>
              </w:rPr>
              <w:t>14.</w:t>
            </w:r>
            <w:r w:rsidR="00D52A0D">
              <w:rPr>
                <w:noProof/>
                <w:lang w:eastAsia="ja-JP"/>
              </w:rPr>
              <w:tab/>
            </w:r>
            <w:r w:rsidR="00D52A0D" w:rsidRPr="004572B3">
              <w:rPr>
                <w:rStyle w:val="Hyperlink"/>
                <w:noProof/>
              </w:rPr>
              <w:t>Annualized Cost to the Federal Government</w:t>
            </w:r>
            <w:r w:rsidR="00D52A0D">
              <w:rPr>
                <w:noProof/>
                <w:webHidden/>
              </w:rPr>
              <w:tab/>
            </w:r>
            <w:r w:rsidR="00EC1377">
              <w:rPr>
                <w:noProof/>
                <w:webHidden/>
              </w:rPr>
              <w:fldChar w:fldCharType="begin"/>
            </w:r>
            <w:r w:rsidR="00D52A0D">
              <w:rPr>
                <w:noProof/>
                <w:webHidden/>
              </w:rPr>
              <w:instrText xml:space="preserve"> PAGEREF _Toc349642840 \h </w:instrText>
            </w:r>
            <w:r w:rsidR="00EC1377">
              <w:rPr>
                <w:noProof/>
                <w:webHidden/>
              </w:rPr>
            </w:r>
            <w:r w:rsidR="00EC1377">
              <w:rPr>
                <w:noProof/>
                <w:webHidden/>
              </w:rPr>
              <w:fldChar w:fldCharType="separate"/>
            </w:r>
            <w:r w:rsidR="001806D3">
              <w:rPr>
                <w:noProof/>
                <w:webHidden/>
              </w:rPr>
              <w:t>10</w:t>
            </w:r>
            <w:r w:rsidR="00EC1377">
              <w:rPr>
                <w:noProof/>
                <w:webHidden/>
              </w:rPr>
              <w:fldChar w:fldCharType="end"/>
            </w:r>
          </w:hyperlink>
        </w:p>
        <w:p w:rsidR="00D52A0D" w:rsidRDefault="00FB7CB5">
          <w:pPr>
            <w:pStyle w:val="TOC2"/>
            <w:rPr>
              <w:noProof/>
              <w:lang w:eastAsia="ja-JP"/>
            </w:rPr>
          </w:pPr>
          <w:hyperlink w:anchor="_Toc349642841" w:history="1">
            <w:r w:rsidR="00D52A0D" w:rsidRPr="004572B3">
              <w:rPr>
                <w:rStyle w:val="Hyperlink"/>
                <w:noProof/>
              </w:rPr>
              <w:t>15.</w:t>
            </w:r>
            <w:r w:rsidR="00D52A0D">
              <w:rPr>
                <w:noProof/>
                <w:lang w:eastAsia="ja-JP"/>
              </w:rPr>
              <w:tab/>
            </w:r>
            <w:r w:rsidR="00D52A0D" w:rsidRPr="004572B3">
              <w:rPr>
                <w:rStyle w:val="Hyperlink"/>
                <w:noProof/>
              </w:rPr>
              <w:t>Explanation for Program Changes or Adjustments</w:t>
            </w:r>
            <w:r w:rsidR="00D52A0D">
              <w:rPr>
                <w:noProof/>
                <w:webHidden/>
              </w:rPr>
              <w:tab/>
            </w:r>
            <w:r w:rsidR="00EC1377">
              <w:rPr>
                <w:noProof/>
                <w:webHidden/>
              </w:rPr>
              <w:fldChar w:fldCharType="begin"/>
            </w:r>
            <w:r w:rsidR="00D52A0D">
              <w:rPr>
                <w:noProof/>
                <w:webHidden/>
              </w:rPr>
              <w:instrText xml:space="preserve"> PAGEREF _Toc349642841 \h </w:instrText>
            </w:r>
            <w:r w:rsidR="00EC1377">
              <w:rPr>
                <w:noProof/>
                <w:webHidden/>
              </w:rPr>
            </w:r>
            <w:r w:rsidR="00EC1377">
              <w:rPr>
                <w:noProof/>
                <w:webHidden/>
              </w:rPr>
              <w:fldChar w:fldCharType="separate"/>
            </w:r>
            <w:r w:rsidR="001806D3">
              <w:rPr>
                <w:noProof/>
                <w:webHidden/>
              </w:rPr>
              <w:t>10</w:t>
            </w:r>
            <w:r w:rsidR="00EC1377">
              <w:rPr>
                <w:noProof/>
                <w:webHidden/>
              </w:rPr>
              <w:fldChar w:fldCharType="end"/>
            </w:r>
          </w:hyperlink>
        </w:p>
        <w:p w:rsidR="00D52A0D" w:rsidRDefault="00FB7CB5">
          <w:pPr>
            <w:pStyle w:val="TOC2"/>
            <w:rPr>
              <w:noProof/>
              <w:lang w:eastAsia="ja-JP"/>
            </w:rPr>
          </w:pPr>
          <w:hyperlink w:anchor="_Toc349642842" w:history="1">
            <w:r w:rsidR="00D52A0D" w:rsidRPr="004572B3">
              <w:rPr>
                <w:rStyle w:val="Hyperlink"/>
                <w:noProof/>
              </w:rPr>
              <w:t>16.</w:t>
            </w:r>
            <w:r w:rsidR="00D52A0D">
              <w:rPr>
                <w:noProof/>
                <w:lang w:eastAsia="ja-JP"/>
              </w:rPr>
              <w:tab/>
            </w:r>
            <w:r w:rsidR="00D52A0D" w:rsidRPr="004572B3">
              <w:rPr>
                <w:rStyle w:val="Hyperlink"/>
                <w:noProof/>
              </w:rPr>
              <w:t>Plans for Tabulation and Publication and Project Time Schedule</w:t>
            </w:r>
            <w:r w:rsidR="00D52A0D">
              <w:rPr>
                <w:noProof/>
                <w:webHidden/>
              </w:rPr>
              <w:tab/>
            </w:r>
            <w:r w:rsidR="00EC1377">
              <w:rPr>
                <w:noProof/>
                <w:webHidden/>
              </w:rPr>
              <w:fldChar w:fldCharType="begin"/>
            </w:r>
            <w:r w:rsidR="00D52A0D">
              <w:rPr>
                <w:noProof/>
                <w:webHidden/>
              </w:rPr>
              <w:instrText xml:space="preserve"> PAGEREF _Toc349642842 \h </w:instrText>
            </w:r>
            <w:r w:rsidR="00EC1377">
              <w:rPr>
                <w:noProof/>
                <w:webHidden/>
              </w:rPr>
            </w:r>
            <w:r w:rsidR="00EC1377">
              <w:rPr>
                <w:noProof/>
                <w:webHidden/>
              </w:rPr>
              <w:fldChar w:fldCharType="separate"/>
            </w:r>
            <w:r w:rsidR="001806D3">
              <w:rPr>
                <w:noProof/>
                <w:webHidden/>
              </w:rPr>
              <w:t>10</w:t>
            </w:r>
            <w:r w:rsidR="00EC1377">
              <w:rPr>
                <w:noProof/>
                <w:webHidden/>
              </w:rPr>
              <w:fldChar w:fldCharType="end"/>
            </w:r>
          </w:hyperlink>
        </w:p>
        <w:p w:rsidR="00D52A0D" w:rsidRDefault="00FB7CB5">
          <w:pPr>
            <w:pStyle w:val="TOC2"/>
            <w:rPr>
              <w:noProof/>
              <w:lang w:eastAsia="ja-JP"/>
            </w:rPr>
          </w:pPr>
          <w:hyperlink w:anchor="_Toc349642843" w:history="1">
            <w:r w:rsidR="00D52A0D" w:rsidRPr="004572B3">
              <w:rPr>
                <w:rStyle w:val="Hyperlink"/>
                <w:noProof/>
              </w:rPr>
              <w:t>17.</w:t>
            </w:r>
            <w:r w:rsidR="00D52A0D">
              <w:rPr>
                <w:noProof/>
                <w:lang w:eastAsia="ja-JP"/>
              </w:rPr>
              <w:tab/>
            </w:r>
            <w:r w:rsidR="00D52A0D" w:rsidRPr="004572B3">
              <w:rPr>
                <w:rStyle w:val="Hyperlink"/>
                <w:noProof/>
              </w:rPr>
              <w:t>Reason(s) Display of OMB Expiration Date is Inappropriate</w:t>
            </w:r>
            <w:r w:rsidR="00D52A0D">
              <w:rPr>
                <w:noProof/>
                <w:webHidden/>
              </w:rPr>
              <w:tab/>
            </w:r>
            <w:r w:rsidR="00EC1377">
              <w:rPr>
                <w:noProof/>
                <w:webHidden/>
              </w:rPr>
              <w:fldChar w:fldCharType="begin"/>
            </w:r>
            <w:r w:rsidR="00D52A0D">
              <w:rPr>
                <w:noProof/>
                <w:webHidden/>
              </w:rPr>
              <w:instrText xml:space="preserve"> PAGEREF _Toc349642843 \h </w:instrText>
            </w:r>
            <w:r w:rsidR="00EC1377">
              <w:rPr>
                <w:noProof/>
                <w:webHidden/>
              </w:rPr>
            </w:r>
            <w:r w:rsidR="00EC1377">
              <w:rPr>
                <w:noProof/>
                <w:webHidden/>
              </w:rPr>
              <w:fldChar w:fldCharType="separate"/>
            </w:r>
            <w:r w:rsidR="001806D3">
              <w:rPr>
                <w:noProof/>
                <w:webHidden/>
              </w:rPr>
              <w:t>10</w:t>
            </w:r>
            <w:r w:rsidR="00EC1377">
              <w:rPr>
                <w:noProof/>
                <w:webHidden/>
              </w:rPr>
              <w:fldChar w:fldCharType="end"/>
            </w:r>
          </w:hyperlink>
        </w:p>
        <w:p w:rsidR="00D52A0D" w:rsidRDefault="00FB7CB5">
          <w:pPr>
            <w:pStyle w:val="TOC2"/>
            <w:rPr>
              <w:noProof/>
              <w:lang w:eastAsia="ja-JP"/>
            </w:rPr>
          </w:pPr>
          <w:hyperlink w:anchor="_Toc349642844" w:history="1">
            <w:r w:rsidR="00D52A0D" w:rsidRPr="004572B3">
              <w:rPr>
                <w:rStyle w:val="Hyperlink"/>
                <w:noProof/>
              </w:rPr>
              <w:t>18.</w:t>
            </w:r>
            <w:r w:rsidR="00D52A0D">
              <w:rPr>
                <w:noProof/>
                <w:lang w:eastAsia="ja-JP"/>
              </w:rPr>
              <w:tab/>
            </w:r>
            <w:r w:rsidR="00D52A0D" w:rsidRPr="004572B3">
              <w:rPr>
                <w:rStyle w:val="Hyperlink"/>
                <w:noProof/>
              </w:rPr>
              <w:t>Exceptions to Certification for Paperwork Reduction Act Submissions</w:t>
            </w:r>
            <w:r w:rsidR="00D52A0D">
              <w:rPr>
                <w:noProof/>
                <w:webHidden/>
              </w:rPr>
              <w:tab/>
            </w:r>
            <w:r w:rsidR="00EC1377">
              <w:rPr>
                <w:noProof/>
                <w:webHidden/>
              </w:rPr>
              <w:fldChar w:fldCharType="begin"/>
            </w:r>
            <w:r w:rsidR="00D52A0D">
              <w:rPr>
                <w:noProof/>
                <w:webHidden/>
              </w:rPr>
              <w:instrText xml:space="preserve"> PAGEREF _Toc349642844 \h </w:instrText>
            </w:r>
            <w:r w:rsidR="00EC1377">
              <w:rPr>
                <w:noProof/>
                <w:webHidden/>
              </w:rPr>
            </w:r>
            <w:r w:rsidR="00EC1377">
              <w:rPr>
                <w:noProof/>
                <w:webHidden/>
              </w:rPr>
              <w:fldChar w:fldCharType="separate"/>
            </w:r>
            <w:r w:rsidR="001806D3">
              <w:rPr>
                <w:b/>
                <w:bCs/>
                <w:noProof/>
                <w:webHidden/>
              </w:rPr>
              <w:t>Error! Bookmark not defined.</w:t>
            </w:r>
            <w:r w:rsidR="00EC1377">
              <w:rPr>
                <w:noProof/>
                <w:webHidden/>
              </w:rPr>
              <w:fldChar w:fldCharType="end"/>
            </w:r>
          </w:hyperlink>
        </w:p>
        <w:p w:rsidR="00D52A0D" w:rsidRDefault="00FB7CB5">
          <w:pPr>
            <w:pStyle w:val="TOC1"/>
            <w:tabs>
              <w:tab w:val="right" w:leader="dot" w:pos="9350"/>
            </w:tabs>
            <w:rPr>
              <w:noProof/>
              <w:lang w:eastAsia="ja-JP"/>
            </w:rPr>
          </w:pPr>
          <w:hyperlink w:anchor="_Toc349642845" w:history="1">
            <w:r w:rsidR="00D52A0D" w:rsidRPr="004572B3">
              <w:rPr>
                <w:rStyle w:val="Hyperlink"/>
                <w:noProof/>
              </w:rPr>
              <w:t>Part B. Statistical Methods</w:t>
            </w:r>
            <w:r w:rsidR="00D52A0D">
              <w:rPr>
                <w:noProof/>
                <w:webHidden/>
              </w:rPr>
              <w:tab/>
            </w:r>
            <w:r w:rsidR="00EC1377">
              <w:rPr>
                <w:noProof/>
                <w:webHidden/>
              </w:rPr>
              <w:fldChar w:fldCharType="begin"/>
            </w:r>
            <w:r w:rsidR="00D52A0D">
              <w:rPr>
                <w:noProof/>
                <w:webHidden/>
              </w:rPr>
              <w:instrText xml:space="preserve"> PAGEREF _Toc349642845 \h </w:instrText>
            </w:r>
            <w:r w:rsidR="00EC1377">
              <w:rPr>
                <w:noProof/>
                <w:webHidden/>
              </w:rPr>
            </w:r>
            <w:r w:rsidR="00EC1377">
              <w:rPr>
                <w:noProof/>
                <w:webHidden/>
              </w:rPr>
              <w:fldChar w:fldCharType="separate"/>
            </w:r>
            <w:r w:rsidR="001806D3">
              <w:rPr>
                <w:b/>
                <w:bCs/>
                <w:noProof/>
                <w:webHidden/>
              </w:rPr>
              <w:t>Error! Bookmark not defined.</w:t>
            </w:r>
            <w:r w:rsidR="00EC1377">
              <w:rPr>
                <w:noProof/>
                <w:webHidden/>
              </w:rPr>
              <w:fldChar w:fldCharType="end"/>
            </w:r>
          </w:hyperlink>
        </w:p>
        <w:p w:rsidR="00E92DA2" w:rsidRDefault="00EC1377">
          <w:r>
            <w:fldChar w:fldCharType="end"/>
          </w:r>
        </w:p>
      </w:sdtContent>
    </w:sdt>
    <w:p w:rsidR="00A8421E" w:rsidRDefault="00A8421E">
      <w:pPr>
        <w:spacing w:after="0" w:line="240" w:lineRule="auto"/>
        <w:sectPr w:rsidR="00A8421E" w:rsidSect="00E92DA2">
          <w:footerReference w:type="default" r:id="rId9"/>
          <w:pgSz w:w="12240" w:h="15840"/>
          <w:pgMar w:top="1440" w:right="1440" w:bottom="1440" w:left="1440" w:header="1296" w:footer="158" w:gutter="0"/>
          <w:cols w:space="720"/>
          <w:noEndnote/>
          <w:titlePg/>
          <w:docGrid w:linePitch="299"/>
        </w:sectPr>
      </w:pPr>
    </w:p>
    <w:p w:rsidR="00E9602A" w:rsidRDefault="00BA77B5">
      <w:pPr>
        <w:pStyle w:val="Heading1"/>
        <w:spacing w:before="0" w:after="0"/>
      </w:pPr>
      <w:bookmarkStart w:id="0" w:name="_Toc349642826"/>
      <w:r>
        <w:lastRenderedPageBreak/>
        <w:t>Part A.</w:t>
      </w:r>
      <w:r w:rsidR="00E11506">
        <w:t xml:space="preserve"> </w:t>
      </w:r>
      <w:r>
        <w:t>Justification</w:t>
      </w:r>
      <w:bookmarkEnd w:id="0"/>
    </w:p>
    <w:p w:rsidR="00E9602A" w:rsidRDefault="00E9602A">
      <w:pPr>
        <w:pStyle w:val="Heading1"/>
        <w:spacing w:before="0" w:after="0"/>
      </w:pPr>
    </w:p>
    <w:p w:rsidR="00964B66" w:rsidRPr="00380DF7" w:rsidRDefault="00BA77B5" w:rsidP="00E9602A">
      <w:pPr>
        <w:spacing w:after="0" w:line="240" w:lineRule="auto"/>
      </w:pPr>
      <w:r w:rsidRPr="00E9602A">
        <w:t xml:space="preserve">This supporting statement is submitted to request approval </w:t>
      </w:r>
      <w:r w:rsidR="00E9602A">
        <w:t>from</w:t>
      </w:r>
      <w:r w:rsidR="00E9602A" w:rsidRPr="00E9602A">
        <w:t xml:space="preserve"> </w:t>
      </w:r>
      <w:r w:rsidRPr="00E9602A">
        <w:t xml:space="preserve">the </w:t>
      </w:r>
      <w:r w:rsidR="00B14644" w:rsidRPr="00B14644">
        <w:t>Office of Management and Budget (OMB)</w:t>
      </w:r>
      <w:r>
        <w:rPr>
          <w:sz w:val="23"/>
          <w:szCs w:val="23"/>
        </w:rPr>
        <w:t xml:space="preserve"> </w:t>
      </w:r>
      <w:r w:rsidR="00E9602A">
        <w:t xml:space="preserve">for </w:t>
      </w:r>
      <w:r>
        <w:t xml:space="preserve">data collection instruments that will be used in the </w:t>
      </w:r>
      <w:r>
        <w:rPr>
          <w:rFonts w:cs="Times New Roman"/>
        </w:rPr>
        <w:t xml:space="preserve">Centers for Medicare and Medicaid Services (CMS)’s </w:t>
      </w:r>
      <w:r>
        <w:t>Evaluation of the Rural Community Hospital Demonstration (RCHD).</w:t>
      </w:r>
      <w:r w:rsidR="00E11506">
        <w:t xml:space="preserve"> </w:t>
      </w:r>
    </w:p>
    <w:p w:rsidR="00964B66" w:rsidRPr="00380DF7" w:rsidRDefault="00964B66" w:rsidP="00964B66">
      <w:pPr>
        <w:spacing w:after="0" w:line="240" w:lineRule="auto"/>
      </w:pPr>
    </w:p>
    <w:p w:rsidR="00E9602A" w:rsidRDefault="00BA77B5">
      <w:pPr>
        <w:pStyle w:val="Heading2"/>
        <w:numPr>
          <w:ilvl w:val="0"/>
          <w:numId w:val="14"/>
        </w:numPr>
        <w:ind w:left="360"/>
      </w:pPr>
      <w:bookmarkStart w:id="1" w:name="_Toc349642827"/>
      <w:r>
        <w:t>Circumstances Making the Collection of Information Necessary</w:t>
      </w:r>
      <w:bookmarkEnd w:id="1"/>
    </w:p>
    <w:p w:rsidR="00E9602A" w:rsidRDefault="00BA77B5" w:rsidP="00BF405B">
      <w:pPr>
        <w:spacing w:after="0" w:line="240" w:lineRule="auto"/>
        <w:rPr>
          <w:rFonts w:cs="Times New Roman"/>
        </w:rPr>
      </w:pPr>
      <w:r>
        <w:t xml:space="preserve">The data collection for which </w:t>
      </w:r>
      <w:r w:rsidR="00BF405B">
        <w:t xml:space="preserve">this statement seeks </w:t>
      </w:r>
      <w:r>
        <w:t>OMB clearance is necessary to meet the reporting requirement for the RCHD, as stipulated by law.</w:t>
      </w:r>
      <w:r w:rsidR="00E11506">
        <w:t xml:space="preserve"> </w:t>
      </w:r>
    </w:p>
    <w:p w:rsidR="00E9602A" w:rsidRDefault="00E9602A">
      <w:pPr>
        <w:spacing w:after="0" w:line="240" w:lineRule="auto"/>
        <w:rPr>
          <w:rFonts w:cs="Times New Roman"/>
        </w:rPr>
      </w:pPr>
    </w:p>
    <w:p w:rsidR="00E9602A" w:rsidRDefault="00BA77B5">
      <w:pPr>
        <w:spacing w:after="0" w:line="240" w:lineRule="auto"/>
        <w:rPr>
          <w:rFonts w:cs="Times New Roman"/>
          <w:b/>
          <w:i/>
        </w:rPr>
      </w:pPr>
      <w:r>
        <w:rPr>
          <w:rFonts w:cs="Times New Roman"/>
          <w:b/>
          <w:i/>
        </w:rPr>
        <w:t xml:space="preserve">1.1 </w:t>
      </w:r>
      <w:r w:rsidR="00890A95" w:rsidRPr="00890A95">
        <w:rPr>
          <w:rFonts w:cs="Times New Roman"/>
          <w:b/>
          <w:i/>
        </w:rPr>
        <w:t>Background on the Rural Hospital Demonstration</w:t>
      </w:r>
    </w:p>
    <w:p w:rsidR="00E9602A" w:rsidRDefault="00E9602A">
      <w:pPr>
        <w:spacing w:after="0" w:line="240" w:lineRule="auto"/>
        <w:rPr>
          <w:rFonts w:cs="Times New Roman"/>
        </w:rPr>
      </w:pPr>
    </w:p>
    <w:p w:rsidR="00E9602A" w:rsidRDefault="00BA77B5" w:rsidP="001A0EE2">
      <w:pPr>
        <w:spacing w:after="0" w:line="240" w:lineRule="auto"/>
        <w:rPr>
          <w:rFonts w:cs="Times New Roman"/>
        </w:rPr>
      </w:pPr>
      <w:r>
        <w:rPr>
          <w:rFonts w:cs="Times New Roman"/>
        </w:rPr>
        <w:t>Section 10313 of the Patient Protection and Affordable Care Act of 2010 (ACA)</w:t>
      </w:r>
      <w:r w:rsidR="00890A95" w:rsidRPr="00890A95">
        <w:rPr>
          <w:rFonts w:cs="Arial"/>
          <w:b/>
          <w:bCs/>
        </w:rPr>
        <w:t xml:space="preserve"> </w:t>
      </w:r>
      <w:r w:rsidR="00890A95" w:rsidRPr="00890A95">
        <w:rPr>
          <w:rFonts w:cs="Arial"/>
        </w:rPr>
        <w:t>(Public Law 111–148</w:t>
      </w:r>
      <w:r>
        <w:rPr>
          <w:rFonts w:cs="Arial"/>
        </w:rPr>
        <w:t>)</w:t>
      </w:r>
      <w:r>
        <w:rPr>
          <w:rFonts w:cs="Times New Roman"/>
        </w:rPr>
        <w:t xml:space="preserve"> extended and expanded the (RCHD). Originally authorized under the Medicare Prescription Drug, Improvement, and Modernization Act of 2003 (MMA)</w:t>
      </w:r>
      <w:r w:rsidR="00890A95" w:rsidRPr="00890A95">
        <w:rPr>
          <w:rFonts w:cs="Arial"/>
          <w:b/>
          <w:bCs/>
        </w:rPr>
        <w:t xml:space="preserve"> </w:t>
      </w:r>
      <w:r w:rsidR="00890A95" w:rsidRPr="00890A95">
        <w:rPr>
          <w:rFonts w:cs="Arial"/>
        </w:rPr>
        <w:t>(Public Law 108–173</w:t>
      </w:r>
      <w:r>
        <w:rPr>
          <w:rFonts w:cs="Arial"/>
        </w:rPr>
        <w:t>)</w:t>
      </w:r>
      <w:r>
        <w:rPr>
          <w:rFonts w:cs="Times New Roman"/>
        </w:rPr>
        <w:t xml:space="preserve">, the RCHD provides enhanced reimbursement for inpatient services to small rural hospitals that do not qualify as critical access hospitals (CAHs). The RCHD is </w:t>
      </w:r>
      <w:r w:rsidR="00CC46B9">
        <w:rPr>
          <w:rFonts w:cs="Times New Roman"/>
        </w:rPr>
        <w:t xml:space="preserve">intended </w:t>
      </w:r>
      <w:r>
        <w:rPr>
          <w:rFonts w:cs="Times New Roman"/>
        </w:rPr>
        <w:t>to increase the capability of these hospitals to meet the health care needs of rural beneficiaries in their service areas. As a demonstration, the RCHD aims to provide information that can be used to assess the feasibility and advisability of establishing a new category of rural community hospitals for reimbursement policy. As of J</w:t>
      </w:r>
      <w:r w:rsidR="00EB33B2">
        <w:rPr>
          <w:rFonts w:cs="Times New Roman"/>
        </w:rPr>
        <w:t>une</w:t>
      </w:r>
      <w:r>
        <w:rPr>
          <w:rFonts w:cs="Times New Roman"/>
        </w:rPr>
        <w:t xml:space="preserve"> 2013, 2</w:t>
      </w:r>
      <w:r w:rsidR="00EB33B2">
        <w:rPr>
          <w:rFonts w:cs="Times New Roman"/>
        </w:rPr>
        <w:t>2</w:t>
      </w:r>
      <w:r>
        <w:rPr>
          <w:rFonts w:cs="Times New Roman"/>
        </w:rPr>
        <w:t xml:space="preserve"> hospitals from </w:t>
      </w:r>
      <w:r w:rsidR="00B86AD7">
        <w:rPr>
          <w:rFonts w:cs="Times New Roman"/>
        </w:rPr>
        <w:t>11</w:t>
      </w:r>
      <w:r w:rsidR="009B6F33">
        <w:rPr>
          <w:rFonts w:cs="Times New Roman"/>
        </w:rPr>
        <w:t xml:space="preserve"> </w:t>
      </w:r>
      <w:r>
        <w:rPr>
          <w:rFonts w:cs="Times New Roman"/>
        </w:rPr>
        <w:t xml:space="preserve">states are participating in the RCHD. This number includes </w:t>
      </w:r>
      <w:r w:rsidR="001A0EE2">
        <w:rPr>
          <w:rFonts w:cs="Times New Roman"/>
        </w:rPr>
        <w:t xml:space="preserve">seven </w:t>
      </w:r>
      <w:r>
        <w:rPr>
          <w:rFonts w:cs="Times New Roman"/>
        </w:rPr>
        <w:t xml:space="preserve">hospitals continuing from the original demonstration as authorized under the MMA and </w:t>
      </w:r>
      <w:r w:rsidR="004213B8">
        <w:rPr>
          <w:rFonts w:cs="Times New Roman"/>
        </w:rPr>
        <w:t>1</w:t>
      </w:r>
      <w:r w:rsidR="0017369F">
        <w:rPr>
          <w:rFonts w:cs="Times New Roman"/>
        </w:rPr>
        <w:t>5</w:t>
      </w:r>
      <w:r w:rsidR="004213B8">
        <w:rPr>
          <w:rFonts w:cs="Times New Roman"/>
        </w:rPr>
        <w:t xml:space="preserve"> </w:t>
      </w:r>
      <w:r>
        <w:rPr>
          <w:rFonts w:cs="Times New Roman"/>
        </w:rPr>
        <w:t>new hospitals that joined under the expansion authorized under the ACA.</w:t>
      </w:r>
      <w:r w:rsidR="00B86AD7">
        <w:rPr>
          <w:rFonts w:cs="Times New Roman"/>
        </w:rPr>
        <w:t xml:space="preserve"> </w:t>
      </w:r>
    </w:p>
    <w:p w:rsidR="00E9602A" w:rsidRDefault="00E9602A">
      <w:pPr>
        <w:spacing w:after="0" w:line="240" w:lineRule="auto"/>
        <w:rPr>
          <w:rFonts w:cs="Times New Roman"/>
        </w:rPr>
      </w:pPr>
    </w:p>
    <w:p w:rsidR="00E9602A" w:rsidRDefault="00BA77B5">
      <w:pPr>
        <w:spacing w:after="0" w:line="240" w:lineRule="auto"/>
        <w:rPr>
          <w:rFonts w:cs="Times New Roman"/>
          <w:b/>
          <w:i/>
        </w:rPr>
      </w:pPr>
      <w:r>
        <w:rPr>
          <w:rFonts w:cs="Times New Roman"/>
          <w:b/>
          <w:i/>
        </w:rPr>
        <w:t>1.2 Reporting Requirement</w:t>
      </w:r>
    </w:p>
    <w:p w:rsidR="00E9602A" w:rsidRDefault="00E9602A">
      <w:pPr>
        <w:spacing w:after="0" w:line="240" w:lineRule="auto"/>
        <w:rPr>
          <w:rFonts w:cs="Times New Roman"/>
        </w:rPr>
      </w:pPr>
    </w:p>
    <w:p w:rsidR="00705A1F" w:rsidRPr="00380DF7" w:rsidRDefault="00BA77B5" w:rsidP="00705A1F">
      <w:pPr>
        <w:spacing w:after="0" w:line="240" w:lineRule="auto"/>
        <w:rPr>
          <w:rFonts w:cs="Times New Roman"/>
        </w:rPr>
      </w:pPr>
      <w:r>
        <w:rPr>
          <w:rFonts w:cs="Times New Roman"/>
        </w:rPr>
        <w:t>For the original demonstration, the MMA required a Report to Congress six months after the end of the demonstration, a requirement unchanged by the ACA.</w:t>
      </w:r>
      <w:r w:rsidR="00E11506">
        <w:rPr>
          <w:rFonts w:cs="Times New Roman"/>
        </w:rPr>
        <w:t xml:space="preserve"> </w:t>
      </w:r>
      <w:r w:rsidR="004C11D7">
        <w:rPr>
          <w:rFonts w:cs="Times New Roman"/>
        </w:rPr>
        <w:t>Specifically</w:t>
      </w:r>
      <w:r>
        <w:rPr>
          <w:rFonts w:cs="Times New Roman"/>
        </w:rPr>
        <w:t xml:space="preserve">, the law </w:t>
      </w:r>
      <w:r w:rsidR="004C11D7">
        <w:rPr>
          <w:rFonts w:cs="Times New Roman"/>
        </w:rPr>
        <w:t>stipulates</w:t>
      </w:r>
      <w:r>
        <w:rPr>
          <w:rFonts w:cs="Times New Roman"/>
        </w:rPr>
        <w:t xml:space="preserve"> that: </w:t>
      </w:r>
    </w:p>
    <w:p w:rsidR="00705A1F" w:rsidRPr="00380DF7" w:rsidRDefault="00705A1F" w:rsidP="00705A1F">
      <w:pPr>
        <w:spacing w:after="0" w:line="240" w:lineRule="auto"/>
        <w:rPr>
          <w:rFonts w:cs="Times New Roman"/>
        </w:rPr>
      </w:pPr>
    </w:p>
    <w:p w:rsidR="00E9602A" w:rsidRDefault="00BA77B5">
      <w:pPr>
        <w:spacing w:after="0" w:line="240" w:lineRule="auto"/>
        <w:ind w:left="720"/>
        <w:rPr>
          <w:rFonts w:cs="Times New Roman"/>
        </w:rPr>
      </w:pPr>
      <w:r>
        <w:rPr>
          <w:rFonts w:cs="Times New Roman"/>
        </w:rPr>
        <w:t xml:space="preserve"> “[n]</w:t>
      </w:r>
      <w:proofErr w:type="spellStart"/>
      <w:r>
        <w:rPr>
          <w:rFonts w:cs="Times New Roman"/>
        </w:rPr>
        <w:t>ot</w:t>
      </w:r>
      <w:proofErr w:type="spellEnd"/>
      <w:r>
        <w:rPr>
          <w:rFonts w:cs="Times New Roman"/>
        </w:rPr>
        <w:t xml:space="preserve"> later than 6 months after the completion of the demonstration program under this section, the Secretary shall submit to Congress a report on such program, together with recommendations for such legislation and administrative action as the Secretary determines to be appropriate” (P.L. 108–173 SEC 410A (e)).</w:t>
      </w:r>
      <w:r w:rsidR="00E11506">
        <w:rPr>
          <w:rFonts w:cs="Times New Roman"/>
        </w:rPr>
        <w:t xml:space="preserve"> </w:t>
      </w:r>
    </w:p>
    <w:p w:rsidR="00E9602A" w:rsidRDefault="00E9602A">
      <w:pPr>
        <w:spacing w:after="0" w:line="240" w:lineRule="auto"/>
        <w:rPr>
          <w:rFonts w:cs="Times New Roman"/>
        </w:rPr>
      </w:pPr>
    </w:p>
    <w:p w:rsidR="00E9602A" w:rsidRDefault="00BF405B" w:rsidP="001501DF">
      <w:pPr>
        <w:pStyle w:val="ListParagraph"/>
        <w:spacing w:after="240" w:line="240" w:lineRule="auto"/>
        <w:ind w:left="0"/>
        <w:rPr>
          <w:rFonts w:cs="Times New Roman"/>
        </w:rPr>
      </w:pPr>
      <w:r>
        <w:rPr>
          <w:rFonts w:cs="Times New Roman"/>
        </w:rPr>
        <w:t>A</w:t>
      </w:r>
      <w:r w:rsidR="00BA77B5">
        <w:rPr>
          <w:rFonts w:cs="Times New Roman"/>
        </w:rPr>
        <w:t xml:space="preserve">n initial </w:t>
      </w:r>
      <w:r w:rsidR="001806D3">
        <w:rPr>
          <w:rFonts w:cs="Times New Roman"/>
        </w:rPr>
        <w:t>demonstration</w:t>
      </w:r>
      <w:r w:rsidR="00BA77B5">
        <w:rPr>
          <w:rFonts w:cs="Times New Roman"/>
        </w:rPr>
        <w:t xml:space="preserve"> was conducted between 2007 and 2011 </w:t>
      </w:r>
      <w:r>
        <w:rPr>
          <w:rFonts w:cs="Times New Roman"/>
        </w:rPr>
        <w:t xml:space="preserve">toward preparing for a Report to Congress </w:t>
      </w:r>
      <w:r w:rsidR="00BA77B5">
        <w:rPr>
          <w:rFonts w:cs="Times New Roman"/>
        </w:rPr>
        <w:t xml:space="preserve">and focused on the 17 hospitals that had participated </w:t>
      </w:r>
      <w:r w:rsidR="00B53EEA">
        <w:rPr>
          <w:rFonts w:cs="Times New Roman"/>
        </w:rPr>
        <w:t xml:space="preserve">at some point </w:t>
      </w:r>
      <w:r w:rsidR="00BA77B5">
        <w:rPr>
          <w:rFonts w:cs="Times New Roman"/>
        </w:rPr>
        <w:t xml:space="preserve">between October 2004 and March 2011. </w:t>
      </w:r>
      <w:r w:rsidR="007B3FB6">
        <w:rPr>
          <w:rFonts w:cs="Times New Roman"/>
        </w:rPr>
        <w:t xml:space="preserve">Subsequently, </w:t>
      </w:r>
      <w:r w:rsidR="00B221BB">
        <w:rPr>
          <w:rFonts w:cs="Times New Roman"/>
        </w:rPr>
        <w:t xml:space="preserve">CMS contracted </w:t>
      </w:r>
      <w:r w:rsidR="00EB33B2">
        <w:rPr>
          <w:rFonts w:cs="Times New Roman"/>
        </w:rPr>
        <w:t xml:space="preserve">with </w:t>
      </w:r>
      <w:r w:rsidR="00B221BB">
        <w:rPr>
          <w:rFonts w:cs="Times New Roman"/>
        </w:rPr>
        <w:t>IMPAQ International and its subcontractors, Berkeley Policy Associates (BPA)</w:t>
      </w:r>
      <w:r w:rsidR="001501DF">
        <w:rPr>
          <w:rFonts w:cs="Times New Roman"/>
        </w:rPr>
        <w:t xml:space="preserve"> </w:t>
      </w:r>
      <w:r w:rsidR="00B221BB">
        <w:rPr>
          <w:rFonts w:cs="Times New Roman"/>
        </w:rPr>
        <w:t xml:space="preserve">and Mission Analytics Group (Mission), to conduct the current five-year evaluation of the RCHD, which will extend and build on the prior </w:t>
      </w:r>
      <w:r w:rsidR="001806D3">
        <w:rPr>
          <w:rFonts w:cs="Times New Roman"/>
        </w:rPr>
        <w:t>demonstration</w:t>
      </w:r>
      <w:r w:rsidR="00B221BB">
        <w:rPr>
          <w:rFonts w:cs="Times New Roman"/>
        </w:rPr>
        <w:t xml:space="preserve"> and produce the Report to Congress required by the MMA.</w:t>
      </w:r>
      <w:r w:rsidR="00EB33B2">
        <w:rPr>
          <w:rFonts w:cs="Times New Roman"/>
        </w:rPr>
        <w:t xml:space="preserve">  </w:t>
      </w:r>
      <w:r w:rsidR="00EB33B2" w:rsidRPr="00EB33B2">
        <w:t>Public dissemination of the results of the evaluation is typically prohibited until the Report to Congress has been delivered.</w:t>
      </w:r>
      <w:r w:rsidR="00B221BB" w:rsidRPr="00EB33B2">
        <w:rPr>
          <w:rFonts w:cs="Times New Roman"/>
        </w:rPr>
        <w:t xml:space="preserve">  </w:t>
      </w:r>
      <w:r w:rsidR="00B221BB">
        <w:rPr>
          <w:rFonts w:cs="Times New Roman"/>
        </w:rPr>
        <w:t xml:space="preserve"> </w:t>
      </w:r>
    </w:p>
    <w:p w:rsidR="00E9602A" w:rsidRDefault="00E9602A">
      <w:pPr>
        <w:spacing w:after="0" w:line="240" w:lineRule="auto"/>
        <w:rPr>
          <w:rFonts w:cs="Times New Roman"/>
        </w:rPr>
      </w:pPr>
    </w:p>
    <w:p w:rsidR="00E9602A" w:rsidRDefault="00890A95" w:rsidP="001956B8">
      <w:pPr>
        <w:keepNext/>
        <w:spacing w:after="0" w:line="240" w:lineRule="auto"/>
        <w:rPr>
          <w:rFonts w:cs="Times New Roman"/>
          <w:b/>
          <w:i/>
        </w:rPr>
      </w:pPr>
      <w:r w:rsidRPr="00890A95">
        <w:rPr>
          <w:rFonts w:cs="Times New Roman"/>
          <w:b/>
          <w:i/>
        </w:rPr>
        <w:lastRenderedPageBreak/>
        <w:t xml:space="preserve">1.3 Overview of the RCHD Evaluation </w:t>
      </w:r>
    </w:p>
    <w:p w:rsidR="00E9602A" w:rsidRDefault="00E9602A" w:rsidP="001956B8">
      <w:pPr>
        <w:keepNext/>
        <w:spacing w:after="0" w:line="240" w:lineRule="auto"/>
        <w:rPr>
          <w:rFonts w:cs="Times New Roman"/>
        </w:rPr>
      </w:pPr>
    </w:p>
    <w:p w:rsidR="00E9602A" w:rsidRDefault="00890A95">
      <w:pPr>
        <w:spacing w:after="0" w:line="240" w:lineRule="auto"/>
        <w:rPr>
          <w:rFonts w:cs="Times New Roman"/>
        </w:rPr>
      </w:pPr>
      <w:r w:rsidRPr="00890A95">
        <w:rPr>
          <w:rFonts w:cs="Times New Roman"/>
        </w:rPr>
        <w:t xml:space="preserve">The </w:t>
      </w:r>
      <w:r>
        <w:rPr>
          <w:rFonts w:cs="Times New Roman"/>
        </w:rPr>
        <w:t>evaluation</w:t>
      </w:r>
      <w:r w:rsidRPr="00890A95">
        <w:rPr>
          <w:rFonts w:cs="Times New Roman"/>
        </w:rPr>
        <w:t xml:space="preserve"> is </w:t>
      </w:r>
      <w:r>
        <w:rPr>
          <w:rFonts w:cs="Times New Roman"/>
        </w:rPr>
        <w:t>designed</w:t>
      </w:r>
      <w:r w:rsidRPr="00890A95">
        <w:rPr>
          <w:rFonts w:cs="Times New Roman"/>
        </w:rPr>
        <w:t xml:space="preserve"> to </w:t>
      </w:r>
      <w:r>
        <w:rPr>
          <w:rFonts w:cs="Times New Roman"/>
        </w:rPr>
        <w:t>collect</w:t>
      </w:r>
      <w:r w:rsidRPr="00890A95">
        <w:rPr>
          <w:rFonts w:cs="Times New Roman"/>
        </w:rPr>
        <w:t xml:space="preserve"> and analyze Information that is </w:t>
      </w:r>
      <w:r>
        <w:rPr>
          <w:rFonts w:cs="Times New Roman"/>
        </w:rPr>
        <w:t>necessary</w:t>
      </w:r>
      <w:r w:rsidRPr="00890A95">
        <w:rPr>
          <w:rFonts w:cs="Times New Roman"/>
        </w:rPr>
        <w:t xml:space="preserve"> </w:t>
      </w:r>
      <w:r w:rsidR="00BF405B">
        <w:rPr>
          <w:rFonts w:cs="Times New Roman"/>
        </w:rPr>
        <w:t>f</w:t>
      </w:r>
      <w:r w:rsidRPr="00890A95">
        <w:rPr>
          <w:rFonts w:cs="Times New Roman"/>
        </w:rPr>
        <w:t>o</w:t>
      </w:r>
      <w:r w:rsidR="00BF405B">
        <w:rPr>
          <w:rFonts w:cs="Times New Roman"/>
        </w:rPr>
        <w:t>r</w:t>
      </w:r>
      <w:r w:rsidRPr="00890A95">
        <w:rPr>
          <w:rFonts w:cs="Times New Roman"/>
        </w:rPr>
        <w:t xml:space="preserve"> prepar</w:t>
      </w:r>
      <w:r w:rsidR="00BF405B">
        <w:rPr>
          <w:rFonts w:cs="Times New Roman"/>
        </w:rPr>
        <w:t>ing th</w:t>
      </w:r>
      <w:r w:rsidRPr="00890A95">
        <w:rPr>
          <w:rFonts w:cs="Times New Roman"/>
        </w:rPr>
        <w:t>e required Report to Congress. The current evaluation of the RCHD will assess the impact of the RCHD in meeting its goals: to enable hospitals to achieve community benefits such as improved services for their communities (especially Medicare beneficiaries), meet their individual strategic goals, and improve the financial solvency and viability of the participating hospitals. In addition, the evaluation will develop a Report to Congress which will inform the Secretary of Health and Human Services on the feasibility and advisability of creating a new payment category of rural hospitals. To achieve this objective, the evaluation will examine how RCHD hospitals responded to payment options</w:t>
      </w:r>
      <w:r w:rsidR="0040225F">
        <w:rPr>
          <w:rFonts w:cs="Times New Roman"/>
        </w:rPr>
        <w:t xml:space="preserve"> </w:t>
      </w:r>
      <w:r w:rsidRPr="00890A95">
        <w:rPr>
          <w:rFonts w:cs="Times New Roman"/>
        </w:rPr>
        <w:t xml:space="preserve">and assess how the costs to Medicare under RCHD compare to existing alternative payment options. The evaluation will also summarize the characteristics of the markets served by RCHD hospitals, including beneficiaries’ proximity to inpatient providers and competition among providers in the area. </w:t>
      </w:r>
      <w:r w:rsidR="0040225F">
        <w:rPr>
          <w:rFonts w:cs="Times New Roman"/>
        </w:rPr>
        <w:t xml:space="preserve">The information will be used to assess the implications of expanding the RCHD payment system to hospitals in various market environments. </w:t>
      </w:r>
      <w:r w:rsidRPr="00890A95">
        <w:rPr>
          <w:rFonts w:cs="Times New Roman"/>
        </w:rPr>
        <w:t xml:space="preserve">In addition, the evaluation will examine the potential costs of expanding the RCHD payment methodology, accounting for alternative approaches to targeting rural hospitals. </w:t>
      </w:r>
    </w:p>
    <w:p w:rsidR="00E9602A" w:rsidRDefault="00E9602A">
      <w:pPr>
        <w:spacing w:after="0" w:line="240" w:lineRule="auto"/>
        <w:rPr>
          <w:rFonts w:cs="Times New Roman"/>
        </w:rPr>
      </w:pPr>
    </w:p>
    <w:p w:rsidR="00E9602A" w:rsidRDefault="00890A95">
      <w:pPr>
        <w:pStyle w:val="Heading2"/>
        <w:numPr>
          <w:ilvl w:val="0"/>
          <w:numId w:val="14"/>
        </w:numPr>
        <w:ind w:left="360"/>
      </w:pPr>
      <w:bookmarkStart w:id="2" w:name="_Toc349642828"/>
      <w:r w:rsidRPr="00890A95">
        <w:t>Purpose and Use of the Information Collection</w:t>
      </w:r>
      <w:bookmarkEnd w:id="2"/>
    </w:p>
    <w:p w:rsidR="00E9602A" w:rsidRDefault="00890A95" w:rsidP="00BF405B">
      <w:pPr>
        <w:spacing w:after="0" w:line="240" w:lineRule="auto"/>
        <w:rPr>
          <w:rFonts w:cs="Times New Roman"/>
        </w:rPr>
      </w:pPr>
      <w:r w:rsidRPr="00890A95">
        <w:rPr>
          <w:rFonts w:cs="Times New Roman"/>
        </w:rPr>
        <w:t xml:space="preserve">The data collection for which OMB approval is requested is an essential component of the RCHD </w:t>
      </w:r>
      <w:r>
        <w:rPr>
          <w:rFonts w:cs="Times New Roman"/>
        </w:rPr>
        <w:t>evaluation</w:t>
      </w:r>
      <w:r w:rsidRPr="00890A95">
        <w:rPr>
          <w:rFonts w:cs="Times New Roman"/>
        </w:rPr>
        <w:t xml:space="preserve">. The </w:t>
      </w:r>
      <w:r w:rsidR="00BF405B" w:rsidRPr="00890A95">
        <w:rPr>
          <w:rFonts w:cs="Times New Roman"/>
        </w:rPr>
        <w:t xml:space="preserve">collected </w:t>
      </w:r>
      <w:r w:rsidRPr="00890A95">
        <w:rPr>
          <w:rFonts w:cs="Times New Roman"/>
        </w:rPr>
        <w:t xml:space="preserve">data will be used to support the evaluation, which in turn will generate findings to be used in preparing </w:t>
      </w:r>
      <w:r>
        <w:rPr>
          <w:rFonts w:cs="Times New Roman"/>
        </w:rPr>
        <w:t>internal</w:t>
      </w:r>
      <w:r w:rsidRPr="00890A95">
        <w:rPr>
          <w:rFonts w:cs="Times New Roman"/>
        </w:rPr>
        <w:t xml:space="preserve"> </w:t>
      </w:r>
      <w:r>
        <w:rPr>
          <w:rFonts w:cs="Times New Roman"/>
        </w:rPr>
        <w:t>reports</w:t>
      </w:r>
      <w:r w:rsidRPr="00890A95">
        <w:rPr>
          <w:rFonts w:cs="Times New Roman"/>
        </w:rPr>
        <w:t xml:space="preserve"> to the CMS and developing a</w:t>
      </w:r>
      <w:r w:rsidR="00E11506">
        <w:rPr>
          <w:rFonts w:cs="Times New Roman"/>
        </w:rPr>
        <w:t xml:space="preserve"> </w:t>
      </w:r>
      <w:r w:rsidRPr="00890A95">
        <w:rPr>
          <w:rFonts w:cs="Times New Roman"/>
        </w:rPr>
        <w:t xml:space="preserve">Report to Congress as </w:t>
      </w:r>
      <w:r>
        <w:rPr>
          <w:rFonts w:cs="Times New Roman"/>
        </w:rPr>
        <w:t>required</w:t>
      </w:r>
      <w:r w:rsidRPr="00890A95">
        <w:rPr>
          <w:rFonts w:cs="Times New Roman"/>
        </w:rPr>
        <w:t xml:space="preserve"> by the MMA. </w:t>
      </w:r>
    </w:p>
    <w:p w:rsidR="00E9602A" w:rsidRDefault="00E9602A">
      <w:pPr>
        <w:spacing w:after="0" w:line="240" w:lineRule="auto"/>
        <w:rPr>
          <w:rFonts w:cs="Times New Roman"/>
        </w:rPr>
      </w:pPr>
    </w:p>
    <w:p w:rsidR="00E9602A" w:rsidRDefault="00890A95" w:rsidP="00BF405B">
      <w:pPr>
        <w:spacing w:after="0" w:line="240" w:lineRule="auto"/>
        <w:rPr>
          <w:rFonts w:cs="Times New Roman"/>
          <w:b/>
          <w:i/>
        </w:rPr>
      </w:pPr>
      <w:r w:rsidRPr="00890A95">
        <w:rPr>
          <w:rFonts w:cs="Times New Roman"/>
          <w:b/>
          <w:i/>
        </w:rPr>
        <w:t xml:space="preserve">2.1 Evaluation Design and Need for </w:t>
      </w:r>
      <w:r w:rsidR="00BF405B" w:rsidRPr="00890A95">
        <w:rPr>
          <w:rFonts w:cs="Times New Roman"/>
          <w:b/>
          <w:i/>
        </w:rPr>
        <w:t xml:space="preserve">Data </w:t>
      </w:r>
      <w:r w:rsidRPr="00890A95">
        <w:rPr>
          <w:rFonts w:cs="Times New Roman"/>
          <w:b/>
          <w:i/>
        </w:rPr>
        <w:t xml:space="preserve">Collection </w:t>
      </w:r>
    </w:p>
    <w:p w:rsidR="00E9602A" w:rsidRDefault="00E9602A">
      <w:pPr>
        <w:spacing w:after="0" w:line="240" w:lineRule="auto"/>
        <w:rPr>
          <w:rFonts w:cs="Times New Roman"/>
        </w:rPr>
      </w:pPr>
    </w:p>
    <w:p w:rsidR="00E9602A" w:rsidRDefault="00890A95">
      <w:pPr>
        <w:spacing w:after="0" w:line="240" w:lineRule="auto"/>
        <w:rPr>
          <w:rFonts w:cs="Times New Roman"/>
        </w:rPr>
      </w:pPr>
      <w:r w:rsidRPr="00890A95">
        <w:rPr>
          <w:rFonts w:cs="Times New Roman"/>
        </w:rPr>
        <w:t>The Evaluation of RCHD</w:t>
      </w:r>
      <w:r w:rsidR="00BF405B">
        <w:rPr>
          <w:rFonts w:cs="Times New Roman"/>
        </w:rPr>
        <w:t xml:space="preserve"> is</w:t>
      </w:r>
      <w:r w:rsidRPr="00890A95">
        <w:rPr>
          <w:rFonts w:cs="Times New Roman"/>
        </w:rPr>
        <w:t xml:space="preserve"> comprise</w:t>
      </w:r>
      <w:r w:rsidR="00BF405B">
        <w:rPr>
          <w:rFonts w:cs="Times New Roman"/>
        </w:rPr>
        <w:t>d</w:t>
      </w:r>
      <w:r w:rsidRPr="00890A95">
        <w:rPr>
          <w:rFonts w:cs="Times New Roman"/>
        </w:rPr>
        <w:t xml:space="preserve"> of four main </w:t>
      </w:r>
      <w:r>
        <w:rPr>
          <w:rFonts w:cs="Times New Roman"/>
        </w:rPr>
        <w:t>analyses</w:t>
      </w:r>
      <w:r w:rsidRPr="00890A95">
        <w:rPr>
          <w:rFonts w:cs="Times New Roman"/>
        </w:rPr>
        <w:t xml:space="preserve">, including: </w:t>
      </w:r>
    </w:p>
    <w:p w:rsidR="00E9602A" w:rsidRDefault="00890A95">
      <w:pPr>
        <w:pStyle w:val="ListParagraph"/>
        <w:numPr>
          <w:ilvl w:val="0"/>
          <w:numId w:val="21"/>
        </w:numPr>
        <w:spacing w:before="120" w:after="0" w:line="240" w:lineRule="auto"/>
        <w:ind w:left="720"/>
        <w:contextualSpacing w:val="0"/>
        <w:rPr>
          <w:rFonts w:cs="Times New Roman"/>
        </w:rPr>
      </w:pPr>
      <w:r w:rsidRPr="00890A95">
        <w:rPr>
          <w:rFonts w:cs="Times New Roman"/>
          <w:b/>
        </w:rPr>
        <w:t>A qualitative analysis</w:t>
      </w:r>
      <w:r w:rsidRPr="00890A95">
        <w:rPr>
          <w:rFonts w:cs="Times New Roman"/>
        </w:rPr>
        <w:t xml:space="preserve"> of hospital operations, environmental contexts, challenges, goals of the demonstration, use of demonstration funds, and community benefits</w:t>
      </w:r>
      <w:r w:rsidR="00BF405B">
        <w:rPr>
          <w:rFonts w:cs="Times New Roman"/>
        </w:rPr>
        <w:t>.</w:t>
      </w:r>
    </w:p>
    <w:p w:rsidR="00E9602A" w:rsidRDefault="00890A95">
      <w:pPr>
        <w:pStyle w:val="ListParagraph"/>
        <w:numPr>
          <w:ilvl w:val="0"/>
          <w:numId w:val="21"/>
        </w:numPr>
        <w:spacing w:before="120" w:after="0" w:line="240" w:lineRule="auto"/>
        <w:ind w:left="720"/>
        <w:contextualSpacing w:val="0"/>
        <w:rPr>
          <w:rFonts w:cs="Times New Roman"/>
        </w:rPr>
      </w:pPr>
      <w:r w:rsidRPr="00890A95">
        <w:rPr>
          <w:rFonts w:cs="Times New Roman"/>
          <w:b/>
        </w:rPr>
        <w:t>A market analysis</w:t>
      </w:r>
      <w:r w:rsidRPr="00890A95">
        <w:rPr>
          <w:rFonts w:cs="Times New Roman"/>
        </w:rPr>
        <w:t xml:space="preserve"> to empirically assess hospital service areas, market conditions, and hospital characteristics compared to other small rural hospitals. </w:t>
      </w:r>
    </w:p>
    <w:p w:rsidR="00E9602A" w:rsidRDefault="00890A95">
      <w:pPr>
        <w:pStyle w:val="ListParagraph"/>
        <w:numPr>
          <w:ilvl w:val="0"/>
          <w:numId w:val="21"/>
        </w:numPr>
        <w:spacing w:before="120" w:after="0" w:line="240" w:lineRule="auto"/>
        <w:ind w:left="720"/>
        <w:contextualSpacing w:val="0"/>
        <w:rPr>
          <w:rFonts w:cs="Times New Roman"/>
        </w:rPr>
      </w:pPr>
      <w:r w:rsidRPr="00890A95">
        <w:rPr>
          <w:rFonts w:cs="Times New Roman"/>
          <w:b/>
        </w:rPr>
        <w:t>A financial analysis</w:t>
      </w:r>
      <w:r w:rsidRPr="00890A95">
        <w:rPr>
          <w:rFonts w:cs="Times New Roman"/>
        </w:rPr>
        <w:t xml:space="preserve"> of hospital performance before, during, and after (when applicable) the demonstration. </w:t>
      </w:r>
    </w:p>
    <w:p w:rsidR="00E9602A" w:rsidRDefault="00890A95">
      <w:pPr>
        <w:pStyle w:val="ListParagraph"/>
        <w:numPr>
          <w:ilvl w:val="0"/>
          <w:numId w:val="21"/>
        </w:numPr>
        <w:spacing w:before="120" w:after="0" w:line="240" w:lineRule="auto"/>
        <w:ind w:left="720"/>
        <w:contextualSpacing w:val="0"/>
        <w:rPr>
          <w:rFonts w:cs="Times New Roman"/>
        </w:rPr>
      </w:pPr>
      <w:r w:rsidRPr="00890A95">
        <w:rPr>
          <w:rFonts w:cs="Times New Roman"/>
        </w:rPr>
        <w:t xml:space="preserve">Two types of </w:t>
      </w:r>
      <w:r w:rsidRPr="00890A95">
        <w:rPr>
          <w:rFonts w:cs="Times New Roman"/>
          <w:b/>
        </w:rPr>
        <w:t xml:space="preserve">simulations </w:t>
      </w:r>
      <w:r w:rsidR="00B14644" w:rsidRPr="00B14644">
        <w:rPr>
          <w:rFonts w:cs="Times New Roman"/>
          <w:bCs/>
        </w:rPr>
        <w:t>to</w:t>
      </w:r>
      <w:r w:rsidRPr="00890A95">
        <w:rPr>
          <w:rFonts w:cs="Times New Roman"/>
        </w:rPr>
        <w:t xml:space="preserve"> calculate the impact of the RCHD on payments to participating hospitals compared to what they would have received in the absence of the </w:t>
      </w:r>
      <w:proofErr w:type="gramStart"/>
      <w:r w:rsidRPr="00890A95">
        <w:rPr>
          <w:rFonts w:cs="Times New Roman"/>
        </w:rPr>
        <w:t>demonstration,</w:t>
      </w:r>
      <w:proofErr w:type="gramEnd"/>
      <w:r w:rsidRPr="00890A95">
        <w:rPr>
          <w:rFonts w:cs="Times New Roman"/>
        </w:rPr>
        <w:t xml:space="preserve"> and to estimate the additional reimbursements required to expand the RCHD under different target scenarios.</w:t>
      </w:r>
    </w:p>
    <w:p w:rsidR="00E9602A" w:rsidRDefault="00E9602A">
      <w:pPr>
        <w:spacing w:after="0" w:line="240" w:lineRule="auto"/>
        <w:rPr>
          <w:rFonts w:cs="Times New Roman"/>
        </w:rPr>
      </w:pPr>
    </w:p>
    <w:p w:rsidR="00E9602A" w:rsidRDefault="00890A95" w:rsidP="00BF405B">
      <w:pPr>
        <w:spacing w:after="0" w:line="240" w:lineRule="auto"/>
        <w:rPr>
          <w:rFonts w:cs="Times New Roman"/>
        </w:rPr>
      </w:pPr>
      <w:r w:rsidRPr="00890A95">
        <w:rPr>
          <w:rFonts w:cs="Times New Roman"/>
        </w:rPr>
        <w:t>This request for OMB approval applies to the new data collection from hospitals for the qualitative data analyses.</w:t>
      </w:r>
      <w:r w:rsidR="00E11506">
        <w:rPr>
          <w:rFonts w:cs="Times New Roman"/>
        </w:rPr>
        <w:t xml:space="preserve"> </w:t>
      </w:r>
      <w:r w:rsidRPr="00890A95">
        <w:rPr>
          <w:rFonts w:cs="Times New Roman"/>
        </w:rPr>
        <w:t xml:space="preserve">More details on these data collection activities are summarized in the next section. The market analysis, financial analysis, and simulations will draw data from publically available, extant data sources, and are thus not described in further detail in this request for OMB approval. Additional qualitative data collection that will involve </w:t>
      </w:r>
      <w:r w:rsidR="00BF405B">
        <w:rPr>
          <w:rFonts w:cs="Times New Roman"/>
        </w:rPr>
        <w:t>nine</w:t>
      </w:r>
      <w:r w:rsidRPr="00890A95">
        <w:rPr>
          <w:rFonts w:cs="Times New Roman"/>
        </w:rPr>
        <w:t xml:space="preserve"> or </w:t>
      </w:r>
      <w:r w:rsidR="00BF405B">
        <w:rPr>
          <w:rFonts w:cs="Times New Roman"/>
        </w:rPr>
        <w:t>fewer</w:t>
      </w:r>
      <w:r w:rsidRPr="00890A95">
        <w:rPr>
          <w:rFonts w:cs="Times New Roman"/>
        </w:rPr>
        <w:t xml:space="preserve"> respondents is also planned (interviews with subject experts), but it </w:t>
      </w:r>
      <w:r w:rsidR="0024635A">
        <w:rPr>
          <w:rFonts w:cs="Times New Roman"/>
        </w:rPr>
        <w:t xml:space="preserve">is </w:t>
      </w:r>
      <w:r w:rsidRPr="00890A95">
        <w:rPr>
          <w:rFonts w:cs="Times New Roman"/>
        </w:rPr>
        <w:t xml:space="preserve">not described </w:t>
      </w:r>
      <w:r w:rsidR="0024635A">
        <w:rPr>
          <w:rFonts w:cs="Times New Roman"/>
        </w:rPr>
        <w:t xml:space="preserve">further </w:t>
      </w:r>
      <w:r w:rsidRPr="00890A95">
        <w:rPr>
          <w:rFonts w:cs="Times New Roman"/>
        </w:rPr>
        <w:t>in this statement as it does not require OMB clearance.</w:t>
      </w:r>
      <w:r w:rsidR="00E11506">
        <w:rPr>
          <w:rFonts w:cs="Times New Roman"/>
        </w:rPr>
        <w:t xml:space="preserve"> </w:t>
      </w:r>
      <w:r w:rsidRPr="00890A95">
        <w:rPr>
          <w:rFonts w:cs="Times New Roman"/>
        </w:rPr>
        <w:t xml:space="preserve">(A full description </w:t>
      </w:r>
      <w:r w:rsidRPr="00890A95">
        <w:rPr>
          <w:rFonts w:cs="Times New Roman"/>
        </w:rPr>
        <w:lastRenderedPageBreak/>
        <w:t>of the evaluation is provided in the Analysis Plan for the Evaluation of the RCHD, submitted to the CMS in January</w:t>
      </w:r>
      <w:r w:rsidR="00BF405B">
        <w:rPr>
          <w:rFonts w:cs="Times New Roman"/>
        </w:rPr>
        <w:t>,</w:t>
      </w:r>
      <w:r w:rsidRPr="00890A95">
        <w:rPr>
          <w:rFonts w:cs="Times New Roman"/>
        </w:rPr>
        <w:t xml:space="preserve"> 2013.) </w:t>
      </w:r>
    </w:p>
    <w:p w:rsidR="00E9602A" w:rsidRDefault="00E9602A">
      <w:pPr>
        <w:spacing w:after="0" w:line="240" w:lineRule="auto"/>
      </w:pPr>
    </w:p>
    <w:p w:rsidR="00E9602A" w:rsidRDefault="00576310">
      <w:pPr>
        <w:spacing w:after="0" w:line="240" w:lineRule="auto"/>
      </w:pPr>
      <w:r>
        <w:rPr>
          <w:rFonts w:cs="Times New Roman"/>
          <w:b/>
          <w:i/>
        </w:rPr>
        <w:t>2.2</w:t>
      </w:r>
      <w:r w:rsidR="00E11506">
        <w:rPr>
          <w:rFonts w:cs="Times New Roman"/>
          <w:b/>
          <w:i/>
        </w:rPr>
        <w:t xml:space="preserve"> </w:t>
      </w:r>
      <w:r>
        <w:rPr>
          <w:rFonts w:cs="Times New Roman"/>
          <w:b/>
          <w:i/>
        </w:rPr>
        <w:t>New Data Collection from Hospitals (H</w:t>
      </w:r>
      <w:r w:rsidR="00890A95" w:rsidRPr="00890A95">
        <w:rPr>
          <w:rFonts w:cs="Times New Roman"/>
          <w:b/>
          <w:i/>
        </w:rPr>
        <w:t xml:space="preserve">ow and from </w:t>
      </w:r>
      <w:proofErr w:type="gramStart"/>
      <w:r w:rsidR="00890A95" w:rsidRPr="00890A95">
        <w:rPr>
          <w:rFonts w:cs="Times New Roman"/>
          <w:b/>
          <w:i/>
        </w:rPr>
        <w:t>Whom</w:t>
      </w:r>
      <w:proofErr w:type="gramEnd"/>
      <w:r w:rsidR="00890A95" w:rsidRPr="00890A95">
        <w:rPr>
          <w:rFonts w:cs="Times New Roman"/>
          <w:b/>
          <w:i/>
        </w:rPr>
        <w:t xml:space="preserve"> Data Will be Collected</w:t>
      </w:r>
      <w:r>
        <w:rPr>
          <w:rFonts w:cs="Times New Roman"/>
          <w:b/>
          <w:i/>
        </w:rPr>
        <w:t>)</w:t>
      </w:r>
    </w:p>
    <w:p w:rsidR="00E9602A" w:rsidRDefault="00E9602A">
      <w:pPr>
        <w:pStyle w:val="Heading4"/>
        <w:spacing w:before="0" w:line="240" w:lineRule="auto"/>
        <w:rPr>
          <w:rFonts w:asciiTheme="minorHAnsi" w:hAnsiTheme="minorHAnsi"/>
        </w:rPr>
      </w:pPr>
    </w:p>
    <w:p w:rsidR="00E9602A" w:rsidRDefault="00890A95" w:rsidP="001A0EE2">
      <w:pPr>
        <w:spacing w:after="0" w:line="240" w:lineRule="auto"/>
      </w:pPr>
      <w:r w:rsidRPr="00890A95">
        <w:t>The evaluation propose</w:t>
      </w:r>
      <w:r w:rsidR="00BF405B">
        <w:t>s</w:t>
      </w:r>
      <w:r w:rsidRPr="00890A95">
        <w:t xml:space="preserve"> to collect new data from the hospitals participating in the RCHD</w:t>
      </w:r>
      <w:r w:rsidR="001A0EE2">
        <w:t>.</w:t>
      </w:r>
      <w:r w:rsidR="00E11506">
        <w:t xml:space="preserve"> </w:t>
      </w:r>
      <w:r w:rsidR="001A0EE2">
        <w:t>The data collection activities</w:t>
      </w:r>
      <w:r w:rsidR="001A0EE2" w:rsidRPr="00890A95">
        <w:t xml:space="preserve"> </w:t>
      </w:r>
      <w:r w:rsidRPr="00890A95">
        <w:t>subject to</w:t>
      </w:r>
      <w:r w:rsidR="001A0EE2">
        <w:t xml:space="preserve"> </w:t>
      </w:r>
      <w:r w:rsidRPr="00890A95">
        <w:t xml:space="preserve">OMB </w:t>
      </w:r>
      <w:r w:rsidR="009E4E3A" w:rsidRPr="00890A95">
        <w:t>approval</w:t>
      </w:r>
      <w:r w:rsidR="009E4E3A">
        <w:t xml:space="preserve"> i</w:t>
      </w:r>
      <w:r w:rsidR="009E4E3A" w:rsidRPr="00890A95">
        <w:t>nclude</w:t>
      </w:r>
      <w:r w:rsidRPr="00890A95">
        <w:t xml:space="preserve"> interviews with hospitals and annual progress reports from hospitals.</w:t>
      </w:r>
      <w:r w:rsidR="00E11506">
        <w:t xml:space="preserve"> </w:t>
      </w:r>
    </w:p>
    <w:p w:rsidR="00E9602A" w:rsidRDefault="00E9602A">
      <w:pPr>
        <w:spacing w:after="0" w:line="240" w:lineRule="auto"/>
      </w:pPr>
    </w:p>
    <w:p w:rsidR="00E9602A" w:rsidRDefault="00890A95">
      <w:pPr>
        <w:pStyle w:val="Heading4"/>
        <w:spacing w:before="0" w:after="120" w:line="240" w:lineRule="auto"/>
        <w:rPr>
          <w:rFonts w:asciiTheme="minorHAnsi" w:hAnsiTheme="minorHAnsi"/>
          <w:b w:val="0"/>
        </w:rPr>
      </w:pPr>
      <w:r w:rsidRPr="00890A95">
        <w:rPr>
          <w:rFonts w:asciiTheme="minorHAnsi" w:hAnsiTheme="minorHAnsi"/>
          <w:b w:val="0"/>
        </w:rPr>
        <w:t>2.2.1</w:t>
      </w:r>
      <w:r w:rsidR="00E11506">
        <w:rPr>
          <w:rFonts w:asciiTheme="minorHAnsi" w:hAnsiTheme="minorHAnsi"/>
          <w:b w:val="0"/>
        </w:rPr>
        <w:t xml:space="preserve"> </w:t>
      </w:r>
      <w:r w:rsidRPr="00890A95">
        <w:rPr>
          <w:rFonts w:asciiTheme="minorHAnsi" w:hAnsiTheme="minorHAnsi"/>
          <w:b w:val="0"/>
        </w:rPr>
        <w:t>Interviews with Participating Hospitals</w:t>
      </w:r>
    </w:p>
    <w:p w:rsidR="00E9602A" w:rsidRDefault="00890A95">
      <w:pPr>
        <w:spacing w:after="0" w:line="240" w:lineRule="auto"/>
        <w:rPr>
          <w:rFonts w:cs="Times New Roman"/>
        </w:rPr>
      </w:pPr>
      <w:r w:rsidRPr="00890A95">
        <w:rPr>
          <w:rFonts w:cs="Times New Roman"/>
        </w:rPr>
        <w:t>Each hospital participating in the demonstration will be interviewed twice over the course of the evaluation. A repre</w:t>
      </w:r>
      <w:r w:rsidR="0001112F">
        <w:rPr>
          <w:rFonts w:cs="Times New Roman"/>
        </w:rPr>
        <w:t>sentative of</w:t>
      </w:r>
      <w:r w:rsidRPr="00890A95">
        <w:rPr>
          <w:rFonts w:cs="Times New Roman"/>
        </w:rPr>
        <w:t xml:space="preserve"> each hospital will be asked to participate in the interviews</w:t>
      </w:r>
      <w:r w:rsidR="0089243E">
        <w:rPr>
          <w:rFonts w:cs="Times New Roman"/>
        </w:rPr>
        <w:t xml:space="preserve">, and receive </w:t>
      </w:r>
      <w:r w:rsidR="0089243E">
        <w:rPr>
          <w:rFonts w:eastAsia="Calibri" w:cs="Times New Roman"/>
        </w:rPr>
        <w:t xml:space="preserve">an interview </w:t>
      </w:r>
      <w:r w:rsidR="0089243E" w:rsidRPr="00890A95">
        <w:rPr>
          <w:rFonts w:eastAsia="Calibri" w:cs="Times New Roman"/>
        </w:rPr>
        <w:t xml:space="preserve">information sheet </w:t>
      </w:r>
      <w:r w:rsidR="0089243E">
        <w:rPr>
          <w:rFonts w:eastAsia="Calibri" w:cs="Times New Roman"/>
        </w:rPr>
        <w:t>prior to the interview</w:t>
      </w:r>
      <w:r w:rsidR="0089243E" w:rsidRPr="00890A95">
        <w:rPr>
          <w:rFonts w:eastAsia="Calibri" w:cs="Times New Roman"/>
        </w:rPr>
        <w:t>.</w:t>
      </w:r>
      <w:r w:rsidR="0089243E">
        <w:rPr>
          <w:rFonts w:cs="Times New Roman"/>
        </w:rPr>
        <w:t xml:space="preserve"> </w:t>
      </w:r>
      <w:r w:rsidRPr="00890A95">
        <w:rPr>
          <w:rFonts w:cs="Times New Roman"/>
        </w:rPr>
        <w:t xml:space="preserve">Evaluators will conduct the interviews with these hospital administrators over a toll-free conference line. The proposed timeline </w:t>
      </w:r>
      <w:r w:rsidR="0089243E">
        <w:rPr>
          <w:rFonts w:cs="Times New Roman"/>
        </w:rPr>
        <w:t xml:space="preserve">and purpose of </w:t>
      </w:r>
      <w:r w:rsidRPr="00890A95">
        <w:rPr>
          <w:rFonts w:cs="Times New Roman"/>
        </w:rPr>
        <w:t xml:space="preserve">these interviews </w:t>
      </w:r>
      <w:r w:rsidR="0089243E">
        <w:rPr>
          <w:rFonts w:cs="Times New Roman"/>
        </w:rPr>
        <w:t xml:space="preserve">are summarized </w:t>
      </w:r>
      <w:r w:rsidRPr="00890A95">
        <w:rPr>
          <w:rFonts w:cs="Times New Roman"/>
        </w:rPr>
        <w:t>as follows:</w:t>
      </w:r>
    </w:p>
    <w:p w:rsidR="00576310" w:rsidRPr="00576310" w:rsidRDefault="00576310" w:rsidP="00576310">
      <w:pPr>
        <w:pStyle w:val="ListParagraph"/>
        <w:spacing w:after="0" w:line="240" w:lineRule="auto"/>
        <w:rPr>
          <w:rFonts w:cs="Times New Roman"/>
        </w:rPr>
      </w:pPr>
    </w:p>
    <w:p w:rsidR="00576310" w:rsidRDefault="00576310" w:rsidP="00576310">
      <w:pPr>
        <w:pStyle w:val="ListParagraph"/>
        <w:numPr>
          <w:ilvl w:val="0"/>
          <w:numId w:val="16"/>
        </w:numPr>
        <w:spacing w:after="0" w:line="240" w:lineRule="auto"/>
        <w:rPr>
          <w:rFonts w:cs="Times New Roman"/>
        </w:rPr>
      </w:pPr>
      <w:r w:rsidRPr="00890A95">
        <w:rPr>
          <w:rFonts w:cs="Times New Roman"/>
          <w:b/>
          <w:iCs/>
        </w:rPr>
        <w:t>Round 1 Continuing Hospital Interviews</w:t>
      </w:r>
      <w:r w:rsidRPr="00890A95">
        <w:rPr>
          <w:rFonts w:cs="Times New Roman"/>
          <w:iCs/>
        </w:rPr>
        <w:t xml:space="preserve"> </w:t>
      </w:r>
      <w:r w:rsidR="00C55816">
        <w:rPr>
          <w:rFonts w:cs="Times New Roman"/>
        </w:rPr>
        <w:t>for late spring 2014</w:t>
      </w:r>
      <w:r w:rsidRPr="00890A95">
        <w:rPr>
          <w:rFonts w:cs="Times New Roman"/>
        </w:rPr>
        <w:t xml:space="preserve">. Continuing hospitals are hospitals that were interviewed in the previous evaluation. These interviews will focus on updating information on hospitals gathered during the previous evaluation and gathering data on their decision to continue in the demonstration. </w:t>
      </w:r>
      <w:r w:rsidRPr="00B14644">
        <w:rPr>
          <w:rFonts w:cs="Times New Roman"/>
        </w:rPr>
        <w:t>Because there are only seven continuing hospitals and these interviews will use a protocol distinct from later rounds of interviews, OMB clearance is not required for these interviews.</w:t>
      </w:r>
      <w:r w:rsidR="00E11506">
        <w:rPr>
          <w:rFonts w:cs="Times New Roman"/>
        </w:rPr>
        <w:t xml:space="preserve"> </w:t>
      </w:r>
    </w:p>
    <w:p w:rsidR="00576310" w:rsidRDefault="00576310" w:rsidP="00576310">
      <w:pPr>
        <w:pStyle w:val="ListParagraph"/>
        <w:spacing w:after="0" w:line="240" w:lineRule="auto"/>
        <w:rPr>
          <w:rFonts w:cs="Times New Roman"/>
        </w:rPr>
      </w:pPr>
    </w:p>
    <w:p w:rsidR="00E9602A" w:rsidRPr="00A8421E" w:rsidRDefault="00890A95" w:rsidP="00A8421E">
      <w:pPr>
        <w:pStyle w:val="ListParagraph"/>
        <w:numPr>
          <w:ilvl w:val="0"/>
          <w:numId w:val="16"/>
        </w:numPr>
        <w:spacing w:after="0" w:line="240" w:lineRule="auto"/>
        <w:rPr>
          <w:rFonts w:eastAsia="Calibri" w:cs="Times New Roman"/>
        </w:rPr>
      </w:pPr>
      <w:r w:rsidRPr="00A8421E">
        <w:rPr>
          <w:rFonts w:cs="Times New Roman"/>
          <w:b/>
          <w:iCs/>
        </w:rPr>
        <w:t>Round 1 Interviews with New Hospitals</w:t>
      </w:r>
      <w:r w:rsidRPr="00A8421E">
        <w:rPr>
          <w:rFonts w:cs="Times New Roman"/>
          <w:b/>
          <w:i/>
          <w:iCs/>
        </w:rPr>
        <w:t xml:space="preserve"> </w:t>
      </w:r>
      <w:r w:rsidRPr="00A8421E">
        <w:rPr>
          <w:rFonts w:cs="Times New Roman"/>
        </w:rPr>
        <w:t>will occur as soon as OMB clearance is granted</w:t>
      </w:r>
      <w:r w:rsidR="00E97D41">
        <w:rPr>
          <w:rFonts w:cs="Times New Roman"/>
        </w:rPr>
        <w:t xml:space="preserve"> (expected in </w:t>
      </w:r>
      <w:r w:rsidR="00C55816">
        <w:rPr>
          <w:rFonts w:cs="Times New Roman"/>
        </w:rPr>
        <w:t>late spring</w:t>
      </w:r>
      <w:r w:rsidR="00FC1801">
        <w:rPr>
          <w:rFonts w:cs="Times New Roman"/>
        </w:rPr>
        <w:t xml:space="preserve"> of</w:t>
      </w:r>
      <w:r w:rsidR="00C55816">
        <w:rPr>
          <w:rFonts w:cs="Times New Roman"/>
        </w:rPr>
        <w:t xml:space="preserve"> </w:t>
      </w:r>
      <w:r w:rsidR="00E97D41">
        <w:rPr>
          <w:rFonts w:cs="Times New Roman"/>
        </w:rPr>
        <w:t>2014)</w:t>
      </w:r>
      <w:r w:rsidRPr="00A8421E">
        <w:rPr>
          <w:rFonts w:cs="Times New Roman"/>
        </w:rPr>
        <w:t>.</w:t>
      </w:r>
      <w:r w:rsidR="00E11506">
        <w:rPr>
          <w:rFonts w:cs="Times New Roman"/>
        </w:rPr>
        <w:t xml:space="preserve"> </w:t>
      </w:r>
      <w:r w:rsidRPr="00A8421E">
        <w:rPr>
          <w:rFonts w:cs="Times New Roman"/>
        </w:rPr>
        <w:t xml:space="preserve">There are </w:t>
      </w:r>
      <w:r w:rsidR="004213B8" w:rsidRPr="00A8421E">
        <w:rPr>
          <w:rFonts w:cs="Times New Roman"/>
        </w:rPr>
        <w:t>1</w:t>
      </w:r>
      <w:r w:rsidR="004213B8">
        <w:rPr>
          <w:rFonts w:cs="Times New Roman"/>
        </w:rPr>
        <w:t>5</w:t>
      </w:r>
      <w:r w:rsidR="004213B8" w:rsidRPr="00A8421E">
        <w:rPr>
          <w:rFonts w:cs="Times New Roman"/>
        </w:rPr>
        <w:t xml:space="preserve"> </w:t>
      </w:r>
      <w:r w:rsidRPr="00A8421E">
        <w:rPr>
          <w:rFonts w:cs="Times New Roman"/>
        </w:rPr>
        <w:t>new applicant hospitals that have never been interviewed. Except for two interviews that will be conducted as pilots (to determine burden and test the revised protocols for this data collection request), these interviews will occur after OMB clearance. The purpose of these interviews is to learn about the impact of the RCHD on hospital finances, community benefits of the RCHD, and hospital environments and challenges.</w:t>
      </w:r>
      <w:r w:rsidR="00E11506">
        <w:rPr>
          <w:rFonts w:cs="Times New Roman"/>
        </w:rPr>
        <w:t xml:space="preserve"> </w:t>
      </w:r>
    </w:p>
    <w:p w:rsidR="00A8421E" w:rsidRPr="00A8421E" w:rsidRDefault="00A8421E" w:rsidP="00A8421E">
      <w:pPr>
        <w:pStyle w:val="ListParagraph"/>
        <w:spacing w:after="0" w:line="240" w:lineRule="auto"/>
        <w:rPr>
          <w:rFonts w:eastAsia="Calibri" w:cs="Times New Roman"/>
        </w:rPr>
      </w:pPr>
    </w:p>
    <w:p w:rsidR="00E9602A" w:rsidRDefault="00890A95" w:rsidP="00576310">
      <w:pPr>
        <w:pStyle w:val="ListParagraph"/>
        <w:numPr>
          <w:ilvl w:val="0"/>
          <w:numId w:val="16"/>
        </w:numPr>
        <w:spacing w:after="0" w:line="240" w:lineRule="auto"/>
        <w:rPr>
          <w:rFonts w:cs="Times New Roman"/>
        </w:rPr>
      </w:pPr>
      <w:r w:rsidRPr="00576310">
        <w:rPr>
          <w:rFonts w:eastAsia="Calibri" w:cs="Times New Roman"/>
          <w:b/>
        </w:rPr>
        <w:t xml:space="preserve">Round 2 Interviews </w:t>
      </w:r>
      <w:r w:rsidRPr="00576310">
        <w:rPr>
          <w:rFonts w:eastAsia="Calibri" w:cs="Times New Roman"/>
        </w:rPr>
        <w:t>will occur in early</w:t>
      </w:r>
      <w:r w:rsidR="00C55816">
        <w:rPr>
          <w:rFonts w:eastAsia="Calibri" w:cs="Times New Roman"/>
        </w:rPr>
        <w:t xml:space="preserve"> </w:t>
      </w:r>
      <w:r w:rsidR="00FC1801">
        <w:rPr>
          <w:rFonts w:eastAsia="Calibri" w:cs="Times New Roman"/>
        </w:rPr>
        <w:t>f</w:t>
      </w:r>
      <w:r w:rsidR="00C55816">
        <w:rPr>
          <w:rFonts w:eastAsia="Calibri" w:cs="Times New Roman"/>
        </w:rPr>
        <w:t>all of</w:t>
      </w:r>
      <w:r w:rsidRPr="00576310">
        <w:rPr>
          <w:rFonts w:eastAsia="Calibri" w:cs="Times New Roman"/>
        </w:rPr>
        <w:t xml:space="preserve"> 201</w:t>
      </w:r>
      <w:r w:rsidRPr="00576310">
        <w:rPr>
          <w:rFonts w:cs="Times New Roman"/>
        </w:rPr>
        <w:t xml:space="preserve">5 and will include all continuing and new hospitals still participating in the demonstration in late 2014. In addition to covering any major changes since the previous interviews, the purpose of these interviews is to address the effects of the ACA, many </w:t>
      </w:r>
      <w:r w:rsidR="00737ADB" w:rsidRPr="00576310">
        <w:rPr>
          <w:rFonts w:cs="Times New Roman"/>
        </w:rPr>
        <w:t xml:space="preserve">components </w:t>
      </w:r>
      <w:r w:rsidRPr="00576310">
        <w:rPr>
          <w:rFonts w:cs="Times New Roman"/>
        </w:rPr>
        <w:t xml:space="preserve">of which will take effect in 2014 and may affect the impact of and need for the demonstration. </w:t>
      </w:r>
    </w:p>
    <w:p w:rsidR="00576310" w:rsidRPr="00576310" w:rsidRDefault="00576310" w:rsidP="00576310">
      <w:pPr>
        <w:pStyle w:val="ListParagraph"/>
        <w:spacing w:after="0" w:line="240" w:lineRule="auto"/>
        <w:rPr>
          <w:rFonts w:cs="Times New Roman"/>
        </w:rPr>
      </w:pPr>
    </w:p>
    <w:p w:rsidR="00713AD0" w:rsidRDefault="00890A95" w:rsidP="00516C37">
      <w:pPr>
        <w:pStyle w:val="ListParagraph"/>
        <w:numPr>
          <w:ilvl w:val="0"/>
          <w:numId w:val="16"/>
        </w:numPr>
        <w:spacing w:after="0" w:line="240" w:lineRule="auto"/>
        <w:rPr>
          <w:rFonts w:cs="Times New Roman"/>
        </w:rPr>
      </w:pPr>
      <w:r w:rsidRPr="00516C37">
        <w:rPr>
          <w:rFonts w:cs="Times New Roman"/>
          <w:b/>
        </w:rPr>
        <w:t xml:space="preserve">Interviews with Exiting Hospitals </w:t>
      </w:r>
      <w:r w:rsidRPr="00516C37">
        <w:rPr>
          <w:rFonts w:cs="Times New Roman"/>
        </w:rPr>
        <w:t>will occur as needed. Hospitals that choose to withdraw from the demonstration will be interviewed in order to understand the reasons for withdrawal and thus analyze the benefits of the demonstration in comparison to other payment mechanisms.</w:t>
      </w:r>
      <w:r w:rsidR="00E11506">
        <w:rPr>
          <w:rFonts w:cs="Times New Roman"/>
        </w:rPr>
        <w:t xml:space="preserve"> </w:t>
      </w:r>
    </w:p>
    <w:p w:rsidR="00713AD0" w:rsidRDefault="00713AD0" w:rsidP="00713AD0">
      <w:pPr>
        <w:pStyle w:val="ListParagraph"/>
        <w:spacing w:after="0" w:line="240" w:lineRule="auto"/>
        <w:rPr>
          <w:rFonts w:cs="Times New Roman"/>
        </w:rPr>
      </w:pPr>
    </w:p>
    <w:p w:rsidR="00E9602A" w:rsidRDefault="00713AD0" w:rsidP="00713AD0">
      <w:pPr>
        <w:pStyle w:val="ListParagraph"/>
        <w:spacing w:after="0" w:line="240" w:lineRule="auto"/>
        <w:rPr>
          <w:rFonts w:cs="Times New Roman"/>
        </w:rPr>
      </w:pPr>
      <w:r w:rsidRPr="00713AD0">
        <w:rPr>
          <w:rFonts w:cs="Times New Roman"/>
        </w:rPr>
        <w:t>While 10 of 17 original participant hospitals from the previous round of the RCHD evaluation left the demonstration, attrition among the current group of hospitals is expected to be much lower.</w:t>
      </w:r>
      <w:r w:rsidR="00E11506">
        <w:rPr>
          <w:rFonts w:cs="Times New Roman"/>
        </w:rPr>
        <w:t xml:space="preserve"> </w:t>
      </w:r>
      <w:r w:rsidRPr="00713AD0">
        <w:rPr>
          <w:rFonts w:cs="Times New Roman"/>
        </w:rPr>
        <w:t xml:space="preserve">In the first five years of the demonstration, the hospitals that exited the RCHD did so to take advantage of alternative payment systems </w:t>
      </w:r>
      <w:r>
        <w:rPr>
          <w:rFonts w:cs="Times New Roman"/>
        </w:rPr>
        <w:t>(e.g.,</w:t>
      </w:r>
      <w:r w:rsidR="00E11506">
        <w:rPr>
          <w:rFonts w:cs="Times New Roman"/>
        </w:rPr>
        <w:t xml:space="preserve"> </w:t>
      </w:r>
      <w:r>
        <w:rPr>
          <w:rFonts w:cs="Times New Roman"/>
        </w:rPr>
        <w:t xml:space="preserve">the </w:t>
      </w:r>
      <w:r>
        <w:rPr>
          <w:rStyle w:val="st"/>
        </w:rPr>
        <w:t>critical access hospital</w:t>
      </w:r>
      <w:r w:rsidRPr="00713AD0">
        <w:rPr>
          <w:rFonts w:cs="Times New Roman"/>
        </w:rPr>
        <w:t xml:space="preserve"> </w:t>
      </w:r>
      <w:r>
        <w:rPr>
          <w:rFonts w:cs="Times New Roman"/>
        </w:rPr>
        <w:t>(</w:t>
      </w:r>
      <w:r w:rsidRPr="00713AD0">
        <w:rPr>
          <w:rFonts w:cs="Times New Roman"/>
        </w:rPr>
        <w:t>CAH</w:t>
      </w:r>
      <w:r>
        <w:rPr>
          <w:rFonts w:cs="Times New Roman"/>
        </w:rPr>
        <w:t xml:space="preserve">) and sole </w:t>
      </w:r>
      <w:r w:rsidRPr="00713AD0">
        <w:t>community hospit</w:t>
      </w:r>
      <w:r>
        <w:t>al (</w:t>
      </w:r>
      <w:r w:rsidRPr="00713AD0">
        <w:rPr>
          <w:rFonts w:cs="Times New Roman"/>
        </w:rPr>
        <w:t xml:space="preserve">SCH) </w:t>
      </w:r>
      <w:r>
        <w:rPr>
          <w:rFonts w:cs="Times New Roman"/>
        </w:rPr>
        <w:t>payment sys</w:t>
      </w:r>
      <w:r w:rsidR="00C86627">
        <w:rPr>
          <w:rFonts w:cs="Times New Roman"/>
        </w:rPr>
        <w:t>t</w:t>
      </w:r>
      <w:r>
        <w:rPr>
          <w:rFonts w:cs="Times New Roman"/>
        </w:rPr>
        <w:t xml:space="preserve">ems) </w:t>
      </w:r>
      <w:r w:rsidRPr="00713AD0">
        <w:rPr>
          <w:rFonts w:cs="Times New Roman"/>
        </w:rPr>
        <w:t>that were more financially advantageous to them.</w:t>
      </w:r>
      <w:r w:rsidR="00E11506">
        <w:rPr>
          <w:rFonts w:cs="Times New Roman"/>
        </w:rPr>
        <w:t xml:space="preserve"> </w:t>
      </w:r>
      <w:r w:rsidRPr="00713AD0">
        <w:rPr>
          <w:rFonts w:cs="Times New Roman"/>
        </w:rPr>
        <w:t xml:space="preserve">The exits reflected time-limited options such as the exemption from the distance criterion for CAHs (which expired in January 1, 2006) or policy changes such as the update of the SCH </w:t>
      </w:r>
      <w:r w:rsidRPr="00713AD0">
        <w:rPr>
          <w:rFonts w:cs="Times New Roman"/>
        </w:rPr>
        <w:lastRenderedPageBreak/>
        <w:t>payments to the 2006 cost period.</w:t>
      </w:r>
      <w:r w:rsidR="00E11506">
        <w:rPr>
          <w:rFonts w:cs="Times New Roman"/>
        </w:rPr>
        <w:t xml:space="preserve"> </w:t>
      </w:r>
      <w:r w:rsidRPr="00713AD0">
        <w:rPr>
          <w:rFonts w:cs="Times New Roman"/>
        </w:rPr>
        <w:t>The current group of participating hospitals </w:t>
      </w:r>
      <w:r w:rsidR="004213B8">
        <w:rPr>
          <w:rFonts w:cs="Times New Roman"/>
        </w:rPr>
        <w:t>is</w:t>
      </w:r>
      <w:r w:rsidR="004213B8" w:rsidRPr="00713AD0">
        <w:rPr>
          <w:rFonts w:cs="Times New Roman"/>
        </w:rPr>
        <w:t xml:space="preserve"> </w:t>
      </w:r>
      <w:r w:rsidRPr="00713AD0">
        <w:rPr>
          <w:rFonts w:cs="Times New Roman"/>
        </w:rPr>
        <w:t>unlikely to become eligible for CAH payments, and, unless SCH payments are rebased to a later year, the RCHD currently reflects more recent costs than SCH.</w:t>
      </w:r>
      <w:r w:rsidR="00E11506">
        <w:rPr>
          <w:rFonts w:cs="Times New Roman"/>
        </w:rPr>
        <w:t xml:space="preserve"> </w:t>
      </w:r>
      <w:r w:rsidRPr="00713AD0">
        <w:rPr>
          <w:rFonts w:cs="Times New Roman"/>
        </w:rPr>
        <w:t>As a result, the demonstration is likely to remain the better financial option for the currently participating hospitals over the data collection period.</w:t>
      </w:r>
      <w:r w:rsidR="00E11506">
        <w:rPr>
          <w:rFonts w:cs="Times New Roman"/>
        </w:rPr>
        <w:t xml:space="preserve"> </w:t>
      </w:r>
      <w:r w:rsidRPr="00713AD0">
        <w:rPr>
          <w:rFonts w:cs="Times New Roman"/>
        </w:rPr>
        <w:t>Without financial incentives to leave the demonstration, it is unlikely that the attrition will reach more than nine</w:t>
      </w:r>
      <w:r>
        <w:rPr>
          <w:rFonts w:cs="Times New Roman"/>
        </w:rPr>
        <w:t>.</w:t>
      </w:r>
      <w:r w:rsidR="00E11506">
        <w:rPr>
          <w:rFonts w:cs="Times New Roman"/>
        </w:rPr>
        <w:t xml:space="preserve"> </w:t>
      </w:r>
      <w:r w:rsidR="00E60DD7" w:rsidRPr="00516C37">
        <w:rPr>
          <w:rFonts w:cs="Times New Roman"/>
        </w:rPr>
        <w:t xml:space="preserve">Because no more than nine hospitals are expected to leave the demonstration during the demonstration, OMB clearance is not requested </w:t>
      </w:r>
      <w:r w:rsidR="001175D6" w:rsidRPr="00516C37">
        <w:rPr>
          <w:rFonts w:cs="Times New Roman"/>
        </w:rPr>
        <w:t>fro</w:t>
      </w:r>
      <w:r w:rsidR="001175D6">
        <w:rPr>
          <w:rFonts w:cs="Times New Roman"/>
        </w:rPr>
        <w:t>m</w:t>
      </w:r>
      <w:r w:rsidR="00E60DD7" w:rsidRPr="00516C37">
        <w:rPr>
          <w:rFonts w:cs="Times New Roman"/>
        </w:rPr>
        <w:t xml:space="preserve"> these interviews.</w:t>
      </w:r>
      <w:r w:rsidR="00E11506">
        <w:rPr>
          <w:rFonts w:cs="Times New Roman"/>
        </w:rPr>
        <w:t xml:space="preserve"> </w:t>
      </w:r>
      <w:r w:rsidR="00E60DD7" w:rsidRPr="00516C37">
        <w:rPr>
          <w:rFonts w:cs="Times New Roman"/>
        </w:rPr>
        <w:t xml:space="preserve">In a highly unlikely event that more than nine </w:t>
      </w:r>
      <w:r w:rsidR="00516C37" w:rsidRPr="00516C37">
        <w:rPr>
          <w:rFonts w:cs="Times New Roman"/>
        </w:rPr>
        <w:t>hospital</w:t>
      </w:r>
      <w:r w:rsidR="00737ADB">
        <w:rPr>
          <w:rFonts w:cs="Times New Roman"/>
        </w:rPr>
        <w:t>s</w:t>
      </w:r>
      <w:r w:rsidR="00516C37" w:rsidRPr="00516C37">
        <w:rPr>
          <w:rFonts w:cs="Times New Roman"/>
        </w:rPr>
        <w:t xml:space="preserve"> leave the demonstration, the data will be collected f</w:t>
      </w:r>
      <w:r w:rsidR="00A8421E">
        <w:rPr>
          <w:rFonts w:cs="Times New Roman"/>
        </w:rPr>
        <w:t>rom the first nine hospitals that will agree to be interviewed.</w:t>
      </w:r>
    </w:p>
    <w:p w:rsidR="00516C37" w:rsidRPr="00516C37" w:rsidRDefault="00516C37" w:rsidP="00516C37">
      <w:pPr>
        <w:pStyle w:val="ListParagraph"/>
        <w:spacing w:after="0" w:line="240" w:lineRule="auto"/>
        <w:rPr>
          <w:rFonts w:cs="Times New Roman"/>
        </w:rPr>
      </w:pPr>
    </w:p>
    <w:p w:rsidR="00E9602A" w:rsidRDefault="00890A95" w:rsidP="000D5F8C">
      <w:pPr>
        <w:pStyle w:val="Heading4"/>
        <w:keepNext/>
        <w:spacing w:before="0" w:after="120" w:line="240" w:lineRule="auto"/>
        <w:rPr>
          <w:rFonts w:asciiTheme="minorHAnsi" w:hAnsiTheme="minorHAnsi"/>
          <w:b w:val="0"/>
        </w:rPr>
      </w:pPr>
      <w:r w:rsidRPr="00890A95">
        <w:rPr>
          <w:rFonts w:asciiTheme="minorHAnsi" w:hAnsiTheme="minorHAnsi"/>
          <w:b w:val="0"/>
        </w:rPr>
        <w:t>2.2.1</w:t>
      </w:r>
      <w:r w:rsidR="00E11506">
        <w:rPr>
          <w:rFonts w:asciiTheme="minorHAnsi" w:hAnsiTheme="minorHAnsi"/>
          <w:b w:val="0"/>
        </w:rPr>
        <w:t xml:space="preserve"> </w:t>
      </w:r>
      <w:r w:rsidRPr="00890A95">
        <w:rPr>
          <w:rFonts w:asciiTheme="minorHAnsi" w:hAnsiTheme="minorHAnsi"/>
          <w:b w:val="0"/>
        </w:rPr>
        <w:t>Annual Progress Reports of Hospitals</w:t>
      </w:r>
    </w:p>
    <w:p w:rsidR="00E9602A" w:rsidRDefault="00890A95">
      <w:pPr>
        <w:spacing w:after="0" w:line="240" w:lineRule="auto"/>
        <w:rPr>
          <w:rFonts w:cs="Times New Roman"/>
        </w:rPr>
      </w:pPr>
      <w:r w:rsidRPr="00890A95">
        <w:rPr>
          <w:rFonts w:cs="Times New Roman"/>
        </w:rPr>
        <w:t xml:space="preserve">All hospitals </w:t>
      </w:r>
      <w:r w:rsidR="00B53EEA">
        <w:rPr>
          <w:rFonts w:cs="Times New Roman"/>
        </w:rPr>
        <w:t>participating</w:t>
      </w:r>
      <w:r w:rsidR="00B53EEA" w:rsidRPr="00890A95">
        <w:rPr>
          <w:rFonts w:cs="Times New Roman"/>
        </w:rPr>
        <w:t xml:space="preserve"> </w:t>
      </w:r>
      <w:r w:rsidRPr="00890A95">
        <w:rPr>
          <w:rFonts w:cs="Times New Roman"/>
        </w:rPr>
        <w:t xml:space="preserve">in the RCHD will be asked to submit annual progress reports covering a year-long period (based on hospital fiscal year). </w:t>
      </w:r>
      <w:r w:rsidR="000244B5">
        <w:rPr>
          <w:rFonts w:cs="Times New Roman"/>
        </w:rPr>
        <w:t>T</w:t>
      </w:r>
      <w:r w:rsidR="000244B5" w:rsidRPr="00890A95">
        <w:rPr>
          <w:rFonts w:cs="Times New Roman"/>
        </w:rPr>
        <w:t xml:space="preserve">he evaluation team will collect reports </w:t>
      </w:r>
      <w:r w:rsidR="000244B5">
        <w:rPr>
          <w:rFonts w:cs="Times New Roman"/>
        </w:rPr>
        <w:t xml:space="preserve">through </w:t>
      </w:r>
      <w:r w:rsidR="000244B5" w:rsidRPr="00890A95">
        <w:rPr>
          <w:rFonts w:cs="Times New Roman"/>
        </w:rPr>
        <w:t>late 2016</w:t>
      </w:r>
      <w:r w:rsidR="000244B5">
        <w:rPr>
          <w:rFonts w:cs="Times New Roman"/>
        </w:rPr>
        <w:t xml:space="preserve"> once </w:t>
      </w:r>
      <w:r w:rsidRPr="00890A95">
        <w:rPr>
          <w:rFonts w:cs="Times New Roman"/>
        </w:rPr>
        <w:t>OMB approval is granted (the exact data collection schedule will vary by hospital according to their fiscal year). These reports will be due three months after the end of that period. A representative from each hospital</w:t>
      </w:r>
      <w:r w:rsidR="00737ADB">
        <w:rPr>
          <w:rFonts w:cs="Times New Roman"/>
        </w:rPr>
        <w:t xml:space="preserve"> </w:t>
      </w:r>
      <w:r w:rsidRPr="00890A95">
        <w:rPr>
          <w:rFonts w:cs="Times New Roman"/>
        </w:rPr>
        <w:t>will be asked to fill out the progress report template. The purpose of the annual progress report is to gather information on hospital operations, environmental context, service utilization, community benefits</w:t>
      </w:r>
      <w:r w:rsidR="0040225F">
        <w:rPr>
          <w:rFonts w:cs="Times New Roman"/>
        </w:rPr>
        <w:t xml:space="preserve">, payer </w:t>
      </w:r>
      <w:r w:rsidRPr="00890A95">
        <w:rPr>
          <w:rFonts w:cs="Times New Roman"/>
        </w:rPr>
        <w:t>mix, financial indicators, and the amount of RCHD payments. Hospitals will have the option of using an online reporting tool with drop down menus and skip patterns</w:t>
      </w:r>
      <w:r w:rsidR="00737ADB">
        <w:rPr>
          <w:rFonts w:cs="Times New Roman"/>
        </w:rPr>
        <w:t xml:space="preserve"> (described in more detail below)</w:t>
      </w:r>
      <w:r w:rsidRPr="00890A95">
        <w:rPr>
          <w:rFonts w:cs="Times New Roman"/>
        </w:rPr>
        <w:t>. Hospitals who do not want to use the online tool will fill out a paper form.</w:t>
      </w:r>
      <w:r w:rsidR="001641DA">
        <w:rPr>
          <w:rFonts w:cs="Times New Roman"/>
        </w:rPr>
        <w:t xml:space="preserve"> </w:t>
      </w:r>
    </w:p>
    <w:p w:rsidR="00E9602A" w:rsidRDefault="00E9602A">
      <w:pPr>
        <w:spacing w:after="0" w:line="240" w:lineRule="auto"/>
        <w:rPr>
          <w:rFonts w:cs="Times New Roman"/>
        </w:rPr>
      </w:pPr>
    </w:p>
    <w:p w:rsidR="00E9602A" w:rsidRDefault="00890A95">
      <w:pPr>
        <w:spacing w:after="0" w:line="240" w:lineRule="auto"/>
      </w:pPr>
      <w:r w:rsidRPr="00890A95">
        <w:rPr>
          <w:rFonts w:cs="Times New Roman"/>
          <w:b/>
          <w:i/>
        </w:rPr>
        <w:t>2.3 Data collection instruments</w:t>
      </w:r>
    </w:p>
    <w:p w:rsidR="00E9602A" w:rsidRDefault="00E9602A">
      <w:pPr>
        <w:spacing w:after="0" w:line="240" w:lineRule="auto"/>
      </w:pPr>
    </w:p>
    <w:p w:rsidR="00516C37" w:rsidRDefault="00890A95" w:rsidP="00516C37">
      <w:pPr>
        <w:spacing w:after="0" w:line="240" w:lineRule="auto"/>
        <w:rPr>
          <w:rFonts w:cs="Times New Roman"/>
        </w:rPr>
      </w:pPr>
      <w:r w:rsidRPr="00890A95">
        <w:rPr>
          <w:rFonts w:cs="Times New Roman"/>
        </w:rPr>
        <w:t xml:space="preserve">Table 1 </w:t>
      </w:r>
      <w:r w:rsidR="00AC2C9D">
        <w:rPr>
          <w:rFonts w:cs="Times New Roman"/>
        </w:rPr>
        <w:t>summarizes t</w:t>
      </w:r>
      <w:r w:rsidRPr="00890A95">
        <w:rPr>
          <w:rFonts w:cs="Times New Roman"/>
        </w:rPr>
        <w:t xml:space="preserve">he </w:t>
      </w:r>
      <w:r w:rsidR="0001112F">
        <w:rPr>
          <w:rFonts w:cs="Times New Roman"/>
        </w:rPr>
        <w:t>protocols</w:t>
      </w:r>
      <w:r w:rsidR="00AC2C9D">
        <w:rPr>
          <w:rFonts w:cs="Times New Roman"/>
        </w:rPr>
        <w:t xml:space="preserve"> </w:t>
      </w:r>
      <w:r w:rsidRPr="00890A95">
        <w:rPr>
          <w:rFonts w:cs="Times New Roman"/>
        </w:rPr>
        <w:t>used in collecting new data from hospitals,</w:t>
      </w:r>
      <w:r w:rsidR="00E11506">
        <w:rPr>
          <w:rFonts w:cs="Times New Roman"/>
        </w:rPr>
        <w:t xml:space="preserve"> </w:t>
      </w:r>
      <w:r w:rsidRPr="00890A95">
        <w:rPr>
          <w:rFonts w:cs="Times New Roman"/>
        </w:rPr>
        <w:t>proposed fielding dates, and whether OMB approval is required.</w:t>
      </w:r>
      <w:r w:rsidR="00E11506">
        <w:rPr>
          <w:rFonts w:cs="Times New Roman"/>
        </w:rPr>
        <w:t xml:space="preserve"> </w:t>
      </w:r>
      <w:r w:rsidR="002667B9">
        <w:rPr>
          <w:rFonts w:cs="Times New Roman"/>
        </w:rPr>
        <w:t>Along with this statement, c</w:t>
      </w:r>
      <w:r w:rsidR="00D679CC">
        <w:rPr>
          <w:rFonts w:cs="Times New Roman"/>
        </w:rPr>
        <w:t xml:space="preserve">opies of the data collection protocols for which OMB approval is required are provided in the OMB </w:t>
      </w:r>
      <w:r w:rsidR="002667B9">
        <w:rPr>
          <w:rFonts w:cs="Times New Roman"/>
        </w:rPr>
        <w:t>package</w:t>
      </w:r>
      <w:r w:rsidR="00D679CC">
        <w:rPr>
          <w:rFonts w:cs="Times New Roman"/>
        </w:rPr>
        <w:t xml:space="preserve">. </w:t>
      </w:r>
    </w:p>
    <w:p w:rsidR="00E11506" w:rsidRDefault="00E11506" w:rsidP="00516C37">
      <w:pPr>
        <w:spacing w:after="0" w:line="240" w:lineRule="auto"/>
      </w:pPr>
    </w:p>
    <w:tbl>
      <w:tblPr>
        <w:tblStyle w:val="TableGrid"/>
        <w:tblW w:w="0" w:type="auto"/>
        <w:tblLayout w:type="fixed"/>
        <w:tblLook w:val="04A0" w:firstRow="1" w:lastRow="0" w:firstColumn="1" w:lastColumn="0" w:noHBand="0" w:noVBand="1"/>
        <w:tblCaption w:val="Instruments for collecting new data from hospitals under the evaluation of the RCHD"/>
        <w:tblDescription w:val="This table presents the timing, number of respondents, OMB approval required, and whether an instrument was included in a OMB package for each of the qualitative data collection activities proposed for the Evaluation of the Rural Community Hospital Demonstration.  These include the round 1 interviews for new and continuing hospitals, the round 2 interviews, the exiting hospital  interviews, and the annual progress reports.  "/>
      </w:tblPr>
      <w:tblGrid>
        <w:gridCol w:w="1908"/>
        <w:gridCol w:w="3510"/>
        <w:gridCol w:w="1350"/>
        <w:gridCol w:w="1170"/>
        <w:gridCol w:w="1530"/>
      </w:tblGrid>
      <w:tr w:rsidR="00516C37" w:rsidRPr="00AC2C9D" w:rsidTr="00F012A5">
        <w:trPr>
          <w:tblHeader/>
        </w:trPr>
        <w:tc>
          <w:tcPr>
            <w:tcW w:w="9468" w:type="dxa"/>
            <w:gridSpan w:val="5"/>
            <w:tcBorders>
              <w:top w:val="nil"/>
              <w:left w:val="nil"/>
              <w:bottom w:val="single" w:sz="4" w:space="0" w:color="auto"/>
              <w:right w:val="nil"/>
            </w:tcBorders>
            <w:shd w:val="clear" w:color="auto" w:fill="auto"/>
            <w:vAlign w:val="bottom"/>
          </w:tcPr>
          <w:p w:rsidR="00516C37" w:rsidRDefault="00516C37" w:rsidP="00516C37">
            <w:pPr>
              <w:spacing w:after="0" w:line="240" w:lineRule="auto"/>
              <w:rPr>
                <w:rFonts w:cs="Times New Roman"/>
                <w:bCs/>
                <w:sz w:val="21"/>
                <w:szCs w:val="21"/>
              </w:rPr>
            </w:pPr>
            <w:r w:rsidRPr="00890A95">
              <w:rPr>
                <w:rFonts w:cs="Times New Roman"/>
                <w:b/>
                <w:bCs/>
                <w:sz w:val="21"/>
                <w:szCs w:val="21"/>
              </w:rPr>
              <w:t>Table 1:</w:t>
            </w:r>
            <w:r w:rsidR="00E11506">
              <w:rPr>
                <w:rFonts w:cs="Times New Roman"/>
                <w:b/>
                <w:bCs/>
                <w:sz w:val="21"/>
                <w:szCs w:val="21"/>
              </w:rPr>
              <w:t xml:space="preserve"> </w:t>
            </w:r>
            <w:r w:rsidRPr="00890A95">
              <w:rPr>
                <w:rFonts w:cs="Times New Roman"/>
                <w:b/>
                <w:bCs/>
                <w:sz w:val="21"/>
                <w:szCs w:val="21"/>
              </w:rPr>
              <w:t>Instruments for collecting new data from hospitals under the evaluation of the RCHD.</w:t>
            </w:r>
          </w:p>
        </w:tc>
      </w:tr>
      <w:tr w:rsidR="00516C37" w:rsidRPr="00AC2C9D" w:rsidTr="00E11506">
        <w:tc>
          <w:tcPr>
            <w:tcW w:w="1908" w:type="dxa"/>
            <w:tcBorders>
              <w:top w:val="single" w:sz="4" w:space="0" w:color="auto"/>
            </w:tcBorders>
            <w:shd w:val="clear" w:color="auto" w:fill="D9D9D9" w:themeFill="background1" w:themeFillShade="D9"/>
            <w:vAlign w:val="bottom"/>
          </w:tcPr>
          <w:p w:rsidR="00516C37" w:rsidRDefault="00516C37">
            <w:pPr>
              <w:spacing w:after="0" w:line="240" w:lineRule="auto"/>
              <w:rPr>
                <w:rFonts w:cs="Times New Roman"/>
                <w:bCs/>
                <w:sz w:val="21"/>
                <w:szCs w:val="21"/>
              </w:rPr>
            </w:pPr>
            <w:r w:rsidRPr="00890A95">
              <w:rPr>
                <w:rFonts w:cs="Times New Roman"/>
                <w:bCs/>
                <w:sz w:val="21"/>
                <w:szCs w:val="21"/>
              </w:rPr>
              <w:t xml:space="preserve">Protocol Type </w:t>
            </w:r>
          </w:p>
        </w:tc>
        <w:tc>
          <w:tcPr>
            <w:tcW w:w="3510" w:type="dxa"/>
            <w:tcBorders>
              <w:top w:val="single" w:sz="4" w:space="0" w:color="auto"/>
            </w:tcBorders>
            <w:shd w:val="clear" w:color="auto" w:fill="D9D9D9" w:themeFill="background1" w:themeFillShade="D9"/>
            <w:vAlign w:val="bottom"/>
          </w:tcPr>
          <w:p w:rsidR="00516C37" w:rsidRDefault="00516C37">
            <w:pPr>
              <w:spacing w:after="0" w:line="240" w:lineRule="auto"/>
              <w:jc w:val="center"/>
              <w:rPr>
                <w:rFonts w:cs="Times New Roman"/>
                <w:bCs/>
                <w:sz w:val="21"/>
                <w:szCs w:val="21"/>
              </w:rPr>
            </w:pPr>
            <w:r w:rsidRPr="00890A95">
              <w:rPr>
                <w:rFonts w:cs="Times New Roman"/>
                <w:bCs/>
                <w:sz w:val="21"/>
                <w:szCs w:val="21"/>
              </w:rPr>
              <w:t>Proposed Fielding Dates</w:t>
            </w:r>
          </w:p>
        </w:tc>
        <w:tc>
          <w:tcPr>
            <w:tcW w:w="1350" w:type="dxa"/>
            <w:tcBorders>
              <w:top w:val="single" w:sz="4" w:space="0" w:color="auto"/>
            </w:tcBorders>
            <w:shd w:val="clear" w:color="auto" w:fill="D9D9D9" w:themeFill="background1" w:themeFillShade="D9"/>
          </w:tcPr>
          <w:p w:rsidR="00516C37" w:rsidRPr="00890A95" w:rsidRDefault="00516C37">
            <w:pPr>
              <w:spacing w:after="0" w:line="240" w:lineRule="auto"/>
              <w:jc w:val="center"/>
              <w:rPr>
                <w:rFonts w:cs="Times New Roman"/>
                <w:bCs/>
                <w:sz w:val="21"/>
                <w:szCs w:val="21"/>
              </w:rPr>
            </w:pPr>
            <w:r>
              <w:rPr>
                <w:rFonts w:cs="Times New Roman"/>
                <w:bCs/>
                <w:sz w:val="21"/>
                <w:szCs w:val="21"/>
              </w:rPr>
              <w:t>Expected number of respondents</w:t>
            </w:r>
          </w:p>
        </w:tc>
        <w:tc>
          <w:tcPr>
            <w:tcW w:w="1170" w:type="dxa"/>
            <w:tcBorders>
              <w:top w:val="single" w:sz="4" w:space="0" w:color="auto"/>
            </w:tcBorders>
            <w:shd w:val="clear" w:color="auto" w:fill="D9D9D9" w:themeFill="background1" w:themeFillShade="D9"/>
            <w:vAlign w:val="bottom"/>
          </w:tcPr>
          <w:p w:rsidR="00516C37" w:rsidRDefault="00516C37">
            <w:pPr>
              <w:spacing w:after="0" w:line="240" w:lineRule="auto"/>
              <w:jc w:val="center"/>
              <w:rPr>
                <w:rFonts w:cs="Times New Roman"/>
                <w:bCs/>
                <w:sz w:val="21"/>
                <w:szCs w:val="21"/>
              </w:rPr>
            </w:pPr>
            <w:r w:rsidRPr="00890A95">
              <w:rPr>
                <w:rFonts w:cs="Times New Roman"/>
                <w:bCs/>
                <w:sz w:val="21"/>
                <w:szCs w:val="21"/>
              </w:rPr>
              <w:t>OMB Approval Required?</w:t>
            </w:r>
          </w:p>
        </w:tc>
        <w:tc>
          <w:tcPr>
            <w:tcW w:w="1530" w:type="dxa"/>
            <w:tcBorders>
              <w:top w:val="single" w:sz="4" w:space="0" w:color="auto"/>
            </w:tcBorders>
            <w:shd w:val="clear" w:color="auto" w:fill="D9D9D9" w:themeFill="background1" w:themeFillShade="D9"/>
            <w:vAlign w:val="bottom"/>
          </w:tcPr>
          <w:p w:rsidR="00516C37" w:rsidRDefault="00516C37">
            <w:pPr>
              <w:spacing w:after="0" w:line="240" w:lineRule="auto"/>
              <w:jc w:val="center"/>
              <w:rPr>
                <w:rFonts w:cs="Times New Roman"/>
                <w:bCs/>
                <w:sz w:val="21"/>
                <w:szCs w:val="21"/>
              </w:rPr>
            </w:pPr>
            <w:r>
              <w:rPr>
                <w:rFonts w:cs="Times New Roman"/>
                <w:bCs/>
                <w:sz w:val="21"/>
                <w:szCs w:val="21"/>
              </w:rPr>
              <w:t>Instrument</w:t>
            </w:r>
            <w:r w:rsidR="00904B61">
              <w:rPr>
                <w:rFonts w:cs="Times New Roman"/>
                <w:bCs/>
                <w:sz w:val="21"/>
                <w:szCs w:val="21"/>
              </w:rPr>
              <w:t xml:space="preserve"> included in OMB </w:t>
            </w:r>
            <w:r w:rsidR="001175D6">
              <w:rPr>
                <w:rFonts w:cs="Times New Roman"/>
                <w:bCs/>
                <w:sz w:val="21"/>
                <w:szCs w:val="21"/>
              </w:rPr>
              <w:t>package</w:t>
            </w:r>
            <w:r w:rsidR="00FA05B8">
              <w:rPr>
                <w:rFonts w:cs="Times New Roman"/>
                <w:bCs/>
                <w:sz w:val="21"/>
                <w:szCs w:val="21"/>
              </w:rPr>
              <w:t>?</w:t>
            </w:r>
          </w:p>
        </w:tc>
      </w:tr>
      <w:tr w:rsidR="00576310" w:rsidRPr="00AC2C9D" w:rsidTr="00E11506">
        <w:trPr>
          <w:trHeight w:val="576"/>
        </w:trPr>
        <w:tc>
          <w:tcPr>
            <w:tcW w:w="1908" w:type="dxa"/>
          </w:tcPr>
          <w:p w:rsidR="00576310" w:rsidRDefault="00576310" w:rsidP="006D01A5">
            <w:pPr>
              <w:spacing w:after="0" w:line="240" w:lineRule="auto"/>
              <w:rPr>
                <w:rFonts w:cs="Times New Roman"/>
                <w:sz w:val="21"/>
                <w:szCs w:val="21"/>
              </w:rPr>
            </w:pPr>
            <w:r w:rsidRPr="00890A95">
              <w:rPr>
                <w:rFonts w:cs="Times New Roman"/>
                <w:sz w:val="21"/>
                <w:szCs w:val="21"/>
              </w:rPr>
              <w:t>Round 1 continuing hospital intervie</w:t>
            </w:r>
            <w:r>
              <w:rPr>
                <w:rFonts w:cs="Times New Roman"/>
                <w:sz w:val="21"/>
                <w:szCs w:val="21"/>
              </w:rPr>
              <w:t>ws</w:t>
            </w:r>
          </w:p>
        </w:tc>
        <w:tc>
          <w:tcPr>
            <w:tcW w:w="3510" w:type="dxa"/>
          </w:tcPr>
          <w:p w:rsidR="00576310" w:rsidRDefault="001501DF" w:rsidP="006D01A5">
            <w:pPr>
              <w:spacing w:after="0" w:line="240" w:lineRule="auto"/>
              <w:rPr>
                <w:rFonts w:eastAsia="Times New Roman" w:cs="Times New Roman"/>
                <w:color w:val="000000"/>
                <w:sz w:val="21"/>
                <w:szCs w:val="21"/>
              </w:rPr>
            </w:pPr>
            <w:r>
              <w:rPr>
                <w:rFonts w:eastAsia="Times New Roman" w:cs="Times New Roman"/>
                <w:color w:val="000000"/>
                <w:sz w:val="21"/>
                <w:szCs w:val="21"/>
              </w:rPr>
              <w:t>L</w:t>
            </w:r>
            <w:r w:rsidR="00C55816">
              <w:rPr>
                <w:rFonts w:eastAsia="Times New Roman" w:cs="Times New Roman"/>
                <w:color w:val="000000"/>
                <w:sz w:val="21"/>
                <w:szCs w:val="21"/>
              </w:rPr>
              <w:t>ate spring 2014</w:t>
            </w:r>
          </w:p>
          <w:p w:rsidR="00576310" w:rsidRDefault="00576310" w:rsidP="006D01A5">
            <w:pPr>
              <w:spacing w:after="0" w:line="240" w:lineRule="auto"/>
              <w:rPr>
                <w:rFonts w:cs="Times New Roman"/>
                <w:sz w:val="21"/>
                <w:szCs w:val="21"/>
              </w:rPr>
            </w:pPr>
          </w:p>
        </w:tc>
        <w:tc>
          <w:tcPr>
            <w:tcW w:w="1350" w:type="dxa"/>
          </w:tcPr>
          <w:p w:rsidR="00576310" w:rsidRPr="00890A95" w:rsidRDefault="00576310" w:rsidP="006D01A5">
            <w:pPr>
              <w:spacing w:after="0" w:line="240" w:lineRule="auto"/>
              <w:jc w:val="center"/>
              <w:rPr>
                <w:rFonts w:cs="Times New Roman"/>
                <w:sz w:val="21"/>
                <w:szCs w:val="21"/>
              </w:rPr>
            </w:pPr>
            <w:r>
              <w:rPr>
                <w:rFonts w:cs="Times New Roman"/>
                <w:sz w:val="21"/>
                <w:szCs w:val="21"/>
              </w:rPr>
              <w:t>7</w:t>
            </w:r>
          </w:p>
        </w:tc>
        <w:tc>
          <w:tcPr>
            <w:tcW w:w="1170" w:type="dxa"/>
          </w:tcPr>
          <w:p w:rsidR="00576310" w:rsidRDefault="00576310" w:rsidP="006D01A5">
            <w:pPr>
              <w:spacing w:after="0" w:line="240" w:lineRule="auto"/>
              <w:jc w:val="center"/>
              <w:rPr>
                <w:rFonts w:cs="Times New Roman"/>
                <w:sz w:val="21"/>
                <w:szCs w:val="21"/>
              </w:rPr>
            </w:pPr>
            <w:r w:rsidRPr="00890A95">
              <w:rPr>
                <w:rFonts w:cs="Times New Roman"/>
                <w:sz w:val="21"/>
                <w:szCs w:val="21"/>
              </w:rPr>
              <w:t>No</w:t>
            </w:r>
          </w:p>
        </w:tc>
        <w:tc>
          <w:tcPr>
            <w:tcW w:w="1530" w:type="dxa"/>
          </w:tcPr>
          <w:p w:rsidR="00576310" w:rsidRPr="00AC2C9D" w:rsidDel="00380DF7" w:rsidRDefault="00576310" w:rsidP="006D01A5">
            <w:pPr>
              <w:spacing w:after="0" w:line="240" w:lineRule="auto"/>
              <w:jc w:val="center"/>
              <w:rPr>
                <w:rFonts w:cs="Times New Roman"/>
                <w:sz w:val="21"/>
                <w:szCs w:val="21"/>
              </w:rPr>
            </w:pPr>
            <w:r>
              <w:rPr>
                <w:rFonts w:cs="Times New Roman"/>
                <w:sz w:val="21"/>
                <w:szCs w:val="21"/>
              </w:rPr>
              <w:t>No</w:t>
            </w:r>
          </w:p>
        </w:tc>
      </w:tr>
      <w:tr w:rsidR="00516C37" w:rsidRPr="00AC2C9D" w:rsidTr="00C34AF5">
        <w:trPr>
          <w:trHeight w:val="512"/>
        </w:trPr>
        <w:tc>
          <w:tcPr>
            <w:tcW w:w="1908" w:type="dxa"/>
          </w:tcPr>
          <w:p w:rsidR="00516C37" w:rsidRDefault="00516C37">
            <w:pPr>
              <w:spacing w:after="0" w:line="240" w:lineRule="auto"/>
              <w:rPr>
                <w:rFonts w:cs="Times New Roman"/>
                <w:sz w:val="21"/>
                <w:szCs w:val="21"/>
              </w:rPr>
            </w:pPr>
            <w:r w:rsidRPr="00890A95">
              <w:rPr>
                <w:rFonts w:cs="Times New Roman"/>
                <w:sz w:val="21"/>
                <w:szCs w:val="21"/>
              </w:rPr>
              <w:t>Round 1 new hospital interview</w:t>
            </w:r>
            <w:r>
              <w:rPr>
                <w:rFonts w:cs="Times New Roman"/>
                <w:sz w:val="21"/>
                <w:szCs w:val="21"/>
              </w:rPr>
              <w:t>s</w:t>
            </w:r>
          </w:p>
        </w:tc>
        <w:tc>
          <w:tcPr>
            <w:tcW w:w="3510" w:type="dxa"/>
          </w:tcPr>
          <w:p w:rsidR="00516C37" w:rsidRPr="00AC2C9D" w:rsidRDefault="006A6410" w:rsidP="006A6410">
            <w:pPr>
              <w:spacing w:after="0" w:line="240" w:lineRule="auto"/>
              <w:rPr>
                <w:rFonts w:cs="Times New Roman"/>
                <w:sz w:val="21"/>
                <w:szCs w:val="21"/>
              </w:rPr>
            </w:pPr>
            <w:r>
              <w:rPr>
                <w:rFonts w:cs="Times New Roman"/>
                <w:sz w:val="21"/>
                <w:szCs w:val="21"/>
              </w:rPr>
              <w:t xml:space="preserve">Immediately pending </w:t>
            </w:r>
            <w:r w:rsidR="00C34AF5">
              <w:rPr>
                <w:rFonts w:cs="Times New Roman"/>
                <w:sz w:val="21"/>
                <w:szCs w:val="21"/>
              </w:rPr>
              <w:t>OMB approval</w:t>
            </w:r>
          </w:p>
        </w:tc>
        <w:tc>
          <w:tcPr>
            <w:tcW w:w="1350" w:type="dxa"/>
          </w:tcPr>
          <w:p w:rsidR="00516C37" w:rsidRPr="00890A95" w:rsidRDefault="009F52FC" w:rsidP="009F52FC">
            <w:pPr>
              <w:spacing w:after="0" w:line="240" w:lineRule="auto"/>
              <w:jc w:val="center"/>
              <w:rPr>
                <w:rFonts w:cs="Times New Roman"/>
                <w:sz w:val="21"/>
                <w:szCs w:val="21"/>
              </w:rPr>
            </w:pPr>
            <w:r>
              <w:rPr>
                <w:rFonts w:cs="Times New Roman"/>
                <w:sz w:val="21"/>
                <w:szCs w:val="21"/>
              </w:rPr>
              <w:t>15</w:t>
            </w:r>
          </w:p>
        </w:tc>
        <w:tc>
          <w:tcPr>
            <w:tcW w:w="1170" w:type="dxa"/>
          </w:tcPr>
          <w:p w:rsidR="00516C37" w:rsidRDefault="00516C37">
            <w:pPr>
              <w:spacing w:after="0" w:line="240" w:lineRule="auto"/>
              <w:jc w:val="center"/>
              <w:rPr>
                <w:rFonts w:cs="Times New Roman"/>
                <w:sz w:val="21"/>
                <w:szCs w:val="21"/>
              </w:rPr>
            </w:pPr>
            <w:r w:rsidRPr="00890A95">
              <w:rPr>
                <w:rFonts w:cs="Times New Roman"/>
                <w:sz w:val="21"/>
                <w:szCs w:val="21"/>
              </w:rPr>
              <w:t>Yes</w:t>
            </w:r>
          </w:p>
        </w:tc>
        <w:tc>
          <w:tcPr>
            <w:tcW w:w="1530" w:type="dxa"/>
          </w:tcPr>
          <w:p w:rsidR="00516C37" w:rsidRPr="00AC2C9D" w:rsidRDefault="00904B61" w:rsidP="00904B61">
            <w:pPr>
              <w:spacing w:after="0" w:line="240" w:lineRule="auto"/>
              <w:jc w:val="center"/>
              <w:rPr>
                <w:rFonts w:cs="Times New Roman"/>
                <w:sz w:val="21"/>
                <w:szCs w:val="21"/>
              </w:rPr>
            </w:pPr>
            <w:r>
              <w:rPr>
                <w:rFonts w:cs="Times New Roman"/>
                <w:sz w:val="21"/>
                <w:szCs w:val="21"/>
              </w:rPr>
              <w:t>Yes</w:t>
            </w:r>
          </w:p>
        </w:tc>
      </w:tr>
      <w:tr w:rsidR="00516C37" w:rsidRPr="00AC2C9D" w:rsidTr="00E11506">
        <w:trPr>
          <w:trHeight w:val="576"/>
        </w:trPr>
        <w:tc>
          <w:tcPr>
            <w:tcW w:w="1908" w:type="dxa"/>
          </w:tcPr>
          <w:p w:rsidR="00516C37" w:rsidRDefault="00516C37">
            <w:pPr>
              <w:spacing w:after="0" w:line="240" w:lineRule="auto"/>
              <w:rPr>
                <w:rFonts w:cs="Times New Roman"/>
                <w:sz w:val="21"/>
                <w:szCs w:val="21"/>
              </w:rPr>
            </w:pPr>
            <w:r w:rsidRPr="00890A95">
              <w:rPr>
                <w:rFonts w:cs="Times New Roman"/>
                <w:sz w:val="21"/>
                <w:szCs w:val="21"/>
              </w:rPr>
              <w:t>Round 2 hospital interview</w:t>
            </w:r>
            <w:r>
              <w:rPr>
                <w:rFonts w:cs="Times New Roman"/>
                <w:sz w:val="21"/>
                <w:szCs w:val="21"/>
              </w:rPr>
              <w:t>s</w:t>
            </w:r>
            <w:r w:rsidRPr="00890A95">
              <w:rPr>
                <w:rFonts w:cs="Times New Roman"/>
                <w:sz w:val="21"/>
                <w:szCs w:val="21"/>
              </w:rPr>
              <w:t xml:space="preserve"> </w:t>
            </w:r>
          </w:p>
        </w:tc>
        <w:tc>
          <w:tcPr>
            <w:tcW w:w="3510" w:type="dxa"/>
          </w:tcPr>
          <w:p w:rsidR="00516C37" w:rsidRDefault="001501DF" w:rsidP="00C55816">
            <w:pPr>
              <w:spacing w:after="0" w:line="240" w:lineRule="auto"/>
              <w:rPr>
                <w:rFonts w:cs="Times New Roman"/>
                <w:sz w:val="21"/>
                <w:szCs w:val="21"/>
              </w:rPr>
            </w:pPr>
            <w:r>
              <w:rPr>
                <w:rFonts w:eastAsia="Times New Roman" w:cs="Times New Roman"/>
                <w:color w:val="000000"/>
                <w:sz w:val="21"/>
                <w:szCs w:val="21"/>
              </w:rPr>
              <w:t>E</w:t>
            </w:r>
            <w:r w:rsidR="00C55816">
              <w:rPr>
                <w:rFonts w:eastAsia="Times New Roman" w:cs="Times New Roman"/>
                <w:color w:val="000000"/>
                <w:sz w:val="21"/>
                <w:szCs w:val="21"/>
              </w:rPr>
              <w:t>arly fall</w:t>
            </w:r>
            <w:r w:rsidR="00516C37" w:rsidRPr="00890A95">
              <w:rPr>
                <w:rFonts w:eastAsia="Times New Roman" w:cs="Times New Roman"/>
                <w:color w:val="000000"/>
                <w:sz w:val="21"/>
                <w:szCs w:val="21"/>
              </w:rPr>
              <w:t xml:space="preserve"> 2015</w:t>
            </w:r>
          </w:p>
        </w:tc>
        <w:tc>
          <w:tcPr>
            <w:tcW w:w="1350" w:type="dxa"/>
          </w:tcPr>
          <w:p w:rsidR="00516C37" w:rsidRPr="00890A95" w:rsidRDefault="009F52FC" w:rsidP="009F52FC">
            <w:pPr>
              <w:spacing w:after="0" w:line="240" w:lineRule="auto"/>
              <w:jc w:val="center"/>
              <w:rPr>
                <w:rFonts w:cs="Times New Roman"/>
                <w:sz w:val="21"/>
                <w:szCs w:val="21"/>
              </w:rPr>
            </w:pPr>
            <w:r>
              <w:rPr>
                <w:rFonts w:cs="Times New Roman"/>
                <w:sz w:val="21"/>
                <w:szCs w:val="21"/>
              </w:rPr>
              <w:t>22</w:t>
            </w:r>
          </w:p>
        </w:tc>
        <w:tc>
          <w:tcPr>
            <w:tcW w:w="1170" w:type="dxa"/>
          </w:tcPr>
          <w:p w:rsidR="00516C37" w:rsidRDefault="00516C37">
            <w:pPr>
              <w:spacing w:after="0" w:line="240" w:lineRule="auto"/>
              <w:jc w:val="center"/>
              <w:rPr>
                <w:rFonts w:cs="Times New Roman"/>
                <w:sz w:val="21"/>
                <w:szCs w:val="21"/>
              </w:rPr>
            </w:pPr>
            <w:r w:rsidRPr="00890A95">
              <w:rPr>
                <w:rFonts w:cs="Times New Roman"/>
                <w:sz w:val="21"/>
                <w:szCs w:val="21"/>
              </w:rPr>
              <w:t>Yes</w:t>
            </w:r>
          </w:p>
        </w:tc>
        <w:tc>
          <w:tcPr>
            <w:tcW w:w="1530" w:type="dxa"/>
          </w:tcPr>
          <w:p w:rsidR="00516C37" w:rsidRPr="00AC2C9D" w:rsidRDefault="00904B61" w:rsidP="00904B61">
            <w:pPr>
              <w:spacing w:after="0" w:line="240" w:lineRule="auto"/>
              <w:jc w:val="center"/>
              <w:rPr>
                <w:rFonts w:cs="Times New Roman"/>
                <w:sz w:val="21"/>
                <w:szCs w:val="21"/>
              </w:rPr>
            </w:pPr>
            <w:r>
              <w:rPr>
                <w:rFonts w:cs="Times New Roman"/>
                <w:sz w:val="21"/>
                <w:szCs w:val="21"/>
              </w:rPr>
              <w:t>Yes</w:t>
            </w:r>
          </w:p>
        </w:tc>
      </w:tr>
      <w:tr w:rsidR="00516C37" w:rsidRPr="00AC2C9D" w:rsidTr="00E11506">
        <w:trPr>
          <w:trHeight w:val="576"/>
        </w:trPr>
        <w:tc>
          <w:tcPr>
            <w:tcW w:w="1908" w:type="dxa"/>
          </w:tcPr>
          <w:p w:rsidR="00516C37" w:rsidRDefault="00516C37">
            <w:pPr>
              <w:spacing w:after="0" w:line="240" w:lineRule="auto"/>
              <w:rPr>
                <w:rFonts w:cs="Times New Roman"/>
                <w:sz w:val="21"/>
                <w:szCs w:val="21"/>
              </w:rPr>
            </w:pPr>
            <w:r w:rsidRPr="00890A95">
              <w:rPr>
                <w:rFonts w:cs="Times New Roman"/>
                <w:sz w:val="21"/>
                <w:szCs w:val="21"/>
              </w:rPr>
              <w:t xml:space="preserve">Exit interviews </w:t>
            </w:r>
            <w:r>
              <w:rPr>
                <w:rFonts w:cs="Times New Roman"/>
                <w:sz w:val="21"/>
                <w:szCs w:val="21"/>
              </w:rPr>
              <w:t xml:space="preserve">with hospitals </w:t>
            </w:r>
          </w:p>
        </w:tc>
        <w:tc>
          <w:tcPr>
            <w:tcW w:w="3510" w:type="dxa"/>
          </w:tcPr>
          <w:p w:rsidR="00516C37" w:rsidRDefault="00516C37">
            <w:pPr>
              <w:spacing w:after="0" w:line="240" w:lineRule="auto"/>
              <w:rPr>
                <w:rFonts w:cs="Times New Roman"/>
                <w:sz w:val="21"/>
                <w:szCs w:val="21"/>
              </w:rPr>
            </w:pPr>
            <w:r w:rsidRPr="00890A95">
              <w:rPr>
                <w:rFonts w:cs="Times New Roman"/>
                <w:sz w:val="21"/>
                <w:szCs w:val="21"/>
              </w:rPr>
              <w:t>As needed when hospitals exit</w:t>
            </w:r>
            <w:r>
              <w:rPr>
                <w:rFonts w:cs="Times New Roman"/>
                <w:sz w:val="21"/>
                <w:szCs w:val="21"/>
              </w:rPr>
              <w:t>.</w:t>
            </w:r>
            <w:r w:rsidR="00E11506">
              <w:rPr>
                <w:rFonts w:cs="Times New Roman"/>
                <w:sz w:val="21"/>
                <w:szCs w:val="21"/>
              </w:rPr>
              <w:t xml:space="preserve"> </w:t>
            </w:r>
            <w:r>
              <w:rPr>
                <w:rFonts w:cs="Times New Roman"/>
                <w:sz w:val="21"/>
                <w:szCs w:val="21"/>
              </w:rPr>
              <w:t>No more than 9 hospitals are expected to leave during the demonstration.</w:t>
            </w:r>
          </w:p>
        </w:tc>
        <w:tc>
          <w:tcPr>
            <w:tcW w:w="1350" w:type="dxa"/>
          </w:tcPr>
          <w:p w:rsidR="00516C37" w:rsidRDefault="00516C37">
            <w:pPr>
              <w:spacing w:after="0" w:line="240" w:lineRule="auto"/>
              <w:jc w:val="center"/>
              <w:rPr>
                <w:rFonts w:cs="Times New Roman"/>
                <w:sz w:val="21"/>
                <w:szCs w:val="21"/>
              </w:rPr>
            </w:pPr>
            <w:r>
              <w:rPr>
                <w:rFonts w:cs="Times New Roman"/>
                <w:sz w:val="21"/>
                <w:szCs w:val="21"/>
              </w:rPr>
              <w:t>Less than 9</w:t>
            </w:r>
          </w:p>
        </w:tc>
        <w:tc>
          <w:tcPr>
            <w:tcW w:w="1170" w:type="dxa"/>
          </w:tcPr>
          <w:p w:rsidR="00516C37" w:rsidRDefault="00516C37">
            <w:pPr>
              <w:spacing w:after="0" w:line="240" w:lineRule="auto"/>
              <w:jc w:val="center"/>
              <w:rPr>
                <w:rFonts w:cs="Times New Roman"/>
                <w:sz w:val="21"/>
                <w:szCs w:val="21"/>
              </w:rPr>
            </w:pPr>
            <w:r>
              <w:rPr>
                <w:rFonts w:cs="Times New Roman"/>
                <w:sz w:val="21"/>
                <w:szCs w:val="21"/>
              </w:rPr>
              <w:t>No</w:t>
            </w:r>
          </w:p>
        </w:tc>
        <w:tc>
          <w:tcPr>
            <w:tcW w:w="1530" w:type="dxa"/>
          </w:tcPr>
          <w:p w:rsidR="00516C37" w:rsidRPr="00AC2C9D" w:rsidDel="00380DF7" w:rsidRDefault="00904B61" w:rsidP="00FA05B8">
            <w:pPr>
              <w:spacing w:after="0" w:line="240" w:lineRule="auto"/>
              <w:jc w:val="center"/>
              <w:rPr>
                <w:rFonts w:cs="Times New Roman"/>
                <w:sz w:val="21"/>
                <w:szCs w:val="21"/>
              </w:rPr>
            </w:pPr>
            <w:r>
              <w:rPr>
                <w:rFonts w:cs="Times New Roman"/>
                <w:sz w:val="21"/>
                <w:szCs w:val="21"/>
              </w:rPr>
              <w:t>No</w:t>
            </w:r>
          </w:p>
        </w:tc>
      </w:tr>
      <w:tr w:rsidR="00516C37" w:rsidRPr="00AC2C9D" w:rsidTr="00E11506">
        <w:trPr>
          <w:trHeight w:val="576"/>
        </w:trPr>
        <w:tc>
          <w:tcPr>
            <w:tcW w:w="1908" w:type="dxa"/>
          </w:tcPr>
          <w:p w:rsidR="00516C37" w:rsidRDefault="00516C37">
            <w:pPr>
              <w:spacing w:after="0" w:line="240" w:lineRule="auto"/>
              <w:rPr>
                <w:rFonts w:cs="Times New Roman"/>
                <w:sz w:val="21"/>
                <w:szCs w:val="21"/>
              </w:rPr>
            </w:pPr>
            <w:r w:rsidRPr="00890A95">
              <w:rPr>
                <w:rFonts w:cs="Times New Roman"/>
                <w:sz w:val="21"/>
                <w:szCs w:val="21"/>
              </w:rPr>
              <w:t xml:space="preserve">Annual </w:t>
            </w:r>
            <w:r>
              <w:rPr>
                <w:rFonts w:cs="Times New Roman"/>
                <w:sz w:val="21"/>
                <w:szCs w:val="21"/>
              </w:rPr>
              <w:t>p</w:t>
            </w:r>
            <w:r w:rsidRPr="00890A95">
              <w:rPr>
                <w:rFonts w:cs="Times New Roman"/>
                <w:sz w:val="21"/>
                <w:szCs w:val="21"/>
              </w:rPr>
              <w:t xml:space="preserve">rogress </w:t>
            </w:r>
            <w:r>
              <w:rPr>
                <w:rFonts w:cs="Times New Roman"/>
                <w:sz w:val="21"/>
                <w:szCs w:val="21"/>
              </w:rPr>
              <w:t>r</w:t>
            </w:r>
            <w:r w:rsidRPr="00890A95">
              <w:rPr>
                <w:rFonts w:cs="Times New Roman"/>
                <w:sz w:val="21"/>
                <w:szCs w:val="21"/>
              </w:rPr>
              <w:t xml:space="preserve">eport </w:t>
            </w:r>
          </w:p>
        </w:tc>
        <w:tc>
          <w:tcPr>
            <w:tcW w:w="3510" w:type="dxa"/>
          </w:tcPr>
          <w:p w:rsidR="00516C37" w:rsidRDefault="00516C37" w:rsidP="00B53EEA">
            <w:pPr>
              <w:spacing w:after="0" w:line="240" w:lineRule="auto"/>
              <w:rPr>
                <w:rFonts w:cs="Times New Roman"/>
                <w:sz w:val="21"/>
                <w:szCs w:val="21"/>
              </w:rPr>
            </w:pPr>
            <w:r w:rsidRPr="00890A95">
              <w:rPr>
                <w:rFonts w:cs="Times New Roman"/>
                <w:sz w:val="21"/>
                <w:szCs w:val="21"/>
              </w:rPr>
              <w:t xml:space="preserve">Annually on a rolling basis </w:t>
            </w:r>
            <w:r>
              <w:rPr>
                <w:rFonts w:cs="Times New Roman"/>
                <w:sz w:val="21"/>
                <w:szCs w:val="21"/>
              </w:rPr>
              <w:t xml:space="preserve">over the 3 hospital fiscal year cycles, </w:t>
            </w:r>
            <w:r w:rsidRPr="00890A95">
              <w:rPr>
                <w:rFonts w:cs="Times New Roman"/>
                <w:sz w:val="21"/>
                <w:szCs w:val="21"/>
              </w:rPr>
              <w:t>start</w:t>
            </w:r>
            <w:r>
              <w:rPr>
                <w:rFonts w:cs="Times New Roman"/>
                <w:sz w:val="21"/>
                <w:szCs w:val="21"/>
              </w:rPr>
              <w:t xml:space="preserve">ing </w:t>
            </w:r>
            <w:r w:rsidR="00B53EEA">
              <w:rPr>
                <w:rFonts w:cs="Times New Roman"/>
                <w:sz w:val="21"/>
                <w:szCs w:val="21"/>
              </w:rPr>
              <w:t>after OMB approval</w:t>
            </w:r>
            <w:r w:rsidRPr="00890A95">
              <w:rPr>
                <w:rFonts w:cs="Times New Roman"/>
                <w:sz w:val="21"/>
                <w:szCs w:val="21"/>
              </w:rPr>
              <w:t xml:space="preserve">, through </w:t>
            </w:r>
            <w:r>
              <w:rPr>
                <w:rFonts w:cs="Times New Roman"/>
                <w:sz w:val="21"/>
                <w:szCs w:val="21"/>
              </w:rPr>
              <w:t xml:space="preserve">November 2016 (the exact fielding date will vary by hospital). </w:t>
            </w:r>
          </w:p>
        </w:tc>
        <w:tc>
          <w:tcPr>
            <w:tcW w:w="1350" w:type="dxa"/>
          </w:tcPr>
          <w:p w:rsidR="00516C37" w:rsidRPr="00890A95" w:rsidRDefault="009F52FC" w:rsidP="009F52FC">
            <w:pPr>
              <w:spacing w:after="0" w:line="240" w:lineRule="auto"/>
              <w:jc w:val="center"/>
              <w:rPr>
                <w:rFonts w:cs="Times New Roman"/>
                <w:sz w:val="21"/>
                <w:szCs w:val="21"/>
              </w:rPr>
            </w:pPr>
            <w:r>
              <w:rPr>
                <w:rFonts w:cs="Times New Roman"/>
                <w:sz w:val="21"/>
                <w:szCs w:val="21"/>
              </w:rPr>
              <w:t>22</w:t>
            </w:r>
          </w:p>
        </w:tc>
        <w:tc>
          <w:tcPr>
            <w:tcW w:w="1170" w:type="dxa"/>
          </w:tcPr>
          <w:p w:rsidR="00516C37" w:rsidRDefault="00516C37">
            <w:pPr>
              <w:spacing w:after="0" w:line="240" w:lineRule="auto"/>
              <w:jc w:val="center"/>
              <w:rPr>
                <w:rFonts w:cs="Times New Roman"/>
                <w:sz w:val="21"/>
                <w:szCs w:val="21"/>
              </w:rPr>
            </w:pPr>
            <w:r w:rsidRPr="00890A95">
              <w:rPr>
                <w:rFonts w:cs="Times New Roman"/>
                <w:sz w:val="21"/>
                <w:szCs w:val="21"/>
              </w:rPr>
              <w:t>Yes</w:t>
            </w:r>
          </w:p>
        </w:tc>
        <w:tc>
          <w:tcPr>
            <w:tcW w:w="1530" w:type="dxa"/>
          </w:tcPr>
          <w:p w:rsidR="00516C37" w:rsidRPr="00AC2C9D" w:rsidRDefault="00904B61" w:rsidP="00904B61">
            <w:pPr>
              <w:spacing w:after="0" w:line="240" w:lineRule="auto"/>
              <w:jc w:val="center"/>
              <w:rPr>
                <w:rFonts w:cs="Times New Roman"/>
                <w:sz w:val="21"/>
                <w:szCs w:val="21"/>
              </w:rPr>
            </w:pPr>
            <w:r>
              <w:rPr>
                <w:rFonts w:cs="Times New Roman"/>
                <w:sz w:val="21"/>
                <w:szCs w:val="21"/>
              </w:rPr>
              <w:t>Yes</w:t>
            </w:r>
          </w:p>
        </w:tc>
      </w:tr>
    </w:tbl>
    <w:p w:rsidR="00981920" w:rsidRDefault="00981920">
      <w:pPr>
        <w:spacing w:after="0" w:line="240" w:lineRule="auto"/>
      </w:pPr>
    </w:p>
    <w:p w:rsidR="00E9602A" w:rsidRDefault="00890A95">
      <w:pPr>
        <w:pStyle w:val="Heading2"/>
        <w:numPr>
          <w:ilvl w:val="0"/>
          <w:numId w:val="14"/>
        </w:numPr>
        <w:ind w:left="360"/>
      </w:pPr>
      <w:bookmarkStart w:id="3" w:name="_Toc349642829"/>
      <w:r w:rsidRPr="00890A95">
        <w:lastRenderedPageBreak/>
        <w:t>Use of Improved Technology and Burden Reduction</w:t>
      </w:r>
      <w:bookmarkEnd w:id="3"/>
    </w:p>
    <w:p w:rsidR="00E9602A" w:rsidRDefault="00890A95">
      <w:pPr>
        <w:autoSpaceDE w:val="0"/>
        <w:autoSpaceDN w:val="0"/>
        <w:adjustRightInd w:val="0"/>
        <w:spacing w:after="0" w:line="240" w:lineRule="auto"/>
        <w:rPr>
          <w:rFonts w:cs="Arial"/>
          <w:lang w:bidi="lo-LA"/>
        </w:rPr>
      </w:pPr>
      <w:r w:rsidRPr="00890A95">
        <w:rPr>
          <w:rFonts w:cs="Arial"/>
          <w:lang w:bidi="lo-LA"/>
        </w:rPr>
        <w:t xml:space="preserve">Wherever possible, the </w:t>
      </w:r>
      <w:r w:rsidR="00B83A94">
        <w:rPr>
          <w:rFonts w:cs="Arial"/>
          <w:lang w:bidi="lo-LA"/>
        </w:rPr>
        <w:t xml:space="preserve">evaluation </w:t>
      </w:r>
      <w:r w:rsidRPr="00890A95">
        <w:rPr>
          <w:rFonts w:cs="Arial"/>
          <w:lang w:bidi="lo-LA"/>
        </w:rPr>
        <w:t>will use current information technologies to maximize the efficiency and completeness of the information needed for the study</w:t>
      </w:r>
      <w:r w:rsidR="001A0EE2">
        <w:rPr>
          <w:rFonts w:cs="Arial"/>
          <w:lang w:bidi="lo-LA"/>
        </w:rPr>
        <w:t>,</w:t>
      </w:r>
      <w:r w:rsidRPr="00890A95">
        <w:rPr>
          <w:rFonts w:cs="Arial"/>
          <w:lang w:bidi="lo-LA"/>
        </w:rPr>
        <w:t xml:space="preserve"> and to minimize the burden placed on respondents. Email to a lead contact at each hospital will be the primary method by which evaluators communicate with hospitals. Interviews with hospitals will be conducted over a toll-free conference line. </w:t>
      </w:r>
    </w:p>
    <w:p w:rsidR="00E9602A" w:rsidRDefault="00E9602A">
      <w:pPr>
        <w:autoSpaceDE w:val="0"/>
        <w:autoSpaceDN w:val="0"/>
        <w:adjustRightInd w:val="0"/>
        <w:spacing w:after="0" w:line="240" w:lineRule="auto"/>
        <w:rPr>
          <w:rFonts w:cs="Arial"/>
          <w:lang w:bidi="lo-LA"/>
        </w:rPr>
      </w:pPr>
    </w:p>
    <w:p w:rsidR="00E9602A" w:rsidRDefault="00890A95">
      <w:pPr>
        <w:autoSpaceDE w:val="0"/>
        <w:autoSpaceDN w:val="0"/>
        <w:adjustRightInd w:val="0"/>
        <w:spacing w:after="0" w:line="240" w:lineRule="auto"/>
        <w:rPr>
          <w:rFonts w:cs="Times New Roman"/>
        </w:rPr>
      </w:pPr>
      <w:r w:rsidRPr="00890A95">
        <w:rPr>
          <w:rFonts w:eastAsia="Times New Roman" w:cs="Times New Roman"/>
          <w:color w:val="000000"/>
          <w:lang w:bidi="lo-LA"/>
        </w:rPr>
        <w:t>The annual report form will be web-based in order to simplify completing the report and reduce burden on respondents. Each hospital will be provided with a user name and password to protect their data, and to allow respondents to access the form multiple times without losing their data.</w:t>
      </w:r>
      <w:r w:rsidRPr="00890A95">
        <w:rPr>
          <w:rFonts w:cs="Times New Roman"/>
        </w:rPr>
        <w:t xml:space="preserve"> Rather than requesting a written document answering open-ended questions, the online reporting tool will permit the use of drop down menus and skip logic where applicable</w:t>
      </w:r>
      <w:r w:rsidR="00B83A94">
        <w:rPr>
          <w:rFonts w:cs="Times New Roman"/>
        </w:rPr>
        <w:t xml:space="preserve"> to reduce the time required to fill in the information.</w:t>
      </w:r>
      <w:r w:rsidRPr="00890A95">
        <w:rPr>
          <w:rFonts w:cs="Times New Roman"/>
        </w:rPr>
        <w:t xml:space="preserve"> In order to reduce burden, results will be pre-populated wherever possible for hospitals to review and update.</w:t>
      </w:r>
      <w:r w:rsidR="00F20A45">
        <w:rPr>
          <w:rFonts w:eastAsia="Times New Roman" w:cs="Times New Roman"/>
          <w:color w:val="000000"/>
          <w:lang w:bidi="lo-LA"/>
        </w:rPr>
        <w:t xml:space="preserve"> The evaluation team will offer a webinar demo session, and </w:t>
      </w:r>
      <w:r w:rsidRPr="00890A95">
        <w:rPr>
          <w:rFonts w:eastAsia="Times New Roman" w:cs="Times New Roman"/>
          <w:color w:val="000000"/>
          <w:lang w:bidi="lo-LA"/>
        </w:rPr>
        <w:t>w</w:t>
      </w:r>
      <w:r w:rsidRPr="00890A95">
        <w:rPr>
          <w:rFonts w:cs="Times New Roman"/>
        </w:rPr>
        <w:t xml:space="preserve">ill be available throughout the project to provide technical assistance. </w:t>
      </w:r>
    </w:p>
    <w:p w:rsidR="00E9602A" w:rsidRDefault="00E9602A">
      <w:pPr>
        <w:autoSpaceDE w:val="0"/>
        <w:autoSpaceDN w:val="0"/>
        <w:adjustRightInd w:val="0"/>
        <w:spacing w:after="0" w:line="240" w:lineRule="auto"/>
        <w:rPr>
          <w:rFonts w:eastAsia="Times New Roman" w:cs="Times New Roman"/>
          <w:color w:val="000000"/>
          <w:lang w:bidi="lo-LA"/>
        </w:rPr>
      </w:pPr>
    </w:p>
    <w:p w:rsidR="00E9602A" w:rsidRDefault="00890A95">
      <w:pPr>
        <w:pStyle w:val="Heading2"/>
        <w:numPr>
          <w:ilvl w:val="0"/>
          <w:numId w:val="14"/>
        </w:numPr>
        <w:ind w:left="360"/>
      </w:pPr>
      <w:bookmarkStart w:id="4" w:name="_Toc349642830"/>
      <w:r w:rsidRPr="00890A95">
        <w:t>Efforts to Identify Duplication and Use of Similar Information</w:t>
      </w:r>
      <w:bookmarkEnd w:id="4"/>
    </w:p>
    <w:p w:rsidR="0095733E" w:rsidRDefault="00890A95" w:rsidP="001A0EE2">
      <w:pPr>
        <w:spacing w:after="0" w:line="240" w:lineRule="auto"/>
        <w:rPr>
          <w:rFonts w:cs="Arial"/>
        </w:rPr>
      </w:pPr>
      <w:r w:rsidRPr="00890A95">
        <w:rPr>
          <w:rFonts w:cs="Times New Roman"/>
        </w:rPr>
        <w:t xml:space="preserve">There has not yet been a complete evaluation of the full Rural Community Hospital Demonstration </w:t>
      </w:r>
      <w:r w:rsidR="00737ADB">
        <w:rPr>
          <w:rFonts w:cs="Times New Roman"/>
        </w:rPr>
        <w:t xml:space="preserve">(RCHD) </w:t>
      </w:r>
      <w:r w:rsidRPr="00890A95">
        <w:rPr>
          <w:rFonts w:cs="Times New Roman"/>
        </w:rPr>
        <w:t xml:space="preserve">nor a Report to Congress on the feasibility and advisability of creating a new payment category of rural hospitals, as required by the Medicare Prescription Drug, Improvement, and Modernization Act </w:t>
      </w:r>
      <w:r w:rsidR="00A26C6E">
        <w:rPr>
          <w:rFonts w:cs="Times New Roman"/>
        </w:rPr>
        <w:t xml:space="preserve">(MMA) </w:t>
      </w:r>
      <w:r w:rsidRPr="00890A95">
        <w:rPr>
          <w:rFonts w:cs="Times New Roman"/>
        </w:rPr>
        <w:t xml:space="preserve">of 2003 </w:t>
      </w:r>
      <w:r w:rsidRPr="00890A95">
        <w:rPr>
          <w:rFonts w:cs="Arial"/>
        </w:rPr>
        <w:t>(Public Law 108–173</w:t>
      </w:r>
      <w:r w:rsidR="00B83A94">
        <w:rPr>
          <w:rFonts w:cs="Arial"/>
        </w:rPr>
        <w:t>)</w:t>
      </w:r>
      <w:r w:rsidRPr="00890A95">
        <w:rPr>
          <w:rFonts w:cs="Times New Roman"/>
        </w:rPr>
        <w:t xml:space="preserve">. </w:t>
      </w:r>
      <w:r w:rsidR="00B83A94">
        <w:rPr>
          <w:rFonts w:cs="Times New Roman"/>
        </w:rPr>
        <w:t xml:space="preserve">No data about </w:t>
      </w:r>
      <w:r w:rsidRPr="00890A95">
        <w:rPr>
          <w:rFonts w:cs="Times New Roman"/>
        </w:rPr>
        <w:t xml:space="preserve">the demonstration </w:t>
      </w:r>
      <w:r w:rsidR="006F30C3" w:rsidRPr="00890A95">
        <w:rPr>
          <w:rFonts w:cs="Times New Roman"/>
        </w:rPr>
        <w:t>ha</w:t>
      </w:r>
      <w:r w:rsidR="006F30C3">
        <w:rPr>
          <w:rFonts w:cs="Times New Roman"/>
        </w:rPr>
        <w:t>ve</w:t>
      </w:r>
      <w:r w:rsidR="006F30C3" w:rsidRPr="00890A95">
        <w:rPr>
          <w:rFonts w:cs="Times New Roman"/>
        </w:rPr>
        <w:t xml:space="preserve"> </w:t>
      </w:r>
      <w:r w:rsidRPr="00890A95">
        <w:rPr>
          <w:rFonts w:cs="Times New Roman"/>
        </w:rPr>
        <w:t>been collected from the</w:t>
      </w:r>
      <w:r w:rsidR="00A26C6E">
        <w:rPr>
          <w:rFonts w:cs="Times New Roman"/>
        </w:rPr>
        <w:t xml:space="preserve"> 15</w:t>
      </w:r>
      <w:r w:rsidR="00B83A94">
        <w:rPr>
          <w:rFonts w:cs="Times New Roman"/>
        </w:rPr>
        <w:t xml:space="preserve"> </w:t>
      </w:r>
      <w:r w:rsidR="00A26C6E">
        <w:rPr>
          <w:rFonts w:cs="Times New Roman"/>
        </w:rPr>
        <w:t xml:space="preserve">new </w:t>
      </w:r>
      <w:r w:rsidRPr="00890A95">
        <w:rPr>
          <w:rFonts w:cs="Times New Roman"/>
        </w:rPr>
        <w:t xml:space="preserve">hospitals that joined the demonstration </w:t>
      </w:r>
      <w:r w:rsidR="006F30C3">
        <w:rPr>
          <w:rFonts w:cs="Times New Roman"/>
        </w:rPr>
        <w:t>in 2010</w:t>
      </w:r>
      <w:r w:rsidR="00A26C6E">
        <w:rPr>
          <w:rFonts w:cs="Times New Roman"/>
        </w:rPr>
        <w:t xml:space="preserve">, and no data have been collected for the </w:t>
      </w:r>
      <w:r w:rsidR="001A0EE2">
        <w:rPr>
          <w:rFonts w:cs="Times New Roman"/>
        </w:rPr>
        <w:t xml:space="preserve">seven </w:t>
      </w:r>
      <w:r w:rsidR="0001112F">
        <w:rPr>
          <w:rFonts w:cs="Times New Roman"/>
        </w:rPr>
        <w:t>continuing</w:t>
      </w:r>
      <w:r w:rsidR="00A26C6E">
        <w:rPr>
          <w:rFonts w:cs="Times New Roman"/>
        </w:rPr>
        <w:t xml:space="preserve"> hospitals </w:t>
      </w:r>
      <w:r w:rsidR="006F30C3">
        <w:rPr>
          <w:rFonts w:cs="Times New Roman"/>
        </w:rPr>
        <w:t>since 2010</w:t>
      </w:r>
      <w:r w:rsidR="00A26C6E">
        <w:rPr>
          <w:rFonts w:cs="Times New Roman"/>
        </w:rPr>
        <w:t xml:space="preserve">. </w:t>
      </w:r>
      <w:r w:rsidRPr="00890A95">
        <w:rPr>
          <w:rFonts w:cs="Times New Roman"/>
        </w:rPr>
        <w:t xml:space="preserve">The new </w:t>
      </w:r>
      <w:r w:rsidR="00A26C6E">
        <w:rPr>
          <w:rFonts w:cs="Times New Roman"/>
        </w:rPr>
        <w:t xml:space="preserve">data collection under this </w:t>
      </w:r>
      <w:r w:rsidR="001A0EE2">
        <w:rPr>
          <w:rFonts w:cs="Times New Roman"/>
        </w:rPr>
        <w:t xml:space="preserve">request for </w:t>
      </w:r>
      <w:r w:rsidR="00A26C6E">
        <w:rPr>
          <w:rFonts w:cs="Times New Roman"/>
        </w:rPr>
        <w:t>OMB approval will provide information covering the demonstration period extended by</w:t>
      </w:r>
      <w:r w:rsidR="00E11506">
        <w:rPr>
          <w:rFonts w:cs="Times New Roman"/>
        </w:rPr>
        <w:t xml:space="preserve"> </w:t>
      </w:r>
      <w:r w:rsidR="00A26C6E" w:rsidRPr="00380DF7">
        <w:rPr>
          <w:rFonts w:cs="Times New Roman"/>
        </w:rPr>
        <w:t>the Patient Protection and Affordable Care Act</w:t>
      </w:r>
      <w:r w:rsidR="00A26C6E">
        <w:rPr>
          <w:rFonts w:cs="Times New Roman"/>
        </w:rPr>
        <w:t xml:space="preserve"> (ACA) </w:t>
      </w:r>
      <w:r w:rsidR="00A26C6E" w:rsidRPr="00380DF7">
        <w:rPr>
          <w:rFonts w:cs="Times New Roman"/>
        </w:rPr>
        <w:t xml:space="preserve">of 2010 </w:t>
      </w:r>
      <w:r w:rsidR="00A26C6E" w:rsidRPr="00380DF7">
        <w:rPr>
          <w:rFonts w:cs="Arial"/>
        </w:rPr>
        <w:t>(Public Law 111–148)</w:t>
      </w:r>
      <w:r w:rsidR="00A26C6E">
        <w:rPr>
          <w:rFonts w:cs="Arial"/>
        </w:rPr>
        <w:t>.</w:t>
      </w:r>
      <w:r w:rsidR="00E11506">
        <w:rPr>
          <w:rFonts w:cs="Arial"/>
        </w:rPr>
        <w:t xml:space="preserve"> </w:t>
      </w:r>
    </w:p>
    <w:p w:rsidR="0095733E" w:rsidRDefault="0095733E">
      <w:pPr>
        <w:spacing w:after="0" w:line="240" w:lineRule="auto"/>
        <w:rPr>
          <w:rFonts w:cs="Arial"/>
        </w:rPr>
      </w:pPr>
    </w:p>
    <w:p w:rsidR="0095733E" w:rsidRDefault="0024635A" w:rsidP="00BF737F">
      <w:pPr>
        <w:spacing w:after="0" w:line="240" w:lineRule="auto"/>
        <w:rPr>
          <w:rFonts w:cs="Arial"/>
        </w:rPr>
      </w:pPr>
      <w:r>
        <w:rPr>
          <w:rFonts w:cs="Arial"/>
        </w:rPr>
        <w:t xml:space="preserve">To minimize the chance that hospitals will be asked to provide information </w:t>
      </w:r>
      <w:r w:rsidR="005E76B0">
        <w:rPr>
          <w:rFonts w:cs="Arial"/>
        </w:rPr>
        <w:t xml:space="preserve">that </w:t>
      </w:r>
      <w:proofErr w:type="gramStart"/>
      <w:r w:rsidR="005E76B0">
        <w:rPr>
          <w:rFonts w:cs="Arial"/>
        </w:rPr>
        <w:t>are</w:t>
      </w:r>
      <w:proofErr w:type="gramEnd"/>
      <w:r w:rsidR="005E76B0">
        <w:rPr>
          <w:rFonts w:cs="Arial"/>
        </w:rPr>
        <w:t xml:space="preserve"> </w:t>
      </w:r>
      <w:r>
        <w:rPr>
          <w:rFonts w:cs="Arial"/>
        </w:rPr>
        <w:t>available from existing sources, t</w:t>
      </w:r>
      <w:r w:rsidR="00735BE5">
        <w:rPr>
          <w:rFonts w:cs="Arial"/>
        </w:rPr>
        <w:t xml:space="preserve">he evaluation uses </w:t>
      </w:r>
      <w:r w:rsidR="00804A22">
        <w:rPr>
          <w:rFonts w:cs="Arial"/>
        </w:rPr>
        <w:t xml:space="preserve">extant data whenever possible. As mentioned in section 2 above, the financial, market, and </w:t>
      </w:r>
      <w:r w:rsidR="0001112F">
        <w:rPr>
          <w:rFonts w:cs="Arial"/>
        </w:rPr>
        <w:t>simulation</w:t>
      </w:r>
      <w:r w:rsidR="00804A22">
        <w:rPr>
          <w:rFonts w:cs="Arial"/>
        </w:rPr>
        <w:t xml:space="preserve"> analyses of the </w:t>
      </w:r>
      <w:r w:rsidR="0001112F">
        <w:rPr>
          <w:rFonts w:cs="Arial"/>
        </w:rPr>
        <w:t>evaluation</w:t>
      </w:r>
      <w:r w:rsidR="00804A22">
        <w:rPr>
          <w:rFonts w:cs="Arial"/>
        </w:rPr>
        <w:t xml:space="preserve"> utilize public</w:t>
      </w:r>
      <w:r w:rsidR="001A0EE2">
        <w:rPr>
          <w:rFonts w:cs="Arial"/>
        </w:rPr>
        <w:t>al</w:t>
      </w:r>
      <w:r w:rsidR="00804A22">
        <w:rPr>
          <w:rFonts w:cs="Arial"/>
        </w:rPr>
        <w:t xml:space="preserve">ly available data sources. </w:t>
      </w:r>
      <w:r w:rsidR="00BF737F">
        <w:rPr>
          <w:rFonts w:cs="Arial"/>
        </w:rPr>
        <w:t>T</w:t>
      </w:r>
      <w:r w:rsidR="00804A22">
        <w:rPr>
          <w:rFonts w:cs="Arial"/>
        </w:rPr>
        <w:t xml:space="preserve">he new data collection from </w:t>
      </w:r>
      <w:r w:rsidR="0001112F">
        <w:rPr>
          <w:rFonts w:cs="Arial"/>
        </w:rPr>
        <w:t>hospitals</w:t>
      </w:r>
      <w:r w:rsidR="00BF737F">
        <w:rPr>
          <w:rFonts w:cs="Arial"/>
        </w:rPr>
        <w:t>,</w:t>
      </w:r>
      <w:r w:rsidR="00804A22">
        <w:rPr>
          <w:rFonts w:cs="Arial"/>
        </w:rPr>
        <w:t xml:space="preserve"> for which OMB </w:t>
      </w:r>
      <w:r w:rsidR="0001112F">
        <w:rPr>
          <w:rFonts w:cs="Arial"/>
        </w:rPr>
        <w:t>approval</w:t>
      </w:r>
      <w:r w:rsidR="00804A22">
        <w:rPr>
          <w:rFonts w:cs="Arial"/>
        </w:rPr>
        <w:t xml:space="preserve"> is sought</w:t>
      </w:r>
      <w:r w:rsidR="00BF737F">
        <w:rPr>
          <w:rFonts w:cs="Arial"/>
        </w:rPr>
        <w:t>,</w:t>
      </w:r>
      <w:r w:rsidR="00804A22">
        <w:rPr>
          <w:rFonts w:cs="Arial"/>
        </w:rPr>
        <w:t xml:space="preserve"> </w:t>
      </w:r>
      <w:r w:rsidR="00BF737F">
        <w:rPr>
          <w:rFonts w:cs="Arial"/>
        </w:rPr>
        <w:t xml:space="preserve">is </w:t>
      </w:r>
      <w:r w:rsidR="00804A22">
        <w:rPr>
          <w:rFonts w:cs="Arial"/>
        </w:rPr>
        <w:t xml:space="preserve">also designed to avoid duplicate data collection. </w:t>
      </w:r>
      <w:r w:rsidR="006F30C3">
        <w:rPr>
          <w:rFonts w:cs="Arial"/>
        </w:rPr>
        <w:t xml:space="preserve">The evaluation team is thoroughly reviewing the qualitative data captured in the previous evaluation through interviews and annual progress reports, so hospitals do not have to repeat information already provided. </w:t>
      </w:r>
      <w:r w:rsidR="00DB18D2">
        <w:rPr>
          <w:rFonts w:cs="Arial"/>
        </w:rPr>
        <w:t xml:space="preserve">For the interview protocols, </w:t>
      </w:r>
      <w:r w:rsidR="00902CAA">
        <w:rPr>
          <w:rFonts w:cs="Arial"/>
        </w:rPr>
        <w:t xml:space="preserve">where appropriate, data from publicly available sources such as </w:t>
      </w:r>
      <w:r w:rsidR="00DB18D2">
        <w:rPr>
          <w:rFonts w:cs="Arial"/>
        </w:rPr>
        <w:t>the Area Resource File</w:t>
      </w:r>
      <w:r w:rsidR="00902CAA">
        <w:rPr>
          <w:rFonts w:cs="Arial"/>
        </w:rPr>
        <w:t xml:space="preserve"> or </w:t>
      </w:r>
      <w:r w:rsidR="00DB18D2">
        <w:rPr>
          <w:rFonts w:cs="Arial"/>
        </w:rPr>
        <w:t xml:space="preserve">the 2010 Census </w:t>
      </w:r>
      <w:r w:rsidR="00902CAA">
        <w:rPr>
          <w:rFonts w:cs="Arial"/>
        </w:rPr>
        <w:t xml:space="preserve">will be used to inform interview questions </w:t>
      </w:r>
      <w:r w:rsidR="00061FB9">
        <w:rPr>
          <w:rFonts w:cs="Arial"/>
        </w:rPr>
        <w:t>pertaining to</w:t>
      </w:r>
      <w:r w:rsidR="00902CAA">
        <w:rPr>
          <w:rFonts w:cs="Arial"/>
        </w:rPr>
        <w:t xml:space="preserve"> the characteristics of </w:t>
      </w:r>
      <w:r w:rsidR="00DB18D2">
        <w:rPr>
          <w:rFonts w:cs="Arial"/>
        </w:rPr>
        <w:t>hospital market</w:t>
      </w:r>
      <w:r w:rsidR="00902CAA">
        <w:rPr>
          <w:rFonts w:cs="Arial"/>
        </w:rPr>
        <w:t xml:space="preserve"> areas</w:t>
      </w:r>
      <w:r w:rsidR="00DB18D2">
        <w:rPr>
          <w:rFonts w:cs="Arial"/>
        </w:rPr>
        <w:t xml:space="preserve"> prior to interviews.  </w:t>
      </w:r>
      <w:r w:rsidR="00061FB9">
        <w:rPr>
          <w:rFonts w:cs="Arial"/>
        </w:rPr>
        <w:t>T</w:t>
      </w:r>
      <w:r w:rsidR="00DB18D2">
        <w:rPr>
          <w:rFonts w:cs="Arial"/>
        </w:rPr>
        <w:t>hese</w:t>
      </w:r>
      <w:r w:rsidR="00902CAA">
        <w:rPr>
          <w:rFonts w:cs="Arial"/>
        </w:rPr>
        <w:t xml:space="preserve"> interview </w:t>
      </w:r>
      <w:r w:rsidR="00DB18D2">
        <w:rPr>
          <w:rFonts w:cs="Arial"/>
        </w:rPr>
        <w:t>questions</w:t>
      </w:r>
      <w:r w:rsidR="006511D9">
        <w:rPr>
          <w:rFonts w:cs="Arial"/>
        </w:rPr>
        <w:t xml:space="preserve"> are designed </w:t>
      </w:r>
      <w:r w:rsidR="00902CAA">
        <w:rPr>
          <w:rFonts w:cs="Arial"/>
        </w:rPr>
        <w:t xml:space="preserve">to acquire information about </w:t>
      </w:r>
      <w:r w:rsidR="00061FB9">
        <w:rPr>
          <w:rFonts w:cs="Arial"/>
        </w:rPr>
        <w:t xml:space="preserve">demonstration </w:t>
      </w:r>
      <w:r w:rsidR="00DB18D2">
        <w:rPr>
          <w:rFonts w:cs="Arial"/>
        </w:rPr>
        <w:t>hospitals’ perception of their markets</w:t>
      </w:r>
      <w:r w:rsidR="006511D9">
        <w:rPr>
          <w:rFonts w:cs="Arial"/>
        </w:rPr>
        <w:t>, rather than specific market data</w:t>
      </w:r>
      <w:r w:rsidR="00DB18D2">
        <w:rPr>
          <w:rFonts w:cs="Arial"/>
        </w:rPr>
        <w:t xml:space="preserve">.  </w:t>
      </w:r>
      <w:r w:rsidR="00061FB9">
        <w:rPr>
          <w:rFonts w:cs="Arial"/>
        </w:rPr>
        <w:t xml:space="preserve">The perception administrators have of their markets and/or competitive environments is a key aspect of the financial and operational choices of demonstration hospitals, and is therefore an essential input needed to evaluate the demonstration’s impact on hospital financial viability and community benefit. </w:t>
      </w:r>
      <w:r w:rsidR="0001112F">
        <w:rPr>
          <w:rFonts w:cs="Arial"/>
        </w:rPr>
        <w:t xml:space="preserve">For annual reports, the evaluation </w:t>
      </w:r>
      <w:r w:rsidR="00BF737F">
        <w:rPr>
          <w:rFonts w:cs="Arial"/>
        </w:rPr>
        <w:t xml:space="preserve">will </w:t>
      </w:r>
      <w:r w:rsidR="0001112F">
        <w:rPr>
          <w:rFonts w:cs="Arial"/>
        </w:rPr>
        <w:t>populate report templates as much as possible ahead of the data collection, utilizing publically-available hospital-level</w:t>
      </w:r>
      <w:r w:rsidR="0001112F">
        <w:t xml:space="preserve"> data (e.g., financial records from the </w:t>
      </w:r>
      <w:r w:rsidR="0001112F" w:rsidRPr="00571406">
        <w:t>Healthcare Cost Report Information System</w:t>
      </w:r>
      <w:r w:rsidR="0001112F">
        <w:t xml:space="preserve">), </w:t>
      </w:r>
      <w:r w:rsidR="0001112F">
        <w:rPr>
          <w:rFonts w:cs="Arial"/>
        </w:rPr>
        <w:t>available hospital-specific</w:t>
      </w:r>
      <w:r w:rsidR="00E11506">
        <w:rPr>
          <w:rFonts w:cs="Arial"/>
        </w:rPr>
        <w:t xml:space="preserve"> </w:t>
      </w:r>
      <w:r w:rsidR="0001112F">
        <w:rPr>
          <w:rFonts w:cs="Arial"/>
        </w:rPr>
        <w:t>documents (e.g.,</w:t>
      </w:r>
      <w:r w:rsidR="00E11506">
        <w:rPr>
          <w:rFonts w:cs="Arial"/>
        </w:rPr>
        <w:t xml:space="preserve"> </w:t>
      </w:r>
      <w:r w:rsidR="0001112F">
        <w:rPr>
          <w:rFonts w:cs="Arial"/>
        </w:rPr>
        <w:t xml:space="preserve">hospital’s own financial statements, annual reports), and the data collected under the previous evaluation. </w:t>
      </w:r>
      <w:r w:rsidR="001016FF">
        <w:rPr>
          <w:rFonts w:cs="Arial"/>
        </w:rPr>
        <w:t xml:space="preserve">The </w:t>
      </w:r>
      <w:r w:rsidR="0001112F">
        <w:rPr>
          <w:rFonts w:cs="Arial"/>
        </w:rPr>
        <w:t>hospitals</w:t>
      </w:r>
      <w:r w:rsidR="00AA7E87">
        <w:rPr>
          <w:rFonts w:cs="Arial"/>
        </w:rPr>
        <w:t xml:space="preserve"> will then be </w:t>
      </w:r>
      <w:r w:rsidR="001016FF">
        <w:rPr>
          <w:rFonts w:cs="Arial"/>
        </w:rPr>
        <w:t>asked</w:t>
      </w:r>
      <w:r w:rsidR="00AA7E87">
        <w:rPr>
          <w:rFonts w:cs="Arial"/>
        </w:rPr>
        <w:t xml:space="preserve"> </w:t>
      </w:r>
      <w:r w:rsidR="001016FF">
        <w:rPr>
          <w:rFonts w:cs="Arial"/>
        </w:rPr>
        <w:t xml:space="preserve">to verify or update the </w:t>
      </w:r>
      <w:r w:rsidR="00AA7E87">
        <w:rPr>
          <w:rFonts w:cs="Arial"/>
        </w:rPr>
        <w:t xml:space="preserve">pre-populated </w:t>
      </w:r>
      <w:r w:rsidR="001016FF">
        <w:rPr>
          <w:rFonts w:cs="Arial"/>
        </w:rPr>
        <w:t xml:space="preserve">information. </w:t>
      </w:r>
    </w:p>
    <w:p w:rsidR="00E9602A" w:rsidRDefault="00890A95">
      <w:pPr>
        <w:pStyle w:val="Heading2"/>
        <w:numPr>
          <w:ilvl w:val="0"/>
          <w:numId w:val="14"/>
        </w:numPr>
        <w:ind w:left="360"/>
      </w:pPr>
      <w:bookmarkStart w:id="5" w:name="_Toc349642831"/>
      <w:r w:rsidRPr="00890A95">
        <w:lastRenderedPageBreak/>
        <w:t>Impact on Small Businesses or Other Small Entities</w:t>
      </w:r>
      <w:bookmarkEnd w:id="5"/>
    </w:p>
    <w:p w:rsidR="00AA2848" w:rsidRDefault="004A3850" w:rsidP="00BF737F">
      <w:pPr>
        <w:spacing w:after="0" w:line="240" w:lineRule="auto"/>
      </w:pPr>
      <w:r>
        <w:t>T</w:t>
      </w:r>
      <w:r w:rsidR="00AA7E87">
        <w:t>he data are collected f</w:t>
      </w:r>
      <w:r w:rsidR="00890A95" w:rsidRPr="00890A95">
        <w:t>rom small rural hospitals, and the primary respondents are hospital administrators. The new data collection request</w:t>
      </w:r>
      <w:r w:rsidR="00BF737F">
        <w:t>ing</w:t>
      </w:r>
      <w:r w:rsidR="00890A95" w:rsidRPr="00890A95">
        <w:t xml:space="preserve"> OMB approval is not</w:t>
      </w:r>
      <w:r w:rsidR="0097234C">
        <w:t xml:space="preserve"> expected to affect </w:t>
      </w:r>
      <w:r w:rsidR="00837085">
        <w:t>the ability of the</w:t>
      </w:r>
      <w:r w:rsidR="0097234C">
        <w:t xml:space="preserve"> </w:t>
      </w:r>
      <w:r w:rsidR="0001112F">
        <w:t>participating</w:t>
      </w:r>
      <w:r w:rsidR="00837085">
        <w:t xml:space="preserve"> hosp</w:t>
      </w:r>
      <w:r w:rsidR="0097234C">
        <w:t xml:space="preserve">itals to </w:t>
      </w:r>
      <w:r w:rsidR="0001112F">
        <w:t>conduct</w:t>
      </w:r>
      <w:r w:rsidR="0097234C">
        <w:t xml:space="preserve"> the</w:t>
      </w:r>
      <w:r w:rsidR="005338D9">
        <w:t>i</w:t>
      </w:r>
      <w:r w:rsidR="0097234C">
        <w:t xml:space="preserve">r </w:t>
      </w:r>
      <w:r w:rsidR="005338D9">
        <w:t xml:space="preserve">core </w:t>
      </w:r>
      <w:r w:rsidR="0001112F">
        <w:t>business</w:t>
      </w:r>
      <w:r w:rsidR="005338D9">
        <w:t xml:space="preserve"> of providing medical</w:t>
      </w:r>
      <w:r w:rsidR="00BF737F">
        <w:t xml:space="preserve"> services to</w:t>
      </w:r>
      <w:r w:rsidR="005338D9">
        <w:t xml:space="preserve"> their communities.</w:t>
      </w:r>
      <w:r w:rsidR="0097234C">
        <w:t xml:space="preserve"> </w:t>
      </w:r>
      <w:r w:rsidR="00BF737F">
        <w:t>The i</w:t>
      </w:r>
      <w:r w:rsidR="0097234C">
        <w:t xml:space="preserve">mpact </w:t>
      </w:r>
      <w:r w:rsidR="005338D9">
        <w:t xml:space="preserve">of the new data collection </w:t>
      </w:r>
      <w:r w:rsidR="0097234C">
        <w:t xml:space="preserve">on </w:t>
      </w:r>
      <w:r w:rsidR="005338D9">
        <w:t xml:space="preserve">hospitals will be limited to </w:t>
      </w:r>
      <w:r w:rsidR="0097234C">
        <w:t>the</w:t>
      </w:r>
      <w:r w:rsidR="00AA2848">
        <w:t xml:space="preserve"> </w:t>
      </w:r>
      <w:r w:rsidR="0097234C">
        <w:t xml:space="preserve">burden directly related </w:t>
      </w:r>
      <w:r w:rsidR="00AA2848">
        <w:t xml:space="preserve">in responding to the data collection activities (i.e. hours respondents would spend participating in interviews or preparing </w:t>
      </w:r>
      <w:r w:rsidR="009E4E3A">
        <w:t>annual</w:t>
      </w:r>
      <w:r w:rsidR="00AA2848">
        <w:t xml:space="preserve"> reports). </w:t>
      </w:r>
    </w:p>
    <w:p w:rsidR="00AA2848" w:rsidRDefault="00AA2848" w:rsidP="00BF737F">
      <w:pPr>
        <w:spacing w:after="0" w:line="240" w:lineRule="auto"/>
      </w:pPr>
    </w:p>
    <w:p w:rsidR="00E9602A" w:rsidRDefault="005338D9" w:rsidP="00BF737F">
      <w:pPr>
        <w:spacing w:after="0" w:line="240" w:lineRule="auto"/>
      </w:pPr>
      <w:r>
        <w:t>P</w:t>
      </w:r>
      <w:r w:rsidR="0097234C" w:rsidRPr="00837085">
        <w:t xml:space="preserve">articipation in the </w:t>
      </w:r>
      <w:r w:rsidR="0097234C">
        <w:t xml:space="preserve">demonstration </w:t>
      </w:r>
      <w:r w:rsidR="0097234C" w:rsidRPr="00837085">
        <w:t xml:space="preserve">is voluntary, and </w:t>
      </w:r>
      <w:r w:rsidR="0097234C">
        <w:t xml:space="preserve">hospitals </w:t>
      </w:r>
      <w:r w:rsidR="0097234C" w:rsidRPr="00837085">
        <w:t>are aware when they elect to participate that the demonstration requires their participation in evaluation activities.</w:t>
      </w:r>
      <w:r w:rsidR="00AA2848">
        <w:t xml:space="preserve"> </w:t>
      </w:r>
      <w:r w:rsidR="0097234C">
        <w:t xml:space="preserve">Nevertheless, the evaluation </w:t>
      </w:r>
      <w:r>
        <w:t xml:space="preserve">makes </w:t>
      </w:r>
      <w:r w:rsidR="0097234C">
        <w:t xml:space="preserve">efforts to </w:t>
      </w:r>
      <w:r w:rsidR="0001112F">
        <w:t>minimize</w:t>
      </w:r>
      <w:r w:rsidR="0097234C">
        <w:t xml:space="preserve"> the burden on small </w:t>
      </w:r>
      <w:r w:rsidR="0001112F">
        <w:t>hospitals</w:t>
      </w:r>
      <w:r w:rsidR="0097234C">
        <w:t xml:space="preserve"> as much as possible. </w:t>
      </w:r>
      <w:r w:rsidR="00890A95" w:rsidRPr="00890A95">
        <w:t>Burden is reduced for all respondents by requesting only the minimum information required to meet the study objectives.</w:t>
      </w:r>
      <w:r w:rsidR="0097234C">
        <w:t xml:space="preserve"> For both </w:t>
      </w:r>
      <w:r w:rsidR="0001112F">
        <w:t>interviews</w:t>
      </w:r>
      <w:r w:rsidR="0097234C">
        <w:t xml:space="preserve"> and annual </w:t>
      </w:r>
      <w:r w:rsidR="0001112F">
        <w:t>progress</w:t>
      </w:r>
      <w:r w:rsidR="0097234C">
        <w:t xml:space="preserve"> </w:t>
      </w:r>
      <w:r w:rsidR="0001112F">
        <w:t>reports</w:t>
      </w:r>
      <w:r w:rsidR="0097234C">
        <w:t xml:space="preserve">, </w:t>
      </w:r>
      <w:r w:rsidR="0001112F">
        <w:t>hospitals</w:t>
      </w:r>
      <w:r w:rsidR="0097234C">
        <w:t xml:space="preserve"> are asked to provide</w:t>
      </w:r>
      <w:r w:rsidR="00BF737F">
        <w:t xml:space="preserve"> </w:t>
      </w:r>
      <w:r w:rsidR="00F2147F">
        <w:t xml:space="preserve">readily-available </w:t>
      </w:r>
      <w:r w:rsidR="0097234C">
        <w:t xml:space="preserve">information </w:t>
      </w:r>
      <w:r w:rsidR="0097234C" w:rsidRPr="00837085">
        <w:t xml:space="preserve">that </w:t>
      </w:r>
      <w:r w:rsidR="0097234C">
        <w:t>they would</w:t>
      </w:r>
      <w:r w:rsidR="00F2147F">
        <w:t xml:space="preserve"> maintain as part of their regular hospital management and </w:t>
      </w:r>
      <w:r w:rsidR="009E4E3A">
        <w:t>operation</w:t>
      </w:r>
      <w:r w:rsidR="00F2147F">
        <w:t xml:space="preserve">. </w:t>
      </w:r>
      <w:r w:rsidR="00BF737F">
        <w:t>I</w:t>
      </w:r>
      <w:r w:rsidR="00890A95" w:rsidRPr="00890A95">
        <w:t xml:space="preserve">nterviews </w:t>
      </w:r>
      <w:r w:rsidR="0097234C">
        <w:t xml:space="preserve">will be scheduled </w:t>
      </w:r>
      <w:r w:rsidR="00890A95" w:rsidRPr="00890A95">
        <w:t>around the availability of respondents</w:t>
      </w:r>
      <w:r>
        <w:t xml:space="preserve">, and will be conducted with strict </w:t>
      </w:r>
      <w:r w:rsidR="0001112F">
        <w:t>adherence</w:t>
      </w:r>
      <w:r>
        <w:t xml:space="preserve"> to the </w:t>
      </w:r>
      <w:r w:rsidR="0001112F">
        <w:t>allotted</w:t>
      </w:r>
      <w:r>
        <w:t xml:space="preserve"> time. </w:t>
      </w:r>
      <w:r w:rsidR="00BF737F">
        <w:t>O</w:t>
      </w:r>
      <w:r w:rsidR="00890A95" w:rsidRPr="00890A95">
        <w:t>nly existing and necessary data will be requested from these entities</w:t>
      </w:r>
      <w:r w:rsidR="00BF737F">
        <w:t xml:space="preserve"> for annual reports</w:t>
      </w:r>
      <w:r w:rsidR="00890A95" w:rsidRPr="00890A95">
        <w:t>, thereby reducing the burden to hospitals. Hospitals will only be asked to update information that has changed since previous reports, and evaluators’ review of existing data will facilitate only asking necessary questions during interviews and filling in the annual report template with pre-existing data</w:t>
      </w:r>
      <w:r w:rsidR="00BF737F">
        <w:t>.</w:t>
      </w:r>
      <w:r w:rsidR="0097234C">
        <w:t xml:space="preserve"> </w:t>
      </w:r>
    </w:p>
    <w:p w:rsidR="001B2B55" w:rsidRDefault="001B2B55" w:rsidP="00BF737F">
      <w:pPr>
        <w:spacing w:after="0" w:line="240" w:lineRule="auto"/>
      </w:pPr>
    </w:p>
    <w:p w:rsidR="00E9602A" w:rsidRDefault="00890A95">
      <w:pPr>
        <w:pStyle w:val="Heading2"/>
        <w:numPr>
          <w:ilvl w:val="0"/>
          <w:numId w:val="14"/>
        </w:numPr>
        <w:ind w:left="360"/>
      </w:pPr>
      <w:bookmarkStart w:id="6" w:name="_Toc349642832"/>
      <w:r w:rsidRPr="00890A95">
        <w:t>Consequences of Collecting the Information Less Frequently</w:t>
      </w:r>
      <w:bookmarkEnd w:id="6"/>
    </w:p>
    <w:p w:rsidR="00E9602A" w:rsidRDefault="00890A95">
      <w:pPr>
        <w:autoSpaceDE w:val="0"/>
        <w:autoSpaceDN w:val="0"/>
        <w:adjustRightInd w:val="0"/>
        <w:spacing w:after="0" w:line="240" w:lineRule="auto"/>
      </w:pPr>
      <w:r w:rsidRPr="00890A95">
        <w:t xml:space="preserve">This research effort will lead to a Report to Congress. If these data are not collected, detailed </w:t>
      </w:r>
      <w:r w:rsidR="000A5939">
        <w:t xml:space="preserve">and timely </w:t>
      </w:r>
      <w:r w:rsidRPr="00890A95">
        <w:t xml:space="preserve">information about the RCHD </w:t>
      </w:r>
      <w:r w:rsidR="007A1F57">
        <w:t xml:space="preserve">may not be obtained </w:t>
      </w:r>
      <w:r w:rsidRPr="00890A95">
        <w:t>in order to determine the advisability of continuing the payment mechanism.</w:t>
      </w:r>
      <w:r w:rsidR="00E11506">
        <w:t xml:space="preserve"> </w:t>
      </w:r>
    </w:p>
    <w:p w:rsidR="00E9602A" w:rsidRDefault="00E9602A">
      <w:pPr>
        <w:autoSpaceDE w:val="0"/>
        <w:autoSpaceDN w:val="0"/>
        <w:adjustRightInd w:val="0"/>
        <w:spacing w:after="0" w:line="240" w:lineRule="auto"/>
      </w:pPr>
    </w:p>
    <w:p w:rsidR="00E9602A" w:rsidRDefault="0001112F" w:rsidP="00BF737F">
      <w:pPr>
        <w:autoSpaceDE w:val="0"/>
        <w:autoSpaceDN w:val="0"/>
        <w:adjustRightInd w:val="0"/>
        <w:spacing w:after="0" w:line="240" w:lineRule="auto"/>
      </w:pPr>
      <w:r>
        <w:t>If</w:t>
      </w:r>
      <w:r w:rsidR="007A1F57">
        <w:t xml:space="preserve"> we reduce the number of interviews, the analyses would have to more heavily rely on hospital personnel</w:t>
      </w:r>
      <w:r w:rsidR="00BF737F">
        <w:t>’s</w:t>
      </w:r>
      <w:r w:rsidR="007A1F57">
        <w:t xml:space="preserve"> recollection</w:t>
      </w:r>
      <w:r w:rsidR="00BF737F">
        <w:t xml:space="preserve">s </w:t>
      </w:r>
      <w:r w:rsidR="007A1F57">
        <w:t>cover</w:t>
      </w:r>
      <w:r w:rsidR="00BF737F">
        <w:t>ing</w:t>
      </w:r>
      <w:r w:rsidR="007A1F57">
        <w:t xml:space="preserve"> a longer period of time, </w:t>
      </w:r>
      <w:r w:rsidR="00D37E16">
        <w:t>which would risk the quality</w:t>
      </w:r>
      <w:r w:rsidR="00382395">
        <w:t xml:space="preserve"> and timeliness</w:t>
      </w:r>
      <w:r w:rsidR="00D37E16">
        <w:t xml:space="preserve"> of the information. </w:t>
      </w:r>
      <w:r w:rsidR="007A1F57">
        <w:t xml:space="preserve">If we reduce the number of </w:t>
      </w:r>
      <w:r>
        <w:t>the</w:t>
      </w:r>
      <w:r w:rsidR="007A1F57">
        <w:t xml:space="preserve"> annual reports, it may increase burden</w:t>
      </w:r>
      <w:r w:rsidR="00BF737F">
        <w:t>,</w:t>
      </w:r>
      <w:r w:rsidR="007A1F57">
        <w:t xml:space="preserve"> because hospitals </w:t>
      </w:r>
      <w:r w:rsidR="00D37E16">
        <w:t xml:space="preserve">may have to go back to their archived records. We expect that </w:t>
      </w:r>
      <w:r w:rsidR="00BF737F">
        <w:t xml:space="preserve">a </w:t>
      </w:r>
      <w:r w:rsidR="00D37E16">
        <w:t>yearly update is le</w:t>
      </w:r>
      <w:r w:rsidR="00BF737F">
        <w:t>s</w:t>
      </w:r>
      <w:r w:rsidR="00D37E16">
        <w:t>s burdensome than upload</w:t>
      </w:r>
      <w:r w:rsidR="00BF737F">
        <w:t>ing</w:t>
      </w:r>
      <w:r w:rsidR="00D37E16">
        <w:t xml:space="preserve"> several years’ worth of information</w:t>
      </w:r>
      <w:r w:rsidR="00BF737F">
        <w:t xml:space="preserve"> at once</w:t>
      </w:r>
      <w:r w:rsidR="00D37E16">
        <w:t>.</w:t>
      </w:r>
      <w:r w:rsidR="00E11506">
        <w:t xml:space="preserve"> </w:t>
      </w:r>
    </w:p>
    <w:p w:rsidR="001956B8" w:rsidRDefault="001956B8" w:rsidP="00BF737F">
      <w:pPr>
        <w:autoSpaceDE w:val="0"/>
        <w:autoSpaceDN w:val="0"/>
        <w:adjustRightInd w:val="0"/>
        <w:spacing w:after="0" w:line="240" w:lineRule="auto"/>
      </w:pPr>
    </w:p>
    <w:p w:rsidR="00E9602A" w:rsidRDefault="00890A95">
      <w:pPr>
        <w:pStyle w:val="Heading2"/>
        <w:numPr>
          <w:ilvl w:val="0"/>
          <w:numId w:val="14"/>
        </w:numPr>
        <w:ind w:left="360"/>
      </w:pPr>
      <w:bookmarkStart w:id="7" w:name="_Toc349642833"/>
      <w:r w:rsidRPr="00890A95">
        <w:t>Special Circumstances Relating to the Guidelines of 5 CFR 1320.5</w:t>
      </w:r>
      <w:bookmarkEnd w:id="7"/>
    </w:p>
    <w:p w:rsidR="003E09CD" w:rsidRDefault="003E09CD" w:rsidP="003E09CD">
      <w:pPr>
        <w:autoSpaceDE w:val="0"/>
        <w:autoSpaceDN w:val="0"/>
        <w:adjustRightInd w:val="0"/>
        <w:spacing w:after="0" w:line="240" w:lineRule="auto"/>
      </w:pPr>
      <w:r>
        <w:t>There are no special circumstances involved with the data collection.</w:t>
      </w:r>
    </w:p>
    <w:p w:rsidR="00E9602A" w:rsidRDefault="00E9602A">
      <w:pPr>
        <w:spacing w:after="0" w:line="240" w:lineRule="auto"/>
      </w:pPr>
    </w:p>
    <w:p w:rsidR="00E9602A" w:rsidRDefault="00890A95">
      <w:pPr>
        <w:pStyle w:val="Heading2"/>
        <w:numPr>
          <w:ilvl w:val="0"/>
          <w:numId w:val="14"/>
        </w:numPr>
        <w:ind w:left="360"/>
      </w:pPr>
      <w:bookmarkStart w:id="8" w:name="_Toc349642834"/>
      <w:r w:rsidRPr="00890A95">
        <w:t>Comments in Response to the Federal Register Notice and Efforts to Consult Outside the Agency</w:t>
      </w:r>
      <w:bookmarkEnd w:id="8"/>
    </w:p>
    <w:p w:rsidR="00E9602A" w:rsidRDefault="00E9602A">
      <w:pPr>
        <w:autoSpaceDE w:val="0"/>
        <w:autoSpaceDN w:val="0"/>
        <w:adjustRightInd w:val="0"/>
        <w:spacing w:after="0" w:line="240" w:lineRule="auto"/>
      </w:pPr>
    </w:p>
    <w:p w:rsidR="005D4558" w:rsidRDefault="007C19E4" w:rsidP="005D4558">
      <w:pPr>
        <w:autoSpaceDE w:val="0"/>
        <w:autoSpaceDN w:val="0"/>
        <w:adjustRightInd w:val="0"/>
        <w:spacing w:after="0" w:line="240" w:lineRule="auto"/>
      </w:pPr>
      <w:r>
        <w:rPr>
          <w:sz w:val="23"/>
          <w:szCs w:val="23"/>
        </w:rPr>
        <w:t xml:space="preserve">The 60-day Federal Register Notice </w:t>
      </w:r>
      <w:r w:rsidR="00FB7CB5">
        <w:rPr>
          <w:sz w:val="23"/>
          <w:szCs w:val="23"/>
        </w:rPr>
        <w:t xml:space="preserve">(78 FR 68851) </w:t>
      </w:r>
      <w:bookmarkStart w:id="9" w:name="_GoBack"/>
      <w:bookmarkEnd w:id="9"/>
      <w:r>
        <w:rPr>
          <w:sz w:val="23"/>
          <w:szCs w:val="23"/>
        </w:rPr>
        <w:t xml:space="preserve">was published on </w:t>
      </w:r>
      <w:r w:rsidR="00E125C7">
        <w:rPr>
          <w:sz w:val="23"/>
          <w:szCs w:val="23"/>
        </w:rPr>
        <w:t>November 15, 2013.  There were no public comments.</w:t>
      </w:r>
      <w:r>
        <w:rPr>
          <w:sz w:val="23"/>
          <w:szCs w:val="23"/>
        </w:rPr>
        <w:t xml:space="preserve"> </w:t>
      </w:r>
    </w:p>
    <w:p w:rsidR="005F3A0F" w:rsidRPr="005D4558" w:rsidRDefault="005F3A0F" w:rsidP="005D4558">
      <w:pPr>
        <w:autoSpaceDE w:val="0"/>
        <w:autoSpaceDN w:val="0"/>
        <w:adjustRightInd w:val="0"/>
        <w:spacing w:after="0" w:line="240" w:lineRule="auto"/>
      </w:pPr>
    </w:p>
    <w:p w:rsidR="00E9602A" w:rsidRDefault="00890A95">
      <w:pPr>
        <w:pStyle w:val="Heading2"/>
        <w:numPr>
          <w:ilvl w:val="0"/>
          <w:numId w:val="14"/>
        </w:numPr>
        <w:ind w:left="360"/>
      </w:pPr>
      <w:bookmarkStart w:id="10" w:name="_Toc349642835"/>
      <w:r w:rsidRPr="00890A95">
        <w:lastRenderedPageBreak/>
        <w:t>Explanation of Any Payment or Gift to Respondents</w:t>
      </w:r>
      <w:bookmarkEnd w:id="10"/>
    </w:p>
    <w:p w:rsidR="00E9602A" w:rsidRDefault="00890A95">
      <w:pPr>
        <w:spacing w:after="0" w:line="240" w:lineRule="auto"/>
      </w:pPr>
      <w:r w:rsidRPr="00890A95">
        <w:t>Respondents will not be provided any payment or gift for participating in this data collection.</w:t>
      </w:r>
    </w:p>
    <w:p w:rsidR="00E11506" w:rsidRDefault="00E11506">
      <w:pPr>
        <w:spacing w:after="0" w:line="240" w:lineRule="auto"/>
      </w:pPr>
    </w:p>
    <w:p w:rsidR="00E9602A" w:rsidRDefault="00890A95">
      <w:pPr>
        <w:pStyle w:val="Heading2"/>
        <w:numPr>
          <w:ilvl w:val="0"/>
          <w:numId w:val="14"/>
        </w:numPr>
        <w:ind w:left="360"/>
      </w:pPr>
      <w:bookmarkStart w:id="11" w:name="_Toc349642836"/>
      <w:r w:rsidRPr="00890A95">
        <w:t>Assurance of Confidentiality Provided to Respondents</w:t>
      </w:r>
      <w:bookmarkEnd w:id="11"/>
    </w:p>
    <w:p w:rsidR="0022137A" w:rsidRPr="001956B8" w:rsidRDefault="005F3A0F" w:rsidP="009E3A34">
      <w:pPr>
        <w:spacing w:after="0" w:line="240" w:lineRule="auto"/>
      </w:pPr>
      <w:r w:rsidRPr="001956B8">
        <w:t>The</w:t>
      </w:r>
      <w:r w:rsidR="00154266" w:rsidRPr="001956B8">
        <w:t xml:space="preserve"> evaluation team, represented by </w:t>
      </w:r>
      <w:r w:rsidR="00B0484F" w:rsidRPr="001956B8">
        <w:t>Berkeley</w:t>
      </w:r>
      <w:r w:rsidR="00154266" w:rsidRPr="001956B8">
        <w:t xml:space="preserve"> Policy Associates and Mission Analytics Group, is bound by the terms of the contract, </w:t>
      </w:r>
      <w:r w:rsidR="0042584F" w:rsidRPr="001956B8">
        <w:t xml:space="preserve">local and </w:t>
      </w:r>
      <w:r w:rsidR="00C652AC" w:rsidRPr="001956B8">
        <w:t xml:space="preserve">federal </w:t>
      </w:r>
      <w:r w:rsidR="00B0484F" w:rsidRPr="001956B8">
        <w:t>regulations</w:t>
      </w:r>
      <w:r w:rsidR="001B42D1" w:rsidRPr="001956B8">
        <w:t xml:space="preserve"> including the Privacy Act (45 CFR 5b)</w:t>
      </w:r>
      <w:r w:rsidR="005F74EF" w:rsidRPr="001956B8">
        <w:t xml:space="preserve">, </w:t>
      </w:r>
      <w:r w:rsidR="00154266" w:rsidRPr="001956B8">
        <w:t xml:space="preserve">as well as the company’s security policies, </w:t>
      </w:r>
      <w:r w:rsidR="00C652AC" w:rsidRPr="001956B8">
        <w:t xml:space="preserve">to assure </w:t>
      </w:r>
      <w:r w:rsidR="0042584F" w:rsidRPr="001956B8">
        <w:t>protection of confidential data</w:t>
      </w:r>
      <w:r w:rsidR="001B42D1" w:rsidRPr="001956B8">
        <w:t>.</w:t>
      </w:r>
      <w:r w:rsidR="00E11506">
        <w:t xml:space="preserve"> </w:t>
      </w:r>
    </w:p>
    <w:p w:rsidR="00C652AC" w:rsidRPr="001956B8" w:rsidRDefault="00C652AC" w:rsidP="009E3A34">
      <w:pPr>
        <w:spacing w:after="0" w:line="240" w:lineRule="auto"/>
      </w:pPr>
    </w:p>
    <w:p w:rsidR="00234182" w:rsidRPr="001956B8" w:rsidRDefault="0042584F" w:rsidP="00234182">
      <w:pPr>
        <w:spacing w:after="0" w:line="240" w:lineRule="auto"/>
      </w:pPr>
      <w:r w:rsidRPr="001956B8">
        <w:t>The new data collection</w:t>
      </w:r>
      <w:r w:rsidR="005269B0" w:rsidRPr="001956B8">
        <w:t xml:space="preserve"> </w:t>
      </w:r>
      <w:r w:rsidRPr="001956B8">
        <w:t>does not</w:t>
      </w:r>
      <w:r w:rsidR="00F12BEB" w:rsidRPr="001956B8">
        <w:t xml:space="preserve"> collect </w:t>
      </w:r>
      <w:r w:rsidR="00D35A7C" w:rsidRPr="001956B8">
        <w:t xml:space="preserve">any </w:t>
      </w:r>
      <w:r w:rsidRPr="001956B8">
        <w:t xml:space="preserve">information </w:t>
      </w:r>
      <w:r w:rsidR="00F12BEB" w:rsidRPr="001956B8">
        <w:t xml:space="preserve">or records </w:t>
      </w:r>
      <w:r w:rsidR="00D35A7C" w:rsidRPr="001956B8">
        <w:t xml:space="preserve">on individual </w:t>
      </w:r>
      <w:r w:rsidRPr="001956B8">
        <w:t>respondents</w:t>
      </w:r>
      <w:r w:rsidR="00F12BEB" w:rsidRPr="001956B8">
        <w:t xml:space="preserve"> or </w:t>
      </w:r>
      <w:r w:rsidR="005F74EF" w:rsidRPr="001956B8">
        <w:t>any other individuals. I</w:t>
      </w:r>
      <w:r w:rsidR="00D35A7C" w:rsidRPr="001956B8">
        <w:t>t</w:t>
      </w:r>
      <w:r w:rsidR="00871965" w:rsidRPr="001956B8">
        <w:t xml:space="preserve"> </w:t>
      </w:r>
      <w:r w:rsidR="00D35A7C" w:rsidRPr="001956B8">
        <w:t xml:space="preserve">collects </w:t>
      </w:r>
      <w:r w:rsidR="00F12BEB" w:rsidRPr="001956B8">
        <w:t xml:space="preserve">institutional information on the </w:t>
      </w:r>
      <w:r w:rsidRPr="001956B8">
        <w:t>hospitals that the</w:t>
      </w:r>
      <w:r w:rsidR="005269B0" w:rsidRPr="001956B8">
        <w:t xml:space="preserve"> individuals</w:t>
      </w:r>
      <w:r w:rsidRPr="001956B8">
        <w:t xml:space="preserve"> represe</w:t>
      </w:r>
      <w:r w:rsidR="00FD2C31" w:rsidRPr="001956B8">
        <w:t>nt and their views on</w:t>
      </w:r>
      <w:r w:rsidRPr="001956B8">
        <w:t xml:space="preserve"> </w:t>
      </w:r>
      <w:r w:rsidR="00DD5EF8" w:rsidRPr="001956B8">
        <w:t xml:space="preserve">organizational </w:t>
      </w:r>
      <w:r w:rsidRPr="001956B8">
        <w:t>experiences with the RCHD</w:t>
      </w:r>
      <w:r w:rsidR="00FD2C31" w:rsidRPr="001956B8">
        <w:t>.</w:t>
      </w:r>
      <w:r w:rsidR="00E11506">
        <w:t xml:space="preserve"> </w:t>
      </w:r>
      <w:r w:rsidR="00FD2C31" w:rsidRPr="001956B8">
        <w:t>It does not collect proprietary information that could affect business operations if disclosed.</w:t>
      </w:r>
      <w:r w:rsidR="00E11506">
        <w:t xml:space="preserve"> </w:t>
      </w:r>
      <w:r w:rsidRPr="001956B8">
        <w:t>The identit</w:t>
      </w:r>
      <w:r w:rsidR="005269B0" w:rsidRPr="001956B8">
        <w:t>ies</w:t>
      </w:r>
      <w:r w:rsidRPr="001956B8">
        <w:t xml:space="preserve"> of individual informants </w:t>
      </w:r>
      <w:r w:rsidR="00F12BEB" w:rsidRPr="001956B8">
        <w:t xml:space="preserve">are </w:t>
      </w:r>
      <w:r w:rsidRPr="001956B8">
        <w:t>kept confidential</w:t>
      </w:r>
      <w:r w:rsidR="00234182" w:rsidRPr="001956B8">
        <w:t>. The raw data collected (e.g.</w:t>
      </w:r>
      <w:r w:rsidR="005269B0" w:rsidRPr="001956B8">
        <w:t>,</w:t>
      </w:r>
      <w:r w:rsidR="00234182" w:rsidRPr="001956B8">
        <w:t xml:space="preserve"> transcripts of interviews, raw records from progress reports) will be kept confidential and used only for the purpose of the evaluation. (The </w:t>
      </w:r>
      <w:r w:rsidR="00B0484F" w:rsidRPr="001956B8">
        <w:t>identities</w:t>
      </w:r>
      <w:r w:rsidR="00234182" w:rsidRPr="001956B8">
        <w:t xml:space="preserve"> of the RCHD hospitals are, however, public records.)</w:t>
      </w:r>
      <w:r w:rsidR="00E11506">
        <w:t xml:space="preserve"> </w:t>
      </w:r>
    </w:p>
    <w:p w:rsidR="00DE27B3" w:rsidRPr="001956B8" w:rsidRDefault="00DE27B3" w:rsidP="00234182">
      <w:pPr>
        <w:spacing w:after="0" w:line="240" w:lineRule="auto"/>
      </w:pPr>
    </w:p>
    <w:p w:rsidR="00DE27B3" w:rsidRPr="00DE27B3" w:rsidRDefault="005269B0" w:rsidP="00DE27B3">
      <w:pPr>
        <w:spacing w:after="0" w:line="240" w:lineRule="auto"/>
      </w:pPr>
      <w:r w:rsidRPr="001956B8">
        <w:t>C</w:t>
      </w:r>
      <w:r w:rsidR="00DE27B3" w:rsidRPr="001956B8">
        <w:t>onfidentiality is assured by compliance with the Public Health Service Act (42 USC 299a-1(s), which states that:</w:t>
      </w:r>
      <w:r w:rsidR="00E11506">
        <w:t xml:space="preserve"> </w:t>
      </w:r>
      <w:r w:rsidR="00DE27B3" w:rsidRPr="001956B8">
        <w:t>“</w:t>
      </w:r>
      <w:r w:rsidR="00DE27B3" w:rsidRPr="001956B8">
        <w:rPr>
          <w:i/>
        </w:rPr>
        <w:t>No information, if an establishment or person supplying the information or described in it is identified, obtained in the course of activities undertaken or supported under this title may be used for any purpose other than the purpose for which it was supplied unless such establishment or person has consented (as determined under regulations or the Secretary) to its use for such other purpose. Such information may not be published or released in other form if the person who supplied the information or who is described in it is identifiable unless such person as consented (as determined under regulation of the Secretary) to its publication or release in other form.</w:t>
      </w:r>
      <w:r w:rsidR="00DE27B3" w:rsidRPr="001956B8">
        <w:t>”</w:t>
      </w:r>
    </w:p>
    <w:p w:rsidR="00234182" w:rsidRDefault="00234182" w:rsidP="00F12BEB">
      <w:pPr>
        <w:spacing w:after="0" w:line="240" w:lineRule="auto"/>
      </w:pPr>
    </w:p>
    <w:p w:rsidR="0042584F" w:rsidRDefault="0042584F" w:rsidP="0042584F">
      <w:pPr>
        <w:autoSpaceDE w:val="0"/>
        <w:autoSpaceDN w:val="0"/>
        <w:adjustRightInd w:val="0"/>
        <w:spacing w:after="0" w:line="240" w:lineRule="auto"/>
      </w:pPr>
      <w:r>
        <w:t xml:space="preserve">Prior to interviews, </w:t>
      </w:r>
      <w:r w:rsidR="00F12BEB">
        <w:t xml:space="preserve">the </w:t>
      </w:r>
      <w:r w:rsidR="00B0484F">
        <w:t>evaluation</w:t>
      </w:r>
      <w:r w:rsidR="00F12BEB">
        <w:t xml:space="preserve"> team </w:t>
      </w:r>
      <w:r w:rsidRPr="00890A95">
        <w:t>will</w:t>
      </w:r>
      <w:r>
        <w:t xml:space="preserve"> inform </w:t>
      </w:r>
      <w:r w:rsidRPr="00890A95">
        <w:t>respondents that their name</w:t>
      </w:r>
      <w:r>
        <w:t>s</w:t>
      </w:r>
      <w:r w:rsidRPr="00890A95">
        <w:t xml:space="preserve"> will not be used in any</w:t>
      </w:r>
      <w:r w:rsidR="00234182">
        <w:t xml:space="preserve"> formal</w:t>
      </w:r>
      <w:r w:rsidRPr="00890A95">
        <w:t xml:space="preserve"> reports</w:t>
      </w:r>
      <w:r w:rsidR="00234182">
        <w:t xml:space="preserve"> (interim and final reports of the </w:t>
      </w:r>
      <w:r w:rsidR="00B0484F">
        <w:t>evaluation</w:t>
      </w:r>
      <w:r w:rsidR="00234182">
        <w:t xml:space="preserve"> and</w:t>
      </w:r>
      <w:r w:rsidR="00E11506">
        <w:t xml:space="preserve"> </w:t>
      </w:r>
      <w:r w:rsidR="00234182">
        <w:t>a Report to Congress)</w:t>
      </w:r>
      <w:r w:rsidRPr="00890A95">
        <w:t xml:space="preserve">, that no quotes will be attributed to them personally, and that the evaluators will document that the information is from their hospital. Evaluators will ask respondents’ consent prior to recording interviews, and will inform respondents that recordings will </w:t>
      </w:r>
      <w:r>
        <w:t>only</w:t>
      </w:r>
      <w:r w:rsidRPr="00890A95">
        <w:t xml:space="preserve"> be</w:t>
      </w:r>
      <w:r>
        <w:t xml:space="preserve"> </w:t>
      </w:r>
      <w:r w:rsidRPr="00890A95">
        <w:t>used internally to verify information, and not shared with anyone outside of the research team.</w:t>
      </w:r>
      <w:r>
        <w:t xml:space="preserve"> </w:t>
      </w:r>
      <w:r w:rsidRPr="00890A95">
        <w:rPr>
          <w:rFonts w:cs="Times New Roman"/>
        </w:rPr>
        <w:t>For</w:t>
      </w:r>
      <w:r>
        <w:rPr>
          <w:rFonts w:cs="Times New Roman"/>
        </w:rPr>
        <w:t xml:space="preserve"> annual reports, each </w:t>
      </w:r>
      <w:r w:rsidRPr="00890A95">
        <w:rPr>
          <w:rFonts w:cs="Times New Roman"/>
        </w:rPr>
        <w:t xml:space="preserve">hospital will </w:t>
      </w:r>
      <w:r>
        <w:rPr>
          <w:rFonts w:cs="Times New Roman"/>
        </w:rPr>
        <w:t xml:space="preserve">input the information into its own assigned form, which will require </w:t>
      </w:r>
      <w:r w:rsidRPr="00890A95">
        <w:rPr>
          <w:rFonts w:cs="Times New Roman"/>
        </w:rPr>
        <w:t>a</w:t>
      </w:r>
      <w:r w:rsidR="00E11506">
        <w:rPr>
          <w:rFonts w:cs="Times New Roman"/>
        </w:rPr>
        <w:t xml:space="preserve"> </w:t>
      </w:r>
      <w:r w:rsidRPr="00890A95">
        <w:rPr>
          <w:rFonts w:cs="Times New Roman"/>
        </w:rPr>
        <w:t>password to access</w:t>
      </w:r>
      <w:r>
        <w:rPr>
          <w:rFonts w:cs="Times New Roman"/>
        </w:rPr>
        <w:t xml:space="preserve"> so that other hospitals (or any other users) will not be able to view or edit any of the information without the password. The online report will use SSL </w:t>
      </w:r>
      <w:r w:rsidRPr="00890A95">
        <w:t>encryption for privacy protection.</w:t>
      </w:r>
      <w:r w:rsidR="00E11506">
        <w:t xml:space="preserve"> </w:t>
      </w:r>
    </w:p>
    <w:p w:rsidR="0042584F" w:rsidRDefault="0042584F" w:rsidP="0042584F">
      <w:pPr>
        <w:autoSpaceDE w:val="0"/>
        <w:autoSpaceDN w:val="0"/>
        <w:adjustRightInd w:val="0"/>
        <w:spacing w:after="0" w:line="240" w:lineRule="auto"/>
      </w:pPr>
    </w:p>
    <w:p w:rsidR="0042584F" w:rsidRDefault="0042584F" w:rsidP="0042584F">
      <w:pPr>
        <w:spacing w:after="0" w:line="240" w:lineRule="auto"/>
        <w:rPr>
          <w:rFonts w:eastAsia="SimSun" w:cs="Arial"/>
        </w:rPr>
      </w:pPr>
      <w:r w:rsidRPr="00890A95">
        <w:rPr>
          <w:rFonts w:eastAsia="SimSun" w:cs="Arial"/>
        </w:rPr>
        <w:t>The evaluation team members at BPA and Mission observe strict protocols for handling confidential data</w:t>
      </w:r>
      <w:r>
        <w:rPr>
          <w:rFonts w:eastAsia="SimSun" w:cs="Arial"/>
        </w:rPr>
        <w:t>.</w:t>
      </w:r>
      <w:r w:rsidR="00E11506">
        <w:rPr>
          <w:rFonts w:eastAsia="SimSun" w:cs="Arial"/>
        </w:rPr>
        <w:t xml:space="preserve"> </w:t>
      </w:r>
      <w:r>
        <w:rPr>
          <w:rFonts w:eastAsia="SimSun" w:cs="Arial"/>
        </w:rPr>
        <w:t xml:space="preserve">According to the level of sensitivity and confidentiality of the information, the evaluation team requires </w:t>
      </w:r>
      <w:r w:rsidRPr="00890A95">
        <w:rPr>
          <w:rFonts w:eastAsia="SimSun" w:cs="Arial"/>
        </w:rPr>
        <w:t>the use of password-protected computer accounts</w:t>
      </w:r>
      <w:r>
        <w:rPr>
          <w:rFonts w:eastAsia="SimSun" w:cs="Arial"/>
        </w:rPr>
        <w:t xml:space="preserve"> on a secure server or a stand-alone secure computer, </w:t>
      </w:r>
      <w:r w:rsidRPr="00890A95">
        <w:rPr>
          <w:rFonts w:eastAsia="SimSun" w:cs="Arial"/>
        </w:rPr>
        <w:t>locked storage faci</w:t>
      </w:r>
      <w:r>
        <w:rPr>
          <w:rFonts w:eastAsia="SimSun" w:cs="Arial"/>
        </w:rPr>
        <w:t xml:space="preserve">lities, </w:t>
      </w:r>
      <w:r w:rsidRPr="00890A95">
        <w:rPr>
          <w:rFonts w:eastAsia="SimSun" w:cs="Arial"/>
        </w:rPr>
        <w:t>and the shredding of intermediate project-related paper output.</w:t>
      </w:r>
      <w:r>
        <w:rPr>
          <w:rFonts w:eastAsia="SimSun" w:cs="Arial"/>
        </w:rPr>
        <w:t xml:space="preserve"> At both BPA and Mission, servers are firewalled and backed up, and physically secured in an access-limited office site. </w:t>
      </w:r>
    </w:p>
    <w:p w:rsidR="0042584F" w:rsidRDefault="0042584F" w:rsidP="0042584F">
      <w:pPr>
        <w:spacing w:after="0" w:line="240" w:lineRule="auto"/>
        <w:rPr>
          <w:rFonts w:eastAsia="SimSun" w:cs="Arial"/>
        </w:rPr>
      </w:pPr>
    </w:p>
    <w:p w:rsidR="0042584F" w:rsidRDefault="0042584F" w:rsidP="0042584F">
      <w:pPr>
        <w:spacing w:after="0" w:line="240" w:lineRule="auto"/>
        <w:rPr>
          <w:rFonts w:eastAsia="SimSun" w:cs="Arial"/>
        </w:rPr>
      </w:pPr>
      <w:r>
        <w:rPr>
          <w:rFonts w:eastAsia="SimSun" w:cs="Arial"/>
        </w:rPr>
        <w:t>For the online annual report, the evaluation team will use a web-based data collection tool developed by a third-party that provides the level of data security and privacy protection required to keep the colle</w:t>
      </w:r>
      <w:r w:rsidR="00DD5EF8">
        <w:rPr>
          <w:rFonts w:eastAsia="SimSun" w:cs="Arial"/>
        </w:rPr>
        <w:t>cted hospital data confidential and maintain compliance with the privacy laws.</w:t>
      </w:r>
      <w:r w:rsidR="00E11506">
        <w:rPr>
          <w:rFonts w:eastAsia="SimSun" w:cs="Arial"/>
        </w:rPr>
        <w:t xml:space="preserve"> </w:t>
      </w:r>
      <w:r>
        <w:rPr>
          <w:rFonts w:eastAsia="SimSun" w:cs="Arial"/>
        </w:rPr>
        <w:t xml:space="preserve">The data security </w:t>
      </w:r>
      <w:r>
        <w:rPr>
          <w:rFonts w:eastAsia="SimSun" w:cs="Arial"/>
        </w:rPr>
        <w:lastRenderedPageBreak/>
        <w:t xml:space="preserve">and privacy policies associated with the use of the online report will be disclosed and explained to hospitals, and hospitals will be provided with the option of providing the information without using the online tool. </w:t>
      </w:r>
    </w:p>
    <w:p w:rsidR="00003C18" w:rsidRDefault="00003C18" w:rsidP="0042584F">
      <w:pPr>
        <w:spacing w:after="0" w:line="240" w:lineRule="auto"/>
        <w:rPr>
          <w:rFonts w:eastAsia="SimSun" w:cs="Arial"/>
        </w:rPr>
      </w:pPr>
    </w:p>
    <w:p w:rsidR="00E9602A" w:rsidRDefault="000A5939" w:rsidP="001175D6">
      <w:pPr>
        <w:pStyle w:val="Heading2"/>
        <w:numPr>
          <w:ilvl w:val="0"/>
          <w:numId w:val="14"/>
        </w:numPr>
        <w:ind w:left="360"/>
      </w:pPr>
      <w:r>
        <w:t xml:space="preserve"> </w:t>
      </w:r>
      <w:bookmarkStart w:id="12" w:name="_Toc349642837"/>
      <w:r w:rsidR="00890A95" w:rsidRPr="00890A95">
        <w:t>Justification for Sensitive Questions</w:t>
      </w:r>
      <w:bookmarkEnd w:id="12"/>
    </w:p>
    <w:p w:rsidR="00B03366" w:rsidRDefault="00890A95" w:rsidP="00D97DB4">
      <w:pPr>
        <w:spacing w:after="0" w:line="240" w:lineRule="auto"/>
      </w:pPr>
      <w:r w:rsidRPr="00890A95">
        <w:t>No questions of a personal or sensitive nature are included in the interview protocols or annual progress report.</w:t>
      </w:r>
      <w:r w:rsidR="000A5939">
        <w:t xml:space="preserve"> The data collected in hospital interviews and annual progress reports </w:t>
      </w:r>
      <w:r w:rsidR="00D97DB4">
        <w:t xml:space="preserve">is </w:t>
      </w:r>
      <w:r w:rsidR="0001112F">
        <w:t>institutional</w:t>
      </w:r>
      <w:r w:rsidR="000A5939">
        <w:t xml:space="preserve"> information.</w:t>
      </w:r>
    </w:p>
    <w:p w:rsidR="00E9602A" w:rsidRDefault="00E11506" w:rsidP="00D97DB4">
      <w:pPr>
        <w:spacing w:after="0" w:line="240" w:lineRule="auto"/>
      </w:pPr>
      <w:r>
        <w:t xml:space="preserve"> </w:t>
      </w:r>
    </w:p>
    <w:p w:rsidR="00E9602A" w:rsidRDefault="00B03366">
      <w:pPr>
        <w:pStyle w:val="Heading2"/>
        <w:numPr>
          <w:ilvl w:val="0"/>
          <w:numId w:val="14"/>
        </w:numPr>
        <w:ind w:left="360"/>
      </w:pPr>
      <w:bookmarkStart w:id="13" w:name="_Toc349642838"/>
      <w:r>
        <w:t xml:space="preserve"> </w:t>
      </w:r>
      <w:r w:rsidR="00890A95" w:rsidRPr="00890A95">
        <w:t>Estimates of</w:t>
      </w:r>
      <w:r w:rsidR="00FD492B">
        <w:t xml:space="preserve"> </w:t>
      </w:r>
      <w:r w:rsidR="00890A95" w:rsidRPr="00890A95">
        <w:t>Annualized Burden Hours and Costs</w:t>
      </w:r>
      <w:bookmarkEnd w:id="13"/>
    </w:p>
    <w:p w:rsidR="00B03366" w:rsidRDefault="00890A95" w:rsidP="00D97DB4">
      <w:pPr>
        <w:spacing w:after="0" w:line="240" w:lineRule="auto"/>
        <w:rPr>
          <w:rFonts w:eastAsia="Times New Roman" w:cs="Times New Roman"/>
          <w:color w:val="000000"/>
          <w:lang w:bidi="lo-LA"/>
        </w:rPr>
      </w:pPr>
      <w:r w:rsidRPr="001956B8">
        <w:rPr>
          <w:rFonts w:eastAsia="Times New Roman" w:cs="Times New Roman"/>
          <w:color w:val="000000"/>
          <w:lang w:bidi="lo-LA"/>
        </w:rPr>
        <w:t>Estimates of annual</w:t>
      </w:r>
      <w:r w:rsidR="00FD492B" w:rsidRPr="001956B8">
        <w:rPr>
          <w:rFonts w:eastAsia="Times New Roman" w:cs="Times New Roman"/>
          <w:color w:val="000000"/>
          <w:lang w:bidi="lo-LA"/>
        </w:rPr>
        <w:t>ized</w:t>
      </w:r>
      <w:r w:rsidRPr="001956B8">
        <w:rPr>
          <w:rFonts w:eastAsia="Times New Roman" w:cs="Times New Roman"/>
          <w:color w:val="000000"/>
          <w:lang w:bidi="lo-LA"/>
        </w:rPr>
        <w:t xml:space="preserve"> number</w:t>
      </w:r>
      <w:r w:rsidR="00FD492B" w:rsidRPr="001956B8">
        <w:rPr>
          <w:rFonts w:eastAsia="Times New Roman" w:cs="Times New Roman"/>
          <w:color w:val="000000"/>
          <w:lang w:bidi="lo-LA"/>
        </w:rPr>
        <w:t>s</w:t>
      </w:r>
      <w:r w:rsidRPr="001956B8">
        <w:rPr>
          <w:rFonts w:eastAsia="Times New Roman" w:cs="Times New Roman"/>
          <w:color w:val="000000"/>
          <w:lang w:bidi="lo-LA"/>
        </w:rPr>
        <w:t xml:space="preserve"> of responses and burden hours for each data collection activity </w:t>
      </w:r>
      <w:r w:rsidR="009E4E3A" w:rsidRPr="001956B8">
        <w:rPr>
          <w:rFonts w:eastAsia="Times New Roman" w:cs="Times New Roman"/>
          <w:color w:val="000000"/>
          <w:lang w:bidi="lo-LA"/>
        </w:rPr>
        <w:t>and the</w:t>
      </w:r>
      <w:r w:rsidR="00D97DB4" w:rsidRPr="001956B8">
        <w:rPr>
          <w:rFonts w:eastAsia="Times New Roman" w:cs="Times New Roman"/>
          <w:color w:val="000000"/>
          <w:lang w:bidi="lo-LA"/>
        </w:rPr>
        <w:t xml:space="preserve"> </w:t>
      </w:r>
      <w:r w:rsidR="002F5C92" w:rsidRPr="001956B8">
        <w:rPr>
          <w:rFonts w:eastAsia="Times New Roman" w:cs="Times New Roman"/>
          <w:color w:val="000000"/>
          <w:lang w:bidi="lo-LA"/>
        </w:rPr>
        <w:t xml:space="preserve">total </w:t>
      </w:r>
      <w:r w:rsidRPr="001956B8">
        <w:rPr>
          <w:rFonts w:eastAsia="Times New Roman" w:cs="Times New Roman"/>
          <w:color w:val="000000"/>
          <w:lang w:bidi="lo-LA"/>
        </w:rPr>
        <w:t>are provided</w:t>
      </w:r>
      <w:r w:rsidR="008D6E7E">
        <w:rPr>
          <w:rFonts w:eastAsia="Times New Roman" w:cs="Times New Roman"/>
          <w:color w:val="000000"/>
          <w:lang w:bidi="lo-LA"/>
        </w:rPr>
        <w:t xml:space="preserve"> </w:t>
      </w:r>
      <w:r w:rsidRPr="001956B8">
        <w:rPr>
          <w:rFonts w:eastAsia="Times New Roman" w:cs="Times New Roman"/>
          <w:color w:val="000000"/>
          <w:lang w:bidi="lo-LA"/>
        </w:rPr>
        <w:t xml:space="preserve">in </w:t>
      </w:r>
      <w:r w:rsidR="00FD492B" w:rsidRPr="001956B8">
        <w:rPr>
          <w:rFonts w:eastAsia="Times New Roman" w:cs="Times New Roman"/>
          <w:color w:val="000000"/>
          <w:lang w:bidi="lo-LA"/>
        </w:rPr>
        <w:t>Table</w:t>
      </w:r>
      <w:r w:rsidR="008D6E7E">
        <w:rPr>
          <w:rFonts w:eastAsia="Times New Roman" w:cs="Times New Roman"/>
          <w:color w:val="000000"/>
          <w:lang w:bidi="lo-LA"/>
        </w:rPr>
        <w:t>s</w:t>
      </w:r>
      <w:r w:rsidR="00FD492B" w:rsidRPr="001956B8">
        <w:rPr>
          <w:rFonts w:eastAsia="Times New Roman" w:cs="Times New Roman"/>
          <w:color w:val="000000"/>
          <w:lang w:bidi="lo-LA"/>
        </w:rPr>
        <w:t xml:space="preserve"> 2</w:t>
      </w:r>
      <w:r w:rsidR="008D6E7E">
        <w:rPr>
          <w:rFonts w:eastAsia="Times New Roman" w:cs="Times New Roman"/>
          <w:color w:val="000000"/>
          <w:lang w:bidi="lo-LA"/>
        </w:rPr>
        <w:t xml:space="preserve"> and 3 separately for public and private sector hospitals</w:t>
      </w:r>
      <w:r w:rsidR="00FD492B" w:rsidRPr="001956B8">
        <w:rPr>
          <w:rFonts w:eastAsia="Times New Roman" w:cs="Times New Roman"/>
          <w:color w:val="000000"/>
          <w:lang w:bidi="lo-LA"/>
        </w:rPr>
        <w:t>.</w:t>
      </w:r>
      <w:r w:rsidR="008C68FE">
        <w:rPr>
          <w:rStyle w:val="FootnoteReference"/>
          <w:rFonts w:eastAsia="Times New Roman" w:cs="Times New Roman"/>
          <w:color w:val="000000"/>
          <w:lang w:bidi="lo-LA"/>
        </w:rPr>
        <w:footnoteReference w:id="1"/>
      </w:r>
      <w:r w:rsidR="002F5C92" w:rsidRPr="001956B8">
        <w:rPr>
          <w:rFonts w:eastAsia="Times New Roman" w:cs="Times New Roman"/>
          <w:color w:val="000000"/>
          <w:lang w:bidi="lo-LA"/>
        </w:rPr>
        <w:t xml:space="preserve"> </w:t>
      </w:r>
      <w:r w:rsidR="00981920">
        <w:rPr>
          <w:rFonts w:eastAsia="Times New Roman" w:cs="Times New Roman"/>
          <w:color w:val="000000"/>
          <w:lang w:bidi="lo-LA"/>
        </w:rPr>
        <w:t xml:space="preserve"> There are 15 private and 7 public hospitals in the study.  </w:t>
      </w:r>
      <w:r w:rsidR="00B03366">
        <w:rPr>
          <w:rFonts w:eastAsia="Times New Roman" w:cs="Times New Roman"/>
          <w:color w:val="000000"/>
          <w:lang w:bidi="lo-LA"/>
        </w:rPr>
        <w:t xml:space="preserve">Of those, 10 new private and 3 new public hospitals will be requested to participate in Round 1 interviews, and all participating hospitals will be asked to participate in Round 2 interviews and </w:t>
      </w:r>
      <w:r w:rsidR="003951C1">
        <w:rPr>
          <w:rFonts w:eastAsia="Times New Roman" w:cs="Times New Roman"/>
          <w:color w:val="000000"/>
          <w:lang w:bidi="lo-LA"/>
        </w:rPr>
        <w:t xml:space="preserve">the </w:t>
      </w:r>
      <w:r w:rsidR="00B03366">
        <w:rPr>
          <w:rFonts w:eastAsia="Times New Roman" w:cs="Times New Roman"/>
          <w:color w:val="000000"/>
          <w:lang w:bidi="lo-LA"/>
        </w:rPr>
        <w:t xml:space="preserve">Annual </w:t>
      </w:r>
      <w:r w:rsidR="003951C1">
        <w:rPr>
          <w:rFonts w:eastAsia="Times New Roman" w:cs="Times New Roman"/>
          <w:color w:val="000000"/>
          <w:lang w:bidi="lo-LA"/>
        </w:rPr>
        <w:t>Progress</w:t>
      </w:r>
      <w:r w:rsidR="00B03366">
        <w:rPr>
          <w:rFonts w:eastAsia="Times New Roman" w:cs="Times New Roman"/>
          <w:color w:val="000000"/>
          <w:lang w:bidi="lo-LA"/>
        </w:rPr>
        <w:t xml:space="preserve"> Reports.   </w:t>
      </w:r>
    </w:p>
    <w:p w:rsidR="00B03366" w:rsidRDefault="00B03366" w:rsidP="00D97DB4">
      <w:pPr>
        <w:spacing w:after="0" w:line="240" w:lineRule="auto"/>
        <w:rPr>
          <w:rFonts w:eastAsia="Times New Roman" w:cs="Times New Roman"/>
          <w:color w:val="000000"/>
          <w:lang w:bidi="lo-LA"/>
        </w:rPr>
      </w:pPr>
    </w:p>
    <w:p w:rsidR="000F7A6D" w:rsidRDefault="007E5A77" w:rsidP="00D97DB4">
      <w:pPr>
        <w:spacing w:after="0" w:line="240" w:lineRule="auto"/>
        <w:rPr>
          <w:rFonts w:eastAsia="Times New Roman" w:cs="Times New Roman"/>
          <w:color w:val="000000"/>
          <w:lang w:bidi="lo-LA"/>
        </w:rPr>
      </w:pPr>
      <w:r w:rsidRPr="001956B8">
        <w:rPr>
          <w:rFonts w:eastAsia="Times New Roman" w:cs="Times New Roman"/>
          <w:color w:val="000000"/>
          <w:lang w:bidi="lo-LA"/>
        </w:rPr>
        <w:t xml:space="preserve">For Round 1 interviews with </w:t>
      </w:r>
      <w:r w:rsidR="006D01A5" w:rsidRPr="001956B8">
        <w:rPr>
          <w:rFonts w:eastAsia="Times New Roman" w:cs="Times New Roman"/>
          <w:color w:val="000000"/>
          <w:lang w:bidi="lo-LA"/>
        </w:rPr>
        <w:t xml:space="preserve">new hospitals, it is estimated that each </w:t>
      </w:r>
      <w:r w:rsidR="00B0484F" w:rsidRPr="001956B8">
        <w:rPr>
          <w:rFonts w:eastAsia="Times New Roman" w:cs="Times New Roman"/>
          <w:color w:val="000000"/>
          <w:lang w:bidi="lo-LA"/>
        </w:rPr>
        <w:t>hospital</w:t>
      </w:r>
      <w:r w:rsidR="006D01A5" w:rsidRPr="001956B8">
        <w:rPr>
          <w:rFonts w:eastAsia="Times New Roman" w:cs="Times New Roman"/>
          <w:color w:val="000000"/>
          <w:lang w:bidi="lo-LA"/>
        </w:rPr>
        <w:t xml:space="preserve"> respondent will spend 1.5 hours in the phone interview and 1 hour in reviewing interview summary note</w:t>
      </w:r>
      <w:r w:rsidR="005269B0" w:rsidRPr="001956B8">
        <w:rPr>
          <w:rFonts w:eastAsia="Times New Roman" w:cs="Times New Roman"/>
          <w:color w:val="000000"/>
          <w:lang w:bidi="lo-LA"/>
        </w:rPr>
        <w:t>s</w:t>
      </w:r>
      <w:r w:rsidR="006D01A5" w:rsidRPr="001956B8">
        <w:rPr>
          <w:rFonts w:eastAsia="Times New Roman" w:cs="Times New Roman"/>
          <w:color w:val="000000"/>
          <w:lang w:bidi="lo-LA"/>
        </w:rPr>
        <w:t xml:space="preserve">, which </w:t>
      </w:r>
      <w:r w:rsidR="005269B0" w:rsidRPr="001956B8">
        <w:rPr>
          <w:rFonts w:eastAsia="Times New Roman" w:cs="Times New Roman"/>
          <w:color w:val="000000"/>
          <w:lang w:bidi="lo-LA"/>
        </w:rPr>
        <w:t xml:space="preserve">are </w:t>
      </w:r>
      <w:r w:rsidR="006D01A5" w:rsidRPr="001956B8">
        <w:rPr>
          <w:rFonts w:eastAsia="Times New Roman" w:cs="Times New Roman"/>
          <w:color w:val="000000"/>
          <w:lang w:bidi="lo-LA"/>
        </w:rPr>
        <w:t xml:space="preserve">provided to them after each interview. For Round 2 interviews with both </w:t>
      </w:r>
      <w:r w:rsidR="00B0484F" w:rsidRPr="001956B8">
        <w:rPr>
          <w:rFonts w:eastAsia="Times New Roman" w:cs="Times New Roman"/>
          <w:color w:val="000000"/>
          <w:lang w:bidi="lo-LA"/>
        </w:rPr>
        <w:t>continuing</w:t>
      </w:r>
      <w:r w:rsidR="006D01A5" w:rsidRPr="001956B8">
        <w:rPr>
          <w:rFonts w:eastAsia="Times New Roman" w:cs="Times New Roman"/>
          <w:color w:val="000000"/>
          <w:lang w:bidi="lo-LA"/>
        </w:rPr>
        <w:t xml:space="preserve"> and new </w:t>
      </w:r>
      <w:r w:rsidR="00B0484F" w:rsidRPr="001956B8">
        <w:rPr>
          <w:rFonts w:eastAsia="Times New Roman" w:cs="Times New Roman"/>
          <w:color w:val="000000"/>
          <w:lang w:bidi="lo-LA"/>
        </w:rPr>
        <w:t>hospitals</w:t>
      </w:r>
      <w:r w:rsidR="006D01A5" w:rsidRPr="001956B8">
        <w:rPr>
          <w:rFonts w:eastAsia="Times New Roman" w:cs="Times New Roman"/>
          <w:color w:val="000000"/>
          <w:lang w:bidi="lo-LA"/>
        </w:rPr>
        <w:t xml:space="preserve">, it is estimated that each </w:t>
      </w:r>
      <w:r w:rsidR="00B0484F" w:rsidRPr="001956B8">
        <w:rPr>
          <w:rFonts w:eastAsia="Times New Roman" w:cs="Times New Roman"/>
          <w:color w:val="000000"/>
          <w:lang w:bidi="lo-LA"/>
        </w:rPr>
        <w:t>respondent</w:t>
      </w:r>
      <w:r w:rsidR="006D01A5" w:rsidRPr="001956B8">
        <w:rPr>
          <w:rFonts w:eastAsia="Times New Roman" w:cs="Times New Roman"/>
          <w:color w:val="000000"/>
          <w:lang w:bidi="lo-LA"/>
        </w:rPr>
        <w:t xml:space="preserve"> will spend 1 hour in the phone interview and 1 hour in reviewing interview summary note</w:t>
      </w:r>
      <w:r w:rsidR="005269B0" w:rsidRPr="001956B8">
        <w:rPr>
          <w:rFonts w:eastAsia="Times New Roman" w:cs="Times New Roman"/>
          <w:color w:val="000000"/>
          <w:lang w:bidi="lo-LA"/>
        </w:rPr>
        <w:t>s</w:t>
      </w:r>
      <w:r w:rsidR="006D01A5" w:rsidRPr="001956B8">
        <w:rPr>
          <w:rFonts w:eastAsia="Times New Roman" w:cs="Times New Roman"/>
          <w:color w:val="000000"/>
          <w:lang w:bidi="lo-LA"/>
        </w:rPr>
        <w:t xml:space="preserve">. For Annual Reports, it is estimated </w:t>
      </w:r>
      <w:r w:rsidR="005269B0" w:rsidRPr="001956B8">
        <w:rPr>
          <w:rFonts w:eastAsia="Times New Roman" w:cs="Times New Roman"/>
          <w:color w:val="000000"/>
          <w:lang w:bidi="lo-LA"/>
        </w:rPr>
        <w:t xml:space="preserve">that </w:t>
      </w:r>
      <w:r w:rsidR="006D01A5" w:rsidRPr="001956B8">
        <w:rPr>
          <w:rFonts w:eastAsia="Times New Roman" w:cs="Times New Roman"/>
          <w:color w:val="000000"/>
          <w:lang w:bidi="lo-LA"/>
        </w:rPr>
        <w:t xml:space="preserve">each </w:t>
      </w:r>
      <w:r w:rsidR="00B0484F" w:rsidRPr="001956B8">
        <w:rPr>
          <w:rFonts w:eastAsia="Times New Roman" w:cs="Times New Roman"/>
          <w:color w:val="000000"/>
          <w:lang w:bidi="lo-LA"/>
        </w:rPr>
        <w:t>respondent</w:t>
      </w:r>
      <w:r w:rsidR="006D01A5" w:rsidRPr="001956B8">
        <w:rPr>
          <w:rFonts w:eastAsia="Times New Roman" w:cs="Times New Roman"/>
          <w:color w:val="000000"/>
          <w:lang w:bidi="lo-LA"/>
        </w:rPr>
        <w:t xml:space="preserve"> </w:t>
      </w:r>
      <w:r w:rsidR="005269B0" w:rsidRPr="001956B8">
        <w:rPr>
          <w:rFonts w:eastAsia="Times New Roman" w:cs="Times New Roman"/>
          <w:color w:val="000000"/>
          <w:lang w:bidi="lo-LA"/>
        </w:rPr>
        <w:t xml:space="preserve">will </w:t>
      </w:r>
      <w:r w:rsidR="006D01A5" w:rsidRPr="001956B8">
        <w:rPr>
          <w:rFonts w:eastAsia="Times New Roman" w:cs="Times New Roman"/>
          <w:color w:val="000000"/>
          <w:lang w:bidi="lo-LA"/>
        </w:rPr>
        <w:t>spend 8 hours gathering and preparing the information requested</w:t>
      </w:r>
      <w:r w:rsidR="005269B0" w:rsidRPr="001956B8">
        <w:rPr>
          <w:rFonts w:eastAsia="Times New Roman" w:cs="Times New Roman"/>
          <w:color w:val="000000"/>
          <w:lang w:bidi="lo-LA"/>
        </w:rPr>
        <w:t>,</w:t>
      </w:r>
      <w:r w:rsidR="006D01A5" w:rsidRPr="001956B8">
        <w:rPr>
          <w:rFonts w:eastAsia="Times New Roman" w:cs="Times New Roman"/>
          <w:color w:val="000000"/>
          <w:lang w:bidi="lo-LA"/>
        </w:rPr>
        <w:t xml:space="preserve"> and 2 hours entering the data in the </w:t>
      </w:r>
      <w:r w:rsidR="005269B0" w:rsidRPr="001956B8">
        <w:rPr>
          <w:rFonts w:eastAsia="Times New Roman" w:cs="Times New Roman"/>
          <w:color w:val="000000"/>
          <w:lang w:bidi="lo-LA"/>
        </w:rPr>
        <w:t xml:space="preserve">online </w:t>
      </w:r>
      <w:r w:rsidR="006D01A5" w:rsidRPr="001956B8">
        <w:rPr>
          <w:rFonts w:eastAsia="Times New Roman" w:cs="Times New Roman"/>
          <w:color w:val="000000"/>
          <w:lang w:bidi="lo-LA"/>
        </w:rPr>
        <w:t xml:space="preserve">electronic form. </w:t>
      </w:r>
    </w:p>
    <w:p w:rsidR="000F7A6D" w:rsidRDefault="000F7A6D" w:rsidP="000F7A6D">
      <w:pPr>
        <w:spacing w:after="0" w:line="240" w:lineRule="auto"/>
        <w:rPr>
          <w:rFonts w:eastAsia="Times New Roman" w:cs="Times New Roman"/>
          <w:color w:val="000000"/>
          <w:lang w:bidi="lo-LA"/>
        </w:rPr>
      </w:pPr>
    </w:p>
    <w:p w:rsidR="000F7A6D" w:rsidRDefault="00F615C3" w:rsidP="000F7A6D">
      <w:pPr>
        <w:spacing w:after="0" w:line="240" w:lineRule="auto"/>
        <w:rPr>
          <w:rFonts w:eastAsia="Times New Roman" w:cs="Times New Roman"/>
          <w:color w:val="000000"/>
          <w:lang w:bidi="lo-LA"/>
        </w:rPr>
      </w:pPr>
      <w:r>
        <w:rPr>
          <w:rFonts w:eastAsia="Times New Roman" w:cs="Times New Roman"/>
          <w:color w:val="000000"/>
          <w:lang w:bidi="lo-LA"/>
        </w:rPr>
        <w:t>Across the 15 p</w:t>
      </w:r>
      <w:r w:rsidR="009F52FC">
        <w:rPr>
          <w:rFonts w:eastAsia="Times New Roman" w:cs="Times New Roman"/>
          <w:color w:val="000000"/>
          <w:lang w:bidi="lo-LA"/>
        </w:rPr>
        <w:t>rivate sector hospitals</w:t>
      </w:r>
      <w:r>
        <w:rPr>
          <w:rFonts w:eastAsia="Times New Roman" w:cs="Times New Roman"/>
          <w:color w:val="000000"/>
          <w:lang w:bidi="lo-LA"/>
        </w:rPr>
        <w:t xml:space="preserve">, </w:t>
      </w:r>
      <w:r w:rsidR="00165500">
        <w:rPr>
          <w:rFonts w:eastAsia="Times New Roman" w:cs="Times New Roman"/>
          <w:color w:val="000000"/>
          <w:lang w:bidi="lo-LA"/>
        </w:rPr>
        <w:t>we estimate 505 hours of collection time and 70 responses across the 3 collection years for approximately 7.2 (=505/70) hours per response (Table 2, page 9).  Annually, 23.3 responses</w:t>
      </w:r>
      <w:r w:rsidR="007E568D">
        <w:rPr>
          <w:rFonts w:eastAsia="Times New Roman" w:cs="Times New Roman"/>
          <w:color w:val="000000"/>
          <w:lang w:bidi="lo-LA"/>
        </w:rPr>
        <w:t xml:space="preserve"> will be provided across all 15 hospitals</w:t>
      </w:r>
      <w:r w:rsidR="00165500">
        <w:rPr>
          <w:rFonts w:eastAsia="Times New Roman" w:cs="Times New Roman"/>
          <w:color w:val="000000"/>
          <w:lang w:bidi="lo-LA"/>
        </w:rPr>
        <w:t xml:space="preserve"> per year, averaging 1.46 (=23.3/15) responses per respondent per year.  </w:t>
      </w:r>
      <w:r w:rsidR="00404143">
        <w:rPr>
          <w:rFonts w:eastAsia="Times New Roman" w:cs="Times New Roman"/>
          <w:color w:val="000000"/>
          <w:lang w:bidi="lo-LA"/>
        </w:rPr>
        <w:t xml:space="preserve">For </w:t>
      </w:r>
      <w:r w:rsidR="007E568D">
        <w:rPr>
          <w:rFonts w:eastAsia="Times New Roman" w:cs="Times New Roman"/>
          <w:color w:val="000000"/>
          <w:lang w:bidi="lo-LA"/>
        </w:rPr>
        <w:t>private sector</w:t>
      </w:r>
      <w:r w:rsidR="00404143">
        <w:rPr>
          <w:rFonts w:eastAsia="Times New Roman" w:cs="Times New Roman"/>
          <w:color w:val="000000"/>
          <w:lang w:bidi="lo-LA"/>
        </w:rPr>
        <w:t xml:space="preserve"> hospitals, the</w:t>
      </w:r>
      <w:r w:rsidR="002F5C92" w:rsidRPr="001956B8">
        <w:rPr>
          <w:rFonts w:eastAsia="Times New Roman" w:cs="Times New Roman"/>
          <w:color w:val="000000"/>
          <w:lang w:bidi="lo-LA"/>
        </w:rPr>
        <w:t xml:space="preserve"> total annualized </w:t>
      </w:r>
      <w:r w:rsidR="0001112F" w:rsidRPr="001956B8">
        <w:rPr>
          <w:rFonts w:eastAsia="Times New Roman" w:cs="Times New Roman"/>
          <w:color w:val="000000"/>
          <w:lang w:bidi="lo-LA"/>
        </w:rPr>
        <w:t>burden</w:t>
      </w:r>
      <w:r w:rsidR="002F5C92" w:rsidRPr="001956B8">
        <w:rPr>
          <w:rFonts w:eastAsia="Times New Roman" w:cs="Times New Roman"/>
          <w:color w:val="000000"/>
          <w:lang w:bidi="lo-LA"/>
        </w:rPr>
        <w:t xml:space="preserve"> hours and cost of the new data </w:t>
      </w:r>
      <w:r w:rsidR="0001112F" w:rsidRPr="001956B8">
        <w:rPr>
          <w:rFonts w:eastAsia="Times New Roman" w:cs="Times New Roman"/>
          <w:color w:val="000000"/>
          <w:lang w:bidi="lo-LA"/>
        </w:rPr>
        <w:t>collection</w:t>
      </w:r>
      <w:r w:rsidR="002F5C92" w:rsidRPr="001956B8">
        <w:rPr>
          <w:rFonts w:eastAsia="Times New Roman" w:cs="Times New Roman"/>
          <w:color w:val="000000"/>
          <w:lang w:bidi="lo-LA"/>
        </w:rPr>
        <w:t xml:space="preserve"> </w:t>
      </w:r>
      <w:r w:rsidR="0001112F" w:rsidRPr="001956B8">
        <w:rPr>
          <w:rFonts w:eastAsia="Times New Roman" w:cs="Times New Roman"/>
          <w:color w:val="000000"/>
          <w:lang w:bidi="lo-LA"/>
        </w:rPr>
        <w:t>activities</w:t>
      </w:r>
      <w:r w:rsidR="002F5C92" w:rsidRPr="001956B8">
        <w:rPr>
          <w:rFonts w:eastAsia="Times New Roman" w:cs="Times New Roman"/>
          <w:color w:val="000000"/>
          <w:lang w:bidi="lo-LA"/>
        </w:rPr>
        <w:t xml:space="preserve"> under this OMB approv</w:t>
      </w:r>
      <w:r w:rsidR="00B61073" w:rsidRPr="001956B8">
        <w:rPr>
          <w:rFonts w:eastAsia="Times New Roman" w:cs="Times New Roman"/>
          <w:color w:val="000000"/>
          <w:lang w:bidi="lo-LA"/>
        </w:rPr>
        <w:t xml:space="preserve">al request are estimated to be </w:t>
      </w:r>
      <w:r w:rsidR="009F52FC">
        <w:rPr>
          <w:rFonts w:eastAsia="Times New Roman" w:cs="Times New Roman"/>
          <w:color w:val="000000"/>
          <w:lang w:bidi="lo-LA"/>
        </w:rPr>
        <w:t>16</w:t>
      </w:r>
      <w:r w:rsidR="00142636">
        <w:rPr>
          <w:rFonts w:eastAsia="Times New Roman" w:cs="Times New Roman"/>
          <w:color w:val="000000"/>
          <w:lang w:bidi="lo-LA"/>
        </w:rPr>
        <w:t>8</w:t>
      </w:r>
      <w:r w:rsidR="00B61073" w:rsidRPr="001956B8">
        <w:rPr>
          <w:rFonts w:eastAsia="Times New Roman" w:cs="Times New Roman"/>
          <w:color w:val="000000"/>
          <w:lang w:bidi="lo-LA"/>
        </w:rPr>
        <w:t>.</w:t>
      </w:r>
      <w:r w:rsidR="009F52FC">
        <w:rPr>
          <w:rFonts w:eastAsia="Times New Roman" w:cs="Times New Roman"/>
          <w:color w:val="000000"/>
          <w:lang w:bidi="lo-LA"/>
        </w:rPr>
        <w:t>3</w:t>
      </w:r>
      <w:r w:rsidR="00404143">
        <w:rPr>
          <w:rFonts w:eastAsia="Times New Roman" w:cs="Times New Roman"/>
          <w:color w:val="000000"/>
          <w:lang w:bidi="lo-LA"/>
        </w:rPr>
        <w:t>3</w:t>
      </w:r>
      <w:r w:rsidR="00E028B0">
        <w:rPr>
          <w:rFonts w:eastAsia="Times New Roman" w:cs="Times New Roman"/>
          <w:color w:val="000000"/>
          <w:lang w:bidi="lo-LA"/>
        </w:rPr>
        <w:t xml:space="preserve"> (=505/3)</w:t>
      </w:r>
      <w:r w:rsidR="002F5C92" w:rsidRPr="001956B8">
        <w:rPr>
          <w:rFonts w:eastAsia="Times New Roman" w:cs="Times New Roman"/>
          <w:color w:val="000000"/>
          <w:lang w:bidi="lo-LA"/>
        </w:rPr>
        <w:t xml:space="preserve"> hours and $</w:t>
      </w:r>
      <w:r w:rsidR="009F52FC">
        <w:rPr>
          <w:rFonts w:eastAsia="Times New Roman" w:cs="Times New Roman"/>
          <w:color w:val="000000"/>
          <w:lang w:bidi="lo-LA"/>
        </w:rPr>
        <w:t>7</w:t>
      </w:r>
      <w:r w:rsidR="003951C1">
        <w:rPr>
          <w:rFonts w:eastAsia="Times New Roman" w:cs="Times New Roman"/>
          <w:color w:val="000000"/>
          <w:lang w:bidi="lo-LA"/>
        </w:rPr>
        <w:t>,</w:t>
      </w:r>
      <w:r w:rsidR="009F52FC">
        <w:rPr>
          <w:rFonts w:eastAsia="Times New Roman" w:cs="Times New Roman"/>
          <w:color w:val="000000"/>
          <w:lang w:bidi="lo-LA"/>
        </w:rPr>
        <w:t>771.95</w:t>
      </w:r>
      <w:r w:rsidR="00E028B0">
        <w:rPr>
          <w:rFonts w:eastAsia="Times New Roman" w:cs="Times New Roman"/>
          <w:color w:val="000000"/>
          <w:lang w:bidi="lo-LA"/>
        </w:rPr>
        <w:t xml:space="preserve"> (=$23,315.85/3)</w:t>
      </w:r>
      <w:r w:rsidR="00B61073" w:rsidRPr="001956B8">
        <w:rPr>
          <w:rFonts w:eastAsia="Times New Roman" w:cs="Times New Roman"/>
          <w:color w:val="000000"/>
          <w:lang w:bidi="lo-LA"/>
        </w:rPr>
        <w:t>.</w:t>
      </w:r>
      <w:r w:rsidR="00890A95" w:rsidRPr="001956B8">
        <w:rPr>
          <w:rFonts w:eastAsia="Times New Roman" w:cs="Times New Roman"/>
          <w:color w:val="000000"/>
          <w:lang w:bidi="lo-LA"/>
        </w:rPr>
        <w:t xml:space="preserve"> </w:t>
      </w:r>
      <w:r w:rsidR="00165500">
        <w:rPr>
          <w:rFonts w:eastAsia="Times New Roman" w:cs="Times New Roman"/>
          <w:color w:val="000000"/>
          <w:lang w:bidi="lo-LA"/>
        </w:rPr>
        <w:t xml:space="preserve">Annually all 15 hospitals will provide 23.3 responses, 15 of which will be for the </w:t>
      </w:r>
      <w:r w:rsidR="000F7A6D" w:rsidRPr="001956B8">
        <w:rPr>
          <w:rFonts w:eastAsia="Times New Roman" w:cs="Times New Roman"/>
          <w:color w:val="000000"/>
          <w:lang w:bidi="lo-LA"/>
        </w:rPr>
        <w:t>annual reports</w:t>
      </w:r>
      <w:r w:rsidR="00165500">
        <w:rPr>
          <w:rFonts w:eastAsia="Times New Roman" w:cs="Times New Roman"/>
          <w:color w:val="000000"/>
          <w:lang w:bidi="lo-LA"/>
        </w:rPr>
        <w:t xml:space="preserve"> </w:t>
      </w:r>
      <w:r w:rsidR="000F7A6D" w:rsidRPr="001956B8">
        <w:rPr>
          <w:rFonts w:eastAsia="Times New Roman" w:cs="Times New Roman"/>
          <w:color w:val="000000"/>
          <w:lang w:bidi="lo-LA"/>
        </w:rPr>
        <w:t>submitted using the online tool</w:t>
      </w:r>
      <w:r w:rsidR="002A6AEE">
        <w:rPr>
          <w:rFonts w:eastAsia="Times New Roman" w:cs="Times New Roman"/>
          <w:color w:val="000000"/>
          <w:lang w:bidi="lo-LA"/>
        </w:rPr>
        <w:t xml:space="preserve">.  Thus, </w:t>
      </w:r>
      <w:r w:rsidR="004A465E">
        <w:rPr>
          <w:rFonts w:eastAsia="Times New Roman" w:cs="Times New Roman"/>
          <w:color w:val="000000"/>
          <w:lang w:bidi="lo-LA"/>
        </w:rPr>
        <w:t>64.</w:t>
      </w:r>
      <w:r w:rsidR="00221A26">
        <w:rPr>
          <w:rFonts w:eastAsia="Times New Roman" w:cs="Times New Roman"/>
          <w:color w:val="000000"/>
          <w:lang w:bidi="lo-LA"/>
        </w:rPr>
        <w:t>4</w:t>
      </w:r>
      <w:r w:rsidR="004A465E">
        <w:rPr>
          <w:rFonts w:eastAsia="Times New Roman" w:cs="Times New Roman"/>
          <w:color w:val="000000"/>
          <w:lang w:bidi="lo-LA"/>
        </w:rPr>
        <w:t xml:space="preserve"> (=15/23.3) </w:t>
      </w:r>
      <w:r w:rsidR="000F7A6D">
        <w:rPr>
          <w:rFonts w:eastAsia="Times New Roman" w:cs="Times New Roman"/>
          <w:color w:val="000000"/>
          <w:lang w:bidi="lo-LA"/>
        </w:rPr>
        <w:t xml:space="preserve">percent </w:t>
      </w:r>
      <w:r w:rsidR="000F7A6D" w:rsidRPr="001956B8">
        <w:rPr>
          <w:rFonts w:eastAsia="Times New Roman" w:cs="Times New Roman"/>
          <w:color w:val="000000"/>
          <w:lang w:bidi="lo-LA"/>
        </w:rPr>
        <w:t>of responses (on the annualized basis) will be collected electronically</w:t>
      </w:r>
      <w:r w:rsidR="00165500">
        <w:rPr>
          <w:rFonts w:eastAsia="Times New Roman" w:cs="Times New Roman"/>
          <w:color w:val="000000"/>
          <w:lang w:bidi="lo-LA"/>
        </w:rPr>
        <w:t>.</w:t>
      </w:r>
    </w:p>
    <w:p w:rsidR="000F7A6D" w:rsidRDefault="000F7A6D" w:rsidP="000F7A6D">
      <w:pPr>
        <w:spacing w:after="0" w:line="240" w:lineRule="auto"/>
        <w:rPr>
          <w:rFonts w:eastAsia="Times New Roman" w:cs="Times New Roman"/>
          <w:color w:val="000000"/>
          <w:lang w:bidi="lo-LA"/>
        </w:rPr>
      </w:pPr>
    </w:p>
    <w:p w:rsidR="006D01A5" w:rsidRDefault="000D085A" w:rsidP="000F7A6D">
      <w:pPr>
        <w:spacing w:after="0" w:line="240" w:lineRule="auto"/>
        <w:rPr>
          <w:rFonts w:eastAsia="Times New Roman" w:cs="Times New Roman"/>
          <w:color w:val="000000"/>
          <w:lang w:bidi="lo-LA"/>
        </w:rPr>
      </w:pPr>
      <w:r>
        <w:rPr>
          <w:rFonts w:eastAsia="Times New Roman" w:cs="Times New Roman"/>
          <w:color w:val="000000"/>
          <w:lang w:bidi="lo-LA"/>
        </w:rPr>
        <w:t>Table 3 presents the corresponding statistics f</w:t>
      </w:r>
      <w:r w:rsidR="00F615C3">
        <w:rPr>
          <w:rFonts w:eastAsia="Times New Roman" w:cs="Times New Roman"/>
          <w:color w:val="000000"/>
          <w:lang w:bidi="lo-LA"/>
        </w:rPr>
        <w:t>or the 7 public sector hospitals,</w:t>
      </w:r>
      <w:r>
        <w:rPr>
          <w:rFonts w:eastAsia="Times New Roman" w:cs="Times New Roman"/>
          <w:color w:val="000000"/>
          <w:lang w:bidi="lo-LA"/>
        </w:rPr>
        <w:t xml:space="preserve"> for which</w:t>
      </w:r>
      <w:r w:rsidR="00F615C3">
        <w:rPr>
          <w:rFonts w:eastAsia="Times New Roman" w:cs="Times New Roman"/>
          <w:color w:val="000000"/>
          <w:lang w:bidi="lo-LA"/>
        </w:rPr>
        <w:t xml:space="preserve"> we estimate </w:t>
      </w:r>
      <w:r w:rsidR="00AE4C6C">
        <w:rPr>
          <w:rFonts w:eastAsia="Times New Roman" w:cs="Times New Roman"/>
          <w:color w:val="000000"/>
          <w:lang w:bidi="lo-LA"/>
        </w:rPr>
        <w:t>2</w:t>
      </w:r>
      <w:r w:rsidR="002E2684">
        <w:rPr>
          <w:rFonts w:eastAsia="Times New Roman" w:cs="Times New Roman"/>
          <w:color w:val="000000"/>
          <w:lang w:bidi="lo-LA"/>
        </w:rPr>
        <w:t>31</w:t>
      </w:r>
      <w:r w:rsidR="00AE4C6C">
        <w:rPr>
          <w:rFonts w:eastAsia="Times New Roman" w:cs="Times New Roman"/>
          <w:color w:val="000000"/>
          <w:lang w:bidi="lo-LA"/>
        </w:rPr>
        <w:t xml:space="preserve">.5 hours of collection time </w:t>
      </w:r>
      <w:r w:rsidR="00F615C3">
        <w:rPr>
          <w:rFonts w:eastAsia="Times New Roman" w:cs="Times New Roman"/>
          <w:color w:val="000000"/>
          <w:lang w:bidi="lo-LA"/>
        </w:rPr>
        <w:t>and</w:t>
      </w:r>
      <w:r w:rsidR="00AE4C6C">
        <w:rPr>
          <w:rFonts w:eastAsia="Times New Roman" w:cs="Times New Roman"/>
          <w:color w:val="000000"/>
          <w:lang w:bidi="lo-LA"/>
        </w:rPr>
        <w:t xml:space="preserve"> 31 responses </w:t>
      </w:r>
      <w:r w:rsidR="00F615C3">
        <w:rPr>
          <w:rFonts w:eastAsia="Times New Roman" w:cs="Times New Roman"/>
          <w:color w:val="000000"/>
          <w:lang w:bidi="lo-LA"/>
        </w:rPr>
        <w:t>across</w:t>
      </w:r>
      <w:r w:rsidR="00AE4C6C">
        <w:rPr>
          <w:rFonts w:eastAsia="Times New Roman" w:cs="Times New Roman"/>
          <w:color w:val="000000"/>
          <w:lang w:bidi="lo-LA"/>
        </w:rPr>
        <w:t xml:space="preserve"> the 3 years</w:t>
      </w:r>
      <w:r w:rsidR="000F7A6D">
        <w:rPr>
          <w:rFonts w:eastAsia="Times New Roman" w:cs="Times New Roman"/>
          <w:color w:val="000000"/>
          <w:lang w:bidi="lo-LA"/>
        </w:rPr>
        <w:t xml:space="preserve"> for approximately </w:t>
      </w:r>
      <w:r w:rsidR="0072047F">
        <w:rPr>
          <w:rFonts w:eastAsia="Times New Roman" w:cs="Times New Roman"/>
          <w:color w:val="000000"/>
          <w:lang w:bidi="lo-LA"/>
        </w:rPr>
        <w:t>7.5 (=2</w:t>
      </w:r>
      <w:r w:rsidR="002E2684">
        <w:rPr>
          <w:rFonts w:eastAsia="Times New Roman" w:cs="Times New Roman"/>
          <w:color w:val="000000"/>
          <w:lang w:bidi="lo-LA"/>
        </w:rPr>
        <w:t>31</w:t>
      </w:r>
      <w:r w:rsidR="0072047F">
        <w:rPr>
          <w:rFonts w:eastAsia="Times New Roman" w:cs="Times New Roman"/>
          <w:color w:val="000000"/>
          <w:lang w:bidi="lo-LA"/>
        </w:rPr>
        <w:t xml:space="preserve">.5/31) </w:t>
      </w:r>
      <w:r w:rsidR="000F7A6D">
        <w:rPr>
          <w:rFonts w:eastAsia="Times New Roman" w:cs="Times New Roman"/>
          <w:color w:val="000000"/>
          <w:lang w:bidi="lo-LA"/>
        </w:rPr>
        <w:t>hours per response</w:t>
      </w:r>
      <w:r w:rsidR="00AE4C6C">
        <w:rPr>
          <w:rFonts w:eastAsia="Times New Roman" w:cs="Times New Roman"/>
          <w:color w:val="000000"/>
          <w:lang w:bidi="lo-LA"/>
        </w:rPr>
        <w:t xml:space="preserve">.  </w:t>
      </w:r>
      <w:r w:rsidR="00B46A12">
        <w:rPr>
          <w:rFonts w:eastAsia="Times New Roman" w:cs="Times New Roman"/>
          <w:color w:val="000000"/>
          <w:lang w:bidi="lo-LA"/>
        </w:rPr>
        <w:t xml:space="preserve">Across the 10.3 responses per year, each hospital is expected to provide 1.47 (=10.3/7) responses per respondent per year. </w:t>
      </w:r>
      <w:r w:rsidR="000F7A6D">
        <w:rPr>
          <w:rFonts w:eastAsia="Times New Roman" w:cs="Times New Roman"/>
          <w:color w:val="000000"/>
          <w:lang w:bidi="lo-LA"/>
        </w:rPr>
        <w:t>T</w:t>
      </w:r>
      <w:r w:rsidR="009F52FC">
        <w:rPr>
          <w:rFonts w:eastAsia="Times New Roman" w:cs="Times New Roman"/>
          <w:color w:val="000000"/>
          <w:lang w:bidi="lo-LA"/>
        </w:rPr>
        <w:t>he annualized hour and cost burden are estimated at 7</w:t>
      </w:r>
      <w:r w:rsidR="000F7A6D">
        <w:rPr>
          <w:rFonts w:eastAsia="Times New Roman" w:cs="Times New Roman"/>
          <w:color w:val="000000"/>
          <w:lang w:bidi="lo-LA"/>
        </w:rPr>
        <w:t>7.2</w:t>
      </w:r>
      <w:r w:rsidR="009F52FC">
        <w:rPr>
          <w:rFonts w:eastAsia="Times New Roman" w:cs="Times New Roman"/>
          <w:color w:val="000000"/>
          <w:lang w:bidi="lo-LA"/>
        </w:rPr>
        <w:t xml:space="preserve"> hours</w:t>
      </w:r>
      <w:r>
        <w:rPr>
          <w:rFonts w:eastAsia="Times New Roman" w:cs="Times New Roman"/>
          <w:color w:val="000000"/>
          <w:lang w:bidi="lo-LA"/>
        </w:rPr>
        <w:t xml:space="preserve"> (=231.5/3)</w:t>
      </w:r>
      <w:r w:rsidR="009F52FC">
        <w:rPr>
          <w:rFonts w:eastAsia="Times New Roman" w:cs="Times New Roman"/>
          <w:color w:val="000000"/>
          <w:lang w:bidi="lo-LA"/>
        </w:rPr>
        <w:t xml:space="preserve"> and $3</w:t>
      </w:r>
      <w:r w:rsidR="00C54039">
        <w:rPr>
          <w:rFonts w:eastAsia="Times New Roman" w:cs="Times New Roman"/>
          <w:color w:val="000000"/>
          <w:lang w:bidi="lo-LA"/>
        </w:rPr>
        <w:t>,</w:t>
      </w:r>
      <w:r w:rsidR="009F52FC">
        <w:rPr>
          <w:rFonts w:eastAsia="Times New Roman" w:cs="Times New Roman"/>
          <w:color w:val="000000"/>
          <w:lang w:bidi="lo-LA"/>
        </w:rPr>
        <w:t>562.79</w:t>
      </w:r>
      <w:r>
        <w:rPr>
          <w:rFonts w:eastAsia="Times New Roman" w:cs="Times New Roman"/>
          <w:color w:val="000000"/>
          <w:lang w:bidi="lo-LA"/>
        </w:rPr>
        <w:t xml:space="preserve"> (</w:t>
      </w:r>
      <w:r w:rsidR="00B46A12">
        <w:rPr>
          <w:rFonts w:eastAsia="Times New Roman" w:cs="Times New Roman"/>
          <w:color w:val="000000"/>
          <w:lang w:bidi="lo-LA"/>
        </w:rPr>
        <w:t>=</w:t>
      </w:r>
      <w:r>
        <w:rPr>
          <w:rFonts w:eastAsia="Times New Roman" w:cs="Times New Roman"/>
          <w:color w:val="000000"/>
          <w:lang w:bidi="lo-LA"/>
        </w:rPr>
        <w:t>$10,688.36/3)</w:t>
      </w:r>
      <w:r w:rsidR="00142636">
        <w:rPr>
          <w:rFonts w:eastAsia="Times New Roman" w:cs="Times New Roman"/>
          <w:color w:val="000000"/>
          <w:lang w:bidi="lo-LA"/>
        </w:rPr>
        <w:t xml:space="preserve"> respectively</w:t>
      </w:r>
      <w:r w:rsidR="009F52FC">
        <w:rPr>
          <w:rFonts w:eastAsia="Times New Roman" w:cs="Times New Roman"/>
          <w:color w:val="000000"/>
          <w:lang w:bidi="lo-LA"/>
        </w:rPr>
        <w:t xml:space="preserve">. </w:t>
      </w:r>
      <w:r w:rsidR="00DA6465">
        <w:rPr>
          <w:rFonts w:eastAsia="Times New Roman" w:cs="Times New Roman"/>
          <w:color w:val="000000"/>
          <w:lang w:bidi="lo-LA"/>
        </w:rPr>
        <w:t>Each year the 7</w:t>
      </w:r>
      <w:r w:rsidR="000F7A6D">
        <w:rPr>
          <w:rFonts w:eastAsia="Times New Roman" w:cs="Times New Roman"/>
          <w:color w:val="000000"/>
          <w:lang w:bidi="lo-LA"/>
        </w:rPr>
        <w:t xml:space="preserve"> public sector hospitals</w:t>
      </w:r>
      <w:r w:rsidR="00DA6465">
        <w:rPr>
          <w:rFonts w:eastAsia="Times New Roman" w:cs="Times New Roman"/>
          <w:color w:val="000000"/>
          <w:lang w:bidi="lo-LA"/>
        </w:rPr>
        <w:t xml:space="preserve"> will submit an annual report via the online tool</w:t>
      </w:r>
      <w:r w:rsidR="000F7A6D">
        <w:rPr>
          <w:rFonts w:eastAsia="Times New Roman" w:cs="Times New Roman"/>
          <w:color w:val="000000"/>
          <w:lang w:bidi="lo-LA"/>
        </w:rPr>
        <w:t>,</w:t>
      </w:r>
      <w:r w:rsidR="00DA6465">
        <w:rPr>
          <w:rFonts w:eastAsia="Times New Roman" w:cs="Times New Roman"/>
          <w:color w:val="000000"/>
          <w:lang w:bidi="lo-LA"/>
        </w:rPr>
        <w:t xml:space="preserve"> consequently</w:t>
      </w:r>
      <w:r w:rsidR="000F7A6D">
        <w:rPr>
          <w:rFonts w:eastAsia="Times New Roman" w:cs="Times New Roman"/>
          <w:color w:val="000000"/>
          <w:lang w:bidi="lo-LA"/>
        </w:rPr>
        <w:t xml:space="preserve"> </w:t>
      </w:r>
      <w:r w:rsidR="0072047F">
        <w:rPr>
          <w:rFonts w:eastAsia="Times New Roman" w:cs="Times New Roman"/>
          <w:color w:val="000000"/>
          <w:lang w:bidi="lo-LA"/>
        </w:rPr>
        <w:t>6</w:t>
      </w:r>
      <w:r w:rsidR="002E2684">
        <w:rPr>
          <w:rFonts w:eastAsia="Times New Roman" w:cs="Times New Roman"/>
          <w:color w:val="000000"/>
          <w:lang w:bidi="lo-LA"/>
        </w:rPr>
        <w:t>8</w:t>
      </w:r>
      <w:r w:rsidR="0072047F">
        <w:rPr>
          <w:rFonts w:eastAsia="Times New Roman" w:cs="Times New Roman"/>
          <w:color w:val="000000"/>
          <w:lang w:bidi="lo-LA"/>
        </w:rPr>
        <w:t xml:space="preserve"> (=7/10.3) </w:t>
      </w:r>
      <w:r w:rsidR="002F5C92" w:rsidRPr="001956B8">
        <w:rPr>
          <w:rFonts w:eastAsia="Times New Roman" w:cs="Times New Roman"/>
          <w:color w:val="000000"/>
          <w:lang w:bidi="lo-LA"/>
        </w:rPr>
        <w:t>percent of responses</w:t>
      </w:r>
      <w:r w:rsidR="00DA6465">
        <w:rPr>
          <w:rFonts w:eastAsia="Times New Roman" w:cs="Times New Roman"/>
          <w:color w:val="000000"/>
          <w:lang w:bidi="lo-LA"/>
        </w:rPr>
        <w:t xml:space="preserve"> each year</w:t>
      </w:r>
      <w:r w:rsidR="000F7A6D">
        <w:rPr>
          <w:rFonts w:eastAsia="Times New Roman" w:cs="Times New Roman"/>
          <w:color w:val="000000"/>
          <w:lang w:bidi="lo-LA"/>
        </w:rPr>
        <w:t xml:space="preserve"> will be </w:t>
      </w:r>
      <w:r w:rsidR="000F7A6D" w:rsidRPr="001956B8">
        <w:rPr>
          <w:rFonts w:eastAsia="Times New Roman" w:cs="Times New Roman"/>
          <w:color w:val="000000"/>
          <w:lang w:bidi="lo-LA"/>
        </w:rPr>
        <w:t xml:space="preserve">submitted </w:t>
      </w:r>
      <w:r w:rsidR="00DA6465">
        <w:rPr>
          <w:rFonts w:eastAsia="Times New Roman" w:cs="Times New Roman"/>
          <w:color w:val="000000"/>
          <w:lang w:bidi="lo-LA"/>
        </w:rPr>
        <w:t>electronically</w:t>
      </w:r>
      <w:r w:rsidR="000F7A6D">
        <w:rPr>
          <w:rFonts w:eastAsia="Times New Roman" w:cs="Times New Roman"/>
          <w:color w:val="000000"/>
          <w:lang w:bidi="lo-LA"/>
        </w:rPr>
        <w:t>.</w:t>
      </w:r>
      <w:r w:rsidR="00E11506">
        <w:rPr>
          <w:rFonts w:eastAsia="Times New Roman" w:cs="Times New Roman"/>
          <w:color w:val="000000"/>
          <w:lang w:bidi="lo-LA"/>
        </w:rPr>
        <w:t xml:space="preserve"> </w:t>
      </w:r>
    </w:p>
    <w:p w:rsidR="00E11506" w:rsidRDefault="00E11506" w:rsidP="00D97DB4">
      <w:pPr>
        <w:spacing w:after="0" w:line="240" w:lineRule="auto"/>
        <w:rPr>
          <w:rFonts w:eastAsia="Times New Roman" w:cs="Times New Roman"/>
          <w:color w:val="000000"/>
          <w:lang w:bidi="lo-LA"/>
        </w:rPr>
      </w:pPr>
    </w:p>
    <w:p w:rsidR="00E11506" w:rsidRDefault="00E11506" w:rsidP="00E11506">
      <w:pPr>
        <w:spacing w:after="0" w:line="240" w:lineRule="auto"/>
      </w:pPr>
      <w:r>
        <w:lastRenderedPageBreak/>
        <w:t>Interview h</w:t>
      </w:r>
      <w:r w:rsidRPr="00890A95">
        <w:t xml:space="preserve">ours per response were estimated </w:t>
      </w:r>
      <w:r>
        <w:t xml:space="preserve">from feedback provided by a new hospital during a pilot interview and by two continuing </w:t>
      </w:r>
      <w:r w:rsidRPr="00890A95">
        <w:t>hospitals</w:t>
      </w:r>
      <w:r>
        <w:t xml:space="preserve"> based on their experience participating in the previous evaluation. During these interviews, we confirmed that the necessary data can be collected during the planned interview time. Hospitals do not need to prepare for the interviews; they are asked to provide information based on memory and perception. The estimated hours for annual reports is based on the time required to gather the information and </w:t>
      </w:r>
      <w:r w:rsidR="004213B8">
        <w:t>enter data into the online tool</w:t>
      </w:r>
      <w:r>
        <w:t>.</w:t>
      </w:r>
    </w:p>
    <w:p w:rsidR="00E11506" w:rsidRDefault="00E11506" w:rsidP="00E11506">
      <w:pPr>
        <w:spacing w:after="0" w:line="240" w:lineRule="auto"/>
        <w:rPr>
          <w:rFonts w:eastAsia="Times New Roman" w:cs="Times New Roman"/>
          <w:color w:val="000000"/>
          <w:lang w:bidi="lo-LA"/>
        </w:rPr>
      </w:pPr>
    </w:p>
    <w:p w:rsidR="00E11506" w:rsidRDefault="00E11506" w:rsidP="00E11506">
      <w:pPr>
        <w:spacing w:after="0" w:line="240" w:lineRule="auto"/>
        <w:rPr>
          <w:rFonts w:eastAsia="Times New Roman" w:cs="Times New Roman"/>
          <w:color w:val="000000"/>
          <w:lang w:bidi="lo-LA"/>
        </w:rPr>
      </w:pPr>
      <w:r w:rsidRPr="00890A95">
        <w:rPr>
          <w:rFonts w:eastAsia="Times New Roman" w:cs="Times New Roman"/>
          <w:color w:val="000000"/>
          <w:lang w:bidi="lo-LA"/>
        </w:rPr>
        <w:t xml:space="preserve">The hourly rate for respondents was estimated based on the May 2011 national averages as presented in the United States Department of Labor, Bureau of Labor Statistics, </w:t>
      </w:r>
      <w:proofErr w:type="gramStart"/>
      <w:r w:rsidRPr="00890A95">
        <w:rPr>
          <w:rFonts w:eastAsia="Times New Roman" w:cs="Times New Roman"/>
          <w:color w:val="000000"/>
          <w:lang w:bidi="lo-LA"/>
        </w:rPr>
        <w:t>Occupational</w:t>
      </w:r>
      <w:proofErr w:type="gramEnd"/>
      <w:r w:rsidRPr="00890A95">
        <w:rPr>
          <w:rFonts w:eastAsia="Times New Roman" w:cs="Times New Roman"/>
          <w:color w:val="000000"/>
          <w:lang w:bidi="lo-LA"/>
        </w:rPr>
        <w:t xml:space="preserve"> Employment Statistics. As respondents are at the management level of the hospitals across the nation, the national average hourly rate for the occupational group Medical and Health Services Managers (11-9111) was used to calculate cost burden</w:t>
      </w:r>
      <w:r>
        <w:rPr>
          <w:rFonts w:eastAsia="Times New Roman" w:cs="Times New Roman"/>
          <w:color w:val="000000"/>
          <w:lang w:bidi="lo-LA"/>
        </w:rPr>
        <w:t xml:space="preserve"> </w:t>
      </w:r>
      <w:r w:rsidRPr="00890A95">
        <w:rPr>
          <w:rFonts w:eastAsia="Times New Roman" w:cs="Times New Roman"/>
          <w:color w:val="000000"/>
          <w:lang w:bidi="lo-LA"/>
        </w:rPr>
        <w:t>(</w:t>
      </w:r>
      <w:r>
        <w:rPr>
          <w:rFonts w:eastAsia="Times New Roman" w:cs="Times New Roman"/>
          <w:color w:val="000000"/>
          <w:lang w:bidi="lo-LA"/>
        </w:rPr>
        <w:t xml:space="preserve">see </w:t>
      </w:r>
      <w:r w:rsidRPr="00890A95">
        <w:t>http://www.bls.gov/oes/current/oes_nat.htm#11-0000</w:t>
      </w:r>
      <w:r w:rsidRPr="00890A95">
        <w:rPr>
          <w:rFonts w:eastAsia="Times New Roman" w:cs="Times New Roman"/>
          <w:color w:val="000000"/>
          <w:lang w:bidi="lo-LA"/>
        </w:rPr>
        <w:t>)</w:t>
      </w:r>
      <w:r>
        <w:rPr>
          <w:rFonts w:eastAsia="Times New Roman" w:cs="Times New Roman"/>
          <w:color w:val="000000"/>
          <w:lang w:bidi="lo-LA"/>
        </w:rPr>
        <w:t>.</w:t>
      </w:r>
    </w:p>
    <w:p w:rsidR="00E11506" w:rsidRDefault="00E11506" w:rsidP="00E11506">
      <w:pPr>
        <w:spacing w:after="0" w:line="240" w:lineRule="auto"/>
        <w:rPr>
          <w:rFonts w:eastAsia="Times New Roman" w:cs="Times New Roman"/>
          <w:color w:val="000000"/>
          <w:lang w:bidi="lo-LA"/>
        </w:rPr>
      </w:pP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3"/>
        <w:gridCol w:w="629"/>
        <w:gridCol w:w="628"/>
        <w:gridCol w:w="720"/>
        <w:gridCol w:w="653"/>
        <w:gridCol w:w="630"/>
        <w:gridCol w:w="720"/>
        <w:gridCol w:w="787"/>
        <w:gridCol w:w="1080"/>
        <w:gridCol w:w="596"/>
        <w:gridCol w:w="720"/>
        <w:gridCol w:w="934"/>
      </w:tblGrid>
      <w:tr w:rsidR="004E6AC6" w:rsidTr="008C68FE">
        <w:trPr>
          <w:trHeight w:val="300"/>
        </w:trPr>
        <w:tc>
          <w:tcPr>
            <w:tcW w:w="9900" w:type="dxa"/>
            <w:gridSpan w:val="12"/>
            <w:tcBorders>
              <w:top w:val="nil"/>
              <w:left w:val="nil"/>
              <w:bottom w:val="single" w:sz="4" w:space="0" w:color="auto"/>
              <w:right w:val="nil"/>
            </w:tcBorders>
            <w:shd w:val="clear" w:color="auto" w:fill="auto"/>
            <w:noWrap/>
            <w:vAlign w:val="bottom"/>
            <w:hideMark/>
          </w:tcPr>
          <w:p w:rsidR="004E6AC6" w:rsidRDefault="004E6AC6" w:rsidP="004213B8">
            <w:pPr>
              <w:spacing w:after="0" w:line="240" w:lineRule="auto"/>
              <w:rPr>
                <w:rFonts w:ascii="Calibri" w:eastAsia="Times New Roman" w:hAnsi="Calibri" w:cs="Times New Roman"/>
                <w:b/>
                <w:bCs/>
                <w:color w:val="000000"/>
                <w:sz w:val="20"/>
                <w:szCs w:val="20"/>
                <w:lang w:eastAsia="ja-JP"/>
              </w:rPr>
            </w:pPr>
            <w:r>
              <w:rPr>
                <w:rFonts w:eastAsia="Times New Roman" w:cs="Times New Roman"/>
                <w:color w:val="000000"/>
                <w:lang w:bidi="lo-LA"/>
              </w:rPr>
              <w:br w:type="page"/>
            </w:r>
            <w:r>
              <w:rPr>
                <w:rFonts w:eastAsia="Times New Roman" w:cs="Times New Roman"/>
                <w:b/>
                <w:bCs/>
                <w:color w:val="000000"/>
                <w:sz w:val="21"/>
                <w:szCs w:val="21"/>
                <w:lang w:bidi="lo-LA"/>
              </w:rPr>
              <w:t xml:space="preserve">Table </w:t>
            </w:r>
            <w:r w:rsidR="004213B8">
              <w:rPr>
                <w:rFonts w:eastAsia="Times New Roman" w:cs="Times New Roman"/>
                <w:b/>
                <w:bCs/>
                <w:color w:val="000000"/>
                <w:sz w:val="21"/>
                <w:szCs w:val="21"/>
                <w:lang w:bidi="lo-LA"/>
              </w:rPr>
              <w:t>2</w:t>
            </w:r>
            <w:r>
              <w:rPr>
                <w:rFonts w:eastAsia="Times New Roman" w:cs="Times New Roman"/>
                <w:b/>
                <w:bCs/>
                <w:color w:val="000000"/>
                <w:sz w:val="21"/>
                <w:szCs w:val="21"/>
                <w:lang w:bidi="lo-LA"/>
              </w:rPr>
              <w:t>: Estimation of hour and cost burden over the three year data collection period for private sector hospitals</w:t>
            </w:r>
          </w:p>
        </w:tc>
      </w:tr>
      <w:tr w:rsidR="004E6AC6" w:rsidRPr="00A92551" w:rsidTr="008C68FE">
        <w:trPr>
          <w:trHeight w:val="300"/>
        </w:trPr>
        <w:tc>
          <w:tcPr>
            <w:tcW w:w="1803" w:type="dxa"/>
            <w:tcBorders>
              <w:top w:val="single" w:sz="4" w:space="0" w:color="auto"/>
              <w:bottom w:val="nil"/>
            </w:tcBorders>
            <w:shd w:val="clear" w:color="auto" w:fill="D9D9D9" w:themeFill="background1" w:themeFillShade="D9"/>
            <w:noWrap/>
            <w:vAlign w:val="bottom"/>
            <w:hideMark/>
          </w:tcPr>
          <w:p w:rsidR="004E6AC6" w:rsidRPr="00A92551" w:rsidRDefault="004E6AC6" w:rsidP="004E6AC6">
            <w:pPr>
              <w:spacing w:after="0" w:line="240" w:lineRule="auto"/>
              <w:rPr>
                <w:rFonts w:ascii="Calibri" w:eastAsia="Times New Roman" w:hAnsi="Calibri" w:cs="Times New Roman"/>
                <w:color w:val="000000"/>
                <w:sz w:val="20"/>
                <w:szCs w:val="20"/>
                <w:lang w:eastAsia="ja-JP"/>
              </w:rPr>
            </w:pPr>
          </w:p>
        </w:tc>
        <w:tc>
          <w:tcPr>
            <w:tcW w:w="629" w:type="dxa"/>
            <w:tcBorders>
              <w:top w:val="single" w:sz="4" w:space="0" w:color="auto"/>
              <w:bottom w:val="nil"/>
            </w:tcBorders>
            <w:shd w:val="clear" w:color="auto" w:fill="D9D9D9" w:themeFill="background1" w:themeFillShade="D9"/>
            <w:vAlign w:val="bottom"/>
            <w:hideMark/>
          </w:tcPr>
          <w:p w:rsidR="004E6AC6" w:rsidRPr="00A92551" w:rsidRDefault="004E6AC6" w:rsidP="004E6AC6">
            <w:pPr>
              <w:spacing w:after="0" w:line="240" w:lineRule="auto"/>
              <w:jc w:val="center"/>
              <w:rPr>
                <w:rFonts w:ascii="Calibri" w:eastAsia="Times New Roman" w:hAnsi="Calibri" w:cs="Times New Roman"/>
                <w:b/>
                <w:bCs/>
                <w:color w:val="000000"/>
                <w:sz w:val="20"/>
                <w:szCs w:val="20"/>
                <w:lang w:eastAsia="ja-JP"/>
              </w:rPr>
            </w:pPr>
            <w:r w:rsidRPr="004002E0">
              <w:rPr>
                <w:rFonts w:ascii="Calibri" w:eastAsia="Times New Roman" w:hAnsi="Calibri" w:cs="Times New Roman"/>
                <w:b/>
                <w:bCs/>
                <w:color w:val="000000"/>
                <w:sz w:val="20"/>
                <w:szCs w:val="20"/>
                <w:lang w:eastAsia="ja-JP"/>
              </w:rPr>
              <w:t>(a)</w:t>
            </w:r>
          </w:p>
        </w:tc>
        <w:tc>
          <w:tcPr>
            <w:tcW w:w="628" w:type="dxa"/>
            <w:tcBorders>
              <w:top w:val="single" w:sz="4" w:space="0" w:color="auto"/>
              <w:bottom w:val="nil"/>
            </w:tcBorders>
            <w:shd w:val="clear" w:color="auto" w:fill="D9D9D9" w:themeFill="background1" w:themeFillShade="D9"/>
            <w:vAlign w:val="bottom"/>
            <w:hideMark/>
          </w:tcPr>
          <w:p w:rsidR="004E6AC6" w:rsidRPr="00A92551" w:rsidRDefault="004E6AC6" w:rsidP="004E6AC6">
            <w:pPr>
              <w:spacing w:after="0" w:line="240" w:lineRule="auto"/>
              <w:jc w:val="center"/>
              <w:rPr>
                <w:rFonts w:ascii="Calibri" w:eastAsia="Times New Roman" w:hAnsi="Calibri" w:cs="Times New Roman"/>
                <w:b/>
                <w:bCs/>
                <w:color w:val="000000"/>
                <w:sz w:val="20"/>
                <w:szCs w:val="20"/>
                <w:lang w:eastAsia="ja-JP"/>
              </w:rPr>
            </w:pPr>
            <w:r w:rsidRPr="004002E0">
              <w:rPr>
                <w:rFonts w:ascii="Calibri" w:eastAsia="Times New Roman" w:hAnsi="Calibri" w:cs="Times New Roman"/>
                <w:b/>
                <w:bCs/>
                <w:color w:val="000000"/>
                <w:sz w:val="20"/>
                <w:szCs w:val="20"/>
                <w:lang w:eastAsia="ja-JP"/>
              </w:rPr>
              <w:t>(b)</w:t>
            </w:r>
          </w:p>
        </w:tc>
        <w:tc>
          <w:tcPr>
            <w:tcW w:w="720" w:type="dxa"/>
            <w:tcBorders>
              <w:top w:val="single" w:sz="4" w:space="0" w:color="auto"/>
              <w:bottom w:val="nil"/>
            </w:tcBorders>
            <w:shd w:val="clear" w:color="auto" w:fill="D9D9D9" w:themeFill="background1" w:themeFillShade="D9"/>
            <w:vAlign w:val="bottom"/>
            <w:hideMark/>
          </w:tcPr>
          <w:p w:rsidR="004E6AC6" w:rsidRPr="00A92551" w:rsidRDefault="004E6AC6" w:rsidP="004E6AC6">
            <w:pPr>
              <w:spacing w:after="0" w:line="240" w:lineRule="auto"/>
              <w:jc w:val="center"/>
              <w:rPr>
                <w:rFonts w:ascii="Calibri" w:eastAsia="Times New Roman" w:hAnsi="Calibri" w:cs="Times New Roman"/>
                <w:b/>
                <w:bCs/>
                <w:color w:val="000000"/>
                <w:sz w:val="20"/>
                <w:szCs w:val="20"/>
                <w:lang w:eastAsia="ja-JP"/>
              </w:rPr>
            </w:pPr>
            <w:r w:rsidRPr="004002E0">
              <w:rPr>
                <w:rFonts w:ascii="Calibri" w:eastAsia="Times New Roman" w:hAnsi="Calibri" w:cs="Times New Roman"/>
                <w:b/>
                <w:bCs/>
                <w:color w:val="000000"/>
                <w:sz w:val="20"/>
                <w:szCs w:val="20"/>
                <w:lang w:eastAsia="ja-JP"/>
              </w:rPr>
              <w:t>(c)</w:t>
            </w:r>
          </w:p>
        </w:tc>
        <w:tc>
          <w:tcPr>
            <w:tcW w:w="653" w:type="dxa"/>
            <w:tcBorders>
              <w:top w:val="single" w:sz="4" w:space="0" w:color="auto"/>
              <w:bottom w:val="nil"/>
            </w:tcBorders>
            <w:shd w:val="clear" w:color="auto" w:fill="D9D9D9" w:themeFill="background1" w:themeFillShade="D9"/>
            <w:vAlign w:val="bottom"/>
            <w:hideMark/>
          </w:tcPr>
          <w:p w:rsidR="004E6AC6" w:rsidRPr="00A92551" w:rsidRDefault="004E6AC6" w:rsidP="004E6AC6">
            <w:pPr>
              <w:spacing w:after="0" w:line="240" w:lineRule="auto"/>
              <w:jc w:val="center"/>
              <w:rPr>
                <w:rFonts w:ascii="Calibri" w:eastAsia="Times New Roman" w:hAnsi="Calibri" w:cs="Times New Roman"/>
                <w:b/>
                <w:bCs/>
                <w:color w:val="000000"/>
                <w:sz w:val="20"/>
                <w:szCs w:val="20"/>
                <w:lang w:eastAsia="ja-JP"/>
              </w:rPr>
            </w:pPr>
            <w:r w:rsidRPr="004002E0">
              <w:rPr>
                <w:rFonts w:ascii="Calibri" w:eastAsia="Times New Roman" w:hAnsi="Calibri" w:cs="Times New Roman"/>
                <w:b/>
                <w:bCs/>
                <w:color w:val="000000"/>
                <w:sz w:val="20"/>
                <w:szCs w:val="20"/>
                <w:lang w:eastAsia="ja-JP"/>
              </w:rPr>
              <w:t>(d)</w:t>
            </w:r>
          </w:p>
        </w:tc>
        <w:tc>
          <w:tcPr>
            <w:tcW w:w="630" w:type="dxa"/>
            <w:tcBorders>
              <w:top w:val="single" w:sz="4" w:space="0" w:color="auto"/>
              <w:bottom w:val="nil"/>
            </w:tcBorders>
            <w:shd w:val="clear" w:color="auto" w:fill="D9D9D9" w:themeFill="background1" w:themeFillShade="D9"/>
            <w:vAlign w:val="bottom"/>
            <w:hideMark/>
          </w:tcPr>
          <w:p w:rsidR="004E6AC6" w:rsidRPr="00A92551" w:rsidRDefault="004E6AC6" w:rsidP="004E6AC6">
            <w:pPr>
              <w:spacing w:after="0" w:line="240" w:lineRule="auto"/>
              <w:jc w:val="center"/>
              <w:rPr>
                <w:rFonts w:ascii="Calibri" w:eastAsia="Times New Roman" w:hAnsi="Calibri" w:cs="Times New Roman"/>
                <w:b/>
                <w:bCs/>
                <w:color w:val="000000"/>
                <w:sz w:val="20"/>
                <w:szCs w:val="20"/>
                <w:lang w:eastAsia="ja-JP"/>
              </w:rPr>
            </w:pPr>
            <w:r w:rsidRPr="004002E0">
              <w:rPr>
                <w:rFonts w:ascii="Calibri" w:eastAsia="Times New Roman" w:hAnsi="Calibri" w:cs="Times New Roman"/>
                <w:b/>
                <w:bCs/>
                <w:color w:val="000000"/>
                <w:sz w:val="20"/>
                <w:szCs w:val="20"/>
                <w:lang w:eastAsia="ja-JP"/>
              </w:rPr>
              <w:t>(e)</w:t>
            </w:r>
          </w:p>
        </w:tc>
        <w:tc>
          <w:tcPr>
            <w:tcW w:w="720" w:type="dxa"/>
            <w:tcBorders>
              <w:top w:val="single" w:sz="4" w:space="0" w:color="auto"/>
              <w:bottom w:val="nil"/>
            </w:tcBorders>
            <w:shd w:val="clear" w:color="auto" w:fill="D9D9D9" w:themeFill="background1" w:themeFillShade="D9"/>
            <w:vAlign w:val="bottom"/>
          </w:tcPr>
          <w:p w:rsidR="004E6AC6" w:rsidRPr="000A1657" w:rsidRDefault="004E6AC6" w:rsidP="004E6AC6">
            <w:pPr>
              <w:spacing w:after="0" w:line="240" w:lineRule="auto"/>
              <w:jc w:val="center"/>
              <w:rPr>
                <w:rFonts w:ascii="Calibri" w:eastAsia="Times New Roman" w:hAnsi="Calibri" w:cs="Times New Roman"/>
                <w:b/>
                <w:bCs/>
                <w:color w:val="000000"/>
                <w:sz w:val="20"/>
                <w:szCs w:val="20"/>
                <w:lang w:eastAsia="ja-JP"/>
              </w:rPr>
            </w:pPr>
            <w:r w:rsidRPr="000A1657">
              <w:rPr>
                <w:rFonts w:ascii="Calibri" w:eastAsia="Times New Roman" w:hAnsi="Calibri" w:cs="Times New Roman"/>
                <w:b/>
                <w:bCs/>
                <w:color w:val="000000"/>
                <w:sz w:val="20"/>
                <w:szCs w:val="20"/>
                <w:lang w:eastAsia="ja-JP"/>
              </w:rPr>
              <w:t>(f)</w:t>
            </w:r>
          </w:p>
        </w:tc>
        <w:tc>
          <w:tcPr>
            <w:tcW w:w="787" w:type="dxa"/>
            <w:tcBorders>
              <w:top w:val="single" w:sz="4" w:space="0" w:color="auto"/>
              <w:bottom w:val="nil"/>
            </w:tcBorders>
            <w:shd w:val="clear" w:color="auto" w:fill="D9D9D9" w:themeFill="background1" w:themeFillShade="D9"/>
            <w:vAlign w:val="bottom"/>
            <w:hideMark/>
          </w:tcPr>
          <w:p w:rsidR="004E6AC6" w:rsidRPr="00A92551" w:rsidRDefault="004E6AC6" w:rsidP="004E6AC6">
            <w:pPr>
              <w:spacing w:after="0" w:line="240" w:lineRule="auto"/>
              <w:jc w:val="center"/>
              <w:rPr>
                <w:rFonts w:ascii="Calibri" w:eastAsia="Times New Roman" w:hAnsi="Calibri" w:cs="Times New Roman"/>
                <w:b/>
                <w:bCs/>
                <w:color w:val="000000"/>
                <w:sz w:val="20"/>
                <w:szCs w:val="20"/>
                <w:lang w:eastAsia="ja-JP"/>
              </w:rPr>
            </w:pPr>
            <w:r w:rsidRPr="000A1657">
              <w:rPr>
                <w:rFonts w:ascii="Calibri" w:eastAsia="Times New Roman" w:hAnsi="Calibri" w:cs="Times New Roman"/>
                <w:b/>
                <w:bCs/>
                <w:color w:val="000000"/>
                <w:sz w:val="20"/>
                <w:szCs w:val="20"/>
                <w:lang w:eastAsia="ja-JP"/>
              </w:rPr>
              <w:t>(g)</w:t>
            </w:r>
          </w:p>
        </w:tc>
        <w:tc>
          <w:tcPr>
            <w:tcW w:w="1080" w:type="dxa"/>
            <w:tcBorders>
              <w:top w:val="single" w:sz="4" w:space="0" w:color="auto"/>
              <w:bottom w:val="nil"/>
            </w:tcBorders>
            <w:shd w:val="clear" w:color="auto" w:fill="D9D9D9" w:themeFill="background1" w:themeFillShade="D9"/>
            <w:vAlign w:val="bottom"/>
            <w:hideMark/>
          </w:tcPr>
          <w:p w:rsidR="004E6AC6" w:rsidRPr="00A92551" w:rsidRDefault="004E6AC6" w:rsidP="004E6AC6">
            <w:pPr>
              <w:spacing w:after="0" w:line="240" w:lineRule="auto"/>
              <w:jc w:val="center"/>
              <w:rPr>
                <w:rFonts w:ascii="Calibri" w:eastAsia="Times New Roman" w:hAnsi="Calibri" w:cs="Times New Roman"/>
                <w:b/>
                <w:bCs/>
                <w:color w:val="000000"/>
                <w:sz w:val="20"/>
                <w:szCs w:val="20"/>
                <w:lang w:eastAsia="ja-JP"/>
              </w:rPr>
            </w:pPr>
            <w:r w:rsidRPr="000A1657">
              <w:rPr>
                <w:rFonts w:ascii="Calibri" w:eastAsia="Times New Roman" w:hAnsi="Calibri" w:cs="Times New Roman"/>
                <w:b/>
                <w:bCs/>
                <w:color w:val="000000"/>
                <w:sz w:val="20"/>
                <w:szCs w:val="20"/>
                <w:lang w:eastAsia="ja-JP"/>
              </w:rPr>
              <w:t>(h)</w:t>
            </w:r>
          </w:p>
        </w:tc>
        <w:tc>
          <w:tcPr>
            <w:tcW w:w="596" w:type="dxa"/>
            <w:tcBorders>
              <w:top w:val="single" w:sz="4" w:space="0" w:color="auto"/>
              <w:bottom w:val="nil"/>
            </w:tcBorders>
            <w:shd w:val="clear" w:color="auto" w:fill="D9D9D9" w:themeFill="background1" w:themeFillShade="D9"/>
            <w:vAlign w:val="bottom"/>
          </w:tcPr>
          <w:p w:rsidR="004E6AC6" w:rsidRPr="000A1657" w:rsidRDefault="004E6AC6" w:rsidP="004E6AC6">
            <w:pPr>
              <w:spacing w:after="0" w:line="240" w:lineRule="auto"/>
              <w:jc w:val="center"/>
              <w:rPr>
                <w:rFonts w:ascii="Calibri" w:eastAsia="Times New Roman" w:hAnsi="Calibri" w:cs="Times New Roman"/>
                <w:b/>
                <w:bCs/>
                <w:color w:val="000000"/>
                <w:sz w:val="20"/>
                <w:szCs w:val="20"/>
                <w:lang w:eastAsia="ja-JP"/>
              </w:rPr>
            </w:pPr>
            <w:r w:rsidRPr="000A1657">
              <w:rPr>
                <w:rFonts w:ascii="Calibri" w:eastAsia="Times New Roman" w:hAnsi="Calibri" w:cs="Times New Roman"/>
                <w:b/>
                <w:bCs/>
                <w:color w:val="000000"/>
                <w:sz w:val="20"/>
                <w:szCs w:val="20"/>
                <w:lang w:eastAsia="ja-JP"/>
              </w:rPr>
              <w:t>(i)</w:t>
            </w:r>
          </w:p>
        </w:tc>
        <w:tc>
          <w:tcPr>
            <w:tcW w:w="720" w:type="dxa"/>
            <w:tcBorders>
              <w:top w:val="single" w:sz="4" w:space="0" w:color="auto"/>
              <w:bottom w:val="nil"/>
            </w:tcBorders>
            <w:shd w:val="clear" w:color="auto" w:fill="D9D9D9" w:themeFill="background1" w:themeFillShade="D9"/>
            <w:vAlign w:val="bottom"/>
            <w:hideMark/>
          </w:tcPr>
          <w:p w:rsidR="004E6AC6" w:rsidRPr="00A92551" w:rsidRDefault="004E6AC6" w:rsidP="004E6AC6">
            <w:pPr>
              <w:spacing w:after="0" w:line="240" w:lineRule="auto"/>
              <w:jc w:val="center"/>
              <w:rPr>
                <w:rFonts w:ascii="Calibri" w:eastAsia="Times New Roman" w:hAnsi="Calibri" w:cs="Times New Roman"/>
                <w:b/>
                <w:bCs/>
                <w:color w:val="000000"/>
                <w:sz w:val="20"/>
                <w:szCs w:val="20"/>
                <w:lang w:eastAsia="ja-JP"/>
              </w:rPr>
            </w:pPr>
            <w:r>
              <w:rPr>
                <w:rFonts w:ascii="Calibri" w:eastAsia="Times New Roman" w:hAnsi="Calibri" w:cs="Times New Roman"/>
                <w:b/>
                <w:bCs/>
                <w:color w:val="000000"/>
                <w:sz w:val="20"/>
                <w:szCs w:val="20"/>
                <w:lang w:eastAsia="ja-JP"/>
              </w:rPr>
              <w:t>(j)</w:t>
            </w:r>
          </w:p>
        </w:tc>
        <w:tc>
          <w:tcPr>
            <w:tcW w:w="934" w:type="dxa"/>
            <w:tcBorders>
              <w:top w:val="single" w:sz="4" w:space="0" w:color="auto"/>
              <w:bottom w:val="nil"/>
            </w:tcBorders>
            <w:shd w:val="clear" w:color="auto" w:fill="D9D9D9" w:themeFill="background1" w:themeFillShade="D9"/>
            <w:vAlign w:val="bottom"/>
            <w:hideMark/>
          </w:tcPr>
          <w:p w:rsidR="004E6AC6" w:rsidRPr="00A92551" w:rsidRDefault="004E6AC6" w:rsidP="004E6AC6">
            <w:pPr>
              <w:spacing w:after="0" w:line="240" w:lineRule="auto"/>
              <w:jc w:val="center"/>
              <w:rPr>
                <w:rFonts w:ascii="Calibri" w:eastAsia="Times New Roman" w:hAnsi="Calibri" w:cs="Times New Roman"/>
                <w:b/>
                <w:bCs/>
                <w:color w:val="000000"/>
                <w:sz w:val="20"/>
                <w:szCs w:val="20"/>
                <w:lang w:eastAsia="ja-JP"/>
              </w:rPr>
            </w:pPr>
            <w:r>
              <w:rPr>
                <w:rFonts w:ascii="Calibri" w:eastAsia="Times New Roman" w:hAnsi="Calibri" w:cs="Times New Roman"/>
                <w:b/>
                <w:bCs/>
                <w:color w:val="000000"/>
                <w:sz w:val="20"/>
                <w:szCs w:val="20"/>
                <w:lang w:eastAsia="ja-JP"/>
              </w:rPr>
              <w:t>(k)</w:t>
            </w:r>
          </w:p>
        </w:tc>
      </w:tr>
      <w:tr w:rsidR="004E6AC6" w:rsidTr="008C68FE">
        <w:trPr>
          <w:cantSplit/>
          <w:trHeight w:val="2115"/>
        </w:trPr>
        <w:tc>
          <w:tcPr>
            <w:tcW w:w="1803" w:type="dxa"/>
            <w:tcBorders>
              <w:top w:val="nil"/>
              <w:bottom w:val="single" w:sz="4" w:space="0" w:color="auto"/>
            </w:tcBorders>
            <w:shd w:val="clear" w:color="auto" w:fill="D9D9D9" w:themeFill="background1" w:themeFillShade="D9"/>
            <w:vAlign w:val="bottom"/>
            <w:hideMark/>
          </w:tcPr>
          <w:p w:rsidR="004E6AC6" w:rsidRDefault="004E6AC6" w:rsidP="004E6AC6">
            <w:pPr>
              <w:spacing w:after="0" w:line="240" w:lineRule="auto"/>
              <w:rPr>
                <w:rFonts w:eastAsia="Times New Roman" w:cs="Times New Roman"/>
                <w:bCs/>
                <w:color w:val="000000"/>
                <w:lang w:eastAsia="ja-JP"/>
              </w:rPr>
            </w:pPr>
          </w:p>
        </w:tc>
        <w:tc>
          <w:tcPr>
            <w:tcW w:w="629" w:type="dxa"/>
            <w:tcBorders>
              <w:top w:val="nil"/>
              <w:bottom w:val="single" w:sz="4" w:space="0" w:color="auto"/>
            </w:tcBorders>
            <w:shd w:val="clear" w:color="auto" w:fill="D9D9D9" w:themeFill="background1" w:themeFillShade="D9"/>
            <w:textDirection w:val="btLr"/>
            <w:vAlign w:val="center"/>
            <w:hideMark/>
          </w:tcPr>
          <w:p w:rsidR="004E6AC6" w:rsidRDefault="004E6AC6" w:rsidP="004E6AC6">
            <w:pPr>
              <w:spacing w:after="0" w:line="240" w:lineRule="auto"/>
              <w:ind w:left="113" w:right="113"/>
              <w:rPr>
                <w:rFonts w:eastAsia="Times New Roman" w:cs="Times New Roman"/>
                <w:b/>
                <w:bCs/>
                <w:color w:val="000000"/>
                <w:sz w:val="20"/>
                <w:szCs w:val="20"/>
                <w:lang w:eastAsia="ja-JP"/>
              </w:rPr>
            </w:pPr>
            <w:r w:rsidRPr="004002E0">
              <w:rPr>
                <w:rFonts w:eastAsia="Times New Roman" w:cs="Times New Roman"/>
                <w:b/>
                <w:bCs/>
                <w:color w:val="000000"/>
                <w:sz w:val="20"/>
                <w:szCs w:val="20"/>
                <w:lang w:eastAsia="ja-JP"/>
              </w:rPr>
              <w:t xml:space="preserve">Number of respondents </w:t>
            </w:r>
          </w:p>
        </w:tc>
        <w:tc>
          <w:tcPr>
            <w:tcW w:w="628" w:type="dxa"/>
            <w:tcBorders>
              <w:top w:val="nil"/>
              <w:bottom w:val="single" w:sz="4" w:space="0" w:color="auto"/>
            </w:tcBorders>
            <w:shd w:val="clear" w:color="auto" w:fill="D9D9D9" w:themeFill="background1" w:themeFillShade="D9"/>
            <w:textDirection w:val="btLr"/>
            <w:vAlign w:val="center"/>
            <w:hideMark/>
          </w:tcPr>
          <w:p w:rsidR="004E6AC6" w:rsidRDefault="004E6AC6" w:rsidP="004E6AC6">
            <w:pPr>
              <w:spacing w:after="0" w:line="240" w:lineRule="auto"/>
              <w:ind w:left="113" w:right="113"/>
              <w:rPr>
                <w:rFonts w:eastAsia="Times New Roman" w:cs="Times New Roman"/>
                <w:b/>
                <w:bCs/>
                <w:color w:val="000000"/>
                <w:sz w:val="20"/>
                <w:szCs w:val="20"/>
                <w:lang w:eastAsia="ja-JP"/>
              </w:rPr>
            </w:pPr>
            <w:r w:rsidRPr="004002E0">
              <w:rPr>
                <w:rFonts w:eastAsia="Times New Roman" w:cs="Times New Roman"/>
                <w:b/>
                <w:bCs/>
                <w:color w:val="000000"/>
                <w:sz w:val="20"/>
                <w:szCs w:val="20"/>
                <w:lang w:eastAsia="ja-JP"/>
              </w:rPr>
              <w:t xml:space="preserve">Hours per response </w:t>
            </w:r>
          </w:p>
        </w:tc>
        <w:tc>
          <w:tcPr>
            <w:tcW w:w="720" w:type="dxa"/>
            <w:tcBorders>
              <w:top w:val="nil"/>
              <w:bottom w:val="single" w:sz="4" w:space="0" w:color="auto"/>
            </w:tcBorders>
            <w:shd w:val="clear" w:color="auto" w:fill="D9D9D9" w:themeFill="background1" w:themeFillShade="D9"/>
            <w:textDirection w:val="btLr"/>
            <w:vAlign w:val="center"/>
            <w:hideMark/>
          </w:tcPr>
          <w:p w:rsidR="004E6AC6" w:rsidRDefault="004E6AC6" w:rsidP="004E6AC6">
            <w:pPr>
              <w:spacing w:after="0" w:line="240" w:lineRule="auto"/>
              <w:ind w:left="113" w:right="113"/>
              <w:rPr>
                <w:rFonts w:eastAsia="Times New Roman" w:cs="Times New Roman"/>
                <w:b/>
                <w:bCs/>
                <w:color w:val="000000"/>
                <w:sz w:val="20"/>
                <w:szCs w:val="20"/>
                <w:lang w:eastAsia="ja-JP"/>
              </w:rPr>
            </w:pPr>
            <w:r w:rsidRPr="004002E0">
              <w:rPr>
                <w:rFonts w:eastAsia="Times New Roman" w:cs="Times New Roman"/>
                <w:b/>
                <w:bCs/>
                <w:color w:val="000000"/>
                <w:sz w:val="20"/>
                <w:szCs w:val="20"/>
                <w:lang w:eastAsia="ja-JP"/>
              </w:rPr>
              <w:t>Hourly rate</w:t>
            </w:r>
            <w:r>
              <w:rPr>
                <w:rFonts w:eastAsia="Times New Roman" w:cs="Times New Roman"/>
                <w:b/>
                <w:bCs/>
                <w:color w:val="000000"/>
                <w:sz w:val="20"/>
                <w:szCs w:val="20"/>
                <w:lang w:eastAsia="ja-JP"/>
              </w:rPr>
              <w:t xml:space="preserve"> ($)</w:t>
            </w:r>
          </w:p>
        </w:tc>
        <w:tc>
          <w:tcPr>
            <w:tcW w:w="653" w:type="dxa"/>
            <w:tcBorders>
              <w:top w:val="nil"/>
              <w:bottom w:val="single" w:sz="4" w:space="0" w:color="auto"/>
            </w:tcBorders>
            <w:shd w:val="clear" w:color="auto" w:fill="D9D9D9" w:themeFill="background1" w:themeFillShade="D9"/>
            <w:textDirection w:val="btLr"/>
            <w:vAlign w:val="center"/>
            <w:hideMark/>
          </w:tcPr>
          <w:p w:rsidR="004E6AC6" w:rsidRDefault="004E6AC6" w:rsidP="004E6AC6">
            <w:pPr>
              <w:spacing w:after="0" w:line="240" w:lineRule="auto"/>
              <w:ind w:left="113" w:right="113"/>
              <w:rPr>
                <w:rFonts w:eastAsia="Times New Roman" w:cs="Times New Roman"/>
                <w:b/>
                <w:bCs/>
                <w:color w:val="000000"/>
                <w:sz w:val="20"/>
                <w:szCs w:val="20"/>
                <w:lang w:eastAsia="ja-JP"/>
              </w:rPr>
            </w:pPr>
            <w:r w:rsidRPr="004002E0">
              <w:rPr>
                <w:rFonts w:eastAsia="Times New Roman" w:cs="Times New Roman"/>
                <w:b/>
                <w:bCs/>
                <w:color w:val="000000"/>
                <w:sz w:val="20"/>
                <w:szCs w:val="20"/>
                <w:lang w:eastAsia="ja-JP"/>
              </w:rPr>
              <w:t>Hour burden per response</w:t>
            </w:r>
            <w:r>
              <w:rPr>
                <w:rFonts w:eastAsia="Times New Roman" w:cs="Times New Roman"/>
                <w:b/>
                <w:bCs/>
                <w:color w:val="000000"/>
                <w:sz w:val="20"/>
                <w:szCs w:val="20"/>
                <w:lang w:eastAsia="ja-JP"/>
              </w:rPr>
              <w:t xml:space="preserve"> </w:t>
            </w:r>
            <w:r w:rsidRPr="004002E0">
              <w:rPr>
                <w:rFonts w:eastAsia="Times New Roman" w:cs="Times New Roman"/>
                <w:b/>
                <w:bCs/>
                <w:color w:val="000000"/>
                <w:sz w:val="20"/>
                <w:szCs w:val="20"/>
                <w:lang w:eastAsia="ja-JP"/>
              </w:rPr>
              <w:t>(a) x (b)</w:t>
            </w:r>
          </w:p>
        </w:tc>
        <w:tc>
          <w:tcPr>
            <w:tcW w:w="630" w:type="dxa"/>
            <w:tcBorders>
              <w:top w:val="nil"/>
              <w:bottom w:val="single" w:sz="4" w:space="0" w:color="auto"/>
            </w:tcBorders>
            <w:shd w:val="clear" w:color="auto" w:fill="D9D9D9" w:themeFill="background1" w:themeFillShade="D9"/>
            <w:textDirection w:val="btLr"/>
            <w:vAlign w:val="center"/>
            <w:hideMark/>
          </w:tcPr>
          <w:p w:rsidR="004E6AC6" w:rsidRDefault="004E6AC6" w:rsidP="004E6AC6">
            <w:pPr>
              <w:spacing w:after="0" w:line="240" w:lineRule="auto"/>
              <w:ind w:left="113" w:right="113"/>
              <w:rPr>
                <w:rFonts w:eastAsia="Times New Roman" w:cs="Times New Roman"/>
                <w:b/>
                <w:bCs/>
                <w:color w:val="000000"/>
                <w:sz w:val="20"/>
                <w:szCs w:val="20"/>
                <w:lang w:eastAsia="ja-JP"/>
              </w:rPr>
            </w:pPr>
            <w:r w:rsidRPr="004002E0">
              <w:rPr>
                <w:rFonts w:eastAsia="Times New Roman" w:cs="Times New Roman"/>
                <w:b/>
                <w:bCs/>
                <w:color w:val="000000"/>
                <w:sz w:val="20"/>
                <w:szCs w:val="20"/>
                <w:lang w:eastAsia="ja-JP"/>
              </w:rPr>
              <w:t>Num</w:t>
            </w:r>
            <w:r>
              <w:rPr>
                <w:rFonts w:eastAsia="Times New Roman" w:cs="Times New Roman"/>
                <w:b/>
                <w:bCs/>
                <w:color w:val="000000"/>
                <w:sz w:val="20"/>
                <w:szCs w:val="20"/>
                <w:lang w:eastAsia="ja-JP"/>
              </w:rPr>
              <w:t xml:space="preserve">ber of years </w:t>
            </w:r>
            <w:r w:rsidRPr="004002E0">
              <w:rPr>
                <w:rFonts w:eastAsia="Times New Roman" w:cs="Times New Roman"/>
                <w:b/>
                <w:bCs/>
                <w:color w:val="000000"/>
                <w:sz w:val="20"/>
                <w:szCs w:val="20"/>
                <w:lang w:eastAsia="ja-JP"/>
              </w:rPr>
              <w:t>data are</w:t>
            </w:r>
            <w:r>
              <w:rPr>
                <w:rFonts w:eastAsia="Times New Roman" w:cs="Times New Roman"/>
                <w:b/>
                <w:bCs/>
                <w:color w:val="000000"/>
                <w:sz w:val="20"/>
                <w:szCs w:val="20"/>
                <w:lang w:eastAsia="ja-JP"/>
              </w:rPr>
              <w:t xml:space="preserve"> </w:t>
            </w:r>
            <w:r w:rsidRPr="004002E0">
              <w:rPr>
                <w:rFonts w:eastAsia="Times New Roman" w:cs="Times New Roman"/>
                <w:b/>
                <w:bCs/>
                <w:color w:val="000000"/>
                <w:sz w:val="20"/>
                <w:szCs w:val="20"/>
                <w:lang w:eastAsia="ja-JP"/>
              </w:rPr>
              <w:t>collected</w:t>
            </w:r>
          </w:p>
        </w:tc>
        <w:tc>
          <w:tcPr>
            <w:tcW w:w="720" w:type="dxa"/>
            <w:tcBorders>
              <w:top w:val="nil"/>
              <w:bottom w:val="single" w:sz="4" w:space="0" w:color="auto"/>
            </w:tcBorders>
            <w:shd w:val="clear" w:color="auto" w:fill="D9D9D9" w:themeFill="background1" w:themeFillShade="D9"/>
            <w:textDirection w:val="btLr"/>
            <w:vAlign w:val="center"/>
          </w:tcPr>
          <w:p w:rsidR="004E6AC6" w:rsidRDefault="004E6AC6" w:rsidP="004E6AC6">
            <w:pPr>
              <w:spacing w:after="0" w:line="240" w:lineRule="auto"/>
              <w:ind w:left="115" w:right="115"/>
              <w:rPr>
                <w:rFonts w:eastAsia="Times New Roman" w:cs="Times New Roman"/>
                <w:b/>
                <w:bCs/>
                <w:color w:val="000000"/>
                <w:sz w:val="20"/>
                <w:szCs w:val="20"/>
                <w:lang w:eastAsia="ja-JP"/>
              </w:rPr>
            </w:pPr>
            <w:r>
              <w:rPr>
                <w:rFonts w:eastAsia="Times New Roman" w:cs="Times New Roman"/>
                <w:b/>
                <w:bCs/>
                <w:color w:val="000000"/>
                <w:sz w:val="20"/>
                <w:szCs w:val="20"/>
                <w:lang w:eastAsia="ja-JP"/>
              </w:rPr>
              <w:t>Total responses over 3 years (a) x(e)</w:t>
            </w:r>
          </w:p>
        </w:tc>
        <w:tc>
          <w:tcPr>
            <w:tcW w:w="787" w:type="dxa"/>
            <w:tcBorders>
              <w:top w:val="nil"/>
              <w:bottom w:val="single" w:sz="4" w:space="0" w:color="auto"/>
            </w:tcBorders>
            <w:shd w:val="clear" w:color="auto" w:fill="D9D9D9" w:themeFill="background1" w:themeFillShade="D9"/>
            <w:textDirection w:val="btLr"/>
            <w:vAlign w:val="center"/>
            <w:hideMark/>
          </w:tcPr>
          <w:p w:rsidR="004E6AC6" w:rsidRDefault="004E6AC6" w:rsidP="004E6AC6">
            <w:pPr>
              <w:spacing w:after="0" w:line="240" w:lineRule="auto"/>
              <w:ind w:left="113" w:right="113"/>
              <w:rPr>
                <w:rFonts w:eastAsia="Times New Roman" w:cs="Times New Roman"/>
                <w:b/>
                <w:bCs/>
                <w:color w:val="000000"/>
                <w:sz w:val="20"/>
                <w:szCs w:val="20"/>
                <w:lang w:eastAsia="ja-JP"/>
              </w:rPr>
            </w:pPr>
            <w:r w:rsidRPr="004002E0">
              <w:rPr>
                <w:rFonts w:eastAsia="Times New Roman" w:cs="Times New Roman"/>
                <w:b/>
                <w:bCs/>
                <w:color w:val="000000"/>
                <w:sz w:val="20"/>
                <w:szCs w:val="20"/>
                <w:lang w:eastAsia="ja-JP"/>
              </w:rPr>
              <w:t>Total hour burden over 3 years</w:t>
            </w:r>
            <w:r>
              <w:rPr>
                <w:rFonts w:eastAsia="Times New Roman" w:cs="Times New Roman"/>
                <w:b/>
                <w:bCs/>
                <w:color w:val="000000"/>
                <w:sz w:val="20"/>
                <w:szCs w:val="20"/>
                <w:lang w:eastAsia="ja-JP"/>
              </w:rPr>
              <w:t xml:space="preserve"> </w:t>
            </w:r>
            <w:r w:rsidRPr="004002E0">
              <w:rPr>
                <w:rFonts w:eastAsia="Times New Roman" w:cs="Times New Roman"/>
                <w:b/>
                <w:bCs/>
                <w:color w:val="000000"/>
                <w:sz w:val="20"/>
                <w:szCs w:val="20"/>
                <w:lang w:eastAsia="ja-JP"/>
              </w:rPr>
              <w:t>(d) x ( e)</w:t>
            </w:r>
          </w:p>
        </w:tc>
        <w:tc>
          <w:tcPr>
            <w:tcW w:w="1080" w:type="dxa"/>
            <w:tcBorders>
              <w:top w:val="nil"/>
              <w:bottom w:val="single" w:sz="4" w:space="0" w:color="auto"/>
            </w:tcBorders>
            <w:shd w:val="clear" w:color="auto" w:fill="D9D9D9" w:themeFill="background1" w:themeFillShade="D9"/>
            <w:textDirection w:val="btLr"/>
            <w:vAlign w:val="center"/>
            <w:hideMark/>
          </w:tcPr>
          <w:p w:rsidR="004E6AC6" w:rsidRDefault="004E6AC6" w:rsidP="004E6AC6">
            <w:pPr>
              <w:spacing w:after="0" w:line="240" w:lineRule="auto"/>
              <w:ind w:left="113" w:right="113"/>
              <w:rPr>
                <w:rFonts w:eastAsia="Times New Roman" w:cs="Times New Roman"/>
                <w:b/>
                <w:bCs/>
                <w:color w:val="000000"/>
                <w:sz w:val="20"/>
                <w:szCs w:val="20"/>
                <w:lang w:eastAsia="ja-JP"/>
              </w:rPr>
            </w:pPr>
            <w:r>
              <w:rPr>
                <w:rFonts w:eastAsia="Times New Roman" w:cs="Times New Roman"/>
                <w:b/>
                <w:bCs/>
                <w:color w:val="000000"/>
                <w:sz w:val="20"/>
                <w:szCs w:val="20"/>
                <w:lang w:eastAsia="ja-JP"/>
              </w:rPr>
              <w:t xml:space="preserve">Total cost burden </w:t>
            </w:r>
            <w:r w:rsidRPr="004002E0">
              <w:rPr>
                <w:rFonts w:eastAsia="Times New Roman" w:cs="Times New Roman"/>
                <w:b/>
                <w:bCs/>
                <w:color w:val="000000"/>
                <w:sz w:val="20"/>
                <w:szCs w:val="20"/>
                <w:lang w:eastAsia="ja-JP"/>
              </w:rPr>
              <w:t>over 3 years</w:t>
            </w:r>
            <w:r>
              <w:rPr>
                <w:rFonts w:eastAsia="Times New Roman" w:cs="Times New Roman"/>
                <w:b/>
                <w:bCs/>
                <w:color w:val="000000"/>
                <w:sz w:val="20"/>
                <w:szCs w:val="20"/>
                <w:lang w:eastAsia="ja-JP"/>
              </w:rPr>
              <w:t xml:space="preserve"> </w:t>
            </w:r>
            <w:r w:rsidRPr="004002E0">
              <w:rPr>
                <w:rFonts w:eastAsia="Times New Roman" w:cs="Times New Roman"/>
                <w:b/>
                <w:bCs/>
                <w:color w:val="000000"/>
                <w:sz w:val="20"/>
                <w:szCs w:val="20"/>
                <w:lang w:eastAsia="ja-JP"/>
              </w:rPr>
              <w:t>(</w:t>
            </w:r>
            <w:r>
              <w:rPr>
                <w:rFonts w:eastAsia="Times New Roman" w:cs="Times New Roman"/>
                <w:b/>
                <w:bCs/>
                <w:color w:val="000000"/>
                <w:sz w:val="20"/>
                <w:szCs w:val="20"/>
                <w:lang w:eastAsia="ja-JP"/>
              </w:rPr>
              <w:t>g</w:t>
            </w:r>
            <w:r w:rsidRPr="004002E0">
              <w:rPr>
                <w:rFonts w:eastAsia="Times New Roman" w:cs="Times New Roman"/>
                <w:b/>
                <w:bCs/>
                <w:color w:val="000000"/>
                <w:sz w:val="20"/>
                <w:szCs w:val="20"/>
                <w:lang w:eastAsia="ja-JP"/>
              </w:rPr>
              <w:t>) x (c)</w:t>
            </w:r>
          </w:p>
        </w:tc>
        <w:tc>
          <w:tcPr>
            <w:tcW w:w="596" w:type="dxa"/>
            <w:tcBorders>
              <w:top w:val="nil"/>
              <w:bottom w:val="single" w:sz="4" w:space="0" w:color="auto"/>
            </w:tcBorders>
            <w:shd w:val="clear" w:color="auto" w:fill="D9D9D9" w:themeFill="background1" w:themeFillShade="D9"/>
            <w:textDirection w:val="btLr"/>
          </w:tcPr>
          <w:p w:rsidR="004E6AC6" w:rsidRDefault="004E6AC6" w:rsidP="004E6AC6">
            <w:pPr>
              <w:spacing w:after="0" w:line="240" w:lineRule="auto"/>
              <w:ind w:left="113" w:right="113"/>
              <w:rPr>
                <w:rFonts w:eastAsia="Times New Roman" w:cs="Times New Roman"/>
                <w:b/>
                <w:bCs/>
                <w:color w:val="000000"/>
                <w:sz w:val="20"/>
                <w:szCs w:val="20"/>
                <w:lang w:eastAsia="ja-JP"/>
              </w:rPr>
            </w:pPr>
            <w:r>
              <w:rPr>
                <w:rFonts w:eastAsia="Times New Roman" w:cs="Times New Roman"/>
                <w:b/>
                <w:bCs/>
                <w:color w:val="000000"/>
                <w:sz w:val="20"/>
                <w:szCs w:val="20"/>
                <w:lang w:eastAsia="ja-JP"/>
              </w:rPr>
              <w:t>Annualized number of responses (f)/3</w:t>
            </w:r>
          </w:p>
        </w:tc>
        <w:tc>
          <w:tcPr>
            <w:tcW w:w="720" w:type="dxa"/>
            <w:tcBorders>
              <w:top w:val="nil"/>
              <w:bottom w:val="single" w:sz="4" w:space="0" w:color="auto"/>
            </w:tcBorders>
            <w:shd w:val="clear" w:color="auto" w:fill="D9D9D9" w:themeFill="background1" w:themeFillShade="D9"/>
            <w:textDirection w:val="btLr"/>
            <w:vAlign w:val="center"/>
            <w:hideMark/>
          </w:tcPr>
          <w:p w:rsidR="004E6AC6" w:rsidRDefault="004E6AC6" w:rsidP="004E6AC6">
            <w:pPr>
              <w:spacing w:after="0" w:line="240" w:lineRule="auto"/>
              <w:ind w:left="113" w:right="113"/>
              <w:rPr>
                <w:rFonts w:eastAsia="Times New Roman" w:cs="Times New Roman"/>
                <w:b/>
                <w:bCs/>
                <w:color w:val="000000"/>
                <w:sz w:val="20"/>
                <w:szCs w:val="20"/>
                <w:lang w:eastAsia="ja-JP"/>
              </w:rPr>
            </w:pPr>
            <w:r w:rsidRPr="004002E0">
              <w:rPr>
                <w:rFonts w:eastAsia="Times New Roman" w:cs="Times New Roman"/>
                <w:b/>
                <w:bCs/>
                <w:color w:val="000000"/>
                <w:sz w:val="20"/>
                <w:szCs w:val="20"/>
                <w:lang w:eastAsia="ja-JP"/>
              </w:rPr>
              <w:t>Annualize hour burden</w:t>
            </w:r>
            <w:r>
              <w:rPr>
                <w:rFonts w:eastAsia="Times New Roman" w:cs="Times New Roman"/>
                <w:b/>
                <w:bCs/>
                <w:color w:val="000000"/>
                <w:sz w:val="20"/>
                <w:szCs w:val="20"/>
                <w:lang w:eastAsia="ja-JP"/>
              </w:rPr>
              <w:t xml:space="preserve"> </w:t>
            </w:r>
            <w:r w:rsidRPr="004002E0">
              <w:rPr>
                <w:rFonts w:eastAsia="Times New Roman" w:cs="Times New Roman"/>
                <w:b/>
                <w:bCs/>
                <w:color w:val="000000"/>
                <w:sz w:val="20"/>
                <w:szCs w:val="20"/>
                <w:lang w:eastAsia="ja-JP"/>
              </w:rPr>
              <w:t>(</w:t>
            </w:r>
            <w:r>
              <w:rPr>
                <w:rFonts w:eastAsia="Times New Roman" w:cs="Times New Roman"/>
                <w:b/>
                <w:bCs/>
                <w:color w:val="000000"/>
                <w:sz w:val="20"/>
                <w:szCs w:val="20"/>
                <w:lang w:eastAsia="ja-JP"/>
              </w:rPr>
              <w:t>g</w:t>
            </w:r>
            <w:r w:rsidRPr="004002E0">
              <w:rPr>
                <w:rFonts w:eastAsia="Times New Roman" w:cs="Times New Roman"/>
                <w:b/>
                <w:bCs/>
                <w:color w:val="000000"/>
                <w:sz w:val="20"/>
                <w:szCs w:val="20"/>
                <w:lang w:eastAsia="ja-JP"/>
              </w:rPr>
              <w:t>) / 3</w:t>
            </w:r>
          </w:p>
        </w:tc>
        <w:tc>
          <w:tcPr>
            <w:tcW w:w="934" w:type="dxa"/>
            <w:tcBorders>
              <w:top w:val="nil"/>
              <w:bottom w:val="single" w:sz="4" w:space="0" w:color="auto"/>
            </w:tcBorders>
            <w:shd w:val="clear" w:color="auto" w:fill="D9D9D9" w:themeFill="background1" w:themeFillShade="D9"/>
            <w:textDirection w:val="btLr"/>
            <w:vAlign w:val="center"/>
            <w:hideMark/>
          </w:tcPr>
          <w:p w:rsidR="004E6AC6" w:rsidRDefault="004E6AC6" w:rsidP="004E6AC6">
            <w:pPr>
              <w:spacing w:after="0" w:line="240" w:lineRule="auto"/>
              <w:ind w:left="113" w:right="113"/>
              <w:rPr>
                <w:rFonts w:eastAsia="Times New Roman" w:cs="Times New Roman"/>
                <w:b/>
                <w:bCs/>
                <w:color w:val="000000"/>
                <w:sz w:val="20"/>
                <w:szCs w:val="20"/>
                <w:lang w:eastAsia="ja-JP"/>
              </w:rPr>
            </w:pPr>
            <w:r w:rsidRPr="004002E0">
              <w:rPr>
                <w:rFonts w:eastAsia="Times New Roman" w:cs="Times New Roman"/>
                <w:b/>
                <w:bCs/>
                <w:color w:val="000000"/>
                <w:sz w:val="20"/>
                <w:szCs w:val="20"/>
                <w:lang w:eastAsia="ja-JP"/>
              </w:rPr>
              <w:t>Annualized cost burden</w:t>
            </w:r>
            <w:r>
              <w:rPr>
                <w:rFonts w:eastAsia="Times New Roman" w:cs="Times New Roman"/>
                <w:b/>
                <w:bCs/>
                <w:color w:val="000000"/>
                <w:sz w:val="20"/>
                <w:szCs w:val="20"/>
                <w:lang w:eastAsia="ja-JP"/>
              </w:rPr>
              <w:t xml:space="preserve"> </w:t>
            </w:r>
            <w:r w:rsidRPr="004002E0">
              <w:rPr>
                <w:rFonts w:eastAsia="Times New Roman" w:cs="Times New Roman"/>
                <w:b/>
                <w:bCs/>
                <w:color w:val="000000"/>
                <w:sz w:val="20"/>
                <w:szCs w:val="20"/>
                <w:lang w:eastAsia="ja-JP"/>
              </w:rPr>
              <w:t>(</w:t>
            </w:r>
            <w:r>
              <w:rPr>
                <w:rFonts w:eastAsia="Times New Roman" w:cs="Times New Roman"/>
                <w:b/>
                <w:bCs/>
                <w:color w:val="000000"/>
                <w:sz w:val="20"/>
                <w:szCs w:val="20"/>
                <w:lang w:eastAsia="ja-JP"/>
              </w:rPr>
              <w:t>h</w:t>
            </w:r>
            <w:r w:rsidRPr="004002E0">
              <w:rPr>
                <w:rFonts w:eastAsia="Times New Roman" w:cs="Times New Roman"/>
                <w:b/>
                <w:bCs/>
                <w:color w:val="000000"/>
                <w:sz w:val="20"/>
                <w:szCs w:val="20"/>
                <w:lang w:eastAsia="ja-JP"/>
              </w:rPr>
              <w:t>) / 3</w:t>
            </w:r>
          </w:p>
        </w:tc>
      </w:tr>
      <w:tr w:rsidR="004E6AC6" w:rsidTr="008C68FE">
        <w:trPr>
          <w:trHeight w:val="570"/>
        </w:trPr>
        <w:tc>
          <w:tcPr>
            <w:tcW w:w="1803" w:type="dxa"/>
            <w:tcBorders>
              <w:bottom w:val="nil"/>
            </w:tcBorders>
            <w:shd w:val="clear" w:color="auto" w:fill="auto"/>
            <w:hideMark/>
          </w:tcPr>
          <w:p w:rsidR="004E6AC6" w:rsidRDefault="004E6AC6" w:rsidP="004E6AC6">
            <w:pPr>
              <w:spacing w:before="120" w:after="120" w:line="240" w:lineRule="auto"/>
              <w:rPr>
                <w:rFonts w:ascii="Calibri" w:eastAsia="Times New Roman" w:hAnsi="Calibri" w:cs="Times New Roman"/>
                <w:color w:val="000000"/>
                <w:sz w:val="20"/>
                <w:szCs w:val="20"/>
                <w:lang w:eastAsia="ja-JP"/>
              </w:rPr>
            </w:pPr>
            <w:r w:rsidRPr="004002E0">
              <w:rPr>
                <w:rFonts w:ascii="Calibri" w:eastAsia="Times New Roman" w:hAnsi="Calibri" w:cs="Times New Roman"/>
                <w:color w:val="000000"/>
                <w:sz w:val="20"/>
                <w:szCs w:val="20"/>
                <w:lang w:eastAsia="ja-JP"/>
              </w:rPr>
              <w:t>Round 1 interviews with new hospitals</w:t>
            </w:r>
          </w:p>
        </w:tc>
        <w:tc>
          <w:tcPr>
            <w:tcW w:w="629" w:type="dxa"/>
            <w:tcBorders>
              <w:bottom w:val="nil"/>
            </w:tcBorders>
            <w:shd w:val="clear" w:color="auto" w:fill="auto"/>
            <w:hideMark/>
          </w:tcPr>
          <w:p w:rsidR="004E6AC6" w:rsidRDefault="00981920" w:rsidP="004E6AC6">
            <w:pPr>
              <w:spacing w:before="120" w:after="120" w:line="240" w:lineRule="auto"/>
              <w:jc w:val="center"/>
              <w:rPr>
                <w:rFonts w:ascii="Calibri" w:eastAsia="Times New Roman" w:hAnsi="Calibri" w:cs="Times New Roman"/>
                <w:color w:val="000000"/>
                <w:sz w:val="20"/>
                <w:szCs w:val="20"/>
                <w:lang w:eastAsia="ja-JP"/>
              </w:rPr>
            </w:pPr>
            <w:r>
              <w:rPr>
                <w:rFonts w:ascii="Calibri" w:eastAsia="Times New Roman" w:hAnsi="Calibri" w:cs="Times New Roman"/>
                <w:color w:val="000000"/>
                <w:sz w:val="20"/>
                <w:szCs w:val="20"/>
                <w:lang w:eastAsia="ja-JP"/>
              </w:rPr>
              <w:t>10</w:t>
            </w:r>
          </w:p>
        </w:tc>
        <w:tc>
          <w:tcPr>
            <w:tcW w:w="628" w:type="dxa"/>
            <w:tcBorders>
              <w:bottom w:val="nil"/>
            </w:tcBorders>
            <w:shd w:val="clear" w:color="auto" w:fill="auto"/>
            <w:hideMark/>
          </w:tcPr>
          <w:p w:rsidR="004E6AC6" w:rsidRDefault="004E6AC6" w:rsidP="004E6AC6">
            <w:pPr>
              <w:spacing w:before="120" w:after="120" w:line="240" w:lineRule="auto"/>
              <w:jc w:val="center"/>
              <w:rPr>
                <w:rFonts w:ascii="Calibri" w:eastAsia="Times New Roman" w:hAnsi="Calibri" w:cs="Times New Roman"/>
                <w:color w:val="000000"/>
                <w:sz w:val="20"/>
                <w:szCs w:val="20"/>
                <w:lang w:eastAsia="ja-JP"/>
              </w:rPr>
            </w:pPr>
            <w:r>
              <w:rPr>
                <w:rFonts w:ascii="Calibri" w:eastAsia="Times New Roman" w:hAnsi="Calibri" w:cs="Times New Roman"/>
                <w:color w:val="000000"/>
                <w:sz w:val="20"/>
                <w:szCs w:val="20"/>
                <w:lang w:eastAsia="ja-JP"/>
              </w:rPr>
              <w:t>2</w:t>
            </w:r>
            <w:r w:rsidRPr="004002E0">
              <w:rPr>
                <w:rFonts w:ascii="Calibri" w:eastAsia="Times New Roman" w:hAnsi="Calibri" w:cs="Times New Roman"/>
                <w:color w:val="000000"/>
                <w:sz w:val="20"/>
                <w:szCs w:val="20"/>
                <w:lang w:eastAsia="ja-JP"/>
              </w:rPr>
              <w:t>.5</w:t>
            </w:r>
          </w:p>
        </w:tc>
        <w:tc>
          <w:tcPr>
            <w:tcW w:w="720" w:type="dxa"/>
            <w:tcBorders>
              <w:bottom w:val="nil"/>
            </w:tcBorders>
            <w:shd w:val="clear" w:color="auto" w:fill="auto"/>
            <w:hideMark/>
          </w:tcPr>
          <w:p w:rsidR="004E6AC6" w:rsidRDefault="004E6AC6" w:rsidP="004E6AC6">
            <w:pPr>
              <w:spacing w:before="120" w:after="120" w:line="240" w:lineRule="auto"/>
              <w:jc w:val="center"/>
              <w:rPr>
                <w:rFonts w:ascii="Calibri" w:eastAsia="Times New Roman" w:hAnsi="Calibri" w:cs="Times New Roman"/>
                <w:color w:val="000000"/>
                <w:sz w:val="20"/>
                <w:szCs w:val="20"/>
                <w:lang w:eastAsia="ja-JP"/>
              </w:rPr>
            </w:pPr>
            <w:r w:rsidRPr="004002E0">
              <w:rPr>
                <w:rFonts w:ascii="Calibri" w:eastAsia="Times New Roman" w:hAnsi="Calibri" w:cs="Times New Roman"/>
                <w:color w:val="000000"/>
                <w:sz w:val="20"/>
                <w:szCs w:val="20"/>
                <w:lang w:eastAsia="ja-JP"/>
              </w:rPr>
              <w:t>46.17</w:t>
            </w:r>
          </w:p>
        </w:tc>
        <w:tc>
          <w:tcPr>
            <w:tcW w:w="653" w:type="dxa"/>
            <w:tcBorders>
              <w:bottom w:val="nil"/>
            </w:tcBorders>
            <w:shd w:val="clear" w:color="auto" w:fill="auto"/>
            <w:hideMark/>
          </w:tcPr>
          <w:p w:rsidR="004E6AC6" w:rsidRDefault="00597F67" w:rsidP="004E6AC6">
            <w:pPr>
              <w:spacing w:before="120" w:after="120" w:line="240" w:lineRule="auto"/>
              <w:jc w:val="center"/>
              <w:rPr>
                <w:rFonts w:ascii="Calibri" w:eastAsia="Times New Roman" w:hAnsi="Calibri" w:cs="Times New Roman"/>
                <w:color w:val="000000"/>
                <w:sz w:val="20"/>
                <w:szCs w:val="20"/>
                <w:lang w:eastAsia="ja-JP"/>
              </w:rPr>
            </w:pPr>
            <w:r>
              <w:rPr>
                <w:rFonts w:ascii="Calibri" w:eastAsia="Times New Roman" w:hAnsi="Calibri" w:cs="Times New Roman"/>
                <w:color w:val="000000"/>
                <w:sz w:val="20"/>
                <w:szCs w:val="20"/>
                <w:lang w:eastAsia="ja-JP"/>
              </w:rPr>
              <w:t>25</w:t>
            </w:r>
          </w:p>
        </w:tc>
        <w:tc>
          <w:tcPr>
            <w:tcW w:w="630" w:type="dxa"/>
            <w:tcBorders>
              <w:bottom w:val="nil"/>
            </w:tcBorders>
            <w:shd w:val="clear" w:color="auto" w:fill="auto"/>
            <w:noWrap/>
            <w:hideMark/>
          </w:tcPr>
          <w:p w:rsidR="004E6AC6" w:rsidRDefault="004E6AC6" w:rsidP="004E6AC6">
            <w:pPr>
              <w:spacing w:before="120" w:after="120" w:line="240" w:lineRule="auto"/>
              <w:jc w:val="center"/>
              <w:rPr>
                <w:rFonts w:ascii="Calibri" w:eastAsia="Times New Roman" w:hAnsi="Calibri" w:cs="Times New Roman"/>
                <w:color w:val="000000"/>
                <w:sz w:val="20"/>
                <w:szCs w:val="20"/>
                <w:lang w:eastAsia="ja-JP"/>
              </w:rPr>
            </w:pPr>
            <w:r w:rsidRPr="004002E0">
              <w:rPr>
                <w:rFonts w:ascii="Calibri" w:eastAsia="Times New Roman" w:hAnsi="Calibri" w:cs="Times New Roman"/>
                <w:color w:val="000000"/>
                <w:sz w:val="20"/>
                <w:szCs w:val="20"/>
                <w:lang w:eastAsia="ja-JP"/>
              </w:rPr>
              <w:t>1</w:t>
            </w:r>
          </w:p>
        </w:tc>
        <w:tc>
          <w:tcPr>
            <w:tcW w:w="720" w:type="dxa"/>
            <w:tcBorders>
              <w:bottom w:val="nil"/>
            </w:tcBorders>
            <w:shd w:val="clear" w:color="auto" w:fill="auto"/>
          </w:tcPr>
          <w:p w:rsidR="004E6AC6" w:rsidRDefault="004E6AC6" w:rsidP="003951C1">
            <w:pPr>
              <w:spacing w:before="120" w:after="120" w:line="240" w:lineRule="auto"/>
              <w:jc w:val="center"/>
              <w:rPr>
                <w:rFonts w:ascii="Calibri" w:eastAsia="Times New Roman" w:hAnsi="Calibri" w:cs="Times New Roman"/>
                <w:color w:val="000000"/>
                <w:sz w:val="20"/>
                <w:szCs w:val="20"/>
                <w:lang w:eastAsia="ja-JP"/>
              </w:rPr>
            </w:pPr>
            <w:r>
              <w:rPr>
                <w:rFonts w:ascii="Calibri" w:eastAsia="Times New Roman" w:hAnsi="Calibri" w:cs="Times New Roman"/>
                <w:color w:val="000000"/>
                <w:sz w:val="20"/>
                <w:szCs w:val="20"/>
                <w:lang w:eastAsia="ja-JP"/>
              </w:rPr>
              <w:t>1</w:t>
            </w:r>
            <w:r w:rsidR="003951C1">
              <w:rPr>
                <w:rFonts w:ascii="Calibri" w:eastAsia="Times New Roman" w:hAnsi="Calibri" w:cs="Times New Roman"/>
                <w:color w:val="000000"/>
                <w:sz w:val="20"/>
                <w:szCs w:val="20"/>
                <w:lang w:eastAsia="ja-JP"/>
              </w:rPr>
              <w:t>0</w:t>
            </w:r>
          </w:p>
        </w:tc>
        <w:tc>
          <w:tcPr>
            <w:tcW w:w="787" w:type="dxa"/>
            <w:tcBorders>
              <w:bottom w:val="nil"/>
            </w:tcBorders>
            <w:shd w:val="clear" w:color="auto" w:fill="auto"/>
            <w:hideMark/>
          </w:tcPr>
          <w:p w:rsidR="004E6AC6" w:rsidRDefault="00062CE9" w:rsidP="004E6AC6">
            <w:pPr>
              <w:spacing w:before="120" w:after="120" w:line="240" w:lineRule="auto"/>
              <w:jc w:val="right"/>
              <w:rPr>
                <w:rFonts w:ascii="Calibri" w:eastAsia="Times New Roman" w:hAnsi="Calibri" w:cs="Times New Roman"/>
                <w:color w:val="000000"/>
                <w:sz w:val="20"/>
                <w:szCs w:val="20"/>
                <w:lang w:eastAsia="ja-JP"/>
              </w:rPr>
            </w:pPr>
            <w:r>
              <w:rPr>
                <w:rFonts w:ascii="Calibri" w:eastAsia="Times New Roman" w:hAnsi="Calibri" w:cs="Times New Roman"/>
                <w:color w:val="000000"/>
                <w:sz w:val="20"/>
                <w:szCs w:val="20"/>
                <w:lang w:eastAsia="ja-JP"/>
              </w:rPr>
              <w:t>25</w:t>
            </w:r>
            <w:r w:rsidR="004E6AC6" w:rsidRPr="004002E0">
              <w:rPr>
                <w:rFonts w:ascii="Calibri" w:eastAsia="Times New Roman" w:hAnsi="Calibri" w:cs="Times New Roman"/>
                <w:color w:val="000000"/>
                <w:sz w:val="20"/>
                <w:szCs w:val="20"/>
                <w:lang w:eastAsia="ja-JP"/>
              </w:rPr>
              <w:t>.0</w:t>
            </w:r>
          </w:p>
        </w:tc>
        <w:tc>
          <w:tcPr>
            <w:tcW w:w="1080" w:type="dxa"/>
            <w:tcBorders>
              <w:bottom w:val="nil"/>
            </w:tcBorders>
            <w:shd w:val="clear" w:color="auto" w:fill="auto"/>
            <w:noWrap/>
            <w:hideMark/>
          </w:tcPr>
          <w:p w:rsidR="004E6AC6" w:rsidRDefault="00062CE9" w:rsidP="004E6AC6">
            <w:pPr>
              <w:spacing w:before="120" w:after="120" w:line="240" w:lineRule="auto"/>
              <w:jc w:val="right"/>
              <w:rPr>
                <w:rFonts w:ascii="Calibri" w:eastAsia="Times New Roman" w:hAnsi="Calibri" w:cs="Times New Roman"/>
                <w:color w:val="000000"/>
                <w:sz w:val="20"/>
                <w:szCs w:val="20"/>
                <w:lang w:eastAsia="ja-JP"/>
              </w:rPr>
            </w:pPr>
            <w:r>
              <w:rPr>
                <w:rFonts w:ascii="Calibri" w:eastAsia="Times New Roman" w:hAnsi="Calibri" w:cs="Times New Roman"/>
                <w:color w:val="000000"/>
                <w:sz w:val="20"/>
                <w:szCs w:val="20"/>
                <w:lang w:eastAsia="ja-JP"/>
              </w:rPr>
              <w:t>1,154.25</w:t>
            </w:r>
          </w:p>
        </w:tc>
        <w:tc>
          <w:tcPr>
            <w:tcW w:w="596" w:type="dxa"/>
            <w:tcBorders>
              <w:bottom w:val="nil"/>
            </w:tcBorders>
          </w:tcPr>
          <w:p w:rsidR="004E6AC6" w:rsidRPr="000A1657" w:rsidRDefault="004A465E" w:rsidP="004E6AC6">
            <w:pPr>
              <w:spacing w:before="120" w:after="120" w:line="240" w:lineRule="auto"/>
              <w:jc w:val="right"/>
              <w:rPr>
                <w:rFonts w:ascii="Calibri" w:eastAsia="Times New Roman" w:hAnsi="Calibri" w:cs="Times New Roman"/>
                <w:color w:val="000000"/>
                <w:sz w:val="20"/>
                <w:szCs w:val="20"/>
                <w:lang w:eastAsia="ja-JP"/>
              </w:rPr>
            </w:pPr>
            <w:r>
              <w:rPr>
                <w:rFonts w:ascii="Calibri" w:eastAsia="Times New Roman" w:hAnsi="Calibri" w:cs="Times New Roman"/>
                <w:color w:val="000000"/>
                <w:sz w:val="20"/>
                <w:szCs w:val="20"/>
                <w:lang w:eastAsia="ja-JP"/>
              </w:rPr>
              <w:t>3.3</w:t>
            </w:r>
          </w:p>
        </w:tc>
        <w:tc>
          <w:tcPr>
            <w:tcW w:w="720" w:type="dxa"/>
            <w:tcBorders>
              <w:bottom w:val="nil"/>
            </w:tcBorders>
            <w:shd w:val="clear" w:color="auto" w:fill="auto"/>
            <w:hideMark/>
          </w:tcPr>
          <w:p w:rsidR="004E6AC6" w:rsidRDefault="00062CE9" w:rsidP="004E6AC6">
            <w:pPr>
              <w:spacing w:before="120" w:after="120" w:line="240" w:lineRule="auto"/>
              <w:jc w:val="right"/>
              <w:rPr>
                <w:rFonts w:ascii="Calibri" w:eastAsia="Times New Roman" w:hAnsi="Calibri" w:cs="Times New Roman"/>
                <w:color w:val="000000"/>
                <w:sz w:val="20"/>
                <w:szCs w:val="20"/>
                <w:lang w:eastAsia="ja-JP"/>
              </w:rPr>
            </w:pPr>
            <w:r>
              <w:rPr>
                <w:rFonts w:ascii="Calibri" w:eastAsia="Times New Roman" w:hAnsi="Calibri" w:cs="Times New Roman"/>
                <w:color w:val="000000"/>
                <w:sz w:val="20"/>
                <w:szCs w:val="20"/>
                <w:lang w:eastAsia="ja-JP"/>
              </w:rPr>
              <w:t>8</w:t>
            </w:r>
            <w:r w:rsidR="004E6AC6">
              <w:rPr>
                <w:rFonts w:ascii="Calibri" w:eastAsia="Times New Roman" w:hAnsi="Calibri" w:cs="Times New Roman"/>
                <w:color w:val="000000"/>
                <w:sz w:val="20"/>
                <w:szCs w:val="20"/>
                <w:lang w:eastAsia="ja-JP"/>
              </w:rPr>
              <w:t>.3</w:t>
            </w:r>
          </w:p>
        </w:tc>
        <w:tc>
          <w:tcPr>
            <w:tcW w:w="934" w:type="dxa"/>
            <w:tcBorders>
              <w:bottom w:val="nil"/>
            </w:tcBorders>
            <w:noWrap/>
            <w:hideMark/>
          </w:tcPr>
          <w:p w:rsidR="004E6AC6" w:rsidRDefault="00062CE9" w:rsidP="004E6AC6">
            <w:pPr>
              <w:spacing w:before="120" w:after="120" w:line="240" w:lineRule="auto"/>
              <w:jc w:val="right"/>
              <w:rPr>
                <w:rFonts w:ascii="Calibri" w:eastAsia="Times New Roman" w:hAnsi="Calibri" w:cs="Times New Roman"/>
                <w:color w:val="000000"/>
                <w:sz w:val="20"/>
                <w:szCs w:val="20"/>
                <w:lang w:eastAsia="ja-JP"/>
              </w:rPr>
            </w:pPr>
            <w:r>
              <w:rPr>
                <w:rFonts w:ascii="Calibri" w:eastAsia="Times New Roman" w:hAnsi="Calibri" w:cs="Times New Roman"/>
                <w:color w:val="000000"/>
                <w:sz w:val="20"/>
                <w:szCs w:val="20"/>
                <w:lang w:eastAsia="ja-JP"/>
              </w:rPr>
              <w:t>384.75</w:t>
            </w:r>
            <w:r w:rsidR="004E6AC6" w:rsidRPr="004002E0">
              <w:rPr>
                <w:rFonts w:ascii="Calibri" w:eastAsia="Times New Roman" w:hAnsi="Calibri" w:cs="Times New Roman"/>
                <w:color w:val="000000"/>
                <w:sz w:val="20"/>
                <w:szCs w:val="20"/>
                <w:lang w:eastAsia="ja-JP"/>
              </w:rPr>
              <w:t xml:space="preserve"> </w:t>
            </w:r>
          </w:p>
        </w:tc>
      </w:tr>
      <w:tr w:rsidR="004E6AC6" w:rsidTr="008C68FE">
        <w:trPr>
          <w:trHeight w:val="570"/>
        </w:trPr>
        <w:tc>
          <w:tcPr>
            <w:tcW w:w="1803" w:type="dxa"/>
            <w:tcBorders>
              <w:top w:val="nil"/>
              <w:bottom w:val="nil"/>
            </w:tcBorders>
            <w:shd w:val="clear" w:color="auto" w:fill="auto"/>
            <w:hideMark/>
          </w:tcPr>
          <w:p w:rsidR="004E6AC6" w:rsidRDefault="004E6AC6" w:rsidP="004E6AC6">
            <w:pPr>
              <w:spacing w:before="120" w:after="120" w:line="240" w:lineRule="auto"/>
              <w:rPr>
                <w:rFonts w:ascii="Calibri" w:eastAsia="Times New Roman" w:hAnsi="Calibri" w:cs="Times New Roman"/>
                <w:color w:val="000000"/>
                <w:sz w:val="20"/>
                <w:szCs w:val="20"/>
                <w:lang w:eastAsia="ja-JP"/>
              </w:rPr>
            </w:pPr>
            <w:r w:rsidRPr="004002E0">
              <w:rPr>
                <w:rFonts w:ascii="Calibri" w:eastAsia="Times New Roman" w:hAnsi="Calibri" w:cs="Times New Roman"/>
                <w:color w:val="000000"/>
                <w:sz w:val="20"/>
                <w:szCs w:val="20"/>
                <w:lang w:eastAsia="ja-JP"/>
              </w:rPr>
              <w:t>Round 2 interviews with all hospitals</w:t>
            </w:r>
          </w:p>
        </w:tc>
        <w:tc>
          <w:tcPr>
            <w:tcW w:w="629" w:type="dxa"/>
            <w:tcBorders>
              <w:top w:val="nil"/>
              <w:bottom w:val="nil"/>
            </w:tcBorders>
            <w:shd w:val="clear" w:color="auto" w:fill="auto"/>
            <w:hideMark/>
          </w:tcPr>
          <w:p w:rsidR="004E6AC6" w:rsidRDefault="004E6AC6" w:rsidP="004E6AC6">
            <w:pPr>
              <w:spacing w:before="120" w:after="120" w:line="240" w:lineRule="auto"/>
              <w:jc w:val="center"/>
              <w:rPr>
                <w:rFonts w:ascii="Calibri" w:eastAsia="Times New Roman" w:hAnsi="Calibri" w:cs="Times New Roman"/>
                <w:color w:val="000000"/>
                <w:sz w:val="20"/>
                <w:szCs w:val="20"/>
                <w:lang w:eastAsia="ja-JP"/>
              </w:rPr>
            </w:pPr>
            <w:r>
              <w:rPr>
                <w:rFonts w:ascii="Calibri" w:eastAsia="Times New Roman" w:hAnsi="Calibri" w:cs="Times New Roman"/>
                <w:color w:val="000000"/>
                <w:sz w:val="20"/>
                <w:szCs w:val="20"/>
                <w:lang w:eastAsia="ja-JP"/>
              </w:rPr>
              <w:t>15</w:t>
            </w:r>
          </w:p>
        </w:tc>
        <w:tc>
          <w:tcPr>
            <w:tcW w:w="628" w:type="dxa"/>
            <w:tcBorders>
              <w:top w:val="nil"/>
              <w:bottom w:val="nil"/>
            </w:tcBorders>
            <w:shd w:val="clear" w:color="auto" w:fill="auto"/>
            <w:hideMark/>
          </w:tcPr>
          <w:p w:rsidR="004E6AC6" w:rsidRDefault="004E6AC6" w:rsidP="004E6AC6">
            <w:pPr>
              <w:spacing w:before="120" w:after="120" w:line="240" w:lineRule="auto"/>
              <w:jc w:val="center"/>
              <w:rPr>
                <w:rFonts w:ascii="Calibri" w:eastAsia="Times New Roman" w:hAnsi="Calibri" w:cs="Times New Roman"/>
                <w:color w:val="000000"/>
                <w:sz w:val="20"/>
                <w:szCs w:val="20"/>
                <w:lang w:eastAsia="ja-JP"/>
              </w:rPr>
            </w:pPr>
            <w:r>
              <w:rPr>
                <w:rFonts w:ascii="Calibri" w:eastAsia="Times New Roman" w:hAnsi="Calibri" w:cs="Times New Roman"/>
                <w:color w:val="000000"/>
                <w:sz w:val="20"/>
                <w:szCs w:val="20"/>
                <w:lang w:eastAsia="ja-JP"/>
              </w:rPr>
              <w:t>2</w:t>
            </w:r>
            <w:r w:rsidRPr="004002E0">
              <w:rPr>
                <w:rFonts w:ascii="Calibri" w:eastAsia="Times New Roman" w:hAnsi="Calibri" w:cs="Times New Roman"/>
                <w:color w:val="000000"/>
                <w:sz w:val="20"/>
                <w:szCs w:val="20"/>
                <w:lang w:eastAsia="ja-JP"/>
              </w:rPr>
              <w:t>.0</w:t>
            </w:r>
          </w:p>
        </w:tc>
        <w:tc>
          <w:tcPr>
            <w:tcW w:w="720" w:type="dxa"/>
            <w:tcBorders>
              <w:top w:val="nil"/>
              <w:bottom w:val="nil"/>
            </w:tcBorders>
            <w:shd w:val="clear" w:color="auto" w:fill="auto"/>
            <w:hideMark/>
          </w:tcPr>
          <w:p w:rsidR="004E6AC6" w:rsidRDefault="004E6AC6" w:rsidP="004E6AC6">
            <w:pPr>
              <w:spacing w:before="120" w:after="120" w:line="240" w:lineRule="auto"/>
              <w:jc w:val="center"/>
              <w:rPr>
                <w:rFonts w:ascii="Calibri" w:eastAsia="Times New Roman" w:hAnsi="Calibri" w:cs="Times New Roman"/>
                <w:color w:val="000000"/>
                <w:sz w:val="20"/>
                <w:szCs w:val="20"/>
                <w:lang w:eastAsia="ja-JP"/>
              </w:rPr>
            </w:pPr>
            <w:r w:rsidRPr="004002E0">
              <w:rPr>
                <w:rFonts w:ascii="Calibri" w:eastAsia="Times New Roman" w:hAnsi="Calibri" w:cs="Times New Roman"/>
                <w:color w:val="000000"/>
                <w:sz w:val="20"/>
                <w:szCs w:val="20"/>
                <w:lang w:eastAsia="ja-JP"/>
              </w:rPr>
              <w:t>46.17</w:t>
            </w:r>
          </w:p>
        </w:tc>
        <w:tc>
          <w:tcPr>
            <w:tcW w:w="653" w:type="dxa"/>
            <w:tcBorders>
              <w:top w:val="nil"/>
              <w:bottom w:val="nil"/>
            </w:tcBorders>
            <w:shd w:val="clear" w:color="auto" w:fill="auto"/>
            <w:hideMark/>
          </w:tcPr>
          <w:p w:rsidR="004E6AC6" w:rsidRDefault="00597F67" w:rsidP="004E6AC6">
            <w:pPr>
              <w:spacing w:before="120" w:after="120" w:line="240" w:lineRule="auto"/>
              <w:jc w:val="center"/>
              <w:rPr>
                <w:rFonts w:ascii="Calibri" w:eastAsia="Times New Roman" w:hAnsi="Calibri" w:cs="Times New Roman"/>
                <w:color w:val="000000"/>
                <w:sz w:val="20"/>
                <w:szCs w:val="20"/>
                <w:lang w:eastAsia="ja-JP"/>
              </w:rPr>
            </w:pPr>
            <w:r>
              <w:rPr>
                <w:rFonts w:ascii="Calibri" w:eastAsia="Times New Roman" w:hAnsi="Calibri" w:cs="Times New Roman"/>
                <w:color w:val="000000"/>
                <w:sz w:val="20"/>
                <w:szCs w:val="20"/>
                <w:lang w:eastAsia="ja-JP"/>
              </w:rPr>
              <w:t>30</w:t>
            </w:r>
          </w:p>
        </w:tc>
        <w:tc>
          <w:tcPr>
            <w:tcW w:w="630" w:type="dxa"/>
            <w:tcBorders>
              <w:top w:val="nil"/>
              <w:bottom w:val="nil"/>
            </w:tcBorders>
            <w:shd w:val="clear" w:color="auto" w:fill="auto"/>
            <w:noWrap/>
            <w:hideMark/>
          </w:tcPr>
          <w:p w:rsidR="004E6AC6" w:rsidRDefault="004E6AC6" w:rsidP="004E6AC6">
            <w:pPr>
              <w:spacing w:before="120" w:after="120" w:line="240" w:lineRule="auto"/>
              <w:jc w:val="center"/>
              <w:rPr>
                <w:rFonts w:ascii="Calibri" w:eastAsia="Times New Roman" w:hAnsi="Calibri" w:cs="Times New Roman"/>
                <w:color w:val="000000"/>
                <w:sz w:val="20"/>
                <w:szCs w:val="20"/>
                <w:lang w:eastAsia="ja-JP"/>
              </w:rPr>
            </w:pPr>
            <w:r w:rsidRPr="004002E0">
              <w:rPr>
                <w:rFonts w:ascii="Calibri" w:eastAsia="Times New Roman" w:hAnsi="Calibri" w:cs="Times New Roman"/>
                <w:color w:val="000000"/>
                <w:sz w:val="20"/>
                <w:szCs w:val="20"/>
                <w:lang w:eastAsia="ja-JP"/>
              </w:rPr>
              <w:t>1</w:t>
            </w:r>
          </w:p>
        </w:tc>
        <w:tc>
          <w:tcPr>
            <w:tcW w:w="720" w:type="dxa"/>
            <w:tcBorders>
              <w:top w:val="nil"/>
              <w:bottom w:val="nil"/>
            </w:tcBorders>
            <w:shd w:val="clear" w:color="auto" w:fill="auto"/>
          </w:tcPr>
          <w:p w:rsidR="004E6AC6" w:rsidRDefault="00062CE9" w:rsidP="004E6AC6">
            <w:pPr>
              <w:spacing w:before="120" w:after="120" w:line="240" w:lineRule="auto"/>
              <w:jc w:val="center"/>
              <w:rPr>
                <w:rFonts w:ascii="Calibri" w:eastAsia="Times New Roman" w:hAnsi="Calibri" w:cs="Times New Roman"/>
                <w:color w:val="000000"/>
                <w:sz w:val="20"/>
                <w:szCs w:val="20"/>
                <w:lang w:eastAsia="ja-JP"/>
              </w:rPr>
            </w:pPr>
            <w:r>
              <w:rPr>
                <w:rFonts w:ascii="Calibri" w:eastAsia="Times New Roman" w:hAnsi="Calibri" w:cs="Times New Roman"/>
                <w:color w:val="000000"/>
                <w:sz w:val="20"/>
                <w:szCs w:val="20"/>
                <w:lang w:eastAsia="ja-JP"/>
              </w:rPr>
              <w:t>15</w:t>
            </w:r>
          </w:p>
        </w:tc>
        <w:tc>
          <w:tcPr>
            <w:tcW w:w="787" w:type="dxa"/>
            <w:tcBorders>
              <w:top w:val="nil"/>
              <w:bottom w:val="nil"/>
            </w:tcBorders>
            <w:shd w:val="clear" w:color="auto" w:fill="auto"/>
            <w:hideMark/>
          </w:tcPr>
          <w:p w:rsidR="004E6AC6" w:rsidRDefault="00062CE9" w:rsidP="004E6AC6">
            <w:pPr>
              <w:spacing w:before="120" w:after="120" w:line="240" w:lineRule="auto"/>
              <w:jc w:val="right"/>
              <w:rPr>
                <w:rFonts w:ascii="Calibri" w:eastAsia="Times New Roman" w:hAnsi="Calibri" w:cs="Times New Roman"/>
                <w:color w:val="000000"/>
                <w:sz w:val="20"/>
                <w:szCs w:val="20"/>
                <w:lang w:eastAsia="ja-JP"/>
              </w:rPr>
            </w:pPr>
            <w:r>
              <w:rPr>
                <w:rFonts w:ascii="Calibri" w:eastAsia="Times New Roman" w:hAnsi="Calibri" w:cs="Times New Roman"/>
                <w:color w:val="000000"/>
                <w:sz w:val="20"/>
                <w:szCs w:val="20"/>
                <w:lang w:eastAsia="ja-JP"/>
              </w:rPr>
              <w:t>30</w:t>
            </w:r>
            <w:r w:rsidR="004E6AC6" w:rsidRPr="004002E0">
              <w:rPr>
                <w:rFonts w:ascii="Calibri" w:eastAsia="Times New Roman" w:hAnsi="Calibri" w:cs="Times New Roman"/>
                <w:color w:val="000000"/>
                <w:sz w:val="20"/>
                <w:szCs w:val="20"/>
                <w:lang w:eastAsia="ja-JP"/>
              </w:rPr>
              <w:t>.0</w:t>
            </w:r>
          </w:p>
        </w:tc>
        <w:tc>
          <w:tcPr>
            <w:tcW w:w="1080" w:type="dxa"/>
            <w:tcBorders>
              <w:top w:val="nil"/>
              <w:bottom w:val="nil"/>
            </w:tcBorders>
            <w:shd w:val="clear" w:color="auto" w:fill="auto"/>
            <w:noWrap/>
            <w:hideMark/>
          </w:tcPr>
          <w:p w:rsidR="004E6AC6" w:rsidRDefault="00062CE9" w:rsidP="004E6AC6">
            <w:pPr>
              <w:spacing w:before="120" w:after="120" w:line="240" w:lineRule="auto"/>
              <w:jc w:val="right"/>
              <w:rPr>
                <w:rFonts w:ascii="Calibri" w:eastAsia="Times New Roman" w:hAnsi="Calibri" w:cs="Times New Roman"/>
                <w:color w:val="000000"/>
                <w:sz w:val="20"/>
                <w:szCs w:val="20"/>
                <w:lang w:eastAsia="ja-JP"/>
              </w:rPr>
            </w:pPr>
            <w:r>
              <w:rPr>
                <w:rFonts w:ascii="Calibri" w:eastAsia="Times New Roman" w:hAnsi="Calibri" w:cs="Times New Roman"/>
                <w:color w:val="000000"/>
                <w:sz w:val="20"/>
                <w:szCs w:val="20"/>
                <w:lang w:eastAsia="ja-JP"/>
              </w:rPr>
              <w:t>1,385.10</w:t>
            </w:r>
            <w:r w:rsidR="004E6AC6" w:rsidRPr="004002E0">
              <w:rPr>
                <w:rFonts w:ascii="Calibri" w:eastAsia="Times New Roman" w:hAnsi="Calibri" w:cs="Times New Roman"/>
                <w:color w:val="000000"/>
                <w:sz w:val="20"/>
                <w:szCs w:val="20"/>
                <w:lang w:eastAsia="ja-JP"/>
              </w:rPr>
              <w:t xml:space="preserve"> </w:t>
            </w:r>
          </w:p>
        </w:tc>
        <w:tc>
          <w:tcPr>
            <w:tcW w:w="596" w:type="dxa"/>
            <w:tcBorders>
              <w:top w:val="nil"/>
              <w:bottom w:val="nil"/>
            </w:tcBorders>
          </w:tcPr>
          <w:p w:rsidR="004E6AC6" w:rsidRPr="000A1657" w:rsidRDefault="00062CE9" w:rsidP="004E6AC6">
            <w:pPr>
              <w:spacing w:before="120" w:after="120" w:line="240" w:lineRule="auto"/>
              <w:jc w:val="right"/>
              <w:rPr>
                <w:rFonts w:ascii="Calibri" w:eastAsia="Times New Roman" w:hAnsi="Calibri" w:cs="Times New Roman"/>
                <w:color w:val="000000"/>
                <w:sz w:val="20"/>
                <w:szCs w:val="20"/>
                <w:lang w:eastAsia="ja-JP"/>
              </w:rPr>
            </w:pPr>
            <w:r>
              <w:rPr>
                <w:rFonts w:ascii="Calibri" w:eastAsia="Times New Roman" w:hAnsi="Calibri" w:cs="Times New Roman"/>
                <w:color w:val="000000"/>
                <w:sz w:val="20"/>
                <w:szCs w:val="20"/>
                <w:lang w:eastAsia="ja-JP"/>
              </w:rPr>
              <w:t>5</w:t>
            </w:r>
          </w:p>
        </w:tc>
        <w:tc>
          <w:tcPr>
            <w:tcW w:w="720" w:type="dxa"/>
            <w:tcBorders>
              <w:top w:val="nil"/>
              <w:bottom w:val="nil"/>
            </w:tcBorders>
            <w:shd w:val="clear" w:color="auto" w:fill="auto"/>
            <w:hideMark/>
          </w:tcPr>
          <w:p w:rsidR="004E6AC6" w:rsidRDefault="00062CE9" w:rsidP="004E6AC6">
            <w:pPr>
              <w:spacing w:before="120" w:after="120" w:line="240" w:lineRule="auto"/>
              <w:jc w:val="right"/>
              <w:rPr>
                <w:rFonts w:ascii="Calibri" w:eastAsia="Times New Roman" w:hAnsi="Calibri" w:cs="Times New Roman"/>
                <w:color w:val="000000"/>
                <w:sz w:val="20"/>
                <w:szCs w:val="20"/>
                <w:lang w:eastAsia="ja-JP"/>
              </w:rPr>
            </w:pPr>
            <w:r>
              <w:rPr>
                <w:rFonts w:ascii="Calibri" w:eastAsia="Times New Roman" w:hAnsi="Calibri" w:cs="Times New Roman"/>
                <w:color w:val="000000"/>
                <w:sz w:val="20"/>
                <w:szCs w:val="20"/>
                <w:lang w:eastAsia="ja-JP"/>
              </w:rPr>
              <w:t>10.0</w:t>
            </w:r>
          </w:p>
        </w:tc>
        <w:tc>
          <w:tcPr>
            <w:tcW w:w="934" w:type="dxa"/>
            <w:tcBorders>
              <w:top w:val="nil"/>
              <w:bottom w:val="nil"/>
            </w:tcBorders>
            <w:noWrap/>
            <w:hideMark/>
          </w:tcPr>
          <w:p w:rsidR="004E6AC6" w:rsidRDefault="00062CE9" w:rsidP="004E6AC6">
            <w:pPr>
              <w:spacing w:before="120" w:after="120" w:line="240" w:lineRule="auto"/>
              <w:jc w:val="right"/>
              <w:rPr>
                <w:rFonts w:ascii="Calibri" w:eastAsia="Times New Roman" w:hAnsi="Calibri" w:cs="Times New Roman"/>
                <w:color w:val="000000"/>
                <w:sz w:val="20"/>
                <w:szCs w:val="20"/>
                <w:lang w:eastAsia="ja-JP"/>
              </w:rPr>
            </w:pPr>
            <w:r>
              <w:rPr>
                <w:rFonts w:ascii="Calibri" w:eastAsia="Times New Roman" w:hAnsi="Calibri" w:cs="Times New Roman"/>
                <w:color w:val="000000"/>
                <w:sz w:val="20"/>
                <w:szCs w:val="20"/>
                <w:lang w:eastAsia="ja-JP"/>
              </w:rPr>
              <w:t>461.70</w:t>
            </w:r>
          </w:p>
        </w:tc>
      </w:tr>
      <w:tr w:rsidR="004E6AC6" w:rsidRPr="00F927B7" w:rsidTr="008C68FE">
        <w:trPr>
          <w:trHeight w:val="570"/>
        </w:trPr>
        <w:tc>
          <w:tcPr>
            <w:tcW w:w="1803" w:type="dxa"/>
            <w:tcBorders>
              <w:top w:val="nil"/>
              <w:bottom w:val="nil"/>
            </w:tcBorders>
            <w:shd w:val="clear" w:color="auto" w:fill="auto"/>
            <w:hideMark/>
          </w:tcPr>
          <w:p w:rsidR="004E6AC6" w:rsidRDefault="004E6AC6" w:rsidP="004E6AC6">
            <w:pPr>
              <w:spacing w:before="120" w:after="120" w:line="240" w:lineRule="auto"/>
              <w:rPr>
                <w:rFonts w:ascii="Calibri" w:eastAsia="Times New Roman" w:hAnsi="Calibri" w:cs="Times New Roman"/>
                <w:color w:val="000000"/>
                <w:sz w:val="20"/>
                <w:szCs w:val="20"/>
                <w:lang w:eastAsia="ja-JP"/>
              </w:rPr>
            </w:pPr>
            <w:r w:rsidRPr="004002E0">
              <w:rPr>
                <w:rFonts w:ascii="Calibri" w:eastAsia="Times New Roman" w:hAnsi="Calibri" w:cs="Times New Roman"/>
                <w:color w:val="000000"/>
                <w:sz w:val="20"/>
                <w:szCs w:val="20"/>
                <w:lang w:eastAsia="ja-JP"/>
              </w:rPr>
              <w:t>Annual progress report</w:t>
            </w:r>
          </w:p>
        </w:tc>
        <w:tc>
          <w:tcPr>
            <w:tcW w:w="629" w:type="dxa"/>
            <w:tcBorders>
              <w:top w:val="nil"/>
              <w:bottom w:val="nil"/>
            </w:tcBorders>
            <w:shd w:val="clear" w:color="auto" w:fill="auto"/>
            <w:hideMark/>
          </w:tcPr>
          <w:p w:rsidR="004E6AC6" w:rsidRDefault="004E6AC6" w:rsidP="004E6AC6">
            <w:pPr>
              <w:spacing w:before="120" w:after="120" w:line="240" w:lineRule="auto"/>
              <w:jc w:val="center"/>
              <w:rPr>
                <w:rFonts w:ascii="Calibri" w:eastAsia="Times New Roman" w:hAnsi="Calibri" w:cs="Times New Roman"/>
                <w:color w:val="000000"/>
                <w:sz w:val="20"/>
                <w:szCs w:val="20"/>
                <w:lang w:eastAsia="ja-JP"/>
              </w:rPr>
            </w:pPr>
            <w:r>
              <w:rPr>
                <w:rFonts w:ascii="Calibri" w:eastAsia="Times New Roman" w:hAnsi="Calibri" w:cs="Times New Roman"/>
                <w:color w:val="000000"/>
                <w:sz w:val="20"/>
                <w:szCs w:val="20"/>
                <w:lang w:eastAsia="ja-JP"/>
              </w:rPr>
              <w:t>15</w:t>
            </w:r>
          </w:p>
        </w:tc>
        <w:tc>
          <w:tcPr>
            <w:tcW w:w="628" w:type="dxa"/>
            <w:tcBorders>
              <w:top w:val="nil"/>
              <w:bottom w:val="nil"/>
            </w:tcBorders>
            <w:shd w:val="clear" w:color="auto" w:fill="auto"/>
            <w:hideMark/>
          </w:tcPr>
          <w:p w:rsidR="004E6AC6" w:rsidRDefault="004E6AC6" w:rsidP="004E6AC6">
            <w:pPr>
              <w:spacing w:before="120" w:after="120" w:line="240" w:lineRule="auto"/>
              <w:jc w:val="center"/>
              <w:rPr>
                <w:rFonts w:ascii="Calibri" w:eastAsia="Times New Roman" w:hAnsi="Calibri" w:cs="Times New Roman"/>
                <w:color w:val="000000"/>
                <w:sz w:val="20"/>
                <w:szCs w:val="20"/>
                <w:lang w:eastAsia="ja-JP"/>
              </w:rPr>
            </w:pPr>
            <w:r w:rsidRPr="004002E0">
              <w:rPr>
                <w:rFonts w:ascii="Calibri" w:eastAsia="Times New Roman" w:hAnsi="Calibri" w:cs="Times New Roman"/>
                <w:color w:val="000000"/>
                <w:sz w:val="20"/>
                <w:szCs w:val="20"/>
                <w:lang w:eastAsia="ja-JP"/>
              </w:rPr>
              <w:t>1</w:t>
            </w:r>
            <w:r>
              <w:rPr>
                <w:rFonts w:ascii="Calibri" w:eastAsia="Times New Roman" w:hAnsi="Calibri" w:cs="Times New Roman"/>
                <w:color w:val="000000"/>
                <w:sz w:val="20"/>
                <w:szCs w:val="20"/>
                <w:lang w:eastAsia="ja-JP"/>
              </w:rPr>
              <w:t>0</w:t>
            </w:r>
            <w:r w:rsidRPr="004002E0">
              <w:rPr>
                <w:rFonts w:ascii="Calibri" w:eastAsia="Times New Roman" w:hAnsi="Calibri" w:cs="Times New Roman"/>
                <w:color w:val="000000"/>
                <w:sz w:val="20"/>
                <w:szCs w:val="20"/>
                <w:lang w:eastAsia="ja-JP"/>
              </w:rPr>
              <w:t>.0</w:t>
            </w:r>
          </w:p>
        </w:tc>
        <w:tc>
          <w:tcPr>
            <w:tcW w:w="720" w:type="dxa"/>
            <w:tcBorders>
              <w:top w:val="nil"/>
              <w:bottom w:val="nil"/>
            </w:tcBorders>
            <w:shd w:val="clear" w:color="auto" w:fill="auto"/>
            <w:hideMark/>
          </w:tcPr>
          <w:p w:rsidR="004E6AC6" w:rsidRDefault="004E6AC6" w:rsidP="004E6AC6">
            <w:pPr>
              <w:spacing w:before="120" w:after="120" w:line="240" w:lineRule="auto"/>
              <w:jc w:val="center"/>
              <w:rPr>
                <w:rFonts w:ascii="Calibri" w:eastAsia="Times New Roman" w:hAnsi="Calibri" w:cs="Times New Roman"/>
                <w:color w:val="000000"/>
                <w:sz w:val="20"/>
                <w:szCs w:val="20"/>
                <w:lang w:eastAsia="ja-JP"/>
              </w:rPr>
            </w:pPr>
            <w:r w:rsidRPr="004002E0">
              <w:rPr>
                <w:rFonts w:ascii="Calibri" w:eastAsia="Times New Roman" w:hAnsi="Calibri" w:cs="Times New Roman"/>
                <w:color w:val="000000"/>
                <w:sz w:val="20"/>
                <w:szCs w:val="20"/>
                <w:lang w:eastAsia="ja-JP"/>
              </w:rPr>
              <w:t>46.17</w:t>
            </w:r>
          </w:p>
        </w:tc>
        <w:tc>
          <w:tcPr>
            <w:tcW w:w="653" w:type="dxa"/>
            <w:tcBorders>
              <w:top w:val="nil"/>
              <w:bottom w:val="nil"/>
            </w:tcBorders>
            <w:shd w:val="clear" w:color="auto" w:fill="auto"/>
            <w:hideMark/>
          </w:tcPr>
          <w:p w:rsidR="004E6AC6" w:rsidRDefault="00597F67" w:rsidP="004E6AC6">
            <w:pPr>
              <w:spacing w:before="120" w:after="120" w:line="240" w:lineRule="auto"/>
              <w:jc w:val="center"/>
              <w:rPr>
                <w:rFonts w:ascii="Calibri" w:eastAsia="Times New Roman" w:hAnsi="Calibri" w:cs="Times New Roman"/>
                <w:color w:val="000000"/>
                <w:sz w:val="20"/>
                <w:szCs w:val="20"/>
                <w:lang w:eastAsia="ja-JP"/>
              </w:rPr>
            </w:pPr>
            <w:r>
              <w:rPr>
                <w:rFonts w:ascii="Calibri" w:eastAsia="Times New Roman" w:hAnsi="Calibri" w:cs="Times New Roman"/>
                <w:color w:val="000000"/>
                <w:sz w:val="20"/>
                <w:szCs w:val="20"/>
                <w:lang w:eastAsia="ja-JP"/>
              </w:rPr>
              <w:t>150</w:t>
            </w:r>
          </w:p>
        </w:tc>
        <w:tc>
          <w:tcPr>
            <w:tcW w:w="630" w:type="dxa"/>
            <w:tcBorders>
              <w:top w:val="nil"/>
              <w:bottom w:val="nil"/>
            </w:tcBorders>
            <w:shd w:val="clear" w:color="auto" w:fill="auto"/>
            <w:noWrap/>
            <w:hideMark/>
          </w:tcPr>
          <w:p w:rsidR="004E6AC6" w:rsidRDefault="004E6AC6" w:rsidP="004E6AC6">
            <w:pPr>
              <w:spacing w:before="120" w:after="120" w:line="240" w:lineRule="auto"/>
              <w:jc w:val="center"/>
              <w:rPr>
                <w:rFonts w:ascii="Calibri" w:eastAsia="Times New Roman" w:hAnsi="Calibri" w:cs="Times New Roman"/>
                <w:color w:val="000000"/>
                <w:sz w:val="20"/>
                <w:szCs w:val="20"/>
                <w:lang w:eastAsia="ja-JP"/>
              </w:rPr>
            </w:pPr>
            <w:r w:rsidRPr="004002E0">
              <w:rPr>
                <w:rFonts w:ascii="Calibri" w:eastAsia="Times New Roman" w:hAnsi="Calibri" w:cs="Times New Roman"/>
                <w:color w:val="000000"/>
                <w:sz w:val="20"/>
                <w:szCs w:val="20"/>
                <w:lang w:eastAsia="ja-JP"/>
              </w:rPr>
              <w:t>3</w:t>
            </w:r>
          </w:p>
        </w:tc>
        <w:tc>
          <w:tcPr>
            <w:tcW w:w="720" w:type="dxa"/>
            <w:tcBorders>
              <w:top w:val="nil"/>
              <w:bottom w:val="nil"/>
            </w:tcBorders>
            <w:shd w:val="clear" w:color="auto" w:fill="auto"/>
          </w:tcPr>
          <w:p w:rsidR="004E6AC6" w:rsidRDefault="00062CE9" w:rsidP="004E6AC6">
            <w:pPr>
              <w:spacing w:before="120" w:after="120" w:line="240" w:lineRule="auto"/>
              <w:jc w:val="center"/>
              <w:rPr>
                <w:rFonts w:ascii="Calibri" w:eastAsia="Times New Roman" w:hAnsi="Calibri" w:cs="Times New Roman"/>
                <w:color w:val="000000"/>
                <w:sz w:val="20"/>
                <w:szCs w:val="20"/>
                <w:lang w:eastAsia="ja-JP"/>
              </w:rPr>
            </w:pPr>
            <w:r>
              <w:rPr>
                <w:rFonts w:ascii="Calibri" w:eastAsia="Times New Roman" w:hAnsi="Calibri" w:cs="Times New Roman"/>
                <w:color w:val="000000"/>
                <w:sz w:val="20"/>
                <w:szCs w:val="20"/>
                <w:lang w:eastAsia="ja-JP"/>
              </w:rPr>
              <w:t>45</w:t>
            </w:r>
          </w:p>
        </w:tc>
        <w:tc>
          <w:tcPr>
            <w:tcW w:w="787" w:type="dxa"/>
            <w:tcBorders>
              <w:top w:val="nil"/>
              <w:bottom w:val="nil"/>
            </w:tcBorders>
            <w:shd w:val="clear" w:color="auto" w:fill="auto"/>
            <w:hideMark/>
          </w:tcPr>
          <w:p w:rsidR="004E6AC6" w:rsidRDefault="00062CE9" w:rsidP="004E6AC6">
            <w:pPr>
              <w:spacing w:before="120" w:after="120" w:line="240" w:lineRule="auto"/>
              <w:jc w:val="right"/>
              <w:rPr>
                <w:rFonts w:ascii="Calibri" w:eastAsia="Times New Roman" w:hAnsi="Calibri" w:cs="Times New Roman"/>
                <w:color w:val="000000"/>
                <w:sz w:val="20"/>
                <w:szCs w:val="20"/>
                <w:lang w:eastAsia="ja-JP"/>
              </w:rPr>
            </w:pPr>
            <w:r>
              <w:rPr>
                <w:rFonts w:ascii="Calibri" w:eastAsia="Times New Roman" w:hAnsi="Calibri" w:cs="Times New Roman"/>
                <w:color w:val="000000"/>
                <w:sz w:val="20"/>
                <w:szCs w:val="20"/>
                <w:lang w:eastAsia="ja-JP"/>
              </w:rPr>
              <w:t>450</w:t>
            </w:r>
            <w:r w:rsidR="004E6AC6" w:rsidRPr="004002E0">
              <w:rPr>
                <w:rFonts w:ascii="Calibri" w:eastAsia="Times New Roman" w:hAnsi="Calibri" w:cs="Times New Roman"/>
                <w:color w:val="000000"/>
                <w:sz w:val="20"/>
                <w:szCs w:val="20"/>
                <w:lang w:eastAsia="ja-JP"/>
              </w:rPr>
              <w:t>.0</w:t>
            </w:r>
          </w:p>
        </w:tc>
        <w:tc>
          <w:tcPr>
            <w:tcW w:w="1080" w:type="dxa"/>
            <w:tcBorders>
              <w:top w:val="nil"/>
              <w:bottom w:val="nil"/>
            </w:tcBorders>
            <w:shd w:val="clear" w:color="auto" w:fill="auto"/>
            <w:noWrap/>
            <w:hideMark/>
          </w:tcPr>
          <w:p w:rsidR="004E6AC6" w:rsidRPr="00F927B7" w:rsidRDefault="00062CE9" w:rsidP="00062CE9">
            <w:pPr>
              <w:spacing w:before="120" w:after="120" w:line="240" w:lineRule="auto"/>
              <w:jc w:val="right"/>
              <w:rPr>
                <w:rFonts w:ascii="Calibri" w:eastAsia="Times New Roman" w:hAnsi="Calibri" w:cs="Times New Roman"/>
                <w:color w:val="000000"/>
                <w:sz w:val="20"/>
                <w:szCs w:val="20"/>
                <w:lang w:eastAsia="ja-JP"/>
              </w:rPr>
            </w:pPr>
            <w:r>
              <w:rPr>
                <w:rFonts w:ascii="Calibri" w:eastAsia="Times New Roman" w:hAnsi="Calibri" w:cs="Times New Roman"/>
                <w:color w:val="000000"/>
                <w:sz w:val="20"/>
                <w:szCs w:val="20"/>
                <w:lang w:eastAsia="ja-JP"/>
              </w:rPr>
              <w:t>20,776.50</w:t>
            </w:r>
          </w:p>
        </w:tc>
        <w:tc>
          <w:tcPr>
            <w:tcW w:w="596" w:type="dxa"/>
            <w:tcBorders>
              <w:top w:val="nil"/>
              <w:bottom w:val="nil"/>
            </w:tcBorders>
          </w:tcPr>
          <w:p w:rsidR="004E6AC6" w:rsidRPr="000A1657" w:rsidRDefault="00062CE9" w:rsidP="004E6AC6">
            <w:pPr>
              <w:spacing w:before="120" w:after="120" w:line="240" w:lineRule="auto"/>
              <w:jc w:val="right"/>
              <w:rPr>
                <w:rFonts w:ascii="Calibri" w:eastAsia="Times New Roman" w:hAnsi="Calibri" w:cs="Times New Roman"/>
                <w:color w:val="000000"/>
                <w:sz w:val="20"/>
                <w:szCs w:val="20"/>
                <w:lang w:eastAsia="ja-JP"/>
              </w:rPr>
            </w:pPr>
            <w:r>
              <w:rPr>
                <w:rFonts w:ascii="Calibri" w:eastAsia="Times New Roman" w:hAnsi="Calibri" w:cs="Times New Roman"/>
                <w:color w:val="000000"/>
                <w:sz w:val="20"/>
                <w:szCs w:val="20"/>
                <w:lang w:eastAsia="ja-JP"/>
              </w:rPr>
              <w:t>15</w:t>
            </w:r>
          </w:p>
        </w:tc>
        <w:tc>
          <w:tcPr>
            <w:tcW w:w="720" w:type="dxa"/>
            <w:tcBorders>
              <w:top w:val="nil"/>
              <w:bottom w:val="nil"/>
            </w:tcBorders>
            <w:shd w:val="clear" w:color="auto" w:fill="auto"/>
            <w:hideMark/>
          </w:tcPr>
          <w:p w:rsidR="004E6AC6" w:rsidRDefault="00062CE9" w:rsidP="004E6AC6">
            <w:pPr>
              <w:spacing w:before="120" w:after="120" w:line="240" w:lineRule="auto"/>
              <w:jc w:val="right"/>
              <w:rPr>
                <w:rFonts w:ascii="Calibri" w:eastAsia="Times New Roman" w:hAnsi="Calibri" w:cs="Times New Roman"/>
                <w:color w:val="000000"/>
                <w:sz w:val="20"/>
                <w:szCs w:val="20"/>
                <w:lang w:eastAsia="ja-JP"/>
              </w:rPr>
            </w:pPr>
            <w:r>
              <w:rPr>
                <w:rFonts w:ascii="Calibri" w:eastAsia="Times New Roman" w:hAnsi="Calibri" w:cs="Times New Roman"/>
                <w:color w:val="000000"/>
                <w:sz w:val="20"/>
                <w:szCs w:val="20"/>
                <w:lang w:eastAsia="ja-JP"/>
              </w:rPr>
              <w:t>150</w:t>
            </w:r>
            <w:r w:rsidR="004E6AC6" w:rsidRPr="004002E0">
              <w:rPr>
                <w:rFonts w:ascii="Calibri" w:eastAsia="Times New Roman" w:hAnsi="Calibri" w:cs="Times New Roman"/>
                <w:color w:val="000000"/>
                <w:sz w:val="20"/>
                <w:szCs w:val="20"/>
                <w:lang w:eastAsia="ja-JP"/>
              </w:rPr>
              <w:t>.0</w:t>
            </w:r>
          </w:p>
        </w:tc>
        <w:tc>
          <w:tcPr>
            <w:tcW w:w="934" w:type="dxa"/>
            <w:tcBorders>
              <w:top w:val="nil"/>
              <w:bottom w:val="nil"/>
            </w:tcBorders>
            <w:noWrap/>
            <w:hideMark/>
          </w:tcPr>
          <w:p w:rsidR="004E6AC6" w:rsidRPr="00F927B7" w:rsidRDefault="00062CE9" w:rsidP="004E6AC6">
            <w:pPr>
              <w:spacing w:before="120" w:after="120" w:line="240" w:lineRule="auto"/>
              <w:jc w:val="right"/>
              <w:rPr>
                <w:rFonts w:ascii="Calibri" w:eastAsia="Times New Roman" w:hAnsi="Calibri" w:cs="Times New Roman"/>
                <w:color w:val="000000"/>
                <w:sz w:val="20"/>
                <w:szCs w:val="20"/>
                <w:lang w:eastAsia="ja-JP"/>
              </w:rPr>
            </w:pPr>
            <w:r>
              <w:rPr>
                <w:rFonts w:ascii="Calibri" w:eastAsia="Times New Roman" w:hAnsi="Calibri" w:cs="Times New Roman"/>
                <w:color w:val="000000"/>
                <w:sz w:val="20"/>
                <w:szCs w:val="20"/>
                <w:lang w:eastAsia="ja-JP"/>
              </w:rPr>
              <w:t>6,925.50</w:t>
            </w:r>
            <w:r w:rsidR="004E6AC6" w:rsidRPr="00F927B7">
              <w:rPr>
                <w:rFonts w:ascii="Calibri" w:eastAsia="Times New Roman" w:hAnsi="Calibri" w:cs="Times New Roman"/>
                <w:color w:val="000000"/>
                <w:sz w:val="20"/>
                <w:szCs w:val="20"/>
                <w:lang w:eastAsia="ja-JP"/>
              </w:rPr>
              <w:t xml:space="preserve"> </w:t>
            </w:r>
          </w:p>
        </w:tc>
      </w:tr>
      <w:tr w:rsidR="004E6AC6" w:rsidRPr="00F927B7" w:rsidTr="008C68FE">
        <w:trPr>
          <w:trHeight w:val="300"/>
        </w:trPr>
        <w:tc>
          <w:tcPr>
            <w:tcW w:w="1803" w:type="dxa"/>
            <w:tcBorders>
              <w:top w:val="nil"/>
            </w:tcBorders>
            <w:shd w:val="clear" w:color="auto" w:fill="auto"/>
            <w:hideMark/>
          </w:tcPr>
          <w:p w:rsidR="004E6AC6" w:rsidRDefault="004E6AC6" w:rsidP="004E6AC6">
            <w:pPr>
              <w:spacing w:before="120" w:after="120" w:line="240" w:lineRule="auto"/>
              <w:rPr>
                <w:rFonts w:ascii="Calibri" w:eastAsia="Times New Roman" w:hAnsi="Calibri" w:cs="Times New Roman"/>
                <w:color w:val="000000"/>
                <w:sz w:val="20"/>
                <w:szCs w:val="20"/>
                <w:lang w:eastAsia="ja-JP"/>
              </w:rPr>
            </w:pPr>
            <w:r w:rsidRPr="004002E0">
              <w:rPr>
                <w:rFonts w:ascii="Calibri" w:eastAsia="Times New Roman" w:hAnsi="Calibri" w:cs="Times New Roman"/>
                <w:color w:val="000000"/>
                <w:sz w:val="20"/>
                <w:szCs w:val="20"/>
                <w:lang w:eastAsia="ja-JP"/>
              </w:rPr>
              <w:t>Total</w:t>
            </w:r>
          </w:p>
        </w:tc>
        <w:tc>
          <w:tcPr>
            <w:tcW w:w="629" w:type="dxa"/>
            <w:tcBorders>
              <w:top w:val="nil"/>
            </w:tcBorders>
            <w:shd w:val="clear" w:color="auto" w:fill="auto"/>
            <w:noWrap/>
            <w:hideMark/>
          </w:tcPr>
          <w:p w:rsidR="004E6AC6" w:rsidRDefault="004E6AC6" w:rsidP="004E6AC6">
            <w:pPr>
              <w:spacing w:before="120" w:after="120" w:line="240" w:lineRule="auto"/>
              <w:jc w:val="right"/>
              <w:rPr>
                <w:rFonts w:ascii="Calibri" w:eastAsia="Times New Roman" w:hAnsi="Calibri" w:cs="Times New Roman"/>
                <w:color w:val="000000"/>
                <w:sz w:val="20"/>
                <w:szCs w:val="20"/>
                <w:lang w:eastAsia="ja-JP"/>
              </w:rPr>
            </w:pPr>
          </w:p>
        </w:tc>
        <w:tc>
          <w:tcPr>
            <w:tcW w:w="628" w:type="dxa"/>
            <w:tcBorders>
              <w:top w:val="nil"/>
            </w:tcBorders>
            <w:shd w:val="clear" w:color="auto" w:fill="auto"/>
            <w:noWrap/>
            <w:hideMark/>
          </w:tcPr>
          <w:p w:rsidR="004E6AC6" w:rsidRDefault="004E6AC6" w:rsidP="004E6AC6">
            <w:pPr>
              <w:spacing w:before="120" w:after="120" w:line="240" w:lineRule="auto"/>
              <w:jc w:val="right"/>
              <w:rPr>
                <w:rFonts w:ascii="Calibri" w:eastAsia="Times New Roman" w:hAnsi="Calibri" w:cs="Times New Roman"/>
                <w:color w:val="000000"/>
                <w:sz w:val="20"/>
                <w:szCs w:val="20"/>
                <w:lang w:eastAsia="ja-JP"/>
              </w:rPr>
            </w:pPr>
          </w:p>
        </w:tc>
        <w:tc>
          <w:tcPr>
            <w:tcW w:w="720" w:type="dxa"/>
            <w:tcBorders>
              <w:top w:val="nil"/>
            </w:tcBorders>
            <w:shd w:val="clear" w:color="auto" w:fill="auto"/>
            <w:noWrap/>
            <w:hideMark/>
          </w:tcPr>
          <w:p w:rsidR="004E6AC6" w:rsidRDefault="004E6AC6" w:rsidP="004E6AC6">
            <w:pPr>
              <w:spacing w:before="120" w:after="120" w:line="240" w:lineRule="auto"/>
              <w:jc w:val="right"/>
              <w:rPr>
                <w:rFonts w:ascii="Calibri" w:eastAsia="Times New Roman" w:hAnsi="Calibri" w:cs="Times New Roman"/>
                <w:color w:val="000000"/>
                <w:sz w:val="20"/>
                <w:szCs w:val="20"/>
                <w:lang w:eastAsia="ja-JP"/>
              </w:rPr>
            </w:pPr>
          </w:p>
        </w:tc>
        <w:tc>
          <w:tcPr>
            <w:tcW w:w="653" w:type="dxa"/>
            <w:tcBorders>
              <w:top w:val="nil"/>
            </w:tcBorders>
            <w:shd w:val="clear" w:color="auto" w:fill="auto"/>
            <w:noWrap/>
            <w:hideMark/>
          </w:tcPr>
          <w:p w:rsidR="004E6AC6" w:rsidRDefault="004E6AC6" w:rsidP="004E6AC6">
            <w:pPr>
              <w:spacing w:before="120" w:after="120" w:line="240" w:lineRule="auto"/>
              <w:jc w:val="right"/>
              <w:rPr>
                <w:rFonts w:ascii="Calibri" w:eastAsia="Times New Roman" w:hAnsi="Calibri" w:cs="Times New Roman"/>
                <w:color w:val="000000"/>
                <w:sz w:val="20"/>
                <w:szCs w:val="20"/>
                <w:lang w:eastAsia="ja-JP"/>
              </w:rPr>
            </w:pPr>
          </w:p>
        </w:tc>
        <w:tc>
          <w:tcPr>
            <w:tcW w:w="630" w:type="dxa"/>
            <w:tcBorders>
              <w:top w:val="nil"/>
            </w:tcBorders>
            <w:shd w:val="clear" w:color="auto" w:fill="auto"/>
            <w:noWrap/>
            <w:hideMark/>
          </w:tcPr>
          <w:p w:rsidR="004E6AC6" w:rsidRDefault="004E6AC6" w:rsidP="004E6AC6">
            <w:pPr>
              <w:spacing w:before="120" w:after="120" w:line="240" w:lineRule="auto"/>
              <w:jc w:val="right"/>
              <w:rPr>
                <w:rFonts w:ascii="Calibri" w:eastAsia="Times New Roman" w:hAnsi="Calibri" w:cs="Times New Roman"/>
                <w:color w:val="000000"/>
                <w:sz w:val="20"/>
                <w:szCs w:val="20"/>
                <w:lang w:eastAsia="ja-JP"/>
              </w:rPr>
            </w:pPr>
          </w:p>
        </w:tc>
        <w:tc>
          <w:tcPr>
            <w:tcW w:w="720" w:type="dxa"/>
            <w:tcBorders>
              <w:top w:val="nil"/>
            </w:tcBorders>
            <w:shd w:val="clear" w:color="auto" w:fill="auto"/>
          </w:tcPr>
          <w:p w:rsidR="004E6AC6" w:rsidRDefault="00062CE9" w:rsidP="003951C1">
            <w:pPr>
              <w:spacing w:before="120" w:after="120" w:line="240" w:lineRule="auto"/>
              <w:jc w:val="center"/>
              <w:rPr>
                <w:rFonts w:ascii="Calibri" w:eastAsia="Times New Roman" w:hAnsi="Calibri" w:cs="Times New Roman"/>
                <w:color w:val="000000"/>
                <w:sz w:val="20"/>
                <w:szCs w:val="20"/>
                <w:lang w:eastAsia="ja-JP"/>
              </w:rPr>
            </w:pPr>
            <w:r>
              <w:rPr>
                <w:rFonts w:ascii="Calibri" w:eastAsia="Times New Roman" w:hAnsi="Calibri" w:cs="Times New Roman"/>
                <w:color w:val="000000"/>
                <w:sz w:val="20"/>
                <w:szCs w:val="20"/>
                <w:lang w:eastAsia="ja-JP"/>
              </w:rPr>
              <w:t>7</w:t>
            </w:r>
            <w:r w:rsidR="003951C1">
              <w:rPr>
                <w:rFonts w:ascii="Calibri" w:eastAsia="Times New Roman" w:hAnsi="Calibri" w:cs="Times New Roman"/>
                <w:color w:val="000000"/>
                <w:sz w:val="20"/>
                <w:szCs w:val="20"/>
                <w:lang w:eastAsia="ja-JP"/>
              </w:rPr>
              <w:t>0</w:t>
            </w:r>
          </w:p>
        </w:tc>
        <w:tc>
          <w:tcPr>
            <w:tcW w:w="787" w:type="dxa"/>
            <w:tcBorders>
              <w:top w:val="nil"/>
            </w:tcBorders>
            <w:shd w:val="clear" w:color="auto" w:fill="auto"/>
            <w:noWrap/>
            <w:hideMark/>
          </w:tcPr>
          <w:p w:rsidR="004E6AC6" w:rsidRDefault="00062CE9" w:rsidP="004E6AC6">
            <w:pPr>
              <w:spacing w:before="120" w:after="120" w:line="240" w:lineRule="auto"/>
              <w:jc w:val="right"/>
              <w:rPr>
                <w:rFonts w:ascii="Calibri" w:eastAsia="Times New Roman" w:hAnsi="Calibri" w:cs="Times New Roman"/>
                <w:color w:val="000000"/>
                <w:sz w:val="20"/>
                <w:szCs w:val="20"/>
                <w:lang w:eastAsia="ja-JP"/>
              </w:rPr>
            </w:pPr>
            <w:r>
              <w:rPr>
                <w:rFonts w:ascii="Calibri" w:eastAsia="Times New Roman" w:hAnsi="Calibri" w:cs="Times New Roman"/>
                <w:color w:val="000000"/>
                <w:sz w:val="20"/>
                <w:szCs w:val="20"/>
                <w:lang w:eastAsia="ja-JP"/>
              </w:rPr>
              <w:t>505</w:t>
            </w:r>
            <w:r w:rsidR="004E6AC6">
              <w:rPr>
                <w:rFonts w:ascii="Calibri" w:eastAsia="Times New Roman" w:hAnsi="Calibri" w:cs="Times New Roman"/>
                <w:color w:val="000000"/>
                <w:sz w:val="20"/>
                <w:szCs w:val="20"/>
                <w:lang w:eastAsia="ja-JP"/>
              </w:rPr>
              <w:t>.0</w:t>
            </w:r>
          </w:p>
        </w:tc>
        <w:tc>
          <w:tcPr>
            <w:tcW w:w="1080" w:type="dxa"/>
            <w:tcBorders>
              <w:top w:val="nil"/>
            </w:tcBorders>
            <w:shd w:val="clear" w:color="auto" w:fill="auto"/>
            <w:noWrap/>
            <w:hideMark/>
          </w:tcPr>
          <w:p w:rsidR="004E6AC6" w:rsidRPr="00F927B7" w:rsidRDefault="00062CE9" w:rsidP="004E6AC6">
            <w:pPr>
              <w:spacing w:before="120" w:after="120" w:line="240" w:lineRule="auto"/>
              <w:jc w:val="right"/>
              <w:rPr>
                <w:rFonts w:ascii="Calibri" w:eastAsia="Times New Roman" w:hAnsi="Calibri" w:cs="Times New Roman"/>
                <w:color w:val="000000"/>
                <w:sz w:val="20"/>
                <w:szCs w:val="20"/>
                <w:lang w:eastAsia="ja-JP"/>
              </w:rPr>
            </w:pPr>
            <w:r>
              <w:rPr>
                <w:rFonts w:ascii="Calibri" w:eastAsia="Times New Roman" w:hAnsi="Calibri" w:cs="Times New Roman"/>
                <w:color w:val="000000"/>
                <w:sz w:val="20"/>
                <w:szCs w:val="20"/>
                <w:lang w:eastAsia="ja-JP"/>
              </w:rPr>
              <w:t>23,315.85</w:t>
            </w:r>
            <w:r w:rsidR="004E6AC6" w:rsidRPr="00F927B7">
              <w:rPr>
                <w:rFonts w:ascii="Calibri" w:eastAsia="Times New Roman" w:hAnsi="Calibri" w:cs="Times New Roman"/>
                <w:color w:val="000000"/>
                <w:sz w:val="20"/>
                <w:szCs w:val="20"/>
                <w:lang w:eastAsia="ja-JP"/>
              </w:rPr>
              <w:t xml:space="preserve"> </w:t>
            </w:r>
          </w:p>
        </w:tc>
        <w:tc>
          <w:tcPr>
            <w:tcW w:w="596" w:type="dxa"/>
            <w:tcBorders>
              <w:top w:val="nil"/>
            </w:tcBorders>
          </w:tcPr>
          <w:p w:rsidR="004E6AC6" w:rsidRPr="000A1657" w:rsidRDefault="004A465E" w:rsidP="004E6AC6">
            <w:pPr>
              <w:spacing w:before="120" w:after="120" w:line="240" w:lineRule="auto"/>
              <w:jc w:val="right"/>
              <w:rPr>
                <w:rFonts w:ascii="Calibri" w:eastAsia="Times New Roman" w:hAnsi="Calibri" w:cs="Times New Roman"/>
                <w:color w:val="000000"/>
                <w:sz w:val="20"/>
                <w:szCs w:val="20"/>
                <w:lang w:eastAsia="ja-JP"/>
              </w:rPr>
            </w:pPr>
            <w:r>
              <w:rPr>
                <w:rFonts w:ascii="Calibri" w:eastAsia="Times New Roman" w:hAnsi="Calibri" w:cs="Times New Roman"/>
                <w:color w:val="000000"/>
                <w:sz w:val="20"/>
                <w:szCs w:val="20"/>
                <w:lang w:eastAsia="ja-JP"/>
              </w:rPr>
              <w:t>23.3</w:t>
            </w:r>
          </w:p>
        </w:tc>
        <w:tc>
          <w:tcPr>
            <w:tcW w:w="720" w:type="dxa"/>
            <w:tcBorders>
              <w:top w:val="nil"/>
            </w:tcBorders>
            <w:shd w:val="clear" w:color="auto" w:fill="auto"/>
            <w:noWrap/>
            <w:hideMark/>
          </w:tcPr>
          <w:p w:rsidR="004E6AC6" w:rsidRDefault="00062CE9" w:rsidP="00A74DF9">
            <w:pPr>
              <w:spacing w:before="120" w:after="120" w:line="240" w:lineRule="auto"/>
              <w:jc w:val="right"/>
              <w:rPr>
                <w:rFonts w:ascii="Calibri" w:eastAsia="Times New Roman" w:hAnsi="Calibri" w:cs="Times New Roman"/>
                <w:color w:val="000000"/>
                <w:sz w:val="20"/>
                <w:szCs w:val="20"/>
                <w:lang w:eastAsia="ja-JP"/>
              </w:rPr>
            </w:pPr>
            <w:r>
              <w:rPr>
                <w:rFonts w:ascii="Calibri" w:eastAsia="Times New Roman" w:hAnsi="Calibri" w:cs="Times New Roman"/>
                <w:color w:val="000000"/>
                <w:sz w:val="20"/>
                <w:szCs w:val="20"/>
                <w:lang w:eastAsia="ja-JP"/>
              </w:rPr>
              <w:t>16</w:t>
            </w:r>
            <w:r w:rsidR="00A74DF9">
              <w:rPr>
                <w:rFonts w:ascii="Calibri" w:eastAsia="Times New Roman" w:hAnsi="Calibri" w:cs="Times New Roman"/>
                <w:color w:val="000000"/>
                <w:sz w:val="20"/>
                <w:szCs w:val="20"/>
                <w:lang w:eastAsia="ja-JP"/>
              </w:rPr>
              <w:t>8</w:t>
            </w:r>
            <w:r>
              <w:rPr>
                <w:rFonts w:ascii="Calibri" w:eastAsia="Times New Roman" w:hAnsi="Calibri" w:cs="Times New Roman"/>
                <w:color w:val="000000"/>
                <w:sz w:val="20"/>
                <w:szCs w:val="20"/>
                <w:lang w:eastAsia="ja-JP"/>
              </w:rPr>
              <w:t>.3</w:t>
            </w:r>
          </w:p>
        </w:tc>
        <w:tc>
          <w:tcPr>
            <w:tcW w:w="934" w:type="dxa"/>
            <w:tcBorders>
              <w:top w:val="nil"/>
            </w:tcBorders>
            <w:noWrap/>
            <w:hideMark/>
          </w:tcPr>
          <w:p w:rsidR="004E6AC6" w:rsidRPr="00F927B7" w:rsidRDefault="00062CE9" w:rsidP="004E6AC6">
            <w:pPr>
              <w:spacing w:before="120" w:after="120" w:line="240" w:lineRule="auto"/>
              <w:jc w:val="right"/>
              <w:rPr>
                <w:rFonts w:ascii="Calibri" w:eastAsia="Times New Roman" w:hAnsi="Calibri" w:cs="Times New Roman"/>
                <w:color w:val="000000"/>
                <w:sz w:val="20"/>
                <w:szCs w:val="20"/>
                <w:lang w:eastAsia="ja-JP"/>
              </w:rPr>
            </w:pPr>
            <w:r>
              <w:rPr>
                <w:rFonts w:ascii="Calibri" w:eastAsia="Times New Roman" w:hAnsi="Calibri" w:cs="Times New Roman"/>
                <w:color w:val="000000"/>
                <w:sz w:val="20"/>
                <w:szCs w:val="20"/>
                <w:lang w:eastAsia="ja-JP"/>
              </w:rPr>
              <w:t>7</w:t>
            </w:r>
            <w:r w:rsidR="00CB20A4">
              <w:rPr>
                <w:rFonts w:ascii="Calibri" w:eastAsia="Times New Roman" w:hAnsi="Calibri" w:cs="Times New Roman"/>
                <w:color w:val="000000"/>
                <w:sz w:val="20"/>
                <w:szCs w:val="20"/>
                <w:lang w:eastAsia="ja-JP"/>
              </w:rPr>
              <w:t>,</w:t>
            </w:r>
            <w:r>
              <w:rPr>
                <w:rFonts w:ascii="Calibri" w:eastAsia="Times New Roman" w:hAnsi="Calibri" w:cs="Times New Roman"/>
                <w:color w:val="000000"/>
                <w:sz w:val="20"/>
                <w:szCs w:val="20"/>
                <w:lang w:eastAsia="ja-JP"/>
              </w:rPr>
              <w:t>771.95</w:t>
            </w:r>
          </w:p>
        </w:tc>
      </w:tr>
    </w:tbl>
    <w:p w:rsidR="004E6AC6" w:rsidRDefault="004E6AC6" w:rsidP="00E11506">
      <w:pPr>
        <w:spacing w:after="0" w:line="240" w:lineRule="auto"/>
        <w:rPr>
          <w:rFonts w:eastAsia="Times New Roman" w:cs="Times New Roman"/>
          <w:color w:val="000000"/>
          <w:lang w:bidi="lo-LA"/>
        </w:rPr>
      </w:pPr>
    </w:p>
    <w:p w:rsidR="004E0604" w:rsidRDefault="004E0604">
      <w:pPr>
        <w:spacing w:after="0" w:line="240" w:lineRule="auto"/>
        <w:rPr>
          <w:rFonts w:eastAsia="Times New Roman" w:cs="Times New Roman"/>
          <w:color w:val="000000"/>
          <w:lang w:bidi="lo-LA"/>
        </w:rPr>
      </w:pPr>
    </w:p>
    <w:p w:rsidR="004E0604" w:rsidRDefault="004E0604">
      <w:pPr>
        <w:spacing w:after="0" w:line="240" w:lineRule="auto"/>
        <w:rPr>
          <w:rFonts w:eastAsia="Times New Roman" w:cs="Times New Roman"/>
          <w:color w:val="000000"/>
          <w:lang w:bidi="lo-LA"/>
        </w:rPr>
      </w:pP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3"/>
        <w:gridCol w:w="629"/>
        <w:gridCol w:w="629"/>
        <w:gridCol w:w="719"/>
        <w:gridCol w:w="653"/>
        <w:gridCol w:w="630"/>
        <w:gridCol w:w="720"/>
        <w:gridCol w:w="787"/>
        <w:gridCol w:w="1046"/>
        <w:gridCol w:w="630"/>
        <w:gridCol w:w="720"/>
        <w:gridCol w:w="934"/>
      </w:tblGrid>
      <w:tr w:rsidR="00516C37" w:rsidRPr="00A92551" w:rsidTr="003951C1">
        <w:trPr>
          <w:trHeight w:val="300"/>
          <w:tblHeader/>
        </w:trPr>
        <w:tc>
          <w:tcPr>
            <w:tcW w:w="9900" w:type="dxa"/>
            <w:gridSpan w:val="12"/>
            <w:tcBorders>
              <w:top w:val="nil"/>
              <w:left w:val="nil"/>
              <w:bottom w:val="single" w:sz="4" w:space="0" w:color="auto"/>
              <w:right w:val="nil"/>
            </w:tcBorders>
            <w:shd w:val="clear" w:color="auto" w:fill="auto"/>
            <w:noWrap/>
            <w:vAlign w:val="bottom"/>
            <w:hideMark/>
          </w:tcPr>
          <w:p w:rsidR="00516C37" w:rsidRDefault="007E5A77" w:rsidP="004E6AC6">
            <w:pPr>
              <w:spacing w:after="0" w:line="240" w:lineRule="auto"/>
              <w:rPr>
                <w:rFonts w:ascii="Calibri" w:eastAsia="Times New Roman" w:hAnsi="Calibri" w:cs="Times New Roman"/>
                <w:b/>
                <w:bCs/>
                <w:color w:val="000000"/>
                <w:sz w:val="20"/>
                <w:szCs w:val="20"/>
                <w:lang w:eastAsia="ja-JP"/>
              </w:rPr>
            </w:pPr>
            <w:r>
              <w:rPr>
                <w:rFonts w:eastAsia="Times New Roman" w:cs="Times New Roman"/>
                <w:color w:val="000000"/>
                <w:lang w:bidi="lo-LA"/>
              </w:rPr>
              <w:br w:type="page"/>
            </w:r>
            <w:r w:rsidR="00516C37">
              <w:rPr>
                <w:rFonts w:eastAsia="Times New Roman" w:cs="Times New Roman"/>
                <w:b/>
                <w:bCs/>
                <w:color w:val="000000"/>
                <w:sz w:val="21"/>
                <w:szCs w:val="21"/>
                <w:lang w:bidi="lo-LA"/>
              </w:rPr>
              <w:t xml:space="preserve">Table </w:t>
            </w:r>
            <w:r w:rsidR="004E6AC6">
              <w:rPr>
                <w:rFonts w:eastAsia="Times New Roman" w:cs="Times New Roman"/>
                <w:b/>
                <w:bCs/>
                <w:color w:val="000000"/>
                <w:sz w:val="21"/>
                <w:szCs w:val="21"/>
                <w:lang w:bidi="lo-LA"/>
              </w:rPr>
              <w:t>3</w:t>
            </w:r>
            <w:r w:rsidR="00516C37">
              <w:rPr>
                <w:rFonts w:eastAsia="Times New Roman" w:cs="Times New Roman"/>
                <w:b/>
                <w:bCs/>
                <w:color w:val="000000"/>
                <w:sz w:val="21"/>
                <w:szCs w:val="21"/>
                <w:lang w:bidi="lo-LA"/>
              </w:rPr>
              <w:t>:</w:t>
            </w:r>
            <w:r w:rsidR="00E11506">
              <w:rPr>
                <w:rFonts w:eastAsia="Times New Roman" w:cs="Times New Roman"/>
                <w:b/>
                <w:bCs/>
                <w:color w:val="000000"/>
                <w:sz w:val="21"/>
                <w:szCs w:val="21"/>
                <w:lang w:bidi="lo-LA"/>
              </w:rPr>
              <w:t xml:space="preserve"> </w:t>
            </w:r>
            <w:r w:rsidR="00516C37">
              <w:rPr>
                <w:rFonts w:eastAsia="Times New Roman" w:cs="Times New Roman"/>
                <w:b/>
                <w:bCs/>
                <w:color w:val="000000"/>
                <w:sz w:val="21"/>
                <w:szCs w:val="21"/>
                <w:lang w:bidi="lo-LA"/>
              </w:rPr>
              <w:t>Estimation of hour and cost burden over the three year data collection period</w:t>
            </w:r>
            <w:r w:rsidR="004E6AC6">
              <w:rPr>
                <w:rFonts w:eastAsia="Times New Roman" w:cs="Times New Roman"/>
                <w:b/>
                <w:bCs/>
                <w:color w:val="000000"/>
                <w:sz w:val="21"/>
                <w:szCs w:val="21"/>
                <w:lang w:bidi="lo-LA"/>
              </w:rPr>
              <w:t xml:space="preserve"> for public sector hospitals</w:t>
            </w:r>
          </w:p>
        </w:tc>
      </w:tr>
      <w:tr w:rsidR="00516C37" w:rsidRPr="00A92551" w:rsidTr="003951C1">
        <w:trPr>
          <w:trHeight w:val="300"/>
          <w:tblHeader/>
        </w:trPr>
        <w:tc>
          <w:tcPr>
            <w:tcW w:w="1803" w:type="dxa"/>
            <w:tcBorders>
              <w:top w:val="single" w:sz="4" w:space="0" w:color="auto"/>
              <w:bottom w:val="nil"/>
            </w:tcBorders>
            <w:shd w:val="clear" w:color="auto" w:fill="D9D9D9" w:themeFill="background1" w:themeFillShade="D9"/>
            <w:noWrap/>
            <w:vAlign w:val="bottom"/>
            <w:hideMark/>
          </w:tcPr>
          <w:p w:rsidR="00516C37" w:rsidRPr="00A92551" w:rsidRDefault="00516C37" w:rsidP="00904B61">
            <w:pPr>
              <w:spacing w:after="0" w:line="240" w:lineRule="auto"/>
              <w:rPr>
                <w:rFonts w:ascii="Calibri" w:eastAsia="Times New Roman" w:hAnsi="Calibri" w:cs="Times New Roman"/>
                <w:color w:val="000000"/>
                <w:sz w:val="20"/>
                <w:szCs w:val="20"/>
                <w:lang w:eastAsia="ja-JP"/>
              </w:rPr>
            </w:pPr>
          </w:p>
        </w:tc>
        <w:tc>
          <w:tcPr>
            <w:tcW w:w="629" w:type="dxa"/>
            <w:tcBorders>
              <w:top w:val="single" w:sz="4" w:space="0" w:color="auto"/>
              <w:bottom w:val="nil"/>
            </w:tcBorders>
            <w:shd w:val="clear" w:color="auto" w:fill="D9D9D9" w:themeFill="background1" w:themeFillShade="D9"/>
            <w:vAlign w:val="bottom"/>
            <w:hideMark/>
          </w:tcPr>
          <w:p w:rsidR="00516C37" w:rsidRPr="00A92551" w:rsidRDefault="00516C37" w:rsidP="00904B61">
            <w:pPr>
              <w:spacing w:after="0" w:line="240" w:lineRule="auto"/>
              <w:jc w:val="center"/>
              <w:rPr>
                <w:rFonts w:ascii="Calibri" w:eastAsia="Times New Roman" w:hAnsi="Calibri" w:cs="Times New Roman"/>
                <w:b/>
                <w:bCs/>
                <w:color w:val="000000"/>
                <w:sz w:val="20"/>
                <w:szCs w:val="20"/>
                <w:lang w:eastAsia="ja-JP"/>
              </w:rPr>
            </w:pPr>
            <w:r w:rsidRPr="004002E0">
              <w:rPr>
                <w:rFonts w:ascii="Calibri" w:eastAsia="Times New Roman" w:hAnsi="Calibri" w:cs="Times New Roman"/>
                <w:b/>
                <w:bCs/>
                <w:color w:val="000000"/>
                <w:sz w:val="20"/>
                <w:szCs w:val="20"/>
                <w:lang w:eastAsia="ja-JP"/>
              </w:rPr>
              <w:t>(a)</w:t>
            </w:r>
          </w:p>
        </w:tc>
        <w:tc>
          <w:tcPr>
            <w:tcW w:w="629" w:type="dxa"/>
            <w:tcBorders>
              <w:top w:val="single" w:sz="4" w:space="0" w:color="auto"/>
              <w:bottom w:val="nil"/>
            </w:tcBorders>
            <w:shd w:val="clear" w:color="auto" w:fill="D9D9D9" w:themeFill="background1" w:themeFillShade="D9"/>
            <w:vAlign w:val="bottom"/>
            <w:hideMark/>
          </w:tcPr>
          <w:p w:rsidR="00516C37" w:rsidRPr="00A92551" w:rsidRDefault="00516C37" w:rsidP="00904B61">
            <w:pPr>
              <w:spacing w:after="0" w:line="240" w:lineRule="auto"/>
              <w:jc w:val="center"/>
              <w:rPr>
                <w:rFonts w:ascii="Calibri" w:eastAsia="Times New Roman" w:hAnsi="Calibri" w:cs="Times New Roman"/>
                <w:b/>
                <w:bCs/>
                <w:color w:val="000000"/>
                <w:sz w:val="20"/>
                <w:szCs w:val="20"/>
                <w:lang w:eastAsia="ja-JP"/>
              </w:rPr>
            </w:pPr>
            <w:r w:rsidRPr="004002E0">
              <w:rPr>
                <w:rFonts w:ascii="Calibri" w:eastAsia="Times New Roman" w:hAnsi="Calibri" w:cs="Times New Roman"/>
                <w:b/>
                <w:bCs/>
                <w:color w:val="000000"/>
                <w:sz w:val="20"/>
                <w:szCs w:val="20"/>
                <w:lang w:eastAsia="ja-JP"/>
              </w:rPr>
              <w:t>(b)</w:t>
            </w:r>
          </w:p>
        </w:tc>
        <w:tc>
          <w:tcPr>
            <w:tcW w:w="719" w:type="dxa"/>
            <w:tcBorders>
              <w:top w:val="single" w:sz="4" w:space="0" w:color="auto"/>
              <w:bottom w:val="nil"/>
            </w:tcBorders>
            <w:shd w:val="clear" w:color="auto" w:fill="D9D9D9" w:themeFill="background1" w:themeFillShade="D9"/>
            <w:vAlign w:val="bottom"/>
            <w:hideMark/>
          </w:tcPr>
          <w:p w:rsidR="00516C37" w:rsidRPr="00A92551" w:rsidRDefault="00516C37" w:rsidP="00904B61">
            <w:pPr>
              <w:spacing w:after="0" w:line="240" w:lineRule="auto"/>
              <w:jc w:val="center"/>
              <w:rPr>
                <w:rFonts w:ascii="Calibri" w:eastAsia="Times New Roman" w:hAnsi="Calibri" w:cs="Times New Roman"/>
                <w:b/>
                <w:bCs/>
                <w:color w:val="000000"/>
                <w:sz w:val="20"/>
                <w:szCs w:val="20"/>
                <w:lang w:eastAsia="ja-JP"/>
              </w:rPr>
            </w:pPr>
            <w:r w:rsidRPr="004002E0">
              <w:rPr>
                <w:rFonts w:ascii="Calibri" w:eastAsia="Times New Roman" w:hAnsi="Calibri" w:cs="Times New Roman"/>
                <w:b/>
                <w:bCs/>
                <w:color w:val="000000"/>
                <w:sz w:val="20"/>
                <w:szCs w:val="20"/>
                <w:lang w:eastAsia="ja-JP"/>
              </w:rPr>
              <w:t>(c)</w:t>
            </w:r>
          </w:p>
        </w:tc>
        <w:tc>
          <w:tcPr>
            <w:tcW w:w="653" w:type="dxa"/>
            <w:tcBorders>
              <w:top w:val="single" w:sz="4" w:space="0" w:color="auto"/>
              <w:bottom w:val="nil"/>
            </w:tcBorders>
            <w:shd w:val="clear" w:color="auto" w:fill="D9D9D9" w:themeFill="background1" w:themeFillShade="D9"/>
            <w:vAlign w:val="bottom"/>
            <w:hideMark/>
          </w:tcPr>
          <w:p w:rsidR="00516C37" w:rsidRPr="00A92551" w:rsidRDefault="00516C37" w:rsidP="00904B61">
            <w:pPr>
              <w:spacing w:after="0" w:line="240" w:lineRule="auto"/>
              <w:jc w:val="center"/>
              <w:rPr>
                <w:rFonts w:ascii="Calibri" w:eastAsia="Times New Roman" w:hAnsi="Calibri" w:cs="Times New Roman"/>
                <w:b/>
                <w:bCs/>
                <w:color w:val="000000"/>
                <w:sz w:val="20"/>
                <w:szCs w:val="20"/>
                <w:lang w:eastAsia="ja-JP"/>
              </w:rPr>
            </w:pPr>
            <w:r w:rsidRPr="004002E0">
              <w:rPr>
                <w:rFonts w:ascii="Calibri" w:eastAsia="Times New Roman" w:hAnsi="Calibri" w:cs="Times New Roman"/>
                <w:b/>
                <w:bCs/>
                <w:color w:val="000000"/>
                <w:sz w:val="20"/>
                <w:szCs w:val="20"/>
                <w:lang w:eastAsia="ja-JP"/>
              </w:rPr>
              <w:t>(d)</w:t>
            </w:r>
          </w:p>
        </w:tc>
        <w:tc>
          <w:tcPr>
            <w:tcW w:w="630" w:type="dxa"/>
            <w:tcBorders>
              <w:top w:val="single" w:sz="4" w:space="0" w:color="auto"/>
              <w:bottom w:val="nil"/>
            </w:tcBorders>
            <w:shd w:val="clear" w:color="auto" w:fill="D9D9D9" w:themeFill="background1" w:themeFillShade="D9"/>
            <w:vAlign w:val="bottom"/>
            <w:hideMark/>
          </w:tcPr>
          <w:p w:rsidR="00516C37" w:rsidRPr="00A92551" w:rsidRDefault="00516C37" w:rsidP="00904B61">
            <w:pPr>
              <w:spacing w:after="0" w:line="240" w:lineRule="auto"/>
              <w:jc w:val="center"/>
              <w:rPr>
                <w:rFonts w:ascii="Calibri" w:eastAsia="Times New Roman" w:hAnsi="Calibri" w:cs="Times New Roman"/>
                <w:b/>
                <w:bCs/>
                <w:color w:val="000000"/>
                <w:sz w:val="20"/>
                <w:szCs w:val="20"/>
                <w:lang w:eastAsia="ja-JP"/>
              </w:rPr>
            </w:pPr>
            <w:r w:rsidRPr="004002E0">
              <w:rPr>
                <w:rFonts w:ascii="Calibri" w:eastAsia="Times New Roman" w:hAnsi="Calibri" w:cs="Times New Roman"/>
                <w:b/>
                <w:bCs/>
                <w:color w:val="000000"/>
                <w:sz w:val="20"/>
                <w:szCs w:val="20"/>
                <w:lang w:eastAsia="ja-JP"/>
              </w:rPr>
              <w:t>(e)</w:t>
            </w:r>
          </w:p>
        </w:tc>
        <w:tc>
          <w:tcPr>
            <w:tcW w:w="720" w:type="dxa"/>
            <w:tcBorders>
              <w:top w:val="single" w:sz="4" w:space="0" w:color="auto"/>
              <w:bottom w:val="nil"/>
            </w:tcBorders>
            <w:shd w:val="clear" w:color="auto" w:fill="D9D9D9" w:themeFill="background1" w:themeFillShade="D9"/>
            <w:vAlign w:val="bottom"/>
          </w:tcPr>
          <w:p w:rsidR="00516C37" w:rsidRPr="000A1657" w:rsidRDefault="00516C37" w:rsidP="00904B61">
            <w:pPr>
              <w:spacing w:after="0" w:line="240" w:lineRule="auto"/>
              <w:jc w:val="center"/>
              <w:rPr>
                <w:rFonts w:ascii="Calibri" w:eastAsia="Times New Roman" w:hAnsi="Calibri" w:cs="Times New Roman"/>
                <w:b/>
                <w:bCs/>
                <w:color w:val="000000"/>
                <w:sz w:val="20"/>
                <w:szCs w:val="20"/>
                <w:lang w:eastAsia="ja-JP"/>
              </w:rPr>
            </w:pPr>
            <w:r w:rsidRPr="000A1657">
              <w:rPr>
                <w:rFonts w:ascii="Calibri" w:eastAsia="Times New Roman" w:hAnsi="Calibri" w:cs="Times New Roman"/>
                <w:b/>
                <w:bCs/>
                <w:color w:val="000000"/>
                <w:sz w:val="20"/>
                <w:szCs w:val="20"/>
                <w:lang w:eastAsia="ja-JP"/>
              </w:rPr>
              <w:t>(f)</w:t>
            </w:r>
          </w:p>
        </w:tc>
        <w:tc>
          <w:tcPr>
            <w:tcW w:w="787" w:type="dxa"/>
            <w:tcBorders>
              <w:top w:val="single" w:sz="4" w:space="0" w:color="auto"/>
              <w:bottom w:val="nil"/>
            </w:tcBorders>
            <w:shd w:val="clear" w:color="auto" w:fill="D9D9D9" w:themeFill="background1" w:themeFillShade="D9"/>
            <w:vAlign w:val="bottom"/>
            <w:hideMark/>
          </w:tcPr>
          <w:p w:rsidR="00516C37" w:rsidRPr="00A92551" w:rsidRDefault="00516C37" w:rsidP="00904B61">
            <w:pPr>
              <w:spacing w:after="0" w:line="240" w:lineRule="auto"/>
              <w:jc w:val="center"/>
              <w:rPr>
                <w:rFonts w:ascii="Calibri" w:eastAsia="Times New Roman" w:hAnsi="Calibri" w:cs="Times New Roman"/>
                <w:b/>
                <w:bCs/>
                <w:color w:val="000000"/>
                <w:sz w:val="20"/>
                <w:szCs w:val="20"/>
                <w:lang w:eastAsia="ja-JP"/>
              </w:rPr>
            </w:pPr>
            <w:r w:rsidRPr="000A1657">
              <w:rPr>
                <w:rFonts w:ascii="Calibri" w:eastAsia="Times New Roman" w:hAnsi="Calibri" w:cs="Times New Roman"/>
                <w:b/>
                <w:bCs/>
                <w:color w:val="000000"/>
                <w:sz w:val="20"/>
                <w:szCs w:val="20"/>
                <w:lang w:eastAsia="ja-JP"/>
              </w:rPr>
              <w:t>(g)</w:t>
            </w:r>
          </w:p>
        </w:tc>
        <w:tc>
          <w:tcPr>
            <w:tcW w:w="1046" w:type="dxa"/>
            <w:tcBorders>
              <w:top w:val="single" w:sz="4" w:space="0" w:color="auto"/>
              <w:bottom w:val="nil"/>
            </w:tcBorders>
            <w:shd w:val="clear" w:color="auto" w:fill="D9D9D9" w:themeFill="background1" w:themeFillShade="D9"/>
            <w:vAlign w:val="bottom"/>
            <w:hideMark/>
          </w:tcPr>
          <w:p w:rsidR="00516C37" w:rsidRPr="00A92551" w:rsidRDefault="00516C37" w:rsidP="00904B61">
            <w:pPr>
              <w:spacing w:after="0" w:line="240" w:lineRule="auto"/>
              <w:jc w:val="center"/>
              <w:rPr>
                <w:rFonts w:ascii="Calibri" w:eastAsia="Times New Roman" w:hAnsi="Calibri" w:cs="Times New Roman"/>
                <w:b/>
                <w:bCs/>
                <w:color w:val="000000"/>
                <w:sz w:val="20"/>
                <w:szCs w:val="20"/>
                <w:lang w:eastAsia="ja-JP"/>
              </w:rPr>
            </w:pPr>
            <w:r w:rsidRPr="000A1657">
              <w:rPr>
                <w:rFonts w:ascii="Calibri" w:eastAsia="Times New Roman" w:hAnsi="Calibri" w:cs="Times New Roman"/>
                <w:b/>
                <w:bCs/>
                <w:color w:val="000000"/>
                <w:sz w:val="20"/>
                <w:szCs w:val="20"/>
                <w:lang w:eastAsia="ja-JP"/>
              </w:rPr>
              <w:t>(h)</w:t>
            </w:r>
          </w:p>
        </w:tc>
        <w:tc>
          <w:tcPr>
            <w:tcW w:w="630" w:type="dxa"/>
            <w:tcBorders>
              <w:top w:val="single" w:sz="4" w:space="0" w:color="auto"/>
              <w:bottom w:val="nil"/>
            </w:tcBorders>
            <w:shd w:val="clear" w:color="auto" w:fill="D9D9D9" w:themeFill="background1" w:themeFillShade="D9"/>
            <w:vAlign w:val="bottom"/>
          </w:tcPr>
          <w:p w:rsidR="00516C37" w:rsidRPr="000A1657" w:rsidRDefault="00516C37" w:rsidP="00904B61">
            <w:pPr>
              <w:spacing w:after="0" w:line="240" w:lineRule="auto"/>
              <w:jc w:val="center"/>
              <w:rPr>
                <w:rFonts w:ascii="Calibri" w:eastAsia="Times New Roman" w:hAnsi="Calibri" w:cs="Times New Roman"/>
                <w:b/>
                <w:bCs/>
                <w:color w:val="000000"/>
                <w:sz w:val="20"/>
                <w:szCs w:val="20"/>
                <w:lang w:eastAsia="ja-JP"/>
              </w:rPr>
            </w:pPr>
            <w:r w:rsidRPr="000A1657">
              <w:rPr>
                <w:rFonts w:ascii="Calibri" w:eastAsia="Times New Roman" w:hAnsi="Calibri" w:cs="Times New Roman"/>
                <w:b/>
                <w:bCs/>
                <w:color w:val="000000"/>
                <w:sz w:val="20"/>
                <w:szCs w:val="20"/>
                <w:lang w:eastAsia="ja-JP"/>
              </w:rPr>
              <w:t>(i)</w:t>
            </w:r>
          </w:p>
        </w:tc>
        <w:tc>
          <w:tcPr>
            <w:tcW w:w="720" w:type="dxa"/>
            <w:tcBorders>
              <w:top w:val="single" w:sz="4" w:space="0" w:color="auto"/>
              <w:bottom w:val="nil"/>
            </w:tcBorders>
            <w:shd w:val="clear" w:color="auto" w:fill="D9D9D9" w:themeFill="background1" w:themeFillShade="D9"/>
            <w:vAlign w:val="bottom"/>
            <w:hideMark/>
          </w:tcPr>
          <w:p w:rsidR="00516C37" w:rsidRPr="00A92551" w:rsidRDefault="00516C37" w:rsidP="00904B61">
            <w:pPr>
              <w:spacing w:after="0" w:line="240" w:lineRule="auto"/>
              <w:jc w:val="center"/>
              <w:rPr>
                <w:rFonts w:ascii="Calibri" w:eastAsia="Times New Roman" w:hAnsi="Calibri" w:cs="Times New Roman"/>
                <w:b/>
                <w:bCs/>
                <w:color w:val="000000"/>
                <w:sz w:val="20"/>
                <w:szCs w:val="20"/>
                <w:lang w:eastAsia="ja-JP"/>
              </w:rPr>
            </w:pPr>
            <w:r>
              <w:rPr>
                <w:rFonts w:ascii="Calibri" w:eastAsia="Times New Roman" w:hAnsi="Calibri" w:cs="Times New Roman"/>
                <w:b/>
                <w:bCs/>
                <w:color w:val="000000"/>
                <w:sz w:val="20"/>
                <w:szCs w:val="20"/>
                <w:lang w:eastAsia="ja-JP"/>
              </w:rPr>
              <w:t>(j)</w:t>
            </w:r>
          </w:p>
        </w:tc>
        <w:tc>
          <w:tcPr>
            <w:tcW w:w="934" w:type="dxa"/>
            <w:tcBorders>
              <w:top w:val="single" w:sz="4" w:space="0" w:color="auto"/>
              <w:bottom w:val="nil"/>
            </w:tcBorders>
            <w:shd w:val="clear" w:color="auto" w:fill="D9D9D9" w:themeFill="background1" w:themeFillShade="D9"/>
            <w:vAlign w:val="bottom"/>
            <w:hideMark/>
          </w:tcPr>
          <w:p w:rsidR="00516C37" w:rsidRPr="00A92551" w:rsidRDefault="00516C37" w:rsidP="00904B61">
            <w:pPr>
              <w:spacing w:after="0" w:line="240" w:lineRule="auto"/>
              <w:jc w:val="center"/>
              <w:rPr>
                <w:rFonts w:ascii="Calibri" w:eastAsia="Times New Roman" w:hAnsi="Calibri" w:cs="Times New Roman"/>
                <w:b/>
                <w:bCs/>
                <w:color w:val="000000"/>
                <w:sz w:val="20"/>
                <w:szCs w:val="20"/>
                <w:lang w:eastAsia="ja-JP"/>
              </w:rPr>
            </w:pPr>
            <w:r>
              <w:rPr>
                <w:rFonts w:ascii="Calibri" w:eastAsia="Times New Roman" w:hAnsi="Calibri" w:cs="Times New Roman"/>
                <w:b/>
                <w:bCs/>
                <w:color w:val="000000"/>
                <w:sz w:val="20"/>
                <w:szCs w:val="20"/>
                <w:lang w:eastAsia="ja-JP"/>
              </w:rPr>
              <w:t>(k)</w:t>
            </w:r>
          </w:p>
        </w:tc>
      </w:tr>
      <w:tr w:rsidR="00516C37" w:rsidRPr="00A92551" w:rsidTr="003951C1">
        <w:trPr>
          <w:cantSplit/>
          <w:trHeight w:val="2115"/>
          <w:tblHeader/>
        </w:trPr>
        <w:tc>
          <w:tcPr>
            <w:tcW w:w="1803" w:type="dxa"/>
            <w:tcBorders>
              <w:top w:val="nil"/>
              <w:bottom w:val="single" w:sz="4" w:space="0" w:color="auto"/>
            </w:tcBorders>
            <w:shd w:val="clear" w:color="auto" w:fill="D9D9D9" w:themeFill="background1" w:themeFillShade="D9"/>
            <w:vAlign w:val="bottom"/>
            <w:hideMark/>
          </w:tcPr>
          <w:p w:rsidR="00516C37" w:rsidRDefault="00516C37" w:rsidP="00904B61">
            <w:pPr>
              <w:spacing w:after="0" w:line="240" w:lineRule="auto"/>
              <w:rPr>
                <w:rFonts w:eastAsia="Times New Roman" w:cs="Times New Roman"/>
                <w:bCs/>
                <w:color w:val="000000"/>
                <w:lang w:eastAsia="ja-JP"/>
              </w:rPr>
            </w:pPr>
          </w:p>
        </w:tc>
        <w:tc>
          <w:tcPr>
            <w:tcW w:w="629" w:type="dxa"/>
            <w:tcBorders>
              <w:top w:val="nil"/>
              <w:bottom w:val="single" w:sz="4" w:space="0" w:color="auto"/>
            </w:tcBorders>
            <w:shd w:val="clear" w:color="auto" w:fill="D9D9D9" w:themeFill="background1" w:themeFillShade="D9"/>
            <w:textDirection w:val="btLr"/>
            <w:vAlign w:val="center"/>
            <w:hideMark/>
          </w:tcPr>
          <w:p w:rsidR="00516C37" w:rsidRDefault="00516C37" w:rsidP="00904B61">
            <w:pPr>
              <w:spacing w:after="0" w:line="240" w:lineRule="auto"/>
              <w:ind w:left="113" w:right="113"/>
              <w:rPr>
                <w:rFonts w:eastAsia="Times New Roman" w:cs="Times New Roman"/>
                <w:b/>
                <w:bCs/>
                <w:color w:val="000000"/>
                <w:sz w:val="20"/>
                <w:szCs w:val="20"/>
                <w:lang w:eastAsia="ja-JP"/>
              </w:rPr>
            </w:pPr>
            <w:r w:rsidRPr="004002E0">
              <w:rPr>
                <w:rFonts w:eastAsia="Times New Roman" w:cs="Times New Roman"/>
                <w:b/>
                <w:bCs/>
                <w:color w:val="000000"/>
                <w:sz w:val="20"/>
                <w:szCs w:val="20"/>
                <w:lang w:eastAsia="ja-JP"/>
              </w:rPr>
              <w:t xml:space="preserve">Number of respondents </w:t>
            </w:r>
          </w:p>
        </w:tc>
        <w:tc>
          <w:tcPr>
            <w:tcW w:w="629" w:type="dxa"/>
            <w:tcBorders>
              <w:top w:val="nil"/>
              <w:bottom w:val="single" w:sz="4" w:space="0" w:color="auto"/>
            </w:tcBorders>
            <w:shd w:val="clear" w:color="auto" w:fill="D9D9D9" w:themeFill="background1" w:themeFillShade="D9"/>
            <w:textDirection w:val="btLr"/>
            <w:vAlign w:val="center"/>
            <w:hideMark/>
          </w:tcPr>
          <w:p w:rsidR="00516C37" w:rsidRDefault="00516C37" w:rsidP="00904B61">
            <w:pPr>
              <w:spacing w:after="0" w:line="240" w:lineRule="auto"/>
              <w:ind w:left="113" w:right="113"/>
              <w:rPr>
                <w:rFonts w:eastAsia="Times New Roman" w:cs="Times New Roman"/>
                <w:b/>
                <w:bCs/>
                <w:color w:val="000000"/>
                <w:sz w:val="20"/>
                <w:szCs w:val="20"/>
                <w:lang w:eastAsia="ja-JP"/>
              </w:rPr>
            </w:pPr>
            <w:r w:rsidRPr="004002E0">
              <w:rPr>
                <w:rFonts w:eastAsia="Times New Roman" w:cs="Times New Roman"/>
                <w:b/>
                <w:bCs/>
                <w:color w:val="000000"/>
                <w:sz w:val="20"/>
                <w:szCs w:val="20"/>
                <w:lang w:eastAsia="ja-JP"/>
              </w:rPr>
              <w:t xml:space="preserve">Hours per response </w:t>
            </w:r>
          </w:p>
        </w:tc>
        <w:tc>
          <w:tcPr>
            <w:tcW w:w="719" w:type="dxa"/>
            <w:tcBorders>
              <w:top w:val="nil"/>
              <w:bottom w:val="single" w:sz="4" w:space="0" w:color="auto"/>
            </w:tcBorders>
            <w:shd w:val="clear" w:color="auto" w:fill="D9D9D9" w:themeFill="background1" w:themeFillShade="D9"/>
            <w:textDirection w:val="btLr"/>
            <w:vAlign w:val="center"/>
            <w:hideMark/>
          </w:tcPr>
          <w:p w:rsidR="00516C37" w:rsidRDefault="00516C37" w:rsidP="00904B61">
            <w:pPr>
              <w:spacing w:after="0" w:line="240" w:lineRule="auto"/>
              <w:ind w:left="113" w:right="113"/>
              <w:rPr>
                <w:rFonts w:eastAsia="Times New Roman" w:cs="Times New Roman"/>
                <w:b/>
                <w:bCs/>
                <w:color w:val="000000"/>
                <w:sz w:val="20"/>
                <w:szCs w:val="20"/>
                <w:lang w:eastAsia="ja-JP"/>
              </w:rPr>
            </w:pPr>
            <w:r w:rsidRPr="004002E0">
              <w:rPr>
                <w:rFonts w:eastAsia="Times New Roman" w:cs="Times New Roman"/>
                <w:b/>
                <w:bCs/>
                <w:color w:val="000000"/>
                <w:sz w:val="20"/>
                <w:szCs w:val="20"/>
                <w:lang w:eastAsia="ja-JP"/>
              </w:rPr>
              <w:t>Hourly rate</w:t>
            </w:r>
            <w:r>
              <w:rPr>
                <w:rFonts w:eastAsia="Times New Roman" w:cs="Times New Roman"/>
                <w:b/>
                <w:bCs/>
                <w:color w:val="000000"/>
                <w:sz w:val="20"/>
                <w:szCs w:val="20"/>
                <w:lang w:eastAsia="ja-JP"/>
              </w:rPr>
              <w:t xml:space="preserve"> ($)</w:t>
            </w:r>
          </w:p>
        </w:tc>
        <w:tc>
          <w:tcPr>
            <w:tcW w:w="653" w:type="dxa"/>
            <w:tcBorders>
              <w:top w:val="nil"/>
              <w:bottom w:val="single" w:sz="4" w:space="0" w:color="auto"/>
            </w:tcBorders>
            <w:shd w:val="clear" w:color="auto" w:fill="D9D9D9" w:themeFill="background1" w:themeFillShade="D9"/>
            <w:textDirection w:val="btLr"/>
            <w:vAlign w:val="center"/>
            <w:hideMark/>
          </w:tcPr>
          <w:p w:rsidR="00516C37" w:rsidRDefault="00516C37" w:rsidP="00904B61">
            <w:pPr>
              <w:spacing w:after="0" w:line="240" w:lineRule="auto"/>
              <w:ind w:left="113" w:right="113"/>
              <w:rPr>
                <w:rFonts w:eastAsia="Times New Roman" w:cs="Times New Roman"/>
                <w:b/>
                <w:bCs/>
                <w:color w:val="000000"/>
                <w:sz w:val="20"/>
                <w:szCs w:val="20"/>
                <w:lang w:eastAsia="ja-JP"/>
              </w:rPr>
            </w:pPr>
            <w:r w:rsidRPr="004002E0">
              <w:rPr>
                <w:rFonts w:eastAsia="Times New Roman" w:cs="Times New Roman"/>
                <w:b/>
                <w:bCs/>
                <w:color w:val="000000"/>
                <w:sz w:val="20"/>
                <w:szCs w:val="20"/>
                <w:lang w:eastAsia="ja-JP"/>
              </w:rPr>
              <w:t>Hour burden per response</w:t>
            </w:r>
            <w:r w:rsidR="00E11506">
              <w:rPr>
                <w:rFonts w:eastAsia="Times New Roman" w:cs="Times New Roman"/>
                <w:b/>
                <w:bCs/>
                <w:color w:val="000000"/>
                <w:sz w:val="20"/>
                <w:szCs w:val="20"/>
                <w:lang w:eastAsia="ja-JP"/>
              </w:rPr>
              <w:t xml:space="preserve"> </w:t>
            </w:r>
            <w:r w:rsidRPr="004002E0">
              <w:rPr>
                <w:rFonts w:eastAsia="Times New Roman" w:cs="Times New Roman"/>
                <w:b/>
                <w:bCs/>
                <w:color w:val="000000"/>
                <w:sz w:val="20"/>
                <w:szCs w:val="20"/>
                <w:lang w:eastAsia="ja-JP"/>
              </w:rPr>
              <w:t>(a) x (b)</w:t>
            </w:r>
          </w:p>
        </w:tc>
        <w:tc>
          <w:tcPr>
            <w:tcW w:w="630" w:type="dxa"/>
            <w:tcBorders>
              <w:top w:val="nil"/>
              <w:bottom w:val="single" w:sz="4" w:space="0" w:color="auto"/>
            </w:tcBorders>
            <w:shd w:val="clear" w:color="auto" w:fill="D9D9D9" w:themeFill="background1" w:themeFillShade="D9"/>
            <w:textDirection w:val="btLr"/>
            <w:vAlign w:val="center"/>
            <w:hideMark/>
          </w:tcPr>
          <w:p w:rsidR="00516C37" w:rsidRDefault="00516C37" w:rsidP="00B0484F">
            <w:pPr>
              <w:spacing w:after="0" w:line="240" w:lineRule="auto"/>
              <w:ind w:left="113" w:right="113"/>
              <w:rPr>
                <w:rFonts w:eastAsia="Times New Roman" w:cs="Times New Roman"/>
                <w:b/>
                <w:bCs/>
                <w:color w:val="000000"/>
                <w:sz w:val="20"/>
                <w:szCs w:val="20"/>
                <w:lang w:eastAsia="ja-JP"/>
              </w:rPr>
            </w:pPr>
            <w:r w:rsidRPr="004002E0">
              <w:rPr>
                <w:rFonts w:eastAsia="Times New Roman" w:cs="Times New Roman"/>
                <w:b/>
                <w:bCs/>
                <w:color w:val="000000"/>
                <w:sz w:val="20"/>
                <w:szCs w:val="20"/>
                <w:lang w:eastAsia="ja-JP"/>
              </w:rPr>
              <w:t>Num</w:t>
            </w:r>
            <w:r>
              <w:rPr>
                <w:rFonts w:eastAsia="Times New Roman" w:cs="Times New Roman"/>
                <w:b/>
                <w:bCs/>
                <w:color w:val="000000"/>
                <w:sz w:val="20"/>
                <w:szCs w:val="20"/>
                <w:lang w:eastAsia="ja-JP"/>
              </w:rPr>
              <w:t>ber of</w:t>
            </w:r>
            <w:r w:rsidR="00E11506">
              <w:rPr>
                <w:rFonts w:eastAsia="Times New Roman" w:cs="Times New Roman"/>
                <w:b/>
                <w:bCs/>
                <w:color w:val="000000"/>
                <w:sz w:val="20"/>
                <w:szCs w:val="20"/>
                <w:lang w:eastAsia="ja-JP"/>
              </w:rPr>
              <w:t xml:space="preserve"> </w:t>
            </w:r>
            <w:r>
              <w:rPr>
                <w:rFonts w:eastAsia="Times New Roman" w:cs="Times New Roman"/>
                <w:b/>
                <w:bCs/>
                <w:color w:val="000000"/>
                <w:sz w:val="20"/>
                <w:szCs w:val="20"/>
                <w:lang w:eastAsia="ja-JP"/>
              </w:rPr>
              <w:t>years</w:t>
            </w:r>
            <w:r w:rsidR="00E11506">
              <w:rPr>
                <w:rFonts w:eastAsia="Times New Roman" w:cs="Times New Roman"/>
                <w:b/>
                <w:bCs/>
                <w:color w:val="000000"/>
                <w:sz w:val="20"/>
                <w:szCs w:val="20"/>
                <w:lang w:eastAsia="ja-JP"/>
              </w:rPr>
              <w:t xml:space="preserve"> </w:t>
            </w:r>
            <w:r w:rsidRPr="004002E0">
              <w:rPr>
                <w:rFonts w:eastAsia="Times New Roman" w:cs="Times New Roman"/>
                <w:b/>
                <w:bCs/>
                <w:color w:val="000000"/>
                <w:sz w:val="20"/>
                <w:szCs w:val="20"/>
                <w:lang w:eastAsia="ja-JP"/>
              </w:rPr>
              <w:t>data are</w:t>
            </w:r>
            <w:r w:rsidR="00E11506">
              <w:rPr>
                <w:rFonts w:eastAsia="Times New Roman" w:cs="Times New Roman"/>
                <w:b/>
                <w:bCs/>
                <w:color w:val="000000"/>
                <w:sz w:val="20"/>
                <w:szCs w:val="20"/>
                <w:lang w:eastAsia="ja-JP"/>
              </w:rPr>
              <w:t xml:space="preserve"> </w:t>
            </w:r>
            <w:r w:rsidRPr="004002E0">
              <w:rPr>
                <w:rFonts w:eastAsia="Times New Roman" w:cs="Times New Roman"/>
                <w:b/>
                <w:bCs/>
                <w:color w:val="000000"/>
                <w:sz w:val="20"/>
                <w:szCs w:val="20"/>
                <w:lang w:eastAsia="ja-JP"/>
              </w:rPr>
              <w:t>collected</w:t>
            </w:r>
          </w:p>
        </w:tc>
        <w:tc>
          <w:tcPr>
            <w:tcW w:w="720" w:type="dxa"/>
            <w:tcBorders>
              <w:top w:val="nil"/>
              <w:bottom w:val="single" w:sz="4" w:space="0" w:color="auto"/>
            </w:tcBorders>
            <w:shd w:val="clear" w:color="auto" w:fill="D9D9D9" w:themeFill="background1" w:themeFillShade="D9"/>
            <w:textDirection w:val="btLr"/>
            <w:vAlign w:val="center"/>
          </w:tcPr>
          <w:p w:rsidR="00516C37" w:rsidRDefault="00516C37" w:rsidP="00904B61">
            <w:pPr>
              <w:spacing w:after="0" w:line="240" w:lineRule="auto"/>
              <w:ind w:left="115" w:right="115"/>
              <w:rPr>
                <w:rFonts w:eastAsia="Times New Roman" w:cs="Times New Roman"/>
                <w:b/>
                <w:bCs/>
                <w:color w:val="000000"/>
                <w:sz w:val="20"/>
                <w:szCs w:val="20"/>
                <w:lang w:eastAsia="ja-JP"/>
              </w:rPr>
            </w:pPr>
            <w:r>
              <w:rPr>
                <w:rFonts w:eastAsia="Times New Roman" w:cs="Times New Roman"/>
                <w:b/>
                <w:bCs/>
                <w:color w:val="000000"/>
                <w:sz w:val="20"/>
                <w:szCs w:val="20"/>
                <w:lang w:eastAsia="ja-JP"/>
              </w:rPr>
              <w:t>Total responses over</w:t>
            </w:r>
            <w:r w:rsidR="00E11506">
              <w:rPr>
                <w:rFonts w:eastAsia="Times New Roman" w:cs="Times New Roman"/>
                <w:b/>
                <w:bCs/>
                <w:color w:val="000000"/>
                <w:sz w:val="20"/>
                <w:szCs w:val="20"/>
                <w:lang w:eastAsia="ja-JP"/>
              </w:rPr>
              <w:t xml:space="preserve"> </w:t>
            </w:r>
            <w:r>
              <w:rPr>
                <w:rFonts w:eastAsia="Times New Roman" w:cs="Times New Roman"/>
                <w:b/>
                <w:bCs/>
                <w:color w:val="000000"/>
                <w:sz w:val="20"/>
                <w:szCs w:val="20"/>
                <w:lang w:eastAsia="ja-JP"/>
              </w:rPr>
              <w:t>3 years</w:t>
            </w:r>
            <w:r w:rsidR="00E11506">
              <w:rPr>
                <w:rFonts w:eastAsia="Times New Roman" w:cs="Times New Roman"/>
                <w:b/>
                <w:bCs/>
                <w:color w:val="000000"/>
                <w:sz w:val="20"/>
                <w:szCs w:val="20"/>
                <w:lang w:eastAsia="ja-JP"/>
              </w:rPr>
              <w:t xml:space="preserve"> </w:t>
            </w:r>
            <w:r>
              <w:rPr>
                <w:rFonts w:eastAsia="Times New Roman" w:cs="Times New Roman"/>
                <w:b/>
                <w:bCs/>
                <w:color w:val="000000"/>
                <w:sz w:val="20"/>
                <w:szCs w:val="20"/>
                <w:lang w:eastAsia="ja-JP"/>
              </w:rPr>
              <w:t>(a) x(e)</w:t>
            </w:r>
          </w:p>
        </w:tc>
        <w:tc>
          <w:tcPr>
            <w:tcW w:w="787" w:type="dxa"/>
            <w:tcBorders>
              <w:top w:val="nil"/>
              <w:bottom w:val="single" w:sz="4" w:space="0" w:color="auto"/>
            </w:tcBorders>
            <w:shd w:val="clear" w:color="auto" w:fill="D9D9D9" w:themeFill="background1" w:themeFillShade="D9"/>
            <w:textDirection w:val="btLr"/>
            <w:vAlign w:val="center"/>
            <w:hideMark/>
          </w:tcPr>
          <w:p w:rsidR="00516C37" w:rsidRDefault="00516C37" w:rsidP="00904B61">
            <w:pPr>
              <w:spacing w:after="0" w:line="240" w:lineRule="auto"/>
              <w:ind w:left="113" w:right="113"/>
              <w:rPr>
                <w:rFonts w:eastAsia="Times New Roman" w:cs="Times New Roman"/>
                <w:b/>
                <w:bCs/>
                <w:color w:val="000000"/>
                <w:sz w:val="20"/>
                <w:szCs w:val="20"/>
                <w:lang w:eastAsia="ja-JP"/>
              </w:rPr>
            </w:pPr>
            <w:r w:rsidRPr="004002E0">
              <w:rPr>
                <w:rFonts w:eastAsia="Times New Roman" w:cs="Times New Roman"/>
                <w:b/>
                <w:bCs/>
                <w:color w:val="000000"/>
                <w:sz w:val="20"/>
                <w:szCs w:val="20"/>
                <w:lang w:eastAsia="ja-JP"/>
              </w:rPr>
              <w:t>Total hour burden over 3 years</w:t>
            </w:r>
            <w:r w:rsidR="00E11506">
              <w:rPr>
                <w:rFonts w:eastAsia="Times New Roman" w:cs="Times New Roman"/>
                <w:b/>
                <w:bCs/>
                <w:color w:val="000000"/>
                <w:sz w:val="20"/>
                <w:szCs w:val="20"/>
                <w:lang w:eastAsia="ja-JP"/>
              </w:rPr>
              <w:t xml:space="preserve"> </w:t>
            </w:r>
            <w:r w:rsidRPr="004002E0">
              <w:rPr>
                <w:rFonts w:eastAsia="Times New Roman" w:cs="Times New Roman"/>
                <w:b/>
                <w:bCs/>
                <w:color w:val="000000"/>
                <w:sz w:val="20"/>
                <w:szCs w:val="20"/>
                <w:lang w:eastAsia="ja-JP"/>
              </w:rPr>
              <w:t>(d) x ( e)</w:t>
            </w:r>
          </w:p>
        </w:tc>
        <w:tc>
          <w:tcPr>
            <w:tcW w:w="1046" w:type="dxa"/>
            <w:tcBorders>
              <w:top w:val="nil"/>
              <w:bottom w:val="single" w:sz="4" w:space="0" w:color="auto"/>
            </w:tcBorders>
            <w:shd w:val="clear" w:color="auto" w:fill="D9D9D9" w:themeFill="background1" w:themeFillShade="D9"/>
            <w:textDirection w:val="btLr"/>
            <w:vAlign w:val="center"/>
            <w:hideMark/>
          </w:tcPr>
          <w:p w:rsidR="00516C37" w:rsidRDefault="007E5A77" w:rsidP="00904B61">
            <w:pPr>
              <w:spacing w:after="0" w:line="240" w:lineRule="auto"/>
              <w:ind w:left="113" w:right="113"/>
              <w:rPr>
                <w:rFonts w:eastAsia="Times New Roman" w:cs="Times New Roman"/>
                <w:b/>
                <w:bCs/>
                <w:color w:val="000000"/>
                <w:sz w:val="20"/>
                <w:szCs w:val="20"/>
                <w:lang w:eastAsia="ja-JP"/>
              </w:rPr>
            </w:pPr>
            <w:r>
              <w:rPr>
                <w:rFonts w:eastAsia="Times New Roman" w:cs="Times New Roman"/>
                <w:b/>
                <w:bCs/>
                <w:color w:val="000000"/>
                <w:sz w:val="20"/>
                <w:szCs w:val="20"/>
                <w:lang w:eastAsia="ja-JP"/>
              </w:rPr>
              <w:t xml:space="preserve">Total cost burden </w:t>
            </w:r>
            <w:r w:rsidR="00516C37" w:rsidRPr="004002E0">
              <w:rPr>
                <w:rFonts w:eastAsia="Times New Roman" w:cs="Times New Roman"/>
                <w:b/>
                <w:bCs/>
                <w:color w:val="000000"/>
                <w:sz w:val="20"/>
                <w:szCs w:val="20"/>
                <w:lang w:eastAsia="ja-JP"/>
              </w:rPr>
              <w:t>over 3 years</w:t>
            </w:r>
            <w:r w:rsidR="00E11506">
              <w:rPr>
                <w:rFonts w:eastAsia="Times New Roman" w:cs="Times New Roman"/>
                <w:b/>
                <w:bCs/>
                <w:color w:val="000000"/>
                <w:sz w:val="20"/>
                <w:szCs w:val="20"/>
                <w:lang w:eastAsia="ja-JP"/>
              </w:rPr>
              <w:t xml:space="preserve"> </w:t>
            </w:r>
            <w:r w:rsidR="00516C37" w:rsidRPr="004002E0">
              <w:rPr>
                <w:rFonts w:eastAsia="Times New Roman" w:cs="Times New Roman"/>
                <w:b/>
                <w:bCs/>
                <w:color w:val="000000"/>
                <w:sz w:val="20"/>
                <w:szCs w:val="20"/>
                <w:lang w:eastAsia="ja-JP"/>
              </w:rPr>
              <w:t>(</w:t>
            </w:r>
            <w:r w:rsidR="00516C37">
              <w:rPr>
                <w:rFonts w:eastAsia="Times New Roman" w:cs="Times New Roman"/>
                <w:b/>
                <w:bCs/>
                <w:color w:val="000000"/>
                <w:sz w:val="20"/>
                <w:szCs w:val="20"/>
                <w:lang w:eastAsia="ja-JP"/>
              </w:rPr>
              <w:t>g</w:t>
            </w:r>
            <w:r w:rsidR="00516C37" w:rsidRPr="004002E0">
              <w:rPr>
                <w:rFonts w:eastAsia="Times New Roman" w:cs="Times New Roman"/>
                <w:b/>
                <w:bCs/>
                <w:color w:val="000000"/>
                <w:sz w:val="20"/>
                <w:szCs w:val="20"/>
                <w:lang w:eastAsia="ja-JP"/>
              </w:rPr>
              <w:t>) x (c)</w:t>
            </w:r>
          </w:p>
        </w:tc>
        <w:tc>
          <w:tcPr>
            <w:tcW w:w="630" w:type="dxa"/>
            <w:tcBorders>
              <w:top w:val="nil"/>
              <w:bottom w:val="single" w:sz="4" w:space="0" w:color="auto"/>
            </w:tcBorders>
            <w:shd w:val="clear" w:color="auto" w:fill="D9D9D9" w:themeFill="background1" w:themeFillShade="D9"/>
            <w:textDirection w:val="btLr"/>
          </w:tcPr>
          <w:p w:rsidR="00516C37" w:rsidRDefault="00516C37" w:rsidP="00904B61">
            <w:pPr>
              <w:spacing w:after="0" w:line="240" w:lineRule="auto"/>
              <w:ind w:left="113" w:right="113"/>
              <w:rPr>
                <w:rFonts w:eastAsia="Times New Roman" w:cs="Times New Roman"/>
                <w:b/>
                <w:bCs/>
                <w:color w:val="000000"/>
                <w:sz w:val="20"/>
                <w:szCs w:val="20"/>
                <w:lang w:eastAsia="ja-JP"/>
              </w:rPr>
            </w:pPr>
            <w:r>
              <w:rPr>
                <w:rFonts w:eastAsia="Times New Roman" w:cs="Times New Roman"/>
                <w:b/>
                <w:bCs/>
                <w:color w:val="000000"/>
                <w:sz w:val="20"/>
                <w:szCs w:val="20"/>
                <w:lang w:eastAsia="ja-JP"/>
              </w:rPr>
              <w:t>Annualized</w:t>
            </w:r>
            <w:r w:rsidR="00E11506">
              <w:rPr>
                <w:rFonts w:eastAsia="Times New Roman" w:cs="Times New Roman"/>
                <w:b/>
                <w:bCs/>
                <w:color w:val="000000"/>
                <w:sz w:val="20"/>
                <w:szCs w:val="20"/>
                <w:lang w:eastAsia="ja-JP"/>
              </w:rPr>
              <w:t xml:space="preserve"> </w:t>
            </w:r>
            <w:r>
              <w:rPr>
                <w:rFonts w:eastAsia="Times New Roman" w:cs="Times New Roman"/>
                <w:b/>
                <w:bCs/>
                <w:color w:val="000000"/>
                <w:sz w:val="20"/>
                <w:szCs w:val="20"/>
                <w:lang w:eastAsia="ja-JP"/>
              </w:rPr>
              <w:t>number of responses</w:t>
            </w:r>
            <w:r w:rsidR="00E11506">
              <w:rPr>
                <w:rFonts w:eastAsia="Times New Roman" w:cs="Times New Roman"/>
                <w:b/>
                <w:bCs/>
                <w:color w:val="000000"/>
                <w:sz w:val="20"/>
                <w:szCs w:val="20"/>
                <w:lang w:eastAsia="ja-JP"/>
              </w:rPr>
              <w:t xml:space="preserve"> </w:t>
            </w:r>
            <w:r>
              <w:rPr>
                <w:rFonts w:eastAsia="Times New Roman" w:cs="Times New Roman"/>
                <w:b/>
                <w:bCs/>
                <w:color w:val="000000"/>
                <w:sz w:val="20"/>
                <w:szCs w:val="20"/>
                <w:lang w:eastAsia="ja-JP"/>
              </w:rPr>
              <w:t>(f)/3</w:t>
            </w:r>
          </w:p>
        </w:tc>
        <w:tc>
          <w:tcPr>
            <w:tcW w:w="720" w:type="dxa"/>
            <w:tcBorders>
              <w:top w:val="nil"/>
              <w:bottom w:val="single" w:sz="4" w:space="0" w:color="auto"/>
            </w:tcBorders>
            <w:shd w:val="clear" w:color="auto" w:fill="D9D9D9" w:themeFill="background1" w:themeFillShade="D9"/>
            <w:textDirection w:val="btLr"/>
            <w:vAlign w:val="center"/>
            <w:hideMark/>
          </w:tcPr>
          <w:p w:rsidR="00516C37" w:rsidRDefault="00516C37" w:rsidP="00904B61">
            <w:pPr>
              <w:spacing w:after="0" w:line="240" w:lineRule="auto"/>
              <w:ind w:left="113" w:right="113"/>
              <w:rPr>
                <w:rFonts w:eastAsia="Times New Roman" w:cs="Times New Roman"/>
                <w:b/>
                <w:bCs/>
                <w:color w:val="000000"/>
                <w:sz w:val="20"/>
                <w:szCs w:val="20"/>
                <w:lang w:eastAsia="ja-JP"/>
              </w:rPr>
            </w:pPr>
            <w:r w:rsidRPr="004002E0">
              <w:rPr>
                <w:rFonts w:eastAsia="Times New Roman" w:cs="Times New Roman"/>
                <w:b/>
                <w:bCs/>
                <w:color w:val="000000"/>
                <w:sz w:val="20"/>
                <w:szCs w:val="20"/>
                <w:lang w:eastAsia="ja-JP"/>
              </w:rPr>
              <w:t>Annualize hour burden</w:t>
            </w:r>
            <w:r w:rsidR="00E11506">
              <w:rPr>
                <w:rFonts w:eastAsia="Times New Roman" w:cs="Times New Roman"/>
                <w:b/>
                <w:bCs/>
                <w:color w:val="000000"/>
                <w:sz w:val="20"/>
                <w:szCs w:val="20"/>
                <w:lang w:eastAsia="ja-JP"/>
              </w:rPr>
              <w:t xml:space="preserve"> </w:t>
            </w:r>
            <w:r w:rsidRPr="004002E0">
              <w:rPr>
                <w:rFonts w:eastAsia="Times New Roman" w:cs="Times New Roman"/>
                <w:b/>
                <w:bCs/>
                <w:color w:val="000000"/>
                <w:sz w:val="20"/>
                <w:szCs w:val="20"/>
                <w:lang w:eastAsia="ja-JP"/>
              </w:rPr>
              <w:t>(</w:t>
            </w:r>
            <w:r>
              <w:rPr>
                <w:rFonts w:eastAsia="Times New Roman" w:cs="Times New Roman"/>
                <w:b/>
                <w:bCs/>
                <w:color w:val="000000"/>
                <w:sz w:val="20"/>
                <w:szCs w:val="20"/>
                <w:lang w:eastAsia="ja-JP"/>
              </w:rPr>
              <w:t>g</w:t>
            </w:r>
            <w:r w:rsidRPr="004002E0">
              <w:rPr>
                <w:rFonts w:eastAsia="Times New Roman" w:cs="Times New Roman"/>
                <w:b/>
                <w:bCs/>
                <w:color w:val="000000"/>
                <w:sz w:val="20"/>
                <w:szCs w:val="20"/>
                <w:lang w:eastAsia="ja-JP"/>
              </w:rPr>
              <w:t>) / 3</w:t>
            </w:r>
          </w:p>
        </w:tc>
        <w:tc>
          <w:tcPr>
            <w:tcW w:w="934" w:type="dxa"/>
            <w:tcBorders>
              <w:top w:val="nil"/>
              <w:bottom w:val="single" w:sz="4" w:space="0" w:color="auto"/>
            </w:tcBorders>
            <w:shd w:val="clear" w:color="auto" w:fill="D9D9D9" w:themeFill="background1" w:themeFillShade="D9"/>
            <w:textDirection w:val="btLr"/>
            <w:vAlign w:val="center"/>
            <w:hideMark/>
          </w:tcPr>
          <w:p w:rsidR="00516C37" w:rsidRDefault="00516C37" w:rsidP="00904B61">
            <w:pPr>
              <w:spacing w:after="0" w:line="240" w:lineRule="auto"/>
              <w:ind w:left="113" w:right="113"/>
              <w:rPr>
                <w:rFonts w:eastAsia="Times New Roman" w:cs="Times New Roman"/>
                <w:b/>
                <w:bCs/>
                <w:color w:val="000000"/>
                <w:sz w:val="20"/>
                <w:szCs w:val="20"/>
                <w:lang w:eastAsia="ja-JP"/>
              </w:rPr>
            </w:pPr>
            <w:r w:rsidRPr="004002E0">
              <w:rPr>
                <w:rFonts w:eastAsia="Times New Roman" w:cs="Times New Roman"/>
                <w:b/>
                <w:bCs/>
                <w:color w:val="000000"/>
                <w:sz w:val="20"/>
                <w:szCs w:val="20"/>
                <w:lang w:eastAsia="ja-JP"/>
              </w:rPr>
              <w:t>Annualized cost burden</w:t>
            </w:r>
            <w:r w:rsidR="00E11506">
              <w:rPr>
                <w:rFonts w:eastAsia="Times New Roman" w:cs="Times New Roman"/>
                <w:b/>
                <w:bCs/>
                <w:color w:val="000000"/>
                <w:sz w:val="20"/>
                <w:szCs w:val="20"/>
                <w:lang w:eastAsia="ja-JP"/>
              </w:rPr>
              <w:t xml:space="preserve"> </w:t>
            </w:r>
            <w:r w:rsidRPr="004002E0">
              <w:rPr>
                <w:rFonts w:eastAsia="Times New Roman" w:cs="Times New Roman"/>
                <w:b/>
                <w:bCs/>
                <w:color w:val="000000"/>
                <w:sz w:val="20"/>
                <w:szCs w:val="20"/>
                <w:lang w:eastAsia="ja-JP"/>
              </w:rPr>
              <w:t>(</w:t>
            </w:r>
            <w:r>
              <w:rPr>
                <w:rFonts w:eastAsia="Times New Roman" w:cs="Times New Roman"/>
                <w:b/>
                <w:bCs/>
                <w:color w:val="000000"/>
                <w:sz w:val="20"/>
                <w:szCs w:val="20"/>
                <w:lang w:eastAsia="ja-JP"/>
              </w:rPr>
              <w:t>h</w:t>
            </w:r>
            <w:r w:rsidRPr="004002E0">
              <w:rPr>
                <w:rFonts w:eastAsia="Times New Roman" w:cs="Times New Roman"/>
                <w:b/>
                <w:bCs/>
                <w:color w:val="000000"/>
                <w:sz w:val="20"/>
                <w:szCs w:val="20"/>
                <w:lang w:eastAsia="ja-JP"/>
              </w:rPr>
              <w:t>) / 3</w:t>
            </w:r>
          </w:p>
        </w:tc>
      </w:tr>
      <w:tr w:rsidR="00516C37" w:rsidRPr="00A92551" w:rsidTr="00BE1995">
        <w:trPr>
          <w:trHeight w:val="570"/>
        </w:trPr>
        <w:tc>
          <w:tcPr>
            <w:tcW w:w="1803" w:type="dxa"/>
            <w:tcBorders>
              <w:bottom w:val="nil"/>
            </w:tcBorders>
            <w:shd w:val="clear" w:color="auto" w:fill="auto"/>
            <w:hideMark/>
          </w:tcPr>
          <w:p w:rsidR="00516C37" w:rsidRDefault="00516C37" w:rsidP="00904B61">
            <w:pPr>
              <w:spacing w:before="120" w:after="120" w:line="240" w:lineRule="auto"/>
              <w:rPr>
                <w:rFonts w:ascii="Calibri" w:eastAsia="Times New Roman" w:hAnsi="Calibri" w:cs="Times New Roman"/>
                <w:color w:val="000000"/>
                <w:sz w:val="20"/>
                <w:szCs w:val="20"/>
                <w:lang w:eastAsia="ja-JP"/>
              </w:rPr>
            </w:pPr>
            <w:r w:rsidRPr="004002E0">
              <w:rPr>
                <w:rFonts w:ascii="Calibri" w:eastAsia="Times New Roman" w:hAnsi="Calibri" w:cs="Times New Roman"/>
                <w:color w:val="000000"/>
                <w:sz w:val="20"/>
                <w:szCs w:val="20"/>
                <w:lang w:eastAsia="ja-JP"/>
              </w:rPr>
              <w:t>Round 1 interviews with new hospitals</w:t>
            </w:r>
          </w:p>
        </w:tc>
        <w:tc>
          <w:tcPr>
            <w:tcW w:w="629" w:type="dxa"/>
            <w:tcBorders>
              <w:bottom w:val="nil"/>
            </w:tcBorders>
            <w:shd w:val="clear" w:color="auto" w:fill="auto"/>
            <w:hideMark/>
          </w:tcPr>
          <w:p w:rsidR="00516C37" w:rsidRDefault="004E6AC6" w:rsidP="00904B61">
            <w:pPr>
              <w:spacing w:before="120" w:after="120" w:line="240" w:lineRule="auto"/>
              <w:jc w:val="center"/>
              <w:rPr>
                <w:rFonts w:ascii="Calibri" w:eastAsia="Times New Roman" w:hAnsi="Calibri" w:cs="Times New Roman"/>
                <w:color w:val="000000"/>
                <w:sz w:val="20"/>
                <w:szCs w:val="20"/>
                <w:lang w:eastAsia="ja-JP"/>
              </w:rPr>
            </w:pPr>
            <w:r>
              <w:rPr>
                <w:rFonts w:ascii="Calibri" w:eastAsia="Times New Roman" w:hAnsi="Calibri" w:cs="Times New Roman"/>
                <w:color w:val="000000"/>
                <w:sz w:val="20"/>
                <w:szCs w:val="20"/>
                <w:lang w:eastAsia="ja-JP"/>
              </w:rPr>
              <w:t>3</w:t>
            </w:r>
          </w:p>
        </w:tc>
        <w:tc>
          <w:tcPr>
            <w:tcW w:w="629" w:type="dxa"/>
            <w:tcBorders>
              <w:bottom w:val="nil"/>
            </w:tcBorders>
            <w:shd w:val="clear" w:color="auto" w:fill="auto"/>
            <w:hideMark/>
          </w:tcPr>
          <w:p w:rsidR="00516C37" w:rsidRDefault="007E5A77" w:rsidP="007E5A77">
            <w:pPr>
              <w:spacing w:before="120" w:after="120" w:line="240" w:lineRule="auto"/>
              <w:jc w:val="center"/>
              <w:rPr>
                <w:rFonts w:ascii="Calibri" w:eastAsia="Times New Roman" w:hAnsi="Calibri" w:cs="Times New Roman"/>
                <w:color w:val="000000"/>
                <w:sz w:val="20"/>
                <w:szCs w:val="20"/>
                <w:lang w:eastAsia="ja-JP"/>
              </w:rPr>
            </w:pPr>
            <w:r>
              <w:rPr>
                <w:rFonts w:ascii="Calibri" w:eastAsia="Times New Roman" w:hAnsi="Calibri" w:cs="Times New Roman"/>
                <w:color w:val="000000"/>
                <w:sz w:val="20"/>
                <w:szCs w:val="20"/>
                <w:lang w:eastAsia="ja-JP"/>
              </w:rPr>
              <w:t>2</w:t>
            </w:r>
            <w:r w:rsidR="00516C37" w:rsidRPr="004002E0">
              <w:rPr>
                <w:rFonts w:ascii="Calibri" w:eastAsia="Times New Roman" w:hAnsi="Calibri" w:cs="Times New Roman"/>
                <w:color w:val="000000"/>
                <w:sz w:val="20"/>
                <w:szCs w:val="20"/>
                <w:lang w:eastAsia="ja-JP"/>
              </w:rPr>
              <w:t>.5</w:t>
            </w:r>
          </w:p>
        </w:tc>
        <w:tc>
          <w:tcPr>
            <w:tcW w:w="719" w:type="dxa"/>
            <w:tcBorders>
              <w:bottom w:val="nil"/>
            </w:tcBorders>
            <w:shd w:val="clear" w:color="auto" w:fill="auto"/>
            <w:hideMark/>
          </w:tcPr>
          <w:p w:rsidR="00516C37" w:rsidRDefault="00516C37" w:rsidP="00904B61">
            <w:pPr>
              <w:spacing w:before="120" w:after="120" w:line="240" w:lineRule="auto"/>
              <w:jc w:val="center"/>
              <w:rPr>
                <w:rFonts w:ascii="Calibri" w:eastAsia="Times New Roman" w:hAnsi="Calibri" w:cs="Times New Roman"/>
                <w:color w:val="000000"/>
                <w:sz w:val="20"/>
                <w:szCs w:val="20"/>
                <w:lang w:eastAsia="ja-JP"/>
              </w:rPr>
            </w:pPr>
            <w:r w:rsidRPr="004002E0">
              <w:rPr>
                <w:rFonts w:ascii="Calibri" w:eastAsia="Times New Roman" w:hAnsi="Calibri" w:cs="Times New Roman"/>
                <w:color w:val="000000"/>
                <w:sz w:val="20"/>
                <w:szCs w:val="20"/>
                <w:lang w:eastAsia="ja-JP"/>
              </w:rPr>
              <w:t>46.17</w:t>
            </w:r>
          </w:p>
        </w:tc>
        <w:tc>
          <w:tcPr>
            <w:tcW w:w="653" w:type="dxa"/>
            <w:tcBorders>
              <w:bottom w:val="nil"/>
            </w:tcBorders>
            <w:shd w:val="clear" w:color="auto" w:fill="auto"/>
            <w:hideMark/>
          </w:tcPr>
          <w:p w:rsidR="00516C37" w:rsidRDefault="008D6E7E" w:rsidP="00904B61">
            <w:pPr>
              <w:spacing w:before="120" w:after="120" w:line="240" w:lineRule="auto"/>
              <w:jc w:val="center"/>
              <w:rPr>
                <w:rFonts w:ascii="Calibri" w:eastAsia="Times New Roman" w:hAnsi="Calibri" w:cs="Times New Roman"/>
                <w:color w:val="000000"/>
                <w:sz w:val="20"/>
                <w:szCs w:val="20"/>
                <w:lang w:eastAsia="ja-JP"/>
              </w:rPr>
            </w:pPr>
            <w:r>
              <w:rPr>
                <w:rFonts w:ascii="Calibri" w:eastAsia="Times New Roman" w:hAnsi="Calibri" w:cs="Times New Roman"/>
                <w:color w:val="000000"/>
                <w:sz w:val="20"/>
                <w:szCs w:val="20"/>
                <w:lang w:eastAsia="ja-JP"/>
              </w:rPr>
              <w:t>7.5</w:t>
            </w:r>
          </w:p>
        </w:tc>
        <w:tc>
          <w:tcPr>
            <w:tcW w:w="630" w:type="dxa"/>
            <w:tcBorders>
              <w:bottom w:val="nil"/>
            </w:tcBorders>
            <w:shd w:val="clear" w:color="auto" w:fill="auto"/>
            <w:noWrap/>
            <w:hideMark/>
          </w:tcPr>
          <w:p w:rsidR="00516C37" w:rsidRDefault="00516C37" w:rsidP="00904B61">
            <w:pPr>
              <w:spacing w:before="120" w:after="120" w:line="240" w:lineRule="auto"/>
              <w:jc w:val="center"/>
              <w:rPr>
                <w:rFonts w:ascii="Calibri" w:eastAsia="Times New Roman" w:hAnsi="Calibri" w:cs="Times New Roman"/>
                <w:color w:val="000000"/>
                <w:sz w:val="20"/>
                <w:szCs w:val="20"/>
                <w:lang w:eastAsia="ja-JP"/>
              </w:rPr>
            </w:pPr>
            <w:r w:rsidRPr="004002E0">
              <w:rPr>
                <w:rFonts w:ascii="Calibri" w:eastAsia="Times New Roman" w:hAnsi="Calibri" w:cs="Times New Roman"/>
                <w:color w:val="000000"/>
                <w:sz w:val="20"/>
                <w:szCs w:val="20"/>
                <w:lang w:eastAsia="ja-JP"/>
              </w:rPr>
              <w:t>1</w:t>
            </w:r>
          </w:p>
        </w:tc>
        <w:tc>
          <w:tcPr>
            <w:tcW w:w="720" w:type="dxa"/>
            <w:tcBorders>
              <w:bottom w:val="nil"/>
            </w:tcBorders>
            <w:shd w:val="clear" w:color="auto" w:fill="auto"/>
          </w:tcPr>
          <w:p w:rsidR="00516C37" w:rsidRDefault="008D6E7E" w:rsidP="00904B61">
            <w:pPr>
              <w:spacing w:before="120" w:after="120" w:line="240" w:lineRule="auto"/>
              <w:jc w:val="center"/>
              <w:rPr>
                <w:rFonts w:ascii="Calibri" w:eastAsia="Times New Roman" w:hAnsi="Calibri" w:cs="Times New Roman"/>
                <w:color w:val="000000"/>
                <w:sz w:val="20"/>
                <w:szCs w:val="20"/>
                <w:lang w:eastAsia="ja-JP"/>
              </w:rPr>
            </w:pPr>
            <w:r>
              <w:rPr>
                <w:rFonts w:ascii="Calibri" w:eastAsia="Times New Roman" w:hAnsi="Calibri" w:cs="Times New Roman"/>
                <w:color w:val="000000"/>
                <w:sz w:val="20"/>
                <w:szCs w:val="20"/>
                <w:lang w:eastAsia="ja-JP"/>
              </w:rPr>
              <w:t>3</w:t>
            </w:r>
          </w:p>
        </w:tc>
        <w:tc>
          <w:tcPr>
            <w:tcW w:w="787" w:type="dxa"/>
            <w:tcBorders>
              <w:bottom w:val="nil"/>
            </w:tcBorders>
            <w:shd w:val="clear" w:color="auto" w:fill="auto"/>
            <w:hideMark/>
          </w:tcPr>
          <w:p w:rsidR="00516C37" w:rsidRDefault="008D6E7E" w:rsidP="007E5A77">
            <w:pPr>
              <w:spacing w:before="120" w:after="120" w:line="240" w:lineRule="auto"/>
              <w:jc w:val="right"/>
              <w:rPr>
                <w:rFonts w:ascii="Calibri" w:eastAsia="Times New Roman" w:hAnsi="Calibri" w:cs="Times New Roman"/>
                <w:color w:val="000000"/>
                <w:sz w:val="20"/>
                <w:szCs w:val="20"/>
                <w:lang w:eastAsia="ja-JP"/>
              </w:rPr>
            </w:pPr>
            <w:r>
              <w:rPr>
                <w:rFonts w:ascii="Calibri" w:eastAsia="Times New Roman" w:hAnsi="Calibri" w:cs="Times New Roman"/>
                <w:color w:val="000000"/>
                <w:sz w:val="20"/>
                <w:szCs w:val="20"/>
                <w:lang w:eastAsia="ja-JP"/>
              </w:rPr>
              <w:t>7.5</w:t>
            </w:r>
          </w:p>
        </w:tc>
        <w:tc>
          <w:tcPr>
            <w:tcW w:w="1046" w:type="dxa"/>
            <w:tcBorders>
              <w:bottom w:val="nil"/>
            </w:tcBorders>
            <w:shd w:val="clear" w:color="auto" w:fill="auto"/>
            <w:noWrap/>
            <w:hideMark/>
          </w:tcPr>
          <w:p w:rsidR="00516C37" w:rsidRDefault="008D6E7E" w:rsidP="007E5A77">
            <w:pPr>
              <w:spacing w:before="120" w:after="120" w:line="240" w:lineRule="auto"/>
              <w:jc w:val="right"/>
              <w:rPr>
                <w:rFonts w:ascii="Calibri" w:eastAsia="Times New Roman" w:hAnsi="Calibri" w:cs="Times New Roman"/>
                <w:color w:val="000000"/>
                <w:sz w:val="20"/>
                <w:szCs w:val="20"/>
                <w:lang w:eastAsia="ja-JP"/>
              </w:rPr>
            </w:pPr>
            <w:r>
              <w:rPr>
                <w:rFonts w:ascii="Calibri" w:eastAsia="Times New Roman" w:hAnsi="Calibri" w:cs="Times New Roman"/>
                <w:color w:val="000000"/>
                <w:sz w:val="20"/>
                <w:szCs w:val="20"/>
                <w:lang w:eastAsia="ja-JP"/>
              </w:rPr>
              <w:t>346.28</w:t>
            </w:r>
          </w:p>
        </w:tc>
        <w:tc>
          <w:tcPr>
            <w:tcW w:w="630" w:type="dxa"/>
            <w:tcBorders>
              <w:bottom w:val="nil"/>
            </w:tcBorders>
          </w:tcPr>
          <w:p w:rsidR="00516C37" w:rsidRPr="000A1657" w:rsidRDefault="008D6E7E" w:rsidP="00904B61">
            <w:pPr>
              <w:spacing w:before="120" w:after="120" w:line="240" w:lineRule="auto"/>
              <w:jc w:val="right"/>
              <w:rPr>
                <w:rFonts w:ascii="Calibri" w:eastAsia="Times New Roman" w:hAnsi="Calibri" w:cs="Times New Roman"/>
                <w:color w:val="000000"/>
                <w:sz w:val="20"/>
                <w:szCs w:val="20"/>
                <w:lang w:eastAsia="ja-JP"/>
              </w:rPr>
            </w:pPr>
            <w:r>
              <w:rPr>
                <w:rFonts w:ascii="Calibri" w:eastAsia="Times New Roman" w:hAnsi="Calibri" w:cs="Times New Roman"/>
                <w:color w:val="000000"/>
                <w:sz w:val="20"/>
                <w:szCs w:val="20"/>
                <w:lang w:eastAsia="ja-JP"/>
              </w:rPr>
              <w:t>1</w:t>
            </w:r>
            <w:r w:rsidR="00314EEF">
              <w:rPr>
                <w:rFonts w:ascii="Calibri" w:eastAsia="Times New Roman" w:hAnsi="Calibri" w:cs="Times New Roman"/>
                <w:color w:val="000000"/>
                <w:sz w:val="20"/>
                <w:szCs w:val="20"/>
                <w:lang w:eastAsia="ja-JP"/>
              </w:rPr>
              <w:t>.0</w:t>
            </w:r>
          </w:p>
        </w:tc>
        <w:tc>
          <w:tcPr>
            <w:tcW w:w="720" w:type="dxa"/>
            <w:tcBorders>
              <w:bottom w:val="nil"/>
            </w:tcBorders>
            <w:shd w:val="clear" w:color="auto" w:fill="auto"/>
            <w:hideMark/>
          </w:tcPr>
          <w:p w:rsidR="00516C37" w:rsidRDefault="00BE1995" w:rsidP="00904B61">
            <w:pPr>
              <w:spacing w:before="120" w:after="120" w:line="240" w:lineRule="auto"/>
              <w:jc w:val="right"/>
              <w:rPr>
                <w:rFonts w:ascii="Calibri" w:eastAsia="Times New Roman" w:hAnsi="Calibri" w:cs="Times New Roman"/>
                <w:color w:val="000000"/>
                <w:sz w:val="20"/>
                <w:szCs w:val="20"/>
                <w:lang w:eastAsia="ja-JP"/>
              </w:rPr>
            </w:pPr>
            <w:r>
              <w:rPr>
                <w:rFonts w:ascii="Calibri" w:eastAsia="Times New Roman" w:hAnsi="Calibri" w:cs="Times New Roman"/>
                <w:color w:val="000000"/>
                <w:sz w:val="20"/>
                <w:szCs w:val="20"/>
                <w:lang w:eastAsia="ja-JP"/>
              </w:rPr>
              <w:t>2.5</w:t>
            </w:r>
          </w:p>
        </w:tc>
        <w:tc>
          <w:tcPr>
            <w:tcW w:w="934" w:type="dxa"/>
            <w:tcBorders>
              <w:bottom w:val="nil"/>
            </w:tcBorders>
            <w:noWrap/>
            <w:hideMark/>
          </w:tcPr>
          <w:p w:rsidR="00516C37" w:rsidRDefault="00BE1995" w:rsidP="007E5A77">
            <w:pPr>
              <w:spacing w:before="120" w:after="120" w:line="240" w:lineRule="auto"/>
              <w:jc w:val="right"/>
              <w:rPr>
                <w:rFonts w:ascii="Calibri" w:eastAsia="Times New Roman" w:hAnsi="Calibri" w:cs="Times New Roman"/>
                <w:color w:val="000000"/>
                <w:sz w:val="20"/>
                <w:szCs w:val="20"/>
                <w:lang w:eastAsia="ja-JP"/>
              </w:rPr>
            </w:pPr>
            <w:r>
              <w:rPr>
                <w:rFonts w:ascii="Calibri" w:eastAsia="Times New Roman" w:hAnsi="Calibri" w:cs="Times New Roman"/>
                <w:color w:val="000000"/>
                <w:sz w:val="20"/>
                <w:szCs w:val="20"/>
                <w:lang w:eastAsia="ja-JP"/>
              </w:rPr>
              <w:t>115.43</w:t>
            </w:r>
          </w:p>
        </w:tc>
      </w:tr>
      <w:tr w:rsidR="00516C37" w:rsidRPr="00A92551" w:rsidTr="00BE1995">
        <w:trPr>
          <w:trHeight w:val="570"/>
        </w:trPr>
        <w:tc>
          <w:tcPr>
            <w:tcW w:w="1803" w:type="dxa"/>
            <w:tcBorders>
              <w:top w:val="nil"/>
              <w:bottom w:val="nil"/>
            </w:tcBorders>
            <w:shd w:val="clear" w:color="auto" w:fill="auto"/>
            <w:hideMark/>
          </w:tcPr>
          <w:p w:rsidR="00516C37" w:rsidRDefault="00516C37" w:rsidP="00904B61">
            <w:pPr>
              <w:spacing w:before="120" w:after="120" w:line="240" w:lineRule="auto"/>
              <w:rPr>
                <w:rFonts w:ascii="Calibri" w:eastAsia="Times New Roman" w:hAnsi="Calibri" w:cs="Times New Roman"/>
                <w:color w:val="000000"/>
                <w:sz w:val="20"/>
                <w:szCs w:val="20"/>
                <w:lang w:eastAsia="ja-JP"/>
              </w:rPr>
            </w:pPr>
            <w:r w:rsidRPr="004002E0">
              <w:rPr>
                <w:rFonts w:ascii="Calibri" w:eastAsia="Times New Roman" w:hAnsi="Calibri" w:cs="Times New Roman"/>
                <w:color w:val="000000"/>
                <w:sz w:val="20"/>
                <w:szCs w:val="20"/>
                <w:lang w:eastAsia="ja-JP"/>
              </w:rPr>
              <w:t>Round 2 interviews with all hospitals</w:t>
            </w:r>
          </w:p>
        </w:tc>
        <w:tc>
          <w:tcPr>
            <w:tcW w:w="629" w:type="dxa"/>
            <w:tcBorders>
              <w:top w:val="nil"/>
              <w:bottom w:val="nil"/>
            </w:tcBorders>
            <w:shd w:val="clear" w:color="auto" w:fill="auto"/>
            <w:hideMark/>
          </w:tcPr>
          <w:p w:rsidR="00516C37" w:rsidRDefault="004E6AC6" w:rsidP="00904B61">
            <w:pPr>
              <w:spacing w:before="120" w:after="120" w:line="240" w:lineRule="auto"/>
              <w:jc w:val="center"/>
              <w:rPr>
                <w:rFonts w:ascii="Calibri" w:eastAsia="Times New Roman" w:hAnsi="Calibri" w:cs="Times New Roman"/>
                <w:color w:val="000000"/>
                <w:sz w:val="20"/>
                <w:szCs w:val="20"/>
                <w:lang w:eastAsia="ja-JP"/>
              </w:rPr>
            </w:pPr>
            <w:r>
              <w:rPr>
                <w:rFonts w:ascii="Calibri" w:eastAsia="Times New Roman" w:hAnsi="Calibri" w:cs="Times New Roman"/>
                <w:color w:val="000000"/>
                <w:sz w:val="20"/>
                <w:szCs w:val="20"/>
                <w:lang w:eastAsia="ja-JP"/>
              </w:rPr>
              <w:t>7</w:t>
            </w:r>
          </w:p>
        </w:tc>
        <w:tc>
          <w:tcPr>
            <w:tcW w:w="629" w:type="dxa"/>
            <w:tcBorders>
              <w:top w:val="nil"/>
              <w:bottom w:val="nil"/>
            </w:tcBorders>
            <w:shd w:val="clear" w:color="auto" w:fill="auto"/>
            <w:hideMark/>
          </w:tcPr>
          <w:p w:rsidR="00516C37" w:rsidRDefault="007E5A77" w:rsidP="007E5A77">
            <w:pPr>
              <w:spacing w:before="120" w:after="120" w:line="240" w:lineRule="auto"/>
              <w:jc w:val="center"/>
              <w:rPr>
                <w:rFonts w:ascii="Calibri" w:eastAsia="Times New Roman" w:hAnsi="Calibri" w:cs="Times New Roman"/>
                <w:color w:val="000000"/>
                <w:sz w:val="20"/>
                <w:szCs w:val="20"/>
                <w:lang w:eastAsia="ja-JP"/>
              </w:rPr>
            </w:pPr>
            <w:r>
              <w:rPr>
                <w:rFonts w:ascii="Calibri" w:eastAsia="Times New Roman" w:hAnsi="Calibri" w:cs="Times New Roman"/>
                <w:color w:val="000000"/>
                <w:sz w:val="20"/>
                <w:szCs w:val="20"/>
                <w:lang w:eastAsia="ja-JP"/>
              </w:rPr>
              <w:t>2</w:t>
            </w:r>
            <w:r w:rsidR="00516C37" w:rsidRPr="004002E0">
              <w:rPr>
                <w:rFonts w:ascii="Calibri" w:eastAsia="Times New Roman" w:hAnsi="Calibri" w:cs="Times New Roman"/>
                <w:color w:val="000000"/>
                <w:sz w:val="20"/>
                <w:szCs w:val="20"/>
                <w:lang w:eastAsia="ja-JP"/>
              </w:rPr>
              <w:t>.0</w:t>
            </w:r>
          </w:p>
        </w:tc>
        <w:tc>
          <w:tcPr>
            <w:tcW w:w="719" w:type="dxa"/>
            <w:tcBorders>
              <w:top w:val="nil"/>
              <w:bottom w:val="nil"/>
            </w:tcBorders>
            <w:shd w:val="clear" w:color="auto" w:fill="auto"/>
            <w:hideMark/>
          </w:tcPr>
          <w:p w:rsidR="00516C37" w:rsidRDefault="00516C37" w:rsidP="00904B61">
            <w:pPr>
              <w:spacing w:before="120" w:after="120" w:line="240" w:lineRule="auto"/>
              <w:jc w:val="center"/>
              <w:rPr>
                <w:rFonts w:ascii="Calibri" w:eastAsia="Times New Roman" w:hAnsi="Calibri" w:cs="Times New Roman"/>
                <w:color w:val="000000"/>
                <w:sz w:val="20"/>
                <w:szCs w:val="20"/>
                <w:lang w:eastAsia="ja-JP"/>
              </w:rPr>
            </w:pPr>
            <w:r w:rsidRPr="004002E0">
              <w:rPr>
                <w:rFonts w:ascii="Calibri" w:eastAsia="Times New Roman" w:hAnsi="Calibri" w:cs="Times New Roman"/>
                <w:color w:val="000000"/>
                <w:sz w:val="20"/>
                <w:szCs w:val="20"/>
                <w:lang w:eastAsia="ja-JP"/>
              </w:rPr>
              <w:t>46.17</w:t>
            </w:r>
          </w:p>
        </w:tc>
        <w:tc>
          <w:tcPr>
            <w:tcW w:w="653" w:type="dxa"/>
            <w:tcBorders>
              <w:top w:val="nil"/>
              <w:bottom w:val="nil"/>
            </w:tcBorders>
            <w:shd w:val="clear" w:color="auto" w:fill="auto"/>
            <w:hideMark/>
          </w:tcPr>
          <w:p w:rsidR="00516C37" w:rsidRDefault="008D6E7E" w:rsidP="008D6E7E">
            <w:pPr>
              <w:spacing w:before="120" w:after="120" w:line="240" w:lineRule="auto"/>
              <w:jc w:val="center"/>
              <w:rPr>
                <w:rFonts w:ascii="Calibri" w:eastAsia="Times New Roman" w:hAnsi="Calibri" w:cs="Times New Roman"/>
                <w:color w:val="000000"/>
                <w:sz w:val="20"/>
                <w:szCs w:val="20"/>
                <w:lang w:eastAsia="ja-JP"/>
              </w:rPr>
            </w:pPr>
            <w:r>
              <w:rPr>
                <w:rFonts w:ascii="Calibri" w:eastAsia="Times New Roman" w:hAnsi="Calibri" w:cs="Times New Roman"/>
                <w:color w:val="000000"/>
                <w:sz w:val="20"/>
                <w:szCs w:val="20"/>
                <w:lang w:eastAsia="ja-JP"/>
              </w:rPr>
              <w:t>14</w:t>
            </w:r>
          </w:p>
        </w:tc>
        <w:tc>
          <w:tcPr>
            <w:tcW w:w="630" w:type="dxa"/>
            <w:tcBorders>
              <w:top w:val="nil"/>
              <w:bottom w:val="nil"/>
            </w:tcBorders>
            <w:shd w:val="clear" w:color="auto" w:fill="auto"/>
            <w:noWrap/>
            <w:hideMark/>
          </w:tcPr>
          <w:p w:rsidR="00516C37" w:rsidRDefault="00516C37" w:rsidP="00904B61">
            <w:pPr>
              <w:spacing w:before="120" w:after="120" w:line="240" w:lineRule="auto"/>
              <w:jc w:val="center"/>
              <w:rPr>
                <w:rFonts w:ascii="Calibri" w:eastAsia="Times New Roman" w:hAnsi="Calibri" w:cs="Times New Roman"/>
                <w:color w:val="000000"/>
                <w:sz w:val="20"/>
                <w:szCs w:val="20"/>
                <w:lang w:eastAsia="ja-JP"/>
              </w:rPr>
            </w:pPr>
            <w:r w:rsidRPr="004002E0">
              <w:rPr>
                <w:rFonts w:ascii="Calibri" w:eastAsia="Times New Roman" w:hAnsi="Calibri" w:cs="Times New Roman"/>
                <w:color w:val="000000"/>
                <w:sz w:val="20"/>
                <w:szCs w:val="20"/>
                <w:lang w:eastAsia="ja-JP"/>
              </w:rPr>
              <w:t>1</w:t>
            </w:r>
          </w:p>
        </w:tc>
        <w:tc>
          <w:tcPr>
            <w:tcW w:w="720" w:type="dxa"/>
            <w:tcBorders>
              <w:top w:val="nil"/>
              <w:bottom w:val="nil"/>
            </w:tcBorders>
            <w:shd w:val="clear" w:color="auto" w:fill="auto"/>
          </w:tcPr>
          <w:p w:rsidR="00516C37" w:rsidRDefault="008D6E7E" w:rsidP="00904B61">
            <w:pPr>
              <w:spacing w:before="120" w:after="120" w:line="240" w:lineRule="auto"/>
              <w:jc w:val="center"/>
              <w:rPr>
                <w:rFonts w:ascii="Calibri" w:eastAsia="Times New Roman" w:hAnsi="Calibri" w:cs="Times New Roman"/>
                <w:color w:val="000000"/>
                <w:sz w:val="20"/>
                <w:szCs w:val="20"/>
                <w:lang w:eastAsia="ja-JP"/>
              </w:rPr>
            </w:pPr>
            <w:r>
              <w:rPr>
                <w:rFonts w:ascii="Calibri" w:eastAsia="Times New Roman" w:hAnsi="Calibri" w:cs="Times New Roman"/>
                <w:color w:val="000000"/>
                <w:sz w:val="20"/>
                <w:szCs w:val="20"/>
                <w:lang w:eastAsia="ja-JP"/>
              </w:rPr>
              <w:t>7</w:t>
            </w:r>
          </w:p>
        </w:tc>
        <w:tc>
          <w:tcPr>
            <w:tcW w:w="787" w:type="dxa"/>
            <w:tcBorders>
              <w:top w:val="nil"/>
              <w:bottom w:val="nil"/>
            </w:tcBorders>
            <w:shd w:val="clear" w:color="auto" w:fill="auto"/>
            <w:hideMark/>
          </w:tcPr>
          <w:p w:rsidR="00516C37" w:rsidRDefault="008D6E7E" w:rsidP="007E5A77">
            <w:pPr>
              <w:spacing w:before="120" w:after="120" w:line="240" w:lineRule="auto"/>
              <w:jc w:val="right"/>
              <w:rPr>
                <w:rFonts w:ascii="Calibri" w:eastAsia="Times New Roman" w:hAnsi="Calibri" w:cs="Times New Roman"/>
                <w:color w:val="000000"/>
                <w:sz w:val="20"/>
                <w:szCs w:val="20"/>
                <w:lang w:eastAsia="ja-JP"/>
              </w:rPr>
            </w:pPr>
            <w:r>
              <w:rPr>
                <w:rFonts w:ascii="Calibri" w:eastAsia="Times New Roman" w:hAnsi="Calibri" w:cs="Times New Roman"/>
                <w:color w:val="000000"/>
                <w:sz w:val="20"/>
                <w:szCs w:val="20"/>
                <w:lang w:eastAsia="ja-JP"/>
              </w:rPr>
              <w:t>14</w:t>
            </w:r>
            <w:r w:rsidR="009905FF">
              <w:rPr>
                <w:rFonts w:ascii="Calibri" w:eastAsia="Times New Roman" w:hAnsi="Calibri" w:cs="Times New Roman"/>
                <w:color w:val="000000"/>
                <w:sz w:val="20"/>
                <w:szCs w:val="20"/>
                <w:lang w:eastAsia="ja-JP"/>
              </w:rPr>
              <w:t>.0</w:t>
            </w:r>
          </w:p>
        </w:tc>
        <w:tc>
          <w:tcPr>
            <w:tcW w:w="1046" w:type="dxa"/>
            <w:tcBorders>
              <w:top w:val="nil"/>
              <w:bottom w:val="nil"/>
            </w:tcBorders>
            <w:shd w:val="clear" w:color="auto" w:fill="auto"/>
            <w:noWrap/>
            <w:hideMark/>
          </w:tcPr>
          <w:p w:rsidR="00516C37" w:rsidRDefault="008D6E7E" w:rsidP="007E5A77">
            <w:pPr>
              <w:spacing w:before="120" w:after="120" w:line="240" w:lineRule="auto"/>
              <w:jc w:val="right"/>
              <w:rPr>
                <w:rFonts w:ascii="Calibri" w:eastAsia="Times New Roman" w:hAnsi="Calibri" w:cs="Times New Roman"/>
                <w:color w:val="000000"/>
                <w:sz w:val="20"/>
                <w:szCs w:val="20"/>
                <w:lang w:eastAsia="ja-JP"/>
              </w:rPr>
            </w:pPr>
            <w:r>
              <w:rPr>
                <w:rFonts w:ascii="Calibri" w:eastAsia="Times New Roman" w:hAnsi="Calibri" w:cs="Times New Roman"/>
                <w:color w:val="000000"/>
                <w:sz w:val="20"/>
                <w:szCs w:val="20"/>
                <w:lang w:eastAsia="ja-JP"/>
              </w:rPr>
              <w:t>646.38</w:t>
            </w:r>
            <w:r w:rsidR="00516C37" w:rsidRPr="004002E0">
              <w:rPr>
                <w:rFonts w:ascii="Calibri" w:eastAsia="Times New Roman" w:hAnsi="Calibri" w:cs="Times New Roman"/>
                <w:color w:val="000000"/>
                <w:sz w:val="20"/>
                <w:szCs w:val="20"/>
                <w:lang w:eastAsia="ja-JP"/>
              </w:rPr>
              <w:t xml:space="preserve"> </w:t>
            </w:r>
          </w:p>
        </w:tc>
        <w:tc>
          <w:tcPr>
            <w:tcW w:w="630" w:type="dxa"/>
            <w:tcBorders>
              <w:top w:val="nil"/>
              <w:bottom w:val="nil"/>
            </w:tcBorders>
          </w:tcPr>
          <w:p w:rsidR="00516C37" w:rsidRPr="000A1657" w:rsidRDefault="008D6E7E" w:rsidP="00904B61">
            <w:pPr>
              <w:spacing w:before="120" w:after="120" w:line="240" w:lineRule="auto"/>
              <w:jc w:val="right"/>
              <w:rPr>
                <w:rFonts w:ascii="Calibri" w:eastAsia="Times New Roman" w:hAnsi="Calibri" w:cs="Times New Roman"/>
                <w:color w:val="000000"/>
                <w:sz w:val="20"/>
                <w:szCs w:val="20"/>
                <w:lang w:eastAsia="ja-JP"/>
              </w:rPr>
            </w:pPr>
            <w:r>
              <w:rPr>
                <w:rFonts w:ascii="Calibri" w:eastAsia="Times New Roman" w:hAnsi="Calibri" w:cs="Times New Roman"/>
                <w:color w:val="000000"/>
                <w:sz w:val="20"/>
                <w:szCs w:val="20"/>
                <w:lang w:eastAsia="ja-JP"/>
              </w:rPr>
              <w:t>2.3</w:t>
            </w:r>
          </w:p>
        </w:tc>
        <w:tc>
          <w:tcPr>
            <w:tcW w:w="720" w:type="dxa"/>
            <w:tcBorders>
              <w:top w:val="nil"/>
              <w:bottom w:val="nil"/>
            </w:tcBorders>
            <w:shd w:val="clear" w:color="auto" w:fill="auto"/>
            <w:hideMark/>
          </w:tcPr>
          <w:p w:rsidR="00516C37" w:rsidRDefault="00BE1995" w:rsidP="00BE1995">
            <w:pPr>
              <w:spacing w:before="120" w:after="120" w:line="240" w:lineRule="auto"/>
              <w:jc w:val="right"/>
              <w:rPr>
                <w:rFonts w:ascii="Calibri" w:eastAsia="Times New Roman" w:hAnsi="Calibri" w:cs="Times New Roman"/>
                <w:color w:val="000000"/>
                <w:sz w:val="20"/>
                <w:szCs w:val="20"/>
                <w:lang w:eastAsia="ja-JP"/>
              </w:rPr>
            </w:pPr>
            <w:r>
              <w:rPr>
                <w:rFonts w:ascii="Calibri" w:eastAsia="Times New Roman" w:hAnsi="Calibri" w:cs="Times New Roman"/>
                <w:color w:val="000000"/>
                <w:sz w:val="20"/>
                <w:szCs w:val="20"/>
                <w:lang w:eastAsia="ja-JP"/>
              </w:rPr>
              <w:t>4.7</w:t>
            </w:r>
          </w:p>
        </w:tc>
        <w:tc>
          <w:tcPr>
            <w:tcW w:w="934" w:type="dxa"/>
            <w:tcBorders>
              <w:top w:val="nil"/>
              <w:bottom w:val="nil"/>
            </w:tcBorders>
            <w:noWrap/>
            <w:hideMark/>
          </w:tcPr>
          <w:p w:rsidR="00516C37" w:rsidRDefault="00BE1995" w:rsidP="007E5A77">
            <w:pPr>
              <w:spacing w:before="120" w:after="120" w:line="240" w:lineRule="auto"/>
              <w:jc w:val="right"/>
              <w:rPr>
                <w:rFonts w:ascii="Calibri" w:eastAsia="Times New Roman" w:hAnsi="Calibri" w:cs="Times New Roman"/>
                <w:color w:val="000000"/>
                <w:sz w:val="20"/>
                <w:szCs w:val="20"/>
                <w:lang w:eastAsia="ja-JP"/>
              </w:rPr>
            </w:pPr>
            <w:r>
              <w:rPr>
                <w:rFonts w:ascii="Calibri" w:eastAsia="Times New Roman" w:hAnsi="Calibri" w:cs="Times New Roman"/>
                <w:color w:val="000000"/>
                <w:sz w:val="20"/>
                <w:szCs w:val="20"/>
                <w:lang w:eastAsia="ja-JP"/>
              </w:rPr>
              <w:t>215.46</w:t>
            </w:r>
            <w:r w:rsidRPr="004002E0">
              <w:rPr>
                <w:rFonts w:ascii="Calibri" w:eastAsia="Times New Roman" w:hAnsi="Calibri" w:cs="Times New Roman"/>
                <w:color w:val="000000"/>
                <w:sz w:val="20"/>
                <w:szCs w:val="20"/>
                <w:lang w:eastAsia="ja-JP"/>
              </w:rPr>
              <w:t xml:space="preserve"> </w:t>
            </w:r>
          </w:p>
        </w:tc>
      </w:tr>
      <w:tr w:rsidR="00516C37" w:rsidRPr="00A92551" w:rsidTr="00BE1995">
        <w:trPr>
          <w:trHeight w:val="570"/>
        </w:trPr>
        <w:tc>
          <w:tcPr>
            <w:tcW w:w="1803" w:type="dxa"/>
            <w:tcBorders>
              <w:top w:val="nil"/>
              <w:bottom w:val="nil"/>
            </w:tcBorders>
            <w:shd w:val="clear" w:color="auto" w:fill="auto"/>
            <w:hideMark/>
          </w:tcPr>
          <w:p w:rsidR="00516C37" w:rsidRDefault="00516C37" w:rsidP="00904B61">
            <w:pPr>
              <w:spacing w:before="120" w:after="120" w:line="240" w:lineRule="auto"/>
              <w:rPr>
                <w:rFonts w:ascii="Calibri" w:eastAsia="Times New Roman" w:hAnsi="Calibri" w:cs="Times New Roman"/>
                <w:color w:val="000000"/>
                <w:sz w:val="20"/>
                <w:szCs w:val="20"/>
                <w:lang w:eastAsia="ja-JP"/>
              </w:rPr>
            </w:pPr>
            <w:r w:rsidRPr="004002E0">
              <w:rPr>
                <w:rFonts w:ascii="Calibri" w:eastAsia="Times New Roman" w:hAnsi="Calibri" w:cs="Times New Roman"/>
                <w:color w:val="000000"/>
                <w:sz w:val="20"/>
                <w:szCs w:val="20"/>
                <w:lang w:eastAsia="ja-JP"/>
              </w:rPr>
              <w:t>Annual progress report</w:t>
            </w:r>
          </w:p>
        </w:tc>
        <w:tc>
          <w:tcPr>
            <w:tcW w:w="629" w:type="dxa"/>
            <w:tcBorders>
              <w:top w:val="nil"/>
              <w:bottom w:val="nil"/>
            </w:tcBorders>
            <w:shd w:val="clear" w:color="auto" w:fill="auto"/>
            <w:hideMark/>
          </w:tcPr>
          <w:p w:rsidR="00516C37" w:rsidRDefault="004E6AC6" w:rsidP="00904B61">
            <w:pPr>
              <w:spacing w:before="120" w:after="120" w:line="240" w:lineRule="auto"/>
              <w:jc w:val="center"/>
              <w:rPr>
                <w:rFonts w:ascii="Calibri" w:eastAsia="Times New Roman" w:hAnsi="Calibri" w:cs="Times New Roman"/>
                <w:color w:val="000000"/>
                <w:sz w:val="20"/>
                <w:szCs w:val="20"/>
                <w:lang w:eastAsia="ja-JP"/>
              </w:rPr>
            </w:pPr>
            <w:r>
              <w:rPr>
                <w:rFonts w:ascii="Calibri" w:eastAsia="Times New Roman" w:hAnsi="Calibri" w:cs="Times New Roman"/>
                <w:color w:val="000000"/>
                <w:sz w:val="20"/>
                <w:szCs w:val="20"/>
                <w:lang w:eastAsia="ja-JP"/>
              </w:rPr>
              <w:t>7</w:t>
            </w:r>
          </w:p>
        </w:tc>
        <w:tc>
          <w:tcPr>
            <w:tcW w:w="629" w:type="dxa"/>
            <w:tcBorders>
              <w:top w:val="nil"/>
              <w:bottom w:val="nil"/>
            </w:tcBorders>
            <w:shd w:val="clear" w:color="auto" w:fill="auto"/>
            <w:hideMark/>
          </w:tcPr>
          <w:p w:rsidR="00516C37" w:rsidRDefault="00516C37" w:rsidP="007E5A77">
            <w:pPr>
              <w:spacing w:before="120" w:after="120" w:line="240" w:lineRule="auto"/>
              <w:jc w:val="center"/>
              <w:rPr>
                <w:rFonts w:ascii="Calibri" w:eastAsia="Times New Roman" w:hAnsi="Calibri" w:cs="Times New Roman"/>
                <w:color w:val="000000"/>
                <w:sz w:val="20"/>
                <w:szCs w:val="20"/>
                <w:lang w:eastAsia="ja-JP"/>
              </w:rPr>
            </w:pPr>
            <w:r w:rsidRPr="004002E0">
              <w:rPr>
                <w:rFonts w:ascii="Calibri" w:eastAsia="Times New Roman" w:hAnsi="Calibri" w:cs="Times New Roman"/>
                <w:color w:val="000000"/>
                <w:sz w:val="20"/>
                <w:szCs w:val="20"/>
                <w:lang w:eastAsia="ja-JP"/>
              </w:rPr>
              <w:t>1</w:t>
            </w:r>
            <w:r w:rsidR="007E5A77">
              <w:rPr>
                <w:rFonts w:ascii="Calibri" w:eastAsia="Times New Roman" w:hAnsi="Calibri" w:cs="Times New Roman"/>
                <w:color w:val="000000"/>
                <w:sz w:val="20"/>
                <w:szCs w:val="20"/>
                <w:lang w:eastAsia="ja-JP"/>
              </w:rPr>
              <w:t>0</w:t>
            </w:r>
            <w:r w:rsidRPr="004002E0">
              <w:rPr>
                <w:rFonts w:ascii="Calibri" w:eastAsia="Times New Roman" w:hAnsi="Calibri" w:cs="Times New Roman"/>
                <w:color w:val="000000"/>
                <w:sz w:val="20"/>
                <w:szCs w:val="20"/>
                <w:lang w:eastAsia="ja-JP"/>
              </w:rPr>
              <w:t>.0</w:t>
            </w:r>
          </w:p>
        </w:tc>
        <w:tc>
          <w:tcPr>
            <w:tcW w:w="719" w:type="dxa"/>
            <w:tcBorders>
              <w:top w:val="nil"/>
              <w:bottom w:val="nil"/>
            </w:tcBorders>
            <w:shd w:val="clear" w:color="auto" w:fill="auto"/>
            <w:hideMark/>
          </w:tcPr>
          <w:p w:rsidR="00516C37" w:rsidRDefault="00516C37" w:rsidP="00904B61">
            <w:pPr>
              <w:spacing w:before="120" w:after="120" w:line="240" w:lineRule="auto"/>
              <w:jc w:val="center"/>
              <w:rPr>
                <w:rFonts w:ascii="Calibri" w:eastAsia="Times New Roman" w:hAnsi="Calibri" w:cs="Times New Roman"/>
                <w:color w:val="000000"/>
                <w:sz w:val="20"/>
                <w:szCs w:val="20"/>
                <w:lang w:eastAsia="ja-JP"/>
              </w:rPr>
            </w:pPr>
            <w:r w:rsidRPr="004002E0">
              <w:rPr>
                <w:rFonts w:ascii="Calibri" w:eastAsia="Times New Roman" w:hAnsi="Calibri" w:cs="Times New Roman"/>
                <w:color w:val="000000"/>
                <w:sz w:val="20"/>
                <w:szCs w:val="20"/>
                <w:lang w:eastAsia="ja-JP"/>
              </w:rPr>
              <w:t>46.17</w:t>
            </w:r>
          </w:p>
        </w:tc>
        <w:tc>
          <w:tcPr>
            <w:tcW w:w="653" w:type="dxa"/>
            <w:tcBorders>
              <w:top w:val="nil"/>
              <w:bottom w:val="nil"/>
            </w:tcBorders>
            <w:shd w:val="clear" w:color="auto" w:fill="auto"/>
            <w:hideMark/>
          </w:tcPr>
          <w:p w:rsidR="00516C37" w:rsidRDefault="008D6E7E" w:rsidP="008D6E7E">
            <w:pPr>
              <w:spacing w:before="120" w:after="120" w:line="240" w:lineRule="auto"/>
              <w:jc w:val="center"/>
              <w:rPr>
                <w:rFonts w:ascii="Calibri" w:eastAsia="Times New Roman" w:hAnsi="Calibri" w:cs="Times New Roman"/>
                <w:color w:val="000000"/>
                <w:sz w:val="20"/>
                <w:szCs w:val="20"/>
                <w:lang w:eastAsia="ja-JP"/>
              </w:rPr>
            </w:pPr>
            <w:r>
              <w:rPr>
                <w:rFonts w:ascii="Calibri" w:eastAsia="Times New Roman" w:hAnsi="Calibri" w:cs="Times New Roman"/>
                <w:color w:val="000000"/>
                <w:sz w:val="20"/>
                <w:szCs w:val="20"/>
                <w:lang w:eastAsia="ja-JP"/>
              </w:rPr>
              <w:t>70</w:t>
            </w:r>
          </w:p>
        </w:tc>
        <w:tc>
          <w:tcPr>
            <w:tcW w:w="630" w:type="dxa"/>
            <w:tcBorders>
              <w:top w:val="nil"/>
              <w:bottom w:val="nil"/>
            </w:tcBorders>
            <w:shd w:val="clear" w:color="auto" w:fill="auto"/>
            <w:noWrap/>
            <w:hideMark/>
          </w:tcPr>
          <w:p w:rsidR="00516C37" w:rsidRDefault="00516C37" w:rsidP="00904B61">
            <w:pPr>
              <w:spacing w:before="120" w:after="120" w:line="240" w:lineRule="auto"/>
              <w:jc w:val="center"/>
              <w:rPr>
                <w:rFonts w:ascii="Calibri" w:eastAsia="Times New Roman" w:hAnsi="Calibri" w:cs="Times New Roman"/>
                <w:color w:val="000000"/>
                <w:sz w:val="20"/>
                <w:szCs w:val="20"/>
                <w:lang w:eastAsia="ja-JP"/>
              </w:rPr>
            </w:pPr>
            <w:r w:rsidRPr="004002E0">
              <w:rPr>
                <w:rFonts w:ascii="Calibri" w:eastAsia="Times New Roman" w:hAnsi="Calibri" w:cs="Times New Roman"/>
                <w:color w:val="000000"/>
                <w:sz w:val="20"/>
                <w:szCs w:val="20"/>
                <w:lang w:eastAsia="ja-JP"/>
              </w:rPr>
              <w:t>3</w:t>
            </w:r>
          </w:p>
        </w:tc>
        <w:tc>
          <w:tcPr>
            <w:tcW w:w="720" w:type="dxa"/>
            <w:tcBorders>
              <w:top w:val="nil"/>
              <w:bottom w:val="nil"/>
            </w:tcBorders>
            <w:shd w:val="clear" w:color="auto" w:fill="auto"/>
          </w:tcPr>
          <w:p w:rsidR="00516C37" w:rsidRDefault="008D6E7E" w:rsidP="00904B61">
            <w:pPr>
              <w:spacing w:before="120" w:after="120" w:line="240" w:lineRule="auto"/>
              <w:jc w:val="center"/>
              <w:rPr>
                <w:rFonts w:ascii="Calibri" w:eastAsia="Times New Roman" w:hAnsi="Calibri" w:cs="Times New Roman"/>
                <w:color w:val="000000"/>
                <w:sz w:val="20"/>
                <w:szCs w:val="20"/>
                <w:lang w:eastAsia="ja-JP"/>
              </w:rPr>
            </w:pPr>
            <w:r>
              <w:rPr>
                <w:rFonts w:ascii="Calibri" w:eastAsia="Times New Roman" w:hAnsi="Calibri" w:cs="Times New Roman"/>
                <w:color w:val="000000"/>
                <w:sz w:val="20"/>
                <w:szCs w:val="20"/>
                <w:lang w:eastAsia="ja-JP"/>
              </w:rPr>
              <w:t>21</w:t>
            </w:r>
          </w:p>
        </w:tc>
        <w:tc>
          <w:tcPr>
            <w:tcW w:w="787" w:type="dxa"/>
            <w:tcBorders>
              <w:top w:val="nil"/>
              <w:bottom w:val="nil"/>
            </w:tcBorders>
            <w:shd w:val="clear" w:color="auto" w:fill="auto"/>
            <w:hideMark/>
          </w:tcPr>
          <w:p w:rsidR="00516C37" w:rsidRDefault="008D6E7E" w:rsidP="007E5A77">
            <w:pPr>
              <w:spacing w:before="120" w:after="120" w:line="240" w:lineRule="auto"/>
              <w:jc w:val="right"/>
              <w:rPr>
                <w:rFonts w:ascii="Calibri" w:eastAsia="Times New Roman" w:hAnsi="Calibri" w:cs="Times New Roman"/>
                <w:color w:val="000000"/>
                <w:sz w:val="20"/>
                <w:szCs w:val="20"/>
                <w:lang w:eastAsia="ja-JP"/>
              </w:rPr>
            </w:pPr>
            <w:r>
              <w:rPr>
                <w:rFonts w:ascii="Calibri" w:eastAsia="Times New Roman" w:hAnsi="Calibri" w:cs="Times New Roman"/>
                <w:color w:val="000000"/>
                <w:sz w:val="20"/>
                <w:szCs w:val="20"/>
                <w:lang w:eastAsia="ja-JP"/>
              </w:rPr>
              <w:t>210</w:t>
            </w:r>
            <w:r w:rsidR="00516C37" w:rsidRPr="004002E0">
              <w:rPr>
                <w:rFonts w:ascii="Calibri" w:eastAsia="Times New Roman" w:hAnsi="Calibri" w:cs="Times New Roman"/>
                <w:color w:val="000000"/>
                <w:sz w:val="20"/>
                <w:szCs w:val="20"/>
                <w:lang w:eastAsia="ja-JP"/>
              </w:rPr>
              <w:t>.0</w:t>
            </w:r>
          </w:p>
        </w:tc>
        <w:tc>
          <w:tcPr>
            <w:tcW w:w="1046" w:type="dxa"/>
            <w:tcBorders>
              <w:top w:val="nil"/>
              <w:bottom w:val="nil"/>
            </w:tcBorders>
            <w:shd w:val="clear" w:color="auto" w:fill="auto"/>
            <w:noWrap/>
            <w:hideMark/>
          </w:tcPr>
          <w:p w:rsidR="00516C37" w:rsidRPr="00F927B7" w:rsidRDefault="008D6E7E" w:rsidP="008D6E7E">
            <w:pPr>
              <w:spacing w:before="120" w:after="120" w:line="240" w:lineRule="auto"/>
              <w:jc w:val="right"/>
              <w:rPr>
                <w:rFonts w:ascii="Calibri" w:eastAsia="Times New Roman" w:hAnsi="Calibri" w:cs="Times New Roman"/>
                <w:color w:val="000000"/>
                <w:sz w:val="20"/>
                <w:szCs w:val="20"/>
                <w:lang w:eastAsia="ja-JP"/>
              </w:rPr>
            </w:pPr>
            <w:r>
              <w:rPr>
                <w:rFonts w:ascii="Calibri" w:eastAsia="Times New Roman" w:hAnsi="Calibri" w:cs="Times New Roman"/>
                <w:color w:val="000000"/>
                <w:sz w:val="20"/>
                <w:szCs w:val="20"/>
                <w:lang w:eastAsia="ja-JP"/>
              </w:rPr>
              <w:t>9</w:t>
            </w:r>
            <w:r w:rsidR="00190885">
              <w:rPr>
                <w:rFonts w:ascii="Calibri" w:eastAsia="Times New Roman" w:hAnsi="Calibri" w:cs="Times New Roman"/>
                <w:color w:val="000000"/>
                <w:sz w:val="20"/>
                <w:szCs w:val="20"/>
                <w:lang w:eastAsia="ja-JP"/>
              </w:rPr>
              <w:t>,</w:t>
            </w:r>
            <w:r>
              <w:rPr>
                <w:rFonts w:ascii="Calibri" w:eastAsia="Times New Roman" w:hAnsi="Calibri" w:cs="Times New Roman"/>
                <w:color w:val="000000"/>
                <w:sz w:val="20"/>
                <w:szCs w:val="20"/>
                <w:lang w:eastAsia="ja-JP"/>
              </w:rPr>
              <w:t>695.70</w:t>
            </w:r>
          </w:p>
        </w:tc>
        <w:tc>
          <w:tcPr>
            <w:tcW w:w="630" w:type="dxa"/>
            <w:tcBorders>
              <w:top w:val="nil"/>
              <w:bottom w:val="nil"/>
            </w:tcBorders>
          </w:tcPr>
          <w:p w:rsidR="00516C37" w:rsidRPr="000A1657" w:rsidRDefault="008D6E7E" w:rsidP="00904B61">
            <w:pPr>
              <w:spacing w:before="120" w:after="120" w:line="240" w:lineRule="auto"/>
              <w:jc w:val="right"/>
              <w:rPr>
                <w:rFonts w:ascii="Calibri" w:eastAsia="Times New Roman" w:hAnsi="Calibri" w:cs="Times New Roman"/>
                <w:color w:val="000000"/>
                <w:sz w:val="20"/>
                <w:szCs w:val="20"/>
                <w:lang w:eastAsia="ja-JP"/>
              </w:rPr>
            </w:pPr>
            <w:r>
              <w:rPr>
                <w:rFonts w:ascii="Calibri" w:eastAsia="Times New Roman" w:hAnsi="Calibri" w:cs="Times New Roman"/>
                <w:color w:val="000000"/>
                <w:sz w:val="20"/>
                <w:szCs w:val="20"/>
                <w:lang w:eastAsia="ja-JP"/>
              </w:rPr>
              <w:t>7</w:t>
            </w:r>
            <w:r w:rsidR="00314EEF">
              <w:rPr>
                <w:rFonts w:ascii="Calibri" w:eastAsia="Times New Roman" w:hAnsi="Calibri" w:cs="Times New Roman"/>
                <w:color w:val="000000"/>
                <w:sz w:val="20"/>
                <w:szCs w:val="20"/>
                <w:lang w:eastAsia="ja-JP"/>
              </w:rPr>
              <w:t>.0</w:t>
            </w:r>
          </w:p>
        </w:tc>
        <w:tc>
          <w:tcPr>
            <w:tcW w:w="720" w:type="dxa"/>
            <w:tcBorders>
              <w:top w:val="nil"/>
              <w:bottom w:val="nil"/>
            </w:tcBorders>
            <w:shd w:val="clear" w:color="auto" w:fill="auto"/>
            <w:hideMark/>
          </w:tcPr>
          <w:p w:rsidR="00516C37" w:rsidRDefault="00BE1995" w:rsidP="007E5A77">
            <w:pPr>
              <w:spacing w:before="120" w:after="120" w:line="240" w:lineRule="auto"/>
              <w:jc w:val="right"/>
              <w:rPr>
                <w:rFonts w:ascii="Calibri" w:eastAsia="Times New Roman" w:hAnsi="Calibri" w:cs="Times New Roman"/>
                <w:color w:val="000000"/>
                <w:sz w:val="20"/>
                <w:szCs w:val="20"/>
                <w:lang w:eastAsia="ja-JP"/>
              </w:rPr>
            </w:pPr>
            <w:r>
              <w:rPr>
                <w:rFonts w:ascii="Calibri" w:eastAsia="Times New Roman" w:hAnsi="Calibri" w:cs="Times New Roman"/>
                <w:color w:val="000000"/>
                <w:sz w:val="20"/>
                <w:szCs w:val="20"/>
                <w:lang w:eastAsia="ja-JP"/>
              </w:rPr>
              <w:t>70.0</w:t>
            </w:r>
          </w:p>
        </w:tc>
        <w:tc>
          <w:tcPr>
            <w:tcW w:w="934" w:type="dxa"/>
            <w:tcBorders>
              <w:top w:val="nil"/>
              <w:bottom w:val="nil"/>
            </w:tcBorders>
            <w:noWrap/>
            <w:hideMark/>
          </w:tcPr>
          <w:p w:rsidR="00516C37" w:rsidRPr="00F927B7" w:rsidRDefault="00BE1995" w:rsidP="00BE1995">
            <w:pPr>
              <w:spacing w:before="120" w:after="120" w:line="240" w:lineRule="auto"/>
              <w:jc w:val="right"/>
              <w:rPr>
                <w:rFonts w:ascii="Calibri" w:eastAsia="Times New Roman" w:hAnsi="Calibri" w:cs="Times New Roman"/>
                <w:color w:val="000000"/>
                <w:sz w:val="20"/>
                <w:szCs w:val="20"/>
                <w:lang w:eastAsia="ja-JP"/>
              </w:rPr>
            </w:pPr>
            <w:r>
              <w:rPr>
                <w:rFonts w:ascii="Calibri" w:eastAsia="Times New Roman" w:hAnsi="Calibri" w:cs="Times New Roman"/>
                <w:color w:val="000000"/>
                <w:sz w:val="20"/>
                <w:szCs w:val="20"/>
                <w:lang w:eastAsia="ja-JP"/>
              </w:rPr>
              <w:t>3</w:t>
            </w:r>
            <w:r w:rsidR="00314EEF">
              <w:rPr>
                <w:rFonts w:ascii="Calibri" w:eastAsia="Times New Roman" w:hAnsi="Calibri" w:cs="Times New Roman"/>
                <w:color w:val="000000"/>
                <w:sz w:val="20"/>
                <w:szCs w:val="20"/>
                <w:lang w:eastAsia="ja-JP"/>
              </w:rPr>
              <w:t>,</w:t>
            </w:r>
            <w:r>
              <w:rPr>
                <w:rFonts w:ascii="Calibri" w:eastAsia="Times New Roman" w:hAnsi="Calibri" w:cs="Times New Roman"/>
                <w:color w:val="000000"/>
                <w:sz w:val="20"/>
                <w:szCs w:val="20"/>
                <w:lang w:eastAsia="ja-JP"/>
              </w:rPr>
              <w:t>231.90</w:t>
            </w:r>
            <w:r w:rsidR="002A2D77" w:rsidRPr="00F927B7">
              <w:rPr>
                <w:rFonts w:ascii="Calibri" w:eastAsia="Times New Roman" w:hAnsi="Calibri" w:cs="Times New Roman"/>
                <w:color w:val="000000"/>
                <w:sz w:val="20"/>
                <w:szCs w:val="20"/>
                <w:lang w:eastAsia="ja-JP"/>
              </w:rPr>
              <w:t xml:space="preserve"> </w:t>
            </w:r>
          </w:p>
        </w:tc>
      </w:tr>
      <w:tr w:rsidR="00516C37" w:rsidRPr="00A92551" w:rsidTr="00BE1995">
        <w:trPr>
          <w:trHeight w:val="300"/>
        </w:trPr>
        <w:tc>
          <w:tcPr>
            <w:tcW w:w="1803" w:type="dxa"/>
            <w:tcBorders>
              <w:top w:val="nil"/>
            </w:tcBorders>
            <w:shd w:val="clear" w:color="auto" w:fill="auto"/>
            <w:hideMark/>
          </w:tcPr>
          <w:p w:rsidR="00516C37" w:rsidRDefault="00516C37" w:rsidP="00904B61">
            <w:pPr>
              <w:spacing w:before="120" w:after="120" w:line="240" w:lineRule="auto"/>
              <w:rPr>
                <w:rFonts w:ascii="Calibri" w:eastAsia="Times New Roman" w:hAnsi="Calibri" w:cs="Times New Roman"/>
                <w:color w:val="000000"/>
                <w:sz w:val="20"/>
                <w:szCs w:val="20"/>
                <w:lang w:eastAsia="ja-JP"/>
              </w:rPr>
            </w:pPr>
            <w:r w:rsidRPr="004002E0">
              <w:rPr>
                <w:rFonts w:ascii="Calibri" w:eastAsia="Times New Roman" w:hAnsi="Calibri" w:cs="Times New Roman"/>
                <w:color w:val="000000"/>
                <w:sz w:val="20"/>
                <w:szCs w:val="20"/>
                <w:lang w:eastAsia="ja-JP"/>
              </w:rPr>
              <w:t>Total</w:t>
            </w:r>
          </w:p>
        </w:tc>
        <w:tc>
          <w:tcPr>
            <w:tcW w:w="629" w:type="dxa"/>
            <w:tcBorders>
              <w:top w:val="nil"/>
            </w:tcBorders>
            <w:shd w:val="clear" w:color="auto" w:fill="auto"/>
            <w:noWrap/>
            <w:hideMark/>
          </w:tcPr>
          <w:p w:rsidR="00516C37" w:rsidRDefault="00516C37" w:rsidP="00904B61">
            <w:pPr>
              <w:spacing w:before="120" w:after="120" w:line="240" w:lineRule="auto"/>
              <w:jc w:val="right"/>
              <w:rPr>
                <w:rFonts w:ascii="Calibri" w:eastAsia="Times New Roman" w:hAnsi="Calibri" w:cs="Times New Roman"/>
                <w:color w:val="000000"/>
                <w:sz w:val="20"/>
                <w:szCs w:val="20"/>
                <w:lang w:eastAsia="ja-JP"/>
              </w:rPr>
            </w:pPr>
          </w:p>
        </w:tc>
        <w:tc>
          <w:tcPr>
            <w:tcW w:w="629" w:type="dxa"/>
            <w:tcBorders>
              <w:top w:val="nil"/>
            </w:tcBorders>
            <w:shd w:val="clear" w:color="auto" w:fill="auto"/>
            <w:noWrap/>
            <w:hideMark/>
          </w:tcPr>
          <w:p w:rsidR="00516C37" w:rsidRDefault="00516C37" w:rsidP="00904B61">
            <w:pPr>
              <w:spacing w:before="120" w:after="120" w:line="240" w:lineRule="auto"/>
              <w:jc w:val="right"/>
              <w:rPr>
                <w:rFonts w:ascii="Calibri" w:eastAsia="Times New Roman" w:hAnsi="Calibri" w:cs="Times New Roman"/>
                <w:color w:val="000000"/>
                <w:sz w:val="20"/>
                <w:szCs w:val="20"/>
                <w:lang w:eastAsia="ja-JP"/>
              </w:rPr>
            </w:pPr>
          </w:p>
        </w:tc>
        <w:tc>
          <w:tcPr>
            <w:tcW w:w="719" w:type="dxa"/>
            <w:tcBorders>
              <w:top w:val="nil"/>
            </w:tcBorders>
            <w:shd w:val="clear" w:color="auto" w:fill="auto"/>
            <w:noWrap/>
            <w:hideMark/>
          </w:tcPr>
          <w:p w:rsidR="00516C37" w:rsidRDefault="00516C37" w:rsidP="00904B61">
            <w:pPr>
              <w:spacing w:before="120" w:after="120" w:line="240" w:lineRule="auto"/>
              <w:jc w:val="right"/>
              <w:rPr>
                <w:rFonts w:ascii="Calibri" w:eastAsia="Times New Roman" w:hAnsi="Calibri" w:cs="Times New Roman"/>
                <w:color w:val="000000"/>
                <w:sz w:val="20"/>
                <w:szCs w:val="20"/>
                <w:lang w:eastAsia="ja-JP"/>
              </w:rPr>
            </w:pPr>
          </w:p>
        </w:tc>
        <w:tc>
          <w:tcPr>
            <w:tcW w:w="653" w:type="dxa"/>
            <w:tcBorders>
              <w:top w:val="nil"/>
            </w:tcBorders>
            <w:shd w:val="clear" w:color="auto" w:fill="auto"/>
            <w:noWrap/>
            <w:hideMark/>
          </w:tcPr>
          <w:p w:rsidR="00516C37" w:rsidRDefault="00516C37" w:rsidP="00904B61">
            <w:pPr>
              <w:spacing w:before="120" w:after="120" w:line="240" w:lineRule="auto"/>
              <w:jc w:val="right"/>
              <w:rPr>
                <w:rFonts w:ascii="Calibri" w:eastAsia="Times New Roman" w:hAnsi="Calibri" w:cs="Times New Roman"/>
                <w:color w:val="000000"/>
                <w:sz w:val="20"/>
                <w:szCs w:val="20"/>
                <w:lang w:eastAsia="ja-JP"/>
              </w:rPr>
            </w:pPr>
          </w:p>
        </w:tc>
        <w:tc>
          <w:tcPr>
            <w:tcW w:w="630" w:type="dxa"/>
            <w:tcBorders>
              <w:top w:val="nil"/>
            </w:tcBorders>
            <w:shd w:val="clear" w:color="auto" w:fill="auto"/>
            <w:noWrap/>
            <w:hideMark/>
          </w:tcPr>
          <w:p w:rsidR="00516C37" w:rsidRDefault="00516C37" w:rsidP="00904B61">
            <w:pPr>
              <w:spacing w:before="120" w:after="120" w:line="240" w:lineRule="auto"/>
              <w:jc w:val="right"/>
              <w:rPr>
                <w:rFonts w:ascii="Calibri" w:eastAsia="Times New Roman" w:hAnsi="Calibri" w:cs="Times New Roman"/>
                <w:color w:val="000000"/>
                <w:sz w:val="20"/>
                <w:szCs w:val="20"/>
                <w:lang w:eastAsia="ja-JP"/>
              </w:rPr>
            </w:pPr>
          </w:p>
        </w:tc>
        <w:tc>
          <w:tcPr>
            <w:tcW w:w="720" w:type="dxa"/>
            <w:tcBorders>
              <w:top w:val="nil"/>
            </w:tcBorders>
            <w:shd w:val="clear" w:color="auto" w:fill="auto"/>
          </w:tcPr>
          <w:p w:rsidR="00516C37" w:rsidRDefault="008D6E7E" w:rsidP="00904B61">
            <w:pPr>
              <w:spacing w:before="120" w:after="120" w:line="240" w:lineRule="auto"/>
              <w:jc w:val="center"/>
              <w:rPr>
                <w:rFonts w:ascii="Calibri" w:eastAsia="Times New Roman" w:hAnsi="Calibri" w:cs="Times New Roman"/>
                <w:color w:val="000000"/>
                <w:sz w:val="20"/>
                <w:szCs w:val="20"/>
                <w:lang w:eastAsia="ja-JP"/>
              </w:rPr>
            </w:pPr>
            <w:r>
              <w:rPr>
                <w:rFonts w:ascii="Calibri" w:eastAsia="Times New Roman" w:hAnsi="Calibri" w:cs="Times New Roman"/>
                <w:color w:val="000000"/>
                <w:sz w:val="20"/>
                <w:szCs w:val="20"/>
                <w:lang w:eastAsia="ja-JP"/>
              </w:rPr>
              <w:t>31</w:t>
            </w:r>
          </w:p>
        </w:tc>
        <w:tc>
          <w:tcPr>
            <w:tcW w:w="787" w:type="dxa"/>
            <w:tcBorders>
              <w:top w:val="nil"/>
            </w:tcBorders>
            <w:shd w:val="clear" w:color="auto" w:fill="auto"/>
            <w:noWrap/>
            <w:hideMark/>
          </w:tcPr>
          <w:p w:rsidR="00516C37" w:rsidRDefault="008D6E7E" w:rsidP="008D6E7E">
            <w:pPr>
              <w:spacing w:before="120" w:after="120" w:line="240" w:lineRule="auto"/>
              <w:jc w:val="right"/>
              <w:rPr>
                <w:rFonts w:ascii="Calibri" w:eastAsia="Times New Roman" w:hAnsi="Calibri" w:cs="Times New Roman"/>
                <w:color w:val="000000"/>
                <w:sz w:val="20"/>
                <w:szCs w:val="20"/>
                <w:lang w:eastAsia="ja-JP"/>
              </w:rPr>
            </w:pPr>
            <w:r>
              <w:rPr>
                <w:rFonts w:ascii="Calibri" w:eastAsia="Times New Roman" w:hAnsi="Calibri" w:cs="Times New Roman"/>
                <w:color w:val="000000"/>
                <w:sz w:val="20"/>
                <w:szCs w:val="20"/>
                <w:lang w:eastAsia="ja-JP"/>
              </w:rPr>
              <w:t>231.5</w:t>
            </w:r>
          </w:p>
        </w:tc>
        <w:tc>
          <w:tcPr>
            <w:tcW w:w="1046" w:type="dxa"/>
            <w:tcBorders>
              <w:top w:val="nil"/>
            </w:tcBorders>
            <w:shd w:val="clear" w:color="auto" w:fill="auto"/>
            <w:noWrap/>
            <w:hideMark/>
          </w:tcPr>
          <w:p w:rsidR="00516C37" w:rsidRPr="00F927B7" w:rsidRDefault="00190885" w:rsidP="00190885">
            <w:pPr>
              <w:spacing w:before="120" w:after="120" w:line="240" w:lineRule="auto"/>
              <w:jc w:val="right"/>
              <w:rPr>
                <w:rFonts w:ascii="Calibri" w:eastAsia="Times New Roman" w:hAnsi="Calibri" w:cs="Times New Roman"/>
                <w:color w:val="000000"/>
                <w:sz w:val="20"/>
                <w:szCs w:val="20"/>
                <w:lang w:eastAsia="ja-JP"/>
              </w:rPr>
            </w:pPr>
            <w:r>
              <w:rPr>
                <w:rFonts w:ascii="Calibri" w:eastAsia="Times New Roman" w:hAnsi="Calibri" w:cs="Times New Roman"/>
                <w:color w:val="000000"/>
                <w:sz w:val="20"/>
                <w:szCs w:val="20"/>
                <w:lang w:eastAsia="ja-JP"/>
              </w:rPr>
              <w:t>10,688.36</w:t>
            </w:r>
            <w:r w:rsidR="002A2D77" w:rsidRPr="00F927B7">
              <w:rPr>
                <w:rFonts w:ascii="Calibri" w:eastAsia="Times New Roman" w:hAnsi="Calibri" w:cs="Times New Roman"/>
                <w:color w:val="000000"/>
                <w:sz w:val="20"/>
                <w:szCs w:val="20"/>
                <w:lang w:eastAsia="ja-JP"/>
              </w:rPr>
              <w:t xml:space="preserve"> </w:t>
            </w:r>
          </w:p>
        </w:tc>
        <w:tc>
          <w:tcPr>
            <w:tcW w:w="630" w:type="dxa"/>
            <w:tcBorders>
              <w:top w:val="nil"/>
            </w:tcBorders>
          </w:tcPr>
          <w:p w:rsidR="00516C37" w:rsidRPr="000A1657" w:rsidRDefault="008D6E7E" w:rsidP="008D6E7E">
            <w:pPr>
              <w:spacing w:before="120" w:after="120" w:line="240" w:lineRule="auto"/>
              <w:jc w:val="right"/>
              <w:rPr>
                <w:rFonts w:ascii="Calibri" w:eastAsia="Times New Roman" w:hAnsi="Calibri" w:cs="Times New Roman"/>
                <w:color w:val="000000"/>
                <w:sz w:val="20"/>
                <w:szCs w:val="20"/>
                <w:lang w:eastAsia="ja-JP"/>
              </w:rPr>
            </w:pPr>
            <w:r>
              <w:rPr>
                <w:rFonts w:ascii="Calibri" w:eastAsia="Times New Roman" w:hAnsi="Calibri" w:cs="Times New Roman"/>
                <w:color w:val="000000"/>
                <w:sz w:val="20"/>
                <w:szCs w:val="20"/>
                <w:lang w:eastAsia="ja-JP"/>
              </w:rPr>
              <w:t>10</w:t>
            </w:r>
            <w:r w:rsidR="00516C37">
              <w:rPr>
                <w:rFonts w:ascii="Calibri" w:eastAsia="Times New Roman" w:hAnsi="Calibri" w:cs="Times New Roman"/>
                <w:color w:val="000000"/>
                <w:sz w:val="20"/>
                <w:szCs w:val="20"/>
                <w:lang w:eastAsia="ja-JP"/>
              </w:rPr>
              <w:t>.</w:t>
            </w:r>
            <w:r>
              <w:rPr>
                <w:rFonts w:ascii="Calibri" w:eastAsia="Times New Roman" w:hAnsi="Calibri" w:cs="Times New Roman"/>
                <w:color w:val="000000"/>
                <w:sz w:val="20"/>
                <w:szCs w:val="20"/>
                <w:lang w:eastAsia="ja-JP"/>
              </w:rPr>
              <w:t>3</w:t>
            </w:r>
          </w:p>
        </w:tc>
        <w:tc>
          <w:tcPr>
            <w:tcW w:w="720" w:type="dxa"/>
            <w:tcBorders>
              <w:top w:val="nil"/>
            </w:tcBorders>
            <w:shd w:val="clear" w:color="auto" w:fill="auto"/>
            <w:noWrap/>
            <w:hideMark/>
          </w:tcPr>
          <w:p w:rsidR="00516C37" w:rsidRDefault="00BE1995" w:rsidP="007E5A77">
            <w:pPr>
              <w:spacing w:before="120" w:after="120" w:line="240" w:lineRule="auto"/>
              <w:jc w:val="right"/>
              <w:rPr>
                <w:rFonts w:ascii="Calibri" w:eastAsia="Times New Roman" w:hAnsi="Calibri" w:cs="Times New Roman"/>
                <w:color w:val="000000"/>
                <w:sz w:val="20"/>
                <w:szCs w:val="20"/>
                <w:lang w:eastAsia="ja-JP"/>
              </w:rPr>
            </w:pPr>
            <w:r>
              <w:rPr>
                <w:rFonts w:ascii="Calibri" w:eastAsia="Times New Roman" w:hAnsi="Calibri" w:cs="Times New Roman"/>
                <w:color w:val="000000"/>
                <w:sz w:val="20"/>
                <w:szCs w:val="20"/>
                <w:lang w:eastAsia="ja-JP"/>
              </w:rPr>
              <w:t>77.2</w:t>
            </w:r>
          </w:p>
        </w:tc>
        <w:tc>
          <w:tcPr>
            <w:tcW w:w="934" w:type="dxa"/>
            <w:tcBorders>
              <w:top w:val="nil"/>
            </w:tcBorders>
            <w:noWrap/>
            <w:hideMark/>
          </w:tcPr>
          <w:p w:rsidR="00516C37" w:rsidRPr="00F927B7" w:rsidRDefault="00BE1995" w:rsidP="00F927B7">
            <w:pPr>
              <w:spacing w:before="120" w:after="120" w:line="240" w:lineRule="auto"/>
              <w:jc w:val="right"/>
              <w:rPr>
                <w:rFonts w:ascii="Calibri" w:eastAsia="Times New Roman" w:hAnsi="Calibri" w:cs="Times New Roman"/>
                <w:color w:val="000000"/>
                <w:sz w:val="20"/>
                <w:szCs w:val="20"/>
                <w:lang w:eastAsia="ja-JP"/>
              </w:rPr>
            </w:pPr>
            <w:r>
              <w:rPr>
                <w:rFonts w:ascii="Calibri" w:eastAsia="Times New Roman" w:hAnsi="Calibri" w:cs="Times New Roman"/>
                <w:color w:val="000000"/>
                <w:sz w:val="20"/>
                <w:szCs w:val="20"/>
                <w:lang w:eastAsia="ja-JP"/>
              </w:rPr>
              <w:t>3</w:t>
            </w:r>
            <w:r w:rsidR="00314EEF">
              <w:rPr>
                <w:rFonts w:ascii="Calibri" w:eastAsia="Times New Roman" w:hAnsi="Calibri" w:cs="Times New Roman"/>
                <w:color w:val="000000"/>
                <w:sz w:val="20"/>
                <w:szCs w:val="20"/>
                <w:lang w:eastAsia="ja-JP"/>
              </w:rPr>
              <w:t>,</w:t>
            </w:r>
            <w:r>
              <w:rPr>
                <w:rFonts w:ascii="Calibri" w:eastAsia="Times New Roman" w:hAnsi="Calibri" w:cs="Times New Roman"/>
                <w:color w:val="000000"/>
                <w:sz w:val="20"/>
                <w:szCs w:val="20"/>
                <w:lang w:eastAsia="ja-JP"/>
              </w:rPr>
              <w:t>562.79</w:t>
            </w:r>
          </w:p>
        </w:tc>
      </w:tr>
    </w:tbl>
    <w:p w:rsidR="00E9602A" w:rsidRDefault="00890A95">
      <w:pPr>
        <w:pStyle w:val="Heading2"/>
        <w:numPr>
          <w:ilvl w:val="0"/>
          <w:numId w:val="14"/>
        </w:numPr>
        <w:ind w:left="360"/>
      </w:pPr>
      <w:bookmarkStart w:id="14" w:name="_Toc349642839"/>
      <w:r w:rsidRPr="00890A95">
        <w:t>Estimates of Other Total Annual Cost Burden to Respondents and Record Keepers</w:t>
      </w:r>
      <w:bookmarkEnd w:id="14"/>
    </w:p>
    <w:p w:rsidR="00520E62" w:rsidRDefault="00D4398A" w:rsidP="00520E62">
      <w:pPr>
        <w:autoSpaceDE w:val="0"/>
        <w:autoSpaceDN w:val="0"/>
        <w:adjustRightInd w:val="0"/>
        <w:spacing w:after="0" w:line="240" w:lineRule="auto"/>
        <w:rPr>
          <w:rFonts w:eastAsia="Times New Roman" w:cs="Times New Roman"/>
          <w:color w:val="000000"/>
          <w:lang w:bidi="lo-LA"/>
        </w:rPr>
      </w:pPr>
      <w:r>
        <w:rPr>
          <w:rFonts w:eastAsia="Times New Roman" w:cs="Times New Roman"/>
          <w:color w:val="000000"/>
          <w:lang w:bidi="lo-LA"/>
        </w:rPr>
        <w:t>There is</w:t>
      </w:r>
      <w:r w:rsidR="00890A95" w:rsidRPr="00890A95">
        <w:rPr>
          <w:rFonts w:eastAsia="Times New Roman" w:cs="Times New Roman"/>
          <w:color w:val="000000"/>
          <w:lang w:bidi="lo-LA"/>
        </w:rPr>
        <w:t xml:space="preserve"> no direct start-up </w:t>
      </w:r>
      <w:r w:rsidR="00520E62">
        <w:rPr>
          <w:rFonts w:eastAsia="Times New Roman" w:cs="Times New Roman"/>
          <w:color w:val="000000"/>
          <w:lang w:bidi="lo-LA"/>
        </w:rPr>
        <w:t xml:space="preserve">or other </w:t>
      </w:r>
      <w:r>
        <w:rPr>
          <w:rFonts w:eastAsia="Times New Roman" w:cs="Times New Roman"/>
          <w:color w:val="000000"/>
          <w:lang w:bidi="lo-LA"/>
        </w:rPr>
        <w:t>cost</w:t>
      </w:r>
      <w:r w:rsidR="00890A95" w:rsidRPr="00890A95">
        <w:rPr>
          <w:rFonts w:eastAsia="Times New Roman" w:cs="Times New Roman"/>
          <w:color w:val="000000"/>
          <w:lang w:bidi="lo-LA"/>
        </w:rPr>
        <w:t xml:space="preserve"> to </w:t>
      </w:r>
      <w:r w:rsidR="00520E62">
        <w:rPr>
          <w:rFonts w:eastAsia="Times New Roman" w:cs="Times New Roman"/>
          <w:color w:val="000000"/>
          <w:lang w:bidi="lo-LA"/>
        </w:rPr>
        <w:t xml:space="preserve">individual </w:t>
      </w:r>
      <w:r w:rsidR="00890A95" w:rsidRPr="00890A95">
        <w:rPr>
          <w:rFonts w:eastAsia="Times New Roman" w:cs="Times New Roman"/>
          <w:color w:val="000000"/>
          <w:lang w:bidi="lo-LA"/>
        </w:rPr>
        <w:t>respondents other than their time to participate in the evaluation, as estimated above.</w:t>
      </w:r>
      <w:r w:rsidR="00520E62">
        <w:rPr>
          <w:rFonts w:eastAsia="Times New Roman" w:cs="Times New Roman"/>
          <w:color w:val="000000"/>
          <w:lang w:bidi="lo-LA"/>
        </w:rPr>
        <w:t xml:space="preserve"> </w:t>
      </w:r>
    </w:p>
    <w:p w:rsidR="001956B8" w:rsidRDefault="001956B8" w:rsidP="00520E62">
      <w:pPr>
        <w:autoSpaceDE w:val="0"/>
        <w:autoSpaceDN w:val="0"/>
        <w:adjustRightInd w:val="0"/>
        <w:spacing w:after="0" w:line="240" w:lineRule="auto"/>
        <w:rPr>
          <w:rFonts w:eastAsia="Times New Roman" w:cs="Times New Roman"/>
          <w:color w:val="000000"/>
          <w:lang w:bidi="lo-LA"/>
        </w:rPr>
      </w:pPr>
    </w:p>
    <w:p w:rsidR="00E9602A" w:rsidRDefault="00890A95" w:rsidP="00520E62">
      <w:pPr>
        <w:pStyle w:val="Heading2"/>
        <w:numPr>
          <w:ilvl w:val="0"/>
          <w:numId w:val="14"/>
        </w:numPr>
        <w:ind w:left="360"/>
      </w:pPr>
      <w:bookmarkStart w:id="15" w:name="_Toc349642840"/>
      <w:r w:rsidRPr="00890A95">
        <w:t>Annualized Cost to the Federal Government</w:t>
      </w:r>
      <w:bookmarkEnd w:id="15"/>
    </w:p>
    <w:p w:rsidR="005D5312" w:rsidRDefault="00B14644">
      <w:pPr>
        <w:shd w:val="clear" w:color="auto" w:fill="FFFFFF"/>
        <w:spacing w:after="0" w:line="240" w:lineRule="auto"/>
      </w:pPr>
      <w:r w:rsidRPr="00B14644">
        <w:t xml:space="preserve">The estimated annual cost to the government </w:t>
      </w:r>
      <w:r w:rsidR="00674039">
        <w:t>is</w:t>
      </w:r>
      <w:r w:rsidRPr="00B14644">
        <w:t xml:space="preserve"> about </w:t>
      </w:r>
      <w:r w:rsidR="00AB334E">
        <w:t>$31,102</w:t>
      </w:r>
      <w:r w:rsidRPr="00B14644">
        <w:t xml:space="preserve"> for all direct and indirect costs of preparing and conducting interviews and annual data collection and analysis activities. </w:t>
      </w:r>
    </w:p>
    <w:p w:rsidR="00674039" w:rsidRDefault="00674039">
      <w:pPr>
        <w:shd w:val="clear" w:color="auto" w:fill="FFFFFF"/>
        <w:spacing w:after="0" w:line="240" w:lineRule="auto"/>
      </w:pPr>
    </w:p>
    <w:p w:rsidR="00674039" w:rsidRDefault="00674039">
      <w:pPr>
        <w:shd w:val="clear" w:color="auto" w:fill="FFFFFF"/>
        <w:spacing w:after="0" w:line="240" w:lineRule="auto"/>
      </w:pPr>
      <w:r>
        <w:rPr>
          <w:sz w:val="23"/>
          <w:szCs w:val="23"/>
        </w:rPr>
        <w:t>Federal FTE costs are expected to be negligible. The Project Officer for this CMS contract may be required to spend 0.2% of his time on the administration of this activity.</w:t>
      </w:r>
    </w:p>
    <w:p w:rsidR="001956B8" w:rsidRDefault="001956B8">
      <w:pPr>
        <w:shd w:val="clear" w:color="auto" w:fill="FFFFFF"/>
        <w:spacing w:after="0" w:line="240" w:lineRule="auto"/>
        <w:rPr>
          <w:rFonts w:eastAsia="Times New Roman" w:cs="Times New Roman"/>
          <w:color w:val="000000"/>
          <w:lang w:bidi="lo-LA"/>
        </w:rPr>
      </w:pPr>
    </w:p>
    <w:p w:rsidR="00E9602A" w:rsidRDefault="00890A95">
      <w:pPr>
        <w:pStyle w:val="Heading2"/>
        <w:numPr>
          <w:ilvl w:val="0"/>
          <w:numId w:val="14"/>
        </w:numPr>
        <w:ind w:left="360"/>
      </w:pPr>
      <w:bookmarkStart w:id="16" w:name="_Toc349642841"/>
      <w:r w:rsidRPr="00890A95">
        <w:t>Explanation for Program Changes or Adjustments</w:t>
      </w:r>
      <w:bookmarkEnd w:id="16"/>
    </w:p>
    <w:p w:rsidR="00E9602A" w:rsidRDefault="001F22D2">
      <w:pPr>
        <w:spacing w:after="0" w:line="240" w:lineRule="auto"/>
      </w:pPr>
      <w:r>
        <w:t>T</w:t>
      </w:r>
      <w:r w:rsidR="00CE24E0">
        <w:t>his is a new data collection.</w:t>
      </w:r>
    </w:p>
    <w:p w:rsidR="00E9602A" w:rsidRDefault="00E9602A">
      <w:pPr>
        <w:spacing w:after="0" w:line="240" w:lineRule="auto"/>
      </w:pPr>
    </w:p>
    <w:p w:rsidR="00E9602A" w:rsidRDefault="00890A95">
      <w:pPr>
        <w:pStyle w:val="Heading2"/>
        <w:numPr>
          <w:ilvl w:val="0"/>
          <w:numId w:val="14"/>
        </w:numPr>
        <w:ind w:left="360"/>
      </w:pPr>
      <w:bookmarkStart w:id="17" w:name="_Toc349642842"/>
      <w:r w:rsidRPr="00890A95">
        <w:t>Plans for Tabulation and Publication and Project Time Schedule</w:t>
      </w:r>
      <w:bookmarkEnd w:id="17"/>
    </w:p>
    <w:p w:rsidR="00682EE4" w:rsidRDefault="00674039" w:rsidP="00682EE4">
      <w:pPr>
        <w:shd w:val="clear" w:color="auto" w:fill="FFFFFF"/>
        <w:spacing w:after="0" w:line="240" w:lineRule="auto"/>
        <w:rPr>
          <w:rFonts w:eastAsia="Times New Roman" w:cs="Times New Roman"/>
          <w:color w:val="000000"/>
          <w:lang w:bidi="lo-LA"/>
        </w:rPr>
      </w:pPr>
      <w:r>
        <w:rPr>
          <w:rFonts w:eastAsia="Times New Roman" w:cs="Times New Roman"/>
          <w:color w:val="000000"/>
          <w:lang w:bidi="lo-LA"/>
        </w:rPr>
        <w:t>These r</w:t>
      </w:r>
      <w:r w:rsidR="00AB334E">
        <w:rPr>
          <w:rFonts w:eastAsia="Times New Roman" w:cs="Times New Roman"/>
          <w:color w:val="000000"/>
          <w:lang w:bidi="lo-LA"/>
        </w:rPr>
        <w:t>esults</w:t>
      </w:r>
      <w:r w:rsidR="00682EE4" w:rsidRPr="004002E0">
        <w:rPr>
          <w:rFonts w:eastAsia="Times New Roman" w:cs="Times New Roman"/>
          <w:color w:val="000000"/>
          <w:lang w:bidi="lo-LA"/>
        </w:rPr>
        <w:t xml:space="preserve"> will </w:t>
      </w:r>
      <w:r>
        <w:rPr>
          <w:rFonts w:eastAsia="Times New Roman" w:cs="Times New Roman"/>
          <w:color w:val="000000"/>
          <w:lang w:bidi="lo-LA"/>
        </w:rPr>
        <w:t>be presented</w:t>
      </w:r>
      <w:r w:rsidR="00682EE4" w:rsidRPr="004002E0">
        <w:rPr>
          <w:rFonts w:eastAsia="Times New Roman" w:cs="Times New Roman"/>
          <w:color w:val="000000"/>
          <w:lang w:bidi="lo-LA"/>
        </w:rPr>
        <w:t xml:space="preserve"> </w:t>
      </w:r>
      <w:r w:rsidR="003D5563">
        <w:rPr>
          <w:rFonts w:eastAsia="Times New Roman" w:cs="Times New Roman"/>
          <w:color w:val="000000"/>
          <w:lang w:bidi="lo-LA"/>
        </w:rPr>
        <w:t xml:space="preserve">in </w:t>
      </w:r>
      <w:r w:rsidR="00682EE4" w:rsidRPr="004002E0">
        <w:rPr>
          <w:rFonts w:eastAsia="Times New Roman" w:cs="Times New Roman"/>
          <w:color w:val="000000"/>
          <w:lang w:bidi="lo-LA"/>
        </w:rPr>
        <w:t>two interim reports and one final report to the CMS</w:t>
      </w:r>
      <w:r w:rsidR="00682EE4">
        <w:rPr>
          <w:rFonts w:eastAsia="Times New Roman" w:cs="Times New Roman"/>
          <w:color w:val="000000"/>
          <w:lang w:bidi="lo-LA"/>
        </w:rPr>
        <w:t>, which will be treated as internal documents of the CMS,</w:t>
      </w:r>
      <w:r w:rsidR="00682EE4" w:rsidRPr="004002E0">
        <w:rPr>
          <w:rFonts w:eastAsia="Times New Roman" w:cs="Times New Roman"/>
          <w:color w:val="000000"/>
          <w:lang w:bidi="lo-LA"/>
        </w:rPr>
        <w:t xml:space="preserve"> and the Report to Congress</w:t>
      </w:r>
      <w:r w:rsidR="00682EE4">
        <w:rPr>
          <w:rFonts w:eastAsia="Times New Roman" w:cs="Times New Roman"/>
          <w:color w:val="000000"/>
          <w:lang w:bidi="lo-LA"/>
        </w:rPr>
        <w:t xml:space="preserve">, which will be shared </w:t>
      </w:r>
      <w:r w:rsidR="00D70F8F">
        <w:rPr>
          <w:rFonts w:eastAsia="Times New Roman" w:cs="Times New Roman"/>
          <w:color w:val="000000"/>
          <w:lang w:bidi="lo-LA"/>
        </w:rPr>
        <w:t>externally</w:t>
      </w:r>
      <w:r w:rsidR="00682EE4">
        <w:rPr>
          <w:rFonts w:eastAsia="Times New Roman" w:cs="Times New Roman"/>
          <w:color w:val="000000"/>
          <w:lang w:bidi="lo-LA"/>
        </w:rPr>
        <w:t xml:space="preserve"> and treated as a public document</w:t>
      </w:r>
      <w:r>
        <w:rPr>
          <w:rFonts w:eastAsia="Times New Roman" w:cs="Times New Roman"/>
          <w:color w:val="000000"/>
          <w:lang w:bidi="lo-LA"/>
        </w:rPr>
        <w:t xml:space="preserve"> after submission to Congress</w:t>
      </w:r>
      <w:r w:rsidR="00682EE4">
        <w:rPr>
          <w:rFonts w:eastAsia="Times New Roman" w:cs="Times New Roman"/>
          <w:color w:val="000000"/>
          <w:lang w:bidi="lo-LA"/>
        </w:rPr>
        <w:t xml:space="preserve">. </w:t>
      </w:r>
    </w:p>
    <w:p w:rsidR="001956B8" w:rsidRDefault="001956B8" w:rsidP="00FA05B8">
      <w:pPr>
        <w:suppressLineNumbers/>
        <w:suppressAutoHyphens/>
        <w:spacing w:after="0" w:line="240" w:lineRule="auto"/>
      </w:pPr>
    </w:p>
    <w:p w:rsidR="00E9602A" w:rsidRDefault="00890A95">
      <w:pPr>
        <w:pStyle w:val="Heading2"/>
        <w:numPr>
          <w:ilvl w:val="0"/>
          <w:numId w:val="14"/>
        </w:numPr>
        <w:ind w:left="360"/>
      </w:pPr>
      <w:bookmarkStart w:id="18" w:name="_Toc349642843"/>
      <w:r w:rsidRPr="00890A95">
        <w:t>Reason(s) Display of OMB Expiration Date is Inappropriate</w:t>
      </w:r>
      <w:bookmarkEnd w:id="18"/>
    </w:p>
    <w:p w:rsidR="00E9602A" w:rsidRDefault="00E9602A">
      <w:pPr>
        <w:spacing w:after="0" w:line="240" w:lineRule="auto"/>
        <w:rPr>
          <w:rFonts w:eastAsia="Times New Roman" w:cs="Times New Roman"/>
          <w:color w:val="000000"/>
          <w:lang w:bidi="lo-LA"/>
        </w:rPr>
      </w:pPr>
    </w:p>
    <w:p w:rsidR="00520E62" w:rsidRDefault="00B14644" w:rsidP="00155DBA">
      <w:pPr>
        <w:spacing w:after="0" w:line="240" w:lineRule="auto"/>
        <w:rPr>
          <w:rFonts w:eastAsia="Times New Roman" w:cs="Times New Roman"/>
          <w:color w:val="000000"/>
          <w:lang w:bidi="lo-LA"/>
        </w:rPr>
      </w:pPr>
      <w:r w:rsidRPr="001956B8">
        <w:t xml:space="preserve">The expiration date </w:t>
      </w:r>
      <w:r w:rsidR="00520E62" w:rsidRPr="001956B8">
        <w:t xml:space="preserve">of the OMB approval </w:t>
      </w:r>
      <w:r w:rsidRPr="001956B8">
        <w:t xml:space="preserve">will be displayed on the </w:t>
      </w:r>
      <w:r w:rsidR="00155DBA" w:rsidRPr="001956B8">
        <w:t>first page</w:t>
      </w:r>
      <w:r w:rsidRPr="001956B8">
        <w:t xml:space="preserve"> of the </w:t>
      </w:r>
      <w:r w:rsidR="00D9461D" w:rsidRPr="001956B8">
        <w:rPr>
          <w:rFonts w:eastAsia="Times New Roman" w:cs="Times New Roman"/>
          <w:color w:val="000000"/>
          <w:lang w:bidi="lo-LA"/>
        </w:rPr>
        <w:t xml:space="preserve">interview protocols and the </w:t>
      </w:r>
      <w:r w:rsidR="0001112F" w:rsidRPr="001956B8">
        <w:rPr>
          <w:rFonts w:eastAsia="Times New Roman" w:cs="Times New Roman"/>
          <w:color w:val="000000"/>
          <w:lang w:bidi="lo-LA"/>
        </w:rPr>
        <w:t>annual</w:t>
      </w:r>
      <w:r w:rsidR="00D9461D" w:rsidRPr="001956B8">
        <w:rPr>
          <w:rFonts w:eastAsia="Times New Roman" w:cs="Times New Roman"/>
          <w:color w:val="000000"/>
          <w:lang w:bidi="lo-LA"/>
        </w:rPr>
        <w:t xml:space="preserve"> report (on the online</w:t>
      </w:r>
      <w:r w:rsidR="00155DBA" w:rsidRPr="001956B8">
        <w:rPr>
          <w:rFonts w:eastAsia="Times New Roman" w:cs="Times New Roman"/>
          <w:color w:val="000000"/>
          <w:lang w:bidi="lo-LA"/>
        </w:rPr>
        <w:t xml:space="preserve"> </w:t>
      </w:r>
      <w:r w:rsidR="0001112F" w:rsidRPr="001956B8">
        <w:rPr>
          <w:rFonts w:eastAsia="Times New Roman" w:cs="Times New Roman"/>
          <w:color w:val="000000"/>
          <w:lang w:bidi="lo-LA"/>
        </w:rPr>
        <w:t>template</w:t>
      </w:r>
      <w:r w:rsidR="00D9461D" w:rsidRPr="001956B8">
        <w:rPr>
          <w:rFonts w:eastAsia="Times New Roman" w:cs="Times New Roman"/>
          <w:color w:val="000000"/>
          <w:lang w:bidi="lo-LA"/>
        </w:rPr>
        <w:t xml:space="preserve"> or on the paper form)</w:t>
      </w:r>
      <w:r w:rsidR="00890A95" w:rsidRPr="001956B8">
        <w:rPr>
          <w:rFonts w:eastAsia="Times New Roman" w:cs="Times New Roman"/>
          <w:color w:val="000000"/>
          <w:lang w:bidi="lo-LA"/>
        </w:rPr>
        <w:t>.</w:t>
      </w:r>
      <w:r w:rsidR="00E11506">
        <w:rPr>
          <w:rFonts w:eastAsia="Times New Roman" w:cs="Times New Roman"/>
          <w:color w:val="000000"/>
          <w:lang w:bidi="lo-LA"/>
        </w:rPr>
        <w:t xml:space="preserve"> </w:t>
      </w:r>
      <w:r w:rsidR="00520E62" w:rsidRPr="001956B8">
        <w:rPr>
          <w:rFonts w:eastAsia="Times New Roman" w:cs="Times New Roman"/>
          <w:color w:val="000000"/>
          <w:lang w:bidi="lo-LA"/>
        </w:rPr>
        <w:t xml:space="preserve">The information on the </w:t>
      </w:r>
      <w:r w:rsidR="00B0484F" w:rsidRPr="001956B8">
        <w:rPr>
          <w:rFonts w:eastAsia="Times New Roman" w:cs="Times New Roman"/>
          <w:color w:val="000000"/>
          <w:lang w:bidi="lo-LA"/>
        </w:rPr>
        <w:t>expiration</w:t>
      </w:r>
      <w:r w:rsidR="00520E62" w:rsidRPr="001956B8">
        <w:rPr>
          <w:rFonts w:eastAsia="Times New Roman" w:cs="Times New Roman"/>
          <w:color w:val="000000"/>
          <w:lang w:bidi="lo-LA"/>
        </w:rPr>
        <w:t xml:space="preserve"> date will </w:t>
      </w:r>
      <w:r w:rsidR="00D46445" w:rsidRPr="001956B8">
        <w:rPr>
          <w:rFonts w:eastAsia="Times New Roman" w:cs="Times New Roman"/>
          <w:color w:val="000000"/>
          <w:lang w:bidi="lo-LA"/>
        </w:rPr>
        <w:t xml:space="preserve">also </w:t>
      </w:r>
      <w:r w:rsidR="00520E62" w:rsidRPr="001956B8">
        <w:rPr>
          <w:rFonts w:eastAsia="Times New Roman" w:cs="Times New Roman"/>
          <w:color w:val="000000"/>
          <w:lang w:bidi="lo-LA"/>
        </w:rPr>
        <w:t xml:space="preserve">be included in correspondence sent to the </w:t>
      </w:r>
      <w:r w:rsidR="00B0484F" w:rsidRPr="001956B8">
        <w:rPr>
          <w:rFonts w:eastAsia="Times New Roman" w:cs="Times New Roman"/>
          <w:color w:val="000000"/>
          <w:lang w:bidi="lo-LA"/>
        </w:rPr>
        <w:t>hospital</w:t>
      </w:r>
      <w:r w:rsidR="00520E62" w:rsidRPr="001956B8">
        <w:rPr>
          <w:rFonts w:eastAsia="Times New Roman" w:cs="Times New Roman"/>
          <w:color w:val="000000"/>
          <w:lang w:bidi="lo-LA"/>
        </w:rPr>
        <w:t xml:space="preserve"> respondents.</w:t>
      </w:r>
      <w:r w:rsidR="00E11506">
        <w:rPr>
          <w:rFonts w:eastAsia="Times New Roman" w:cs="Times New Roman"/>
          <w:color w:val="000000"/>
          <w:lang w:bidi="lo-LA"/>
        </w:rPr>
        <w:t xml:space="preserve"> </w:t>
      </w:r>
    </w:p>
    <w:p w:rsidR="00520E62" w:rsidRPr="00155DBA" w:rsidRDefault="00520E62" w:rsidP="00155DBA">
      <w:pPr>
        <w:spacing w:after="0" w:line="240" w:lineRule="auto"/>
        <w:rPr>
          <w:rFonts w:eastAsia="Times New Roman" w:cs="Times New Roman"/>
          <w:color w:val="000000"/>
          <w:lang w:bidi="lo-LA"/>
        </w:rPr>
      </w:pPr>
    </w:p>
    <w:p w:rsidR="00AB334E" w:rsidRDefault="00AB334E">
      <w:pPr>
        <w:rPr>
          <w:rFonts w:ascii="Calibri" w:hAnsi="Calibri" w:cs="Arial"/>
        </w:rPr>
      </w:pPr>
    </w:p>
    <w:p w:rsidR="00E9602A" w:rsidRDefault="00E9602A">
      <w:pPr>
        <w:shd w:val="clear" w:color="auto" w:fill="FFFFFF"/>
        <w:spacing w:after="0" w:line="240" w:lineRule="auto"/>
        <w:rPr>
          <w:rFonts w:eastAsia="Times New Roman" w:cs="Times New Roman"/>
          <w:color w:val="000000"/>
          <w:lang w:bidi="lo-LA"/>
        </w:rPr>
      </w:pPr>
    </w:p>
    <w:sectPr w:rsidR="00E9602A" w:rsidSect="00E92DA2">
      <w:headerReference w:type="default" r:id="rId10"/>
      <w:footerReference w:type="default" r:id="rId11"/>
      <w:headerReference w:type="first" r:id="rId12"/>
      <w:pgSz w:w="12240" w:h="15840"/>
      <w:pgMar w:top="1440" w:right="1440" w:bottom="1440" w:left="1440" w:header="1296" w:footer="158"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B28" w:rsidRDefault="00895B28" w:rsidP="00A57296">
      <w:r>
        <w:separator/>
      </w:r>
    </w:p>
  </w:endnote>
  <w:endnote w:type="continuationSeparator" w:id="0">
    <w:p w:rsidR="00895B28" w:rsidRDefault="00895B28" w:rsidP="00A57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852797"/>
      <w:docPartObj>
        <w:docPartGallery w:val="Page Numbers (Bottom of Page)"/>
        <w:docPartUnique/>
      </w:docPartObj>
    </w:sdtPr>
    <w:sdtEndPr/>
    <w:sdtContent>
      <w:p w:rsidR="000244B5" w:rsidRDefault="00EC1377">
        <w:pPr>
          <w:pStyle w:val="Footer"/>
          <w:jc w:val="right"/>
        </w:pPr>
        <w:r w:rsidRPr="00890A95">
          <w:rPr>
            <w:sz w:val="20"/>
            <w:szCs w:val="20"/>
          </w:rPr>
          <w:fldChar w:fldCharType="begin"/>
        </w:r>
        <w:r w:rsidR="000244B5" w:rsidRPr="00890A95">
          <w:rPr>
            <w:sz w:val="20"/>
            <w:szCs w:val="20"/>
          </w:rPr>
          <w:instrText xml:space="preserve"> PAGE   \* MERGEFORMAT </w:instrText>
        </w:r>
        <w:r w:rsidRPr="00890A95">
          <w:rPr>
            <w:sz w:val="20"/>
            <w:szCs w:val="20"/>
          </w:rPr>
          <w:fldChar w:fldCharType="separate"/>
        </w:r>
        <w:r w:rsidR="00E125C7">
          <w:rPr>
            <w:noProof/>
            <w:sz w:val="20"/>
            <w:szCs w:val="20"/>
          </w:rPr>
          <w:t>2</w:t>
        </w:r>
        <w:r w:rsidRPr="00890A95">
          <w:rPr>
            <w:sz w:val="20"/>
            <w:szCs w:val="20"/>
          </w:rPr>
          <w:fldChar w:fldCharType="end"/>
        </w:r>
      </w:p>
    </w:sdtContent>
  </w:sdt>
  <w:p w:rsidR="000244B5" w:rsidRDefault="000244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1641667"/>
      <w:docPartObj>
        <w:docPartGallery w:val="Page Numbers (Bottom of Page)"/>
        <w:docPartUnique/>
      </w:docPartObj>
    </w:sdtPr>
    <w:sdtEndPr/>
    <w:sdtContent>
      <w:p w:rsidR="000244B5" w:rsidRDefault="00EC1377">
        <w:pPr>
          <w:pStyle w:val="Footer"/>
          <w:jc w:val="right"/>
        </w:pPr>
        <w:r w:rsidRPr="00890A95">
          <w:rPr>
            <w:sz w:val="20"/>
            <w:szCs w:val="20"/>
          </w:rPr>
          <w:fldChar w:fldCharType="begin"/>
        </w:r>
        <w:r w:rsidR="000244B5" w:rsidRPr="00890A95">
          <w:rPr>
            <w:sz w:val="20"/>
            <w:szCs w:val="20"/>
          </w:rPr>
          <w:instrText xml:space="preserve"> PAGE   \* MERGEFORMAT </w:instrText>
        </w:r>
        <w:r w:rsidRPr="00890A95">
          <w:rPr>
            <w:sz w:val="20"/>
            <w:szCs w:val="20"/>
          </w:rPr>
          <w:fldChar w:fldCharType="separate"/>
        </w:r>
        <w:r w:rsidR="00FB7CB5">
          <w:rPr>
            <w:noProof/>
            <w:sz w:val="20"/>
            <w:szCs w:val="20"/>
          </w:rPr>
          <w:t>6</w:t>
        </w:r>
        <w:r w:rsidRPr="00890A95">
          <w:rPr>
            <w:sz w:val="20"/>
            <w:szCs w:val="20"/>
          </w:rPr>
          <w:fldChar w:fldCharType="end"/>
        </w:r>
      </w:p>
    </w:sdtContent>
  </w:sdt>
  <w:p w:rsidR="000244B5" w:rsidRDefault="000244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B28" w:rsidRDefault="00895B28" w:rsidP="00A57296">
      <w:r>
        <w:separator/>
      </w:r>
    </w:p>
  </w:footnote>
  <w:footnote w:type="continuationSeparator" w:id="0">
    <w:p w:rsidR="00895B28" w:rsidRDefault="00895B28" w:rsidP="00A57296">
      <w:r>
        <w:continuationSeparator/>
      </w:r>
    </w:p>
  </w:footnote>
  <w:footnote w:id="1">
    <w:p w:rsidR="000244B5" w:rsidRPr="00E97D41" w:rsidRDefault="000244B5" w:rsidP="008C68FE">
      <w:pPr>
        <w:pStyle w:val="FootnoteText"/>
        <w:ind w:firstLine="0"/>
        <w:rPr>
          <w:rFonts w:asciiTheme="minorHAnsi" w:hAnsiTheme="minorHAnsi"/>
        </w:rPr>
      </w:pPr>
      <w:r w:rsidRPr="00E97D41">
        <w:rPr>
          <w:rStyle w:val="FootnoteReference"/>
          <w:rFonts w:asciiTheme="minorHAnsi" w:hAnsiTheme="minorHAnsi"/>
        </w:rPr>
        <w:footnoteRef/>
      </w:r>
      <w:r w:rsidRPr="00E97D41">
        <w:rPr>
          <w:rFonts w:asciiTheme="minorHAnsi" w:hAnsiTheme="minorHAnsi"/>
        </w:rPr>
        <w:t xml:space="preserve"> Private sector hospitals include </w:t>
      </w:r>
      <w:r w:rsidRPr="00E97D41">
        <w:rPr>
          <w:rFonts w:asciiTheme="minorHAnsi" w:eastAsia="Times New Roman" w:hAnsiTheme="minorHAnsi" w:cs="Times New Roman"/>
          <w:color w:val="000000"/>
          <w:lang w:bidi="lo-LA"/>
        </w:rPr>
        <w:t xml:space="preserve">independent </w:t>
      </w:r>
      <w:proofErr w:type="spellStart"/>
      <w:r w:rsidRPr="00E97D41">
        <w:rPr>
          <w:rFonts w:asciiTheme="minorHAnsi" w:eastAsia="Times New Roman" w:hAnsiTheme="minorHAnsi" w:cs="Times New Roman"/>
          <w:color w:val="000000"/>
          <w:lang w:bidi="lo-LA"/>
        </w:rPr>
        <w:t>non profits</w:t>
      </w:r>
      <w:proofErr w:type="spellEnd"/>
      <w:r w:rsidRPr="00E97D41">
        <w:rPr>
          <w:rFonts w:asciiTheme="minorHAnsi" w:eastAsia="Times New Roman" w:hAnsiTheme="minorHAnsi" w:cs="Times New Roman"/>
          <w:color w:val="000000"/>
          <w:lang w:bidi="lo-LA"/>
        </w:rPr>
        <w:t xml:space="preserve"> or hospitals owned by multi hospital systems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4B5" w:rsidRDefault="000244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4B5" w:rsidRDefault="000244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06D2"/>
    <w:multiLevelType w:val="hybridMultilevel"/>
    <w:tmpl w:val="1A9C4A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561323"/>
    <w:multiLevelType w:val="multilevel"/>
    <w:tmpl w:val="D58E3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F92608"/>
    <w:multiLevelType w:val="hybridMultilevel"/>
    <w:tmpl w:val="8C60E0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FC1F6B"/>
    <w:multiLevelType w:val="hybridMultilevel"/>
    <w:tmpl w:val="E9AE4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1D1FBD"/>
    <w:multiLevelType w:val="hybridMultilevel"/>
    <w:tmpl w:val="8DE04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737B0F"/>
    <w:multiLevelType w:val="hybridMultilevel"/>
    <w:tmpl w:val="947E34FA"/>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6">
    <w:nsid w:val="1F7513D4"/>
    <w:multiLevelType w:val="hybridMultilevel"/>
    <w:tmpl w:val="A4584304"/>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80C0270"/>
    <w:multiLevelType w:val="hybridMultilevel"/>
    <w:tmpl w:val="786E8468"/>
    <w:lvl w:ilvl="0" w:tplc="8E12D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19E3B3F"/>
    <w:multiLevelType w:val="multilevel"/>
    <w:tmpl w:val="2C52B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BB0976"/>
    <w:multiLevelType w:val="hybridMultilevel"/>
    <w:tmpl w:val="C18231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F315A9"/>
    <w:multiLevelType w:val="hybridMultilevel"/>
    <w:tmpl w:val="6E5AFED8"/>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B4C18AB"/>
    <w:multiLevelType w:val="hybridMultilevel"/>
    <w:tmpl w:val="E6F28436"/>
    <w:lvl w:ilvl="0" w:tplc="850CB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C5D0557"/>
    <w:multiLevelType w:val="hybridMultilevel"/>
    <w:tmpl w:val="19B21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4C3C9B"/>
    <w:multiLevelType w:val="hybridMultilevel"/>
    <w:tmpl w:val="8B5E3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716F08"/>
    <w:multiLevelType w:val="hybridMultilevel"/>
    <w:tmpl w:val="C3EE17B6"/>
    <w:lvl w:ilvl="0" w:tplc="0409000F">
      <w:start w:val="1"/>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26E42FF"/>
    <w:multiLevelType w:val="multilevel"/>
    <w:tmpl w:val="DB445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9D3FC0"/>
    <w:multiLevelType w:val="multilevel"/>
    <w:tmpl w:val="6422CEF0"/>
    <w:lvl w:ilvl="0">
      <w:start w:val="1"/>
      <w:numFmt w:val="upperRoman"/>
      <w:lvlText w:val="%1."/>
      <w:lvlJc w:val="left"/>
      <w:pPr>
        <w:ind w:left="720" w:hanging="720"/>
      </w:pPr>
      <w:rPr>
        <w:rFonts w:hint="default"/>
      </w:rPr>
    </w:lvl>
    <w:lvl w:ilvl="1">
      <w:start w:val="1"/>
      <w:numFmt w:val="upperLetter"/>
      <w:lvlText w:val="%2."/>
      <w:lvlJc w:val="left"/>
      <w:pPr>
        <w:ind w:left="360" w:hanging="360"/>
      </w:pPr>
      <w:rPr>
        <w:rFonts w:hint="default"/>
        <w:b/>
      </w:rPr>
    </w:lvl>
    <w:lvl w:ilvl="2">
      <w:start w:val="1"/>
      <w:numFmt w:val="decimal"/>
      <w:lvlText w:val="%2.%3."/>
      <w:lvlJc w:val="left"/>
      <w:pPr>
        <w:ind w:left="936" w:hanging="93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567E5D1D"/>
    <w:multiLevelType w:val="hybridMultilevel"/>
    <w:tmpl w:val="B952F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3F12A2"/>
    <w:multiLevelType w:val="hybridMultilevel"/>
    <w:tmpl w:val="F50EC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F90593C"/>
    <w:multiLevelType w:val="hybridMultilevel"/>
    <w:tmpl w:val="9920D1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3046803"/>
    <w:multiLevelType w:val="multilevel"/>
    <w:tmpl w:val="1AD026D0"/>
    <w:lvl w:ilvl="0">
      <w:start w:val="1"/>
      <w:numFmt w:val="decimal"/>
      <w:pStyle w:val="BulletBlackLastDS"/>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289452D"/>
    <w:multiLevelType w:val="hybridMultilevel"/>
    <w:tmpl w:val="2070CD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73C05B3"/>
    <w:multiLevelType w:val="hybridMultilevel"/>
    <w:tmpl w:val="B9545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7D0040D5"/>
    <w:multiLevelType w:val="hybridMultilevel"/>
    <w:tmpl w:val="51AC875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7"/>
  </w:num>
  <w:num w:numId="3">
    <w:abstractNumId w:val="16"/>
  </w:num>
  <w:num w:numId="4">
    <w:abstractNumId w:val="0"/>
  </w:num>
  <w:num w:numId="5">
    <w:abstractNumId w:val="5"/>
  </w:num>
  <w:num w:numId="6">
    <w:abstractNumId w:val="17"/>
  </w:num>
  <w:num w:numId="7">
    <w:abstractNumId w:val="1"/>
  </w:num>
  <w:num w:numId="8">
    <w:abstractNumId w:val="8"/>
  </w:num>
  <w:num w:numId="9">
    <w:abstractNumId w:val="20"/>
  </w:num>
  <w:num w:numId="10">
    <w:abstractNumId w:val="15"/>
  </w:num>
  <w:num w:numId="11">
    <w:abstractNumId w:val="11"/>
  </w:num>
  <w:num w:numId="12">
    <w:abstractNumId w:val="14"/>
  </w:num>
  <w:num w:numId="13">
    <w:abstractNumId w:val="24"/>
  </w:num>
  <w:num w:numId="14">
    <w:abstractNumId w:val="22"/>
  </w:num>
  <w:num w:numId="15">
    <w:abstractNumId w:val="21"/>
  </w:num>
  <w:num w:numId="16">
    <w:abstractNumId w:val="3"/>
  </w:num>
  <w:num w:numId="17">
    <w:abstractNumId w:val="2"/>
  </w:num>
  <w:num w:numId="18">
    <w:abstractNumId w:val="4"/>
  </w:num>
  <w:num w:numId="19">
    <w:abstractNumId w:val="12"/>
  </w:num>
  <w:num w:numId="20">
    <w:abstractNumId w:val="9"/>
  </w:num>
  <w:num w:numId="21">
    <w:abstractNumId w:val="18"/>
  </w:num>
  <w:num w:numId="22">
    <w:abstractNumId w:val="6"/>
  </w:num>
  <w:num w:numId="23">
    <w:abstractNumId w:val="13"/>
  </w:num>
  <w:num w:numId="24">
    <w:abstractNumId w:val="23"/>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rawingGridVerticalSpacing w:val="299"/>
  <w:displayHorizontalDrawingGridEvery w:val="0"/>
  <w:characterSpacingControl w:val="doNotCompress"/>
  <w:hdrShapeDefaults>
    <o:shapedefaults v:ext="edit" spidmax="1126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AD4"/>
    <w:rsid w:val="00001069"/>
    <w:rsid w:val="00003242"/>
    <w:rsid w:val="00003893"/>
    <w:rsid w:val="00003C18"/>
    <w:rsid w:val="00007AC7"/>
    <w:rsid w:val="0001112F"/>
    <w:rsid w:val="000142EC"/>
    <w:rsid w:val="000244B5"/>
    <w:rsid w:val="00042090"/>
    <w:rsid w:val="0004457F"/>
    <w:rsid w:val="00047179"/>
    <w:rsid w:val="0005218B"/>
    <w:rsid w:val="00053602"/>
    <w:rsid w:val="00060879"/>
    <w:rsid w:val="00060A92"/>
    <w:rsid w:val="00061FB9"/>
    <w:rsid w:val="00062CE9"/>
    <w:rsid w:val="000A5939"/>
    <w:rsid w:val="000B0879"/>
    <w:rsid w:val="000B0BA3"/>
    <w:rsid w:val="000C07FA"/>
    <w:rsid w:val="000D085A"/>
    <w:rsid w:val="000D18A3"/>
    <w:rsid w:val="000D5F8C"/>
    <w:rsid w:val="000F14C7"/>
    <w:rsid w:val="000F7A6D"/>
    <w:rsid w:val="001016FF"/>
    <w:rsid w:val="00116C71"/>
    <w:rsid w:val="001175D6"/>
    <w:rsid w:val="00121CD2"/>
    <w:rsid w:val="00127863"/>
    <w:rsid w:val="00133B58"/>
    <w:rsid w:val="00135AD1"/>
    <w:rsid w:val="00140526"/>
    <w:rsid w:val="00142636"/>
    <w:rsid w:val="001501DF"/>
    <w:rsid w:val="00154266"/>
    <w:rsid w:val="00155DBA"/>
    <w:rsid w:val="00163DA5"/>
    <w:rsid w:val="001641DA"/>
    <w:rsid w:val="00165500"/>
    <w:rsid w:val="001655B4"/>
    <w:rsid w:val="001705A4"/>
    <w:rsid w:val="0017369F"/>
    <w:rsid w:val="001806D3"/>
    <w:rsid w:val="001809E1"/>
    <w:rsid w:val="00190885"/>
    <w:rsid w:val="001956B8"/>
    <w:rsid w:val="001A00C2"/>
    <w:rsid w:val="001A0EE2"/>
    <w:rsid w:val="001A5757"/>
    <w:rsid w:val="001A7D92"/>
    <w:rsid w:val="001B01BF"/>
    <w:rsid w:val="001B2B55"/>
    <w:rsid w:val="001B42D1"/>
    <w:rsid w:val="001B5E0E"/>
    <w:rsid w:val="001C2793"/>
    <w:rsid w:val="001C78FE"/>
    <w:rsid w:val="001C7982"/>
    <w:rsid w:val="001E0175"/>
    <w:rsid w:val="001E0F54"/>
    <w:rsid w:val="001F22D2"/>
    <w:rsid w:val="001F645E"/>
    <w:rsid w:val="00210352"/>
    <w:rsid w:val="002164C6"/>
    <w:rsid w:val="00217C09"/>
    <w:rsid w:val="0022137A"/>
    <w:rsid w:val="00221A26"/>
    <w:rsid w:val="00223552"/>
    <w:rsid w:val="00225DBB"/>
    <w:rsid w:val="002314C6"/>
    <w:rsid w:val="00234182"/>
    <w:rsid w:val="00237F4C"/>
    <w:rsid w:val="00242FBE"/>
    <w:rsid w:val="0024635A"/>
    <w:rsid w:val="00250238"/>
    <w:rsid w:val="002546C1"/>
    <w:rsid w:val="002667B9"/>
    <w:rsid w:val="002744DC"/>
    <w:rsid w:val="002947A9"/>
    <w:rsid w:val="00295D3F"/>
    <w:rsid w:val="00296D74"/>
    <w:rsid w:val="00296D78"/>
    <w:rsid w:val="002A2D77"/>
    <w:rsid w:val="002A3C43"/>
    <w:rsid w:val="002A6AEE"/>
    <w:rsid w:val="002A775E"/>
    <w:rsid w:val="002B5E88"/>
    <w:rsid w:val="002B71F3"/>
    <w:rsid w:val="002C63DD"/>
    <w:rsid w:val="002C6BCB"/>
    <w:rsid w:val="002D4872"/>
    <w:rsid w:val="002E15F9"/>
    <w:rsid w:val="002E2684"/>
    <w:rsid w:val="002F2240"/>
    <w:rsid w:val="002F3D1D"/>
    <w:rsid w:val="002F5C92"/>
    <w:rsid w:val="002F5FD8"/>
    <w:rsid w:val="00305615"/>
    <w:rsid w:val="003064D2"/>
    <w:rsid w:val="00310799"/>
    <w:rsid w:val="00314EEF"/>
    <w:rsid w:val="0031567A"/>
    <w:rsid w:val="00317DCF"/>
    <w:rsid w:val="0033024E"/>
    <w:rsid w:val="00333CBD"/>
    <w:rsid w:val="003405E1"/>
    <w:rsid w:val="00350521"/>
    <w:rsid w:val="003604D3"/>
    <w:rsid w:val="003646B9"/>
    <w:rsid w:val="003743C7"/>
    <w:rsid w:val="00380DF7"/>
    <w:rsid w:val="00382395"/>
    <w:rsid w:val="003951C1"/>
    <w:rsid w:val="003B6B9C"/>
    <w:rsid w:val="003C5746"/>
    <w:rsid w:val="003D074C"/>
    <w:rsid w:val="003D5563"/>
    <w:rsid w:val="003E09CD"/>
    <w:rsid w:val="003E0DEC"/>
    <w:rsid w:val="003F27C9"/>
    <w:rsid w:val="003F5D70"/>
    <w:rsid w:val="003F6054"/>
    <w:rsid w:val="0040225F"/>
    <w:rsid w:val="00404143"/>
    <w:rsid w:val="004041EA"/>
    <w:rsid w:val="00417AD4"/>
    <w:rsid w:val="004213B8"/>
    <w:rsid w:val="004236C4"/>
    <w:rsid w:val="0042584F"/>
    <w:rsid w:val="00433D9C"/>
    <w:rsid w:val="00437E96"/>
    <w:rsid w:val="004464B7"/>
    <w:rsid w:val="00462620"/>
    <w:rsid w:val="00463084"/>
    <w:rsid w:val="00466136"/>
    <w:rsid w:val="0046701A"/>
    <w:rsid w:val="00467E8C"/>
    <w:rsid w:val="004726B4"/>
    <w:rsid w:val="00472B71"/>
    <w:rsid w:val="00497681"/>
    <w:rsid w:val="004A1006"/>
    <w:rsid w:val="004A3850"/>
    <w:rsid w:val="004A465E"/>
    <w:rsid w:val="004C11D7"/>
    <w:rsid w:val="004C72F7"/>
    <w:rsid w:val="004E0604"/>
    <w:rsid w:val="004E6AC6"/>
    <w:rsid w:val="004F61AE"/>
    <w:rsid w:val="00507616"/>
    <w:rsid w:val="005118F7"/>
    <w:rsid w:val="00516C37"/>
    <w:rsid w:val="00520BF8"/>
    <w:rsid w:val="00520E62"/>
    <w:rsid w:val="005218D5"/>
    <w:rsid w:val="00523989"/>
    <w:rsid w:val="005258C5"/>
    <w:rsid w:val="005269B0"/>
    <w:rsid w:val="00531EBE"/>
    <w:rsid w:val="00532217"/>
    <w:rsid w:val="005326C7"/>
    <w:rsid w:val="005338D9"/>
    <w:rsid w:val="00541787"/>
    <w:rsid w:val="00541A29"/>
    <w:rsid w:val="005612B0"/>
    <w:rsid w:val="00571406"/>
    <w:rsid w:val="00573507"/>
    <w:rsid w:val="00576310"/>
    <w:rsid w:val="00595708"/>
    <w:rsid w:val="005979EE"/>
    <w:rsid w:val="00597F67"/>
    <w:rsid w:val="005A2B50"/>
    <w:rsid w:val="005A3938"/>
    <w:rsid w:val="005C50D1"/>
    <w:rsid w:val="005C56AB"/>
    <w:rsid w:val="005D4558"/>
    <w:rsid w:val="005D5312"/>
    <w:rsid w:val="005D753E"/>
    <w:rsid w:val="005D7B36"/>
    <w:rsid w:val="005E00B2"/>
    <w:rsid w:val="005E1633"/>
    <w:rsid w:val="005E4F3E"/>
    <w:rsid w:val="005E76B0"/>
    <w:rsid w:val="005F09A4"/>
    <w:rsid w:val="005F3A0F"/>
    <w:rsid w:val="005F5698"/>
    <w:rsid w:val="005F74EF"/>
    <w:rsid w:val="00610FA3"/>
    <w:rsid w:val="00624B64"/>
    <w:rsid w:val="00632BC6"/>
    <w:rsid w:val="00637E68"/>
    <w:rsid w:val="00641DA6"/>
    <w:rsid w:val="006465FD"/>
    <w:rsid w:val="006511D9"/>
    <w:rsid w:val="00654357"/>
    <w:rsid w:val="0065526F"/>
    <w:rsid w:val="00673BD2"/>
    <w:rsid w:val="00674039"/>
    <w:rsid w:val="00682EE4"/>
    <w:rsid w:val="0068749F"/>
    <w:rsid w:val="006A54D9"/>
    <w:rsid w:val="006A6410"/>
    <w:rsid w:val="006B33F7"/>
    <w:rsid w:val="006B77EC"/>
    <w:rsid w:val="006C083A"/>
    <w:rsid w:val="006D01A5"/>
    <w:rsid w:val="006E13F7"/>
    <w:rsid w:val="006E2721"/>
    <w:rsid w:val="006E38CF"/>
    <w:rsid w:val="006E6C69"/>
    <w:rsid w:val="006F072E"/>
    <w:rsid w:val="006F1EEF"/>
    <w:rsid w:val="006F30C3"/>
    <w:rsid w:val="00701975"/>
    <w:rsid w:val="00705A1F"/>
    <w:rsid w:val="00713AD0"/>
    <w:rsid w:val="0072047F"/>
    <w:rsid w:val="007234D2"/>
    <w:rsid w:val="00725FDF"/>
    <w:rsid w:val="00730E8E"/>
    <w:rsid w:val="007335AF"/>
    <w:rsid w:val="00735BE5"/>
    <w:rsid w:val="00737ADB"/>
    <w:rsid w:val="0075115B"/>
    <w:rsid w:val="00763B51"/>
    <w:rsid w:val="00771F7C"/>
    <w:rsid w:val="007804F8"/>
    <w:rsid w:val="00785D51"/>
    <w:rsid w:val="00786140"/>
    <w:rsid w:val="007A09CF"/>
    <w:rsid w:val="007A186A"/>
    <w:rsid w:val="007A1F57"/>
    <w:rsid w:val="007A5222"/>
    <w:rsid w:val="007B03DA"/>
    <w:rsid w:val="007B3FB6"/>
    <w:rsid w:val="007B7D4E"/>
    <w:rsid w:val="007C19E4"/>
    <w:rsid w:val="007C3E37"/>
    <w:rsid w:val="007C4B31"/>
    <w:rsid w:val="007D7458"/>
    <w:rsid w:val="007E35D0"/>
    <w:rsid w:val="007E3BE2"/>
    <w:rsid w:val="007E4923"/>
    <w:rsid w:val="007E568D"/>
    <w:rsid w:val="007E5A77"/>
    <w:rsid w:val="00802117"/>
    <w:rsid w:val="00804A22"/>
    <w:rsid w:val="008062EB"/>
    <w:rsid w:val="008147E1"/>
    <w:rsid w:val="0081553F"/>
    <w:rsid w:val="00817CCC"/>
    <w:rsid w:val="0083040E"/>
    <w:rsid w:val="00831B13"/>
    <w:rsid w:val="00837085"/>
    <w:rsid w:val="00847F58"/>
    <w:rsid w:val="008576CA"/>
    <w:rsid w:val="008675CF"/>
    <w:rsid w:val="00871176"/>
    <w:rsid w:val="00871965"/>
    <w:rsid w:val="008747B5"/>
    <w:rsid w:val="00875923"/>
    <w:rsid w:val="00890A95"/>
    <w:rsid w:val="0089243E"/>
    <w:rsid w:val="00895B28"/>
    <w:rsid w:val="008A20D0"/>
    <w:rsid w:val="008B752A"/>
    <w:rsid w:val="008C281B"/>
    <w:rsid w:val="008C68FE"/>
    <w:rsid w:val="008D0E9F"/>
    <w:rsid w:val="008D3275"/>
    <w:rsid w:val="008D6E7E"/>
    <w:rsid w:val="00902CAA"/>
    <w:rsid w:val="00904B61"/>
    <w:rsid w:val="00907288"/>
    <w:rsid w:val="00914984"/>
    <w:rsid w:val="00917555"/>
    <w:rsid w:val="00921D78"/>
    <w:rsid w:val="00945130"/>
    <w:rsid w:val="0095733E"/>
    <w:rsid w:val="00964B66"/>
    <w:rsid w:val="0097234C"/>
    <w:rsid w:val="00981920"/>
    <w:rsid w:val="0098524E"/>
    <w:rsid w:val="009905FF"/>
    <w:rsid w:val="009A29B8"/>
    <w:rsid w:val="009A4106"/>
    <w:rsid w:val="009A7802"/>
    <w:rsid w:val="009B5629"/>
    <w:rsid w:val="009B6F33"/>
    <w:rsid w:val="009D1C91"/>
    <w:rsid w:val="009E3A34"/>
    <w:rsid w:val="009E418B"/>
    <w:rsid w:val="009E4E3A"/>
    <w:rsid w:val="009F52FC"/>
    <w:rsid w:val="00A0250F"/>
    <w:rsid w:val="00A05730"/>
    <w:rsid w:val="00A1338D"/>
    <w:rsid w:val="00A16474"/>
    <w:rsid w:val="00A26C6E"/>
    <w:rsid w:val="00A33F09"/>
    <w:rsid w:val="00A40159"/>
    <w:rsid w:val="00A43466"/>
    <w:rsid w:val="00A43D8A"/>
    <w:rsid w:val="00A44A6E"/>
    <w:rsid w:val="00A540B6"/>
    <w:rsid w:val="00A57296"/>
    <w:rsid w:val="00A60D80"/>
    <w:rsid w:val="00A61DB2"/>
    <w:rsid w:val="00A725AE"/>
    <w:rsid w:val="00A74DF9"/>
    <w:rsid w:val="00A76BAB"/>
    <w:rsid w:val="00A8421E"/>
    <w:rsid w:val="00A91708"/>
    <w:rsid w:val="00A919FE"/>
    <w:rsid w:val="00A92551"/>
    <w:rsid w:val="00A9705C"/>
    <w:rsid w:val="00AA2848"/>
    <w:rsid w:val="00AA7E87"/>
    <w:rsid w:val="00AB06EC"/>
    <w:rsid w:val="00AB334E"/>
    <w:rsid w:val="00AC2C9D"/>
    <w:rsid w:val="00AE2F17"/>
    <w:rsid w:val="00AE44E1"/>
    <w:rsid w:val="00AE4C6C"/>
    <w:rsid w:val="00AF5BA9"/>
    <w:rsid w:val="00B00160"/>
    <w:rsid w:val="00B02A92"/>
    <w:rsid w:val="00B03366"/>
    <w:rsid w:val="00B0484F"/>
    <w:rsid w:val="00B05FE6"/>
    <w:rsid w:val="00B063CD"/>
    <w:rsid w:val="00B0697C"/>
    <w:rsid w:val="00B10504"/>
    <w:rsid w:val="00B12718"/>
    <w:rsid w:val="00B14644"/>
    <w:rsid w:val="00B174D5"/>
    <w:rsid w:val="00B212B1"/>
    <w:rsid w:val="00B221BB"/>
    <w:rsid w:val="00B36A70"/>
    <w:rsid w:val="00B41C32"/>
    <w:rsid w:val="00B46A12"/>
    <w:rsid w:val="00B53EEA"/>
    <w:rsid w:val="00B61073"/>
    <w:rsid w:val="00B62E3E"/>
    <w:rsid w:val="00B63C2B"/>
    <w:rsid w:val="00B72FAC"/>
    <w:rsid w:val="00B73E13"/>
    <w:rsid w:val="00B80B1D"/>
    <w:rsid w:val="00B83480"/>
    <w:rsid w:val="00B83A94"/>
    <w:rsid w:val="00B86AD7"/>
    <w:rsid w:val="00B94A42"/>
    <w:rsid w:val="00BA112A"/>
    <w:rsid w:val="00BA77B5"/>
    <w:rsid w:val="00BB22FF"/>
    <w:rsid w:val="00BB4640"/>
    <w:rsid w:val="00BD4C4F"/>
    <w:rsid w:val="00BE1995"/>
    <w:rsid w:val="00BF269C"/>
    <w:rsid w:val="00BF405B"/>
    <w:rsid w:val="00BF737F"/>
    <w:rsid w:val="00C042AA"/>
    <w:rsid w:val="00C05B29"/>
    <w:rsid w:val="00C20A2A"/>
    <w:rsid w:val="00C24D61"/>
    <w:rsid w:val="00C27A21"/>
    <w:rsid w:val="00C34AF5"/>
    <w:rsid w:val="00C54039"/>
    <w:rsid w:val="00C55816"/>
    <w:rsid w:val="00C652AC"/>
    <w:rsid w:val="00C70145"/>
    <w:rsid w:val="00C73B47"/>
    <w:rsid w:val="00C85507"/>
    <w:rsid w:val="00C86627"/>
    <w:rsid w:val="00CA1B10"/>
    <w:rsid w:val="00CB20A4"/>
    <w:rsid w:val="00CC0798"/>
    <w:rsid w:val="00CC46B9"/>
    <w:rsid w:val="00CC4B23"/>
    <w:rsid w:val="00CD1493"/>
    <w:rsid w:val="00CD5FE5"/>
    <w:rsid w:val="00CE24E0"/>
    <w:rsid w:val="00CF05B8"/>
    <w:rsid w:val="00D0033F"/>
    <w:rsid w:val="00D011C9"/>
    <w:rsid w:val="00D0280A"/>
    <w:rsid w:val="00D07818"/>
    <w:rsid w:val="00D26C5D"/>
    <w:rsid w:val="00D27812"/>
    <w:rsid w:val="00D35A7C"/>
    <w:rsid w:val="00D37E16"/>
    <w:rsid w:val="00D4398A"/>
    <w:rsid w:val="00D45030"/>
    <w:rsid w:val="00D46445"/>
    <w:rsid w:val="00D50A79"/>
    <w:rsid w:val="00D52A0D"/>
    <w:rsid w:val="00D617FE"/>
    <w:rsid w:val="00D66A5C"/>
    <w:rsid w:val="00D679CC"/>
    <w:rsid w:val="00D70F8F"/>
    <w:rsid w:val="00D72A26"/>
    <w:rsid w:val="00D76A8C"/>
    <w:rsid w:val="00D85D6A"/>
    <w:rsid w:val="00D9258D"/>
    <w:rsid w:val="00D941E6"/>
    <w:rsid w:val="00D9455D"/>
    <w:rsid w:val="00D9461D"/>
    <w:rsid w:val="00D97DB4"/>
    <w:rsid w:val="00DA44DF"/>
    <w:rsid w:val="00DA6465"/>
    <w:rsid w:val="00DA7C66"/>
    <w:rsid w:val="00DB18D2"/>
    <w:rsid w:val="00DD5EF8"/>
    <w:rsid w:val="00DD771B"/>
    <w:rsid w:val="00DE0EAD"/>
    <w:rsid w:val="00DE27B3"/>
    <w:rsid w:val="00DE3A41"/>
    <w:rsid w:val="00DE3A4D"/>
    <w:rsid w:val="00DE5F85"/>
    <w:rsid w:val="00DF6346"/>
    <w:rsid w:val="00DF6558"/>
    <w:rsid w:val="00E028B0"/>
    <w:rsid w:val="00E11506"/>
    <w:rsid w:val="00E125C7"/>
    <w:rsid w:val="00E23285"/>
    <w:rsid w:val="00E2335A"/>
    <w:rsid w:val="00E30BB2"/>
    <w:rsid w:val="00E51AB5"/>
    <w:rsid w:val="00E60DD7"/>
    <w:rsid w:val="00E648CC"/>
    <w:rsid w:val="00E737DE"/>
    <w:rsid w:val="00E75F8B"/>
    <w:rsid w:val="00E8382D"/>
    <w:rsid w:val="00E92DA2"/>
    <w:rsid w:val="00E95395"/>
    <w:rsid w:val="00E9602A"/>
    <w:rsid w:val="00E97D41"/>
    <w:rsid w:val="00EA1421"/>
    <w:rsid w:val="00EB0E23"/>
    <w:rsid w:val="00EB33B2"/>
    <w:rsid w:val="00EB4497"/>
    <w:rsid w:val="00EC1377"/>
    <w:rsid w:val="00ED128E"/>
    <w:rsid w:val="00EE60DD"/>
    <w:rsid w:val="00EE7FEF"/>
    <w:rsid w:val="00EF6607"/>
    <w:rsid w:val="00F012A5"/>
    <w:rsid w:val="00F030AD"/>
    <w:rsid w:val="00F12BEB"/>
    <w:rsid w:val="00F15262"/>
    <w:rsid w:val="00F16CA0"/>
    <w:rsid w:val="00F20A45"/>
    <w:rsid w:val="00F2147F"/>
    <w:rsid w:val="00F32D88"/>
    <w:rsid w:val="00F46B9B"/>
    <w:rsid w:val="00F506E7"/>
    <w:rsid w:val="00F615C3"/>
    <w:rsid w:val="00F617BC"/>
    <w:rsid w:val="00F7261F"/>
    <w:rsid w:val="00F77C44"/>
    <w:rsid w:val="00F82E19"/>
    <w:rsid w:val="00F927B7"/>
    <w:rsid w:val="00FA05B8"/>
    <w:rsid w:val="00FA3B86"/>
    <w:rsid w:val="00FB7CB5"/>
    <w:rsid w:val="00FC1801"/>
    <w:rsid w:val="00FD2C31"/>
    <w:rsid w:val="00FD49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5E1"/>
  </w:style>
  <w:style w:type="paragraph" w:styleId="Heading1">
    <w:name w:val="heading 1"/>
    <w:basedOn w:val="Normal"/>
    <w:next w:val="Normal"/>
    <w:link w:val="Heading1Char"/>
    <w:uiPriority w:val="9"/>
    <w:qFormat/>
    <w:rsid w:val="001B2B55"/>
    <w:pPr>
      <w:spacing w:before="120" w:after="120" w:line="240" w:lineRule="auto"/>
      <w:contextualSpacing/>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1B2B55"/>
    <w:pPr>
      <w:spacing w:before="240" w:after="120" w:line="240" w:lineRule="auto"/>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DE0EA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DE0EA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E0EA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E0EA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E0EA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E0EA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E0EA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EAD"/>
    <w:pPr>
      <w:ind w:left="720"/>
      <w:contextualSpacing/>
    </w:pPr>
  </w:style>
  <w:style w:type="paragraph" w:styleId="Caption">
    <w:name w:val="caption"/>
    <w:basedOn w:val="Normal"/>
    <w:next w:val="Normal"/>
    <w:uiPriority w:val="35"/>
    <w:unhideWhenUsed/>
    <w:qFormat/>
    <w:rsid w:val="00DE0EAD"/>
    <w:rPr>
      <w:b/>
      <w:bCs/>
      <w:caps/>
      <w:sz w:val="16"/>
      <w:szCs w:val="18"/>
    </w:rPr>
  </w:style>
  <w:style w:type="table" w:styleId="TableGrid">
    <w:name w:val="Table Grid"/>
    <w:basedOn w:val="TableNormal"/>
    <w:uiPriority w:val="59"/>
    <w:rsid w:val="00A572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A57296"/>
    <w:pPr>
      <w:ind w:firstLine="720"/>
    </w:pPr>
    <w:rPr>
      <w:rFonts w:ascii="Palatino Linotype" w:hAnsi="Palatino Linotype"/>
      <w:sz w:val="20"/>
      <w:szCs w:val="20"/>
    </w:rPr>
  </w:style>
  <w:style w:type="character" w:customStyle="1" w:styleId="FootnoteTextChar">
    <w:name w:val="Footnote Text Char"/>
    <w:basedOn w:val="DefaultParagraphFont"/>
    <w:link w:val="FootnoteText"/>
    <w:uiPriority w:val="99"/>
    <w:rsid w:val="00A57296"/>
    <w:rPr>
      <w:rFonts w:ascii="Palatino Linotype" w:eastAsiaTheme="minorEastAsia" w:hAnsi="Palatino Linotype"/>
      <w:sz w:val="20"/>
      <w:szCs w:val="20"/>
    </w:rPr>
  </w:style>
  <w:style w:type="character" w:styleId="FootnoteReference">
    <w:name w:val="footnote reference"/>
    <w:basedOn w:val="DefaultParagraphFont"/>
    <w:uiPriority w:val="99"/>
    <w:unhideWhenUsed/>
    <w:rsid w:val="00A57296"/>
    <w:rPr>
      <w:vertAlign w:val="superscript"/>
    </w:rPr>
  </w:style>
  <w:style w:type="paragraph" w:styleId="BalloonText">
    <w:name w:val="Balloon Text"/>
    <w:basedOn w:val="Normal"/>
    <w:link w:val="BalloonTextChar"/>
    <w:uiPriority w:val="99"/>
    <w:semiHidden/>
    <w:unhideWhenUsed/>
    <w:rsid w:val="00A57296"/>
    <w:rPr>
      <w:rFonts w:ascii="Tahoma" w:hAnsi="Tahoma" w:cs="Tahoma"/>
      <w:sz w:val="16"/>
      <w:szCs w:val="16"/>
    </w:rPr>
  </w:style>
  <w:style w:type="character" w:customStyle="1" w:styleId="BalloonTextChar">
    <w:name w:val="Balloon Text Char"/>
    <w:basedOn w:val="DefaultParagraphFont"/>
    <w:link w:val="BalloonText"/>
    <w:uiPriority w:val="99"/>
    <w:semiHidden/>
    <w:rsid w:val="00A57296"/>
    <w:rPr>
      <w:rFonts w:ascii="Tahoma" w:hAnsi="Tahoma" w:cs="Tahoma"/>
      <w:sz w:val="16"/>
      <w:szCs w:val="16"/>
    </w:rPr>
  </w:style>
  <w:style w:type="character" w:customStyle="1" w:styleId="Heading1Char">
    <w:name w:val="Heading 1 Char"/>
    <w:basedOn w:val="DefaultParagraphFont"/>
    <w:link w:val="Heading1"/>
    <w:uiPriority w:val="9"/>
    <w:rsid w:val="001B2B55"/>
    <w:rPr>
      <w:rFonts w:eastAsiaTheme="majorEastAsia" w:cstheme="majorBidi"/>
      <w:b/>
      <w:bCs/>
      <w:sz w:val="36"/>
      <w:szCs w:val="28"/>
    </w:rPr>
  </w:style>
  <w:style w:type="character" w:customStyle="1" w:styleId="Heading2Char">
    <w:name w:val="Heading 2 Char"/>
    <w:basedOn w:val="DefaultParagraphFont"/>
    <w:link w:val="Heading2"/>
    <w:uiPriority w:val="9"/>
    <w:rsid w:val="001B2B55"/>
    <w:rPr>
      <w:rFonts w:eastAsiaTheme="majorEastAsia" w:cstheme="majorBidi"/>
      <w:b/>
      <w:bCs/>
      <w:sz w:val="28"/>
      <w:szCs w:val="26"/>
    </w:rPr>
  </w:style>
  <w:style w:type="character" w:customStyle="1" w:styleId="Heading3Char">
    <w:name w:val="Heading 3 Char"/>
    <w:basedOn w:val="DefaultParagraphFont"/>
    <w:link w:val="Heading3"/>
    <w:uiPriority w:val="9"/>
    <w:rsid w:val="00DE0EAD"/>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DE0EAD"/>
    <w:rPr>
      <w:rFonts w:asciiTheme="majorHAnsi" w:eastAsiaTheme="majorEastAsia" w:hAnsiTheme="majorHAnsi" w:cstheme="majorBidi"/>
      <w:b/>
      <w:bCs/>
      <w:i/>
      <w:iCs/>
    </w:rPr>
  </w:style>
  <w:style w:type="character" w:styleId="Hyperlink">
    <w:name w:val="Hyperlink"/>
    <w:basedOn w:val="DefaultParagraphFont"/>
    <w:uiPriority w:val="99"/>
    <w:unhideWhenUsed/>
    <w:rsid w:val="00532217"/>
    <w:rPr>
      <w:color w:val="0000FF" w:themeColor="hyperlink"/>
      <w:u w:val="single"/>
    </w:rPr>
  </w:style>
  <w:style w:type="character" w:customStyle="1" w:styleId="Heading5Char">
    <w:name w:val="Heading 5 Char"/>
    <w:basedOn w:val="DefaultParagraphFont"/>
    <w:link w:val="Heading5"/>
    <w:uiPriority w:val="9"/>
    <w:semiHidden/>
    <w:rsid w:val="00DE0EA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E0EA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E0EA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E0EA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E0EA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E0EA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E0EAD"/>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E0EA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E0EAD"/>
    <w:rPr>
      <w:rFonts w:asciiTheme="majorHAnsi" w:eastAsiaTheme="majorEastAsia" w:hAnsiTheme="majorHAnsi" w:cstheme="majorBidi"/>
      <w:i/>
      <w:iCs/>
      <w:spacing w:val="13"/>
      <w:sz w:val="24"/>
      <w:szCs w:val="24"/>
    </w:rPr>
  </w:style>
  <w:style w:type="character" w:styleId="Strong">
    <w:name w:val="Strong"/>
    <w:uiPriority w:val="22"/>
    <w:qFormat/>
    <w:rsid w:val="00DE0EAD"/>
    <w:rPr>
      <w:b/>
      <w:bCs/>
    </w:rPr>
  </w:style>
  <w:style w:type="character" w:styleId="Emphasis">
    <w:name w:val="Emphasis"/>
    <w:uiPriority w:val="20"/>
    <w:qFormat/>
    <w:rsid w:val="00DE0EAD"/>
    <w:rPr>
      <w:b/>
      <w:bCs/>
      <w:i/>
      <w:iCs/>
      <w:spacing w:val="10"/>
      <w:bdr w:val="none" w:sz="0" w:space="0" w:color="auto"/>
      <w:shd w:val="clear" w:color="auto" w:fill="auto"/>
    </w:rPr>
  </w:style>
  <w:style w:type="paragraph" w:styleId="NoSpacing">
    <w:name w:val="No Spacing"/>
    <w:basedOn w:val="Normal"/>
    <w:link w:val="NoSpacingChar"/>
    <w:uiPriority w:val="1"/>
    <w:qFormat/>
    <w:rsid w:val="00DE0EAD"/>
    <w:pPr>
      <w:spacing w:after="0" w:line="240" w:lineRule="auto"/>
    </w:pPr>
  </w:style>
  <w:style w:type="character" w:customStyle="1" w:styleId="NoSpacingChar">
    <w:name w:val="No Spacing Char"/>
    <w:basedOn w:val="DefaultParagraphFont"/>
    <w:link w:val="NoSpacing"/>
    <w:uiPriority w:val="1"/>
    <w:rsid w:val="00DE0EAD"/>
  </w:style>
  <w:style w:type="paragraph" w:styleId="Quote">
    <w:name w:val="Quote"/>
    <w:basedOn w:val="Normal"/>
    <w:next w:val="Normal"/>
    <w:link w:val="QuoteChar"/>
    <w:uiPriority w:val="29"/>
    <w:qFormat/>
    <w:rsid w:val="00DE0EAD"/>
    <w:pPr>
      <w:spacing w:before="200" w:after="0"/>
      <w:ind w:left="360" w:right="360"/>
    </w:pPr>
    <w:rPr>
      <w:i/>
      <w:iCs/>
    </w:rPr>
  </w:style>
  <w:style w:type="character" w:customStyle="1" w:styleId="QuoteChar">
    <w:name w:val="Quote Char"/>
    <w:basedOn w:val="DefaultParagraphFont"/>
    <w:link w:val="Quote"/>
    <w:uiPriority w:val="29"/>
    <w:rsid w:val="00DE0EAD"/>
    <w:rPr>
      <w:i/>
      <w:iCs/>
    </w:rPr>
  </w:style>
  <w:style w:type="paragraph" w:styleId="IntenseQuote">
    <w:name w:val="Intense Quote"/>
    <w:basedOn w:val="Normal"/>
    <w:next w:val="Normal"/>
    <w:link w:val="IntenseQuoteChar"/>
    <w:uiPriority w:val="30"/>
    <w:qFormat/>
    <w:rsid w:val="00DE0EA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E0EAD"/>
    <w:rPr>
      <w:b/>
      <w:bCs/>
      <w:i/>
      <w:iCs/>
    </w:rPr>
  </w:style>
  <w:style w:type="character" w:styleId="SubtleEmphasis">
    <w:name w:val="Subtle Emphasis"/>
    <w:uiPriority w:val="19"/>
    <w:qFormat/>
    <w:rsid w:val="00DE0EAD"/>
    <w:rPr>
      <w:i/>
      <w:iCs/>
    </w:rPr>
  </w:style>
  <w:style w:type="character" w:styleId="IntenseEmphasis">
    <w:name w:val="Intense Emphasis"/>
    <w:uiPriority w:val="21"/>
    <w:qFormat/>
    <w:rsid w:val="00DE0EAD"/>
    <w:rPr>
      <w:b/>
      <w:bCs/>
    </w:rPr>
  </w:style>
  <w:style w:type="character" w:styleId="SubtleReference">
    <w:name w:val="Subtle Reference"/>
    <w:uiPriority w:val="31"/>
    <w:qFormat/>
    <w:rsid w:val="00DE0EAD"/>
    <w:rPr>
      <w:smallCaps/>
    </w:rPr>
  </w:style>
  <w:style w:type="character" w:styleId="IntenseReference">
    <w:name w:val="Intense Reference"/>
    <w:uiPriority w:val="32"/>
    <w:qFormat/>
    <w:rsid w:val="00DE0EAD"/>
    <w:rPr>
      <w:smallCaps/>
      <w:spacing w:val="5"/>
      <w:u w:val="single"/>
    </w:rPr>
  </w:style>
  <w:style w:type="character" w:styleId="BookTitle">
    <w:name w:val="Book Title"/>
    <w:uiPriority w:val="33"/>
    <w:qFormat/>
    <w:rsid w:val="00DE0EAD"/>
    <w:rPr>
      <w:i/>
      <w:iCs/>
      <w:smallCaps/>
      <w:spacing w:val="5"/>
    </w:rPr>
  </w:style>
  <w:style w:type="paragraph" w:styleId="TOCHeading">
    <w:name w:val="TOC Heading"/>
    <w:basedOn w:val="Heading1"/>
    <w:next w:val="Normal"/>
    <w:uiPriority w:val="39"/>
    <w:semiHidden/>
    <w:unhideWhenUsed/>
    <w:qFormat/>
    <w:rsid w:val="00DE0EAD"/>
    <w:pPr>
      <w:outlineLvl w:val="9"/>
    </w:pPr>
  </w:style>
  <w:style w:type="paragraph" w:styleId="Header">
    <w:name w:val="header"/>
    <w:basedOn w:val="Normal"/>
    <w:link w:val="HeaderChar"/>
    <w:uiPriority w:val="99"/>
    <w:semiHidden/>
    <w:unhideWhenUsed/>
    <w:rsid w:val="00F506E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06E7"/>
  </w:style>
  <w:style w:type="paragraph" w:styleId="Footer">
    <w:name w:val="footer"/>
    <w:basedOn w:val="Normal"/>
    <w:link w:val="FooterChar"/>
    <w:uiPriority w:val="99"/>
    <w:unhideWhenUsed/>
    <w:rsid w:val="00F506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6E7"/>
  </w:style>
  <w:style w:type="character" w:styleId="CommentReference">
    <w:name w:val="annotation reference"/>
    <w:basedOn w:val="DefaultParagraphFont"/>
    <w:uiPriority w:val="99"/>
    <w:semiHidden/>
    <w:unhideWhenUsed/>
    <w:rsid w:val="00CC0798"/>
    <w:rPr>
      <w:sz w:val="16"/>
      <w:szCs w:val="16"/>
    </w:rPr>
  </w:style>
  <w:style w:type="paragraph" w:styleId="CommentText">
    <w:name w:val="annotation text"/>
    <w:basedOn w:val="Normal"/>
    <w:link w:val="CommentTextChar"/>
    <w:uiPriority w:val="99"/>
    <w:semiHidden/>
    <w:unhideWhenUsed/>
    <w:rsid w:val="00CC0798"/>
    <w:pPr>
      <w:spacing w:line="240" w:lineRule="auto"/>
    </w:pPr>
    <w:rPr>
      <w:sz w:val="20"/>
      <w:szCs w:val="20"/>
    </w:rPr>
  </w:style>
  <w:style w:type="character" w:customStyle="1" w:styleId="CommentTextChar">
    <w:name w:val="Comment Text Char"/>
    <w:basedOn w:val="DefaultParagraphFont"/>
    <w:link w:val="CommentText"/>
    <w:uiPriority w:val="99"/>
    <w:semiHidden/>
    <w:rsid w:val="00CC0798"/>
    <w:rPr>
      <w:sz w:val="20"/>
      <w:szCs w:val="20"/>
    </w:rPr>
  </w:style>
  <w:style w:type="paragraph" w:styleId="CommentSubject">
    <w:name w:val="annotation subject"/>
    <w:basedOn w:val="CommentText"/>
    <w:next w:val="CommentText"/>
    <w:link w:val="CommentSubjectChar"/>
    <w:uiPriority w:val="99"/>
    <w:semiHidden/>
    <w:unhideWhenUsed/>
    <w:rsid w:val="00CC0798"/>
    <w:rPr>
      <w:b/>
      <w:bCs/>
    </w:rPr>
  </w:style>
  <w:style w:type="character" w:customStyle="1" w:styleId="CommentSubjectChar">
    <w:name w:val="Comment Subject Char"/>
    <w:basedOn w:val="CommentTextChar"/>
    <w:link w:val="CommentSubject"/>
    <w:uiPriority w:val="99"/>
    <w:semiHidden/>
    <w:rsid w:val="00CC0798"/>
    <w:rPr>
      <w:b/>
      <w:bCs/>
      <w:sz w:val="20"/>
      <w:szCs w:val="20"/>
    </w:rPr>
  </w:style>
  <w:style w:type="character" w:customStyle="1" w:styleId="st">
    <w:name w:val="st"/>
    <w:basedOn w:val="DefaultParagraphFont"/>
    <w:rsid w:val="00571406"/>
  </w:style>
  <w:style w:type="character" w:styleId="FollowedHyperlink">
    <w:name w:val="FollowedHyperlink"/>
    <w:basedOn w:val="DefaultParagraphFont"/>
    <w:uiPriority w:val="99"/>
    <w:semiHidden/>
    <w:unhideWhenUsed/>
    <w:rsid w:val="00FD492B"/>
    <w:rPr>
      <w:color w:val="800080" w:themeColor="followedHyperlink"/>
      <w:u w:val="single"/>
    </w:rPr>
  </w:style>
  <w:style w:type="paragraph" w:styleId="Revision">
    <w:name w:val="Revision"/>
    <w:hidden/>
    <w:uiPriority w:val="99"/>
    <w:semiHidden/>
    <w:rsid w:val="00E9602A"/>
    <w:pPr>
      <w:spacing w:after="0" w:line="240" w:lineRule="auto"/>
    </w:pPr>
  </w:style>
  <w:style w:type="paragraph" w:customStyle="1" w:styleId="BulletBlack">
    <w:name w:val="Bullet_Black"/>
    <w:basedOn w:val="Normal"/>
    <w:qFormat/>
    <w:rsid w:val="006A54D9"/>
    <w:pPr>
      <w:numPr>
        <w:numId w:val="22"/>
      </w:numPr>
      <w:tabs>
        <w:tab w:val="left" w:pos="360"/>
      </w:tabs>
      <w:spacing w:after="120" w:line="240" w:lineRule="auto"/>
      <w:ind w:right="360"/>
      <w:jc w:val="both"/>
    </w:pPr>
    <w:rPr>
      <w:rFonts w:ascii="Times New Roman" w:eastAsia="Times New Roman" w:hAnsi="Times New Roman" w:cs="Times New Roman"/>
      <w:sz w:val="24"/>
      <w:szCs w:val="24"/>
    </w:rPr>
  </w:style>
  <w:style w:type="paragraph" w:customStyle="1" w:styleId="BulletBlackLastDS">
    <w:name w:val="Bullet_Black (Last DS)"/>
    <w:basedOn w:val="Normal"/>
    <w:next w:val="Normal"/>
    <w:qFormat/>
    <w:rsid w:val="006A54D9"/>
    <w:pPr>
      <w:numPr>
        <w:numId w:val="9"/>
      </w:numPr>
      <w:tabs>
        <w:tab w:val="left" w:pos="360"/>
      </w:tabs>
      <w:spacing w:after="320" w:line="240" w:lineRule="auto"/>
      <w:ind w:right="360"/>
      <w:jc w:val="both"/>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E92DA2"/>
    <w:pPr>
      <w:spacing w:after="100"/>
    </w:pPr>
  </w:style>
  <w:style w:type="paragraph" w:styleId="TOC2">
    <w:name w:val="toc 2"/>
    <w:basedOn w:val="Normal"/>
    <w:next w:val="Normal"/>
    <w:autoRedefine/>
    <w:uiPriority w:val="39"/>
    <w:unhideWhenUsed/>
    <w:rsid w:val="007E35D0"/>
    <w:pPr>
      <w:tabs>
        <w:tab w:val="left" w:pos="900"/>
        <w:tab w:val="right" w:leader="dot" w:pos="9350"/>
      </w:tabs>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5E1"/>
  </w:style>
  <w:style w:type="paragraph" w:styleId="Heading1">
    <w:name w:val="heading 1"/>
    <w:basedOn w:val="Normal"/>
    <w:next w:val="Normal"/>
    <w:link w:val="Heading1Char"/>
    <w:uiPriority w:val="9"/>
    <w:qFormat/>
    <w:rsid w:val="001B2B55"/>
    <w:pPr>
      <w:spacing w:before="120" w:after="120" w:line="240" w:lineRule="auto"/>
      <w:contextualSpacing/>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1B2B55"/>
    <w:pPr>
      <w:spacing w:before="240" w:after="120" w:line="240" w:lineRule="auto"/>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DE0EA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DE0EA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E0EA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E0EA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E0EA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E0EA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E0EA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EAD"/>
    <w:pPr>
      <w:ind w:left="720"/>
      <w:contextualSpacing/>
    </w:pPr>
  </w:style>
  <w:style w:type="paragraph" w:styleId="Caption">
    <w:name w:val="caption"/>
    <w:basedOn w:val="Normal"/>
    <w:next w:val="Normal"/>
    <w:uiPriority w:val="35"/>
    <w:unhideWhenUsed/>
    <w:qFormat/>
    <w:rsid w:val="00DE0EAD"/>
    <w:rPr>
      <w:b/>
      <w:bCs/>
      <w:caps/>
      <w:sz w:val="16"/>
      <w:szCs w:val="18"/>
    </w:rPr>
  </w:style>
  <w:style w:type="table" w:styleId="TableGrid">
    <w:name w:val="Table Grid"/>
    <w:basedOn w:val="TableNormal"/>
    <w:uiPriority w:val="59"/>
    <w:rsid w:val="00A572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A57296"/>
    <w:pPr>
      <w:ind w:firstLine="720"/>
    </w:pPr>
    <w:rPr>
      <w:rFonts w:ascii="Palatino Linotype" w:hAnsi="Palatino Linotype"/>
      <w:sz w:val="20"/>
      <w:szCs w:val="20"/>
    </w:rPr>
  </w:style>
  <w:style w:type="character" w:customStyle="1" w:styleId="FootnoteTextChar">
    <w:name w:val="Footnote Text Char"/>
    <w:basedOn w:val="DefaultParagraphFont"/>
    <w:link w:val="FootnoteText"/>
    <w:uiPriority w:val="99"/>
    <w:rsid w:val="00A57296"/>
    <w:rPr>
      <w:rFonts w:ascii="Palatino Linotype" w:eastAsiaTheme="minorEastAsia" w:hAnsi="Palatino Linotype"/>
      <w:sz w:val="20"/>
      <w:szCs w:val="20"/>
    </w:rPr>
  </w:style>
  <w:style w:type="character" w:styleId="FootnoteReference">
    <w:name w:val="footnote reference"/>
    <w:basedOn w:val="DefaultParagraphFont"/>
    <w:uiPriority w:val="99"/>
    <w:unhideWhenUsed/>
    <w:rsid w:val="00A57296"/>
    <w:rPr>
      <w:vertAlign w:val="superscript"/>
    </w:rPr>
  </w:style>
  <w:style w:type="paragraph" w:styleId="BalloonText">
    <w:name w:val="Balloon Text"/>
    <w:basedOn w:val="Normal"/>
    <w:link w:val="BalloonTextChar"/>
    <w:uiPriority w:val="99"/>
    <w:semiHidden/>
    <w:unhideWhenUsed/>
    <w:rsid w:val="00A57296"/>
    <w:rPr>
      <w:rFonts w:ascii="Tahoma" w:hAnsi="Tahoma" w:cs="Tahoma"/>
      <w:sz w:val="16"/>
      <w:szCs w:val="16"/>
    </w:rPr>
  </w:style>
  <w:style w:type="character" w:customStyle="1" w:styleId="BalloonTextChar">
    <w:name w:val="Balloon Text Char"/>
    <w:basedOn w:val="DefaultParagraphFont"/>
    <w:link w:val="BalloonText"/>
    <w:uiPriority w:val="99"/>
    <w:semiHidden/>
    <w:rsid w:val="00A57296"/>
    <w:rPr>
      <w:rFonts w:ascii="Tahoma" w:hAnsi="Tahoma" w:cs="Tahoma"/>
      <w:sz w:val="16"/>
      <w:szCs w:val="16"/>
    </w:rPr>
  </w:style>
  <w:style w:type="character" w:customStyle="1" w:styleId="Heading1Char">
    <w:name w:val="Heading 1 Char"/>
    <w:basedOn w:val="DefaultParagraphFont"/>
    <w:link w:val="Heading1"/>
    <w:uiPriority w:val="9"/>
    <w:rsid w:val="001B2B55"/>
    <w:rPr>
      <w:rFonts w:eastAsiaTheme="majorEastAsia" w:cstheme="majorBidi"/>
      <w:b/>
      <w:bCs/>
      <w:sz w:val="36"/>
      <w:szCs w:val="28"/>
    </w:rPr>
  </w:style>
  <w:style w:type="character" w:customStyle="1" w:styleId="Heading2Char">
    <w:name w:val="Heading 2 Char"/>
    <w:basedOn w:val="DefaultParagraphFont"/>
    <w:link w:val="Heading2"/>
    <w:uiPriority w:val="9"/>
    <w:rsid w:val="001B2B55"/>
    <w:rPr>
      <w:rFonts w:eastAsiaTheme="majorEastAsia" w:cstheme="majorBidi"/>
      <w:b/>
      <w:bCs/>
      <w:sz w:val="28"/>
      <w:szCs w:val="26"/>
    </w:rPr>
  </w:style>
  <w:style w:type="character" w:customStyle="1" w:styleId="Heading3Char">
    <w:name w:val="Heading 3 Char"/>
    <w:basedOn w:val="DefaultParagraphFont"/>
    <w:link w:val="Heading3"/>
    <w:uiPriority w:val="9"/>
    <w:rsid w:val="00DE0EAD"/>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DE0EAD"/>
    <w:rPr>
      <w:rFonts w:asciiTheme="majorHAnsi" w:eastAsiaTheme="majorEastAsia" w:hAnsiTheme="majorHAnsi" w:cstheme="majorBidi"/>
      <w:b/>
      <w:bCs/>
      <w:i/>
      <w:iCs/>
    </w:rPr>
  </w:style>
  <w:style w:type="character" w:styleId="Hyperlink">
    <w:name w:val="Hyperlink"/>
    <w:basedOn w:val="DefaultParagraphFont"/>
    <w:uiPriority w:val="99"/>
    <w:unhideWhenUsed/>
    <w:rsid w:val="00532217"/>
    <w:rPr>
      <w:color w:val="0000FF" w:themeColor="hyperlink"/>
      <w:u w:val="single"/>
    </w:rPr>
  </w:style>
  <w:style w:type="character" w:customStyle="1" w:styleId="Heading5Char">
    <w:name w:val="Heading 5 Char"/>
    <w:basedOn w:val="DefaultParagraphFont"/>
    <w:link w:val="Heading5"/>
    <w:uiPriority w:val="9"/>
    <w:semiHidden/>
    <w:rsid w:val="00DE0EA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E0EA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E0EA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E0EA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E0EA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E0EA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E0EAD"/>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E0EA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E0EAD"/>
    <w:rPr>
      <w:rFonts w:asciiTheme="majorHAnsi" w:eastAsiaTheme="majorEastAsia" w:hAnsiTheme="majorHAnsi" w:cstheme="majorBidi"/>
      <w:i/>
      <w:iCs/>
      <w:spacing w:val="13"/>
      <w:sz w:val="24"/>
      <w:szCs w:val="24"/>
    </w:rPr>
  </w:style>
  <w:style w:type="character" w:styleId="Strong">
    <w:name w:val="Strong"/>
    <w:uiPriority w:val="22"/>
    <w:qFormat/>
    <w:rsid w:val="00DE0EAD"/>
    <w:rPr>
      <w:b/>
      <w:bCs/>
    </w:rPr>
  </w:style>
  <w:style w:type="character" w:styleId="Emphasis">
    <w:name w:val="Emphasis"/>
    <w:uiPriority w:val="20"/>
    <w:qFormat/>
    <w:rsid w:val="00DE0EAD"/>
    <w:rPr>
      <w:b/>
      <w:bCs/>
      <w:i/>
      <w:iCs/>
      <w:spacing w:val="10"/>
      <w:bdr w:val="none" w:sz="0" w:space="0" w:color="auto"/>
      <w:shd w:val="clear" w:color="auto" w:fill="auto"/>
    </w:rPr>
  </w:style>
  <w:style w:type="paragraph" w:styleId="NoSpacing">
    <w:name w:val="No Spacing"/>
    <w:basedOn w:val="Normal"/>
    <w:link w:val="NoSpacingChar"/>
    <w:uiPriority w:val="1"/>
    <w:qFormat/>
    <w:rsid w:val="00DE0EAD"/>
    <w:pPr>
      <w:spacing w:after="0" w:line="240" w:lineRule="auto"/>
    </w:pPr>
  </w:style>
  <w:style w:type="character" w:customStyle="1" w:styleId="NoSpacingChar">
    <w:name w:val="No Spacing Char"/>
    <w:basedOn w:val="DefaultParagraphFont"/>
    <w:link w:val="NoSpacing"/>
    <w:uiPriority w:val="1"/>
    <w:rsid w:val="00DE0EAD"/>
  </w:style>
  <w:style w:type="paragraph" w:styleId="Quote">
    <w:name w:val="Quote"/>
    <w:basedOn w:val="Normal"/>
    <w:next w:val="Normal"/>
    <w:link w:val="QuoteChar"/>
    <w:uiPriority w:val="29"/>
    <w:qFormat/>
    <w:rsid w:val="00DE0EAD"/>
    <w:pPr>
      <w:spacing w:before="200" w:after="0"/>
      <w:ind w:left="360" w:right="360"/>
    </w:pPr>
    <w:rPr>
      <w:i/>
      <w:iCs/>
    </w:rPr>
  </w:style>
  <w:style w:type="character" w:customStyle="1" w:styleId="QuoteChar">
    <w:name w:val="Quote Char"/>
    <w:basedOn w:val="DefaultParagraphFont"/>
    <w:link w:val="Quote"/>
    <w:uiPriority w:val="29"/>
    <w:rsid w:val="00DE0EAD"/>
    <w:rPr>
      <w:i/>
      <w:iCs/>
    </w:rPr>
  </w:style>
  <w:style w:type="paragraph" w:styleId="IntenseQuote">
    <w:name w:val="Intense Quote"/>
    <w:basedOn w:val="Normal"/>
    <w:next w:val="Normal"/>
    <w:link w:val="IntenseQuoteChar"/>
    <w:uiPriority w:val="30"/>
    <w:qFormat/>
    <w:rsid w:val="00DE0EA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E0EAD"/>
    <w:rPr>
      <w:b/>
      <w:bCs/>
      <w:i/>
      <w:iCs/>
    </w:rPr>
  </w:style>
  <w:style w:type="character" w:styleId="SubtleEmphasis">
    <w:name w:val="Subtle Emphasis"/>
    <w:uiPriority w:val="19"/>
    <w:qFormat/>
    <w:rsid w:val="00DE0EAD"/>
    <w:rPr>
      <w:i/>
      <w:iCs/>
    </w:rPr>
  </w:style>
  <w:style w:type="character" w:styleId="IntenseEmphasis">
    <w:name w:val="Intense Emphasis"/>
    <w:uiPriority w:val="21"/>
    <w:qFormat/>
    <w:rsid w:val="00DE0EAD"/>
    <w:rPr>
      <w:b/>
      <w:bCs/>
    </w:rPr>
  </w:style>
  <w:style w:type="character" w:styleId="SubtleReference">
    <w:name w:val="Subtle Reference"/>
    <w:uiPriority w:val="31"/>
    <w:qFormat/>
    <w:rsid w:val="00DE0EAD"/>
    <w:rPr>
      <w:smallCaps/>
    </w:rPr>
  </w:style>
  <w:style w:type="character" w:styleId="IntenseReference">
    <w:name w:val="Intense Reference"/>
    <w:uiPriority w:val="32"/>
    <w:qFormat/>
    <w:rsid w:val="00DE0EAD"/>
    <w:rPr>
      <w:smallCaps/>
      <w:spacing w:val="5"/>
      <w:u w:val="single"/>
    </w:rPr>
  </w:style>
  <w:style w:type="character" w:styleId="BookTitle">
    <w:name w:val="Book Title"/>
    <w:uiPriority w:val="33"/>
    <w:qFormat/>
    <w:rsid w:val="00DE0EAD"/>
    <w:rPr>
      <w:i/>
      <w:iCs/>
      <w:smallCaps/>
      <w:spacing w:val="5"/>
    </w:rPr>
  </w:style>
  <w:style w:type="paragraph" w:styleId="TOCHeading">
    <w:name w:val="TOC Heading"/>
    <w:basedOn w:val="Heading1"/>
    <w:next w:val="Normal"/>
    <w:uiPriority w:val="39"/>
    <w:semiHidden/>
    <w:unhideWhenUsed/>
    <w:qFormat/>
    <w:rsid w:val="00DE0EAD"/>
    <w:pPr>
      <w:outlineLvl w:val="9"/>
    </w:pPr>
  </w:style>
  <w:style w:type="paragraph" w:styleId="Header">
    <w:name w:val="header"/>
    <w:basedOn w:val="Normal"/>
    <w:link w:val="HeaderChar"/>
    <w:uiPriority w:val="99"/>
    <w:semiHidden/>
    <w:unhideWhenUsed/>
    <w:rsid w:val="00F506E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06E7"/>
  </w:style>
  <w:style w:type="paragraph" w:styleId="Footer">
    <w:name w:val="footer"/>
    <w:basedOn w:val="Normal"/>
    <w:link w:val="FooterChar"/>
    <w:uiPriority w:val="99"/>
    <w:unhideWhenUsed/>
    <w:rsid w:val="00F506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6E7"/>
  </w:style>
  <w:style w:type="character" w:styleId="CommentReference">
    <w:name w:val="annotation reference"/>
    <w:basedOn w:val="DefaultParagraphFont"/>
    <w:uiPriority w:val="99"/>
    <w:semiHidden/>
    <w:unhideWhenUsed/>
    <w:rsid w:val="00CC0798"/>
    <w:rPr>
      <w:sz w:val="16"/>
      <w:szCs w:val="16"/>
    </w:rPr>
  </w:style>
  <w:style w:type="paragraph" w:styleId="CommentText">
    <w:name w:val="annotation text"/>
    <w:basedOn w:val="Normal"/>
    <w:link w:val="CommentTextChar"/>
    <w:uiPriority w:val="99"/>
    <w:semiHidden/>
    <w:unhideWhenUsed/>
    <w:rsid w:val="00CC0798"/>
    <w:pPr>
      <w:spacing w:line="240" w:lineRule="auto"/>
    </w:pPr>
    <w:rPr>
      <w:sz w:val="20"/>
      <w:szCs w:val="20"/>
    </w:rPr>
  </w:style>
  <w:style w:type="character" w:customStyle="1" w:styleId="CommentTextChar">
    <w:name w:val="Comment Text Char"/>
    <w:basedOn w:val="DefaultParagraphFont"/>
    <w:link w:val="CommentText"/>
    <w:uiPriority w:val="99"/>
    <w:semiHidden/>
    <w:rsid w:val="00CC0798"/>
    <w:rPr>
      <w:sz w:val="20"/>
      <w:szCs w:val="20"/>
    </w:rPr>
  </w:style>
  <w:style w:type="paragraph" w:styleId="CommentSubject">
    <w:name w:val="annotation subject"/>
    <w:basedOn w:val="CommentText"/>
    <w:next w:val="CommentText"/>
    <w:link w:val="CommentSubjectChar"/>
    <w:uiPriority w:val="99"/>
    <w:semiHidden/>
    <w:unhideWhenUsed/>
    <w:rsid w:val="00CC0798"/>
    <w:rPr>
      <w:b/>
      <w:bCs/>
    </w:rPr>
  </w:style>
  <w:style w:type="character" w:customStyle="1" w:styleId="CommentSubjectChar">
    <w:name w:val="Comment Subject Char"/>
    <w:basedOn w:val="CommentTextChar"/>
    <w:link w:val="CommentSubject"/>
    <w:uiPriority w:val="99"/>
    <w:semiHidden/>
    <w:rsid w:val="00CC0798"/>
    <w:rPr>
      <w:b/>
      <w:bCs/>
      <w:sz w:val="20"/>
      <w:szCs w:val="20"/>
    </w:rPr>
  </w:style>
  <w:style w:type="character" w:customStyle="1" w:styleId="st">
    <w:name w:val="st"/>
    <w:basedOn w:val="DefaultParagraphFont"/>
    <w:rsid w:val="00571406"/>
  </w:style>
  <w:style w:type="character" w:styleId="FollowedHyperlink">
    <w:name w:val="FollowedHyperlink"/>
    <w:basedOn w:val="DefaultParagraphFont"/>
    <w:uiPriority w:val="99"/>
    <w:semiHidden/>
    <w:unhideWhenUsed/>
    <w:rsid w:val="00FD492B"/>
    <w:rPr>
      <w:color w:val="800080" w:themeColor="followedHyperlink"/>
      <w:u w:val="single"/>
    </w:rPr>
  </w:style>
  <w:style w:type="paragraph" w:styleId="Revision">
    <w:name w:val="Revision"/>
    <w:hidden/>
    <w:uiPriority w:val="99"/>
    <w:semiHidden/>
    <w:rsid w:val="00E9602A"/>
    <w:pPr>
      <w:spacing w:after="0" w:line="240" w:lineRule="auto"/>
    </w:pPr>
  </w:style>
  <w:style w:type="paragraph" w:customStyle="1" w:styleId="BulletBlack">
    <w:name w:val="Bullet_Black"/>
    <w:basedOn w:val="Normal"/>
    <w:qFormat/>
    <w:rsid w:val="006A54D9"/>
    <w:pPr>
      <w:numPr>
        <w:numId w:val="22"/>
      </w:numPr>
      <w:tabs>
        <w:tab w:val="left" w:pos="360"/>
      </w:tabs>
      <w:spacing w:after="120" w:line="240" w:lineRule="auto"/>
      <w:ind w:right="360"/>
      <w:jc w:val="both"/>
    </w:pPr>
    <w:rPr>
      <w:rFonts w:ascii="Times New Roman" w:eastAsia="Times New Roman" w:hAnsi="Times New Roman" w:cs="Times New Roman"/>
      <w:sz w:val="24"/>
      <w:szCs w:val="24"/>
    </w:rPr>
  </w:style>
  <w:style w:type="paragraph" w:customStyle="1" w:styleId="BulletBlackLastDS">
    <w:name w:val="Bullet_Black (Last DS)"/>
    <w:basedOn w:val="Normal"/>
    <w:next w:val="Normal"/>
    <w:qFormat/>
    <w:rsid w:val="006A54D9"/>
    <w:pPr>
      <w:numPr>
        <w:numId w:val="9"/>
      </w:numPr>
      <w:tabs>
        <w:tab w:val="left" w:pos="360"/>
      </w:tabs>
      <w:spacing w:after="320" w:line="240" w:lineRule="auto"/>
      <w:ind w:right="360"/>
      <w:jc w:val="both"/>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E92DA2"/>
    <w:pPr>
      <w:spacing w:after="100"/>
    </w:pPr>
  </w:style>
  <w:style w:type="paragraph" w:styleId="TOC2">
    <w:name w:val="toc 2"/>
    <w:basedOn w:val="Normal"/>
    <w:next w:val="Normal"/>
    <w:autoRedefine/>
    <w:uiPriority w:val="39"/>
    <w:unhideWhenUsed/>
    <w:rsid w:val="007E35D0"/>
    <w:pPr>
      <w:tabs>
        <w:tab w:val="left" w:pos="900"/>
        <w:tab w:val="right" w:leader="dot" w:pos="9350"/>
      </w:tabs>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479399">
      <w:bodyDiv w:val="1"/>
      <w:marLeft w:val="0"/>
      <w:marRight w:val="0"/>
      <w:marTop w:val="0"/>
      <w:marBottom w:val="0"/>
      <w:divBdr>
        <w:top w:val="none" w:sz="0" w:space="0" w:color="auto"/>
        <w:left w:val="none" w:sz="0" w:space="0" w:color="auto"/>
        <w:bottom w:val="none" w:sz="0" w:space="0" w:color="auto"/>
        <w:right w:val="none" w:sz="0" w:space="0" w:color="auto"/>
      </w:divBdr>
    </w:div>
    <w:div w:id="802580593">
      <w:bodyDiv w:val="1"/>
      <w:marLeft w:val="0"/>
      <w:marRight w:val="0"/>
      <w:marTop w:val="0"/>
      <w:marBottom w:val="0"/>
      <w:divBdr>
        <w:top w:val="none" w:sz="0" w:space="0" w:color="auto"/>
        <w:left w:val="none" w:sz="0" w:space="0" w:color="auto"/>
        <w:bottom w:val="none" w:sz="0" w:space="0" w:color="auto"/>
        <w:right w:val="none" w:sz="0" w:space="0" w:color="auto"/>
      </w:divBdr>
    </w:div>
    <w:div w:id="926108804">
      <w:bodyDiv w:val="1"/>
      <w:marLeft w:val="0"/>
      <w:marRight w:val="0"/>
      <w:marTop w:val="0"/>
      <w:marBottom w:val="0"/>
      <w:divBdr>
        <w:top w:val="none" w:sz="0" w:space="0" w:color="auto"/>
        <w:left w:val="none" w:sz="0" w:space="0" w:color="auto"/>
        <w:bottom w:val="none" w:sz="0" w:space="0" w:color="auto"/>
        <w:right w:val="none" w:sz="0" w:space="0" w:color="auto"/>
      </w:divBdr>
    </w:div>
    <w:div w:id="1006327471">
      <w:bodyDiv w:val="1"/>
      <w:marLeft w:val="0"/>
      <w:marRight w:val="0"/>
      <w:marTop w:val="0"/>
      <w:marBottom w:val="0"/>
      <w:divBdr>
        <w:top w:val="none" w:sz="0" w:space="0" w:color="auto"/>
        <w:left w:val="none" w:sz="0" w:space="0" w:color="auto"/>
        <w:bottom w:val="none" w:sz="0" w:space="0" w:color="auto"/>
        <w:right w:val="none" w:sz="0" w:space="0" w:color="auto"/>
      </w:divBdr>
    </w:div>
    <w:div w:id="1069687803">
      <w:bodyDiv w:val="1"/>
      <w:marLeft w:val="0"/>
      <w:marRight w:val="0"/>
      <w:marTop w:val="0"/>
      <w:marBottom w:val="0"/>
      <w:divBdr>
        <w:top w:val="none" w:sz="0" w:space="0" w:color="auto"/>
        <w:left w:val="none" w:sz="0" w:space="0" w:color="auto"/>
        <w:bottom w:val="none" w:sz="0" w:space="0" w:color="auto"/>
        <w:right w:val="none" w:sz="0" w:space="0" w:color="auto"/>
      </w:divBdr>
    </w:div>
    <w:div w:id="1081298519">
      <w:bodyDiv w:val="1"/>
      <w:marLeft w:val="0"/>
      <w:marRight w:val="0"/>
      <w:marTop w:val="0"/>
      <w:marBottom w:val="0"/>
      <w:divBdr>
        <w:top w:val="none" w:sz="0" w:space="0" w:color="auto"/>
        <w:left w:val="none" w:sz="0" w:space="0" w:color="auto"/>
        <w:bottom w:val="none" w:sz="0" w:space="0" w:color="auto"/>
        <w:right w:val="none" w:sz="0" w:space="0" w:color="auto"/>
      </w:divBdr>
    </w:div>
    <w:div w:id="1196888110">
      <w:bodyDiv w:val="1"/>
      <w:marLeft w:val="0"/>
      <w:marRight w:val="0"/>
      <w:marTop w:val="0"/>
      <w:marBottom w:val="0"/>
      <w:divBdr>
        <w:top w:val="none" w:sz="0" w:space="0" w:color="auto"/>
        <w:left w:val="none" w:sz="0" w:space="0" w:color="auto"/>
        <w:bottom w:val="none" w:sz="0" w:space="0" w:color="auto"/>
        <w:right w:val="none" w:sz="0" w:space="0" w:color="auto"/>
      </w:divBdr>
    </w:div>
    <w:div w:id="1276983280">
      <w:bodyDiv w:val="1"/>
      <w:marLeft w:val="0"/>
      <w:marRight w:val="0"/>
      <w:marTop w:val="0"/>
      <w:marBottom w:val="0"/>
      <w:divBdr>
        <w:top w:val="none" w:sz="0" w:space="0" w:color="auto"/>
        <w:left w:val="none" w:sz="0" w:space="0" w:color="auto"/>
        <w:bottom w:val="none" w:sz="0" w:space="0" w:color="auto"/>
        <w:right w:val="none" w:sz="0" w:space="0" w:color="auto"/>
      </w:divBdr>
    </w:div>
    <w:div w:id="1323854213">
      <w:bodyDiv w:val="1"/>
      <w:marLeft w:val="0"/>
      <w:marRight w:val="0"/>
      <w:marTop w:val="0"/>
      <w:marBottom w:val="0"/>
      <w:divBdr>
        <w:top w:val="none" w:sz="0" w:space="0" w:color="auto"/>
        <w:left w:val="none" w:sz="0" w:space="0" w:color="auto"/>
        <w:bottom w:val="none" w:sz="0" w:space="0" w:color="auto"/>
        <w:right w:val="none" w:sz="0" w:space="0" w:color="auto"/>
      </w:divBdr>
    </w:div>
    <w:div w:id="1340737219">
      <w:bodyDiv w:val="1"/>
      <w:marLeft w:val="0"/>
      <w:marRight w:val="0"/>
      <w:marTop w:val="0"/>
      <w:marBottom w:val="0"/>
      <w:divBdr>
        <w:top w:val="none" w:sz="0" w:space="0" w:color="auto"/>
        <w:left w:val="none" w:sz="0" w:space="0" w:color="auto"/>
        <w:bottom w:val="none" w:sz="0" w:space="0" w:color="auto"/>
        <w:right w:val="none" w:sz="0" w:space="0" w:color="auto"/>
      </w:divBdr>
    </w:div>
    <w:div w:id="1722633226">
      <w:bodyDiv w:val="1"/>
      <w:marLeft w:val="0"/>
      <w:marRight w:val="0"/>
      <w:marTop w:val="0"/>
      <w:marBottom w:val="0"/>
      <w:divBdr>
        <w:top w:val="none" w:sz="0" w:space="0" w:color="auto"/>
        <w:left w:val="none" w:sz="0" w:space="0" w:color="auto"/>
        <w:bottom w:val="none" w:sz="0" w:space="0" w:color="auto"/>
        <w:right w:val="none" w:sz="0" w:space="0" w:color="auto"/>
      </w:divBdr>
    </w:div>
    <w:div w:id="1898709840">
      <w:bodyDiv w:val="1"/>
      <w:marLeft w:val="0"/>
      <w:marRight w:val="0"/>
      <w:marTop w:val="0"/>
      <w:marBottom w:val="0"/>
      <w:divBdr>
        <w:top w:val="none" w:sz="0" w:space="0" w:color="auto"/>
        <w:left w:val="none" w:sz="0" w:space="0" w:color="auto"/>
        <w:bottom w:val="none" w:sz="0" w:space="0" w:color="auto"/>
        <w:right w:val="none" w:sz="0" w:space="0" w:color="auto"/>
      </w:divBdr>
    </w:div>
    <w:div w:id="2100445901">
      <w:bodyDiv w:val="1"/>
      <w:marLeft w:val="0"/>
      <w:marRight w:val="0"/>
      <w:marTop w:val="0"/>
      <w:marBottom w:val="0"/>
      <w:divBdr>
        <w:top w:val="none" w:sz="0" w:space="0" w:color="auto"/>
        <w:left w:val="none" w:sz="0" w:space="0" w:color="auto"/>
        <w:bottom w:val="none" w:sz="0" w:space="0" w:color="auto"/>
        <w:right w:val="none" w:sz="0" w:space="0" w:color="auto"/>
      </w:divBdr>
    </w:div>
    <w:div w:id="214618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46C03-BBB9-4958-9978-C7F727EC9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13</Pages>
  <Words>4897</Words>
  <Characters>27914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Denise King</cp:lastModifiedBy>
  <cp:revision>7</cp:revision>
  <cp:lastPrinted>2013-11-07T18:32:00Z</cp:lastPrinted>
  <dcterms:created xsi:type="dcterms:W3CDTF">2013-11-07T16:49:00Z</dcterms:created>
  <dcterms:modified xsi:type="dcterms:W3CDTF">2014-01-28T14:32:00Z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1487712102</vt:i4>
  </property>
  <property fmtid="{D5CDD505-2E9C-101B-9397-08002B2CF9AE}" pid="3" name="_NewReviewCycle">
    <vt:lpwstr/>
  </property>
  <property fmtid="{D5CDD505-2E9C-101B-9397-08002B2CF9AE}" pid="4" name="_EmailSubject">
    <vt:lpwstr>PRA package for the Evaluation of the Rural Community Hospital Demonstration </vt:lpwstr>
  </property>
  <property fmtid="{D5CDD505-2E9C-101B-9397-08002B2CF9AE}" pid="5" name="_AuthorEmail">
    <vt:lpwstr>Denise.King@cms.hhs.gov</vt:lpwstr>
  </property>
  <property fmtid="{D5CDD505-2E9C-101B-9397-08002B2CF9AE}" pid="6" name="_AuthorEmailDisplayName">
    <vt:lpwstr>King, Denise W. (CMS/OSORA)</vt:lpwstr>
  </property>
  <property fmtid="{D5CDD505-2E9C-101B-9397-08002B2CF9AE}" pid="7" name="_PreviousAdHocReviewCycleID">
    <vt:i4>-872016908</vt:i4>
  </property>
</Properties>
</file>