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CA" w:rsidRDefault="000F28CA">
      <w:pPr>
        <w:tabs>
          <w:tab w:val="center" w:pos="4680"/>
        </w:tabs>
        <w:outlineLvl w:val="0"/>
      </w:pPr>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F17465" w:rsidRDefault="00F17465" w:rsidP="00D70A01">
      <w:pPr>
        <w:ind w:left="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FA76F1" w:rsidRDefault="00FA76F1" w:rsidP="00FA76F1">
      <w:pPr>
        <w:ind w:firstLine="720"/>
      </w:pPr>
    </w:p>
    <w:p w:rsidR="00E06C84" w:rsidRDefault="00E06C84" w:rsidP="00D70A01">
      <w:pPr>
        <w:widowControl/>
        <w:autoSpaceDE w:val="0"/>
        <w:autoSpaceDN w:val="0"/>
        <w:adjustRightInd w:val="0"/>
        <w:ind w:left="720"/>
        <w:rPr>
          <w:snapToGrid/>
          <w:szCs w:val="24"/>
        </w:rPr>
      </w:pPr>
      <w:r>
        <w:rPr>
          <w:snapToGrid/>
          <w:szCs w:val="24"/>
        </w:rPr>
        <w:t xml:space="preserve">Children whose parents abuse alcohol or drugs are three times more likely to be verbally, physically, or sexually abused, and four times more likely to be neglected. Approximately 9.2 million children live in a home where a parent or other adult uses illicit drugs, resulting in 9.2 million drug-endangered children. Whenever law enforcement responds to a call, there is no universal method for identifying these children exposed to drugs, violence, physical abuse, sexual abuse, and even commercial sexual exploitation. The Colorado Drug Endangered Children, Inc. (CODEC) Drug Endangered Children Tracking System (DECSYS) ensures quick identification of drug-endangered children, that appropriate agencies are involved, and that fewer drug-endangered children go unnoticed. The project purpose is to increase the ability of law enforcement and child welfare agencies to respond to drug endangered children. Ongoing evaluation of DECSYS is a necessary component of the system implementation and expansion efforts. </w:t>
      </w:r>
    </w:p>
    <w:p w:rsidR="003665D5" w:rsidRDefault="003665D5" w:rsidP="00F17465">
      <w:pPr>
        <w:pStyle w:val="BodyTextIndent"/>
      </w:pPr>
    </w:p>
    <w:p w:rsidR="00AE67CF" w:rsidRDefault="00AE67CF">
      <w:pPr>
        <w:pStyle w:val="BodyTextIndent"/>
        <w:ind w:firstLine="0"/>
        <w:rPr>
          <w:u w:val="single"/>
        </w:rPr>
      </w:pPr>
      <w:r>
        <w:t xml:space="preserve">2.  </w:t>
      </w:r>
      <w:r>
        <w:rPr>
          <w:u w:val="single"/>
        </w:rPr>
        <w:t>Needs and Uses</w:t>
      </w:r>
    </w:p>
    <w:p w:rsidR="00C75A75" w:rsidRDefault="00C75A75">
      <w:pPr>
        <w:pStyle w:val="BodyTextIndent"/>
        <w:ind w:firstLine="0"/>
      </w:pPr>
    </w:p>
    <w:p w:rsidR="00AE67CF" w:rsidRDefault="00C75A75" w:rsidP="00D70A01">
      <w:pPr>
        <w:ind w:left="720"/>
      </w:pPr>
      <w:r>
        <w:t>As part of an effort to evaluate the implementation process for DECSYS on improving cooperative efforts between law enforcement agencies and child welfare agencies, this survey will gather feedback from DECSYS users (both law enforcement and child welfare) to assess outcomes including:  how reliably sites are using DECSYS and why or why not, whether users feel DECSYS provides a valuable service, whether sites have a system in place for ongoing use of DECSYS, and impacts on relationships between law enforcement and child welfare.  The survey will also gather information about best practices and lessons learned from the implementation of DECSYS.</w:t>
      </w:r>
    </w:p>
    <w:p w:rsidR="00847D32" w:rsidRDefault="00847D32"/>
    <w:p w:rsidR="00AE67CF" w:rsidRDefault="00AE67CF">
      <w:pPr>
        <w:rPr>
          <w:u w:val="single"/>
        </w:rPr>
      </w:pPr>
      <w:r w:rsidRPr="000A23CD">
        <w:t xml:space="preserve">3.  </w:t>
      </w:r>
      <w:r w:rsidRPr="000A23CD">
        <w:rPr>
          <w:u w:val="single"/>
        </w:rPr>
        <w:t>Efforts to Minimize Burden</w:t>
      </w:r>
    </w:p>
    <w:p w:rsidR="00FA76F1" w:rsidRDefault="00FA76F1">
      <w:pPr>
        <w:rPr>
          <w:u w:val="single"/>
        </w:rPr>
      </w:pPr>
    </w:p>
    <w:p w:rsidR="00FA76F1" w:rsidRDefault="00361E3A" w:rsidP="00D70A01">
      <w:pPr>
        <w:ind w:left="720"/>
      </w:pPr>
      <w:r>
        <w:t xml:space="preserve">There is only one measurement point for this research project. DECSYS users who have been </w:t>
      </w:r>
      <w:r w:rsidR="00E06C84">
        <w:t>trained on the system</w:t>
      </w:r>
      <w:r>
        <w:t xml:space="preserve"> </w:t>
      </w:r>
      <w:r w:rsidR="00E06C84">
        <w:t xml:space="preserve">and their supervisors </w:t>
      </w:r>
      <w:r>
        <w:t>will be invited to complete the survey when it is launched.  The survey will not be repeated at additional time points.</w:t>
      </w:r>
    </w:p>
    <w:p w:rsidR="00744C4D" w:rsidRDefault="00744C4D"/>
    <w:p w:rsidR="00AE67CF" w:rsidRDefault="00AE67CF">
      <w:r>
        <w:lastRenderedPageBreak/>
        <w:t xml:space="preserve">4.  </w:t>
      </w:r>
      <w:r>
        <w:rPr>
          <w:u w:val="single"/>
        </w:rPr>
        <w:t>Efforts to Identify Duplication</w:t>
      </w:r>
    </w:p>
    <w:p w:rsidR="001F3A8E" w:rsidRDefault="001F3A8E">
      <w:pPr>
        <w:pStyle w:val="BodyTextIndent"/>
        <w:outlineLvl w:val="0"/>
      </w:pPr>
    </w:p>
    <w:p w:rsidR="00AE67CF" w:rsidRDefault="00AE67CF" w:rsidP="00D70A01">
      <w:pPr>
        <w:pStyle w:val="BodyTextIndent"/>
        <w:ind w:left="720" w:firstLine="0"/>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rsidP="00D70A01">
      <w:pPr>
        <w:pStyle w:val="BodyTextIndent"/>
        <w:ind w:left="720" w:firstLine="0"/>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tab/>
      </w:r>
    </w:p>
    <w:p w:rsidR="00F17465" w:rsidRDefault="00361E3A" w:rsidP="00D70A01">
      <w:pPr>
        <w:ind w:left="720"/>
      </w:pPr>
      <w:r>
        <w:t>The survey will be conducted one time.  Not conducting the survey at all would result in insufficient information to evaluate DECSYS outcomes regarding relationships between law enforcement agencies and child welfare agencies</w:t>
      </w:r>
      <w:r w:rsidR="00C40FD0">
        <w:t>.</w:t>
      </w:r>
      <w:r w:rsidR="00F17465">
        <w:t xml:space="preserve">  </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There are no special circumstances that would influence the collection of information</w:t>
      </w:r>
      <w:r w:rsidR="00AA4CAF">
        <w:t xml:space="preserve">.  </w:t>
      </w:r>
    </w:p>
    <w:p w:rsidR="00AE67CF" w:rsidRDefault="00AE67CF"/>
    <w:p w:rsidR="00AE67CF" w:rsidRDefault="00AE67CF">
      <w:r>
        <w:t xml:space="preserve">8.  </w:t>
      </w:r>
      <w:r>
        <w:rPr>
          <w:u w:val="single"/>
        </w:rPr>
        <w:t>Reasons for Inconsistencies with 5 CFR 1320.6</w:t>
      </w:r>
    </w:p>
    <w:p w:rsidR="001F3A8E" w:rsidRDefault="001F3A8E">
      <w:pPr>
        <w:ind w:firstLine="720"/>
      </w:pPr>
    </w:p>
    <w:p w:rsidR="003049C0" w:rsidRDefault="003049C0">
      <w:pPr>
        <w:ind w:firstLine="720"/>
      </w:pPr>
      <w:r>
        <w:t>There are no inconsistencies with 5 CFR 1320.6.</w:t>
      </w:r>
    </w:p>
    <w:p w:rsidR="00AE67CF" w:rsidRPr="005B0F56" w:rsidRDefault="00AE67C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D70A01">
      <w:pPr>
        <w:ind w:left="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847D32" w:rsidRDefault="00847D32" w:rsidP="00D70A01">
      <w:pPr>
        <w:tabs>
          <w:tab w:val="left" w:pos="360"/>
          <w:tab w:val="left" w:pos="1080"/>
        </w:tabs>
        <w:ind w:left="720"/>
      </w:pPr>
      <w:r>
        <w:t>No assurance of confidentiality has been made to respondents.</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847D32" w:rsidRDefault="00847D32" w:rsidP="00D70A01">
      <w:pPr>
        <w:tabs>
          <w:tab w:val="left" w:pos="360"/>
          <w:tab w:val="left" w:pos="1080"/>
        </w:tabs>
        <w:ind w:left="720"/>
      </w:pPr>
      <w:r>
        <w:t>There are no questions of a sensitive nature.  No information commonly considered as private is included in the proposed requested information.</w:t>
      </w:r>
    </w:p>
    <w:p w:rsidR="003049B1" w:rsidRDefault="003049B1"/>
    <w:p w:rsidR="00AE67CF" w:rsidRDefault="00AE67CF">
      <w:r w:rsidRPr="000A23CD">
        <w:t xml:space="preserve">12.  </w:t>
      </w:r>
      <w:r w:rsidRPr="000A23CD">
        <w:rPr>
          <w:u w:val="single"/>
        </w:rPr>
        <w:t>Estimate of Hour Burden</w:t>
      </w:r>
    </w:p>
    <w:p w:rsidR="001F3A8E" w:rsidRDefault="001F3A8E" w:rsidP="008E19C2"/>
    <w:p w:rsidR="008851C3" w:rsidRDefault="00361E3A" w:rsidP="00D70A01">
      <w:pPr>
        <w:ind w:left="720"/>
      </w:pPr>
      <w:r>
        <w:t>We estimate that approximately 70 persons w</w:t>
      </w:r>
      <w:r w:rsidR="003049C0">
        <w:t>ill complete the survey at 10</w:t>
      </w:r>
      <w:r>
        <w:t xml:space="preserve"> mi</w:t>
      </w:r>
      <w:r w:rsidR="003049C0">
        <w:t>nutes each, for a total of 12 hours of annual burden</w:t>
      </w:r>
      <w:bookmarkStart w:id="0" w:name="_GoBack"/>
      <w:bookmarkEnd w:id="0"/>
      <w:r w:rsidR="003049C0">
        <w:t xml:space="preserve">. </w:t>
      </w:r>
    </w:p>
    <w:p w:rsidR="009C6680" w:rsidRDefault="009C6680"/>
    <w:p w:rsidR="00AE67CF" w:rsidRDefault="00AE67CF">
      <w:pPr>
        <w:rPr>
          <w:u w:val="single"/>
        </w:rPr>
      </w:pPr>
      <w:r>
        <w:t xml:space="preserve">13.  </w:t>
      </w:r>
      <w:r>
        <w:rPr>
          <w:u w:val="single"/>
        </w:rPr>
        <w:t>Estimate of Cost Burden</w:t>
      </w:r>
    </w:p>
    <w:p w:rsidR="0074303F" w:rsidRDefault="0074303F" w:rsidP="0074303F">
      <w:pPr>
        <w:tabs>
          <w:tab w:val="left" w:pos="360"/>
          <w:tab w:val="left" w:pos="1080"/>
        </w:tabs>
      </w:pPr>
      <w:r>
        <w:tab/>
      </w:r>
    </w:p>
    <w:p w:rsidR="0074303F" w:rsidRDefault="0074303F" w:rsidP="00D70A01">
      <w:pPr>
        <w:tabs>
          <w:tab w:val="left" w:pos="360"/>
          <w:tab w:val="left" w:pos="1080"/>
        </w:tabs>
        <w:ind w:left="720"/>
      </w:pPr>
      <w:r>
        <w:t>This collection will not generate any costs other than those associated with the applicants’ time.  Therefore, the estimated burden cost is 0.</w:t>
      </w:r>
    </w:p>
    <w:p w:rsidR="0020632E" w:rsidRPr="001B508A" w:rsidRDefault="0020632E" w:rsidP="0020632E">
      <w:pPr>
        <w:ind w:firstLine="720"/>
        <w:rPr>
          <w:b/>
        </w:rPr>
      </w:pPr>
    </w:p>
    <w:p w:rsidR="00AE67CF" w:rsidRDefault="00AE67CF">
      <w:pPr>
        <w:rPr>
          <w:u w:val="single"/>
        </w:rPr>
      </w:pPr>
      <w:r>
        <w:lastRenderedPageBreak/>
        <w:t xml:space="preserve">14.  </w:t>
      </w:r>
      <w:r>
        <w:rPr>
          <w:u w:val="single"/>
        </w:rPr>
        <w:t>Estimated Annualized Cost to Federal Government</w:t>
      </w:r>
    </w:p>
    <w:p w:rsidR="001F3A8E" w:rsidRDefault="001F3A8E" w:rsidP="001F3A8E">
      <w:pPr>
        <w:ind w:firstLine="720"/>
      </w:pPr>
    </w:p>
    <w:p w:rsidR="003049C0" w:rsidRDefault="003049C0" w:rsidP="001F3A8E">
      <w:pPr>
        <w:ind w:firstLine="720"/>
      </w:pPr>
      <w:r>
        <w:t>There is no estimated annualized cost to the Federal Government.</w:t>
      </w:r>
    </w:p>
    <w:p w:rsidR="0074303F" w:rsidRDefault="0074303F"/>
    <w:p w:rsidR="00AE67CF" w:rsidRDefault="00AE67CF">
      <w:r>
        <w:t xml:space="preserve">15.  </w:t>
      </w:r>
      <w:r>
        <w:rPr>
          <w:u w:val="single"/>
        </w:rPr>
        <w:t>Reason for Change in Burden</w:t>
      </w:r>
    </w:p>
    <w:p w:rsidR="0074303F" w:rsidRPr="0080180C" w:rsidRDefault="0074303F" w:rsidP="0074303F">
      <w:pPr>
        <w:rPr>
          <w:b/>
        </w:rPr>
      </w:pPr>
    </w:p>
    <w:p w:rsidR="001D2BD0" w:rsidRDefault="0074303F" w:rsidP="00D70A01">
      <w:pPr>
        <w:ind w:firstLine="720"/>
        <w:outlineLvl w:val="0"/>
      </w:pPr>
      <w:r w:rsidRPr="0080180C">
        <w:t>No changes, proposed new collection.</w:t>
      </w:r>
    </w:p>
    <w:p w:rsidR="0074303F" w:rsidRDefault="0074303F"/>
    <w:p w:rsidR="00AE67CF" w:rsidRDefault="00AE67CF">
      <w:r w:rsidRPr="000B58FE">
        <w:t xml:space="preserve">16.  </w:t>
      </w:r>
      <w:r w:rsidRPr="000B58FE">
        <w:rPr>
          <w:u w:val="single"/>
        </w:rPr>
        <w:t>Publication</w:t>
      </w:r>
      <w:r w:rsidR="009F462D" w:rsidRPr="000B58FE">
        <w:rPr>
          <w:u w:val="single"/>
        </w:rPr>
        <w:t xml:space="preserve"> </w:t>
      </w:r>
    </w:p>
    <w:p w:rsidR="00AE67CF" w:rsidRDefault="00AE67CF"/>
    <w:p w:rsidR="0020632E" w:rsidRDefault="00361E3A" w:rsidP="00D70A01">
      <w:pPr>
        <w:tabs>
          <w:tab w:val="left" w:pos="360"/>
          <w:tab w:val="left" w:pos="720"/>
        </w:tabs>
        <w:ind w:left="720"/>
      </w:pPr>
      <w:r>
        <w:t xml:space="preserve">The collected information will be presented in a white paper/toolkit to be published on the website resource center for the COPS Office.   </w:t>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rsidP="00D70A01">
      <w:pPr>
        <w:pStyle w:val="BodyTextIndent2"/>
        <w:ind w:left="720" w:firstLine="0"/>
      </w:pPr>
      <w:r>
        <w:t xml:space="preserve">The </w:t>
      </w:r>
      <w:r w:rsidR="00AE67CF">
        <w:t xml:space="preserve">COPS </w:t>
      </w:r>
      <w:r>
        <w:t xml:space="preserve">Office </w:t>
      </w:r>
      <w:r w:rsidR="00AE67CF">
        <w:t>will display the OMB approval number and expiration date on the upper 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Default="009A6765" w:rsidP="00D70A01">
      <w:pPr>
        <w:ind w:left="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rsidR="00AE67CF" w:rsidRDefault="00AE67CF">
      <w:pPr>
        <w:rPr>
          <w:u w:val="single"/>
        </w:rPr>
      </w:pPr>
    </w:p>
    <w:p w:rsidR="00B07D39" w:rsidRPr="00B07D39" w:rsidRDefault="00B07D39" w:rsidP="00DA2E0F"/>
    <w:sectPr w:rsidR="00B07D39" w:rsidRPr="00B07D39">
      <w:footerReference w:type="default" r:id="rId9"/>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E3" w:rsidRDefault="00DD17E3">
      <w:r>
        <w:separator/>
      </w:r>
    </w:p>
  </w:endnote>
  <w:endnote w:type="continuationSeparator" w:id="0">
    <w:p w:rsidR="00DD17E3" w:rsidRDefault="00D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3F" w:rsidRDefault="0074303F">
    <w:pPr>
      <w:spacing w:line="240" w:lineRule="exact"/>
    </w:pPr>
  </w:p>
  <w:p w:rsidR="0074303F" w:rsidRDefault="00AE284A">
    <w:pPr>
      <w:framePr w:w="9361" w:wrap="notBeside" w:vAnchor="text" w:hAnchor="text" w:x="1" w:y="1"/>
      <w:jc w:val="center"/>
    </w:pPr>
    <w:r>
      <w:fldChar w:fldCharType="begin"/>
    </w:r>
    <w:r>
      <w:instrText xml:space="preserve">PAGE </w:instrText>
    </w:r>
    <w:r>
      <w:fldChar w:fldCharType="separate"/>
    </w:r>
    <w:r w:rsidR="003049C0">
      <w:rPr>
        <w:noProof/>
      </w:rPr>
      <w:t>3</w:t>
    </w:r>
    <w:r>
      <w:rPr>
        <w:noProof/>
      </w:rPr>
      <w:fldChar w:fldCharType="end"/>
    </w:r>
  </w:p>
  <w:p w:rsidR="0074303F" w:rsidRDefault="007430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E3" w:rsidRDefault="00DD17E3">
      <w:r>
        <w:separator/>
      </w:r>
    </w:p>
  </w:footnote>
  <w:footnote w:type="continuationSeparator" w:id="0">
    <w:p w:rsidR="00DD17E3" w:rsidRDefault="00DD1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200AD"/>
    <w:rsid w:val="00051F97"/>
    <w:rsid w:val="00072114"/>
    <w:rsid w:val="00074628"/>
    <w:rsid w:val="000A23CD"/>
    <w:rsid w:val="000B58FE"/>
    <w:rsid w:val="000C2D29"/>
    <w:rsid w:val="000D448C"/>
    <w:rsid w:val="000F28CA"/>
    <w:rsid w:val="00120322"/>
    <w:rsid w:val="0012147B"/>
    <w:rsid w:val="0012637F"/>
    <w:rsid w:val="00130FF5"/>
    <w:rsid w:val="00140FE1"/>
    <w:rsid w:val="00160488"/>
    <w:rsid w:val="00165733"/>
    <w:rsid w:val="001674FE"/>
    <w:rsid w:val="00182419"/>
    <w:rsid w:val="001B249A"/>
    <w:rsid w:val="001B6C5A"/>
    <w:rsid w:val="001D2BD0"/>
    <w:rsid w:val="001D723C"/>
    <w:rsid w:val="001E2DB9"/>
    <w:rsid w:val="001F3A8E"/>
    <w:rsid w:val="001F6C58"/>
    <w:rsid w:val="0020632E"/>
    <w:rsid w:val="00235681"/>
    <w:rsid w:val="00290AC6"/>
    <w:rsid w:val="002B5B6E"/>
    <w:rsid w:val="002D3B6E"/>
    <w:rsid w:val="002D6B77"/>
    <w:rsid w:val="002E0591"/>
    <w:rsid w:val="002E7562"/>
    <w:rsid w:val="002F4AC6"/>
    <w:rsid w:val="003049B1"/>
    <w:rsid w:val="003049C0"/>
    <w:rsid w:val="00306D68"/>
    <w:rsid w:val="00315519"/>
    <w:rsid w:val="003211C9"/>
    <w:rsid w:val="00333671"/>
    <w:rsid w:val="00350E37"/>
    <w:rsid w:val="00361E3A"/>
    <w:rsid w:val="003665D5"/>
    <w:rsid w:val="003714F3"/>
    <w:rsid w:val="003D4E08"/>
    <w:rsid w:val="003E14F5"/>
    <w:rsid w:val="00407822"/>
    <w:rsid w:val="00423DD1"/>
    <w:rsid w:val="00451D09"/>
    <w:rsid w:val="0045289E"/>
    <w:rsid w:val="0045485B"/>
    <w:rsid w:val="00491F56"/>
    <w:rsid w:val="004B29A3"/>
    <w:rsid w:val="004C5BF9"/>
    <w:rsid w:val="004D4D1C"/>
    <w:rsid w:val="00503661"/>
    <w:rsid w:val="0050383D"/>
    <w:rsid w:val="005561A9"/>
    <w:rsid w:val="00572D7B"/>
    <w:rsid w:val="005B0F56"/>
    <w:rsid w:val="005B2D6A"/>
    <w:rsid w:val="005B645D"/>
    <w:rsid w:val="005C03E9"/>
    <w:rsid w:val="005F0B3A"/>
    <w:rsid w:val="00643E52"/>
    <w:rsid w:val="00651F95"/>
    <w:rsid w:val="0065459C"/>
    <w:rsid w:val="00655BBF"/>
    <w:rsid w:val="00656F4E"/>
    <w:rsid w:val="00685F22"/>
    <w:rsid w:val="006B1232"/>
    <w:rsid w:val="006B2363"/>
    <w:rsid w:val="006F38DC"/>
    <w:rsid w:val="0070513F"/>
    <w:rsid w:val="007061D4"/>
    <w:rsid w:val="00710710"/>
    <w:rsid w:val="00735EF6"/>
    <w:rsid w:val="0073703D"/>
    <w:rsid w:val="00742108"/>
    <w:rsid w:val="0074303F"/>
    <w:rsid w:val="00744C4D"/>
    <w:rsid w:val="007475E0"/>
    <w:rsid w:val="007968F0"/>
    <w:rsid w:val="007A2D1E"/>
    <w:rsid w:val="007E3DDC"/>
    <w:rsid w:val="007F0CC5"/>
    <w:rsid w:val="007F1B6A"/>
    <w:rsid w:val="00800E79"/>
    <w:rsid w:val="008158B2"/>
    <w:rsid w:val="00833209"/>
    <w:rsid w:val="0083625F"/>
    <w:rsid w:val="00837E84"/>
    <w:rsid w:val="00847D32"/>
    <w:rsid w:val="00871E39"/>
    <w:rsid w:val="008851C3"/>
    <w:rsid w:val="008A4B89"/>
    <w:rsid w:val="008A719E"/>
    <w:rsid w:val="008B2331"/>
    <w:rsid w:val="008E19C2"/>
    <w:rsid w:val="0090483C"/>
    <w:rsid w:val="0091037E"/>
    <w:rsid w:val="009152EF"/>
    <w:rsid w:val="00915FCB"/>
    <w:rsid w:val="00917A58"/>
    <w:rsid w:val="00950CB2"/>
    <w:rsid w:val="009727E7"/>
    <w:rsid w:val="009817CC"/>
    <w:rsid w:val="0099475D"/>
    <w:rsid w:val="009A6765"/>
    <w:rsid w:val="009B2802"/>
    <w:rsid w:val="009C6680"/>
    <w:rsid w:val="009E051E"/>
    <w:rsid w:val="009F462D"/>
    <w:rsid w:val="00A0386F"/>
    <w:rsid w:val="00A73574"/>
    <w:rsid w:val="00A82064"/>
    <w:rsid w:val="00A83724"/>
    <w:rsid w:val="00A94D84"/>
    <w:rsid w:val="00AA4CAF"/>
    <w:rsid w:val="00AB1DAC"/>
    <w:rsid w:val="00AE284A"/>
    <w:rsid w:val="00AE67CF"/>
    <w:rsid w:val="00AF0E39"/>
    <w:rsid w:val="00B07D39"/>
    <w:rsid w:val="00B07E2F"/>
    <w:rsid w:val="00B137FC"/>
    <w:rsid w:val="00B341E9"/>
    <w:rsid w:val="00B72A55"/>
    <w:rsid w:val="00B95A88"/>
    <w:rsid w:val="00BB1E73"/>
    <w:rsid w:val="00BC155D"/>
    <w:rsid w:val="00BC6955"/>
    <w:rsid w:val="00C03EA5"/>
    <w:rsid w:val="00C17B32"/>
    <w:rsid w:val="00C269B4"/>
    <w:rsid w:val="00C278DD"/>
    <w:rsid w:val="00C40FD0"/>
    <w:rsid w:val="00C44046"/>
    <w:rsid w:val="00C45D6C"/>
    <w:rsid w:val="00C669A7"/>
    <w:rsid w:val="00C7135C"/>
    <w:rsid w:val="00C75A75"/>
    <w:rsid w:val="00C94236"/>
    <w:rsid w:val="00CB055A"/>
    <w:rsid w:val="00CB06FC"/>
    <w:rsid w:val="00CC2F6D"/>
    <w:rsid w:val="00CF4679"/>
    <w:rsid w:val="00D01D7B"/>
    <w:rsid w:val="00D21FD9"/>
    <w:rsid w:val="00D3059B"/>
    <w:rsid w:val="00D5338C"/>
    <w:rsid w:val="00D70A01"/>
    <w:rsid w:val="00DA2E0F"/>
    <w:rsid w:val="00DB1A10"/>
    <w:rsid w:val="00DC300C"/>
    <w:rsid w:val="00DD17E3"/>
    <w:rsid w:val="00DD5BAC"/>
    <w:rsid w:val="00DD5DAA"/>
    <w:rsid w:val="00DE2950"/>
    <w:rsid w:val="00DF4464"/>
    <w:rsid w:val="00DF67B7"/>
    <w:rsid w:val="00E06C84"/>
    <w:rsid w:val="00E1697A"/>
    <w:rsid w:val="00E27276"/>
    <w:rsid w:val="00E30F21"/>
    <w:rsid w:val="00E43F4E"/>
    <w:rsid w:val="00E45ABA"/>
    <w:rsid w:val="00E5265E"/>
    <w:rsid w:val="00E600C1"/>
    <w:rsid w:val="00E6310E"/>
    <w:rsid w:val="00E712EF"/>
    <w:rsid w:val="00EB596E"/>
    <w:rsid w:val="00ED566F"/>
    <w:rsid w:val="00EF2EE6"/>
    <w:rsid w:val="00F15261"/>
    <w:rsid w:val="00F17465"/>
    <w:rsid w:val="00F3000F"/>
    <w:rsid w:val="00F43A9A"/>
    <w:rsid w:val="00F65EA7"/>
    <w:rsid w:val="00FA76F1"/>
    <w:rsid w:val="00FB3C1D"/>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i/>
    </w:rPr>
  </w:style>
  <w:style w:type="paragraph" w:styleId="Heading3">
    <w:name w:val="heading 3"/>
    <w:basedOn w:val="Normal"/>
    <w:next w:val="Normal"/>
    <w:qFormat/>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0"/>
      </w:tabs>
      <w:ind w:left="90" w:firstLine="630"/>
    </w:pPr>
  </w:style>
  <w:style w:type="paragraph" w:styleId="BodyTextIndent3">
    <w:name w:val="Body Text Indent 3"/>
    <w:basedOn w:val="Normal"/>
    <w:pPr>
      <w:ind w:firstLine="300"/>
    </w:pPr>
  </w:style>
  <w:style w:type="character" w:styleId="Hyperlink">
    <w:name w:val="Hyperlink"/>
    <w:basedOn w:val="DefaultParagraphFont"/>
    <w:rPr>
      <w:color w:val="0000FF"/>
      <w:u w:val="single"/>
    </w:rPr>
  </w:style>
  <w:style w:type="paragraph" w:styleId="BodyText">
    <w:name w:val="Body Text"/>
    <w:basedOn w:val="Normal"/>
    <w:rPr>
      <w:color w:val="0000FF"/>
    </w:rPr>
  </w:style>
  <w:style w:type="paragraph" w:styleId="BodyText2">
    <w:name w:val="Body Text 2"/>
    <w:basedOn w:val="Normal"/>
    <w:rPr>
      <w:color w:val="0000FF"/>
      <w:sz w:val="20"/>
    </w:rPr>
  </w:style>
  <w:style w:type="paragraph" w:styleId="Footer">
    <w:name w:val="footer"/>
    <w:basedOn w:val="Normal"/>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i/>
    </w:rPr>
  </w:style>
  <w:style w:type="paragraph" w:styleId="Heading3">
    <w:name w:val="heading 3"/>
    <w:basedOn w:val="Normal"/>
    <w:next w:val="Normal"/>
    <w:qFormat/>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0"/>
      </w:tabs>
      <w:ind w:left="90" w:firstLine="630"/>
    </w:pPr>
  </w:style>
  <w:style w:type="paragraph" w:styleId="BodyTextIndent3">
    <w:name w:val="Body Text Indent 3"/>
    <w:basedOn w:val="Normal"/>
    <w:pPr>
      <w:ind w:firstLine="300"/>
    </w:pPr>
  </w:style>
  <w:style w:type="character" w:styleId="Hyperlink">
    <w:name w:val="Hyperlink"/>
    <w:basedOn w:val="DefaultParagraphFont"/>
    <w:rPr>
      <w:color w:val="0000FF"/>
      <w:u w:val="single"/>
    </w:rPr>
  </w:style>
  <w:style w:type="paragraph" w:styleId="BodyText">
    <w:name w:val="Body Text"/>
    <w:basedOn w:val="Normal"/>
    <w:rPr>
      <w:color w:val="0000FF"/>
    </w:rPr>
  </w:style>
  <w:style w:type="paragraph" w:styleId="BodyText2">
    <w:name w:val="Body Text 2"/>
    <w:basedOn w:val="Normal"/>
    <w:rPr>
      <w:color w:val="0000FF"/>
      <w:sz w:val="20"/>
    </w:rPr>
  </w:style>
  <w:style w:type="paragraph" w:styleId="Footer">
    <w:name w:val="footer"/>
    <w:basedOn w:val="Normal"/>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BBB9-23FE-45BD-91DC-0703AA06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4891</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Danielle Ouellette</cp:lastModifiedBy>
  <cp:revision>2</cp:revision>
  <cp:lastPrinted>2008-12-11T14:17:00Z</cp:lastPrinted>
  <dcterms:created xsi:type="dcterms:W3CDTF">2014-02-06T15:11:00Z</dcterms:created>
  <dcterms:modified xsi:type="dcterms:W3CDTF">2014-02-06T15:11:00Z</dcterms:modified>
</cp:coreProperties>
</file>