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81" w:rsidRDefault="00F272AC">
      <w:pPr>
        <w:widowControl/>
        <w:tabs>
          <w:tab w:val="center" w:pos="4680"/>
        </w:tabs>
        <w:rPr>
          <w:rFonts w:ascii="Times New Roman" w:hAnsi="Times New Roman"/>
        </w:rPr>
      </w:pPr>
      <w:bookmarkStart w:id="0" w:name="_GoBack"/>
      <w:bookmarkEnd w:id="0"/>
      <w:r w:rsidRPr="00EB6D59">
        <w:rPr>
          <w:rFonts w:ascii="Times New Roman" w:hAnsi="Times New Roman"/>
        </w:rPr>
        <w:tab/>
      </w:r>
    </w:p>
    <w:p w:rsidR="008F4681" w:rsidRDefault="008F4681">
      <w:pPr>
        <w:widowControl/>
        <w:tabs>
          <w:tab w:val="center" w:pos="4680"/>
        </w:tabs>
        <w:rPr>
          <w:rFonts w:ascii="Times New Roman" w:hAnsi="Times New Roman"/>
        </w:rPr>
      </w:pPr>
    </w:p>
    <w:p w:rsidR="00F272AC" w:rsidRPr="00EB6D59" w:rsidRDefault="00F272AC" w:rsidP="00FE5CEB">
      <w:pPr>
        <w:widowControl/>
        <w:tabs>
          <w:tab w:val="center" w:pos="4680"/>
        </w:tabs>
        <w:jc w:val="center"/>
        <w:rPr>
          <w:rFonts w:ascii="Times New Roman" w:hAnsi="Times New Roman"/>
        </w:rPr>
      </w:pPr>
      <w:r w:rsidRPr="00EB6D59">
        <w:rPr>
          <w:rFonts w:ascii="Times New Roman" w:hAnsi="Times New Roman"/>
          <w:b/>
          <w:bCs/>
        </w:rPr>
        <w:t>Supporting Statement for Paperwork Reduction Act Submission</w:t>
      </w:r>
    </w:p>
    <w:p w:rsidR="00F272AC" w:rsidRPr="00EB6D59" w:rsidRDefault="00F272AC">
      <w:pPr>
        <w:widowControl/>
        <w:rPr>
          <w:rFonts w:ascii="Times New Roman" w:hAnsi="Times New Roman"/>
        </w:rPr>
      </w:pPr>
    </w:p>
    <w:p w:rsidR="00F272AC" w:rsidRPr="00EB6D59" w:rsidRDefault="00F272AC">
      <w:pPr>
        <w:widowControl/>
        <w:rPr>
          <w:rFonts w:ascii="Times New Roman" w:hAnsi="Times New Roman"/>
        </w:rPr>
      </w:pPr>
    </w:p>
    <w:p w:rsidR="00F272AC" w:rsidRPr="00EB6D59" w:rsidRDefault="00F272AC">
      <w:pPr>
        <w:widowControl/>
        <w:rPr>
          <w:rFonts w:ascii="Times New Roman" w:hAnsi="Times New Roman"/>
        </w:rPr>
      </w:pPr>
      <w:r w:rsidRPr="00EB6D59">
        <w:rPr>
          <w:rFonts w:ascii="Times New Roman" w:hAnsi="Times New Roman"/>
          <w:b/>
          <w:bCs/>
        </w:rPr>
        <w:t>AGENCY:</w:t>
      </w:r>
      <w:r w:rsidRPr="00EB6D59">
        <w:rPr>
          <w:rFonts w:ascii="Times New Roman" w:hAnsi="Times New Roman"/>
        </w:rPr>
        <w:tab/>
        <w:t xml:space="preserve">Pension Benefit Guaranty Corporation </w:t>
      </w:r>
    </w:p>
    <w:p w:rsidR="00F272AC" w:rsidRPr="00EB6D59" w:rsidRDefault="00F272AC">
      <w:pPr>
        <w:widowControl/>
        <w:rPr>
          <w:rFonts w:ascii="Times New Roman" w:hAnsi="Times New Roman"/>
        </w:rPr>
      </w:pPr>
    </w:p>
    <w:p w:rsidR="00F272AC" w:rsidRPr="00EB6D59" w:rsidRDefault="00F272AC">
      <w:pPr>
        <w:widowControl/>
        <w:tabs>
          <w:tab w:val="left" w:pos="-1440"/>
        </w:tabs>
        <w:ind w:left="1440" w:hanging="1440"/>
        <w:rPr>
          <w:rFonts w:ascii="Times New Roman" w:hAnsi="Times New Roman"/>
        </w:rPr>
      </w:pPr>
      <w:r w:rsidRPr="00EB6D59">
        <w:rPr>
          <w:rFonts w:ascii="Times New Roman" w:hAnsi="Times New Roman"/>
          <w:b/>
          <w:bCs/>
        </w:rPr>
        <w:t>TITLE:</w:t>
      </w:r>
      <w:r w:rsidRPr="00EB6D59">
        <w:rPr>
          <w:rFonts w:ascii="Times New Roman" w:hAnsi="Times New Roman"/>
        </w:rPr>
        <w:tab/>
        <w:t>Extension of Special Withdrawal Liability Rules (29 CFR </w:t>
      </w:r>
      <w:proofErr w:type="gramStart"/>
      <w:r w:rsidRPr="00EB6D59">
        <w:rPr>
          <w:rFonts w:ascii="Times New Roman" w:hAnsi="Times New Roman"/>
        </w:rPr>
        <w:t>Part</w:t>
      </w:r>
      <w:proofErr w:type="gramEnd"/>
      <w:r w:rsidRPr="00EB6D59">
        <w:rPr>
          <w:rFonts w:ascii="Times New Roman" w:hAnsi="Times New Roman"/>
        </w:rPr>
        <w:t xml:space="preserve"> 4203) </w:t>
      </w:r>
    </w:p>
    <w:p w:rsidR="00F272AC" w:rsidRPr="00EB6D59" w:rsidRDefault="00F272AC">
      <w:pPr>
        <w:widowControl/>
        <w:rPr>
          <w:rFonts w:ascii="Times New Roman" w:hAnsi="Times New Roman"/>
        </w:rPr>
      </w:pPr>
    </w:p>
    <w:p w:rsidR="00F272AC" w:rsidRPr="00DD24D7" w:rsidRDefault="00F272AC">
      <w:pPr>
        <w:widowControl/>
        <w:tabs>
          <w:tab w:val="left" w:pos="-1440"/>
        </w:tabs>
        <w:ind w:left="1440" w:hanging="1440"/>
        <w:rPr>
          <w:rFonts w:ascii="Times New Roman" w:hAnsi="Times New Roman"/>
        </w:rPr>
      </w:pPr>
      <w:r w:rsidRPr="00EB6D59">
        <w:rPr>
          <w:rFonts w:ascii="Times New Roman" w:hAnsi="Times New Roman"/>
          <w:b/>
          <w:bCs/>
        </w:rPr>
        <w:t>STATUS:</w:t>
      </w:r>
      <w:r w:rsidRPr="00EB6D59">
        <w:rPr>
          <w:rFonts w:ascii="Times New Roman" w:hAnsi="Times New Roman"/>
        </w:rPr>
        <w:tab/>
        <w:t>Request for regular review and extension of currently approved collection (OMB control number 1212</w:t>
      </w:r>
      <w:r w:rsidR="00B110C6" w:rsidRPr="00EB6D59">
        <w:rPr>
          <w:rFonts w:ascii="Times New Roman" w:hAnsi="Times New Roman"/>
        </w:rPr>
        <w:noBreakHyphen/>
        <w:t xml:space="preserve">0023; expires </w:t>
      </w:r>
      <w:r w:rsidR="00DC3A4F">
        <w:rPr>
          <w:rFonts w:ascii="Times New Roman" w:hAnsi="Times New Roman"/>
        </w:rPr>
        <w:t>June 30</w:t>
      </w:r>
      <w:r w:rsidR="00B110C6" w:rsidRPr="00DD24D7">
        <w:rPr>
          <w:rFonts w:ascii="Times New Roman" w:hAnsi="Times New Roman"/>
        </w:rPr>
        <w:t>, 201</w:t>
      </w:r>
      <w:r w:rsidR="00197BDD" w:rsidRPr="00DD24D7">
        <w:rPr>
          <w:rFonts w:ascii="Times New Roman" w:hAnsi="Times New Roman"/>
        </w:rPr>
        <w:t>4</w:t>
      </w:r>
      <w:r w:rsidRPr="00DD24D7">
        <w:rPr>
          <w:rFonts w:ascii="Times New Roman" w:hAnsi="Times New Roman"/>
        </w:rPr>
        <w:t>)</w:t>
      </w:r>
    </w:p>
    <w:p w:rsidR="00F272AC" w:rsidRPr="00DD24D7" w:rsidRDefault="00F272AC">
      <w:pPr>
        <w:widowControl/>
        <w:rPr>
          <w:rFonts w:ascii="Times New Roman" w:hAnsi="Times New Roman"/>
        </w:rPr>
      </w:pPr>
    </w:p>
    <w:p w:rsidR="00F272AC" w:rsidRPr="00DD24D7" w:rsidRDefault="00F272AC" w:rsidP="00F3145A">
      <w:pPr>
        <w:widowControl/>
        <w:ind w:left="1440" w:hanging="1440"/>
        <w:rPr>
          <w:rFonts w:ascii="Times New Roman" w:hAnsi="Times New Roman"/>
        </w:rPr>
      </w:pPr>
      <w:r w:rsidRPr="00DD24D7">
        <w:rPr>
          <w:rFonts w:ascii="Times New Roman" w:hAnsi="Times New Roman"/>
          <w:b/>
          <w:bCs/>
        </w:rPr>
        <w:t>CONTACT:</w:t>
      </w:r>
      <w:r w:rsidR="00F71711" w:rsidRPr="00DD24D7">
        <w:rPr>
          <w:rFonts w:ascii="Times New Roman" w:hAnsi="Times New Roman"/>
        </w:rPr>
        <w:tab/>
        <w:t>Donald F. McCabe (326</w:t>
      </w:r>
      <w:r w:rsidR="00F71711" w:rsidRPr="00DD24D7">
        <w:rPr>
          <w:rFonts w:ascii="Times New Roman" w:hAnsi="Times New Roman"/>
        </w:rPr>
        <w:noBreakHyphen/>
        <w:t>4</w:t>
      </w:r>
      <w:r w:rsidR="00F532EC">
        <w:rPr>
          <w:rFonts w:ascii="Times New Roman" w:hAnsi="Times New Roman"/>
        </w:rPr>
        <w:t>400</w:t>
      </w:r>
      <w:r w:rsidR="00F71711" w:rsidRPr="00DD24D7">
        <w:rPr>
          <w:rFonts w:ascii="Times New Roman" w:hAnsi="Times New Roman"/>
        </w:rPr>
        <w:t xml:space="preserve"> x3872</w:t>
      </w:r>
      <w:r w:rsidRPr="00DD24D7">
        <w:rPr>
          <w:rFonts w:ascii="Times New Roman" w:hAnsi="Times New Roman"/>
        </w:rPr>
        <w:t xml:space="preserve">) </w:t>
      </w:r>
      <w:r w:rsidR="00F3145A" w:rsidRPr="00DD24D7">
        <w:rPr>
          <w:rFonts w:ascii="Times New Roman" w:hAnsi="Times New Roman"/>
        </w:rPr>
        <w:t xml:space="preserve">or </w:t>
      </w:r>
      <w:r w:rsidR="006D0D1C">
        <w:rPr>
          <w:rFonts w:ascii="Times New Roman" w:hAnsi="Times New Roman"/>
        </w:rPr>
        <w:t>Daniel S. Liebman (326-4400 x6510)</w:t>
      </w:r>
    </w:p>
    <w:p w:rsidR="00F272AC" w:rsidRPr="00DD24D7" w:rsidRDefault="00F272AC">
      <w:pPr>
        <w:widowControl/>
        <w:rPr>
          <w:rFonts w:ascii="Times New Roman" w:hAnsi="Times New Roman"/>
        </w:rPr>
      </w:pPr>
    </w:p>
    <w:p w:rsidR="00F272AC" w:rsidRPr="00DD24D7" w:rsidRDefault="00F272AC">
      <w:pPr>
        <w:widowControl/>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1.  </w:t>
      </w:r>
      <w:r w:rsidRPr="00DD24D7">
        <w:rPr>
          <w:rFonts w:ascii="Times New Roman" w:hAnsi="Times New Roman"/>
          <w:u w:val="single"/>
        </w:rPr>
        <w:t>Need for collection.</w:t>
      </w:r>
      <w:r w:rsidRPr="00DD24D7">
        <w:rPr>
          <w:rFonts w:ascii="Times New Roman" w:hAnsi="Times New Roman"/>
        </w:rPr>
        <w:t xml:space="preserve">  This collection of information is necessary for proper performance of agency functions under sections 4203(f) and 4208(e)(3) of the Employee Retirement Income Security Act of 1974 (ERISA).  Sections 4203(f) and 4208(e)(3) provide for </w:t>
      </w:r>
      <w:proofErr w:type="gramStart"/>
      <w:r w:rsidRPr="00DD24D7">
        <w:rPr>
          <w:rFonts w:ascii="Times New Roman" w:hAnsi="Times New Roman"/>
        </w:rPr>
        <w:t>the</w:t>
      </w:r>
      <w:proofErr w:type="gramEnd"/>
      <w:r w:rsidRPr="00DD24D7">
        <w:rPr>
          <w:rFonts w:ascii="Times New Roman" w:hAnsi="Times New Roman"/>
        </w:rPr>
        <w:t xml:space="preserve"> issuance of regulations by the Pension Benefit Guaranty Corporation (PBGC) under which </w:t>
      </w:r>
      <w:r w:rsidR="00EE4537" w:rsidRPr="00DD24D7">
        <w:rPr>
          <w:rFonts w:ascii="Times New Roman" w:hAnsi="Times New Roman"/>
        </w:rPr>
        <w:t>PBGC</w:t>
      </w:r>
      <w:r w:rsidRPr="00DD24D7">
        <w:rPr>
          <w:rFonts w:ascii="Times New Roman" w:hAnsi="Times New Roman"/>
        </w:rPr>
        <w:t xml:space="preserve"> may approve a multiemployer pension plan</w:t>
      </w:r>
      <w:r w:rsidR="00B016AE">
        <w:rPr>
          <w:rFonts w:ascii="Times New Roman" w:hAnsi="Times New Roman"/>
        </w:rPr>
        <w:t>’</w:t>
      </w:r>
      <w:r w:rsidRPr="00EB6D59">
        <w:rPr>
          <w:rFonts w:ascii="Times New Roman" w:hAnsi="Times New Roman"/>
        </w:rPr>
        <w:t xml:space="preserve">s adoption of special rules for determining whether a complete or partial withdrawal from the plan has occurred.  Section 4203(f) further provides that the regulations may permit use of special rules (1) only in </w:t>
      </w:r>
      <w:r w:rsidRPr="009D0AE1">
        <w:rPr>
          <w:rFonts w:ascii="Times New Roman" w:hAnsi="Times New Roman"/>
        </w:rPr>
        <w:t xml:space="preserve">industries that </w:t>
      </w:r>
      <w:r w:rsidR="00EE4537" w:rsidRPr="00DD24D7">
        <w:rPr>
          <w:rFonts w:ascii="Times New Roman" w:hAnsi="Times New Roman"/>
        </w:rPr>
        <w:t>PBGC</w:t>
      </w:r>
      <w:r w:rsidRPr="00DD24D7">
        <w:rPr>
          <w:rFonts w:ascii="Times New Roman" w:hAnsi="Times New Roman"/>
        </w:rPr>
        <w:t xml:space="preserve"> finds have appropriate characteristics and (2) only in instances where </w:t>
      </w:r>
      <w:r w:rsidR="00EE4537" w:rsidRPr="00DD24D7">
        <w:rPr>
          <w:rFonts w:ascii="Times New Roman" w:hAnsi="Times New Roman"/>
        </w:rPr>
        <w:t>PBGC</w:t>
      </w:r>
      <w:r w:rsidRPr="00DD24D7">
        <w:rPr>
          <w:rFonts w:ascii="Times New Roman" w:hAnsi="Times New Roman"/>
        </w:rPr>
        <w:t xml:space="preserve"> determines that use of such rules will not pose a significant risk to the multiemployer insurance system administered by </w:t>
      </w:r>
      <w:r w:rsidR="00EE4537" w:rsidRPr="00DD24D7">
        <w:rPr>
          <w:rFonts w:ascii="Times New Roman" w:hAnsi="Times New Roman"/>
        </w:rPr>
        <w:t>PBGC</w:t>
      </w:r>
      <w:r w:rsidRPr="00DD24D7">
        <w:rPr>
          <w:rFonts w:ascii="Times New Roman" w:hAnsi="Times New Roman"/>
        </w:rPr>
        <w:t xml:space="preserve">.  </w:t>
      </w: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In order to determine whether the special rules adopted by a plan meet the statutory requirements, </w:t>
      </w:r>
      <w:r w:rsidR="00EE4537" w:rsidRPr="00DD24D7">
        <w:rPr>
          <w:rFonts w:ascii="Times New Roman" w:hAnsi="Times New Roman"/>
        </w:rPr>
        <w:t>PBGC</w:t>
      </w:r>
      <w:r w:rsidRPr="00DD24D7">
        <w:rPr>
          <w:rFonts w:ascii="Times New Roman" w:hAnsi="Times New Roman"/>
        </w:rPr>
        <w:t xml:space="preserve"> must have certain information about the rules, the plan, and the industry in which the plan operates.  </w:t>
      </w:r>
      <w:r w:rsidR="00EE4537" w:rsidRPr="00DD24D7">
        <w:rPr>
          <w:rFonts w:ascii="Times New Roman" w:hAnsi="Times New Roman"/>
        </w:rPr>
        <w:t>PBGC</w:t>
      </w:r>
      <w:r w:rsidR="00270332">
        <w:rPr>
          <w:rFonts w:ascii="Times New Roman" w:hAnsi="Times New Roman"/>
        </w:rPr>
        <w:t>’</w:t>
      </w:r>
      <w:r w:rsidRPr="00EB6D59">
        <w:rPr>
          <w:rFonts w:ascii="Times New Roman" w:hAnsi="Times New Roman"/>
        </w:rPr>
        <w:t>s regulation on Extension of Special Withdrawal Liability Rules (29 CFR Pa</w:t>
      </w:r>
      <w:r w:rsidRPr="009D0AE1">
        <w:rPr>
          <w:rFonts w:ascii="Times New Roman" w:hAnsi="Times New Roman"/>
        </w:rPr>
        <w:t xml:space="preserve">rt 4203) requires a plan that adopts special rules to submit such information to </w:t>
      </w:r>
      <w:r w:rsidR="00EE4537" w:rsidRPr="00DD24D7">
        <w:rPr>
          <w:rFonts w:ascii="Times New Roman" w:hAnsi="Times New Roman"/>
        </w:rPr>
        <w:t>PBGC</w:t>
      </w:r>
      <w:r w:rsidRPr="00DD24D7">
        <w:rPr>
          <w:rFonts w:ascii="Times New Roman" w:hAnsi="Times New Roman"/>
        </w:rPr>
        <w:t xml:space="preserve"> with its request for PBGC approval of the rules.  </w:t>
      </w:r>
    </w:p>
    <w:p w:rsidR="00F272AC" w:rsidRPr="00DD24D7" w:rsidRDefault="00F272AC">
      <w:pPr>
        <w:widowControl/>
        <w:spacing w:line="480" w:lineRule="auto"/>
        <w:ind w:firstLine="720"/>
        <w:rPr>
          <w:rFonts w:ascii="Times New Roman" w:hAnsi="Times New Roman"/>
        </w:rPr>
        <w:sectPr w:rsidR="00F272AC" w:rsidRPr="00DD24D7" w:rsidSect="00FE5CEB">
          <w:footerReference w:type="even" r:id="rId8"/>
          <w:footerReference w:type="default" r:id="rId9"/>
          <w:pgSz w:w="12240" w:h="15840"/>
          <w:pgMar w:top="1440" w:right="1440" w:bottom="1440" w:left="1440" w:header="1008" w:footer="1440" w:gutter="0"/>
          <w:cols w:space="720"/>
          <w:noEndnote/>
          <w:titlePg/>
          <w:docGrid w:linePitch="326"/>
        </w:sectPr>
      </w:pPr>
    </w:p>
    <w:p w:rsidR="00F272AC" w:rsidRPr="009D0AE1" w:rsidRDefault="00F272AC">
      <w:pPr>
        <w:widowControl/>
        <w:spacing w:line="480" w:lineRule="auto"/>
        <w:ind w:firstLine="720"/>
        <w:rPr>
          <w:rFonts w:ascii="Times New Roman" w:hAnsi="Times New Roman"/>
        </w:rPr>
      </w:pPr>
      <w:r w:rsidRPr="00DD24D7">
        <w:rPr>
          <w:rFonts w:ascii="Times New Roman" w:hAnsi="Times New Roman"/>
        </w:rPr>
        <w:lastRenderedPageBreak/>
        <w:t>The request must include: (1) identifying information; (2) the text of the special rules and an illustration of particular applications (for understanding the rules); (3) financial statements, participant counts, and an actuarial valuation (for assessing the special rules</w:t>
      </w:r>
      <w:r w:rsidR="00F87687">
        <w:rPr>
          <w:rFonts w:ascii="Times New Roman" w:hAnsi="Times New Roman"/>
        </w:rPr>
        <w:t>’</w:t>
      </w:r>
      <w:r w:rsidRPr="00EB6D59">
        <w:rPr>
          <w:rFonts w:ascii="Times New Roman" w:hAnsi="Times New Roman"/>
        </w:rPr>
        <w:t xml:space="preserve"> effect on the plan); (4) a description of the industry (for judging whether it is appropriate for sp</w:t>
      </w:r>
      <w:r w:rsidRPr="009D0AE1">
        <w:rPr>
          <w:rFonts w:ascii="Times New Roman" w:hAnsi="Times New Roman"/>
        </w:rPr>
        <w:t xml:space="preserve">ecial rules); and (5) a certification that required notices of the adoption of special rules have been given.  </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2.  </w:t>
      </w:r>
      <w:r w:rsidRPr="00DD24D7">
        <w:rPr>
          <w:rFonts w:ascii="Times New Roman" w:hAnsi="Times New Roman"/>
          <w:u w:val="single"/>
        </w:rPr>
        <w:t>Use of information.</w:t>
      </w:r>
      <w:r w:rsidRPr="00DD24D7">
        <w:rPr>
          <w:rFonts w:ascii="Times New Roman" w:hAnsi="Times New Roman"/>
        </w:rPr>
        <w:t xml:space="preserve">  Information submitted under the regulation is used by </w:t>
      </w:r>
      <w:r w:rsidR="00EE4537" w:rsidRPr="00DD24D7">
        <w:rPr>
          <w:rFonts w:ascii="Times New Roman" w:hAnsi="Times New Roman"/>
        </w:rPr>
        <w:t>PBGC</w:t>
      </w:r>
      <w:r w:rsidRPr="00DD24D7">
        <w:rPr>
          <w:rFonts w:ascii="Times New Roman" w:hAnsi="Times New Roman"/>
        </w:rPr>
        <w:t xml:space="preserve"> in determining whether special withdrawal liability rules adopted by a plan meet the requirements of ERISA.  </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3.  </w:t>
      </w:r>
      <w:r w:rsidRPr="00DD24D7">
        <w:rPr>
          <w:rFonts w:ascii="Times New Roman" w:hAnsi="Times New Roman"/>
          <w:u w:val="single"/>
        </w:rPr>
        <w:t>Information technology.</w:t>
      </w:r>
      <w:r w:rsidRPr="00DD24D7">
        <w:rPr>
          <w:rFonts w:ascii="Times New Roman" w:hAnsi="Times New Roman"/>
        </w:rPr>
        <w:t xml:space="preserve">  The reporting volume under the regulation is too low to warrant the use of high technology.</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4.  </w:t>
      </w:r>
      <w:r w:rsidRPr="00DD24D7">
        <w:rPr>
          <w:rFonts w:ascii="Times New Roman" w:hAnsi="Times New Roman"/>
          <w:u w:val="single"/>
        </w:rPr>
        <w:t>Duplicate or similar information.</w:t>
      </w:r>
      <w:r w:rsidRPr="00DD24D7">
        <w:rPr>
          <w:rFonts w:ascii="Times New Roman" w:hAnsi="Times New Roman"/>
        </w:rPr>
        <w:t xml:space="preserve">  The regulation imposes a special purpose information submission requirement that is triggered by a unique event (the adoption at a specific time by a specific plan of a specific amendment), and this is the only such requirement imposed by </w:t>
      </w:r>
      <w:r w:rsidR="00EE4537" w:rsidRPr="00DD24D7">
        <w:rPr>
          <w:rFonts w:ascii="Times New Roman" w:hAnsi="Times New Roman"/>
        </w:rPr>
        <w:t>PBGC</w:t>
      </w:r>
      <w:r w:rsidRPr="00DD24D7">
        <w:rPr>
          <w:rFonts w:ascii="Times New Roman" w:hAnsi="Times New Roman"/>
        </w:rPr>
        <w:t xml:space="preserve"> for that event.  </w:t>
      </w:r>
    </w:p>
    <w:p w:rsidR="00F272AC" w:rsidRPr="00DD24D7" w:rsidRDefault="00F272AC" w:rsidP="000275C5">
      <w:pPr>
        <w:widowControl/>
        <w:spacing w:line="480" w:lineRule="auto"/>
        <w:ind w:firstLine="720"/>
        <w:rPr>
          <w:rFonts w:ascii="Times New Roman" w:hAnsi="Times New Roman"/>
        </w:rPr>
      </w:pPr>
      <w:bookmarkStart w:id="1" w:name="QuickMark"/>
      <w:bookmarkEnd w:id="1"/>
      <w:r w:rsidRPr="00DD24D7">
        <w:rPr>
          <w:rFonts w:ascii="Times New Roman" w:hAnsi="Times New Roman"/>
        </w:rPr>
        <w:t xml:space="preserve">The actuarial reports called for by the regulation are routinely prepared for other purposes (but not otherwise routinely sent to </w:t>
      </w:r>
      <w:r w:rsidR="00EE4537" w:rsidRPr="00DD24D7">
        <w:rPr>
          <w:rFonts w:ascii="Times New Roman" w:hAnsi="Times New Roman"/>
        </w:rPr>
        <w:t>PBGC</w:t>
      </w:r>
      <w:r w:rsidRPr="00DD24D7">
        <w:rPr>
          <w:rFonts w:ascii="Times New Roman" w:hAnsi="Times New Roman"/>
        </w:rPr>
        <w:t>).  To reduce burden, the regulation permits the submission of copi</w:t>
      </w:r>
      <w:r w:rsidR="00795A46" w:rsidRPr="00DD24D7">
        <w:rPr>
          <w:rFonts w:ascii="Times New Roman" w:hAnsi="Times New Roman"/>
        </w:rPr>
        <w:t>es of Form 5500</w:t>
      </w:r>
      <w:r w:rsidR="00637B3E">
        <w:rPr>
          <w:rFonts w:ascii="Times New Roman" w:hAnsi="Times New Roman"/>
        </w:rPr>
        <w:t>s and schedules</w:t>
      </w:r>
      <w:r w:rsidRPr="00DD24D7">
        <w:rPr>
          <w:rFonts w:ascii="Times New Roman" w:hAnsi="Times New Roman"/>
        </w:rPr>
        <w:t xml:space="preserve"> instead of financial statements and participant count information</w:t>
      </w:r>
      <w:r w:rsidR="003A7649" w:rsidRPr="00DD24D7">
        <w:rPr>
          <w:rFonts w:ascii="Times New Roman" w:hAnsi="Times New Roman"/>
        </w:rPr>
        <w:t xml:space="preserve">.  Plans' most recent Form 5500s (which may be substituted) are submitted by plans to a government contractor under a Form 5500 processing arrangement (known as “ERISA Filing Acceptance System 2” “EFAST2”), an all-electronic filing system that commenced January 1, 2010, and that is managed by the Department of Labor.  EFAST2 receives and </w:t>
      </w:r>
      <w:r w:rsidR="003A7649" w:rsidRPr="00DD24D7">
        <w:rPr>
          <w:rFonts w:ascii="Times New Roman" w:hAnsi="Times New Roman"/>
        </w:rPr>
        <w:lastRenderedPageBreak/>
        <w:t xml:space="preserve">displays Form 5500 filings </w:t>
      </w:r>
      <w:r w:rsidR="00720A6A" w:rsidRPr="00DD24D7">
        <w:rPr>
          <w:rFonts w:ascii="Times New Roman" w:hAnsi="Times New Roman"/>
        </w:rPr>
        <w:t xml:space="preserve">that </w:t>
      </w:r>
      <w:r w:rsidR="003A7649" w:rsidRPr="00DD24D7">
        <w:rPr>
          <w:rFonts w:ascii="Times New Roman" w:hAnsi="Times New Roman"/>
        </w:rPr>
        <w:t xml:space="preserve">PBGC (and the public) can </w:t>
      </w:r>
      <w:r w:rsidR="00F532EC">
        <w:rPr>
          <w:rFonts w:ascii="Times New Roman" w:hAnsi="Times New Roman"/>
        </w:rPr>
        <w:t xml:space="preserve">usually </w:t>
      </w:r>
      <w:r w:rsidR="003A7649" w:rsidRPr="00DD24D7">
        <w:rPr>
          <w:rFonts w:ascii="Times New Roman" w:hAnsi="Times New Roman"/>
        </w:rPr>
        <w:t>access within one day of submission.</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5.  </w:t>
      </w:r>
      <w:r w:rsidRPr="00DD24D7">
        <w:rPr>
          <w:rFonts w:ascii="Times New Roman" w:hAnsi="Times New Roman"/>
          <w:u w:val="single"/>
        </w:rPr>
        <w:t>Reducing the burden on small entities.</w:t>
      </w:r>
      <w:r w:rsidRPr="00DD24D7">
        <w:rPr>
          <w:rFonts w:ascii="Times New Roman" w:hAnsi="Times New Roman"/>
        </w:rPr>
        <w:t xml:space="preserve">  </w:t>
      </w:r>
      <w:proofErr w:type="gramStart"/>
      <w:r w:rsidRPr="00DD24D7">
        <w:rPr>
          <w:rFonts w:ascii="Times New Roman" w:hAnsi="Times New Roman"/>
        </w:rPr>
        <w:t>Inapplicable.</w:t>
      </w:r>
      <w:proofErr w:type="gramEnd"/>
      <w:r w:rsidRPr="00DD24D7">
        <w:rPr>
          <w:rFonts w:ascii="Times New Roman" w:hAnsi="Times New Roman"/>
        </w:rPr>
        <w:t xml:space="preserve">  </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6.  </w:t>
      </w:r>
      <w:r w:rsidRPr="00DD24D7">
        <w:rPr>
          <w:rFonts w:ascii="Times New Roman" w:hAnsi="Times New Roman"/>
          <w:u w:val="single"/>
        </w:rPr>
        <w:t>Consequence of reduced collection.</w:t>
      </w:r>
      <w:r w:rsidRPr="00DD24D7">
        <w:rPr>
          <w:rFonts w:ascii="Times New Roman" w:hAnsi="Times New Roman"/>
        </w:rPr>
        <w:t xml:space="preserve">  The submission of information under the regulation occurs only when special withdrawal liability rules are adopted by a plan.  If the information were not submitted, </w:t>
      </w:r>
      <w:r w:rsidR="00EE4537" w:rsidRPr="00DD24D7">
        <w:rPr>
          <w:rFonts w:ascii="Times New Roman" w:hAnsi="Times New Roman"/>
        </w:rPr>
        <w:t>PBGC</w:t>
      </w:r>
      <w:r w:rsidRPr="00DD24D7">
        <w:rPr>
          <w:rFonts w:ascii="Times New Roman" w:hAnsi="Times New Roman"/>
        </w:rPr>
        <w:t xml:space="preserve"> would not have the facts it needs to determine whether the special rules comply with ERISA.  </w:t>
      </w:r>
    </w:p>
    <w:p w:rsidR="00F272AC" w:rsidRPr="00DD24D7" w:rsidRDefault="00F272AC">
      <w:pPr>
        <w:widowControl/>
        <w:spacing w:line="120" w:lineRule="auto"/>
        <w:rPr>
          <w:rFonts w:ascii="Times New Roman" w:hAnsi="Times New Roman"/>
        </w:rPr>
      </w:pPr>
    </w:p>
    <w:p w:rsidR="00F272AC" w:rsidRPr="00EB6D59" w:rsidRDefault="00F272AC">
      <w:pPr>
        <w:widowControl/>
        <w:spacing w:line="480" w:lineRule="auto"/>
        <w:ind w:firstLine="720"/>
        <w:rPr>
          <w:rFonts w:ascii="Times New Roman" w:hAnsi="Times New Roman"/>
        </w:rPr>
      </w:pPr>
      <w:r w:rsidRPr="00DD24D7">
        <w:rPr>
          <w:rFonts w:ascii="Times New Roman" w:hAnsi="Times New Roman"/>
        </w:rPr>
        <w:t xml:space="preserve">7.  </w:t>
      </w:r>
      <w:r w:rsidRPr="00DD24D7">
        <w:rPr>
          <w:rFonts w:ascii="Times New Roman" w:hAnsi="Times New Roman"/>
          <w:u w:val="single"/>
        </w:rPr>
        <w:t>Consistency with guidelines.</w:t>
      </w:r>
      <w:r w:rsidRPr="00DD24D7">
        <w:rPr>
          <w:rFonts w:ascii="Times New Roman" w:hAnsi="Times New Roman"/>
        </w:rPr>
        <w:t xml:space="preserve">  The information collection is not conducted in a manner inconsistent with 5 CFR </w:t>
      </w:r>
      <w:r w:rsidR="00F87687" w:rsidRPr="001573AF">
        <w:rPr>
          <w:rFonts w:ascii="Times New Roman" w:hAnsi="Times New Roman"/>
        </w:rPr>
        <w:t>§</w:t>
      </w:r>
      <w:r w:rsidRPr="00EB6D59">
        <w:rPr>
          <w:rFonts w:ascii="Times New Roman" w:hAnsi="Times New Roman"/>
        </w:rPr>
        <w:t> 1320.5(d</w:t>
      </w:r>
      <w:proofErr w:type="gramStart"/>
      <w:r w:rsidRPr="00EB6D59">
        <w:rPr>
          <w:rFonts w:ascii="Times New Roman" w:hAnsi="Times New Roman"/>
        </w:rPr>
        <w:t>)(</w:t>
      </w:r>
      <w:proofErr w:type="gramEnd"/>
      <w:r w:rsidRPr="00EB6D59">
        <w:rPr>
          <w:rFonts w:ascii="Times New Roman" w:hAnsi="Times New Roman"/>
        </w:rPr>
        <w:t xml:space="preserve">2).  </w:t>
      </w:r>
    </w:p>
    <w:p w:rsidR="00F272AC" w:rsidRPr="009D0AE1" w:rsidRDefault="00F272AC">
      <w:pPr>
        <w:widowControl/>
        <w:spacing w:line="120" w:lineRule="auto"/>
        <w:rPr>
          <w:rFonts w:ascii="Times New Roman" w:hAnsi="Times New Roman"/>
        </w:rPr>
      </w:pPr>
    </w:p>
    <w:p w:rsidR="00F272AC" w:rsidRPr="00DD24D7" w:rsidRDefault="00F272AC" w:rsidP="00B2414A">
      <w:pPr>
        <w:widowControl/>
        <w:spacing w:line="480" w:lineRule="auto"/>
        <w:ind w:firstLine="720"/>
        <w:rPr>
          <w:rFonts w:ascii="Times New Roman" w:hAnsi="Times New Roman"/>
        </w:rPr>
      </w:pPr>
      <w:r w:rsidRPr="00DD24D7">
        <w:rPr>
          <w:rFonts w:ascii="Times New Roman" w:hAnsi="Times New Roman"/>
        </w:rPr>
        <w:t xml:space="preserve">8.  </w:t>
      </w:r>
      <w:r w:rsidRPr="00DD24D7">
        <w:rPr>
          <w:rFonts w:ascii="Times New Roman" w:hAnsi="Times New Roman"/>
          <w:u w:val="single"/>
        </w:rPr>
        <w:t>Outside input.</w:t>
      </w:r>
      <w:r w:rsidR="001D4B2C" w:rsidRPr="00DD24D7">
        <w:rPr>
          <w:rFonts w:ascii="Times New Roman" w:hAnsi="Times New Roman"/>
        </w:rPr>
        <w:t xml:space="preserve">  </w:t>
      </w:r>
      <w:r w:rsidR="00B2414A" w:rsidRPr="00DD24D7">
        <w:rPr>
          <w:rFonts w:ascii="Times New Roman" w:hAnsi="Times New Roman"/>
        </w:rPr>
        <w:t xml:space="preserve">PBGC published two Federal Register notices soliciting public comment on this and other collections of information, one pursuant to 5 CFR </w:t>
      </w:r>
      <w:r w:rsidR="00F87687" w:rsidRPr="002C34E8">
        <w:rPr>
          <w:rFonts w:ascii="Times New Roman" w:hAnsi="Times New Roman"/>
        </w:rPr>
        <w:t>§</w:t>
      </w:r>
      <w:r w:rsidR="009030A6" w:rsidRPr="00EB6D59">
        <w:rPr>
          <w:rFonts w:ascii="Times New Roman" w:hAnsi="Times New Roman"/>
        </w:rPr>
        <w:t> 1320.8(d) (</w:t>
      </w:r>
      <w:r w:rsidR="004852CB" w:rsidRPr="00EB6D59">
        <w:rPr>
          <w:rFonts w:ascii="Times New Roman" w:hAnsi="Times New Roman"/>
        </w:rPr>
        <w:t>Dec</w:t>
      </w:r>
      <w:r w:rsidR="001F268B" w:rsidRPr="00EB6D59">
        <w:rPr>
          <w:rFonts w:ascii="Times New Roman" w:hAnsi="Times New Roman"/>
        </w:rPr>
        <w:t xml:space="preserve">ember </w:t>
      </w:r>
      <w:r w:rsidR="004852CB" w:rsidRPr="00EB6D59">
        <w:rPr>
          <w:rFonts w:ascii="Times New Roman" w:hAnsi="Times New Roman"/>
        </w:rPr>
        <w:t>2</w:t>
      </w:r>
      <w:r w:rsidR="001F268B" w:rsidRPr="00EB6D59">
        <w:rPr>
          <w:rFonts w:ascii="Times New Roman" w:hAnsi="Times New Roman"/>
        </w:rPr>
        <w:t>, 201</w:t>
      </w:r>
      <w:r w:rsidR="004852CB" w:rsidRPr="00EB6D59">
        <w:rPr>
          <w:rFonts w:ascii="Times New Roman" w:hAnsi="Times New Roman"/>
        </w:rPr>
        <w:t>3</w:t>
      </w:r>
      <w:r w:rsidR="001F268B" w:rsidRPr="00EB6D59">
        <w:rPr>
          <w:rFonts w:ascii="Times New Roman" w:hAnsi="Times New Roman"/>
        </w:rPr>
        <w:t>, at 7</w:t>
      </w:r>
      <w:r w:rsidR="004852CB" w:rsidRPr="00EB6D59">
        <w:rPr>
          <w:rFonts w:ascii="Times New Roman" w:hAnsi="Times New Roman"/>
        </w:rPr>
        <w:t>8</w:t>
      </w:r>
      <w:r w:rsidR="001F268B" w:rsidRPr="00EB6D59">
        <w:rPr>
          <w:rFonts w:ascii="Times New Roman" w:hAnsi="Times New Roman"/>
        </w:rPr>
        <w:t xml:space="preserve"> FR 7</w:t>
      </w:r>
      <w:r w:rsidR="00F86A4E" w:rsidRPr="00EB6D59">
        <w:rPr>
          <w:rFonts w:ascii="Times New Roman" w:hAnsi="Times New Roman"/>
        </w:rPr>
        <w:t>2128</w:t>
      </w:r>
      <w:r w:rsidR="00B2414A" w:rsidRPr="00EB6D59">
        <w:rPr>
          <w:rFonts w:ascii="Times New Roman" w:hAnsi="Times New Roman"/>
        </w:rPr>
        <w:t xml:space="preserve">), and the other pursuant to 5 CFR </w:t>
      </w:r>
      <w:r w:rsidR="00F87687" w:rsidRPr="002C34E8">
        <w:rPr>
          <w:rFonts w:ascii="Times New Roman" w:hAnsi="Times New Roman"/>
        </w:rPr>
        <w:t>§</w:t>
      </w:r>
      <w:r w:rsidR="00B2414A" w:rsidRPr="00EB6D59">
        <w:rPr>
          <w:rFonts w:ascii="Times New Roman" w:hAnsi="Times New Roman"/>
        </w:rPr>
        <w:t> 1320.5(a)(1)(iv) (</w:t>
      </w:r>
      <w:r w:rsidR="00EB6D59">
        <w:rPr>
          <w:rFonts w:ascii="Times New Roman" w:hAnsi="Times New Roman"/>
        </w:rPr>
        <w:t>March</w:t>
      </w:r>
      <w:r w:rsidR="001F268B" w:rsidRPr="00EB6D59">
        <w:rPr>
          <w:rFonts w:ascii="Times New Roman" w:hAnsi="Times New Roman"/>
        </w:rPr>
        <w:t xml:space="preserve"> </w:t>
      </w:r>
      <w:r w:rsidR="00331645">
        <w:rPr>
          <w:rFonts w:ascii="Times New Roman" w:hAnsi="Times New Roman"/>
        </w:rPr>
        <w:t>19</w:t>
      </w:r>
      <w:r w:rsidR="001F268B" w:rsidRPr="00EB6D59">
        <w:rPr>
          <w:rFonts w:ascii="Times New Roman" w:hAnsi="Times New Roman"/>
        </w:rPr>
        <w:t>, 201</w:t>
      </w:r>
      <w:r w:rsidR="00F86A4E" w:rsidRPr="00EB6D59">
        <w:rPr>
          <w:rFonts w:ascii="Times New Roman" w:hAnsi="Times New Roman"/>
        </w:rPr>
        <w:t>4</w:t>
      </w:r>
      <w:r w:rsidR="001F268B" w:rsidRPr="00EB6D59">
        <w:rPr>
          <w:rFonts w:ascii="Times New Roman" w:hAnsi="Times New Roman"/>
        </w:rPr>
        <w:t>, at 7</w:t>
      </w:r>
      <w:r w:rsidR="00F86A4E" w:rsidRPr="00EB6D59">
        <w:rPr>
          <w:rFonts w:ascii="Times New Roman" w:hAnsi="Times New Roman"/>
        </w:rPr>
        <w:t>9</w:t>
      </w:r>
      <w:r w:rsidR="001F268B" w:rsidRPr="00EB6D59">
        <w:rPr>
          <w:rFonts w:ascii="Times New Roman" w:hAnsi="Times New Roman"/>
        </w:rPr>
        <w:t xml:space="preserve"> FR </w:t>
      </w:r>
      <w:r w:rsidR="00331645">
        <w:rPr>
          <w:rFonts w:ascii="Times New Roman" w:hAnsi="Times New Roman"/>
        </w:rPr>
        <w:t>15361</w:t>
      </w:r>
      <w:r w:rsidR="00514E05" w:rsidRPr="009D0AE1">
        <w:rPr>
          <w:rFonts w:ascii="Times New Roman" w:hAnsi="Times New Roman"/>
        </w:rPr>
        <w:t>)</w:t>
      </w:r>
      <w:r w:rsidR="00B2414A" w:rsidRPr="00DD24D7">
        <w:rPr>
          <w:rFonts w:ascii="Times New Roman" w:hAnsi="Times New Roman"/>
        </w:rPr>
        <w:t xml:space="preserve">.  No public comments were received </w:t>
      </w:r>
      <w:r w:rsidR="00E07B4E" w:rsidRPr="00DD24D7">
        <w:rPr>
          <w:rFonts w:ascii="Times New Roman" w:hAnsi="Times New Roman"/>
        </w:rPr>
        <w:t xml:space="preserve">in response to </w:t>
      </w:r>
      <w:r w:rsidR="00E0186B">
        <w:rPr>
          <w:rFonts w:ascii="Times New Roman" w:hAnsi="Times New Roman"/>
        </w:rPr>
        <w:t>either</w:t>
      </w:r>
      <w:r w:rsidR="00B2414A" w:rsidRPr="00DD24D7">
        <w:rPr>
          <w:rFonts w:ascii="Times New Roman" w:hAnsi="Times New Roman"/>
        </w:rPr>
        <w:t xml:space="preserve"> notice.</w:t>
      </w: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9.  </w:t>
      </w:r>
      <w:r w:rsidRPr="00DD24D7">
        <w:rPr>
          <w:rFonts w:ascii="Times New Roman" w:hAnsi="Times New Roman"/>
          <w:u w:val="single"/>
        </w:rPr>
        <w:t>Payment to respondents.</w:t>
      </w:r>
      <w:r w:rsidRPr="00DD24D7">
        <w:rPr>
          <w:rFonts w:ascii="Times New Roman" w:hAnsi="Times New Roman"/>
        </w:rPr>
        <w:t xml:space="preserve">  </w:t>
      </w:r>
      <w:r w:rsidR="00EE4537" w:rsidRPr="00DD24D7">
        <w:rPr>
          <w:rFonts w:ascii="Times New Roman" w:hAnsi="Times New Roman"/>
        </w:rPr>
        <w:t>PBGC</w:t>
      </w:r>
      <w:r w:rsidRPr="00DD24D7">
        <w:rPr>
          <w:rFonts w:ascii="Times New Roman" w:hAnsi="Times New Roman"/>
        </w:rPr>
        <w:t xml:space="preserve"> provides no payments or gifts to respondents in connection with this collection of information.  </w:t>
      </w:r>
    </w:p>
    <w:p w:rsidR="00F272AC" w:rsidRPr="00DD24D7" w:rsidRDefault="00F272AC">
      <w:pPr>
        <w:widowControl/>
        <w:spacing w:line="120" w:lineRule="auto"/>
        <w:rPr>
          <w:rFonts w:ascii="Times New Roman" w:hAnsi="Times New Roman"/>
        </w:rPr>
      </w:pPr>
    </w:p>
    <w:p w:rsidR="00F272AC" w:rsidRPr="00EB6D59" w:rsidRDefault="00F272AC">
      <w:pPr>
        <w:widowControl/>
        <w:spacing w:line="480" w:lineRule="auto"/>
        <w:ind w:firstLine="720"/>
        <w:rPr>
          <w:rFonts w:ascii="Times New Roman" w:hAnsi="Times New Roman"/>
        </w:rPr>
      </w:pPr>
      <w:r w:rsidRPr="00DD24D7">
        <w:rPr>
          <w:rFonts w:ascii="Times New Roman" w:hAnsi="Times New Roman"/>
        </w:rPr>
        <w:t xml:space="preserve">10.  </w:t>
      </w:r>
      <w:r w:rsidRPr="00DD24D7">
        <w:rPr>
          <w:rFonts w:ascii="Times New Roman" w:hAnsi="Times New Roman"/>
          <w:u w:val="single"/>
        </w:rPr>
        <w:t>Confidentiality.</w:t>
      </w:r>
      <w:r w:rsidRPr="00DD24D7">
        <w:rPr>
          <w:rFonts w:ascii="Times New Roman" w:hAnsi="Times New Roman"/>
        </w:rPr>
        <w:t xml:space="preserve">  The regulation gives no assurance of confidentiality, but information submitted to </w:t>
      </w:r>
      <w:r w:rsidR="00EE4537" w:rsidRPr="00DD24D7">
        <w:rPr>
          <w:rFonts w:ascii="Times New Roman" w:hAnsi="Times New Roman"/>
        </w:rPr>
        <w:t>PBGC</w:t>
      </w:r>
      <w:r w:rsidRPr="00DD24D7">
        <w:rPr>
          <w:rFonts w:ascii="Times New Roman" w:hAnsi="Times New Roman"/>
        </w:rPr>
        <w:t xml:space="preserve"> under the regulation is accessible only in accordance with applicable law and regulations.  </w:t>
      </w:r>
      <w:r w:rsidR="00EE4537" w:rsidRPr="00DD24D7">
        <w:rPr>
          <w:rFonts w:ascii="Times New Roman" w:hAnsi="Times New Roman"/>
        </w:rPr>
        <w:t>PBGC</w:t>
      </w:r>
      <w:r w:rsidR="00F87687">
        <w:rPr>
          <w:rFonts w:ascii="Times New Roman" w:hAnsi="Times New Roman"/>
        </w:rPr>
        <w:t>’</w:t>
      </w:r>
      <w:r w:rsidRPr="00EB6D59">
        <w:rPr>
          <w:rFonts w:ascii="Times New Roman" w:hAnsi="Times New Roman"/>
        </w:rPr>
        <w:t xml:space="preserve">s rules providing and restricting access to its records are set forth in 29 CFR Part 4901.  </w:t>
      </w:r>
    </w:p>
    <w:p w:rsidR="00F272AC" w:rsidRPr="009D0AE1" w:rsidRDefault="00F272AC">
      <w:pPr>
        <w:widowControl/>
        <w:spacing w:line="120" w:lineRule="auto"/>
        <w:rPr>
          <w:rFonts w:ascii="Times New Roman" w:hAnsi="Times New Roman"/>
        </w:rPr>
      </w:pPr>
    </w:p>
    <w:p w:rsidR="003A7649" w:rsidRPr="00DD24D7" w:rsidRDefault="00F272AC">
      <w:pPr>
        <w:widowControl/>
        <w:spacing w:line="480" w:lineRule="auto"/>
        <w:ind w:firstLine="720"/>
        <w:rPr>
          <w:rFonts w:ascii="Times New Roman" w:hAnsi="Times New Roman"/>
        </w:rPr>
      </w:pPr>
      <w:r w:rsidRPr="00DD24D7">
        <w:rPr>
          <w:rFonts w:ascii="Times New Roman" w:hAnsi="Times New Roman"/>
        </w:rPr>
        <w:lastRenderedPageBreak/>
        <w:t xml:space="preserve">11.  </w:t>
      </w:r>
      <w:r w:rsidRPr="00DD24D7">
        <w:rPr>
          <w:rFonts w:ascii="Times New Roman" w:hAnsi="Times New Roman"/>
          <w:u w:val="single"/>
        </w:rPr>
        <w:t>Personal questions.</w:t>
      </w:r>
      <w:r w:rsidRPr="00DD24D7">
        <w:rPr>
          <w:rFonts w:ascii="Times New Roman" w:hAnsi="Times New Roman"/>
        </w:rPr>
        <w:t xml:space="preserve">  The regulation does not call for submission </w:t>
      </w:r>
      <w:r w:rsidR="003A7649" w:rsidRPr="00DD24D7">
        <w:rPr>
          <w:rFonts w:ascii="Times New Roman" w:hAnsi="Times New Roman"/>
        </w:rPr>
        <w:t>of information of a sensitive nature.</w:t>
      </w:r>
    </w:p>
    <w:p w:rsidR="00E0186B" w:rsidRDefault="003A7649" w:rsidP="00E0186B">
      <w:pPr>
        <w:widowControl/>
        <w:spacing w:line="480" w:lineRule="auto"/>
        <w:ind w:firstLine="720"/>
        <w:rPr>
          <w:rFonts w:ascii="Times New Roman" w:hAnsi="Times New Roman"/>
        </w:rPr>
      </w:pPr>
      <w:r w:rsidRPr="00DD24D7">
        <w:rPr>
          <w:rFonts w:ascii="Times New Roman" w:hAnsi="Times New Roman"/>
        </w:rPr>
        <w:t>12.</w:t>
      </w:r>
      <w:r w:rsidR="00F272AC" w:rsidRPr="00DD24D7">
        <w:rPr>
          <w:rFonts w:ascii="Times New Roman" w:hAnsi="Times New Roman"/>
        </w:rPr>
        <w:t xml:space="preserve">  </w:t>
      </w:r>
      <w:r w:rsidR="00F272AC" w:rsidRPr="00DD24D7">
        <w:rPr>
          <w:rFonts w:ascii="Times New Roman" w:hAnsi="Times New Roman"/>
          <w:u w:val="single"/>
        </w:rPr>
        <w:t>Hour burden on the public.</w:t>
      </w:r>
      <w:r w:rsidR="00F272AC" w:rsidRPr="00DD24D7">
        <w:rPr>
          <w:rFonts w:ascii="Times New Roman" w:hAnsi="Times New Roman"/>
        </w:rPr>
        <w:t xml:space="preserve">  </w:t>
      </w:r>
      <w:r w:rsidR="00EE4537" w:rsidRPr="00DD24D7">
        <w:rPr>
          <w:rFonts w:ascii="Times New Roman" w:hAnsi="Times New Roman"/>
        </w:rPr>
        <w:t>PBGC</w:t>
      </w:r>
      <w:r w:rsidR="00F272AC" w:rsidRPr="00DD24D7">
        <w:rPr>
          <w:rFonts w:ascii="Times New Roman" w:hAnsi="Times New Roman"/>
        </w:rPr>
        <w:t xml:space="preserve"> estimates that it typically receives at most 1 application a year under this regulation, requiring 1 hour of</w:t>
      </w:r>
      <w:r w:rsidR="00E0186B">
        <w:rPr>
          <w:rFonts w:ascii="Times New Roman" w:hAnsi="Times New Roman"/>
        </w:rPr>
        <w:t xml:space="preserve"> in-house</w:t>
      </w:r>
      <w:r w:rsidR="00F272AC" w:rsidRPr="00DD24D7">
        <w:rPr>
          <w:rFonts w:ascii="Times New Roman" w:hAnsi="Times New Roman"/>
        </w:rPr>
        <w:t xml:space="preserve"> managerial time and 16 hours of professional time to prepare.  However, </w:t>
      </w:r>
      <w:r w:rsidR="00EE4537" w:rsidRPr="00DD24D7">
        <w:rPr>
          <w:rFonts w:ascii="Times New Roman" w:hAnsi="Times New Roman"/>
        </w:rPr>
        <w:t>PBGC</w:t>
      </w:r>
      <w:r w:rsidR="00F272AC" w:rsidRPr="00DD24D7">
        <w:rPr>
          <w:rFonts w:ascii="Times New Roman" w:hAnsi="Times New Roman"/>
        </w:rPr>
        <w:t xml:space="preserve"> also believes, based on its experience, that virtually all of the professional services involved in preparing these applications are performed by plans</w:t>
      </w:r>
      <w:r w:rsidR="00F87687">
        <w:rPr>
          <w:rFonts w:ascii="Times New Roman" w:hAnsi="Times New Roman"/>
        </w:rPr>
        <w:t>’</w:t>
      </w:r>
      <w:r w:rsidR="00F272AC" w:rsidRPr="00EB6D59">
        <w:rPr>
          <w:rFonts w:ascii="Times New Roman" w:hAnsi="Times New Roman"/>
        </w:rPr>
        <w:t xml:space="preserve"> outside consultants.  </w:t>
      </w:r>
      <w:r w:rsidR="00F272AC" w:rsidRPr="00DD24D7">
        <w:rPr>
          <w:rFonts w:ascii="Times New Roman" w:hAnsi="Times New Roman"/>
        </w:rPr>
        <w:t xml:space="preserve">  </w:t>
      </w:r>
      <w:r w:rsidR="00E0186B">
        <w:rPr>
          <w:rFonts w:ascii="Times New Roman" w:hAnsi="Times New Roman"/>
        </w:rPr>
        <w:t xml:space="preserve">PBGC assumes an average rate of $76.96 per hour for in-house costs at the compensation and benefits manager level.  This estimate is based on the following assumptions: </w:t>
      </w:r>
    </w:p>
    <w:p w:rsidR="00E0186B" w:rsidRPr="006D0D1C" w:rsidRDefault="00E0186B" w:rsidP="00E0186B">
      <w:pPr>
        <w:widowControl/>
        <w:numPr>
          <w:ilvl w:val="0"/>
          <w:numId w:val="1"/>
        </w:numPr>
        <w:rPr>
          <w:rFonts w:ascii="Times New Roman" w:hAnsi="Times New Roman"/>
        </w:rPr>
      </w:pPr>
      <w:r>
        <w:rPr>
          <w:rFonts w:ascii="Times New Roman" w:hAnsi="Times New Roman"/>
        </w:rPr>
        <w:t>Wage rates account for 70% of total labor costs, with the remaining 30% attributable to benefits costs.</w:t>
      </w:r>
      <w:r>
        <w:rPr>
          <w:rFonts w:ascii="Times New Roman" w:hAnsi="Times New Roman"/>
          <w:vertAlign w:val="superscript"/>
        </w:rPr>
        <w:footnoteReference w:id="1"/>
      </w:r>
      <w:r>
        <w:rPr>
          <w:rFonts w:ascii="Times New Roman" w:hAnsi="Times New Roman"/>
          <w:vertAlign w:val="superscript"/>
        </w:rPr>
        <w:t xml:space="preserve">  </w:t>
      </w:r>
    </w:p>
    <w:p w:rsidR="00E0186B" w:rsidRPr="006D0D1C" w:rsidRDefault="00E0186B" w:rsidP="006D0D1C">
      <w:pPr>
        <w:widowControl/>
        <w:ind w:left="720"/>
        <w:rPr>
          <w:rFonts w:ascii="Times New Roman" w:hAnsi="Times New Roman"/>
        </w:rPr>
      </w:pPr>
    </w:p>
    <w:p w:rsidR="00E0186B" w:rsidRDefault="00E0186B" w:rsidP="00E0186B">
      <w:pPr>
        <w:widowControl/>
        <w:numPr>
          <w:ilvl w:val="0"/>
          <w:numId w:val="1"/>
        </w:numPr>
        <w:rPr>
          <w:rFonts w:ascii="Times New Roman" w:hAnsi="Times New Roman"/>
        </w:rPr>
      </w:pPr>
      <w:r>
        <w:rPr>
          <w:rFonts w:ascii="Times New Roman" w:hAnsi="Times New Roman"/>
        </w:rPr>
        <w:t>The in-house hours performed by a compensation and benefits manager (occupational code 11-3111) are at a mean hourly wage rate $53.87 per hour, $76.96 per hour including benefits.</w:t>
      </w:r>
      <w:r>
        <w:rPr>
          <w:rStyle w:val="FootnoteReference"/>
          <w:rFonts w:ascii="Times New Roman" w:hAnsi="Times New Roman"/>
          <w:vertAlign w:val="superscript"/>
        </w:rPr>
        <w:footnoteReference w:id="2"/>
      </w:r>
    </w:p>
    <w:p w:rsidR="00E0186B" w:rsidRDefault="00E0186B" w:rsidP="00E0186B">
      <w:pPr>
        <w:widowControl/>
        <w:autoSpaceDE/>
        <w:autoSpaceDN/>
        <w:adjustRightInd/>
        <w:rPr>
          <w:rFonts w:ascii="Times New Roman" w:hAnsi="Times New Roman"/>
        </w:rPr>
      </w:pPr>
    </w:p>
    <w:p w:rsidR="00F272AC" w:rsidRPr="00DD24D7" w:rsidRDefault="00E0186B" w:rsidP="006D0D1C">
      <w:pPr>
        <w:widowControl/>
        <w:spacing w:line="480" w:lineRule="auto"/>
        <w:rPr>
          <w:rFonts w:ascii="Times New Roman" w:hAnsi="Times New Roman"/>
        </w:rPr>
      </w:pPr>
      <w:r w:rsidRPr="00EB6D59">
        <w:rPr>
          <w:rFonts w:ascii="Times New Roman" w:hAnsi="Times New Roman"/>
        </w:rPr>
        <w:t>Accordingly, PBGC estimates that the annual hour burden of this collection of information is 1 hour, with an estimated cos</w:t>
      </w:r>
      <w:r w:rsidRPr="009D0AE1">
        <w:rPr>
          <w:rFonts w:ascii="Times New Roman" w:hAnsi="Times New Roman"/>
        </w:rPr>
        <w:t>t to respondents of $</w:t>
      </w:r>
      <w:r>
        <w:rPr>
          <w:rFonts w:ascii="Times New Roman" w:hAnsi="Times New Roman"/>
        </w:rPr>
        <w:t>76.96</w:t>
      </w:r>
      <w:r w:rsidRPr="00DD24D7">
        <w:rPr>
          <w:rFonts w:ascii="Times New Roman" w:hAnsi="Times New Roman"/>
        </w:rPr>
        <w:t>.</w:t>
      </w:r>
    </w:p>
    <w:p w:rsidR="00F272AC" w:rsidRPr="00DD24D7" w:rsidRDefault="00F272AC">
      <w:pPr>
        <w:widowControl/>
        <w:spacing w:line="120" w:lineRule="auto"/>
        <w:rPr>
          <w:rFonts w:ascii="Times New Roman" w:hAnsi="Times New Roman"/>
        </w:rPr>
      </w:pPr>
    </w:p>
    <w:p w:rsidR="00F272AC" w:rsidRDefault="00F272AC">
      <w:pPr>
        <w:widowControl/>
        <w:spacing w:line="480" w:lineRule="auto"/>
        <w:ind w:firstLine="720"/>
        <w:rPr>
          <w:rFonts w:ascii="Times New Roman" w:hAnsi="Times New Roman"/>
        </w:rPr>
      </w:pPr>
      <w:r w:rsidRPr="00DD24D7">
        <w:rPr>
          <w:rFonts w:ascii="Times New Roman" w:hAnsi="Times New Roman"/>
        </w:rPr>
        <w:t xml:space="preserve">13.  </w:t>
      </w:r>
      <w:r w:rsidRPr="00DD24D7">
        <w:rPr>
          <w:rFonts w:ascii="Times New Roman" w:hAnsi="Times New Roman"/>
          <w:u w:val="single"/>
        </w:rPr>
        <w:t>Cost burden on the public.</w:t>
      </w:r>
      <w:r w:rsidRPr="00DD24D7">
        <w:rPr>
          <w:rFonts w:ascii="Times New Roman" w:hAnsi="Times New Roman"/>
        </w:rPr>
        <w:t xml:space="preserve">  Based on the estimates in item</w:t>
      </w:r>
      <w:r w:rsidR="002A5F82" w:rsidRPr="00DD24D7">
        <w:rPr>
          <w:rFonts w:ascii="Times New Roman" w:hAnsi="Times New Roman"/>
        </w:rPr>
        <w:t xml:space="preserve"> 12</w:t>
      </w:r>
      <w:r w:rsidRPr="00DD24D7">
        <w:rPr>
          <w:rFonts w:ascii="Times New Roman" w:hAnsi="Times New Roman"/>
        </w:rPr>
        <w:t xml:space="preserve">, the estimated annual cost burden of the collection of </w:t>
      </w:r>
      <w:r w:rsidR="002A5F82" w:rsidRPr="00DD24D7">
        <w:rPr>
          <w:rFonts w:ascii="Times New Roman" w:hAnsi="Times New Roman"/>
        </w:rPr>
        <w:t>information is $</w:t>
      </w:r>
      <w:r w:rsidR="00474C40">
        <w:rPr>
          <w:rFonts w:ascii="Times New Roman" w:hAnsi="Times New Roman"/>
        </w:rPr>
        <w:t>1</w:t>
      </w:r>
      <w:r w:rsidR="002A5F82" w:rsidRPr="00DD24D7">
        <w:rPr>
          <w:rFonts w:ascii="Times New Roman" w:hAnsi="Times New Roman"/>
        </w:rPr>
        <w:t>,</w:t>
      </w:r>
      <w:r w:rsidR="00474C40">
        <w:rPr>
          <w:rFonts w:ascii="Times New Roman" w:hAnsi="Times New Roman"/>
        </w:rPr>
        <w:t>317.28 (16 x $82.33)</w:t>
      </w:r>
      <w:r w:rsidRPr="00DD24D7">
        <w:rPr>
          <w:rFonts w:ascii="Times New Roman" w:hAnsi="Times New Roman"/>
        </w:rPr>
        <w:t xml:space="preserve">.  </w:t>
      </w:r>
    </w:p>
    <w:p w:rsidR="00474C40" w:rsidRPr="00C9027F" w:rsidRDefault="00474C40" w:rsidP="00474C40">
      <w:pPr>
        <w:widowControl/>
        <w:spacing w:line="480" w:lineRule="auto"/>
        <w:ind w:firstLine="720"/>
        <w:rPr>
          <w:rFonts w:ascii="Times New Roman" w:hAnsi="Times New Roman"/>
        </w:rPr>
      </w:pPr>
      <w:r w:rsidRPr="00C9027F">
        <w:rPr>
          <w:rFonts w:ascii="Times New Roman" w:hAnsi="Times New Roman"/>
        </w:rPr>
        <w:t>This estimate is based on the following assumptions:</w:t>
      </w:r>
    </w:p>
    <w:p w:rsidR="00474C40" w:rsidRDefault="00474C40" w:rsidP="00474C40">
      <w:pPr>
        <w:widowControl/>
        <w:numPr>
          <w:ilvl w:val="0"/>
          <w:numId w:val="2"/>
        </w:numPr>
        <w:rPr>
          <w:rFonts w:ascii="Times New Roman" w:hAnsi="Times New Roman"/>
        </w:rPr>
      </w:pPr>
      <w:r w:rsidRPr="00C9027F">
        <w:rPr>
          <w:rFonts w:ascii="Times New Roman" w:hAnsi="Times New Roman"/>
        </w:rPr>
        <w:t xml:space="preserve">Wage rates account for </w:t>
      </w:r>
      <w:r w:rsidRPr="00B23991">
        <w:rPr>
          <w:rFonts w:ascii="Times New Roman" w:hAnsi="Times New Roman"/>
        </w:rPr>
        <w:t>70</w:t>
      </w:r>
      <w:r w:rsidRPr="00C9027F">
        <w:rPr>
          <w:rFonts w:ascii="Times New Roman" w:hAnsi="Times New Roman"/>
        </w:rPr>
        <w:t>% of total l</w:t>
      </w:r>
      <w:r>
        <w:rPr>
          <w:rFonts w:ascii="Times New Roman" w:hAnsi="Times New Roman"/>
        </w:rPr>
        <w:t xml:space="preserve">abor costs, with the remaining </w:t>
      </w:r>
      <w:r w:rsidRPr="00B23991">
        <w:rPr>
          <w:rFonts w:ascii="Times New Roman" w:hAnsi="Times New Roman"/>
        </w:rPr>
        <w:t>30</w:t>
      </w:r>
      <w:r w:rsidRPr="00C9027F">
        <w:rPr>
          <w:rFonts w:ascii="Times New Roman" w:hAnsi="Times New Roman"/>
        </w:rPr>
        <w:t>% attributable to benefits costs.</w:t>
      </w:r>
      <w:r w:rsidRPr="00C9027F">
        <w:rPr>
          <w:rFonts w:ascii="Times New Roman" w:hAnsi="Times New Roman"/>
          <w:vertAlign w:val="superscript"/>
        </w:rPr>
        <w:footnoteReference w:id="3"/>
      </w:r>
    </w:p>
    <w:p w:rsidR="00474C40" w:rsidRDefault="00474C40" w:rsidP="006D0D1C">
      <w:pPr>
        <w:widowControl/>
        <w:ind w:left="720"/>
        <w:rPr>
          <w:rFonts w:ascii="Times New Roman" w:hAnsi="Times New Roman"/>
        </w:rPr>
      </w:pPr>
    </w:p>
    <w:p w:rsidR="00474C40" w:rsidRDefault="00474C40" w:rsidP="00474C40">
      <w:pPr>
        <w:widowControl/>
        <w:numPr>
          <w:ilvl w:val="0"/>
          <w:numId w:val="2"/>
        </w:numPr>
        <w:rPr>
          <w:rFonts w:ascii="Times New Roman" w:hAnsi="Times New Roman"/>
        </w:rPr>
      </w:pPr>
      <w:r>
        <w:rPr>
          <w:rFonts w:ascii="Times New Roman" w:hAnsi="Times New Roman"/>
        </w:rPr>
        <w:lastRenderedPageBreak/>
        <w:t xml:space="preserve">The outside consultant hours will be performed by </w:t>
      </w:r>
      <w:r w:rsidRPr="009056A9">
        <w:rPr>
          <w:rFonts w:ascii="Times New Roman" w:hAnsi="Times New Roman"/>
        </w:rPr>
        <w:t>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This comes to a blended hourly wage of $57.63, $82.33 per hour including benefits.</w:t>
      </w:r>
    </w:p>
    <w:p w:rsidR="00474C40" w:rsidRDefault="00474C40" w:rsidP="00474C40">
      <w:pPr>
        <w:widowControl/>
        <w:ind w:left="720"/>
        <w:rPr>
          <w:rFonts w:ascii="Times New Roman" w:hAnsi="Times New Roman"/>
        </w:rPr>
      </w:pPr>
    </w:p>
    <w:p w:rsidR="00474C40" w:rsidRPr="00DD24D7" w:rsidRDefault="00474C40" w:rsidP="00474C40">
      <w:pPr>
        <w:widowControl/>
        <w:spacing w:line="480" w:lineRule="auto"/>
        <w:ind w:firstLine="720"/>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14.  </w:t>
      </w:r>
      <w:r w:rsidRPr="00DD24D7">
        <w:rPr>
          <w:rFonts w:ascii="Times New Roman" w:hAnsi="Times New Roman"/>
          <w:u w:val="single"/>
        </w:rPr>
        <w:t>Cost to the government.</w:t>
      </w:r>
      <w:r w:rsidRPr="00DD24D7">
        <w:rPr>
          <w:rFonts w:ascii="Times New Roman" w:hAnsi="Times New Roman"/>
        </w:rPr>
        <w:t xml:space="preserve">  As discussed in item 12, </w:t>
      </w:r>
      <w:r w:rsidR="00EE4537" w:rsidRPr="00DD24D7">
        <w:rPr>
          <w:rFonts w:ascii="Times New Roman" w:hAnsi="Times New Roman"/>
        </w:rPr>
        <w:t>PBGC</w:t>
      </w:r>
      <w:r w:rsidRPr="00DD24D7">
        <w:rPr>
          <w:rFonts w:ascii="Times New Roman" w:hAnsi="Times New Roman"/>
        </w:rPr>
        <w:t xml:space="preserve"> typically processes at most 1 submission annually under the regulation.  </w:t>
      </w:r>
      <w:r w:rsidR="00474C40" w:rsidRPr="00B168F2">
        <w:rPr>
          <w:rFonts w:ascii="Times New Roman" w:hAnsi="Times New Roman"/>
        </w:rPr>
        <w:t>PBGC estimates that it takes 8 hours of staff time to process a submission</w:t>
      </w:r>
      <w:r w:rsidR="00474C40">
        <w:rPr>
          <w:rFonts w:ascii="Times New Roman" w:hAnsi="Times New Roman"/>
        </w:rPr>
        <w:t xml:space="preserve"> and </w:t>
      </w:r>
      <w:r w:rsidR="00474C40" w:rsidRPr="00790B10">
        <w:rPr>
          <w:rFonts w:ascii="Times New Roman" w:hAnsi="Times New Roman"/>
        </w:rPr>
        <w:t>performed by a</w:t>
      </w:r>
      <w:r w:rsidR="00474C40">
        <w:rPr>
          <w:rFonts w:ascii="Times New Roman" w:hAnsi="Times New Roman"/>
        </w:rPr>
        <w:t xml:space="preserve"> combination of attorneys and actuaries</w:t>
      </w:r>
      <w:r w:rsidR="00474C40" w:rsidRPr="00790B10">
        <w:rPr>
          <w:rFonts w:ascii="Times New Roman" w:hAnsi="Times New Roman"/>
        </w:rPr>
        <w:t xml:space="preserve"> (</w:t>
      </w:r>
      <w:r w:rsidR="00474C40">
        <w:rPr>
          <w:rFonts w:ascii="Times New Roman" w:hAnsi="Times New Roman"/>
        </w:rPr>
        <w:t xml:space="preserve">range of salary </w:t>
      </w:r>
      <w:r w:rsidR="00474C40" w:rsidRPr="00790B10">
        <w:rPr>
          <w:rFonts w:ascii="Times New Roman" w:hAnsi="Times New Roman"/>
        </w:rPr>
        <w:t>GS 11-14</w:t>
      </w:r>
      <w:r w:rsidR="00474C40">
        <w:rPr>
          <w:rFonts w:ascii="Times New Roman" w:hAnsi="Times New Roman"/>
        </w:rPr>
        <w:t>, average GS 13 step 5</w:t>
      </w:r>
      <w:r w:rsidR="00474C40" w:rsidRPr="00790B10">
        <w:rPr>
          <w:rFonts w:ascii="Times New Roman" w:hAnsi="Times New Roman"/>
        </w:rPr>
        <w:t>)</w:t>
      </w:r>
      <w:r w:rsidR="00474C40" w:rsidRPr="00A604A9">
        <w:rPr>
          <w:rFonts w:ascii="Times New Roman" w:hAnsi="Times New Roman"/>
        </w:rPr>
        <w:t xml:space="preserve">.  </w:t>
      </w:r>
      <w:r w:rsidR="00FF641A" w:rsidRPr="00FF641A">
        <w:rPr>
          <w:rFonts w:ascii="Times New Roman" w:hAnsi="Times New Roman"/>
        </w:rPr>
        <w:t>Assuming a blended rate of $69.76 per hour ($48.83 attributable to wages</w:t>
      </w:r>
      <w:r w:rsidR="00FF641A" w:rsidRPr="00FF641A">
        <w:rPr>
          <w:rFonts w:ascii="Times New Roman" w:hAnsi="Times New Roman"/>
          <w:vertAlign w:val="superscript"/>
        </w:rPr>
        <w:footnoteReference w:id="5"/>
      </w:r>
      <w:r w:rsidR="00FF641A" w:rsidRPr="00FF641A">
        <w:rPr>
          <w:rFonts w:ascii="Times New Roman" w:hAnsi="Times New Roman"/>
        </w:rPr>
        <w:t xml:space="preserve"> and $20.93 attributable to benefits)</w:t>
      </w:r>
      <w:r w:rsidR="00474C40" w:rsidRPr="00AD0449">
        <w:rPr>
          <w:rFonts w:ascii="Times New Roman" w:hAnsi="Times New Roman"/>
        </w:rPr>
        <w:t xml:space="preserve">, </w:t>
      </w:r>
      <w:r w:rsidR="00474C40">
        <w:rPr>
          <w:rFonts w:ascii="Times New Roman" w:hAnsi="Times New Roman"/>
        </w:rPr>
        <w:t>PBGC estimates that t</w:t>
      </w:r>
      <w:r w:rsidR="00474C40" w:rsidRPr="00E928F3">
        <w:rPr>
          <w:rFonts w:ascii="Times New Roman" w:hAnsi="Times New Roman"/>
        </w:rPr>
        <w:t>he total annual cost to the government is $</w:t>
      </w:r>
      <w:r w:rsidR="00FF641A">
        <w:rPr>
          <w:rFonts w:ascii="Times New Roman" w:hAnsi="Times New Roman"/>
        </w:rPr>
        <w:t>558.08</w:t>
      </w:r>
      <w:r w:rsidR="00474C40" w:rsidRPr="00E928F3">
        <w:rPr>
          <w:rFonts w:ascii="Times New Roman" w:hAnsi="Times New Roman"/>
        </w:rPr>
        <w:t xml:space="preserve"> (</w:t>
      </w:r>
      <w:r w:rsidR="00474C40">
        <w:rPr>
          <w:rFonts w:ascii="Times New Roman" w:hAnsi="Times New Roman"/>
        </w:rPr>
        <w:t>1 request</w:t>
      </w:r>
      <w:r w:rsidR="00474C40" w:rsidRPr="00E928F3">
        <w:rPr>
          <w:rFonts w:ascii="Times New Roman" w:hAnsi="Times New Roman"/>
        </w:rPr>
        <w:t xml:space="preserve"> x </w:t>
      </w:r>
      <w:r w:rsidR="00474C40">
        <w:rPr>
          <w:rFonts w:ascii="Times New Roman" w:hAnsi="Times New Roman"/>
        </w:rPr>
        <w:t>8</w:t>
      </w:r>
      <w:r w:rsidR="00474C40" w:rsidRPr="00E928F3">
        <w:rPr>
          <w:rFonts w:ascii="Times New Roman" w:hAnsi="Times New Roman"/>
        </w:rPr>
        <w:t xml:space="preserve"> hours x $</w:t>
      </w:r>
      <w:r w:rsidR="00474C40">
        <w:rPr>
          <w:rFonts w:ascii="Times New Roman" w:hAnsi="Times New Roman"/>
        </w:rPr>
        <w:t xml:space="preserve">80 </w:t>
      </w:r>
      <w:r w:rsidR="00474C40" w:rsidRPr="00E928F3">
        <w:rPr>
          <w:rFonts w:ascii="Times New Roman" w:hAnsi="Times New Roman"/>
        </w:rPr>
        <w:t>per hour</w:t>
      </w:r>
      <w:r w:rsidR="00474C40">
        <w:rPr>
          <w:rFonts w:ascii="Times New Roman" w:hAnsi="Times New Roman"/>
        </w:rPr>
        <w:t>)</w:t>
      </w:r>
      <w:proofErr w:type="gramStart"/>
      <w:r w:rsidR="00474C40" w:rsidRPr="00E928F3">
        <w:rPr>
          <w:rFonts w:ascii="Times New Roman" w:hAnsi="Times New Roman"/>
        </w:rPr>
        <w:t>.</w:t>
      </w:r>
      <w:r w:rsidRPr="00DD24D7">
        <w:rPr>
          <w:rFonts w:ascii="Times New Roman" w:hAnsi="Times New Roman"/>
        </w:rPr>
        <w:t>.</w:t>
      </w:r>
      <w:proofErr w:type="gramEnd"/>
      <w:r w:rsidRPr="00DD24D7">
        <w:rPr>
          <w:rFonts w:ascii="Times New Roman" w:hAnsi="Times New Roman"/>
        </w:rPr>
        <w:t xml:space="preserve"> </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15.  </w:t>
      </w:r>
      <w:r w:rsidRPr="00DD24D7">
        <w:rPr>
          <w:rFonts w:ascii="Times New Roman" w:hAnsi="Times New Roman"/>
          <w:u w:val="single"/>
        </w:rPr>
        <w:t>Explanation of burden changes.</w:t>
      </w:r>
      <w:r w:rsidRPr="00DD24D7">
        <w:rPr>
          <w:rFonts w:ascii="Times New Roman" w:hAnsi="Times New Roman"/>
        </w:rPr>
        <w:t xml:space="preserve">   </w:t>
      </w:r>
      <w:r w:rsidR="00474C40" w:rsidRPr="00474C40">
        <w:rPr>
          <w:rFonts w:ascii="Times New Roman" w:hAnsi="Times New Roman"/>
        </w:rPr>
        <w:t>The hour burden has not changed from the current inventory.  The cost burden has decreased from $5,</w:t>
      </w:r>
      <w:r w:rsidR="00474C40">
        <w:rPr>
          <w:rFonts w:ascii="Times New Roman" w:hAnsi="Times New Roman"/>
        </w:rPr>
        <w:t>6</w:t>
      </w:r>
      <w:r w:rsidR="00474C40" w:rsidRPr="00474C40">
        <w:rPr>
          <w:rFonts w:ascii="Times New Roman" w:hAnsi="Times New Roman"/>
        </w:rPr>
        <w:t>00 to $</w:t>
      </w:r>
      <w:r w:rsidR="00474C40">
        <w:rPr>
          <w:rFonts w:ascii="Times New Roman" w:hAnsi="Times New Roman"/>
        </w:rPr>
        <w:t>1</w:t>
      </w:r>
      <w:r w:rsidR="00474C40" w:rsidRPr="00474C40">
        <w:rPr>
          <w:rFonts w:ascii="Times New Roman" w:hAnsi="Times New Roman"/>
        </w:rPr>
        <w:t>,</w:t>
      </w:r>
      <w:r w:rsidR="00474C40">
        <w:rPr>
          <w:rFonts w:ascii="Times New Roman" w:hAnsi="Times New Roman"/>
        </w:rPr>
        <w:t>317.28</w:t>
      </w:r>
      <w:r w:rsidR="00474C40" w:rsidRPr="00474C40">
        <w:rPr>
          <w:rFonts w:ascii="Times New Roman" w:hAnsi="Times New Roman"/>
        </w:rPr>
        <w:t xml:space="preserve"> due to PBGC’s use of different assumptions for estimating costs.</w:t>
      </w:r>
    </w:p>
    <w:p w:rsidR="00F272AC" w:rsidRPr="00DD24D7" w:rsidRDefault="00F272AC">
      <w:pPr>
        <w:widowControl/>
        <w:spacing w:line="120" w:lineRule="auto"/>
        <w:rPr>
          <w:rFonts w:ascii="Times New Roman" w:hAnsi="Times New Roman"/>
        </w:rPr>
      </w:pPr>
    </w:p>
    <w:p w:rsidR="00F272AC" w:rsidRPr="00DD24D7" w:rsidRDefault="00F272AC">
      <w:pPr>
        <w:widowControl/>
        <w:spacing w:line="480" w:lineRule="auto"/>
        <w:ind w:firstLine="720"/>
        <w:rPr>
          <w:rFonts w:ascii="Times New Roman" w:hAnsi="Times New Roman"/>
        </w:rPr>
      </w:pPr>
      <w:r w:rsidRPr="00DD24D7">
        <w:rPr>
          <w:rFonts w:ascii="Times New Roman" w:hAnsi="Times New Roman"/>
        </w:rPr>
        <w:t xml:space="preserve">16.  </w:t>
      </w:r>
      <w:r w:rsidRPr="00DD24D7">
        <w:rPr>
          <w:rFonts w:ascii="Times New Roman" w:hAnsi="Times New Roman"/>
          <w:u w:val="single"/>
        </w:rPr>
        <w:t>Publication plans.</w:t>
      </w:r>
      <w:r w:rsidRPr="00DD24D7">
        <w:rPr>
          <w:rFonts w:ascii="Times New Roman" w:hAnsi="Times New Roman"/>
        </w:rPr>
        <w:t xml:space="preserve">  </w:t>
      </w:r>
      <w:r w:rsidR="00EE4537" w:rsidRPr="00DD24D7">
        <w:rPr>
          <w:rFonts w:ascii="Times New Roman" w:hAnsi="Times New Roman"/>
        </w:rPr>
        <w:t>PBGC</w:t>
      </w:r>
      <w:r w:rsidRPr="00DD24D7">
        <w:rPr>
          <w:rFonts w:ascii="Times New Roman" w:hAnsi="Times New Roman"/>
        </w:rPr>
        <w:t xml:space="preserve"> does not intend to publish the results of this collection of information. </w:t>
      </w:r>
    </w:p>
    <w:p w:rsidR="00F272AC" w:rsidRPr="00DD24D7" w:rsidRDefault="00F272AC">
      <w:pPr>
        <w:widowControl/>
        <w:spacing w:line="120" w:lineRule="auto"/>
        <w:rPr>
          <w:rFonts w:ascii="Times New Roman" w:hAnsi="Times New Roman"/>
        </w:rPr>
      </w:pPr>
    </w:p>
    <w:p w:rsidR="003A7649" w:rsidRPr="00DD24D7" w:rsidRDefault="00F272AC">
      <w:pPr>
        <w:widowControl/>
        <w:spacing w:line="480" w:lineRule="auto"/>
        <w:ind w:firstLine="720"/>
        <w:rPr>
          <w:rFonts w:ascii="Times New Roman" w:hAnsi="Times New Roman"/>
        </w:rPr>
      </w:pPr>
      <w:r w:rsidRPr="00DD24D7">
        <w:rPr>
          <w:rFonts w:ascii="Times New Roman" w:hAnsi="Times New Roman"/>
        </w:rPr>
        <w:t xml:space="preserve">17.  </w:t>
      </w:r>
      <w:r w:rsidRPr="00DD24D7">
        <w:rPr>
          <w:rFonts w:ascii="Times New Roman" w:hAnsi="Times New Roman"/>
          <w:u w:val="single"/>
        </w:rPr>
        <w:t>Display of expiration date.</w:t>
      </w:r>
      <w:r w:rsidRPr="00DD24D7">
        <w:rPr>
          <w:rFonts w:ascii="Times New Roman" w:hAnsi="Times New Roman"/>
        </w:rPr>
        <w:t xml:space="preserve">  </w:t>
      </w:r>
      <w:r w:rsidR="00EE4537" w:rsidRPr="00DD24D7">
        <w:rPr>
          <w:rFonts w:ascii="Times New Roman" w:hAnsi="Times New Roman"/>
        </w:rPr>
        <w:t>PBGC</w:t>
      </w:r>
      <w:r w:rsidRPr="00DD24D7">
        <w:rPr>
          <w:rFonts w:ascii="Times New Roman" w:hAnsi="Times New Roman"/>
        </w:rPr>
        <w:t xml:space="preserve"> is not seeking approval to not display the expiration date for OMB approval of this information collection.  </w:t>
      </w:r>
    </w:p>
    <w:p w:rsidR="00F272AC" w:rsidRPr="00DD24D7" w:rsidRDefault="00F272AC" w:rsidP="00EF2E7A">
      <w:pPr>
        <w:widowControl/>
        <w:spacing w:line="480" w:lineRule="auto"/>
        <w:ind w:firstLine="720"/>
        <w:rPr>
          <w:rFonts w:ascii="Shruti" w:hAnsi="Shruti" w:cs="Shruti"/>
        </w:rPr>
      </w:pPr>
      <w:r w:rsidRPr="00DD24D7">
        <w:rPr>
          <w:rFonts w:ascii="Times New Roman" w:hAnsi="Times New Roman"/>
        </w:rPr>
        <w:t xml:space="preserve">18.  </w:t>
      </w:r>
      <w:r w:rsidRPr="00DD24D7">
        <w:rPr>
          <w:rFonts w:ascii="Times New Roman" w:hAnsi="Times New Roman"/>
          <w:u w:val="single"/>
        </w:rPr>
        <w:t>Exceptions to certification statement.</w:t>
      </w:r>
      <w:r w:rsidRPr="00DD24D7">
        <w:rPr>
          <w:rFonts w:ascii="Times New Roman" w:hAnsi="Times New Roman"/>
        </w:rPr>
        <w:t xml:space="preserve">  There are no exceptions to the certification statement.</w:t>
      </w:r>
    </w:p>
    <w:sectPr w:rsidR="00F272AC" w:rsidRPr="00DD24D7" w:rsidSect="00FE5CEB">
      <w:headerReference w:type="default" r:id="rId10"/>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67" w:rsidRDefault="004C0E67">
      <w:r>
        <w:separator/>
      </w:r>
    </w:p>
  </w:endnote>
  <w:endnote w:type="continuationSeparator" w:id="0">
    <w:p w:rsidR="004C0E67" w:rsidRDefault="004C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6" w:rsidRDefault="00795A46" w:rsidP="002A6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A46" w:rsidRDefault="00795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6" w:rsidRPr="001573AF" w:rsidRDefault="00795A46" w:rsidP="002A6307">
    <w:pPr>
      <w:pStyle w:val="Footer"/>
      <w:framePr w:wrap="around" w:vAnchor="text" w:hAnchor="margin" w:xAlign="center" w:y="1"/>
      <w:rPr>
        <w:rStyle w:val="PageNumber"/>
        <w:rFonts w:ascii="Times New Roman" w:hAnsi="Times New Roman"/>
      </w:rPr>
    </w:pPr>
    <w:r w:rsidRPr="001573AF">
      <w:rPr>
        <w:rStyle w:val="PageNumber"/>
        <w:rFonts w:ascii="Times New Roman" w:hAnsi="Times New Roman"/>
      </w:rPr>
      <w:fldChar w:fldCharType="begin"/>
    </w:r>
    <w:r w:rsidRPr="001573AF">
      <w:rPr>
        <w:rStyle w:val="PageNumber"/>
        <w:rFonts w:ascii="Times New Roman" w:hAnsi="Times New Roman"/>
      </w:rPr>
      <w:instrText xml:space="preserve">PAGE  </w:instrText>
    </w:r>
    <w:r w:rsidRPr="001573AF">
      <w:rPr>
        <w:rStyle w:val="PageNumber"/>
        <w:rFonts w:ascii="Times New Roman" w:hAnsi="Times New Roman"/>
      </w:rPr>
      <w:fldChar w:fldCharType="separate"/>
    </w:r>
    <w:r w:rsidR="00264D79">
      <w:rPr>
        <w:rStyle w:val="PageNumber"/>
        <w:rFonts w:ascii="Times New Roman" w:hAnsi="Times New Roman"/>
        <w:noProof/>
      </w:rPr>
      <w:t>5</w:t>
    </w:r>
    <w:r w:rsidRPr="001573AF">
      <w:rPr>
        <w:rStyle w:val="PageNumber"/>
        <w:rFonts w:ascii="Times New Roman" w:hAnsi="Times New Roman"/>
      </w:rPr>
      <w:fldChar w:fldCharType="end"/>
    </w:r>
  </w:p>
  <w:p w:rsidR="00795A46" w:rsidRDefault="00795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67" w:rsidRDefault="004C0E67">
      <w:r>
        <w:separator/>
      </w:r>
    </w:p>
  </w:footnote>
  <w:footnote w:type="continuationSeparator" w:id="0">
    <w:p w:rsidR="004C0E67" w:rsidRDefault="004C0E67">
      <w:r>
        <w:continuationSeparator/>
      </w:r>
    </w:p>
  </w:footnote>
  <w:footnote w:id="1">
    <w:p w:rsidR="00E0186B" w:rsidRDefault="00E0186B" w:rsidP="00E0186B">
      <w:pPr>
        <w:pStyle w:val="FootnoteText"/>
        <w:rPr>
          <w:rFonts w:ascii="Times New Roman" w:hAnsi="Times New Roman"/>
        </w:rPr>
      </w:pPr>
      <w:r>
        <w:rPr>
          <w:rStyle w:val="FootnoteReference"/>
        </w:rPr>
        <w:footnoteRef/>
      </w:r>
      <w:r>
        <w:rPr>
          <w:rFonts w:ascii="Times New Roman" w:hAnsi="Times New Roman"/>
        </w:rPr>
        <w:t xml:space="preserve"> </w:t>
      </w:r>
      <w:hyperlink r:id="rId1" w:history="1">
        <w:r>
          <w:rPr>
            <w:rStyle w:val="Hyperlink"/>
            <w:rFonts w:ascii="Times New Roman" w:hAnsi="Times New Roman"/>
          </w:rPr>
          <w:t>http://www.bls.gov/news.release/ecec.nr0.htm</w:t>
        </w:r>
      </w:hyperlink>
      <w:r>
        <w:rPr>
          <w:rFonts w:ascii="Times New Roman" w:hAnsi="Times New Roman"/>
          <w:color w:val="000000"/>
        </w:rPr>
        <w:t xml:space="preserve"> (see first paragraph).</w:t>
      </w:r>
    </w:p>
  </w:footnote>
  <w:footnote w:id="2">
    <w:p w:rsidR="00E0186B" w:rsidRDefault="00E0186B" w:rsidP="00E0186B">
      <w:pPr>
        <w:pStyle w:val="FootnoteText"/>
        <w:rPr>
          <w:rFonts w:ascii="Times New Roman" w:hAnsi="Times New Roman"/>
        </w:rPr>
      </w:pPr>
      <w:r>
        <w:rPr>
          <w:rStyle w:val="FootnoteReference"/>
        </w:rPr>
        <w:footnoteRef/>
      </w:r>
      <w:r>
        <w:rPr>
          <w:rFonts w:ascii="Times New Roman" w:hAnsi="Times New Roman"/>
        </w:rPr>
        <w:t xml:space="preserve"> </w:t>
      </w:r>
      <w:hyperlink r:id="rId2" w:history="1">
        <w:r>
          <w:rPr>
            <w:rStyle w:val="Hyperlink"/>
            <w:rFonts w:ascii="Times New Roman" w:hAnsi="Times New Roman"/>
          </w:rPr>
          <w:t>http://www.bls.gov/oes/current/oes113111.htm</w:t>
        </w:r>
      </w:hyperlink>
      <w:r>
        <w:rPr>
          <w:rFonts w:ascii="Times New Roman" w:hAnsi="Times New Roman"/>
        </w:rPr>
        <w:t xml:space="preserve">. </w:t>
      </w:r>
    </w:p>
  </w:footnote>
  <w:footnote w:id="3">
    <w:p w:rsidR="00474C40" w:rsidRPr="00785CC9" w:rsidRDefault="00474C40" w:rsidP="00474C40">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3"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4">
    <w:p w:rsidR="00474C40" w:rsidRPr="00B23991" w:rsidRDefault="00474C40" w:rsidP="00474C40">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4" w:history="1">
        <w:proofErr w:type="gramStart"/>
        <w:r w:rsidRPr="00B20FFF">
          <w:rPr>
            <w:rStyle w:val="Hyperlink"/>
            <w:rFonts w:ascii="Times New Roman" w:hAnsi="Times New Roman"/>
          </w:rPr>
          <w:t>http://www.bls.gov/oes/current/oes231011.htm</w:t>
        </w:r>
      </w:hyperlink>
      <w:r>
        <w:rPr>
          <w:rFonts w:ascii="Times New Roman" w:hAnsi="Times New Roman"/>
        </w:rPr>
        <w:t xml:space="preserve">  and </w:t>
      </w:r>
      <w:hyperlink r:id="rId5" w:history="1">
        <w:r w:rsidRPr="00B20FFF">
          <w:rPr>
            <w:rStyle w:val="Hyperlink"/>
            <w:rFonts w:ascii="Times New Roman" w:hAnsi="Times New Roman"/>
          </w:rPr>
          <w:t>http://www.bls.gov/oes/current/oes152011.htm</w:t>
        </w:r>
      </w:hyperlink>
      <w:r>
        <w:rPr>
          <w:rFonts w:ascii="Times New Roman" w:hAnsi="Times New Roman"/>
        </w:rPr>
        <w:t>.</w:t>
      </w:r>
      <w:proofErr w:type="gramEnd"/>
      <w:r>
        <w:rPr>
          <w:rFonts w:ascii="Times New Roman" w:hAnsi="Times New Roman"/>
        </w:rPr>
        <w:t xml:space="preserve">  </w:t>
      </w:r>
    </w:p>
  </w:footnote>
  <w:footnote w:id="5">
    <w:p w:rsidR="00FF641A" w:rsidRPr="00277504" w:rsidRDefault="00FF641A" w:rsidP="00FF641A">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6"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FF641A" w:rsidRDefault="00FF641A" w:rsidP="00FF641A">
      <w:pPr>
        <w:rPr>
          <w:rFonts w:ascii="Times New Roman" w:hAnsi="Times New Roman"/>
          <w:color w:val="000000"/>
        </w:rPr>
      </w:pPr>
    </w:p>
    <w:p w:rsidR="00FF641A" w:rsidRDefault="00FF641A" w:rsidP="00FF64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46" w:rsidRDefault="00795A46">
    <w:pPr>
      <w:framePr w:w="9361" w:wrap="notBeside" w:vAnchor="text" w:hAnchor="text" w:x="1" w:y="1"/>
      <w:jc w:val="center"/>
    </w:pPr>
  </w:p>
  <w:p w:rsidR="00795A46" w:rsidRDefault="00795A46">
    <w:pPr>
      <w:rPr>
        <w:rFonts w:ascii="Shruti" w:hAnsi="Shruti" w:cs="Shruti"/>
      </w:rPr>
    </w:pPr>
  </w:p>
  <w:p w:rsidR="00795A46" w:rsidRDefault="00795A46">
    <w:pPr>
      <w:rPr>
        <w:rFonts w:ascii="Shruti" w:hAnsi="Shruti" w:cs="Shruti"/>
      </w:rPr>
    </w:pPr>
  </w:p>
  <w:p w:rsidR="00795A46" w:rsidRDefault="00795A46">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AC"/>
    <w:rsid w:val="000275C5"/>
    <w:rsid w:val="000434D9"/>
    <w:rsid w:val="00072A12"/>
    <w:rsid w:val="000A4F4D"/>
    <w:rsid w:val="000C5CE6"/>
    <w:rsid w:val="00110FE1"/>
    <w:rsid w:val="001573AF"/>
    <w:rsid w:val="00197BDD"/>
    <w:rsid w:val="001D4B2C"/>
    <w:rsid w:val="001F268B"/>
    <w:rsid w:val="00247655"/>
    <w:rsid w:val="00264D79"/>
    <w:rsid w:val="00270332"/>
    <w:rsid w:val="002A5B43"/>
    <w:rsid w:val="002A5F82"/>
    <w:rsid w:val="002A6307"/>
    <w:rsid w:val="002E7189"/>
    <w:rsid w:val="00307A74"/>
    <w:rsid w:val="003262D1"/>
    <w:rsid w:val="00331645"/>
    <w:rsid w:val="0035071A"/>
    <w:rsid w:val="00373B67"/>
    <w:rsid w:val="003A7649"/>
    <w:rsid w:val="003B5F97"/>
    <w:rsid w:val="003F6178"/>
    <w:rsid w:val="00474C40"/>
    <w:rsid w:val="004852CB"/>
    <w:rsid w:val="004978AB"/>
    <w:rsid w:val="004C0E67"/>
    <w:rsid w:val="004E3199"/>
    <w:rsid w:val="005022DD"/>
    <w:rsid w:val="005105D7"/>
    <w:rsid w:val="00514E05"/>
    <w:rsid w:val="005708E1"/>
    <w:rsid w:val="00637B3E"/>
    <w:rsid w:val="00642F80"/>
    <w:rsid w:val="00663A77"/>
    <w:rsid w:val="006A11A1"/>
    <w:rsid w:val="006D0D1C"/>
    <w:rsid w:val="00720A6A"/>
    <w:rsid w:val="0074374E"/>
    <w:rsid w:val="00766611"/>
    <w:rsid w:val="0078698F"/>
    <w:rsid w:val="00795A46"/>
    <w:rsid w:val="007C0EA5"/>
    <w:rsid w:val="007E37BE"/>
    <w:rsid w:val="008232D7"/>
    <w:rsid w:val="008616C1"/>
    <w:rsid w:val="008E1227"/>
    <w:rsid w:val="008F4681"/>
    <w:rsid w:val="009030A6"/>
    <w:rsid w:val="009279BA"/>
    <w:rsid w:val="00964177"/>
    <w:rsid w:val="009B3F02"/>
    <w:rsid w:val="009D0AE1"/>
    <w:rsid w:val="009F1E24"/>
    <w:rsid w:val="00A057C1"/>
    <w:rsid w:val="00A20169"/>
    <w:rsid w:val="00A74829"/>
    <w:rsid w:val="00B016AE"/>
    <w:rsid w:val="00B060A8"/>
    <w:rsid w:val="00B110C6"/>
    <w:rsid w:val="00B22026"/>
    <w:rsid w:val="00B23945"/>
    <w:rsid w:val="00B2414A"/>
    <w:rsid w:val="00B24781"/>
    <w:rsid w:val="00BB2A80"/>
    <w:rsid w:val="00BC47C7"/>
    <w:rsid w:val="00BF30A2"/>
    <w:rsid w:val="00C077C0"/>
    <w:rsid w:val="00C12A28"/>
    <w:rsid w:val="00C70958"/>
    <w:rsid w:val="00C73CDC"/>
    <w:rsid w:val="00C87C2D"/>
    <w:rsid w:val="00D04D67"/>
    <w:rsid w:val="00D916F2"/>
    <w:rsid w:val="00DC3A4F"/>
    <w:rsid w:val="00DD24D7"/>
    <w:rsid w:val="00DE112B"/>
    <w:rsid w:val="00DF064F"/>
    <w:rsid w:val="00DF3E9A"/>
    <w:rsid w:val="00E0186B"/>
    <w:rsid w:val="00E07B4E"/>
    <w:rsid w:val="00E22C94"/>
    <w:rsid w:val="00E7770D"/>
    <w:rsid w:val="00EB6D59"/>
    <w:rsid w:val="00ED7B31"/>
    <w:rsid w:val="00EE4537"/>
    <w:rsid w:val="00EF2E7A"/>
    <w:rsid w:val="00F13BF8"/>
    <w:rsid w:val="00F230D7"/>
    <w:rsid w:val="00F272AC"/>
    <w:rsid w:val="00F3145A"/>
    <w:rsid w:val="00F532EC"/>
    <w:rsid w:val="00F71711"/>
    <w:rsid w:val="00F842B8"/>
    <w:rsid w:val="00F86242"/>
    <w:rsid w:val="00F86A4E"/>
    <w:rsid w:val="00F87687"/>
    <w:rsid w:val="00F95E16"/>
    <w:rsid w:val="00FD238F"/>
    <w:rsid w:val="00FE5CEB"/>
    <w:rsid w:val="00F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C73CDC"/>
    <w:pPr>
      <w:tabs>
        <w:tab w:val="center" w:pos="4320"/>
        <w:tab w:val="right" w:pos="8640"/>
      </w:tabs>
    </w:pPr>
  </w:style>
  <w:style w:type="paragraph" w:styleId="Footer">
    <w:name w:val="footer"/>
    <w:basedOn w:val="Normal"/>
    <w:link w:val="FooterChar"/>
    <w:uiPriority w:val="99"/>
    <w:rsid w:val="00C73CDC"/>
    <w:pPr>
      <w:tabs>
        <w:tab w:val="center" w:pos="4320"/>
        <w:tab w:val="right" w:pos="8640"/>
      </w:tabs>
    </w:pPr>
  </w:style>
  <w:style w:type="character" w:styleId="PageNumber">
    <w:name w:val="page number"/>
    <w:basedOn w:val="DefaultParagraphFont"/>
    <w:rsid w:val="00C73CDC"/>
  </w:style>
  <w:style w:type="paragraph" w:styleId="BalloonText">
    <w:name w:val="Balloon Text"/>
    <w:basedOn w:val="Normal"/>
    <w:link w:val="BalloonTextChar"/>
    <w:rsid w:val="00B22026"/>
    <w:rPr>
      <w:rFonts w:ascii="Tahoma" w:hAnsi="Tahoma" w:cs="Tahoma"/>
      <w:sz w:val="16"/>
      <w:szCs w:val="16"/>
    </w:rPr>
  </w:style>
  <w:style w:type="character" w:customStyle="1" w:styleId="BalloonTextChar">
    <w:name w:val="Balloon Text Char"/>
    <w:link w:val="BalloonText"/>
    <w:rsid w:val="00B22026"/>
    <w:rPr>
      <w:rFonts w:ascii="Tahoma" w:hAnsi="Tahoma" w:cs="Tahoma"/>
      <w:sz w:val="16"/>
      <w:szCs w:val="16"/>
    </w:rPr>
  </w:style>
  <w:style w:type="character" w:customStyle="1" w:styleId="FooterChar">
    <w:name w:val="Footer Char"/>
    <w:link w:val="Footer"/>
    <w:uiPriority w:val="99"/>
    <w:rsid w:val="00642F80"/>
    <w:rPr>
      <w:rFonts w:ascii="Courier" w:hAnsi="Courier"/>
      <w:sz w:val="24"/>
      <w:szCs w:val="24"/>
    </w:rPr>
  </w:style>
  <w:style w:type="character" w:styleId="Hyperlink">
    <w:name w:val="Hyperlink"/>
    <w:unhideWhenUsed/>
    <w:rsid w:val="00E0186B"/>
    <w:rPr>
      <w:strike w:val="0"/>
      <w:dstrike w:val="0"/>
      <w:color w:val="000080"/>
      <w:u w:val="none"/>
      <w:effect w:val="none"/>
    </w:rPr>
  </w:style>
  <w:style w:type="paragraph" w:styleId="FootnoteText">
    <w:name w:val="footnote text"/>
    <w:basedOn w:val="Normal"/>
    <w:link w:val="FootnoteTextChar"/>
    <w:unhideWhenUsed/>
    <w:rsid w:val="00E0186B"/>
    <w:rPr>
      <w:sz w:val="20"/>
      <w:szCs w:val="20"/>
    </w:rPr>
  </w:style>
  <w:style w:type="character" w:customStyle="1" w:styleId="FootnoteTextChar">
    <w:name w:val="Footnote Text Char"/>
    <w:link w:val="FootnoteText"/>
    <w:rsid w:val="00E0186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C73CDC"/>
    <w:pPr>
      <w:tabs>
        <w:tab w:val="center" w:pos="4320"/>
        <w:tab w:val="right" w:pos="8640"/>
      </w:tabs>
    </w:pPr>
  </w:style>
  <w:style w:type="paragraph" w:styleId="Footer">
    <w:name w:val="footer"/>
    <w:basedOn w:val="Normal"/>
    <w:link w:val="FooterChar"/>
    <w:uiPriority w:val="99"/>
    <w:rsid w:val="00C73CDC"/>
    <w:pPr>
      <w:tabs>
        <w:tab w:val="center" w:pos="4320"/>
        <w:tab w:val="right" w:pos="8640"/>
      </w:tabs>
    </w:pPr>
  </w:style>
  <w:style w:type="character" w:styleId="PageNumber">
    <w:name w:val="page number"/>
    <w:basedOn w:val="DefaultParagraphFont"/>
    <w:rsid w:val="00C73CDC"/>
  </w:style>
  <w:style w:type="paragraph" w:styleId="BalloonText">
    <w:name w:val="Balloon Text"/>
    <w:basedOn w:val="Normal"/>
    <w:link w:val="BalloonTextChar"/>
    <w:rsid w:val="00B22026"/>
    <w:rPr>
      <w:rFonts w:ascii="Tahoma" w:hAnsi="Tahoma" w:cs="Tahoma"/>
      <w:sz w:val="16"/>
      <w:szCs w:val="16"/>
    </w:rPr>
  </w:style>
  <w:style w:type="character" w:customStyle="1" w:styleId="BalloonTextChar">
    <w:name w:val="Balloon Text Char"/>
    <w:link w:val="BalloonText"/>
    <w:rsid w:val="00B22026"/>
    <w:rPr>
      <w:rFonts w:ascii="Tahoma" w:hAnsi="Tahoma" w:cs="Tahoma"/>
      <w:sz w:val="16"/>
      <w:szCs w:val="16"/>
    </w:rPr>
  </w:style>
  <w:style w:type="character" w:customStyle="1" w:styleId="FooterChar">
    <w:name w:val="Footer Char"/>
    <w:link w:val="Footer"/>
    <w:uiPriority w:val="99"/>
    <w:rsid w:val="00642F80"/>
    <w:rPr>
      <w:rFonts w:ascii="Courier" w:hAnsi="Courier"/>
      <w:sz w:val="24"/>
      <w:szCs w:val="24"/>
    </w:rPr>
  </w:style>
  <w:style w:type="character" w:styleId="Hyperlink">
    <w:name w:val="Hyperlink"/>
    <w:unhideWhenUsed/>
    <w:rsid w:val="00E0186B"/>
    <w:rPr>
      <w:strike w:val="0"/>
      <w:dstrike w:val="0"/>
      <w:color w:val="000080"/>
      <w:u w:val="none"/>
      <w:effect w:val="none"/>
    </w:rPr>
  </w:style>
  <w:style w:type="paragraph" w:styleId="FootnoteText">
    <w:name w:val="footnote text"/>
    <w:basedOn w:val="Normal"/>
    <w:link w:val="FootnoteTextChar"/>
    <w:unhideWhenUsed/>
    <w:rsid w:val="00E0186B"/>
    <w:rPr>
      <w:sz w:val="20"/>
      <w:szCs w:val="20"/>
    </w:rPr>
  </w:style>
  <w:style w:type="character" w:customStyle="1" w:styleId="FootnoteTextChar">
    <w:name w:val="Footnote Text Char"/>
    <w:link w:val="FootnoteText"/>
    <w:rsid w:val="00E0186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152011.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1191</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7749</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2014-03-05T19:35:00Z</cp:lastPrinted>
  <dcterms:created xsi:type="dcterms:W3CDTF">2014-06-10T15:26:00Z</dcterms:created>
  <dcterms:modified xsi:type="dcterms:W3CDTF">2014-06-10T15:26:00Z</dcterms:modified>
</cp:coreProperties>
</file>