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C90" w:rsidRDefault="00015E10">
      <w:pPr>
        <w:widowControl/>
        <w:tabs>
          <w:tab w:val="center" w:pos="4680"/>
        </w:tabs>
        <w:rPr>
          <w:rFonts w:ascii="Times New Roman" w:hAnsi="Times New Roman"/>
        </w:rPr>
      </w:pPr>
      <w:r w:rsidRPr="00CC630E">
        <w:rPr>
          <w:rFonts w:ascii="Times New Roman" w:hAnsi="Times New Roman"/>
        </w:rPr>
        <w:tab/>
      </w:r>
      <w:bookmarkStart w:id="0" w:name="_GoBack"/>
      <w:bookmarkEnd w:id="0"/>
    </w:p>
    <w:p w:rsidR="00F41C90" w:rsidRDefault="00F41C90">
      <w:pPr>
        <w:widowControl/>
        <w:tabs>
          <w:tab w:val="center" w:pos="4680"/>
        </w:tabs>
        <w:rPr>
          <w:rFonts w:ascii="Times New Roman" w:hAnsi="Times New Roman"/>
        </w:rPr>
      </w:pPr>
    </w:p>
    <w:p w:rsidR="00015E10" w:rsidRPr="00CC630E" w:rsidRDefault="00015E10" w:rsidP="00F41C90">
      <w:pPr>
        <w:widowControl/>
        <w:tabs>
          <w:tab w:val="center" w:pos="4680"/>
        </w:tabs>
        <w:jc w:val="center"/>
        <w:rPr>
          <w:rFonts w:ascii="Times New Roman" w:hAnsi="Times New Roman"/>
        </w:rPr>
      </w:pPr>
      <w:r w:rsidRPr="00CC630E">
        <w:rPr>
          <w:rFonts w:ascii="Times New Roman" w:hAnsi="Times New Roman"/>
          <w:b/>
          <w:bCs/>
        </w:rPr>
        <w:t>Supporting Statement for Paperwork Reduction Act Submission</w:t>
      </w:r>
    </w:p>
    <w:p w:rsidR="00015E10" w:rsidRPr="00CC630E" w:rsidRDefault="00015E10">
      <w:pPr>
        <w:widowControl/>
        <w:rPr>
          <w:rFonts w:ascii="Times New Roman" w:hAnsi="Times New Roman"/>
        </w:rPr>
      </w:pPr>
    </w:p>
    <w:p w:rsidR="00015E10" w:rsidRPr="00CC630E" w:rsidRDefault="00015E10">
      <w:pPr>
        <w:widowControl/>
        <w:rPr>
          <w:rFonts w:ascii="Times New Roman" w:hAnsi="Times New Roman"/>
        </w:rPr>
      </w:pPr>
    </w:p>
    <w:p w:rsidR="00015E10" w:rsidRPr="00CC630E" w:rsidRDefault="00015E10">
      <w:pPr>
        <w:widowControl/>
        <w:rPr>
          <w:rFonts w:ascii="Times New Roman" w:hAnsi="Times New Roman"/>
        </w:rPr>
      </w:pPr>
      <w:r w:rsidRPr="00CC630E">
        <w:rPr>
          <w:rFonts w:ascii="Times New Roman" w:hAnsi="Times New Roman"/>
          <w:b/>
          <w:bCs/>
        </w:rPr>
        <w:t>AGENCY:</w:t>
      </w:r>
      <w:r w:rsidRPr="00CC630E">
        <w:rPr>
          <w:rFonts w:ascii="Times New Roman" w:hAnsi="Times New Roman"/>
        </w:rPr>
        <w:tab/>
        <w:t xml:space="preserve">Pension Benefit Guaranty Corporation </w:t>
      </w:r>
    </w:p>
    <w:p w:rsidR="00015E10" w:rsidRPr="00CC630E" w:rsidRDefault="00015E10">
      <w:pPr>
        <w:widowControl/>
        <w:rPr>
          <w:rFonts w:ascii="Times New Roman" w:hAnsi="Times New Roman"/>
        </w:rPr>
      </w:pPr>
    </w:p>
    <w:p w:rsidR="00015E10" w:rsidRPr="00CC630E" w:rsidRDefault="00015E10">
      <w:pPr>
        <w:widowControl/>
        <w:tabs>
          <w:tab w:val="left" w:pos="-1440"/>
        </w:tabs>
        <w:ind w:left="1440" w:hanging="1440"/>
        <w:rPr>
          <w:rFonts w:ascii="Times New Roman" w:hAnsi="Times New Roman"/>
        </w:rPr>
      </w:pPr>
      <w:r w:rsidRPr="00CC630E">
        <w:rPr>
          <w:rFonts w:ascii="Times New Roman" w:hAnsi="Times New Roman"/>
          <w:b/>
          <w:bCs/>
        </w:rPr>
        <w:t>TITLE:</w:t>
      </w:r>
      <w:r w:rsidRPr="00CC630E">
        <w:rPr>
          <w:rFonts w:ascii="Times New Roman" w:hAnsi="Times New Roman"/>
        </w:rPr>
        <w:tab/>
        <w:t xml:space="preserve">Notice of Insolvency (29 CFR Part 4245) </w:t>
      </w:r>
    </w:p>
    <w:p w:rsidR="00015E10" w:rsidRPr="00CC630E" w:rsidRDefault="00015E10">
      <w:pPr>
        <w:widowControl/>
        <w:rPr>
          <w:rFonts w:ascii="Times New Roman" w:hAnsi="Times New Roman"/>
        </w:rPr>
      </w:pPr>
    </w:p>
    <w:p w:rsidR="00015E10" w:rsidRPr="004E3286" w:rsidRDefault="00015E10">
      <w:pPr>
        <w:widowControl/>
        <w:tabs>
          <w:tab w:val="left" w:pos="-1440"/>
        </w:tabs>
        <w:ind w:left="1440" w:hanging="1440"/>
        <w:rPr>
          <w:rFonts w:ascii="Times New Roman" w:hAnsi="Times New Roman"/>
        </w:rPr>
      </w:pPr>
      <w:r w:rsidRPr="00CC630E">
        <w:rPr>
          <w:rFonts w:ascii="Times New Roman" w:hAnsi="Times New Roman"/>
          <w:b/>
          <w:bCs/>
        </w:rPr>
        <w:t>STATUS:</w:t>
      </w:r>
      <w:r w:rsidRPr="00CC630E">
        <w:rPr>
          <w:rFonts w:ascii="Times New Roman" w:hAnsi="Times New Roman"/>
        </w:rPr>
        <w:tab/>
        <w:t>Request for regular review and extension of currently approved collection (OMB control number 1212</w:t>
      </w:r>
      <w:r w:rsidR="000305C3" w:rsidRPr="00CC630E">
        <w:rPr>
          <w:rFonts w:ascii="Times New Roman" w:hAnsi="Times New Roman"/>
        </w:rPr>
        <w:t xml:space="preserve">-0033; expires </w:t>
      </w:r>
      <w:r w:rsidR="00415739">
        <w:rPr>
          <w:rFonts w:ascii="Times New Roman" w:hAnsi="Times New Roman"/>
        </w:rPr>
        <w:t>June</w:t>
      </w:r>
      <w:r w:rsidR="00415739" w:rsidRPr="00CC630E">
        <w:rPr>
          <w:rFonts w:ascii="Times New Roman" w:hAnsi="Times New Roman"/>
        </w:rPr>
        <w:t xml:space="preserve"> </w:t>
      </w:r>
      <w:r w:rsidR="000305C3" w:rsidRPr="00CC630E">
        <w:rPr>
          <w:rFonts w:ascii="Times New Roman" w:hAnsi="Times New Roman"/>
        </w:rPr>
        <w:t>30, 201</w:t>
      </w:r>
      <w:r w:rsidR="006C5791" w:rsidRPr="00CC630E">
        <w:rPr>
          <w:rFonts w:ascii="Times New Roman" w:hAnsi="Times New Roman"/>
        </w:rPr>
        <w:t>4</w:t>
      </w:r>
      <w:r w:rsidRPr="004E3286">
        <w:rPr>
          <w:rFonts w:ascii="Times New Roman" w:hAnsi="Times New Roman"/>
        </w:rPr>
        <w:t xml:space="preserve">) </w:t>
      </w:r>
    </w:p>
    <w:p w:rsidR="00015E10" w:rsidRPr="004E3286" w:rsidRDefault="00015E10">
      <w:pPr>
        <w:widowControl/>
        <w:rPr>
          <w:rFonts w:ascii="Times New Roman" w:hAnsi="Times New Roman"/>
        </w:rPr>
      </w:pPr>
    </w:p>
    <w:p w:rsidR="00015E10" w:rsidRPr="004E3286" w:rsidRDefault="00015E10" w:rsidP="0071756D">
      <w:pPr>
        <w:widowControl/>
        <w:ind w:left="1440" w:hanging="1440"/>
        <w:rPr>
          <w:rFonts w:ascii="Times New Roman" w:hAnsi="Times New Roman"/>
        </w:rPr>
      </w:pPr>
      <w:r w:rsidRPr="004E3286">
        <w:rPr>
          <w:rFonts w:ascii="Times New Roman" w:hAnsi="Times New Roman"/>
          <w:b/>
          <w:bCs/>
        </w:rPr>
        <w:t>CONTACT:</w:t>
      </w:r>
      <w:r w:rsidR="00A26354" w:rsidRPr="004E3286">
        <w:rPr>
          <w:rFonts w:ascii="Times New Roman" w:hAnsi="Times New Roman"/>
        </w:rPr>
        <w:tab/>
        <w:t>Donald F. McCabe (326</w:t>
      </w:r>
      <w:r w:rsidR="00A26354" w:rsidRPr="004E3286">
        <w:rPr>
          <w:rFonts w:ascii="Times New Roman" w:hAnsi="Times New Roman"/>
        </w:rPr>
        <w:noBreakHyphen/>
        <w:t>4</w:t>
      </w:r>
      <w:r w:rsidR="00EB0D49">
        <w:rPr>
          <w:rFonts w:ascii="Times New Roman" w:hAnsi="Times New Roman"/>
        </w:rPr>
        <w:t>400</w:t>
      </w:r>
      <w:r w:rsidR="00A26354" w:rsidRPr="004E3286">
        <w:rPr>
          <w:rFonts w:ascii="Times New Roman" w:hAnsi="Times New Roman"/>
        </w:rPr>
        <w:t xml:space="preserve"> x3872</w:t>
      </w:r>
      <w:r w:rsidRPr="004E3286">
        <w:rPr>
          <w:rFonts w:ascii="Times New Roman" w:hAnsi="Times New Roman"/>
        </w:rPr>
        <w:t xml:space="preserve">) </w:t>
      </w:r>
      <w:r w:rsidR="0071756D" w:rsidRPr="004E3286">
        <w:rPr>
          <w:rFonts w:ascii="Times New Roman" w:hAnsi="Times New Roman"/>
        </w:rPr>
        <w:t xml:space="preserve">or </w:t>
      </w:r>
      <w:r w:rsidR="00931B46">
        <w:rPr>
          <w:rFonts w:ascii="Times New Roman" w:hAnsi="Times New Roman"/>
        </w:rPr>
        <w:t>Daniel S. Liebman (326-4400 x6510)</w:t>
      </w:r>
    </w:p>
    <w:p w:rsidR="00015E10" w:rsidRPr="004E3286" w:rsidRDefault="00015E10">
      <w:pPr>
        <w:widowControl/>
        <w:rPr>
          <w:rFonts w:ascii="Times New Roman" w:hAnsi="Times New Roman"/>
        </w:rPr>
      </w:pPr>
    </w:p>
    <w:p w:rsidR="00015E10" w:rsidRPr="004E3286" w:rsidRDefault="00015E10">
      <w:pPr>
        <w:widowControl/>
        <w:rPr>
          <w:rFonts w:ascii="Times New Roman" w:hAnsi="Times New Roman"/>
        </w:rPr>
      </w:pPr>
    </w:p>
    <w:p w:rsidR="006422B7" w:rsidRPr="004E3286" w:rsidRDefault="00015E10">
      <w:pPr>
        <w:widowControl/>
        <w:spacing w:line="480" w:lineRule="auto"/>
        <w:ind w:firstLine="720"/>
        <w:rPr>
          <w:rFonts w:ascii="Times New Roman" w:hAnsi="Times New Roman"/>
        </w:rPr>
      </w:pPr>
      <w:r w:rsidRPr="004E3286">
        <w:rPr>
          <w:rFonts w:ascii="Times New Roman" w:hAnsi="Times New Roman"/>
        </w:rPr>
        <w:t xml:space="preserve">1.  </w:t>
      </w:r>
      <w:r w:rsidRPr="004E3286">
        <w:rPr>
          <w:rFonts w:ascii="Times New Roman" w:hAnsi="Times New Roman"/>
          <w:u w:val="single"/>
        </w:rPr>
        <w:t>Need for collection.</w:t>
      </w:r>
      <w:r w:rsidRPr="004E3286">
        <w:rPr>
          <w:rFonts w:ascii="Times New Roman" w:hAnsi="Times New Roman"/>
        </w:rPr>
        <w:t xml:space="preserve">  ERISA section 4245(e) requires two types of notice: a </w:t>
      </w:r>
      <w:r w:rsidR="00FF2E71">
        <w:rPr>
          <w:rFonts w:ascii="Times New Roman" w:hAnsi="Times New Roman"/>
        </w:rPr>
        <w:t>“</w:t>
      </w:r>
      <w:r w:rsidRPr="00CC630E">
        <w:rPr>
          <w:rFonts w:ascii="Times New Roman" w:hAnsi="Times New Roman"/>
        </w:rPr>
        <w:t>notice of insolvency,</w:t>
      </w:r>
      <w:r w:rsidR="00FF2E71">
        <w:rPr>
          <w:rFonts w:ascii="Times New Roman" w:hAnsi="Times New Roman"/>
        </w:rPr>
        <w:t>”</w:t>
      </w:r>
      <w:r w:rsidRPr="00CC630E">
        <w:rPr>
          <w:rFonts w:ascii="Times New Roman" w:hAnsi="Times New Roman"/>
        </w:rPr>
        <w:t xml:space="preserve"> stating a plan sponsor</w:t>
      </w:r>
      <w:r w:rsidR="00FF2E71">
        <w:rPr>
          <w:rFonts w:ascii="Times New Roman" w:hAnsi="Times New Roman"/>
        </w:rPr>
        <w:t>’</w:t>
      </w:r>
      <w:r w:rsidRPr="00CC630E">
        <w:rPr>
          <w:rFonts w:ascii="Times New Roman" w:hAnsi="Times New Roman"/>
        </w:rPr>
        <w:t xml:space="preserve">s determination that the plan is or may become insolvent, and a </w:t>
      </w:r>
      <w:r w:rsidR="00FF2E71">
        <w:rPr>
          <w:rFonts w:ascii="Times New Roman" w:hAnsi="Times New Roman"/>
        </w:rPr>
        <w:t>“</w:t>
      </w:r>
      <w:r w:rsidRPr="00CC630E">
        <w:rPr>
          <w:rFonts w:ascii="Times New Roman" w:hAnsi="Times New Roman"/>
        </w:rPr>
        <w:t>notice of insolvency benefit level,</w:t>
      </w:r>
      <w:r w:rsidR="00FF2E71">
        <w:rPr>
          <w:rFonts w:ascii="Times New Roman" w:hAnsi="Times New Roman"/>
        </w:rPr>
        <w:t>”</w:t>
      </w:r>
      <w:r w:rsidRPr="00CC630E">
        <w:rPr>
          <w:rFonts w:ascii="Times New Roman" w:hAnsi="Times New Roman"/>
        </w:rPr>
        <w:t xml:space="preserve"> stating the level of benefits that will be paid during an </w:t>
      </w:r>
      <w:proofErr w:type="gramStart"/>
      <w:r w:rsidRPr="00CC630E">
        <w:rPr>
          <w:rFonts w:ascii="Times New Roman" w:hAnsi="Times New Roman"/>
        </w:rPr>
        <w:t>insolvency</w:t>
      </w:r>
      <w:proofErr w:type="gramEnd"/>
      <w:r w:rsidRPr="00CC630E">
        <w:rPr>
          <w:rFonts w:ascii="Times New Roman" w:hAnsi="Times New Roman"/>
        </w:rPr>
        <w:t xml:space="preserve"> year.  Section 4245(e</w:t>
      </w:r>
      <w:proofErr w:type="gramStart"/>
      <w:r w:rsidRPr="00CC630E">
        <w:rPr>
          <w:rFonts w:ascii="Times New Roman" w:hAnsi="Times New Roman"/>
        </w:rPr>
        <w:t>)(</w:t>
      </w:r>
      <w:proofErr w:type="gramEnd"/>
      <w:r w:rsidRPr="00CC630E">
        <w:rPr>
          <w:rFonts w:ascii="Times New Roman" w:hAnsi="Times New Roman"/>
        </w:rPr>
        <w:t xml:space="preserve">4) provides that these notices are to be given in accordance with rules promulgated by </w:t>
      </w:r>
      <w:r w:rsidR="007E45C0" w:rsidRPr="00CC630E">
        <w:rPr>
          <w:rFonts w:ascii="Times New Roman" w:hAnsi="Times New Roman"/>
        </w:rPr>
        <w:t>PBGC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s regulation on Notice of Insolvency, 29 CFR Part 4245, establishes the procedure for complying with these notice requirements.  The regulation allows a single notice of insolvency to cover more than one plan year, thereb</w:t>
      </w:r>
      <w:r w:rsidRPr="004E3286">
        <w:rPr>
          <w:rFonts w:ascii="Times New Roman" w:hAnsi="Times New Roman"/>
        </w:rPr>
        <w:t xml:space="preserve">y generally permitting plan sponsors to file only a single notice (a notice of insolvency benefit level) for any future year.  The regulation also prescribes the contents of these notices, the manner in which they must be given, and the time limits for their issuance.  The recipients of these notices are </w:t>
      </w:r>
      <w:r w:rsidR="007E45C0" w:rsidRPr="004E3286">
        <w:rPr>
          <w:rFonts w:ascii="Times New Roman" w:hAnsi="Times New Roman"/>
        </w:rPr>
        <w:t>PBGC</w:t>
      </w:r>
      <w:r w:rsidRPr="004E3286">
        <w:rPr>
          <w:rFonts w:ascii="Times New Roman" w:hAnsi="Times New Roman"/>
        </w:rPr>
        <w:t xml:space="preserve">, contributing employers, employee organizations representing participants, and participants and beneficiaries.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2.  </w:t>
      </w:r>
      <w:r w:rsidRPr="004E3286">
        <w:rPr>
          <w:rFonts w:ascii="Times New Roman" w:hAnsi="Times New Roman"/>
          <w:u w:val="single"/>
        </w:rPr>
        <w:t>Use of information.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uses the information submitted under the regulation to estimate cash needs for financial assistance to troubled plans.  The collective bargaining parties use the information to decide whether additional contributions will be made to the plan in order </w:t>
      </w:r>
      <w:r w:rsidRPr="004E3286">
        <w:rPr>
          <w:rFonts w:ascii="Times New Roman" w:hAnsi="Times New Roman"/>
        </w:rPr>
        <w:lastRenderedPageBreak/>
        <w:t xml:space="preserve">to avoid the insolvency and consequent benefit suspensions.  Plan participants and beneficiaries use the information to make personal financial decisions.  </w:t>
      </w:r>
    </w:p>
    <w:p w:rsidR="00015E10" w:rsidRPr="004E3286" w:rsidRDefault="00015E10">
      <w:pPr>
        <w:widowControl/>
        <w:spacing w:line="120" w:lineRule="auto"/>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3.  </w:t>
      </w:r>
      <w:r w:rsidRPr="004E3286">
        <w:rPr>
          <w:rFonts w:ascii="Times New Roman" w:hAnsi="Times New Roman"/>
          <w:u w:val="single"/>
        </w:rPr>
        <w:t>Information technology.</w:t>
      </w:r>
      <w:r w:rsidRPr="004E3286">
        <w:rPr>
          <w:rFonts w:ascii="Times New Roman" w:hAnsi="Times New Roman"/>
        </w:rPr>
        <w:t xml:space="preserve">  No consideration has been given to the use of improved information technology to reduce burden.  The reporting volume under the regulation is too low to warrant the use of high technology.  </w:t>
      </w:r>
    </w:p>
    <w:p w:rsidR="00015E10" w:rsidRPr="004E3286" w:rsidRDefault="00015E10">
      <w:pPr>
        <w:widowControl/>
        <w:spacing w:line="120" w:lineRule="auto"/>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4.  </w:t>
      </w:r>
      <w:r w:rsidRPr="004E3286">
        <w:rPr>
          <w:rFonts w:ascii="Times New Roman" w:hAnsi="Times New Roman"/>
          <w:u w:val="single"/>
        </w:rPr>
        <w:t>Duplicate or similar information.</w:t>
      </w:r>
      <w:r w:rsidRPr="004E3286">
        <w:rPr>
          <w:rFonts w:ascii="Times New Roman" w:hAnsi="Times New Roman"/>
        </w:rPr>
        <w:t xml:space="preserve">  To avoid duplication, the regulation permits plan sponsors to note the date of a prior submission to </w:t>
      </w:r>
      <w:r w:rsidR="007E45C0" w:rsidRPr="004E3286">
        <w:rPr>
          <w:rFonts w:ascii="Times New Roman" w:hAnsi="Times New Roman"/>
        </w:rPr>
        <w:t>PBGC</w:t>
      </w:r>
      <w:r w:rsidRPr="004E3286">
        <w:rPr>
          <w:rFonts w:ascii="Times New Roman" w:hAnsi="Times New Roman"/>
        </w:rPr>
        <w:t xml:space="preserve"> of identical information, rather than requiring resubmission.  Duplication has also been avoided by allowing a single notice of insolvency to cover more than one plan year.  </w:t>
      </w:r>
    </w:p>
    <w:p w:rsidR="00015E10" w:rsidRPr="004E3286" w:rsidRDefault="00015E10">
      <w:pPr>
        <w:widowControl/>
        <w:spacing w:line="120" w:lineRule="auto"/>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5.  </w:t>
      </w:r>
      <w:r w:rsidRPr="004E3286">
        <w:rPr>
          <w:rFonts w:ascii="Times New Roman" w:hAnsi="Times New Roman"/>
          <w:u w:val="single"/>
        </w:rPr>
        <w:t>Reducing the burden on small entities.</w:t>
      </w:r>
      <w:r w:rsidRPr="004E3286">
        <w:rPr>
          <w:rFonts w:ascii="Times New Roman" w:hAnsi="Times New Roman"/>
        </w:rPr>
        <w:t xml:space="preserve">  </w:t>
      </w:r>
      <w:proofErr w:type="gramStart"/>
      <w:r w:rsidRPr="004E3286">
        <w:rPr>
          <w:rFonts w:ascii="Times New Roman" w:hAnsi="Times New Roman"/>
        </w:rPr>
        <w:t>Inapplicable.</w:t>
      </w:r>
      <w:proofErr w:type="gramEnd"/>
      <w:r w:rsidRPr="004E3286">
        <w:rPr>
          <w:rFonts w:ascii="Times New Roman" w:hAnsi="Times New Roman"/>
        </w:rPr>
        <w:t xml:space="preserve">  </w:t>
      </w:r>
    </w:p>
    <w:p w:rsidR="00015E10" w:rsidRPr="004E3286" w:rsidRDefault="00015E10">
      <w:pPr>
        <w:widowControl/>
        <w:spacing w:line="120" w:lineRule="auto"/>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6.  </w:t>
      </w:r>
      <w:r w:rsidRPr="004E3286">
        <w:rPr>
          <w:rFonts w:ascii="Times New Roman" w:hAnsi="Times New Roman"/>
          <w:u w:val="single"/>
        </w:rPr>
        <w:t>Consequence of reduced collection.</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needs early warning of threatened insolvencies, and their impact on benefit payments, in order to be able to estimate its cash needs for providing financial assistance to troubled plans.  Once a plan sponsor determines that a plan is or may become insolvent, a lack of expeditious notification may delay PBGC assistance.  Less than prompt notice to the collective bargaining parties can also hinder chances for bargaining to increase contributions to the plan.  Also, delay in notification may interfere with the financial decisions of participants and beneficiaries and delay their search for alternative income sources.  In any event, the regulation reduces the frequency of notices that would otherwise be required under the statute by permitting a single notice of insolvency to cover more than one plan year.  </w:t>
      </w:r>
    </w:p>
    <w:p w:rsidR="00015E10" w:rsidRPr="00CC630E" w:rsidRDefault="00015E10">
      <w:pPr>
        <w:widowControl/>
        <w:spacing w:line="480" w:lineRule="auto"/>
        <w:ind w:firstLine="720"/>
        <w:rPr>
          <w:rFonts w:ascii="Times New Roman" w:hAnsi="Times New Roman"/>
        </w:rPr>
      </w:pPr>
      <w:r w:rsidRPr="004E3286">
        <w:rPr>
          <w:rFonts w:ascii="Times New Roman" w:hAnsi="Times New Roman"/>
        </w:rPr>
        <w:lastRenderedPageBreak/>
        <w:t xml:space="preserve">7.  </w:t>
      </w:r>
      <w:r w:rsidRPr="004E3286">
        <w:rPr>
          <w:rFonts w:ascii="Times New Roman" w:hAnsi="Times New Roman"/>
          <w:u w:val="single"/>
        </w:rPr>
        <w:t>Consistency with guidelines.</w:t>
      </w:r>
      <w:r w:rsidRPr="004E3286">
        <w:rPr>
          <w:rFonts w:ascii="Times New Roman" w:hAnsi="Times New Roman"/>
        </w:rPr>
        <w:t xml:space="preserve">  The information collection is not conducted in a manner inconsistent with 5 CFR </w:t>
      </w:r>
      <w:r w:rsidR="00FF2E71">
        <w:rPr>
          <w:rFonts w:ascii="Times New Roman" w:hAnsi="Times New Roman"/>
        </w:rPr>
        <w:t>§</w:t>
      </w:r>
      <w:r w:rsidRPr="00CC630E">
        <w:rPr>
          <w:rFonts w:ascii="Times New Roman" w:hAnsi="Times New Roman"/>
        </w:rPr>
        <w:t> 1320.5(d</w:t>
      </w:r>
      <w:proofErr w:type="gramStart"/>
      <w:r w:rsidRPr="00CC630E">
        <w:rPr>
          <w:rFonts w:ascii="Times New Roman" w:hAnsi="Times New Roman"/>
        </w:rPr>
        <w:t>)(</w:t>
      </w:r>
      <w:proofErr w:type="gramEnd"/>
      <w:r w:rsidRPr="00CC630E">
        <w:rPr>
          <w:rFonts w:ascii="Times New Roman" w:hAnsi="Times New Roman"/>
        </w:rPr>
        <w:t xml:space="preserve">2).  </w:t>
      </w:r>
    </w:p>
    <w:p w:rsidR="00015E10" w:rsidRPr="004E3286" w:rsidRDefault="00015E10">
      <w:pPr>
        <w:widowControl/>
        <w:spacing w:line="120" w:lineRule="auto"/>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8.  </w:t>
      </w:r>
      <w:r w:rsidRPr="004E3286">
        <w:rPr>
          <w:rFonts w:ascii="Times New Roman" w:hAnsi="Times New Roman"/>
          <w:u w:val="single"/>
        </w:rPr>
        <w:t>Outside input.</w:t>
      </w:r>
      <w:r w:rsidR="00682FE2" w:rsidRPr="004E3286">
        <w:rPr>
          <w:rFonts w:ascii="Times New Roman" w:hAnsi="Times New Roman"/>
        </w:rPr>
        <w:t xml:space="preserve">  </w:t>
      </w:r>
      <w:r w:rsidR="00250567" w:rsidRPr="004E3286">
        <w:rPr>
          <w:rFonts w:ascii="Times New Roman" w:hAnsi="Times New Roman"/>
        </w:rPr>
        <w:t xml:space="preserve">PBGC published two Federal Register notices soliciting public comment on this and other collections of information, one pursuant to 5 CFR </w:t>
      </w:r>
      <w:r w:rsidR="00FF2E71">
        <w:rPr>
          <w:rFonts w:ascii="Times New Roman" w:hAnsi="Times New Roman"/>
        </w:rPr>
        <w:t>§</w:t>
      </w:r>
      <w:r w:rsidR="00AF3379" w:rsidRPr="00CC630E">
        <w:rPr>
          <w:rFonts w:ascii="Times New Roman" w:hAnsi="Times New Roman"/>
        </w:rPr>
        <w:t> 1320.8(d) (</w:t>
      </w:r>
      <w:r w:rsidR="00057E5C" w:rsidRPr="00CC630E">
        <w:rPr>
          <w:rFonts w:ascii="Times New Roman" w:hAnsi="Times New Roman"/>
        </w:rPr>
        <w:t>Dec</w:t>
      </w:r>
      <w:r w:rsidR="005044E0" w:rsidRPr="00CC630E">
        <w:rPr>
          <w:rFonts w:ascii="Times New Roman" w:hAnsi="Times New Roman"/>
        </w:rPr>
        <w:t xml:space="preserve">ember </w:t>
      </w:r>
      <w:r w:rsidR="00057E5C" w:rsidRPr="00CC630E">
        <w:rPr>
          <w:rFonts w:ascii="Times New Roman" w:hAnsi="Times New Roman"/>
        </w:rPr>
        <w:t>2</w:t>
      </w:r>
      <w:r w:rsidR="005044E0" w:rsidRPr="00CC630E">
        <w:rPr>
          <w:rFonts w:ascii="Times New Roman" w:hAnsi="Times New Roman"/>
        </w:rPr>
        <w:t>, 201</w:t>
      </w:r>
      <w:r w:rsidR="00057E5C" w:rsidRPr="00CC630E">
        <w:rPr>
          <w:rFonts w:ascii="Times New Roman" w:hAnsi="Times New Roman"/>
        </w:rPr>
        <w:t>3</w:t>
      </w:r>
      <w:r w:rsidR="005044E0" w:rsidRPr="00CC630E">
        <w:rPr>
          <w:rFonts w:ascii="Times New Roman" w:hAnsi="Times New Roman"/>
        </w:rPr>
        <w:t>, at 7</w:t>
      </w:r>
      <w:r w:rsidR="00057E5C" w:rsidRPr="00CC630E">
        <w:rPr>
          <w:rFonts w:ascii="Times New Roman" w:hAnsi="Times New Roman"/>
        </w:rPr>
        <w:t>8</w:t>
      </w:r>
      <w:r w:rsidR="005044E0" w:rsidRPr="00CC630E">
        <w:rPr>
          <w:rFonts w:ascii="Times New Roman" w:hAnsi="Times New Roman"/>
        </w:rPr>
        <w:t xml:space="preserve"> </w:t>
      </w:r>
      <w:r w:rsidR="00250567" w:rsidRPr="00CC630E">
        <w:rPr>
          <w:rFonts w:ascii="Times New Roman" w:hAnsi="Times New Roman"/>
        </w:rPr>
        <w:t xml:space="preserve">FR </w:t>
      </w:r>
      <w:r w:rsidR="005044E0" w:rsidRPr="00CC630E">
        <w:rPr>
          <w:rFonts w:ascii="Times New Roman" w:hAnsi="Times New Roman"/>
        </w:rPr>
        <w:t>7</w:t>
      </w:r>
      <w:r w:rsidR="00B17382" w:rsidRPr="00CC630E">
        <w:rPr>
          <w:rFonts w:ascii="Times New Roman" w:hAnsi="Times New Roman"/>
        </w:rPr>
        <w:t>2128</w:t>
      </w:r>
      <w:r w:rsidR="00250567" w:rsidRPr="00CC630E">
        <w:rPr>
          <w:rFonts w:ascii="Times New Roman" w:hAnsi="Times New Roman"/>
        </w:rPr>
        <w:t xml:space="preserve">), and the other pursuant to 5 CFR </w:t>
      </w:r>
      <w:r w:rsidR="00FF2E71">
        <w:rPr>
          <w:rFonts w:ascii="Times New Roman" w:hAnsi="Times New Roman"/>
        </w:rPr>
        <w:t>§</w:t>
      </w:r>
      <w:r w:rsidR="00AF3379" w:rsidRPr="00CC630E">
        <w:rPr>
          <w:rFonts w:ascii="Times New Roman" w:hAnsi="Times New Roman"/>
        </w:rPr>
        <w:t> 1320.5(a)(1)(iv) (</w:t>
      </w:r>
      <w:r w:rsidR="00CC630E">
        <w:rPr>
          <w:rFonts w:ascii="Times New Roman" w:hAnsi="Times New Roman"/>
        </w:rPr>
        <w:t>March</w:t>
      </w:r>
      <w:r w:rsidR="005044E0" w:rsidRPr="00CC630E">
        <w:rPr>
          <w:rFonts w:ascii="Times New Roman" w:hAnsi="Times New Roman"/>
        </w:rPr>
        <w:t xml:space="preserve"> </w:t>
      </w:r>
      <w:r w:rsidR="000E034B">
        <w:rPr>
          <w:rFonts w:ascii="Times New Roman" w:hAnsi="Times New Roman"/>
        </w:rPr>
        <w:t>19</w:t>
      </w:r>
      <w:r w:rsidR="005044E0" w:rsidRPr="00CC630E">
        <w:rPr>
          <w:rFonts w:ascii="Times New Roman" w:hAnsi="Times New Roman"/>
        </w:rPr>
        <w:t>, 201</w:t>
      </w:r>
      <w:r w:rsidR="00B17382" w:rsidRPr="00CC630E">
        <w:rPr>
          <w:rFonts w:ascii="Times New Roman" w:hAnsi="Times New Roman"/>
        </w:rPr>
        <w:t>4</w:t>
      </w:r>
      <w:r w:rsidR="005044E0" w:rsidRPr="00CC630E">
        <w:rPr>
          <w:rFonts w:ascii="Times New Roman" w:hAnsi="Times New Roman"/>
        </w:rPr>
        <w:t>, at 7</w:t>
      </w:r>
      <w:r w:rsidR="00B17382" w:rsidRPr="00CC630E">
        <w:rPr>
          <w:rFonts w:ascii="Times New Roman" w:hAnsi="Times New Roman"/>
        </w:rPr>
        <w:t>9</w:t>
      </w:r>
      <w:r w:rsidR="005044E0" w:rsidRPr="00CC630E">
        <w:rPr>
          <w:rFonts w:ascii="Times New Roman" w:hAnsi="Times New Roman"/>
        </w:rPr>
        <w:t xml:space="preserve"> </w:t>
      </w:r>
      <w:r w:rsidR="00250567" w:rsidRPr="00CC630E">
        <w:rPr>
          <w:rFonts w:ascii="Times New Roman" w:hAnsi="Times New Roman"/>
        </w:rPr>
        <w:t xml:space="preserve">FR </w:t>
      </w:r>
      <w:r w:rsidR="000E034B">
        <w:rPr>
          <w:rFonts w:ascii="Times New Roman" w:hAnsi="Times New Roman"/>
        </w:rPr>
        <w:t>15361</w:t>
      </w:r>
      <w:r w:rsidR="00250567" w:rsidRPr="004E3286">
        <w:rPr>
          <w:rFonts w:ascii="Times New Roman" w:hAnsi="Times New Roman"/>
        </w:rPr>
        <w:t xml:space="preserve">).  No public comments were received in response to </w:t>
      </w:r>
      <w:r w:rsidR="00F174C0">
        <w:rPr>
          <w:rFonts w:ascii="Times New Roman" w:hAnsi="Times New Roman"/>
        </w:rPr>
        <w:t>either</w:t>
      </w:r>
      <w:r w:rsidR="00250567" w:rsidRPr="004E3286">
        <w:rPr>
          <w:rFonts w:ascii="Times New Roman" w:hAnsi="Times New Roman"/>
        </w:rPr>
        <w:t xml:space="preserve"> notice.</w:t>
      </w:r>
    </w:p>
    <w:p w:rsidR="00015E10" w:rsidRPr="004E3286" w:rsidRDefault="00015E10">
      <w:pPr>
        <w:widowControl/>
        <w:spacing w:line="120" w:lineRule="auto"/>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9.  </w:t>
      </w:r>
      <w:r w:rsidRPr="004E3286">
        <w:rPr>
          <w:rFonts w:ascii="Times New Roman" w:hAnsi="Times New Roman"/>
          <w:u w:val="single"/>
        </w:rPr>
        <w:t>Payment to respondents.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provides no payments or gifts to respondents in connection with this collection of information.  </w:t>
      </w:r>
    </w:p>
    <w:p w:rsidR="00015E10" w:rsidRPr="004E3286" w:rsidRDefault="00015E10">
      <w:pPr>
        <w:widowControl/>
        <w:spacing w:line="120" w:lineRule="auto"/>
        <w:rPr>
          <w:rFonts w:ascii="Times New Roman" w:hAnsi="Times New Roman"/>
        </w:rPr>
      </w:pPr>
    </w:p>
    <w:p w:rsidR="00015E10" w:rsidRPr="00CC630E" w:rsidRDefault="00015E10">
      <w:pPr>
        <w:widowControl/>
        <w:spacing w:line="480" w:lineRule="auto"/>
        <w:ind w:firstLine="720"/>
        <w:rPr>
          <w:rFonts w:ascii="Times New Roman" w:hAnsi="Times New Roman"/>
        </w:rPr>
      </w:pPr>
      <w:r w:rsidRPr="004E3286">
        <w:rPr>
          <w:rFonts w:ascii="Times New Roman" w:hAnsi="Times New Roman"/>
        </w:rPr>
        <w:t xml:space="preserve">10.  </w:t>
      </w:r>
      <w:r w:rsidRPr="004E3286">
        <w:rPr>
          <w:rFonts w:ascii="Times New Roman" w:hAnsi="Times New Roman"/>
          <w:u w:val="single"/>
        </w:rPr>
        <w:t>Confidentiality.</w:t>
      </w:r>
      <w:r w:rsidRPr="004E3286">
        <w:rPr>
          <w:rFonts w:ascii="Times New Roman" w:hAnsi="Times New Roman"/>
        </w:rPr>
        <w:t xml:space="preserve">  The regulation gives no assurance of confidentiality, but information submitted to </w:t>
      </w:r>
      <w:r w:rsidR="007E45C0" w:rsidRPr="004E3286">
        <w:rPr>
          <w:rFonts w:ascii="Times New Roman" w:hAnsi="Times New Roman"/>
        </w:rPr>
        <w:t>PBGC</w:t>
      </w:r>
      <w:r w:rsidRPr="004E3286">
        <w:rPr>
          <w:rFonts w:ascii="Times New Roman" w:hAnsi="Times New Roman"/>
        </w:rPr>
        <w:t xml:space="preserve"> under the regulation is accessible only in accordance with applicable law and regulations.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rules providing and restricting access to its records are set forth in 29 CFR Part 4901.  </w:t>
      </w:r>
    </w:p>
    <w:p w:rsidR="00015E10" w:rsidRPr="004E3286" w:rsidRDefault="00015E10">
      <w:pPr>
        <w:widowControl/>
        <w:spacing w:line="120" w:lineRule="auto"/>
        <w:rPr>
          <w:rFonts w:ascii="Times New Roman" w:hAnsi="Times New Roman"/>
        </w:rPr>
      </w:pPr>
    </w:p>
    <w:p w:rsidR="00C842DE" w:rsidRPr="004E3286" w:rsidRDefault="00015E10">
      <w:pPr>
        <w:widowControl/>
        <w:spacing w:line="480" w:lineRule="auto"/>
        <w:ind w:firstLine="720"/>
        <w:rPr>
          <w:rFonts w:ascii="Times New Roman" w:hAnsi="Times New Roman"/>
        </w:rPr>
      </w:pPr>
      <w:r w:rsidRPr="004E3286">
        <w:rPr>
          <w:rFonts w:ascii="Times New Roman" w:hAnsi="Times New Roman"/>
        </w:rPr>
        <w:t xml:space="preserve">11.  </w:t>
      </w:r>
      <w:r w:rsidRPr="004E3286">
        <w:rPr>
          <w:rFonts w:ascii="Times New Roman" w:hAnsi="Times New Roman"/>
          <w:u w:val="single"/>
        </w:rPr>
        <w:t>Personal questions.</w:t>
      </w:r>
      <w:r w:rsidRPr="004E3286">
        <w:rPr>
          <w:rFonts w:ascii="Times New Roman" w:hAnsi="Times New Roman"/>
        </w:rPr>
        <w:t xml:space="preserve">  The regulation does not call for submission of information of a sensitive nature.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12.  </w:t>
      </w:r>
      <w:r w:rsidRPr="004E3286">
        <w:rPr>
          <w:rFonts w:ascii="Times New Roman" w:hAnsi="Times New Roman"/>
          <w:u w:val="single"/>
        </w:rPr>
        <w:t>Hour burden on the public.</w:t>
      </w:r>
      <w:r w:rsidRPr="004E3286">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s experience has been that virtually all multiemployer plans that become insolvent are plans terminated by mass withdrawal, and thus expects that al</w:t>
      </w:r>
      <w:r w:rsidRPr="004E3286">
        <w:rPr>
          <w:rFonts w:ascii="Times New Roman" w:hAnsi="Times New Roman"/>
        </w:rPr>
        <w:t>l of the plans that become insolvent over the next three years will be mass</w:t>
      </w:r>
      <w:r w:rsidRPr="004E3286">
        <w:rPr>
          <w:rFonts w:ascii="Times New Roman" w:hAnsi="Times New Roman"/>
        </w:rPr>
        <w:noBreakHyphen/>
        <w:t>withdrawal</w:t>
      </w:r>
      <w:r w:rsidRPr="004E3286">
        <w:rPr>
          <w:rFonts w:ascii="Times New Roman" w:hAnsi="Times New Roman"/>
        </w:rPr>
        <w:noBreakHyphen/>
        <w:t xml:space="preserve">terminated plans.  Plans terminated by mass withdrawal that become insolvent are subject to the notice requirements in section 4281 of ERISA rather than section 4245.  Accordingly, </w:t>
      </w:r>
      <w:r w:rsidR="007E45C0" w:rsidRPr="004E3286">
        <w:rPr>
          <w:rFonts w:ascii="Times New Roman" w:hAnsi="Times New Roman"/>
        </w:rPr>
        <w:t>PBGC</w:t>
      </w:r>
      <w:r w:rsidRPr="004E3286">
        <w:rPr>
          <w:rFonts w:ascii="Times New Roman" w:hAnsi="Times New Roman"/>
        </w:rPr>
        <w:t xml:space="preserve"> expects that no plans will issue new notices of insolvency under section </w:t>
      </w:r>
      <w:r w:rsidRPr="004E3286">
        <w:rPr>
          <w:rFonts w:ascii="Times New Roman" w:hAnsi="Times New Roman"/>
        </w:rPr>
        <w:lastRenderedPageBreak/>
        <w:t xml:space="preserve">4245 during the next three years.  Currently, there is only one insolvent plan that has not terminated by mass withdrawal and thus is subject to the requirement to issue annual insolvency benefit level notices under section 4245, and </w:t>
      </w:r>
      <w:r w:rsidR="007E45C0" w:rsidRPr="004E3286">
        <w:rPr>
          <w:rFonts w:ascii="Times New Roman" w:hAnsi="Times New Roman"/>
        </w:rPr>
        <w:t>PBGC</w:t>
      </w:r>
      <w:r w:rsidRPr="004E3286">
        <w:rPr>
          <w:rFonts w:ascii="Times New Roman" w:hAnsi="Times New Roman"/>
        </w:rPr>
        <w:t xml:space="preserve"> expects this plan to continue issuing such notices for the next three years.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For purposes of estimating the time required to comply with the regulation, </w:t>
      </w:r>
      <w:r w:rsidR="00337FDD" w:rsidRPr="004E3286">
        <w:rPr>
          <w:rFonts w:ascii="Times New Roman" w:hAnsi="Times New Roman"/>
        </w:rPr>
        <w:t>PBGC</w:t>
      </w:r>
      <w:r w:rsidRPr="004E3286">
        <w:rPr>
          <w:rFonts w:ascii="Times New Roman" w:hAnsi="Times New Roman"/>
        </w:rPr>
        <w:t xml:space="preserve"> assume</w:t>
      </w:r>
      <w:r w:rsidR="00337FDD" w:rsidRPr="004E3286">
        <w:rPr>
          <w:rFonts w:ascii="Times New Roman" w:hAnsi="Times New Roman"/>
        </w:rPr>
        <w:t>s</w:t>
      </w:r>
      <w:r w:rsidRPr="004E3286">
        <w:rPr>
          <w:rFonts w:ascii="Times New Roman" w:hAnsi="Times New Roman"/>
        </w:rPr>
        <w:t xml:space="preserve"> (based on experience) that plans subject to the regulation generally submit a single notice of insolvency, covering all future years (although that does not mean that every future year will necessarily be an insolvency year), and provide notices of insolvency benefit level for the first insolvency year only to retirees, as permitted by the regulation.  </w:t>
      </w:r>
      <w:r w:rsidR="00337FDD" w:rsidRPr="004E3286">
        <w:rPr>
          <w:rFonts w:ascii="Times New Roman" w:hAnsi="Times New Roman"/>
        </w:rPr>
        <w:t>PBGC</w:t>
      </w:r>
      <w:r w:rsidRPr="004E3286">
        <w:rPr>
          <w:rFonts w:ascii="Times New Roman" w:hAnsi="Times New Roman"/>
        </w:rPr>
        <w:t xml:space="preserve"> also estimate</w:t>
      </w:r>
      <w:r w:rsidR="00337FDD" w:rsidRPr="004E3286">
        <w:rPr>
          <w:rFonts w:ascii="Times New Roman" w:hAnsi="Times New Roman"/>
        </w:rPr>
        <w:t>s</w:t>
      </w:r>
      <w:r w:rsidRPr="004E3286">
        <w:rPr>
          <w:rFonts w:ascii="Times New Roman" w:hAnsi="Times New Roman"/>
        </w:rPr>
        <w:t xml:space="preserve"> that the average plan subject to the regulation covers employees represented by 2 unions and has about 35 </w:t>
      </w:r>
      <w:r w:rsidR="00F34CA1" w:rsidRPr="004E3286">
        <w:rPr>
          <w:rFonts w:ascii="Times New Roman" w:hAnsi="Times New Roman"/>
        </w:rPr>
        <w:t>contributing employers and 1,316</w:t>
      </w:r>
      <w:r w:rsidRPr="004E3286">
        <w:rPr>
          <w:rFonts w:ascii="Times New Roman" w:hAnsi="Times New Roman"/>
        </w:rPr>
        <w:t xml:space="preserve"> participants, about </w:t>
      </w:r>
      <w:r w:rsidR="00F34CA1" w:rsidRPr="004E3286">
        <w:rPr>
          <w:rFonts w:ascii="Times New Roman" w:hAnsi="Times New Roman"/>
        </w:rPr>
        <w:t>707</w:t>
      </w:r>
      <w:r w:rsidRPr="004E3286">
        <w:rPr>
          <w:rFonts w:ascii="Times New Roman" w:hAnsi="Times New Roman"/>
        </w:rPr>
        <w:t xml:space="preserve"> of whom are retirees.  </w:t>
      </w:r>
    </w:p>
    <w:p w:rsidR="00B60E62" w:rsidRDefault="00F174C0" w:rsidP="00B60E62">
      <w:pPr>
        <w:widowControl/>
        <w:spacing w:line="480" w:lineRule="auto"/>
        <w:ind w:firstLine="720"/>
        <w:rPr>
          <w:rFonts w:ascii="Times New Roman" w:hAnsi="Times New Roman"/>
        </w:rPr>
      </w:pPr>
      <w:r w:rsidRPr="004E3286">
        <w:rPr>
          <w:rFonts w:ascii="Times New Roman" w:hAnsi="Times New Roman"/>
        </w:rPr>
        <w:t>However, PBGC also believes, based on its experience, that virtually all of these notices are prepared and distributed by outside consultants and estimates that a plan administrator spends no more than a few minutes in engaging the services of such consultants.  Accordingly, PBGC estimates that the annual hour burden of this collection of information is at most one hour, with an estimated cost to respondents of $</w:t>
      </w:r>
      <w:r w:rsidR="00B60E62">
        <w:rPr>
          <w:rFonts w:ascii="Times New Roman" w:hAnsi="Times New Roman"/>
        </w:rPr>
        <w:t>76.96</w:t>
      </w:r>
      <w:r w:rsidRPr="004E3286">
        <w:rPr>
          <w:rFonts w:ascii="Times New Roman" w:hAnsi="Times New Roman"/>
        </w:rPr>
        <w:t>.</w:t>
      </w:r>
      <w:r>
        <w:rPr>
          <w:rFonts w:ascii="Times New Roman" w:hAnsi="Times New Roman"/>
        </w:rPr>
        <w:t xml:space="preserve"> </w:t>
      </w:r>
      <w:r w:rsidR="00B60E62">
        <w:rPr>
          <w:rFonts w:ascii="Times New Roman" w:hAnsi="Times New Roman"/>
        </w:rPr>
        <w:t xml:space="preserve"> PBGC assumes an average rate of $76.96 per hour for in-house costs at the compensation and benefits manager level.  This estimate is </w:t>
      </w:r>
      <w:r w:rsidR="00B60E62" w:rsidRPr="009056A9">
        <w:rPr>
          <w:rFonts w:ascii="Times New Roman" w:hAnsi="Times New Roman"/>
        </w:rPr>
        <w:t xml:space="preserve">based on the following assumptions: </w:t>
      </w:r>
    </w:p>
    <w:p w:rsidR="00B60E62" w:rsidRDefault="00B60E62" w:rsidP="00B60E62">
      <w:pPr>
        <w:widowControl/>
        <w:numPr>
          <w:ilvl w:val="0"/>
          <w:numId w:val="1"/>
        </w:numPr>
        <w:contextualSpacing/>
        <w:rPr>
          <w:rFonts w:ascii="Times New Roman" w:hAnsi="Times New Roman"/>
        </w:rPr>
      </w:pPr>
      <w:r w:rsidRPr="00FD1259">
        <w:rPr>
          <w:rFonts w:ascii="Times New Roman" w:hAnsi="Times New Roman"/>
        </w:rPr>
        <w:t xml:space="preserve">Wage rates account for </w:t>
      </w:r>
      <w:r w:rsidRPr="00B23991">
        <w:rPr>
          <w:rFonts w:ascii="Times New Roman" w:hAnsi="Times New Roman"/>
        </w:rPr>
        <w:t>70</w:t>
      </w:r>
      <w:r w:rsidRPr="00FD1259">
        <w:rPr>
          <w:rFonts w:ascii="Times New Roman" w:hAnsi="Times New Roman"/>
        </w:rPr>
        <w:t xml:space="preserve">% of total labor costs, with the remaining </w:t>
      </w:r>
      <w:r w:rsidRPr="00B23991">
        <w:rPr>
          <w:rFonts w:ascii="Times New Roman" w:hAnsi="Times New Roman"/>
        </w:rPr>
        <w:t>30</w:t>
      </w:r>
      <w:r w:rsidRPr="00FD1259">
        <w:rPr>
          <w:rFonts w:ascii="Times New Roman" w:hAnsi="Times New Roman"/>
        </w:rPr>
        <w:t>% attributable to benefits costs.</w:t>
      </w:r>
      <w:r w:rsidRPr="00FD1259">
        <w:rPr>
          <w:rFonts w:ascii="Times New Roman" w:hAnsi="Times New Roman"/>
          <w:vertAlign w:val="superscript"/>
        </w:rPr>
        <w:footnoteReference w:id="1"/>
      </w:r>
    </w:p>
    <w:p w:rsidR="00B60E62" w:rsidRDefault="00B60E62" w:rsidP="00931B46">
      <w:pPr>
        <w:widowControl/>
        <w:ind w:left="720"/>
        <w:contextualSpacing/>
        <w:rPr>
          <w:rFonts w:ascii="Times New Roman" w:hAnsi="Times New Roman"/>
        </w:rPr>
      </w:pPr>
    </w:p>
    <w:p w:rsidR="00B60E62" w:rsidRPr="00FD1259" w:rsidRDefault="00B60E62" w:rsidP="00B60E62">
      <w:pPr>
        <w:widowControl/>
        <w:numPr>
          <w:ilvl w:val="0"/>
          <w:numId w:val="1"/>
        </w:numPr>
        <w:contextualSpacing/>
        <w:rPr>
          <w:rFonts w:ascii="Times New Roman" w:hAnsi="Times New Roman"/>
        </w:rPr>
      </w:pPr>
      <w:r>
        <w:rPr>
          <w:rFonts w:ascii="Times New Roman" w:hAnsi="Times New Roman"/>
        </w:rPr>
        <w:lastRenderedPageBreak/>
        <w:t>The i</w:t>
      </w:r>
      <w:r w:rsidRPr="00FD1259">
        <w:rPr>
          <w:rFonts w:ascii="Times New Roman" w:hAnsi="Times New Roman"/>
        </w:rPr>
        <w:t xml:space="preserve">n-house hours performed by a </w:t>
      </w:r>
      <w:r>
        <w:rPr>
          <w:rFonts w:ascii="Times New Roman" w:hAnsi="Times New Roman"/>
        </w:rPr>
        <w:t>compensation and benefits</w:t>
      </w:r>
      <w:r w:rsidRPr="00B23991">
        <w:rPr>
          <w:rFonts w:ascii="Times New Roman" w:hAnsi="Times New Roman"/>
        </w:rPr>
        <w:t xml:space="preserve"> manager (occupational code 11-</w:t>
      </w:r>
      <w:r w:rsidRPr="00362410">
        <w:rPr>
          <w:rFonts w:ascii="Times New Roman" w:hAnsi="Times New Roman"/>
        </w:rPr>
        <w:t>3111</w:t>
      </w:r>
      <w:r w:rsidRPr="00FD1259">
        <w:rPr>
          <w:rFonts w:ascii="Times New Roman" w:hAnsi="Times New Roman"/>
        </w:rPr>
        <w:t>)</w:t>
      </w:r>
      <w:r>
        <w:rPr>
          <w:rFonts w:ascii="Times New Roman" w:hAnsi="Times New Roman"/>
        </w:rPr>
        <w:t xml:space="preserve"> are at a</w:t>
      </w:r>
      <w:r w:rsidRPr="00FD1259">
        <w:rPr>
          <w:rFonts w:ascii="Times New Roman" w:hAnsi="Times New Roman"/>
        </w:rPr>
        <w:t xml:space="preserve"> mean hourly wage rate $</w:t>
      </w:r>
      <w:r>
        <w:rPr>
          <w:rFonts w:ascii="Times New Roman" w:hAnsi="Times New Roman"/>
        </w:rPr>
        <w:t>53.87</w:t>
      </w:r>
      <w:r w:rsidRPr="00FD1259">
        <w:rPr>
          <w:rFonts w:ascii="Times New Roman" w:hAnsi="Times New Roman"/>
        </w:rPr>
        <w:t xml:space="preserve"> per hour</w:t>
      </w:r>
      <w:r>
        <w:rPr>
          <w:rFonts w:ascii="Times New Roman" w:hAnsi="Times New Roman"/>
        </w:rPr>
        <w:t>,</w:t>
      </w:r>
      <w:r w:rsidRPr="00FD1259">
        <w:rPr>
          <w:rFonts w:ascii="Times New Roman" w:hAnsi="Times New Roman"/>
        </w:rPr>
        <w:t xml:space="preserve"> </w:t>
      </w:r>
      <w:r>
        <w:rPr>
          <w:rFonts w:ascii="Times New Roman" w:hAnsi="Times New Roman"/>
        </w:rPr>
        <w:t xml:space="preserve">$76.96 </w:t>
      </w:r>
      <w:r w:rsidRPr="00FD1259">
        <w:rPr>
          <w:rFonts w:ascii="Times New Roman" w:hAnsi="Times New Roman"/>
        </w:rPr>
        <w:t>per hour including benefits.</w:t>
      </w:r>
      <w:r w:rsidRPr="00B92327">
        <w:rPr>
          <w:rStyle w:val="FootnoteReference"/>
          <w:rFonts w:ascii="Times New Roman" w:hAnsi="Times New Roman"/>
          <w:vertAlign w:val="superscript"/>
        </w:rPr>
        <w:footnoteReference w:id="2"/>
      </w:r>
    </w:p>
    <w:p w:rsidR="00B60E62" w:rsidRPr="00FD1259" w:rsidRDefault="00B60E62" w:rsidP="00B60E62">
      <w:pPr>
        <w:widowControl/>
        <w:ind w:left="720"/>
        <w:contextualSpacing/>
        <w:rPr>
          <w:rFonts w:ascii="Times New Roman" w:hAnsi="Times New Roman"/>
        </w:rPr>
      </w:pPr>
    </w:p>
    <w:p w:rsidR="00015E10" w:rsidRPr="004E3286" w:rsidRDefault="00015E10" w:rsidP="00B60E62">
      <w:pPr>
        <w:widowControl/>
        <w:spacing w:line="480" w:lineRule="auto"/>
        <w:ind w:firstLine="720"/>
        <w:rPr>
          <w:rFonts w:ascii="Times New Roman" w:hAnsi="Times New Roman"/>
        </w:rPr>
      </w:pPr>
      <w:r w:rsidRPr="004E3286">
        <w:rPr>
          <w:rFonts w:ascii="Times New Roman" w:hAnsi="Times New Roman"/>
        </w:rPr>
        <w:t xml:space="preserve">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  </w:t>
      </w:r>
    </w:p>
    <w:p w:rsidR="00015E10" w:rsidRPr="004E3286" w:rsidRDefault="00015E10">
      <w:pPr>
        <w:widowControl/>
        <w:spacing w:line="120" w:lineRule="auto"/>
        <w:rPr>
          <w:rFonts w:ascii="Times New Roman" w:hAnsi="Times New Roman"/>
        </w:rPr>
      </w:pPr>
    </w:p>
    <w:p w:rsidR="003E62C2" w:rsidRPr="004E3286" w:rsidRDefault="00015E10">
      <w:pPr>
        <w:widowControl/>
        <w:spacing w:line="480" w:lineRule="auto"/>
        <w:ind w:firstLine="720"/>
        <w:rPr>
          <w:rFonts w:ascii="Times New Roman" w:hAnsi="Times New Roman"/>
        </w:rPr>
      </w:pPr>
      <w:bookmarkStart w:id="1" w:name="QuickMark"/>
      <w:bookmarkEnd w:id="1"/>
      <w:r w:rsidRPr="004E3286">
        <w:rPr>
          <w:rFonts w:ascii="Times New Roman" w:hAnsi="Times New Roman"/>
        </w:rPr>
        <w:t xml:space="preserve">13.  </w:t>
      </w:r>
      <w:r w:rsidRPr="004E3286">
        <w:rPr>
          <w:rFonts w:ascii="Times New Roman" w:hAnsi="Times New Roman"/>
          <w:u w:val="single"/>
        </w:rPr>
        <w:t>Cost burden on the public.</w:t>
      </w:r>
      <w:r w:rsidRPr="004E3286">
        <w:rPr>
          <w:rFonts w:ascii="Times New Roman" w:hAnsi="Times New Roman"/>
        </w:rPr>
        <w:t xml:space="preserve">    </w:t>
      </w:r>
    </w:p>
    <w:p w:rsidR="00170C52" w:rsidRDefault="00170C52" w:rsidP="00170C52">
      <w:pPr>
        <w:widowControl/>
        <w:spacing w:line="480" w:lineRule="auto"/>
        <w:ind w:firstLine="720"/>
        <w:rPr>
          <w:rFonts w:ascii="Times New Roman" w:hAnsi="Times New Roman"/>
        </w:rPr>
      </w:pPr>
      <w:r>
        <w:rPr>
          <w:rFonts w:ascii="Times New Roman" w:hAnsi="Times New Roman"/>
        </w:rPr>
        <w:t xml:space="preserve">The cost burden calculation is based on the following assumptions: </w:t>
      </w:r>
    </w:p>
    <w:p w:rsidR="00170C52" w:rsidRDefault="00170C52" w:rsidP="00170C52">
      <w:pPr>
        <w:widowControl/>
        <w:numPr>
          <w:ilvl w:val="0"/>
          <w:numId w:val="2"/>
        </w:numPr>
        <w:rPr>
          <w:rFonts w:ascii="Times New Roman" w:hAnsi="Times New Roman"/>
        </w:rPr>
      </w:pPr>
      <w:r>
        <w:rPr>
          <w:rFonts w:ascii="Times New Roman" w:hAnsi="Times New Roman"/>
        </w:rPr>
        <w:t>Wage rates account for 70% of total labor costs, with the remaining 30% attributable to benefits costs.</w:t>
      </w:r>
      <w:r>
        <w:rPr>
          <w:rFonts w:ascii="Times New Roman" w:hAnsi="Times New Roman"/>
          <w:vertAlign w:val="superscript"/>
        </w:rPr>
        <w:footnoteReference w:id="3"/>
      </w:r>
      <w:r>
        <w:rPr>
          <w:rFonts w:ascii="Times New Roman" w:hAnsi="Times New Roman"/>
          <w:vertAlign w:val="superscript"/>
        </w:rPr>
        <w:t xml:space="preserve">  </w:t>
      </w:r>
    </w:p>
    <w:p w:rsidR="00170C52" w:rsidRDefault="00170C52" w:rsidP="00170C52">
      <w:pPr>
        <w:widowControl/>
        <w:ind w:left="720"/>
        <w:contextualSpacing/>
        <w:rPr>
          <w:rFonts w:ascii="Times New Roman" w:hAnsi="Times New Roman"/>
        </w:rPr>
      </w:pPr>
    </w:p>
    <w:p w:rsidR="00170C52" w:rsidRDefault="00170C52" w:rsidP="00170C52">
      <w:pPr>
        <w:widowControl/>
        <w:numPr>
          <w:ilvl w:val="0"/>
          <w:numId w:val="2"/>
        </w:numPr>
        <w:rPr>
          <w:rFonts w:ascii="Times New Roman" w:hAnsi="Times New Roman"/>
        </w:rPr>
      </w:pPr>
      <w:r>
        <w:rPr>
          <w:rFonts w:ascii="Times New Roman" w:hAnsi="Times New Roman"/>
        </w:rPr>
        <w:t>Outside consultant hours performed by a combination of professional lawyers (occupational code 23-1011 at a mean hourly wage rate of $63.46, $90.66 per hour including benefits) and actuaries (occupational code 15-2011 at a mean hourly wage rate of $51.80, $74.00 per hour including benefits).</w:t>
      </w:r>
      <w:r>
        <w:rPr>
          <w:rStyle w:val="FootnoteReference"/>
          <w:rFonts w:ascii="Times New Roman" w:hAnsi="Times New Roman"/>
          <w:vertAlign w:val="superscript"/>
        </w:rPr>
        <w:footnoteReference w:id="4"/>
      </w:r>
      <w:r>
        <w:rPr>
          <w:rFonts w:ascii="Times New Roman" w:hAnsi="Times New Roman"/>
        </w:rPr>
        <w:t xml:space="preserve">  Weighting these two rates equally results in a blended rate for professional consulting services of $82.33.</w:t>
      </w:r>
    </w:p>
    <w:p w:rsidR="00170C52" w:rsidRDefault="00170C52" w:rsidP="00170C52">
      <w:pPr>
        <w:pStyle w:val="ListParagraph"/>
        <w:rPr>
          <w:rFonts w:ascii="Times New Roman" w:hAnsi="Times New Roman"/>
        </w:rPr>
      </w:pPr>
    </w:p>
    <w:p w:rsidR="00170C52" w:rsidRDefault="00170C52" w:rsidP="00170C52">
      <w:pPr>
        <w:widowControl/>
        <w:numPr>
          <w:ilvl w:val="0"/>
          <w:numId w:val="2"/>
        </w:numPr>
        <w:rPr>
          <w:rFonts w:ascii="Times New Roman" w:hAnsi="Times New Roman"/>
        </w:rPr>
      </w:pPr>
      <w:r>
        <w:rPr>
          <w:rFonts w:ascii="Times New Roman" w:hAnsi="Times New Roman"/>
        </w:rPr>
        <w:t>Outside consultant hours performed by a compensation and benefits manager (occupational code 11-311, are at a mean hourly wage rate $53.87 per hour, $76.96 per hour including benefits).</w:t>
      </w:r>
      <w:r>
        <w:rPr>
          <w:rStyle w:val="FootnoteReference"/>
          <w:rFonts w:ascii="Times New Roman" w:hAnsi="Times New Roman"/>
          <w:vertAlign w:val="superscript"/>
        </w:rPr>
        <w:footnoteReference w:id="5"/>
      </w:r>
    </w:p>
    <w:p w:rsidR="00170C52" w:rsidRDefault="00170C52" w:rsidP="00170C52">
      <w:pPr>
        <w:pStyle w:val="ListParagraph"/>
        <w:rPr>
          <w:rFonts w:ascii="Times New Roman" w:hAnsi="Times New Roman"/>
        </w:rPr>
      </w:pPr>
    </w:p>
    <w:p w:rsidR="00170C52" w:rsidRDefault="00170C52" w:rsidP="00170C52">
      <w:pPr>
        <w:widowControl/>
        <w:numPr>
          <w:ilvl w:val="0"/>
          <w:numId w:val="2"/>
        </w:numPr>
        <w:rPr>
          <w:rFonts w:ascii="Times New Roman" w:hAnsi="Times New Roman"/>
        </w:rPr>
      </w:pPr>
      <w:r>
        <w:rPr>
          <w:rFonts w:ascii="Times New Roman" w:hAnsi="Times New Roman"/>
        </w:rPr>
        <w:t>Outside consultant hours performed by a legal clerical support staff (occupational code 23-2000, are at a mean hourly wage rate $25.02 per hour, $35.74 per hour including benefits).</w:t>
      </w:r>
      <w:r>
        <w:rPr>
          <w:rStyle w:val="FootnoteReference"/>
          <w:rFonts w:ascii="Times New Roman" w:hAnsi="Times New Roman"/>
          <w:vertAlign w:val="superscript"/>
        </w:rPr>
        <w:footnoteReference w:id="6"/>
      </w:r>
    </w:p>
    <w:p w:rsidR="00170C52" w:rsidRDefault="00170C52" w:rsidP="00F174C0">
      <w:pPr>
        <w:widowControl/>
        <w:spacing w:line="480" w:lineRule="auto"/>
        <w:ind w:firstLine="720"/>
        <w:rPr>
          <w:rFonts w:ascii="Times New Roman" w:hAnsi="Times New Roman"/>
        </w:rPr>
      </w:pPr>
    </w:p>
    <w:p w:rsidR="00F174C0" w:rsidRPr="004E3286" w:rsidRDefault="00F174C0" w:rsidP="00F174C0">
      <w:pPr>
        <w:widowControl/>
        <w:spacing w:line="480" w:lineRule="auto"/>
        <w:ind w:firstLine="720"/>
        <w:rPr>
          <w:rFonts w:ascii="Times New Roman" w:hAnsi="Times New Roman"/>
        </w:rPr>
      </w:pPr>
      <w:r w:rsidRPr="004E3286">
        <w:rPr>
          <w:rFonts w:ascii="Times New Roman" w:hAnsi="Times New Roman"/>
        </w:rPr>
        <w:t>PBGC estimates that the time required to prepare notices under the regulation is (1) for notices of insolvency, 1 hour of managerial time and 1 hour of professional time, (2) for first-</w:t>
      </w:r>
      <w:r w:rsidRPr="004E3286">
        <w:rPr>
          <w:rFonts w:ascii="Times New Roman" w:hAnsi="Times New Roman"/>
        </w:rPr>
        <w:lastRenderedPageBreak/>
        <w:t>year notices of insolvency benefit level, 58 hours and 55 minutes of managerial time and 1 hour of professional time, and (3) for subsequent-year notices of insolvency benefit level, 1 hour of professional time and 1 hour of managerial time.  PBGC further estimates that the clerical time required for distributing notices under the regulation (about 1 minute per distributee) is 22 hours and 3</w:t>
      </w:r>
      <w:r w:rsidR="009F3A57">
        <w:rPr>
          <w:rFonts w:ascii="Times New Roman" w:hAnsi="Times New Roman"/>
        </w:rPr>
        <w:t>0</w:t>
      </w:r>
      <w:r w:rsidRPr="004E3286">
        <w:rPr>
          <w:rFonts w:ascii="Times New Roman" w:hAnsi="Times New Roman"/>
        </w:rPr>
        <w:t xml:space="preserve"> minutes for notices of insolvency and first-year notices of insolvency benefit level (which would be issued together) and 22 hours and 3</w:t>
      </w:r>
      <w:r w:rsidR="009F3A57">
        <w:rPr>
          <w:rFonts w:ascii="Times New Roman" w:hAnsi="Times New Roman"/>
        </w:rPr>
        <w:t>0</w:t>
      </w:r>
      <w:r w:rsidRPr="004E3286">
        <w:rPr>
          <w:rFonts w:ascii="Times New Roman" w:hAnsi="Times New Roman"/>
        </w:rPr>
        <w:t xml:space="preserve"> minutes for subsequent-year notices of insolvency benefit level.  </w:t>
      </w:r>
    </w:p>
    <w:p w:rsidR="00F174C0" w:rsidRPr="004E3286" w:rsidRDefault="00F174C0" w:rsidP="00F174C0">
      <w:pPr>
        <w:widowControl/>
        <w:spacing w:line="480" w:lineRule="auto"/>
        <w:ind w:firstLine="720"/>
        <w:rPr>
          <w:rFonts w:ascii="Times New Roman" w:hAnsi="Times New Roman"/>
        </w:rPr>
      </w:pPr>
      <w:r w:rsidRPr="004E3286">
        <w:rPr>
          <w:rFonts w:ascii="Times New Roman" w:hAnsi="Times New Roman"/>
        </w:rPr>
        <w:t>Accordingly, PBGC estimates the average time required to prepare and distribute notices under the regulation each year at about 84 hours and 30 minutes for a plan filing for the first time (59 hours and 55 minutes of managerial time, 2 hours of professional time, and 22 hours and 33 minutes of clerical time) and about 24 hours and 30 minutes for a non</w:t>
      </w:r>
      <w:r w:rsidRPr="004E3286">
        <w:rPr>
          <w:rFonts w:ascii="Times New Roman" w:hAnsi="Times New Roman"/>
        </w:rPr>
        <w:noBreakHyphen/>
        <w:t>first</w:t>
      </w:r>
      <w:r w:rsidRPr="004E3286">
        <w:rPr>
          <w:rFonts w:ascii="Times New Roman" w:hAnsi="Times New Roman"/>
        </w:rPr>
        <w:noBreakHyphen/>
        <w:t>time filer (1 hour each of managerial and professional time and 22 hours and 3</w:t>
      </w:r>
      <w:r w:rsidR="009F3A57">
        <w:rPr>
          <w:rFonts w:ascii="Times New Roman" w:hAnsi="Times New Roman"/>
        </w:rPr>
        <w:t>0</w:t>
      </w:r>
      <w:r w:rsidRPr="004E3286">
        <w:rPr>
          <w:rFonts w:ascii="Times New Roman" w:hAnsi="Times New Roman"/>
        </w:rPr>
        <w:t xml:space="preserve"> minutes of clerical time).  </w:t>
      </w:r>
    </w:p>
    <w:p w:rsidR="00170C52" w:rsidRDefault="00F174C0" w:rsidP="00F174C0">
      <w:pPr>
        <w:widowControl/>
        <w:spacing w:line="480" w:lineRule="auto"/>
        <w:ind w:firstLine="720"/>
        <w:rPr>
          <w:rFonts w:ascii="Times New Roman" w:hAnsi="Times New Roman"/>
        </w:rPr>
      </w:pPr>
      <w:r w:rsidRPr="004E3286">
        <w:rPr>
          <w:rFonts w:ascii="Times New Roman" w:hAnsi="Times New Roman"/>
        </w:rPr>
        <w:t>Because PBGC assumes no first-time filers and only one non-first-time filer each year for the next three years, PBGC estimates that the total average annual time spent in preparing and distributing these notices will be 24 hours and 30 minutes (1 hour of managerial time, 1 hour of professional time, and 22 hours and 3</w:t>
      </w:r>
      <w:r w:rsidR="009F3A57">
        <w:rPr>
          <w:rFonts w:ascii="Times New Roman" w:hAnsi="Times New Roman"/>
        </w:rPr>
        <w:t>0</w:t>
      </w:r>
      <w:r w:rsidRPr="004E3286">
        <w:rPr>
          <w:rFonts w:ascii="Times New Roman" w:hAnsi="Times New Roman"/>
        </w:rPr>
        <w:t xml:space="preserve"> minutes of clerical time)</w:t>
      </w:r>
      <w:r w:rsidR="009F3A57">
        <w:rPr>
          <w:rFonts w:ascii="Times New Roman" w:hAnsi="Times New Roman"/>
        </w:rPr>
        <w:t xml:space="preserve"> at an annual cost of $963.44 ((1 x 76.96) + (1 x 82.33) + 22.5 x 35.74))</w:t>
      </w:r>
      <w:r w:rsidRPr="004E3286">
        <w:rPr>
          <w:rFonts w:ascii="Times New Roman" w:hAnsi="Times New Roman"/>
        </w:rPr>
        <w:t>.</w:t>
      </w:r>
      <w:r w:rsidR="00170C52">
        <w:rPr>
          <w:rFonts w:ascii="Times New Roman" w:hAnsi="Times New Roman"/>
        </w:rPr>
        <w:t xml:space="preserve">  </w:t>
      </w:r>
    </w:p>
    <w:p w:rsidR="00015E10" w:rsidRPr="004E3286" w:rsidRDefault="00015E10" w:rsidP="00F174C0">
      <w:pPr>
        <w:widowControl/>
        <w:spacing w:line="480" w:lineRule="auto"/>
        <w:ind w:firstLine="720"/>
        <w:rPr>
          <w:rFonts w:ascii="Times New Roman" w:hAnsi="Times New Roman"/>
        </w:rPr>
      </w:pPr>
      <w:r w:rsidRPr="004E3286">
        <w:rPr>
          <w:rFonts w:ascii="Times New Roman" w:hAnsi="Times New Roman"/>
        </w:rPr>
        <w:t xml:space="preserve">Postage </w:t>
      </w:r>
      <w:r w:rsidR="00E01745" w:rsidRPr="004E3286">
        <w:rPr>
          <w:rFonts w:ascii="Times New Roman" w:hAnsi="Times New Roman"/>
        </w:rPr>
        <w:t xml:space="preserve">and supplies are estimated at </w:t>
      </w:r>
      <w:r w:rsidR="0075403F" w:rsidRPr="004E3286">
        <w:rPr>
          <w:rFonts w:ascii="Times New Roman" w:hAnsi="Times New Roman"/>
        </w:rPr>
        <w:t>61</w:t>
      </w:r>
      <w:r w:rsidRPr="004E3286">
        <w:rPr>
          <w:rFonts w:ascii="Times New Roman" w:hAnsi="Times New Roman"/>
        </w:rPr>
        <w:t xml:space="preserve"> cents per distributee for a single notice an</w:t>
      </w:r>
      <w:r w:rsidR="00E01745" w:rsidRPr="004E3286">
        <w:rPr>
          <w:rFonts w:ascii="Times New Roman" w:hAnsi="Times New Roman"/>
        </w:rPr>
        <w:t>d 7</w:t>
      </w:r>
      <w:r w:rsidR="0075403F" w:rsidRPr="004E3286">
        <w:rPr>
          <w:rFonts w:ascii="Times New Roman" w:hAnsi="Times New Roman"/>
        </w:rPr>
        <w:t>8</w:t>
      </w:r>
      <w:r w:rsidRPr="004E3286">
        <w:rPr>
          <w:rFonts w:ascii="Times New Roman" w:hAnsi="Times New Roman"/>
        </w:rPr>
        <w:t xml:space="preserve"> cents per distributee for a notice of insolvency and a first-year notice of insolvency benefit level that are sent together.  As estimated in item 12, the </w:t>
      </w:r>
      <w:r w:rsidR="00245731" w:rsidRPr="004E3286">
        <w:rPr>
          <w:rFonts w:ascii="Times New Roman" w:hAnsi="Times New Roman"/>
        </w:rPr>
        <w:t>notices are distributed to 1,316</w:t>
      </w:r>
      <w:r w:rsidRPr="004E3286">
        <w:rPr>
          <w:rFonts w:ascii="Times New Roman" w:hAnsi="Times New Roman"/>
        </w:rPr>
        <w:t xml:space="preserve"> participants, </w:t>
      </w:r>
      <w:r w:rsidRPr="004E3286">
        <w:rPr>
          <w:rFonts w:ascii="Times New Roman" w:hAnsi="Times New Roman"/>
        </w:rPr>
        <w:lastRenderedPageBreak/>
        <w:t>35 employers, and 2 unions.  Thus, the estimated annual cost of postage and supplies for distributing notices unde</w:t>
      </w:r>
      <w:r w:rsidR="00245731" w:rsidRPr="004E3286">
        <w:rPr>
          <w:rFonts w:ascii="Times New Roman" w:hAnsi="Times New Roman"/>
        </w:rPr>
        <w:t>r the regulation is about $</w:t>
      </w:r>
      <w:r w:rsidR="0075403F" w:rsidRPr="004E3286">
        <w:rPr>
          <w:rFonts w:ascii="Times New Roman" w:hAnsi="Times New Roman"/>
        </w:rPr>
        <w:t>82</w:t>
      </w:r>
      <w:r w:rsidR="00245731" w:rsidRPr="004E3286">
        <w:rPr>
          <w:rFonts w:ascii="Times New Roman" w:hAnsi="Times New Roman"/>
        </w:rPr>
        <w:t>5</w:t>
      </w:r>
      <w:r w:rsidR="00343667" w:rsidRPr="004E3286">
        <w:rPr>
          <w:rFonts w:ascii="Times New Roman" w:hAnsi="Times New Roman"/>
        </w:rPr>
        <w:t>.</w:t>
      </w:r>
      <w:r w:rsidRPr="004E3286">
        <w:rPr>
          <w:rFonts w:ascii="Times New Roman" w:hAnsi="Times New Roman"/>
        </w:rPr>
        <w:t xml:space="preserve">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Accordingly, the estimated annual cost bu</w:t>
      </w:r>
      <w:r w:rsidR="00245731" w:rsidRPr="004E3286">
        <w:rPr>
          <w:rFonts w:ascii="Times New Roman" w:hAnsi="Times New Roman"/>
        </w:rPr>
        <w:t>rden of the regulation is $</w:t>
      </w:r>
      <w:r w:rsidR="00677DFF">
        <w:rPr>
          <w:rFonts w:ascii="Times New Roman" w:hAnsi="Times New Roman"/>
        </w:rPr>
        <w:t>1788.44 ($963.44 + $825)</w:t>
      </w:r>
      <w:r w:rsidRPr="004E3286">
        <w:rPr>
          <w:rFonts w:ascii="Times New Roman" w:hAnsi="Times New Roman"/>
        </w:rPr>
        <w:t xml:space="preserve">.  </w:t>
      </w:r>
    </w:p>
    <w:p w:rsidR="00015E10" w:rsidRPr="004E3286" w:rsidRDefault="00015E10">
      <w:pPr>
        <w:widowControl/>
        <w:spacing w:line="120" w:lineRule="auto"/>
        <w:rPr>
          <w:rFonts w:ascii="Times New Roman" w:hAnsi="Times New Roman"/>
        </w:rPr>
      </w:pPr>
    </w:p>
    <w:p w:rsidR="00015E10" w:rsidRPr="004E3286" w:rsidRDefault="00015E10" w:rsidP="00931B46">
      <w:pPr>
        <w:widowControl/>
        <w:autoSpaceDE/>
        <w:autoSpaceDN/>
        <w:adjustRightInd/>
        <w:spacing w:line="480" w:lineRule="auto"/>
        <w:rPr>
          <w:rFonts w:ascii="Times New Roman" w:hAnsi="Times New Roman"/>
        </w:rPr>
      </w:pPr>
      <w:r w:rsidRPr="004E3286">
        <w:rPr>
          <w:rFonts w:ascii="Times New Roman" w:hAnsi="Times New Roman"/>
        </w:rPr>
        <w:t xml:space="preserve">14.  </w:t>
      </w:r>
      <w:r w:rsidRPr="004E3286">
        <w:rPr>
          <w:rFonts w:ascii="Times New Roman" w:hAnsi="Times New Roman"/>
          <w:u w:val="single"/>
        </w:rPr>
        <w:t>Cost to the government.</w:t>
      </w:r>
      <w:r w:rsidRPr="004E3286">
        <w:rPr>
          <w:rFonts w:ascii="Times New Roman" w:hAnsi="Times New Roman"/>
        </w:rPr>
        <w:t xml:space="preserve">  </w:t>
      </w:r>
      <w:r w:rsidR="00677DFF" w:rsidRPr="004E3286">
        <w:rPr>
          <w:rFonts w:ascii="Times New Roman" w:hAnsi="Times New Roman"/>
        </w:rPr>
        <w:t>As noted in item 12, PBGC estimates that it will receive a submission from one plan per year under the regulation.</w:t>
      </w:r>
      <w:r w:rsidR="00677DFF">
        <w:rPr>
          <w:rFonts w:ascii="Times New Roman" w:hAnsi="Times New Roman"/>
        </w:rPr>
        <w:t xml:space="preserve">  </w:t>
      </w:r>
      <w:r w:rsidR="007E45C0" w:rsidRPr="004E3286">
        <w:rPr>
          <w:rFonts w:ascii="Times New Roman" w:hAnsi="Times New Roman"/>
        </w:rPr>
        <w:t>PBGC</w:t>
      </w:r>
      <w:r w:rsidR="00FF2E71">
        <w:rPr>
          <w:rFonts w:ascii="Times New Roman" w:hAnsi="Times New Roman"/>
        </w:rPr>
        <w:t>’</w:t>
      </w:r>
      <w:r w:rsidRPr="00CC630E">
        <w:rPr>
          <w:rFonts w:ascii="Times New Roman" w:hAnsi="Times New Roman"/>
        </w:rPr>
        <w:t xml:space="preserve">s </w:t>
      </w:r>
      <w:r w:rsidR="00677DFF" w:rsidRPr="00CC630E">
        <w:rPr>
          <w:rFonts w:ascii="Times New Roman" w:hAnsi="Times New Roman"/>
        </w:rPr>
        <w:t>estimate</w:t>
      </w:r>
      <w:r w:rsidR="00677DFF">
        <w:rPr>
          <w:rFonts w:ascii="Times New Roman" w:hAnsi="Times New Roman"/>
        </w:rPr>
        <w:t>s</w:t>
      </w:r>
      <w:r w:rsidR="00677DFF" w:rsidRPr="00CC630E">
        <w:rPr>
          <w:rFonts w:ascii="Times New Roman" w:hAnsi="Times New Roman"/>
        </w:rPr>
        <w:t xml:space="preserve"> </w:t>
      </w:r>
      <w:r w:rsidR="00677DFF">
        <w:rPr>
          <w:rFonts w:ascii="Times New Roman" w:hAnsi="Times New Roman"/>
        </w:rPr>
        <w:t xml:space="preserve">that it will take 8 hours of staff time to </w:t>
      </w:r>
      <w:r w:rsidRPr="00CC630E">
        <w:rPr>
          <w:rFonts w:ascii="Times New Roman" w:hAnsi="Times New Roman"/>
        </w:rPr>
        <w:t>process one submission under the regulation (either a notice of insolvency and a notice of insolvency benefit level from a plan filing for the first time or a notice of insolvency be</w:t>
      </w:r>
      <w:r w:rsidR="00BB005A" w:rsidRPr="004E3286">
        <w:rPr>
          <w:rFonts w:ascii="Times New Roman" w:hAnsi="Times New Roman"/>
        </w:rPr>
        <w:t>nefit level alone)</w:t>
      </w:r>
      <w:r w:rsidR="00677DFF">
        <w:rPr>
          <w:rFonts w:ascii="Times New Roman" w:hAnsi="Times New Roman"/>
        </w:rPr>
        <w:t xml:space="preserve"> and </w:t>
      </w:r>
      <w:r w:rsidR="00677DFF" w:rsidRPr="00790B10">
        <w:rPr>
          <w:rFonts w:ascii="Times New Roman" w:hAnsi="Times New Roman"/>
        </w:rPr>
        <w:t>performed by a</w:t>
      </w:r>
      <w:r w:rsidR="00677DFF">
        <w:rPr>
          <w:rFonts w:ascii="Times New Roman" w:hAnsi="Times New Roman"/>
        </w:rPr>
        <w:t xml:space="preserve"> combination of attorneys and actuaries</w:t>
      </w:r>
      <w:r w:rsidR="00677DFF" w:rsidRPr="00790B10">
        <w:rPr>
          <w:rFonts w:ascii="Times New Roman" w:hAnsi="Times New Roman"/>
        </w:rPr>
        <w:t xml:space="preserve"> (</w:t>
      </w:r>
      <w:r w:rsidR="00677DFF">
        <w:rPr>
          <w:rFonts w:ascii="Times New Roman" w:hAnsi="Times New Roman"/>
        </w:rPr>
        <w:t xml:space="preserve">range of salary </w:t>
      </w:r>
      <w:r w:rsidR="00677DFF" w:rsidRPr="00790B10">
        <w:rPr>
          <w:rFonts w:ascii="Times New Roman" w:hAnsi="Times New Roman"/>
        </w:rPr>
        <w:t>GS 11-14</w:t>
      </w:r>
      <w:r w:rsidR="00677DFF">
        <w:rPr>
          <w:rFonts w:ascii="Times New Roman" w:hAnsi="Times New Roman"/>
        </w:rPr>
        <w:t>, average GS 13 step 5</w:t>
      </w:r>
      <w:r w:rsidR="00677DFF" w:rsidRPr="00790B10">
        <w:rPr>
          <w:rFonts w:ascii="Times New Roman" w:hAnsi="Times New Roman"/>
        </w:rPr>
        <w:t>)</w:t>
      </w:r>
      <w:r w:rsidR="00677DFF" w:rsidRPr="00A604A9">
        <w:rPr>
          <w:rFonts w:ascii="Times New Roman" w:hAnsi="Times New Roman"/>
        </w:rPr>
        <w:t xml:space="preserve">. </w:t>
      </w:r>
      <w:r w:rsidR="00415739">
        <w:rPr>
          <w:rFonts w:ascii="Times New Roman" w:hAnsi="Times New Roman"/>
        </w:rPr>
        <w:t xml:space="preserve"> </w:t>
      </w:r>
      <w:proofErr w:type="gramStart"/>
      <w:r w:rsidR="00415739">
        <w:rPr>
          <w:rFonts w:ascii="Times New Roman" w:hAnsi="Times New Roman"/>
        </w:rPr>
        <w:t>Assuming a blended rate of $69.76 per hour ($48.83 attributable to wages</w:t>
      </w:r>
      <w:r w:rsidR="00415739">
        <w:rPr>
          <w:rFonts w:ascii="Times New Roman" w:hAnsi="Times New Roman"/>
          <w:vertAlign w:val="superscript"/>
        </w:rPr>
        <w:footnoteReference w:id="7"/>
      </w:r>
      <w:r w:rsidR="00415739">
        <w:rPr>
          <w:rFonts w:ascii="Times New Roman" w:hAnsi="Times New Roman"/>
        </w:rPr>
        <w:t xml:space="preserve"> and $20.93 attributable to benefits)</w:t>
      </w:r>
      <w:r w:rsidR="00677DFF" w:rsidRPr="00AD0449">
        <w:rPr>
          <w:rFonts w:ascii="Times New Roman" w:hAnsi="Times New Roman"/>
        </w:rPr>
        <w:t xml:space="preserve">, </w:t>
      </w:r>
      <w:r w:rsidR="00677DFF">
        <w:rPr>
          <w:rFonts w:ascii="Times New Roman" w:hAnsi="Times New Roman"/>
        </w:rPr>
        <w:t>PBGC estimates that t</w:t>
      </w:r>
      <w:r w:rsidR="00677DFF" w:rsidRPr="00E928F3">
        <w:rPr>
          <w:rFonts w:ascii="Times New Roman" w:hAnsi="Times New Roman"/>
        </w:rPr>
        <w:t>he total annual cost to the government is $</w:t>
      </w:r>
      <w:r w:rsidR="00415739">
        <w:rPr>
          <w:rFonts w:ascii="Times New Roman" w:hAnsi="Times New Roman"/>
        </w:rPr>
        <w:t>558.08</w:t>
      </w:r>
      <w:r w:rsidR="00677DFF" w:rsidRPr="00E928F3">
        <w:rPr>
          <w:rFonts w:ascii="Times New Roman" w:hAnsi="Times New Roman"/>
        </w:rPr>
        <w:t xml:space="preserve"> (</w:t>
      </w:r>
      <w:r w:rsidR="00677DFF">
        <w:rPr>
          <w:rFonts w:ascii="Times New Roman" w:hAnsi="Times New Roman"/>
        </w:rPr>
        <w:t>1 request</w:t>
      </w:r>
      <w:r w:rsidR="00677DFF" w:rsidRPr="00E928F3">
        <w:rPr>
          <w:rFonts w:ascii="Times New Roman" w:hAnsi="Times New Roman"/>
        </w:rPr>
        <w:t xml:space="preserve"> x </w:t>
      </w:r>
      <w:r w:rsidR="00677DFF">
        <w:rPr>
          <w:rFonts w:ascii="Times New Roman" w:hAnsi="Times New Roman"/>
        </w:rPr>
        <w:t>8</w:t>
      </w:r>
      <w:r w:rsidR="00677DFF" w:rsidRPr="00E928F3">
        <w:rPr>
          <w:rFonts w:ascii="Times New Roman" w:hAnsi="Times New Roman"/>
        </w:rPr>
        <w:t xml:space="preserve"> hours x $</w:t>
      </w:r>
      <w:r w:rsidR="00677DFF">
        <w:rPr>
          <w:rFonts w:ascii="Times New Roman" w:hAnsi="Times New Roman"/>
        </w:rPr>
        <w:t xml:space="preserve">80 </w:t>
      </w:r>
      <w:r w:rsidR="00677DFF" w:rsidRPr="00E928F3">
        <w:rPr>
          <w:rFonts w:ascii="Times New Roman" w:hAnsi="Times New Roman"/>
        </w:rPr>
        <w:t>per hour</w:t>
      </w:r>
      <w:r w:rsidR="00677DFF">
        <w:rPr>
          <w:rFonts w:ascii="Times New Roman" w:hAnsi="Times New Roman"/>
        </w:rPr>
        <w:t>)</w:t>
      </w:r>
      <w:r w:rsidRPr="004E3286">
        <w:rPr>
          <w:rFonts w:ascii="Times New Roman" w:hAnsi="Times New Roman"/>
        </w:rPr>
        <w:t>.</w:t>
      </w:r>
      <w:proofErr w:type="gramEnd"/>
      <w:r w:rsidRPr="004E3286">
        <w:rPr>
          <w:rFonts w:ascii="Times New Roman" w:hAnsi="Times New Roman"/>
        </w:rPr>
        <w:t xml:space="preserve">      </w:t>
      </w:r>
    </w:p>
    <w:p w:rsidR="00015E10" w:rsidRPr="004E3286" w:rsidRDefault="00015E10">
      <w:pPr>
        <w:widowControl/>
        <w:spacing w:line="120" w:lineRule="auto"/>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15.  </w:t>
      </w:r>
      <w:r w:rsidRPr="004E3286">
        <w:rPr>
          <w:rFonts w:ascii="Times New Roman" w:hAnsi="Times New Roman"/>
          <w:u w:val="single"/>
        </w:rPr>
        <w:t>Explanation of burden changes.</w:t>
      </w:r>
      <w:r w:rsidRPr="004E3286">
        <w:rPr>
          <w:rFonts w:ascii="Times New Roman" w:hAnsi="Times New Roman"/>
        </w:rPr>
        <w:t xml:space="preserve">  </w:t>
      </w:r>
      <w:r w:rsidR="00677DFF" w:rsidRPr="00B168F2">
        <w:rPr>
          <w:rFonts w:ascii="Times New Roman" w:hAnsi="Times New Roman"/>
        </w:rPr>
        <w:t>The hour burden ha</w:t>
      </w:r>
      <w:r w:rsidR="00677DFF">
        <w:rPr>
          <w:rFonts w:ascii="Times New Roman" w:hAnsi="Times New Roman"/>
        </w:rPr>
        <w:t>s</w:t>
      </w:r>
      <w:r w:rsidR="00677DFF" w:rsidRPr="00B168F2">
        <w:rPr>
          <w:rFonts w:ascii="Times New Roman" w:hAnsi="Times New Roman"/>
        </w:rPr>
        <w:t xml:space="preserve"> not changed</w:t>
      </w:r>
      <w:r w:rsidR="00677DFF">
        <w:rPr>
          <w:rFonts w:ascii="Times New Roman" w:hAnsi="Times New Roman"/>
        </w:rPr>
        <w:t xml:space="preserve"> from the current inventory</w:t>
      </w:r>
      <w:r w:rsidR="00677DFF" w:rsidRPr="00B168F2">
        <w:rPr>
          <w:rFonts w:ascii="Times New Roman" w:hAnsi="Times New Roman"/>
        </w:rPr>
        <w:t>.</w:t>
      </w:r>
      <w:r w:rsidR="00677DFF">
        <w:rPr>
          <w:rFonts w:ascii="Times New Roman" w:hAnsi="Times New Roman"/>
        </w:rPr>
        <w:t xml:space="preserve">  The cost burden has decreased from $2,734 to $1,788.44, due to PBGC’s use of different assumptions for estimating costs.</w:t>
      </w:r>
    </w:p>
    <w:p w:rsidR="00015E10" w:rsidRPr="004E3286" w:rsidRDefault="00015E10">
      <w:pPr>
        <w:widowControl/>
        <w:spacing w:line="120" w:lineRule="auto"/>
        <w:rPr>
          <w:rFonts w:ascii="Times New Roman" w:hAnsi="Times New Roman"/>
        </w:rPr>
      </w:pPr>
    </w:p>
    <w:p w:rsidR="00616685" w:rsidRPr="004E3286" w:rsidRDefault="00015E10">
      <w:pPr>
        <w:widowControl/>
        <w:spacing w:line="480" w:lineRule="auto"/>
        <w:ind w:firstLine="720"/>
        <w:rPr>
          <w:rFonts w:ascii="Times New Roman" w:hAnsi="Times New Roman"/>
        </w:rPr>
      </w:pPr>
      <w:r w:rsidRPr="004E3286">
        <w:rPr>
          <w:rFonts w:ascii="Times New Roman" w:hAnsi="Times New Roman"/>
        </w:rPr>
        <w:t xml:space="preserve">16.  </w:t>
      </w:r>
      <w:r w:rsidRPr="004E3286">
        <w:rPr>
          <w:rFonts w:ascii="Times New Roman" w:hAnsi="Times New Roman"/>
          <w:u w:val="single"/>
        </w:rPr>
        <w:t>Publication plans.</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does not intend to publish the results of this collection of information. </w:t>
      </w: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lastRenderedPageBreak/>
        <w:t xml:space="preserve">17.  </w:t>
      </w:r>
      <w:r w:rsidRPr="004E3286">
        <w:rPr>
          <w:rFonts w:ascii="Times New Roman" w:hAnsi="Times New Roman"/>
          <w:u w:val="single"/>
        </w:rPr>
        <w:t>Display of expiration date.</w:t>
      </w:r>
      <w:r w:rsidRPr="004E3286">
        <w:rPr>
          <w:rFonts w:ascii="Times New Roman" w:hAnsi="Times New Roman"/>
        </w:rPr>
        <w:t xml:space="preserve">  </w:t>
      </w:r>
      <w:r w:rsidR="007E45C0" w:rsidRPr="004E3286">
        <w:rPr>
          <w:rFonts w:ascii="Times New Roman" w:hAnsi="Times New Roman"/>
        </w:rPr>
        <w:t>PBGC</w:t>
      </w:r>
      <w:r w:rsidRPr="004E3286">
        <w:rPr>
          <w:rFonts w:ascii="Times New Roman" w:hAnsi="Times New Roman"/>
        </w:rPr>
        <w:t xml:space="preserve"> is not seeking approval to not display the expiration date for OMB approval of this information collection.  </w:t>
      </w:r>
    </w:p>
    <w:p w:rsidR="00015E10" w:rsidRPr="004E3286" w:rsidRDefault="00015E10">
      <w:pPr>
        <w:widowControl/>
        <w:spacing w:line="120" w:lineRule="auto"/>
        <w:rPr>
          <w:rFonts w:ascii="Times New Roman" w:hAnsi="Times New Roman"/>
        </w:rPr>
      </w:pPr>
    </w:p>
    <w:p w:rsidR="00015E10" w:rsidRPr="004E3286" w:rsidRDefault="00015E10">
      <w:pPr>
        <w:widowControl/>
        <w:spacing w:line="480" w:lineRule="auto"/>
        <w:ind w:firstLine="720"/>
        <w:rPr>
          <w:rFonts w:ascii="Times New Roman" w:hAnsi="Times New Roman"/>
        </w:rPr>
      </w:pPr>
      <w:r w:rsidRPr="004E3286">
        <w:rPr>
          <w:rFonts w:ascii="Times New Roman" w:hAnsi="Times New Roman"/>
        </w:rPr>
        <w:t xml:space="preserve">18.  </w:t>
      </w:r>
      <w:r w:rsidRPr="004E3286">
        <w:rPr>
          <w:rFonts w:ascii="Times New Roman" w:hAnsi="Times New Roman"/>
          <w:u w:val="single"/>
        </w:rPr>
        <w:t>Exceptions to certification statement.</w:t>
      </w:r>
      <w:r w:rsidRPr="004E3286">
        <w:rPr>
          <w:rFonts w:ascii="Times New Roman" w:hAnsi="Times New Roman"/>
        </w:rPr>
        <w:t xml:space="preserve">  There are no exceptions to the certification statement.  </w:t>
      </w:r>
    </w:p>
    <w:p w:rsidR="00015E10" w:rsidRPr="004E3286" w:rsidRDefault="00015E10">
      <w:pPr>
        <w:widowControl/>
        <w:spacing w:line="480" w:lineRule="auto"/>
        <w:rPr>
          <w:rFonts w:ascii="Times New Roman" w:hAnsi="Times New Roman"/>
        </w:rPr>
      </w:pPr>
    </w:p>
    <w:sectPr w:rsidR="00015E10" w:rsidRPr="004E3286" w:rsidSect="00F41C90">
      <w:headerReference w:type="default" r:id="rId8"/>
      <w:footerReference w:type="default" r:id="rId9"/>
      <w:type w:val="continuous"/>
      <w:pgSz w:w="12240" w:h="15840"/>
      <w:pgMar w:top="1440" w:right="1440" w:bottom="1440" w:left="1440" w:header="1008" w:footer="144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C74" w:rsidRDefault="00B70C74">
      <w:r>
        <w:separator/>
      </w:r>
    </w:p>
  </w:endnote>
  <w:endnote w:type="continuationSeparator" w:id="0">
    <w:p w:rsidR="00B70C74" w:rsidRDefault="00B70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hruti">
    <w:panose1 w:val="020B0502040204020203"/>
    <w:charset w:val="00"/>
    <w:family w:val="swiss"/>
    <w:pitch w:val="variable"/>
    <w:sig w:usb0="0004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2F7B" w:rsidRPr="00F41C90" w:rsidRDefault="00562F7B">
    <w:pPr>
      <w:pStyle w:val="Footer"/>
      <w:jc w:val="center"/>
      <w:rPr>
        <w:rFonts w:ascii="Times New Roman" w:hAnsi="Times New Roman"/>
      </w:rPr>
    </w:pPr>
    <w:r w:rsidRPr="00F41C90">
      <w:rPr>
        <w:rFonts w:ascii="Times New Roman" w:hAnsi="Times New Roman"/>
      </w:rPr>
      <w:fldChar w:fldCharType="begin"/>
    </w:r>
    <w:r w:rsidRPr="00F41C90">
      <w:rPr>
        <w:rFonts w:ascii="Times New Roman" w:hAnsi="Times New Roman"/>
      </w:rPr>
      <w:instrText xml:space="preserve"> PAGE   \* MERGEFORMAT </w:instrText>
    </w:r>
    <w:r w:rsidRPr="00F41C90">
      <w:rPr>
        <w:rFonts w:ascii="Times New Roman" w:hAnsi="Times New Roman"/>
      </w:rPr>
      <w:fldChar w:fldCharType="separate"/>
    </w:r>
    <w:r w:rsidR="00F34E5B">
      <w:rPr>
        <w:rFonts w:ascii="Times New Roman" w:hAnsi="Times New Roman"/>
        <w:noProof/>
      </w:rPr>
      <w:t>8</w:t>
    </w:r>
    <w:r w:rsidRPr="00F41C90">
      <w:rPr>
        <w:rFonts w:ascii="Times New Roman" w:hAnsi="Times New Roman"/>
      </w:rPr>
      <w:fldChar w:fldCharType="end"/>
    </w:r>
  </w:p>
  <w:p w:rsidR="00562F7B" w:rsidRDefault="00562F7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C74" w:rsidRDefault="00B70C74">
      <w:r>
        <w:separator/>
      </w:r>
    </w:p>
  </w:footnote>
  <w:footnote w:type="continuationSeparator" w:id="0">
    <w:p w:rsidR="00B70C74" w:rsidRDefault="00B70C74">
      <w:r>
        <w:continuationSeparator/>
      </w:r>
    </w:p>
  </w:footnote>
  <w:footnote w:id="1">
    <w:p w:rsidR="00B60E62" w:rsidRPr="00785CC9" w:rsidRDefault="00B60E62" w:rsidP="00B60E62">
      <w:pPr>
        <w:pStyle w:val="FootnoteText"/>
        <w:rPr>
          <w:rFonts w:ascii="Times New Roman" w:hAnsi="Times New Roman"/>
        </w:rPr>
      </w:pPr>
      <w:r w:rsidRPr="00785CC9">
        <w:rPr>
          <w:rStyle w:val="FootnoteReference"/>
          <w:rFonts w:ascii="Times New Roman" w:hAnsi="Times New Roman"/>
        </w:rPr>
        <w:footnoteRef/>
      </w:r>
      <w:r w:rsidRPr="00785CC9">
        <w:rPr>
          <w:rFonts w:ascii="Times New Roman" w:hAnsi="Times New Roman"/>
        </w:rPr>
        <w:t xml:space="preserve"> </w:t>
      </w:r>
      <w:hyperlink r:id="rId1" w:history="1">
        <w:r w:rsidRPr="00785CC9">
          <w:rPr>
            <w:rStyle w:val="Hyperlink"/>
            <w:rFonts w:ascii="Times New Roman" w:hAnsi="Times New Roman"/>
          </w:rPr>
          <w:t>http://www.bls.gov/news.release/ecec.nr0.htm</w:t>
        </w:r>
      </w:hyperlink>
      <w:r w:rsidRPr="00785CC9">
        <w:rPr>
          <w:rFonts w:ascii="Times New Roman" w:hAnsi="Times New Roman"/>
          <w:color w:val="000000"/>
        </w:rPr>
        <w:t xml:space="preserve"> (see first paragraph).</w:t>
      </w:r>
    </w:p>
  </w:footnote>
  <w:footnote w:id="2">
    <w:p w:rsidR="00B60E62" w:rsidRPr="00B92327" w:rsidRDefault="00B60E62" w:rsidP="00B60E62">
      <w:pPr>
        <w:pStyle w:val="FootnoteText"/>
        <w:rPr>
          <w:rFonts w:ascii="Times New Roman" w:hAnsi="Times New Roman"/>
        </w:rPr>
      </w:pPr>
      <w:r w:rsidRPr="00B92327">
        <w:rPr>
          <w:rStyle w:val="FootnoteReference"/>
          <w:rFonts w:ascii="Times New Roman" w:hAnsi="Times New Roman"/>
        </w:rPr>
        <w:footnoteRef/>
      </w:r>
      <w:r w:rsidRPr="00B92327">
        <w:rPr>
          <w:rFonts w:ascii="Times New Roman" w:hAnsi="Times New Roman"/>
        </w:rPr>
        <w:t xml:space="preserve"> </w:t>
      </w:r>
      <w:hyperlink r:id="rId2" w:history="1">
        <w:r w:rsidRPr="00B92327">
          <w:rPr>
            <w:rStyle w:val="Hyperlink"/>
            <w:rFonts w:ascii="Times New Roman" w:hAnsi="Times New Roman"/>
          </w:rPr>
          <w:t>http://www.bls.gov/oes/current/oes113111.htm</w:t>
        </w:r>
      </w:hyperlink>
      <w:r w:rsidRPr="00B92327">
        <w:rPr>
          <w:rFonts w:ascii="Times New Roman" w:hAnsi="Times New Roman"/>
        </w:rPr>
        <w:t xml:space="preserve">. </w:t>
      </w:r>
    </w:p>
  </w:footnote>
  <w:footnote w:id="3">
    <w:p w:rsidR="00170C52" w:rsidRDefault="00170C52" w:rsidP="00170C52">
      <w:pPr>
        <w:pStyle w:val="FootnoteText"/>
      </w:pPr>
      <w:r>
        <w:rPr>
          <w:rStyle w:val="FootnoteReference"/>
          <w:vertAlign w:val="superscript"/>
        </w:rPr>
        <w:footnoteRef/>
      </w:r>
      <w:r>
        <w:rPr>
          <w:vertAlign w:val="superscript"/>
        </w:rPr>
        <w:t xml:space="preserve"> </w:t>
      </w:r>
      <w:hyperlink r:id="rId3" w:history="1">
        <w:r>
          <w:rPr>
            <w:rStyle w:val="Hyperlink"/>
            <w:rFonts w:ascii="Times New Roman" w:hAnsi="Times New Roman"/>
          </w:rPr>
          <w:t>http://www.bls.gov/news.release/ecec.nr0.htm</w:t>
        </w:r>
      </w:hyperlink>
      <w:r>
        <w:rPr>
          <w:rFonts w:ascii="Times New Roman" w:hAnsi="Times New Roman"/>
          <w:color w:val="000000"/>
        </w:rPr>
        <w:t xml:space="preserve"> (see first paragraph).</w:t>
      </w:r>
    </w:p>
  </w:footnote>
  <w:footnote w:id="4">
    <w:p w:rsidR="00170C52" w:rsidRDefault="00170C52" w:rsidP="00170C52">
      <w:pPr>
        <w:pStyle w:val="FootnoteText"/>
        <w:rPr>
          <w:rFonts w:ascii="Times New Roman" w:hAnsi="Times New Roman"/>
        </w:rPr>
      </w:pPr>
      <w:r>
        <w:rPr>
          <w:rStyle w:val="FootnoteReference"/>
        </w:rPr>
        <w:footnoteRef/>
      </w:r>
      <w:r>
        <w:rPr>
          <w:rFonts w:ascii="Times New Roman" w:hAnsi="Times New Roman"/>
        </w:rPr>
        <w:t xml:space="preserve">  </w:t>
      </w:r>
      <w:hyperlink r:id="rId4" w:history="1">
        <w:r>
          <w:rPr>
            <w:rStyle w:val="Hyperlink"/>
            <w:rFonts w:ascii="Times New Roman" w:hAnsi="Times New Roman"/>
          </w:rPr>
          <w:t>http://www.bls.gov/oes/current/oes231011.htm</w:t>
        </w:r>
      </w:hyperlink>
      <w:r>
        <w:rPr>
          <w:rFonts w:ascii="Times New Roman" w:hAnsi="Times New Roman"/>
        </w:rPr>
        <w:t xml:space="preserve"> and http://www.bls.gov/oes/current/oes152011.htm</w:t>
      </w:r>
    </w:p>
  </w:footnote>
  <w:footnote w:id="5">
    <w:p w:rsidR="00170C52" w:rsidRDefault="00170C52" w:rsidP="00170C52">
      <w:pPr>
        <w:pStyle w:val="FootnoteText"/>
        <w:rPr>
          <w:rFonts w:ascii="Times New Roman" w:hAnsi="Times New Roman"/>
        </w:rPr>
      </w:pPr>
      <w:r>
        <w:rPr>
          <w:rStyle w:val="FootnoteReference"/>
        </w:rPr>
        <w:footnoteRef/>
      </w:r>
      <w:r>
        <w:rPr>
          <w:rFonts w:ascii="Times New Roman" w:hAnsi="Times New Roman"/>
        </w:rPr>
        <w:t xml:space="preserve"> http://www.bls.gov/oes/current/oes113111.htm</w:t>
      </w:r>
    </w:p>
  </w:footnote>
  <w:footnote w:id="6">
    <w:p w:rsidR="00170C52" w:rsidRDefault="00170C52" w:rsidP="00170C52">
      <w:pPr>
        <w:pStyle w:val="FootnoteText"/>
        <w:rPr>
          <w:rFonts w:ascii="Times New Roman" w:hAnsi="Times New Roman"/>
        </w:rPr>
      </w:pPr>
      <w:r>
        <w:rPr>
          <w:rStyle w:val="FootnoteReference"/>
        </w:rPr>
        <w:footnoteRef/>
      </w:r>
      <w:r>
        <w:rPr>
          <w:rFonts w:ascii="Times New Roman" w:hAnsi="Times New Roman"/>
        </w:rPr>
        <w:t xml:space="preserve"> </w:t>
      </w:r>
      <w:hyperlink r:id="rId5" w:anchor="23-0000" w:history="1">
        <w:r>
          <w:rPr>
            <w:rStyle w:val="Hyperlink"/>
            <w:rFonts w:ascii="Times New Roman" w:hAnsi="Times New Roman"/>
          </w:rPr>
          <w:t>http://www.bls.gov/oes/current/oes_nat.htm#23-0000</w:t>
        </w:r>
      </w:hyperlink>
      <w:r>
        <w:rPr>
          <w:rFonts w:ascii="Times New Roman" w:hAnsi="Times New Roman"/>
        </w:rPr>
        <w:t xml:space="preserve"> (see “Legal Support Workers”).</w:t>
      </w:r>
      <w:r>
        <w:rPr>
          <w:rFonts w:ascii="Times New Roman" w:hAnsi="Times New Roman"/>
        </w:rPr>
        <w:tab/>
        <w:t xml:space="preserve"> </w:t>
      </w:r>
    </w:p>
  </w:footnote>
  <w:footnote w:id="7">
    <w:p w:rsidR="00415739" w:rsidRDefault="00415739" w:rsidP="00415739">
      <w:pPr>
        <w:rPr>
          <w:rFonts w:ascii="Times New Roman" w:hAnsi="Times New Roman"/>
          <w:sz w:val="20"/>
          <w:szCs w:val="20"/>
        </w:rPr>
      </w:pPr>
      <w:r>
        <w:rPr>
          <w:rStyle w:val="FootnoteReference"/>
          <w:sz w:val="20"/>
          <w:szCs w:val="20"/>
          <w:vertAlign w:val="superscript"/>
        </w:rPr>
        <w:footnoteRef/>
      </w:r>
      <w:r>
        <w:rPr>
          <w:rFonts w:ascii="Times New Roman" w:hAnsi="Times New Roman"/>
          <w:sz w:val="20"/>
          <w:szCs w:val="20"/>
          <w:vertAlign w:val="superscript"/>
        </w:rPr>
        <w:t xml:space="preserve"> </w:t>
      </w:r>
      <w:hyperlink r:id="rId6" w:history="1">
        <w:r>
          <w:rPr>
            <w:rStyle w:val="Hyperlink"/>
            <w:rFonts w:ascii="Times New Roman" w:hAnsi="Times New Roman"/>
            <w:sz w:val="20"/>
            <w:szCs w:val="20"/>
          </w:rPr>
          <w:t>http://www.opm.gov/policy-data-oversight/pay-leave/salaries-wages/salary-tables/14Tables/pdf/DCB_h.pdf</w:t>
        </w:r>
      </w:hyperlink>
      <w:r>
        <w:rPr>
          <w:rFonts w:ascii="Times New Roman" w:hAnsi="Times New Roman"/>
          <w:sz w:val="20"/>
          <w:szCs w:val="20"/>
        </w:rPr>
        <w:t xml:space="preserve"> </w:t>
      </w:r>
      <w:r>
        <w:rPr>
          <w:rStyle w:val="Hyperlink"/>
          <w:rFonts w:ascii="Times New Roman" w:hAnsi="Times New Roman"/>
          <w:sz w:val="20"/>
          <w:szCs w:val="20"/>
        </w:rPr>
        <w:t>.</w:t>
      </w:r>
    </w:p>
    <w:p w:rsidR="00415739" w:rsidRDefault="00415739" w:rsidP="00415739">
      <w:pPr>
        <w:rPr>
          <w:rFonts w:ascii="Times New Roman" w:hAnsi="Times New Roman"/>
          <w:color w:val="000000"/>
        </w:rPr>
      </w:pPr>
    </w:p>
    <w:p w:rsidR="00415739" w:rsidRDefault="00415739" w:rsidP="0041573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51F5" w:rsidRDefault="00C551F5">
    <w:pPr>
      <w:framePr w:w="9361" w:wrap="notBeside" w:vAnchor="text" w:hAnchor="text" w:x="1" w:y="1"/>
      <w:jc w:val="center"/>
    </w:pPr>
  </w:p>
  <w:p w:rsidR="00C551F5" w:rsidRDefault="00C551F5">
    <w:pPr>
      <w:rPr>
        <w:rFonts w:ascii="Shruti" w:hAnsi="Shruti" w:cs="Shruti"/>
      </w:rPr>
    </w:pPr>
  </w:p>
  <w:p w:rsidR="00C551F5" w:rsidRDefault="00C551F5">
    <w:pPr>
      <w:rPr>
        <w:rFonts w:ascii="Shruti" w:hAnsi="Shruti" w:cs="Shruti"/>
      </w:rPr>
    </w:pPr>
  </w:p>
  <w:p w:rsidR="00C551F5" w:rsidRDefault="00C551F5">
    <w:pPr>
      <w:spacing w:line="240" w:lineRule="exact"/>
      <w:rPr>
        <w:rFonts w:ascii="Shruti" w:hAnsi="Shruti" w:cs="Shrut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226C90"/>
    <w:multiLevelType w:val="hybridMultilevel"/>
    <w:tmpl w:val="3790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E10"/>
    <w:rsid w:val="00015E10"/>
    <w:rsid w:val="000305C3"/>
    <w:rsid w:val="000427BF"/>
    <w:rsid w:val="00044DF9"/>
    <w:rsid w:val="00057E5C"/>
    <w:rsid w:val="00072A12"/>
    <w:rsid w:val="00094628"/>
    <w:rsid w:val="000A333F"/>
    <w:rsid w:val="000E034B"/>
    <w:rsid w:val="000E5E78"/>
    <w:rsid w:val="0011514C"/>
    <w:rsid w:val="00170C52"/>
    <w:rsid w:val="00191305"/>
    <w:rsid w:val="001B013E"/>
    <w:rsid w:val="002023A8"/>
    <w:rsid w:val="0023313E"/>
    <w:rsid w:val="0024213C"/>
    <w:rsid w:val="00245731"/>
    <w:rsid w:val="00250567"/>
    <w:rsid w:val="00251470"/>
    <w:rsid w:val="00263FD1"/>
    <w:rsid w:val="00276842"/>
    <w:rsid w:val="00276BB3"/>
    <w:rsid w:val="00292D59"/>
    <w:rsid w:val="00296417"/>
    <w:rsid w:val="002D7EA1"/>
    <w:rsid w:val="00337FDD"/>
    <w:rsid w:val="00343667"/>
    <w:rsid w:val="00375D00"/>
    <w:rsid w:val="003B21D9"/>
    <w:rsid w:val="003E62C2"/>
    <w:rsid w:val="004128C4"/>
    <w:rsid w:val="00415739"/>
    <w:rsid w:val="00422FC6"/>
    <w:rsid w:val="004E3286"/>
    <w:rsid w:val="005044E0"/>
    <w:rsid w:val="00520C19"/>
    <w:rsid w:val="00523BE8"/>
    <w:rsid w:val="00562F7B"/>
    <w:rsid w:val="005C3FEC"/>
    <w:rsid w:val="005C669D"/>
    <w:rsid w:val="005F6982"/>
    <w:rsid w:val="00616685"/>
    <w:rsid w:val="006422B7"/>
    <w:rsid w:val="00677DFF"/>
    <w:rsid w:val="00682FE2"/>
    <w:rsid w:val="006A1C58"/>
    <w:rsid w:val="006C5791"/>
    <w:rsid w:val="006F5FC7"/>
    <w:rsid w:val="0071756D"/>
    <w:rsid w:val="007425AD"/>
    <w:rsid w:val="0075403F"/>
    <w:rsid w:val="00757E04"/>
    <w:rsid w:val="007A3E9D"/>
    <w:rsid w:val="007D08FB"/>
    <w:rsid w:val="007E45C0"/>
    <w:rsid w:val="007F3B81"/>
    <w:rsid w:val="00802BD0"/>
    <w:rsid w:val="00820094"/>
    <w:rsid w:val="00824621"/>
    <w:rsid w:val="008254D8"/>
    <w:rsid w:val="0084751C"/>
    <w:rsid w:val="00851A3E"/>
    <w:rsid w:val="00920C12"/>
    <w:rsid w:val="00931B46"/>
    <w:rsid w:val="009C3877"/>
    <w:rsid w:val="009F3A57"/>
    <w:rsid w:val="00A11AC5"/>
    <w:rsid w:val="00A26354"/>
    <w:rsid w:val="00A66559"/>
    <w:rsid w:val="00AA6928"/>
    <w:rsid w:val="00AC2963"/>
    <w:rsid w:val="00AE59C8"/>
    <w:rsid w:val="00AF3379"/>
    <w:rsid w:val="00B17382"/>
    <w:rsid w:val="00B60E62"/>
    <w:rsid w:val="00B70C74"/>
    <w:rsid w:val="00BB005A"/>
    <w:rsid w:val="00BE2E0E"/>
    <w:rsid w:val="00C551F5"/>
    <w:rsid w:val="00C842DE"/>
    <w:rsid w:val="00CB2A5E"/>
    <w:rsid w:val="00CC630E"/>
    <w:rsid w:val="00D37A7F"/>
    <w:rsid w:val="00D6329F"/>
    <w:rsid w:val="00D805ED"/>
    <w:rsid w:val="00D95411"/>
    <w:rsid w:val="00DE6575"/>
    <w:rsid w:val="00E01745"/>
    <w:rsid w:val="00E45201"/>
    <w:rsid w:val="00E65687"/>
    <w:rsid w:val="00E70C18"/>
    <w:rsid w:val="00E7725E"/>
    <w:rsid w:val="00EB0D49"/>
    <w:rsid w:val="00EB2294"/>
    <w:rsid w:val="00F174C0"/>
    <w:rsid w:val="00F34CA1"/>
    <w:rsid w:val="00F34E5B"/>
    <w:rsid w:val="00F41C90"/>
    <w:rsid w:val="00FF2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tyle>
  <w:style w:type="paragraph" w:styleId="Header">
    <w:name w:val="header"/>
    <w:basedOn w:val="Normal"/>
    <w:rsid w:val="00292D59"/>
    <w:pPr>
      <w:tabs>
        <w:tab w:val="center" w:pos="4320"/>
        <w:tab w:val="right" w:pos="8640"/>
      </w:tabs>
    </w:pPr>
  </w:style>
  <w:style w:type="paragraph" w:styleId="Footer">
    <w:name w:val="footer"/>
    <w:basedOn w:val="Normal"/>
    <w:link w:val="FooterChar"/>
    <w:uiPriority w:val="99"/>
    <w:rsid w:val="00292D59"/>
    <w:pPr>
      <w:tabs>
        <w:tab w:val="center" w:pos="4320"/>
        <w:tab w:val="right" w:pos="8640"/>
      </w:tabs>
    </w:pPr>
  </w:style>
  <w:style w:type="character" w:styleId="PageNumber">
    <w:name w:val="page number"/>
    <w:basedOn w:val="DefaultParagraphFont"/>
    <w:rsid w:val="005F6982"/>
  </w:style>
  <w:style w:type="paragraph" w:styleId="BalloonText">
    <w:name w:val="Balloon Text"/>
    <w:basedOn w:val="Normal"/>
    <w:link w:val="BalloonTextChar"/>
    <w:rsid w:val="00E65687"/>
    <w:rPr>
      <w:rFonts w:ascii="Tahoma" w:hAnsi="Tahoma" w:cs="Tahoma"/>
      <w:sz w:val="16"/>
      <w:szCs w:val="16"/>
    </w:rPr>
  </w:style>
  <w:style w:type="character" w:customStyle="1" w:styleId="BalloonTextChar">
    <w:name w:val="Balloon Text Char"/>
    <w:link w:val="BalloonText"/>
    <w:rsid w:val="00E65687"/>
    <w:rPr>
      <w:rFonts w:ascii="Tahoma" w:hAnsi="Tahoma" w:cs="Tahoma"/>
      <w:sz w:val="16"/>
      <w:szCs w:val="16"/>
    </w:rPr>
  </w:style>
  <w:style w:type="character" w:customStyle="1" w:styleId="FooterChar">
    <w:name w:val="Footer Char"/>
    <w:link w:val="Footer"/>
    <w:uiPriority w:val="99"/>
    <w:rsid w:val="00562F7B"/>
    <w:rPr>
      <w:rFonts w:ascii="Courier" w:hAnsi="Courier"/>
      <w:sz w:val="24"/>
      <w:szCs w:val="24"/>
    </w:rPr>
  </w:style>
  <w:style w:type="character" w:styleId="Hyperlink">
    <w:name w:val="Hyperlink"/>
    <w:rsid w:val="00B60E62"/>
    <w:rPr>
      <w:strike w:val="0"/>
      <w:dstrike w:val="0"/>
      <w:color w:val="000080"/>
      <w:u w:val="none"/>
      <w:effect w:val="none"/>
    </w:rPr>
  </w:style>
  <w:style w:type="paragraph" w:styleId="FootnoteText">
    <w:name w:val="footnote text"/>
    <w:basedOn w:val="Normal"/>
    <w:link w:val="FootnoteTextChar"/>
    <w:rsid w:val="00B60E62"/>
    <w:rPr>
      <w:sz w:val="20"/>
      <w:szCs w:val="20"/>
    </w:rPr>
  </w:style>
  <w:style w:type="character" w:customStyle="1" w:styleId="FootnoteTextChar">
    <w:name w:val="Footnote Text Char"/>
    <w:link w:val="FootnoteText"/>
    <w:rsid w:val="00B60E62"/>
    <w:rPr>
      <w:rFonts w:ascii="Courier" w:hAnsi="Courier"/>
    </w:rPr>
  </w:style>
  <w:style w:type="paragraph" w:styleId="ListParagraph">
    <w:name w:val="List Paragraph"/>
    <w:basedOn w:val="Normal"/>
    <w:uiPriority w:val="34"/>
    <w:qFormat/>
    <w:rsid w:val="00170C5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1645">
      <w:bodyDiv w:val="1"/>
      <w:marLeft w:val="0"/>
      <w:marRight w:val="0"/>
      <w:marTop w:val="0"/>
      <w:marBottom w:val="0"/>
      <w:divBdr>
        <w:top w:val="none" w:sz="0" w:space="0" w:color="auto"/>
        <w:left w:val="none" w:sz="0" w:space="0" w:color="auto"/>
        <w:bottom w:val="none" w:sz="0" w:space="0" w:color="auto"/>
        <w:right w:val="none" w:sz="0" w:space="0" w:color="auto"/>
      </w:divBdr>
    </w:div>
    <w:div w:id="9829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news.release/ecec.nr0.htm" TargetMode="External"/><Relationship Id="rId2" Type="http://schemas.openxmlformats.org/officeDocument/2006/relationships/hyperlink" Target="http://www.bls.gov/oes/current/oes113111.htm" TargetMode="External"/><Relationship Id="rId1" Type="http://schemas.openxmlformats.org/officeDocument/2006/relationships/hyperlink" Target="http://www.bls.gov/news.release/ecec.nr0.htm" TargetMode="External"/><Relationship Id="rId6" Type="http://schemas.openxmlformats.org/officeDocument/2006/relationships/hyperlink" Target="http://www.opm.gov/policy-data-oversight/pay-leave/salaries-wages/salary-tables/14Tables/pdf/DCB_h.pdf" TargetMode="External"/><Relationship Id="rId5" Type="http://schemas.openxmlformats.org/officeDocument/2006/relationships/hyperlink" Target="http://www.bls.gov/oes/current/oes_nat.htm" TargetMode="External"/><Relationship Id="rId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1760</Words>
  <Characters>9539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I:\WP51\RM\Paperwork\MULTI\Rollover</vt:lpstr>
    </vt:vector>
  </TitlesOfParts>
  <Company>PBGC</Company>
  <LinksUpToDate>false</LinksUpToDate>
  <CharactersWithSpaces>11277</CharactersWithSpaces>
  <SharedDoc>false</SharedDoc>
  <HLinks>
    <vt:vector size="36" baseType="variant">
      <vt:variant>
        <vt:i4>7209025</vt:i4>
      </vt:variant>
      <vt:variant>
        <vt:i4>15</vt:i4>
      </vt:variant>
      <vt:variant>
        <vt:i4>0</vt:i4>
      </vt:variant>
      <vt:variant>
        <vt:i4>5</vt:i4>
      </vt:variant>
      <vt:variant>
        <vt:lpwstr>http://www.opm.gov/policy-data-oversight/pay-leave/salaries-wages/salary-tables/14Tables/pdf/DCB_h.pdf</vt:lpwstr>
      </vt:variant>
      <vt:variant>
        <vt:lpwstr/>
      </vt:variant>
      <vt:variant>
        <vt:i4>458864</vt:i4>
      </vt:variant>
      <vt:variant>
        <vt:i4>12</vt:i4>
      </vt:variant>
      <vt:variant>
        <vt:i4>0</vt:i4>
      </vt:variant>
      <vt:variant>
        <vt:i4>5</vt:i4>
      </vt:variant>
      <vt:variant>
        <vt:lpwstr>http://www.bls.gov/oes/current/oes_nat.htm</vt:lpwstr>
      </vt:variant>
      <vt:variant>
        <vt:lpwstr>23-0000</vt:lpwstr>
      </vt:variant>
      <vt:variant>
        <vt:i4>1835091</vt:i4>
      </vt:variant>
      <vt:variant>
        <vt:i4>9</vt:i4>
      </vt:variant>
      <vt:variant>
        <vt:i4>0</vt:i4>
      </vt:variant>
      <vt:variant>
        <vt:i4>5</vt:i4>
      </vt:variant>
      <vt:variant>
        <vt:lpwstr>http://www.bls.gov/oes/current/oes231011.htm</vt:lpwstr>
      </vt:variant>
      <vt:variant>
        <vt:lpwstr/>
      </vt:variant>
      <vt:variant>
        <vt:i4>1769560</vt:i4>
      </vt:variant>
      <vt:variant>
        <vt:i4>6</vt:i4>
      </vt:variant>
      <vt:variant>
        <vt:i4>0</vt:i4>
      </vt:variant>
      <vt:variant>
        <vt:i4>5</vt:i4>
      </vt:variant>
      <vt:variant>
        <vt:lpwstr>http://www.bls.gov/news.release/ecec.nr0.htm</vt:lpwstr>
      </vt:variant>
      <vt:variant>
        <vt:lpwstr/>
      </vt:variant>
      <vt:variant>
        <vt:i4>2031698</vt:i4>
      </vt:variant>
      <vt:variant>
        <vt:i4>3</vt:i4>
      </vt:variant>
      <vt:variant>
        <vt:i4>0</vt:i4>
      </vt:variant>
      <vt:variant>
        <vt:i4>5</vt:i4>
      </vt:variant>
      <vt:variant>
        <vt:lpwstr>http://www.bls.gov/oes/current/oes113111.htm</vt:lpwstr>
      </vt:variant>
      <vt:variant>
        <vt:lpwstr/>
      </vt:variant>
      <vt:variant>
        <vt:i4>1769560</vt:i4>
      </vt:variant>
      <vt:variant>
        <vt:i4>0</vt:i4>
      </vt:variant>
      <vt:variant>
        <vt:i4>0</vt:i4>
      </vt:variant>
      <vt:variant>
        <vt:i4>5</vt:i4>
      </vt:variant>
      <vt:variant>
        <vt:lpwstr>http://www.bls.gov/news.release/ecec.nr0.htm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I:\WP51\RM\Paperwork\MULTI\Rollover</dc:title>
  <dc:creator>PBGC User</dc:creator>
  <cp:lastModifiedBy>oggtq93</cp:lastModifiedBy>
  <cp:revision>2</cp:revision>
  <cp:lastPrinted>2014-06-10T15:44:00Z</cp:lastPrinted>
  <dcterms:created xsi:type="dcterms:W3CDTF">2014-06-10T15:45:00Z</dcterms:created>
  <dcterms:modified xsi:type="dcterms:W3CDTF">2014-06-10T15:45:00Z</dcterms:modified>
</cp:coreProperties>
</file>