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D6" w:rsidRDefault="005855D6" w:rsidP="005855D6">
      <w:pPr>
        <w:jc w:val="center"/>
        <w:rPr>
          <w:b/>
          <w:bCs/>
        </w:rPr>
      </w:pPr>
      <w:r>
        <w:rPr>
          <w:b/>
          <w:bCs/>
        </w:rPr>
        <w:t>SUPPORTING STATEMENT FOR</w:t>
      </w:r>
    </w:p>
    <w:p w:rsidR="005855D6" w:rsidRDefault="005855D6" w:rsidP="005855D6">
      <w:pPr>
        <w:jc w:val="center"/>
        <w:rPr>
          <w:b/>
          <w:bCs/>
        </w:rPr>
      </w:pPr>
      <w:r>
        <w:rPr>
          <w:b/>
          <w:bCs/>
        </w:rPr>
        <w:t>THE INFORMATION COLLECTION REQUIREMENTS</w:t>
      </w:r>
    </w:p>
    <w:p w:rsidR="005855D6" w:rsidRDefault="005855D6" w:rsidP="005855D6">
      <w:pPr>
        <w:jc w:val="center"/>
        <w:rPr>
          <w:b/>
          <w:bCs/>
        </w:rPr>
      </w:pPr>
      <w:r>
        <w:rPr>
          <w:b/>
          <w:bCs/>
        </w:rPr>
        <w:t>OF THE CONCRETE AND MASONRY CONSTRUCTION</w:t>
      </w:r>
    </w:p>
    <w:p w:rsidR="005855D6" w:rsidRDefault="005855D6" w:rsidP="005855D6">
      <w:pPr>
        <w:jc w:val="center"/>
      </w:pPr>
      <w:r>
        <w:rPr>
          <w:b/>
          <w:bCs/>
        </w:rPr>
        <w:t>STANDARD (29 CFR PART 1926, SUBPART Q)</w:t>
      </w:r>
      <w:r>
        <w:rPr>
          <w:rStyle w:val="FootnoteReference"/>
          <w:vertAlign w:val="superscript"/>
        </w:rPr>
        <w:footnoteReference w:id="1"/>
      </w:r>
    </w:p>
    <w:p w:rsidR="005855D6" w:rsidRDefault="005855D6" w:rsidP="005855D6">
      <w:pPr>
        <w:tabs>
          <w:tab w:val="right" w:pos="9360"/>
        </w:tabs>
        <w:jc w:val="center"/>
        <w:rPr>
          <w:b/>
        </w:rPr>
      </w:pPr>
      <w:r>
        <w:rPr>
          <w:b/>
        </w:rPr>
        <w:t xml:space="preserve">OFFICE OF MANAGEMENT AND BUDGET </w:t>
      </w:r>
    </w:p>
    <w:p w:rsidR="005855D6" w:rsidRDefault="005855D6" w:rsidP="005855D6">
      <w:pPr>
        <w:tabs>
          <w:tab w:val="right" w:pos="9360"/>
        </w:tabs>
        <w:jc w:val="center"/>
        <w:rPr>
          <w:b/>
        </w:rPr>
      </w:pPr>
      <w:r>
        <w:rPr>
          <w:b/>
        </w:rPr>
        <w:t>(OMB) Control</w:t>
      </w:r>
      <w:r w:rsidR="008A4583">
        <w:rPr>
          <w:b/>
        </w:rPr>
        <w:t xml:space="preserve"> Number 1218-0095 (</w:t>
      </w:r>
      <w:r w:rsidR="007D0C02">
        <w:rPr>
          <w:b/>
        </w:rPr>
        <w:t>Februa</w:t>
      </w:r>
      <w:r w:rsidR="002A0B1D">
        <w:rPr>
          <w:b/>
        </w:rPr>
        <w:t xml:space="preserve">ry </w:t>
      </w:r>
      <w:r w:rsidR="00061C6A">
        <w:rPr>
          <w:b/>
        </w:rPr>
        <w:t>2014)</w:t>
      </w:r>
    </w:p>
    <w:p w:rsidR="005855D6" w:rsidRDefault="005855D6" w:rsidP="005855D6">
      <w:pPr>
        <w:rPr>
          <w:b/>
          <w:bCs/>
        </w:rPr>
      </w:pPr>
    </w:p>
    <w:p w:rsidR="005855D6" w:rsidRDefault="005855D6" w:rsidP="005855D6">
      <w:pPr>
        <w:rPr>
          <w:b/>
          <w:bCs/>
        </w:rPr>
      </w:pPr>
    </w:p>
    <w:p w:rsidR="005855D6" w:rsidRDefault="006F1055" w:rsidP="005855D6">
      <w:r>
        <w:rPr>
          <w:b/>
          <w:bCs/>
        </w:rPr>
        <w:t xml:space="preserve">A.  </w:t>
      </w:r>
      <w:r w:rsidR="005855D6">
        <w:rPr>
          <w:b/>
          <w:bCs/>
        </w:rPr>
        <w:t>JUSTIFICATION</w:t>
      </w:r>
    </w:p>
    <w:p w:rsidR="005855D6" w:rsidRDefault="005855D6" w:rsidP="005855D6"/>
    <w:p w:rsidR="005855D6" w:rsidRDefault="005855D6" w:rsidP="005855D6">
      <w:pPr>
        <w:rPr>
          <w:b/>
          <w:bCs/>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55D6" w:rsidRDefault="005855D6" w:rsidP="005855D6"/>
    <w:p w:rsidR="005855D6" w:rsidRDefault="005855D6" w:rsidP="005855D6">
      <w: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 (29 U.S.C. 657).</w:t>
      </w:r>
    </w:p>
    <w:p w:rsidR="005855D6" w:rsidRDefault="005855D6" w:rsidP="005855D6"/>
    <w:p w:rsidR="005855D6" w:rsidRDefault="005855D6" w:rsidP="005855D6">
      <w:r>
        <w:t xml:space="preserve">Under the authority granted by the OSH Act, the Occupational Safety and Health Administration ( “OSHA” or “the Agency”) published 29 CFR part 1926, subpart Q (“Concrete and Masonry Construction”; hereafter, “Subpart”).  The Subpart specifies requirements to protect employees who construct, erect, brace, maintain, remove, or perform similar tasks on concrete or masonry structures.  After thoroughly reviewing the standard, OSHA identified a number of </w:t>
      </w:r>
      <w:r w:rsidR="004A6C25">
        <w:t xml:space="preserve">information </w:t>
      </w:r>
      <w:r>
        <w:t>collection (paperwork) requirements in the Subpart, including the following:</w:t>
      </w:r>
    </w:p>
    <w:p w:rsidR="005855D6" w:rsidRDefault="005855D6" w:rsidP="00EC21E3"/>
    <w:p w:rsidR="004A6C25" w:rsidRDefault="00A233D4" w:rsidP="00061C6A">
      <w:pPr>
        <w:pStyle w:val="block1"/>
        <w:numPr>
          <w:ilvl w:val="0"/>
          <w:numId w:val="1"/>
        </w:numPr>
        <w:spacing w:before="0" w:beforeAutospacing="0" w:after="0" w:afterAutospacing="0"/>
      </w:pPr>
      <w:r>
        <w:t>Section 1926.701(c)(2) requires</w:t>
      </w:r>
      <w:r w:rsidR="004A6C25">
        <w:t xml:space="preserve"> </w:t>
      </w:r>
      <w:r w:rsidR="005855D6">
        <w:t xml:space="preserve"> signs and barriers to limit employee access to areas where post-tensioning operations will take place (§1926.701(c)(2)), </w:t>
      </w:r>
    </w:p>
    <w:p w:rsidR="002671A7" w:rsidRDefault="0080448C" w:rsidP="00061C6A">
      <w:pPr>
        <w:pStyle w:val="block1"/>
        <w:numPr>
          <w:ilvl w:val="0"/>
          <w:numId w:val="1"/>
        </w:numPr>
      </w:pPr>
      <w:r>
        <w:t xml:space="preserve">Sections </w:t>
      </w:r>
      <w:r w:rsidR="00FB5B95" w:rsidRPr="00FB5B95">
        <w:t>1926.702(a)(2) and (j)(1)</w:t>
      </w:r>
      <w:r>
        <w:t xml:space="preserve"> require</w:t>
      </w:r>
      <w:r w:rsidR="005855D6">
        <w:t xml:space="preserve"> lockout/tagout measures to protect workers from injury associated with</w:t>
      </w:r>
      <w:r w:rsidR="00DE4D0A">
        <w:t xml:space="preserve"> entering</w:t>
      </w:r>
      <w:r w:rsidR="00A233D4">
        <w:t xml:space="preserve"> facilities</w:t>
      </w:r>
      <w:r w:rsidR="00DE4D0A">
        <w:t>,</w:t>
      </w:r>
      <w:r w:rsidR="005855D6">
        <w:t xml:space="preserve"> </w:t>
      </w:r>
      <w:r w:rsidR="00A233D4">
        <w:t xml:space="preserve">or </w:t>
      </w:r>
      <w:r>
        <w:t>operating or performing</w:t>
      </w:r>
      <w:r w:rsidR="00DE4D0A">
        <w:t xml:space="preserve"> maintenance/repairs,</w:t>
      </w:r>
      <w:r w:rsidR="00A233D4">
        <w:t xml:space="preserve"> on</w:t>
      </w:r>
      <w:r w:rsidR="00DE4D0A">
        <w:t xml:space="preserve"> </w:t>
      </w:r>
      <w:r w:rsidR="005855D6">
        <w:t xml:space="preserve">equipment </w:t>
      </w:r>
      <w:r w:rsidR="00DE4D0A">
        <w:t xml:space="preserve">or </w:t>
      </w:r>
      <w:r w:rsidR="005855D6">
        <w:t xml:space="preserve"> machinery)</w:t>
      </w:r>
      <w:r w:rsidR="00926F85">
        <w:t>,</w:t>
      </w:r>
      <w:r w:rsidR="005855D6">
        <w:t xml:space="preserve">  </w:t>
      </w:r>
    </w:p>
    <w:p w:rsidR="005855D6" w:rsidRDefault="00FB5B95" w:rsidP="00061C6A">
      <w:pPr>
        <w:pStyle w:val="block1"/>
        <w:numPr>
          <w:ilvl w:val="0"/>
          <w:numId w:val="1"/>
        </w:numPr>
        <w:spacing w:before="0" w:beforeAutospacing="0" w:after="0" w:afterAutospacing="0"/>
      </w:pPr>
      <w:r>
        <w:t>Section</w:t>
      </w:r>
      <w:r w:rsidR="005855D6">
        <w:t>1926.702</w:t>
      </w:r>
      <w:r>
        <w:t>(j)(2)</w:t>
      </w:r>
      <w:r w:rsidR="005855D6">
        <w:t xml:space="preserve"> requires </w:t>
      </w:r>
      <w:r>
        <w:t>“[</w:t>
      </w:r>
      <w:r w:rsidR="005855D6">
        <w:t xml:space="preserve">tags </w:t>
      </w:r>
      <w:r w:rsidR="00EC21E3">
        <w:t>to</w:t>
      </w:r>
      <w:r>
        <w:t>]</w:t>
      </w:r>
      <w:r w:rsidR="00EC21E3">
        <w:t xml:space="preserve"> </w:t>
      </w:r>
      <w:r w:rsidR="005855D6">
        <w:t xml:space="preserve">read </w:t>
      </w:r>
      <w:r w:rsidR="005855D6" w:rsidRPr="00061C6A">
        <w:rPr>
          <w:i/>
        </w:rPr>
        <w:t>Do Not Start</w:t>
      </w:r>
      <w:r w:rsidR="005855D6">
        <w:t xml:space="preserve"> or similar language to indicate that the equipment is not to be operated.</w:t>
      </w:r>
      <w:r>
        <w:t>”</w:t>
      </w:r>
    </w:p>
    <w:p w:rsidR="00FB5B95" w:rsidRDefault="00FB5B95" w:rsidP="00061C6A">
      <w:pPr>
        <w:pStyle w:val="block1"/>
        <w:spacing w:before="0" w:beforeAutospacing="0" w:after="0" w:afterAutospacing="0"/>
      </w:pPr>
    </w:p>
    <w:p w:rsidR="00BB24F7" w:rsidRDefault="002C6F15" w:rsidP="00061C6A">
      <w:pPr>
        <w:pStyle w:val="block1"/>
        <w:spacing w:before="0" w:beforeAutospacing="0" w:after="0" w:afterAutospacing="0"/>
      </w:pPr>
      <w:r>
        <w:t xml:space="preserve">Section 1926.703(a)(2) </w:t>
      </w:r>
      <w:r w:rsidR="005855D6">
        <w:t>require</w:t>
      </w:r>
      <w:r w:rsidR="005423FB">
        <w:t>s</w:t>
      </w:r>
      <w:r w:rsidR="00E364EE">
        <w:t xml:space="preserve"> that</w:t>
      </w:r>
      <w:r w:rsidR="005855D6">
        <w:t xml:space="preserve"> </w:t>
      </w:r>
      <w:r w:rsidR="00BE74C8">
        <w:t>“…</w:t>
      </w:r>
      <w:r w:rsidR="005855D6">
        <w:t xml:space="preserve">drawings or plans  </w:t>
      </w:r>
      <w:r w:rsidR="00BE74C8">
        <w:t xml:space="preserve">including all revisions, for the jack layout, formwork (including shoring equipment), working decks, and scaffolds </w:t>
      </w:r>
      <w:r w:rsidR="00E364EE">
        <w:t xml:space="preserve">shall </w:t>
      </w:r>
      <w:r w:rsidR="00BE74C8">
        <w:t xml:space="preserve">be </w:t>
      </w:r>
      <w:r w:rsidR="005423FB">
        <w:t xml:space="preserve">available at </w:t>
      </w:r>
      <w:r w:rsidR="00BE74C8">
        <w:t>the jobsite</w:t>
      </w:r>
      <w:r w:rsidR="00061C6A">
        <w:t>.</w:t>
      </w:r>
      <w:r w:rsidR="005423FB">
        <w:t xml:space="preserve">” </w:t>
      </w:r>
      <w:r w:rsidR="000501AC">
        <w:t xml:space="preserve">Since these drawings or plans are created </w:t>
      </w:r>
      <w:r w:rsidR="00BB24F7">
        <w:t xml:space="preserve">and </w:t>
      </w:r>
      <w:r w:rsidR="000501AC">
        <w:t xml:space="preserve">are </w:t>
      </w:r>
      <w:r w:rsidR="00BB24F7">
        <w:t>made</w:t>
      </w:r>
      <w:r w:rsidR="000501AC">
        <w:t xml:space="preserve"> available to the various contractors engaged during the project</w:t>
      </w:r>
      <w:r w:rsidR="00BB24F7">
        <w:t xml:space="preserve"> at the jobsite as matter of usual and customary business practice, OSHA is not requesting clearance under the PRA for the associated burden.</w:t>
      </w:r>
    </w:p>
    <w:p w:rsidR="00B72027" w:rsidRDefault="00AC61D5" w:rsidP="00061C6A">
      <w:pPr>
        <w:pStyle w:val="block1"/>
      </w:pPr>
      <w:r>
        <w:lastRenderedPageBreak/>
        <w:t>Section</w:t>
      </w:r>
      <w:r w:rsidR="00810B9E">
        <w:t xml:space="preserve"> </w:t>
      </w:r>
      <w:r w:rsidR="005855D6">
        <w:t>1926.705</w:t>
      </w:r>
      <w:r w:rsidR="00CA5583">
        <w:t>(</w:t>
      </w:r>
      <w:r>
        <w:t xml:space="preserve">a) mandates that </w:t>
      </w:r>
    </w:p>
    <w:p w:rsidR="00B72027" w:rsidRDefault="00AC61D5" w:rsidP="00061C6A">
      <w:pPr>
        <w:pStyle w:val="block1"/>
        <w:ind w:left="1440" w:right="1440"/>
      </w:pPr>
      <w:r>
        <w:t>Lift-slab operations [ ] be designed and planned by a registered professional engineer who has experience in lift-slab construction.  Such plans and designs shall be implemented by the employer and shall include detailed instructions and sketches indicating the prescribed method of erections. These plans and designs shall also include</w:t>
      </w:r>
      <w:r w:rsidR="00B72027">
        <w:t xml:space="preserve"> provisions for ensuring laterals stability of the building/</w:t>
      </w:r>
      <w:r w:rsidR="00061C6A">
        <w:t xml:space="preserve"> </w:t>
      </w:r>
      <w:r w:rsidR="00B72027">
        <w:t>structure during construction.</w:t>
      </w:r>
      <w:r w:rsidR="005855D6">
        <w:t xml:space="preserve">  </w:t>
      </w:r>
    </w:p>
    <w:p w:rsidR="005855D6" w:rsidRDefault="00B72027" w:rsidP="00061C6A">
      <w:pPr>
        <w:pStyle w:val="block1"/>
        <w:spacing w:before="0" w:beforeAutospacing="0" w:after="0" w:afterAutospacing="0"/>
      </w:pPr>
      <w:r>
        <w:t>Th</w:t>
      </w:r>
      <w:r w:rsidR="00E70A98">
        <w:t>e</w:t>
      </w:r>
      <w:r>
        <w:t xml:space="preserve"> standard is silent as to where the plans</w:t>
      </w:r>
      <w:r w:rsidR="00251945">
        <w:t>,</w:t>
      </w:r>
      <w:r>
        <w:t xml:space="preserve"> designs</w:t>
      </w:r>
      <w:r w:rsidR="00251945">
        <w:t>, instructions and sketches</w:t>
      </w:r>
      <w:r>
        <w:t xml:space="preserve"> must be kept.  As a matter of </w:t>
      </w:r>
      <w:r w:rsidR="00251945">
        <w:t>usual and customary business practice they are maintained at the construction jobsite in order to be available to the various contractors engaged during the project.</w:t>
      </w:r>
      <w:r w:rsidR="005855D6">
        <w:t xml:space="preserve"> </w:t>
      </w:r>
      <w:r w:rsidR="00251945">
        <w:t>T</w:t>
      </w:r>
      <w:r w:rsidR="005855D6">
        <w:t xml:space="preserve">herefore, OSHA is not requesting clearance under the PRA for the burden associated with preparing </w:t>
      </w:r>
      <w:r w:rsidR="000501AC" w:rsidRPr="000501AC">
        <w:t xml:space="preserve"> plans, designs, instructions and sketches</w:t>
      </w:r>
      <w:r w:rsidR="005855D6">
        <w:t xml:space="preserve"> and having them </w:t>
      </w:r>
      <w:r w:rsidR="000501AC">
        <w:t xml:space="preserve">available </w:t>
      </w:r>
      <w:r w:rsidR="005855D6">
        <w:t>at the jobsite.</w:t>
      </w:r>
    </w:p>
    <w:p w:rsidR="00E70A98" w:rsidRDefault="00E70A98" w:rsidP="00061C6A">
      <w:pPr>
        <w:pStyle w:val="block1"/>
        <w:spacing w:before="0" w:beforeAutospacing="0" w:after="0" w:afterAutospacing="0"/>
      </w:pPr>
    </w:p>
    <w:p w:rsidR="005855D6" w:rsidRDefault="005855D6" w:rsidP="005855D6">
      <w:pPr>
        <w:ind w:left="-90"/>
      </w:pPr>
      <w:r>
        <w:t xml:space="preserve">Section 1926.705(b) requires that jacks used for </w:t>
      </w:r>
      <w:r w:rsidR="00710607">
        <w:t xml:space="preserve">lift-slab </w:t>
      </w:r>
      <w:r>
        <w:t xml:space="preserve">operations be marked to indicate their rated capacity.  </w:t>
      </w:r>
      <w:r w:rsidR="00710607">
        <w:t xml:space="preserve">The </w:t>
      </w:r>
      <w:r w:rsidR="00061C6A">
        <w:t>J</w:t>
      </w:r>
      <w:r w:rsidR="00E70A98">
        <w:t xml:space="preserve">ack </w:t>
      </w:r>
      <w:r>
        <w:t xml:space="preserve">Manufacturers rate the equipment as a usual and customary practice; therefore, OSHA is not requesting clearance under the PRA for the burden associated with the marking operation. </w:t>
      </w:r>
    </w:p>
    <w:p w:rsidR="005855D6" w:rsidRDefault="005855D6" w:rsidP="005855D6">
      <w:pPr>
        <w:ind w:left="-90" w:firstLine="720"/>
      </w:pPr>
    </w:p>
    <w:p w:rsidR="005855D6" w:rsidRDefault="005855D6" w:rsidP="005855D6">
      <w:pPr>
        <w:ind w:left="-90"/>
        <w:rPr>
          <w:sz w:val="20"/>
          <w:szCs w:val="20"/>
        </w:rPr>
      </w:pPr>
      <w:r>
        <w:rPr>
          <w:sz w:val="20"/>
          <w:szCs w:val="20"/>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r>
        <w:rPr>
          <w:sz w:val="20"/>
          <w:szCs w:val="20"/>
        </w:rPr>
        <w:t>.</w:t>
      </w:r>
    </w:p>
    <w:p w:rsidR="005855D6" w:rsidRDefault="005855D6" w:rsidP="005855D6">
      <w:pPr>
        <w:ind w:left="-90"/>
      </w:pPr>
    </w:p>
    <w:p w:rsidR="005855D6" w:rsidRDefault="005855D6" w:rsidP="005855D6">
      <w:pPr>
        <w:ind w:left="-90"/>
      </w:pPr>
      <w:r>
        <w:t>The warning signs</w:t>
      </w:r>
      <w:r w:rsidR="00422FB4">
        <w:t xml:space="preserve"> and </w:t>
      </w:r>
      <w:r>
        <w:t xml:space="preserve">barriers required by paragraph §1926.701(c)(2) reduce exposure </w:t>
      </w:r>
      <w:r w:rsidR="00422FB4">
        <w:t>for</w:t>
      </w:r>
      <w:r>
        <w:t xml:space="preserve"> non-essential employees to the hazards of post-tensioning operations</w:t>
      </w:r>
      <w:r w:rsidR="00422FB4">
        <w:t>. The</w:t>
      </w:r>
      <w:r>
        <w:t xml:space="preserve"> principal</w:t>
      </w:r>
      <w:r w:rsidR="00422FB4">
        <w:t xml:space="preserve"> hazards </w:t>
      </w:r>
      <w:r w:rsidR="00996595">
        <w:t>originate with</w:t>
      </w:r>
      <w:r>
        <w:t xml:space="preserve"> fail</w:t>
      </w:r>
      <w:r w:rsidR="00422FB4">
        <w:t>ure</w:t>
      </w:r>
      <w:r w:rsidR="00536ED7">
        <w:t xml:space="preserve"> of</w:t>
      </w:r>
      <w:r>
        <w:t xml:space="preserve"> </w:t>
      </w:r>
      <w:r w:rsidR="00C763C5">
        <w:t>wire</w:t>
      </w:r>
      <w:r w:rsidR="00996595">
        <w:t xml:space="preserve"> </w:t>
      </w:r>
      <w:r w:rsidR="006F1055">
        <w:t>strands or</w:t>
      </w:r>
      <w:r>
        <w:t xml:space="preserve"> </w:t>
      </w:r>
      <w:r w:rsidR="00536ED7">
        <w:t>metal rod tendons</w:t>
      </w:r>
      <w:r w:rsidR="007962D4">
        <w:t xml:space="preserve"> </w:t>
      </w:r>
      <w:r w:rsidR="00C763C5">
        <w:t xml:space="preserve">under </w:t>
      </w:r>
      <w:r w:rsidR="00996595">
        <w:t xml:space="preserve">tens of thousands of pounds </w:t>
      </w:r>
      <w:r w:rsidR="00C763C5">
        <w:t xml:space="preserve">tension. </w:t>
      </w:r>
      <w:r w:rsidR="00536ED7">
        <w:t>When strands</w:t>
      </w:r>
      <w:r w:rsidR="00720C66">
        <w:t xml:space="preserve"> or tendons fail and</w:t>
      </w:r>
      <w:r w:rsidR="00536ED7">
        <w:t xml:space="preserve"> contract</w:t>
      </w:r>
      <w:r w:rsidR="00720C66">
        <w:t>,</w:t>
      </w:r>
      <w:r w:rsidR="00536ED7">
        <w:t xml:space="preserve"> they strike with catastrophic force against structure</w:t>
      </w:r>
      <w:r w:rsidR="00720C66">
        <w:t>s</w:t>
      </w:r>
      <w:r w:rsidR="00536ED7">
        <w:t>, materials, too</w:t>
      </w:r>
      <w:r w:rsidR="00E015C2">
        <w:t>l</w:t>
      </w:r>
      <w:r w:rsidR="00536ED7">
        <w:t xml:space="preserve">s and </w:t>
      </w:r>
      <w:r>
        <w:t>employee</w:t>
      </w:r>
      <w:r w:rsidR="00B14FAC">
        <w:t>s</w:t>
      </w:r>
      <w:r>
        <w:t xml:space="preserve"> causing </w:t>
      </w:r>
      <w:r w:rsidR="00B14FAC">
        <w:t xml:space="preserve">damage, </w:t>
      </w:r>
      <w:r>
        <w:t>serious injury</w:t>
      </w:r>
      <w:r w:rsidR="00710607">
        <w:t xml:space="preserve"> or death</w:t>
      </w:r>
      <w:r>
        <w:t>.  The requirements to lock-out and tag-out</w:t>
      </w:r>
      <w:r w:rsidR="00050EF1">
        <w:t xml:space="preserve"> bulk-storage</w:t>
      </w:r>
      <w:r w:rsidR="007962D4">
        <w:t xml:space="preserve"> </w:t>
      </w:r>
      <w:r>
        <w:t xml:space="preserve">ejection systems and other hazardous equipment (e.g., compressors, mixers, screens or pumps used for concrete and masonry construction) </w:t>
      </w:r>
      <w:r w:rsidR="00E015C2">
        <w:t xml:space="preserve">as </w:t>
      </w:r>
      <w:r>
        <w:t xml:space="preserve">specified by §§1926.702(a)(2), (j)(1), and (j)(2) </w:t>
      </w:r>
      <w:r w:rsidR="00050EF1">
        <w:t xml:space="preserve">prevent equipment from being </w:t>
      </w:r>
      <w:r w:rsidR="00E015C2">
        <w:t xml:space="preserve">unexpectedly </w:t>
      </w:r>
      <w:r w:rsidR="00050EF1">
        <w:t xml:space="preserve">operated and </w:t>
      </w:r>
      <w:r>
        <w:t>warn  employee</w:t>
      </w:r>
      <w:r w:rsidR="004C134F">
        <w:t>s that others</w:t>
      </w:r>
      <w:r>
        <w:t xml:space="preserve"> </w:t>
      </w:r>
      <w:r w:rsidR="005E4A07">
        <w:t>are</w:t>
      </w:r>
      <w:r w:rsidR="00AE58EF" w:rsidRPr="00AE58EF">
        <w:t xml:space="preserve"> </w:t>
      </w:r>
      <w:r w:rsidR="00AE58EF">
        <w:t>on/in the equipment or facility</w:t>
      </w:r>
      <w:r>
        <w:t xml:space="preserve"> perform</w:t>
      </w:r>
      <w:r w:rsidR="005E4A07">
        <w:t>ing</w:t>
      </w:r>
      <w:r>
        <w:t xml:space="preserve">  task</w:t>
      </w:r>
      <w:r w:rsidR="005E4A07">
        <w:t xml:space="preserve">s </w:t>
      </w:r>
      <w:r>
        <w:t xml:space="preserve">(e.g., cleaning, inspecting, </w:t>
      </w:r>
      <w:r w:rsidR="001B2617">
        <w:t>maintaining</w:t>
      </w:r>
      <w:r>
        <w:t xml:space="preserve">, repairing), </w:t>
      </w:r>
      <w:r w:rsidR="00AE58EF">
        <w:t>where unexpected operation could cause</w:t>
      </w:r>
      <w:r w:rsidR="005E4A07">
        <w:t xml:space="preserve"> </w:t>
      </w:r>
      <w:r>
        <w:t>serious injury or death.</w:t>
      </w:r>
    </w:p>
    <w:p w:rsidR="005855D6" w:rsidRDefault="005855D6" w:rsidP="005855D6">
      <w:pPr>
        <w:ind w:left="-90"/>
      </w:pPr>
    </w:p>
    <w:p w:rsidR="005855D6" w:rsidRDefault="005855D6" w:rsidP="005855D6">
      <w:pPr>
        <w:ind w:left="-90"/>
      </w:pPr>
      <w:r>
        <w:t>Construction contractors and employees use the drawings</w:t>
      </w:r>
      <w:r w:rsidR="0032543E">
        <w:t xml:space="preserve"> or</w:t>
      </w:r>
      <w:r>
        <w:t xml:space="preserve"> plans</w:t>
      </w:r>
      <w:r w:rsidR="00065A89">
        <w:t xml:space="preserve"> including their revisions</w:t>
      </w:r>
      <w:r>
        <w:t>, required by §1926.703(a)(2)</w:t>
      </w:r>
      <w:r w:rsidR="001742CA">
        <w:t xml:space="preserve"> to be at the jobsite</w:t>
      </w:r>
      <w:r w:rsidR="00A97277">
        <w:t>,</w:t>
      </w:r>
      <w:r w:rsidR="001742CA">
        <w:t xml:space="preserve"> for</w:t>
      </w:r>
      <w:r>
        <w:t xml:space="preserve"> instructions on  construct</w:t>
      </w:r>
      <w:r w:rsidR="001742CA">
        <w:t>ing</w:t>
      </w:r>
      <w:r>
        <w:t>, erect</w:t>
      </w:r>
      <w:r w:rsidR="001742CA">
        <w:t>ing</w:t>
      </w:r>
      <w:r>
        <w:t>, brac</w:t>
      </w:r>
      <w:r w:rsidR="001742CA">
        <w:t>ing</w:t>
      </w:r>
      <w:r>
        <w:t>, maintain</w:t>
      </w:r>
      <w:r w:rsidR="001742CA">
        <w:t>ing</w:t>
      </w:r>
      <w:r>
        <w:t>, and remov</w:t>
      </w:r>
      <w:r w:rsidR="001742CA">
        <w:t>ing</w:t>
      </w:r>
      <w:r>
        <w:t xml:space="preserve"> shores</w:t>
      </w:r>
      <w:r w:rsidR="004F2983">
        <w:t>,</w:t>
      </w:r>
      <w:r>
        <w:t xml:space="preserve"> formwork</w:t>
      </w:r>
      <w:r w:rsidR="004F2983">
        <w:t>, working decks, and scaffolds</w:t>
      </w:r>
      <w:r>
        <w:t xml:space="preserve"> </w:t>
      </w:r>
      <w:r w:rsidR="001742CA">
        <w:t>during</w:t>
      </w:r>
      <w:r>
        <w:t xml:space="preserve"> </w:t>
      </w:r>
      <w:r w:rsidR="004F2983">
        <w:t xml:space="preserve">cast-in-place </w:t>
      </w:r>
      <w:r>
        <w:t xml:space="preserve">concrete </w:t>
      </w:r>
      <w:r w:rsidR="001742CA">
        <w:t>construction</w:t>
      </w:r>
      <w:r w:rsidR="00A97277">
        <w:t xml:space="preserve"> operations</w:t>
      </w:r>
      <w:r w:rsidR="001742CA">
        <w:t>.</w:t>
      </w:r>
      <w:r>
        <w:t xml:space="preserve"> </w:t>
      </w:r>
    </w:p>
    <w:p w:rsidR="005855D6" w:rsidRDefault="005855D6" w:rsidP="005855D6">
      <w:pPr>
        <w:ind w:left="-90"/>
      </w:pPr>
    </w:p>
    <w:p w:rsidR="005855D6" w:rsidRDefault="005855D6" w:rsidP="005855D6">
      <w:pPr>
        <w:ind w:left="-90"/>
        <w:rPr>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55D6" w:rsidRDefault="005855D6" w:rsidP="005855D6">
      <w:pPr>
        <w:ind w:left="-90"/>
        <w:rPr>
          <w:sz w:val="20"/>
          <w:szCs w:val="20"/>
        </w:rPr>
      </w:pPr>
    </w:p>
    <w:p w:rsidR="00061C6A" w:rsidRDefault="00061C6A">
      <w:pPr>
        <w:widowControl/>
        <w:autoSpaceDE/>
        <w:autoSpaceDN/>
        <w:adjustRightInd/>
        <w:spacing w:after="200" w:line="276" w:lineRule="auto"/>
      </w:pPr>
      <w:r>
        <w:br w:type="page"/>
      </w:r>
    </w:p>
    <w:p w:rsidR="005855D6" w:rsidRDefault="005855D6" w:rsidP="005855D6">
      <w:pPr>
        <w:ind w:left="-90"/>
      </w:pPr>
      <w:r>
        <w:lastRenderedPageBreak/>
        <w:t xml:space="preserve">Employers may use any available technology to establish and maintain the documents specified by the Subpart.  The Agency wrote the paperwork requirements in performance-oriented language, i.e., in terms of </w:t>
      </w:r>
      <w:r>
        <w:rPr>
          <w:u w:val="single"/>
        </w:rPr>
        <w:t>what</w:t>
      </w:r>
      <w:r>
        <w:t xml:space="preserve"> data to collect, not </w:t>
      </w:r>
      <w:r>
        <w:rPr>
          <w:u w:val="single"/>
        </w:rPr>
        <w:t>how</w:t>
      </w:r>
      <w:r>
        <w:t xml:space="preserve"> to record the data.</w:t>
      </w:r>
    </w:p>
    <w:p w:rsidR="005855D6" w:rsidRDefault="005855D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5855D6" w:rsidRDefault="005855D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sz w:val="20"/>
          <w:szCs w:val="20"/>
        </w:rPr>
      </w:pPr>
      <w:r>
        <w:rPr>
          <w:b/>
          <w:bCs/>
          <w:sz w:val="20"/>
          <w:szCs w:val="20"/>
        </w:rPr>
        <w:t xml:space="preserve"> 4.  Describe efforts to identify duplication.  Show specifically why any similar information already available cannot be used or modified for use for the purposes described in Item</w:t>
      </w:r>
      <w:r w:rsidR="006F1055">
        <w:rPr>
          <w:b/>
          <w:bCs/>
          <w:sz w:val="20"/>
          <w:szCs w:val="20"/>
        </w:rPr>
        <w:t xml:space="preserve"> A.</w:t>
      </w:r>
      <w:r>
        <w:rPr>
          <w:b/>
          <w:bCs/>
          <w:sz w:val="20"/>
          <w:szCs w:val="20"/>
        </w:rPr>
        <w:t>2 above.</w:t>
      </w:r>
    </w:p>
    <w:p w:rsidR="005855D6" w:rsidRDefault="005855D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 xml:space="preserve">The information collection requirements of the Subpart are specific to each employer involved and no other source or agency duplicates these requirements or can make the required information available to OSHA (i.e., the required information is available only from </w:t>
      </w:r>
      <w:r w:rsidR="00A97277">
        <w:t xml:space="preserve">affected </w:t>
      </w:r>
      <w:r>
        <w:t>employers).</w:t>
      </w: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r>
        <w:rPr>
          <w:b/>
          <w:bCs/>
          <w:sz w:val="20"/>
          <w:szCs w:val="20"/>
        </w:rPr>
        <w:t xml:space="preserve"> 5. If the collection of information impacts small businesses or other small entities, describe any methods used to minimize burden.</w:t>
      </w: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The information collection requirements specified by the Subpart do not have a significant impact on a substantial number of small entities.</w:t>
      </w: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0"/>
          <w:szCs w:val="20"/>
        </w:rPr>
      </w:pPr>
      <w:r>
        <w:rPr>
          <w:b/>
          <w:bCs/>
          <w:sz w:val="20"/>
          <w:szCs w:val="20"/>
        </w:rPr>
        <w:t>6.  Describe the consequence to Federal program or policy activities if the collection is not conducted or is conducted less frequently, as well as any technical or legal obstacles to reducing burden.</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 xml:space="preserve">Employers need to comply with each paperwork requirement specified by the Subpart only once for each task at a jobsite (e.g., placing warning signs for a post-tensioning operation, tagging a piece of hazardous equipment for entry and repair, developing drawings or plans).  Any reduction in frequency would eliminate the requirements entirely, thereby, jeopardizing the safety of workers who rely on signs and tags to warn them of hazards or who use drawing, plans, </w:t>
      </w:r>
      <w:r w:rsidR="00B62373">
        <w:t xml:space="preserve">sketches, </w:t>
      </w:r>
      <w:r>
        <w:t>or designs to ensure the structural stability and integrity of the concrete structure</w:t>
      </w:r>
      <w:r w:rsidR="00B62373">
        <w:t xml:space="preserve"> being built</w:t>
      </w:r>
      <w:r w:rsidR="008A29BE">
        <w:t>.</w:t>
      </w: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b/>
          <w:bCs/>
          <w:sz w:val="20"/>
          <w:szCs w:val="20"/>
        </w:rPr>
      </w:pPr>
      <w:r>
        <w:rPr>
          <w:b/>
          <w:bCs/>
          <w:sz w:val="20"/>
          <w:szCs w:val="20"/>
        </w:rPr>
        <w:t>7.  Explain any special circumstances that would cause an information collection to be conducted in a manner:</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report information to the agency more often than quarterly;</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prepare a written response to a collection of information in fewer than 30 days after receipt of it;</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Requiring respondents to submit more than an original and two copies of any document;</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retain records, other than health, medical, government contract, grant-in-aid, or tax records for more than three years;</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In connection with a statistical survey, that is not designed to produce valid and reliable results that can be generalized to the universe of study;</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the use of a statistical data classification that has not been reviewed and approved by OMB;</w:t>
      </w:r>
    </w:p>
    <w:p w:rsidR="008A29BE" w:rsidRDefault="008A29BE"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5855D6" w:rsidRDefault="008A29B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Del="008A29BE">
        <w:t xml:space="preserve">  </w:t>
      </w:r>
      <w:r w:rsidR="005855D6">
        <w:rPr>
          <w:b/>
          <w:bCs/>
          <w:sz w:val="20"/>
          <w:szCs w:val="20"/>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Requiring respondents to submit proprietary trade secret, or other confidential information unless the agency can demonstrate that it has instituted procedures to protect the information's confidentiality to the extent permitted by law.</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No special circumstances exist that require employers to collect information in the manner or using the procedures specified by this item.</w:t>
      </w:r>
    </w:p>
    <w:p w:rsidR="008A29BE" w:rsidRDefault="008A29B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Pr="00DB42A3" w:rsidRDefault="00066695" w:rsidP="00066695">
      <w:pPr>
        <w:overflowPunct w:val="0"/>
        <w:rPr>
          <w:kern w:val="28"/>
        </w:rPr>
      </w:pPr>
      <w:r w:rsidRPr="00DB42A3">
        <w:rPr>
          <w:kern w:val="28"/>
        </w:rPr>
        <w:t>As required by the Paperwork Reduction Act of 1995 (44 U.S.C. 3506(c)(2)(A)</w:t>
      </w:r>
      <w:r>
        <w:rPr>
          <w:kern w:val="28"/>
        </w:rPr>
        <w:t xml:space="preserve">), OSHA </w:t>
      </w:r>
      <w:r w:rsidRPr="00DB42A3">
        <w:rPr>
          <w:kern w:val="28"/>
        </w:rPr>
        <w:t xml:space="preserve"> publish</w:t>
      </w:r>
      <w:r>
        <w:rPr>
          <w:kern w:val="28"/>
        </w:rPr>
        <w:t>ed</w:t>
      </w:r>
      <w:r w:rsidRPr="00DB42A3">
        <w:rPr>
          <w:kern w:val="28"/>
        </w:rPr>
        <w:t xml:space="preserve"> a </w:t>
      </w:r>
      <w:r w:rsidRPr="00066695">
        <w:rPr>
          <w:iCs/>
          <w:kern w:val="28"/>
        </w:rPr>
        <w:t>Federal Register</w:t>
      </w:r>
      <w:r w:rsidRPr="00DB42A3">
        <w:rPr>
          <w:b/>
          <w:bCs/>
          <w:kern w:val="28"/>
        </w:rPr>
        <w:t xml:space="preserve"> </w:t>
      </w:r>
      <w:r w:rsidRPr="00DB42A3">
        <w:rPr>
          <w:bCs/>
          <w:kern w:val="28"/>
        </w:rPr>
        <w:t>notice</w:t>
      </w:r>
      <w:r w:rsidRPr="00DB42A3">
        <w:rPr>
          <w:kern w:val="28"/>
        </w:rPr>
        <w:t xml:space="preserve"> </w:t>
      </w:r>
      <w:r>
        <w:rPr>
          <w:kern w:val="28"/>
        </w:rPr>
        <w:t xml:space="preserve"> on  January 31, 2014 (79 FR 5461, Docket No.</w:t>
      </w:r>
      <w:r w:rsidR="002148F6">
        <w:rPr>
          <w:kern w:val="28"/>
        </w:rPr>
        <w:t>OSHA-</w:t>
      </w:r>
      <w:r>
        <w:rPr>
          <w:kern w:val="28"/>
        </w:rPr>
        <w:t xml:space="preserve"> 2010-0040) soliciting comments from the</w:t>
      </w:r>
      <w:r w:rsidRPr="00DB42A3">
        <w:rPr>
          <w:b/>
          <w:bCs/>
          <w:kern w:val="28"/>
        </w:rPr>
        <w:t xml:space="preserve"> </w:t>
      </w:r>
      <w:r w:rsidRPr="00DB42A3">
        <w:rPr>
          <w:bCs/>
          <w:kern w:val="28"/>
        </w:rPr>
        <w:t xml:space="preserve">public </w:t>
      </w:r>
      <w:r>
        <w:rPr>
          <w:bCs/>
          <w:kern w:val="28"/>
        </w:rPr>
        <w:t>and other interested  parties on the</w:t>
      </w:r>
      <w:r w:rsidRPr="00DB42A3">
        <w:rPr>
          <w:kern w:val="28"/>
        </w:rPr>
        <w:t xml:space="preserve"> information collection</w:t>
      </w:r>
      <w:r>
        <w:rPr>
          <w:kern w:val="28"/>
        </w:rPr>
        <w:t xml:space="preserve"> </w:t>
      </w:r>
      <w:r w:rsidRPr="00DB42A3">
        <w:rPr>
          <w:kern w:val="28"/>
        </w:rPr>
        <w:t xml:space="preserve"> requirements contained in the </w:t>
      </w:r>
      <w:r>
        <w:rPr>
          <w:kern w:val="28"/>
        </w:rPr>
        <w:t>Concrete and Masonry Construction Standard (29 CFR part 1926, subpart Q).  The notice was</w:t>
      </w:r>
      <w:r w:rsidRPr="00DB42A3">
        <w:rPr>
          <w:kern w:val="28"/>
        </w:rPr>
        <w:t xml:space="preserve"> part of a preclearance consultation program </w:t>
      </w:r>
      <w:r>
        <w:rPr>
          <w:kern w:val="28"/>
        </w:rPr>
        <w:t>that</w:t>
      </w:r>
      <w:r w:rsidRPr="00DB42A3">
        <w:rPr>
          <w:kern w:val="28"/>
        </w:rPr>
        <w:t xml:space="preserve"> provide</w:t>
      </w:r>
      <w:r>
        <w:rPr>
          <w:kern w:val="28"/>
        </w:rPr>
        <w:t>d</w:t>
      </w:r>
      <w:r w:rsidRPr="00DB42A3">
        <w:rPr>
          <w:kern w:val="28"/>
        </w:rPr>
        <w:t xml:space="preserve"> those interested parties with the opportunity to comment on OSHA’s request for an extension by the Office of Management and Budget (OMB) of a previous approval of the information collection requirements found in </w:t>
      </w:r>
      <w:r>
        <w:rPr>
          <w:kern w:val="28"/>
        </w:rPr>
        <w:t xml:space="preserve">the </w:t>
      </w:r>
      <w:r w:rsidRPr="00DB42A3">
        <w:rPr>
          <w:kern w:val="28"/>
        </w:rPr>
        <w:t>standard.  The Agency</w:t>
      </w:r>
      <w:r>
        <w:rPr>
          <w:kern w:val="28"/>
        </w:rPr>
        <w:t xml:space="preserve"> did not receive any comments</w:t>
      </w:r>
      <w:r w:rsidRPr="00DB42A3">
        <w:rPr>
          <w:kern w:val="28"/>
        </w:rPr>
        <w:t xml:space="preserve"> </w:t>
      </w:r>
      <w:r>
        <w:rPr>
          <w:kern w:val="28"/>
        </w:rPr>
        <w:t>regarding the proposed information collection request.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9.  Explain any decision to provide any payment or gift to respondents, other than rem</w:t>
      </w:r>
      <w:r w:rsidR="00221F6F">
        <w:rPr>
          <w:b/>
          <w:bCs/>
          <w:sz w:val="20"/>
          <w:szCs w:val="20"/>
        </w:rPr>
        <w:t>un</w:t>
      </w:r>
      <w:r>
        <w:rPr>
          <w:b/>
          <w:bCs/>
          <w:sz w:val="20"/>
          <w:szCs w:val="20"/>
        </w:rPr>
        <w:t>eration of contractors or grantees.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will </w:t>
      </w:r>
      <w:r>
        <w:rPr>
          <w:u w:val="single"/>
        </w:rPr>
        <w:t>not</w:t>
      </w:r>
      <w:r>
        <w:t xml:space="preserve"> provide payments or gifts to the respondents.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10.  Describe any assurance of confidentiality provided to respondents and the basis for the assurance in statute, regulation, or agency policy.</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the Subpart do not involve confidential information.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the Subpart do not involve sensitive information.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12.  Provide estimates of the hour burden of the collection of information.  The statement should: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Pr>
          <w:b/>
          <w:bCs/>
          <w:sz w:val="20"/>
          <w:szCs w:val="20"/>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If this request for approval covers more than one form, provide separate hour burden estimates for each form and aggregate the hour burdens in Item 13.</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Provide estimates of annualized cost to respondents for the hour burdens for collections of information, identifying and using appropriate wage-rate categories.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E81C2B" w:rsidP="005855D6">
      <w:r>
        <w:t xml:space="preserve">Posting </w:t>
      </w:r>
      <w:r w:rsidR="005855D6">
        <w:t>signs, and us</w:t>
      </w:r>
      <w:r>
        <w:t>ing</w:t>
      </w:r>
      <w:r w:rsidR="005855D6">
        <w:t xml:space="preserve"> barriers (tapes with warning messages or </w:t>
      </w:r>
      <w:r w:rsidR="00B311D6">
        <w:t xml:space="preserve">other </w:t>
      </w:r>
      <w:r w:rsidR="005855D6">
        <w:t xml:space="preserve">messages </w:t>
      </w:r>
      <w:r w:rsidR="00B311D6">
        <w:t xml:space="preserve">couched </w:t>
      </w:r>
      <w:r w:rsidR="005855D6">
        <w:t>to prevent entry to specific areas of the jobsite</w:t>
      </w:r>
      <w:r w:rsidR="004F09A3">
        <w:t xml:space="preserve"> §1926.701(c)(2)</w:t>
      </w:r>
      <w:r w:rsidR="005855D6">
        <w:t>)</w:t>
      </w:r>
      <w:r w:rsidRPr="00E81C2B">
        <w:t xml:space="preserve">, except for employees essential to post-tensioning operations </w:t>
      </w:r>
      <w:r w:rsidR="005855D6">
        <w:t xml:space="preserve">and </w:t>
      </w:r>
      <w:r>
        <w:t xml:space="preserve">using </w:t>
      </w:r>
      <w:r w:rsidR="005855D6">
        <w:t>lock</w:t>
      </w:r>
      <w:r w:rsidR="00E1777C">
        <w:t>out</w:t>
      </w:r>
      <w:r w:rsidR="005855D6">
        <w:t xml:space="preserve"> and tags</w:t>
      </w:r>
      <w:r w:rsidR="005855D6">
        <w:rPr>
          <w:rStyle w:val="FootnoteReference"/>
          <w:vertAlign w:val="superscript"/>
        </w:rPr>
        <w:footnoteReference w:id="2"/>
      </w:r>
      <w:r w:rsidR="005855D6">
        <w:t xml:space="preserve"> </w:t>
      </w:r>
      <w:r>
        <w:t xml:space="preserve"> to prevent unintended entry or operation of facilities/equipment</w:t>
      </w:r>
      <w:r w:rsidR="004F09A3">
        <w:t xml:space="preserve"> (§1926.702(a)(2) and (j)(2)</w:t>
      </w:r>
      <w:r w:rsidR="00E40C7A">
        <w:t>)</w:t>
      </w:r>
      <w:r>
        <w:t xml:space="preserve"> are</w:t>
      </w:r>
      <w:r w:rsidR="005855D6">
        <w:t xml:space="preserve"> common practice</w:t>
      </w:r>
      <w:r>
        <w:t>s</w:t>
      </w:r>
      <w:r w:rsidR="005855D6">
        <w:t xml:space="preserve"> on construction jobs</w:t>
      </w:r>
      <w:r>
        <w:t>ites</w:t>
      </w:r>
      <w:r w:rsidR="005855D6">
        <w:rPr>
          <w:b/>
        </w:rPr>
        <w:t xml:space="preserve">.  </w:t>
      </w:r>
      <w:r w:rsidR="005855D6">
        <w:t xml:space="preserve">Information taken from </w:t>
      </w:r>
      <w:r w:rsidR="007F61A7">
        <w:t xml:space="preserve">McGraw Hill’s </w:t>
      </w:r>
      <w:r w:rsidR="005855D6">
        <w:t>FW Dodge reports and analyzed by the University of Tennessee indicate</w:t>
      </w:r>
      <w:r w:rsidR="00E31161">
        <w:t>d</w:t>
      </w:r>
      <w:r w:rsidR="005855D6">
        <w:t xml:space="preserve"> for calendar year 2009 </w:t>
      </w:r>
      <w:r w:rsidR="00A41759">
        <w:t xml:space="preserve">indicated that </w:t>
      </w:r>
      <w:r w:rsidR="005855D6">
        <w:t xml:space="preserve">the number of active construction worksites (excluding single-family houses) was approximately 168,199.  </w:t>
      </w:r>
      <w:r w:rsidR="00A41759">
        <w:t xml:space="preserve">Using </w:t>
      </w:r>
      <w:r w:rsidR="00A41759" w:rsidRPr="00A41759">
        <w:t>Dodge Construction Out</w:t>
      </w:r>
      <w:r w:rsidR="00061C6A">
        <w:t>l</w:t>
      </w:r>
      <w:r w:rsidR="00A41759" w:rsidRPr="00A41759">
        <w:t>ook 2014</w:t>
      </w:r>
      <w:r w:rsidR="00A41759">
        <w:t>-</w:t>
      </w:r>
      <w:r w:rsidR="00A41759" w:rsidRPr="00A41759">
        <w:t>Pattern of U.S. Construction Starts</w:t>
      </w:r>
      <w:r w:rsidR="00A41759">
        <w:t xml:space="preserve"> chart OSHA calculates a 0.083% increase in construction excluding single family houses from 2009 through 2012 or 182,160 worksites. </w:t>
      </w:r>
      <w:r w:rsidR="005855D6">
        <w:t>According to the U.S. Census Bureau News Joint Release (CB1</w:t>
      </w:r>
      <w:r w:rsidR="0014270C">
        <w:t>3</w:t>
      </w:r>
      <w:r w:rsidR="005855D6">
        <w:t>-</w:t>
      </w:r>
      <w:r w:rsidR="0014270C">
        <w:t>1</w:t>
      </w:r>
      <w:r w:rsidR="005855D6">
        <w:t xml:space="preserve">0), </w:t>
      </w:r>
      <w:r w:rsidR="0014270C">
        <w:t>single-family</w:t>
      </w:r>
      <w:r w:rsidR="005855D6">
        <w:t xml:space="preserve"> housing starts in December 20</w:t>
      </w:r>
      <w:r w:rsidR="0014270C">
        <w:t>12</w:t>
      </w:r>
      <w:r w:rsidR="005855D6">
        <w:t xml:space="preserve"> were at a rate of </w:t>
      </w:r>
      <w:r w:rsidR="00B914FA">
        <w:t>616,000</w:t>
      </w:r>
      <w:r w:rsidR="005855D6">
        <w:t xml:space="preserve">.  OSHA estimates that at least 20 percent of </w:t>
      </w:r>
      <w:r w:rsidR="00B914FA">
        <w:t xml:space="preserve">all </w:t>
      </w:r>
      <w:r w:rsidR="005855D6">
        <w:t>the</w:t>
      </w:r>
      <w:r w:rsidR="00B914FA">
        <w:t>se</w:t>
      </w:r>
      <w:r w:rsidR="005855D6">
        <w:t xml:space="preserve"> worksites </w:t>
      </w:r>
      <w:r w:rsidR="00D225BD">
        <w:t xml:space="preserve">(182,160 + 616,000 = 798,160) </w:t>
      </w:r>
      <w:r w:rsidR="005855D6">
        <w:t xml:space="preserve">will involve one instance of posting warnings or </w:t>
      </w:r>
      <w:r w:rsidR="00B914FA">
        <w:t xml:space="preserve">using </w:t>
      </w:r>
      <w:r w:rsidR="005855D6">
        <w:t xml:space="preserve">locks and tags at jobs covered by this collection.  </w:t>
      </w:r>
    </w:p>
    <w:p w:rsidR="006A7AD5" w:rsidRDefault="006A7AD5" w:rsidP="005855D6">
      <w:pPr>
        <w:widowControl/>
        <w:autoSpaceDE/>
        <w:adjustRightInd/>
      </w:pPr>
    </w:p>
    <w:p w:rsidR="006A7AD5" w:rsidRPr="0083729D" w:rsidRDefault="006A7AD5" w:rsidP="0083729D">
      <w:pPr>
        <w:widowControl/>
        <w:autoSpaceDE/>
        <w:adjustRightInd/>
      </w:pPr>
      <w:r w:rsidRPr="006A7AD5">
        <w:rPr>
          <w:kern w:val="28"/>
        </w:rPr>
        <w:t xml:space="preserve">The Agency adopted the mean wage rates from </w:t>
      </w:r>
      <w:r w:rsidRPr="006A7AD5">
        <w:rPr>
          <w:i/>
          <w:iCs/>
          <w:kern w:val="28"/>
        </w:rPr>
        <w:t>Occupational Employment Stat</w:t>
      </w:r>
      <w:r>
        <w:rPr>
          <w:i/>
          <w:iCs/>
          <w:kern w:val="28"/>
        </w:rPr>
        <w:t>istics, May 2012</w:t>
      </w:r>
      <w:r w:rsidRPr="006A7AD5">
        <w:rPr>
          <w:i/>
          <w:iCs/>
          <w:kern w:val="28"/>
        </w:rPr>
        <w:t xml:space="preserve"> National Industry-Specific Occupational Employment and Wage Estimator:  NAICS 238320 – Painting and Wall Covering Contractors.</w:t>
      </w:r>
      <w:r w:rsidRPr="006A7AD5">
        <w:rPr>
          <w:kern w:val="28"/>
        </w:rPr>
        <w:t xml:space="preserve">  Total compensation for these occupational categories</w:t>
      </w:r>
      <w:r>
        <w:rPr>
          <w:kern w:val="28"/>
        </w:rPr>
        <w:t xml:space="preserve"> includes an adjustment of</w:t>
      </w:r>
      <w:r w:rsidR="006F1055">
        <w:rPr>
          <w:kern w:val="28"/>
        </w:rPr>
        <w:t xml:space="preserve"> </w:t>
      </w:r>
      <w:r w:rsidR="00C63373">
        <w:rPr>
          <w:kern w:val="28"/>
        </w:rPr>
        <w:t>30.9</w:t>
      </w:r>
      <w:r w:rsidRPr="006A7AD5">
        <w:rPr>
          <w:kern w:val="28"/>
        </w:rPr>
        <w:t xml:space="preserve"> percent (</w:t>
      </w:r>
      <w:r w:rsidRPr="006A7AD5">
        <w:rPr>
          <w:i/>
          <w:iCs/>
          <w:kern w:val="28"/>
        </w:rPr>
        <w:t xml:space="preserve">Employer Costs for Employee Compensation </w:t>
      </w:r>
      <w:r w:rsidR="00061C6A" w:rsidRPr="006A7AD5">
        <w:rPr>
          <w:i/>
          <w:iCs/>
          <w:kern w:val="28"/>
        </w:rPr>
        <w:t>Summary,</w:t>
      </w:r>
      <w:r w:rsidR="00061C6A">
        <w:rPr>
          <w:i/>
          <w:iCs/>
          <w:kern w:val="28"/>
        </w:rPr>
        <w:t xml:space="preserve"> Wednesday</w:t>
      </w:r>
      <w:r w:rsidR="00C63373">
        <w:rPr>
          <w:i/>
          <w:iCs/>
          <w:kern w:val="28"/>
        </w:rPr>
        <w:t>, December 1,</w:t>
      </w:r>
      <w:r w:rsidR="00061C6A">
        <w:rPr>
          <w:i/>
          <w:iCs/>
          <w:kern w:val="28"/>
        </w:rPr>
        <w:t xml:space="preserve"> </w:t>
      </w:r>
      <w:r w:rsidR="002148F6">
        <w:rPr>
          <w:i/>
          <w:iCs/>
          <w:kern w:val="28"/>
        </w:rPr>
        <w:t>2013</w:t>
      </w:r>
      <w:r w:rsidR="002148F6" w:rsidRPr="006A7AD5">
        <w:rPr>
          <w:i/>
          <w:iCs/>
          <w:kern w:val="28"/>
        </w:rPr>
        <w:t>)</w:t>
      </w:r>
      <w:r w:rsidRPr="006A7AD5">
        <w:rPr>
          <w:kern w:val="28"/>
        </w:rPr>
        <w:t xml:space="preserve"> for fringe benefits; this figure represents the average level of fringe benefits in the private sector.  The costs of labor used in this analysis are, therefore, estimates of total hourly compensation.</w:t>
      </w:r>
      <w:r w:rsidR="0083729D" w:rsidRPr="0083729D">
        <w:t xml:space="preserve"> </w:t>
      </w:r>
      <w:r w:rsidR="0083729D">
        <w:t xml:space="preserve">It typically takes 5 minutes (.08 hour) to post or place the warning signs, locks, tags, etc..  </w:t>
      </w:r>
      <w:r w:rsidR="0083729D">
        <w:rPr>
          <w:kern w:val="28"/>
        </w:rPr>
        <w:t xml:space="preserve"> The</w:t>
      </w:r>
      <w:r w:rsidRPr="006A7AD5">
        <w:rPr>
          <w:kern w:val="28"/>
        </w:rPr>
        <w:t xml:space="preserve"> hourl</w:t>
      </w:r>
      <w:r>
        <w:rPr>
          <w:kern w:val="28"/>
        </w:rPr>
        <w:t>y wage</w:t>
      </w:r>
      <w:r w:rsidR="0083729D">
        <w:rPr>
          <w:kern w:val="28"/>
        </w:rPr>
        <w:t xml:space="preserve"> rate is</w:t>
      </w:r>
      <w:r w:rsidRPr="006A7AD5">
        <w:rPr>
          <w:kern w:val="28"/>
        </w:rPr>
        <w:t>:</w:t>
      </w:r>
    </w:p>
    <w:p w:rsidR="006A7AD5" w:rsidRDefault="006A7AD5" w:rsidP="006A7AD5">
      <w:pPr>
        <w:keepLines/>
        <w:overflowPunct w:val="0"/>
        <w:rPr>
          <w:kern w:val="28"/>
        </w:rPr>
      </w:pPr>
    </w:p>
    <w:p w:rsidR="006A7AD5" w:rsidRPr="006A7AD5" w:rsidRDefault="006A7AD5" w:rsidP="00066695">
      <w:pPr>
        <w:keepLines/>
        <w:overflowPunct w:val="0"/>
        <w:ind w:firstLine="720"/>
        <w:rPr>
          <w:kern w:val="28"/>
        </w:rPr>
      </w:pPr>
      <w:r>
        <w:rPr>
          <w:kern w:val="28"/>
        </w:rPr>
        <w:t>Painter</w:t>
      </w:r>
      <w:r w:rsidR="0083729D">
        <w:rPr>
          <w:kern w:val="28"/>
        </w:rPr>
        <w:t>s, Construction and M</w:t>
      </w:r>
      <w:r>
        <w:rPr>
          <w:kern w:val="28"/>
        </w:rPr>
        <w:t>aintenance (SOC 47-2141):          $24.06</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r>
      <w:r>
        <w:rPr>
          <w:b/>
        </w:rPr>
        <w:t>Burden Hours</w:t>
      </w:r>
      <w:r>
        <w:t xml:space="preserve">:  </w:t>
      </w:r>
      <w:r w:rsidR="00D225BD">
        <w:t>798,160</w:t>
      </w:r>
      <w:r>
        <w:t xml:space="preserve"> x 20% x .08 hour = </w:t>
      </w:r>
      <w:r w:rsidR="00D225BD">
        <w:t>12,771</w:t>
      </w:r>
      <w:r>
        <w:t xml:space="preserve"> hours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ab/>
      </w:r>
      <w:r>
        <w:rPr>
          <w:b/>
        </w:rPr>
        <w:tab/>
      </w:r>
      <w:r>
        <w:rPr>
          <w:b/>
        </w:rPr>
        <w:tab/>
        <w:t xml:space="preserve">   Cost</w:t>
      </w:r>
      <w:r w:rsidR="0083729D">
        <w:t xml:space="preserve">:  </w:t>
      </w:r>
      <w:r w:rsidR="00D225BD">
        <w:t xml:space="preserve">12,771 </w:t>
      </w:r>
      <w:r w:rsidR="0083729D">
        <w:t>hours x $24.06</w:t>
      </w:r>
      <w:r w:rsidR="00BC5C18">
        <w:t xml:space="preserve"> = $ </w:t>
      </w:r>
      <w:r w:rsidR="00850A19">
        <w:t xml:space="preserve">  307,271</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described in Item 1, OSHA determined that requirements contained in §1926.703(a)(2) and §1926.705(b) of the paperwork requirements specified by the Subpart impose no burden hours or costs as specified by the Paperwork Reduction Act of 1995.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lastRenderedPageBreak/>
        <w:t>13.  Provide an estimate of the total annual cost burden to respondents or recordkeepers resulting from the collection of information.  (Do not include the cost of any hour burden shown in Items 12 and 14).</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preparations for collecting information such as purchasing computers and software; monitoring, sampling, drilling and testing equipment; and record storage facilities.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widowControl/>
        <w:tabs>
          <w:tab w:val="left" w:pos="0"/>
          <w:tab w:val="left" w:pos="360"/>
          <w:tab w:val="left" w:pos="720"/>
          <w:tab w:val="left" w:pos="2160"/>
        </w:tabs>
      </w:pPr>
      <w:r>
        <w:t xml:space="preserve">The cost determinations made under Item 12 account for the total annual cost burden to respondents or recordkeepers resulting from these collection of information requirements. </w:t>
      </w:r>
    </w:p>
    <w:p w:rsidR="00061C6A" w:rsidRDefault="00061C6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highlight w:val="yellow"/>
        </w:rPr>
      </w:pPr>
    </w:p>
    <w:p w:rsidR="00066695" w:rsidRDefault="005855D6"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 estimates that a compliance officer (GS-12, step 5), at an hourly wage rate of, $37.37 spends about 15</w:t>
      </w:r>
      <w:r>
        <w:rPr>
          <w:color w:val="FF0000"/>
        </w:rPr>
        <w:t xml:space="preserve"> </w:t>
      </w:r>
      <w:r>
        <w:t xml:space="preserve">minutes (.25 hour) during an inspection reviewing signs/barriers and lockout/tagout devices. OSHA determines that its compliance officers will conduct </w:t>
      </w:r>
      <w:r w:rsidR="00E0277C" w:rsidRPr="006F1055">
        <w:t>11,17</w:t>
      </w:r>
      <w:r w:rsidR="006F1055">
        <w:t>4</w:t>
      </w:r>
      <w:r w:rsidR="006F1055" w:rsidRPr="006F1055">
        <w:t xml:space="preserve"> </w:t>
      </w:r>
      <w:r w:rsidRPr="006F1055">
        <w:t>i</w:t>
      </w:r>
      <w:bookmarkStart w:id="0" w:name="_GoBack"/>
      <w:bookmarkEnd w:id="0"/>
      <w:r w:rsidRPr="006F1055">
        <w:t>nspections during each year covered by this ICR.</w:t>
      </w:r>
      <w:r w:rsidRPr="006F1055">
        <w:rPr>
          <w:rStyle w:val="FootnoteReference"/>
          <w:vertAlign w:val="superscript"/>
        </w:rPr>
        <w:footnoteReference w:id="3"/>
      </w:r>
      <w:r w:rsidRPr="006F1055">
        <w:t xml:space="preserve">  In making this cost determination, the</w:t>
      </w:r>
      <w:r>
        <w:t xml:space="preserve"> </w:t>
      </w:r>
      <w:r w:rsidR="00066695">
        <w:br w:type="page"/>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Agency does not account for other occupational costs (e.g., equipment, overhead, and support staff expenses) because it considers these costs to be normal expenses that would occur without the collection of information requirements specified by the Standard.  Therefore, the total cost of these paperwork requirements to the Federal government is: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b/>
          <w:color w:val="FF0000"/>
        </w:rPr>
      </w:pPr>
      <w:r>
        <w:rPr>
          <w:b/>
          <w:bCs/>
        </w:rPr>
        <w:t>Cost</w:t>
      </w:r>
      <w:r>
        <w:t>:</w:t>
      </w:r>
      <w:r>
        <w:rPr>
          <w:b/>
          <w:color w:val="FF0000"/>
        </w:rPr>
        <w:t xml:space="preserve"> </w:t>
      </w:r>
      <w:r>
        <w:t xml:space="preserve"> 11,174 1inspections x .25 hour x $37.37 = $104,393</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FF0000"/>
          <w:highlight w:val="yellow"/>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15.  Explain the reasons for any program changes or adjustments reporting in Items 13 or 14.</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is requesting an increase of 1,168 burden hours (from 11,603 hours to 12,771 hours). The increase is a result of an increase in the number of construction worksites from 725,199 to 798,199. </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the Subpart.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17.  if seeking approval to not display the expiration date for OMB approval of the information collection, explain the reasons that display would be appropriate.</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Pr="00C567F9" w:rsidRDefault="00066695" w:rsidP="00066695">
      <w:pPr>
        <w:widowControl/>
        <w:autoSpaceDE/>
        <w:autoSpaceDN/>
        <w:adjustRightInd/>
        <w:rPr>
          <w:rFonts w:eastAsia="Calibri"/>
        </w:rPr>
      </w:pPr>
      <w:r w:rsidRPr="00C567F9">
        <w:rPr>
          <w:rFonts w:eastAsia="Calibri"/>
        </w:rPr>
        <w:t>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dates.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18.  Explain each exception to the certification statement.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 OF INFORMATION EMPLOYING STATISTICAL METHODS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r>
        <w:t>This Supporting Statement does not contain any collection of information requirements that employ statistical methods.</w:t>
      </w:r>
    </w:p>
    <w:sectPr w:rsidR="000666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53" w:rsidRDefault="00E25653" w:rsidP="005855D6">
      <w:r>
        <w:separator/>
      </w:r>
    </w:p>
  </w:endnote>
  <w:endnote w:type="continuationSeparator" w:id="0">
    <w:p w:rsidR="00E25653" w:rsidRDefault="00E25653" w:rsidP="0058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1359"/>
      <w:docPartObj>
        <w:docPartGallery w:val="Page Numbers (Bottom of Page)"/>
        <w:docPartUnique/>
      </w:docPartObj>
    </w:sdtPr>
    <w:sdtEndPr>
      <w:rPr>
        <w:noProof/>
      </w:rPr>
    </w:sdtEndPr>
    <w:sdtContent>
      <w:p w:rsidR="00850A19" w:rsidRDefault="00850A19">
        <w:pPr>
          <w:pStyle w:val="Footer"/>
          <w:jc w:val="center"/>
        </w:pPr>
        <w:r>
          <w:fldChar w:fldCharType="begin"/>
        </w:r>
        <w:r>
          <w:instrText xml:space="preserve"> PAGE   \* MERGEFORMAT </w:instrText>
        </w:r>
        <w:r>
          <w:fldChar w:fldCharType="separate"/>
        </w:r>
        <w:r w:rsidR="002148F6">
          <w:rPr>
            <w:noProof/>
          </w:rPr>
          <w:t>7</w:t>
        </w:r>
        <w:r>
          <w:rPr>
            <w:noProof/>
          </w:rPr>
          <w:fldChar w:fldCharType="end"/>
        </w:r>
      </w:p>
    </w:sdtContent>
  </w:sdt>
  <w:p w:rsidR="00850A19" w:rsidRDefault="00850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53" w:rsidRDefault="00E25653" w:rsidP="005855D6">
      <w:r>
        <w:separator/>
      </w:r>
    </w:p>
  </w:footnote>
  <w:footnote w:type="continuationSeparator" w:id="0">
    <w:p w:rsidR="00E25653" w:rsidRDefault="00E25653" w:rsidP="005855D6">
      <w:r>
        <w:continuationSeparator/>
      </w:r>
    </w:p>
  </w:footnote>
  <w:footnote w:id="1">
    <w:p w:rsidR="005855D6" w:rsidRDefault="005855D6" w:rsidP="005855D6">
      <w:pPr>
        <w:spacing w:after="72"/>
        <w:rPr>
          <w:sz w:val="20"/>
          <w:szCs w:val="20"/>
        </w:rPr>
      </w:pPr>
      <w:r>
        <w:rPr>
          <w:sz w:val="20"/>
          <w:szCs w:val="20"/>
        </w:rPr>
        <w:t xml:space="preserve">     </w:t>
      </w:r>
      <w:r>
        <w:rPr>
          <w:sz w:val="20"/>
          <w:szCs w:val="20"/>
        </w:rPr>
        <w:tab/>
      </w: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subpart that contain paperwork requirements; this Supporting Statement does not provide information or guidance on how to comply with, or how to enforce, these provisions.</w:t>
      </w:r>
    </w:p>
  </w:footnote>
  <w:footnote w:id="2">
    <w:p w:rsidR="005855D6" w:rsidRDefault="005855D6" w:rsidP="005855D6">
      <w:pPr>
        <w:pStyle w:val="FootnoteText"/>
        <w:ind w:firstLine="720"/>
      </w:pPr>
      <w:r>
        <w:rPr>
          <w:rStyle w:val="FootnoteReference"/>
          <w:sz w:val="24"/>
          <w:szCs w:val="24"/>
          <w:vertAlign w:val="superscript"/>
        </w:rPr>
        <w:footnoteRef/>
      </w:r>
      <w:r>
        <w:t>OSHA is intentionally overestimating the paperwork burden by assuming that § 1926.702(j)(2) affects all worksites.  OSHA made this assumption to simplify the formula, but the Agency notes that § 1926.702(j)(2) probably does not affect all worksites because OSHA believes most employers will use the language OSHA has provided (“Do not start”) rather than take the time to develop their own language.  (See 5 CFR 1320.3(c)(2)).</w:t>
      </w:r>
    </w:p>
  </w:footnote>
  <w:footnote w:id="3">
    <w:p w:rsidR="005855D6" w:rsidRDefault="005855D6" w:rsidP="005855D6">
      <w:pPr>
        <w:spacing w:after="72"/>
        <w:ind w:left="90"/>
        <w:rPr>
          <w:sz w:val="20"/>
          <w:szCs w:val="20"/>
        </w:rPr>
      </w:pPr>
      <w:r>
        <w:rPr>
          <w:sz w:val="20"/>
          <w:szCs w:val="20"/>
        </w:rPr>
        <w:t xml:space="preserve"> </w:t>
      </w:r>
      <w:r>
        <w:rPr>
          <w:sz w:val="20"/>
          <w:szCs w:val="20"/>
        </w:rPr>
        <w:tab/>
      </w:r>
      <w:r>
        <w:rPr>
          <w:rStyle w:val="FootnoteReference"/>
          <w:sz w:val="20"/>
          <w:szCs w:val="20"/>
          <w:vertAlign w:val="superscript"/>
        </w:rPr>
        <w:footnoteRef/>
      </w:r>
      <w:r>
        <w:rPr>
          <w:sz w:val="20"/>
          <w:szCs w:val="20"/>
        </w:rPr>
        <w:t>OSHA determined the number of inspections by calculating an overall inspection rate of 1.4% (0.014) for all employers under its jurisdiction, then applying this percentage to the number of jobsites covered by the Standard (</w:t>
      </w:r>
      <w:r w:rsidR="00FB7FEF">
        <w:t xml:space="preserve">798,160 </w:t>
      </w:r>
      <w:r>
        <w:rPr>
          <w:sz w:val="20"/>
          <w:szCs w:val="20"/>
        </w:rPr>
        <w:t xml:space="preserve">x .014 = </w:t>
      </w:r>
      <w:r w:rsidR="00850A19">
        <w:rPr>
          <w:sz w:val="20"/>
          <w:szCs w:val="20"/>
        </w:rPr>
        <w:t>11,174</w:t>
      </w:r>
      <w:r>
        <w:rPr>
          <w:sz w:val="20"/>
          <w:szCs w:val="20"/>
        </w:rPr>
        <w:t>).</w:t>
      </w:r>
    </w:p>
    <w:p w:rsidR="005855D6" w:rsidRDefault="005855D6" w:rsidP="005855D6">
      <w:pPr>
        <w:spacing w:after="72"/>
        <w:ind w:left="90"/>
        <w:rPr>
          <w:sz w:val="20"/>
          <w:szCs w:val="20"/>
        </w:rPr>
      </w:pPr>
    </w:p>
    <w:p w:rsidR="005855D6" w:rsidRDefault="005855D6" w:rsidP="005855D6">
      <w:pPr>
        <w:spacing w:after="72"/>
        <w:ind w:left="9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450A8"/>
    <w:multiLevelType w:val="hybridMultilevel"/>
    <w:tmpl w:val="0EBC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D6"/>
    <w:rsid w:val="000501AC"/>
    <w:rsid w:val="00050EF1"/>
    <w:rsid w:val="00061C6A"/>
    <w:rsid w:val="00065A89"/>
    <w:rsid w:val="00066695"/>
    <w:rsid w:val="00086056"/>
    <w:rsid w:val="00106B60"/>
    <w:rsid w:val="00127375"/>
    <w:rsid w:val="0014270C"/>
    <w:rsid w:val="0016743C"/>
    <w:rsid w:val="001742CA"/>
    <w:rsid w:val="00180BE4"/>
    <w:rsid w:val="001B2617"/>
    <w:rsid w:val="002148F6"/>
    <w:rsid w:val="00221F6F"/>
    <w:rsid w:val="00247ABB"/>
    <w:rsid w:val="00251945"/>
    <w:rsid w:val="002671A7"/>
    <w:rsid w:val="00291AA3"/>
    <w:rsid w:val="002949AE"/>
    <w:rsid w:val="00295265"/>
    <w:rsid w:val="002A0B1D"/>
    <w:rsid w:val="002C6F15"/>
    <w:rsid w:val="00305C16"/>
    <w:rsid w:val="00312B07"/>
    <w:rsid w:val="0032543E"/>
    <w:rsid w:val="00386CCF"/>
    <w:rsid w:val="003946CF"/>
    <w:rsid w:val="004033E6"/>
    <w:rsid w:val="00422FB4"/>
    <w:rsid w:val="00436A15"/>
    <w:rsid w:val="00450C4C"/>
    <w:rsid w:val="004701A3"/>
    <w:rsid w:val="004753CD"/>
    <w:rsid w:val="004777B0"/>
    <w:rsid w:val="004A6C25"/>
    <w:rsid w:val="004C134F"/>
    <w:rsid w:val="004F09A3"/>
    <w:rsid w:val="004F2983"/>
    <w:rsid w:val="00517C42"/>
    <w:rsid w:val="00536ED7"/>
    <w:rsid w:val="005423FB"/>
    <w:rsid w:val="005855D6"/>
    <w:rsid w:val="005B3CCE"/>
    <w:rsid w:val="005E4A07"/>
    <w:rsid w:val="005F6037"/>
    <w:rsid w:val="00630ADC"/>
    <w:rsid w:val="00651350"/>
    <w:rsid w:val="00653E1E"/>
    <w:rsid w:val="00666F85"/>
    <w:rsid w:val="006A7AD5"/>
    <w:rsid w:val="006D2F76"/>
    <w:rsid w:val="006D45A2"/>
    <w:rsid w:val="006F1055"/>
    <w:rsid w:val="00710607"/>
    <w:rsid w:val="00712831"/>
    <w:rsid w:val="00720C66"/>
    <w:rsid w:val="00786E73"/>
    <w:rsid w:val="007962D4"/>
    <w:rsid w:val="007D0C02"/>
    <w:rsid w:val="007F61A7"/>
    <w:rsid w:val="00801F0B"/>
    <w:rsid w:val="0080448C"/>
    <w:rsid w:val="00810B9E"/>
    <w:rsid w:val="0083729D"/>
    <w:rsid w:val="00850A19"/>
    <w:rsid w:val="00863DA0"/>
    <w:rsid w:val="008A29BE"/>
    <w:rsid w:val="008A4583"/>
    <w:rsid w:val="008A7794"/>
    <w:rsid w:val="008B5677"/>
    <w:rsid w:val="009013FB"/>
    <w:rsid w:val="00913837"/>
    <w:rsid w:val="00926F85"/>
    <w:rsid w:val="00940745"/>
    <w:rsid w:val="0098746F"/>
    <w:rsid w:val="009961A1"/>
    <w:rsid w:val="00996595"/>
    <w:rsid w:val="009A5ACC"/>
    <w:rsid w:val="009D13BE"/>
    <w:rsid w:val="009F13B7"/>
    <w:rsid w:val="00A036D8"/>
    <w:rsid w:val="00A233D4"/>
    <w:rsid w:val="00A41759"/>
    <w:rsid w:val="00A53A2E"/>
    <w:rsid w:val="00A756FD"/>
    <w:rsid w:val="00A97277"/>
    <w:rsid w:val="00AC61D5"/>
    <w:rsid w:val="00AE58EF"/>
    <w:rsid w:val="00B14FAC"/>
    <w:rsid w:val="00B311D6"/>
    <w:rsid w:val="00B62373"/>
    <w:rsid w:val="00B72027"/>
    <w:rsid w:val="00B77BB7"/>
    <w:rsid w:val="00B900E2"/>
    <w:rsid w:val="00B914FA"/>
    <w:rsid w:val="00B96403"/>
    <w:rsid w:val="00BB24F7"/>
    <w:rsid w:val="00BC5C18"/>
    <w:rsid w:val="00BE74C8"/>
    <w:rsid w:val="00C55A3C"/>
    <w:rsid w:val="00C567F9"/>
    <w:rsid w:val="00C56EE4"/>
    <w:rsid w:val="00C63373"/>
    <w:rsid w:val="00C763C5"/>
    <w:rsid w:val="00CA5583"/>
    <w:rsid w:val="00CA5C16"/>
    <w:rsid w:val="00CF52DF"/>
    <w:rsid w:val="00D10495"/>
    <w:rsid w:val="00D225BD"/>
    <w:rsid w:val="00D2604F"/>
    <w:rsid w:val="00D957E6"/>
    <w:rsid w:val="00D96D52"/>
    <w:rsid w:val="00DB42A3"/>
    <w:rsid w:val="00DD0BDB"/>
    <w:rsid w:val="00DE4D0A"/>
    <w:rsid w:val="00E015C2"/>
    <w:rsid w:val="00E0277C"/>
    <w:rsid w:val="00E1777C"/>
    <w:rsid w:val="00E25653"/>
    <w:rsid w:val="00E31161"/>
    <w:rsid w:val="00E364EE"/>
    <w:rsid w:val="00E40C7A"/>
    <w:rsid w:val="00E6413A"/>
    <w:rsid w:val="00E70A98"/>
    <w:rsid w:val="00E81C2B"/>
    <w:rsid w:val="00E9670D"/>
    <w:rsid w:val="00EC0BA5"/>
    <w:rsid w:val="00EC21E3"/>
    <w:rsid w:val="00EE06AD"/>
    <w:rsid w:val="00F36684"/>
    <w:rsid w:val="00F418C0"/>
    <w:rsid w:val="00F76765"/>
    <w:rsid w:val="00FB1F3B"/>
    <w:rsid w:val="00FB2D16"/>
    <w:rsid w:val="00FB5B95"/>
    <w:rsid w:val="00FB7FEF"/>
    <w:rsid w:val="00FE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55D6"/>
    <w:rPr>
      <w:sz w:val="20"/>
      <w:szCs w:val="20"/>
    </w:rPr>
  </w:style>
  <w:style w:type="character" w:customStyle="1" w:styleId="FootnoteTextChar">
    <w:name w:val="Footnote Text Char"/>
    <w:basedOn w:val="DefaultParagraphFont"/>
    <w:link w:val="FootnoteText"/>
    <w:semiHidden/>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semiHidden/>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55D6"/>
    <w:rPr>
      <w:sz w:val="20"/>
      <w:szCs w:val="20"/>
    </w:rPr>
  </w:style>
  <w:style w:type="character" w:customStyle="1" w:styleId="FootnoteTextChar">
    <w:name w:val="Footnote Text Char"/>
    <w:basedOn w:val="DefaultParagraphFont"/>
    <w:link w:val="FootnoteText"/>
    <w:semiHidden/>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semiHidden/>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0FEE5-69F2-4F81-B5E6-2BF4C593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cp:lastPrinted>2014-02-28T20:27:00Z</cp:lastPrinted>
  <dcterms:created xsi:type="dcterms:W3CDTF">2014-04-11T15:07:00Z</dcterms:created>
  <dcterms:modified xsi:type="dcterms:W3CDTF">2014-04-11T15:07:00Z</dcterms:modified>
</cp:coreProperties>
</file>