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19C" w:rsidRDefault="0025473E" w:rsidP="0091219C">
      <w:pPr>
        <w:pStyle w:val="NormalWeb"/>
        <w:jc w:val="center"/>
        <w:rPr>
          <w:rFonts w:ascii="Arial" w:hAnsi="Arial" w:cs="Arial"/>
          <w:b/>
          <w:bCs/>
          <w:sz w:val="28"/>
          <w:szCs w:val="28"/>
        </w:rPr>
      </w:pPr>
      <w:r>
        <w:rPr>
          <w:rFonts w:ascii="Arial" w:hAnsi="Arial" w:cs="Arial"/>
          <w:b/>
          <w:bCs/>
          <w:sz w:val="28"/>
          <w:szCs w:val="28"/>
        </w:rPr>
        <w:t xml:space="preserve"> </w:t>
      </w:r>
      <w:r w:rsidR="00CA02F9" w:rsidRPr="00523F4A">
        <w:rPr>
          <w:rFonts w:ascii="Arial" w:hAnsi="Arial" w:cs="Arial"/>
          <w:b/>
          <w:bCs/>
          <w:sz w:val="28"/>
          <w:szCs w:val="28"/>
        </w:rPr>
        <w:t>Department of Transportation</w:t>
      </w:r>
    </w:p>
    <w:p w:rsidR="0091219C" w:rsidRPr="00523F4A" w:rsidRDefault="0091219C" w:rsidP="0091219C">
      <w:pPr>
        <w:pStyle w:val="NormalWeb"/>
        <w:jc w:val="center"/>
        <w:rPr>
          <w:rFonts w:ascii="Arial" w:hAnsi="Arial" w:cs="Arial"/>
          <w:b/>
          <w:bCs/>
          <w:sz w:val="28"/>
          <w:szCs w:val="28"/>
        </w:rPr>
      </w:pPr>
      <w:r>
        <w:rPr>
          <w:rFonts w:ascii="Arial" w:hAnsi="Arial" w:cs="Arial"/>
          <w:b/>
          <w:bCs/>
          <w:sz w:val="28"/>
          <w:szCs w:val="28"/>
        </w:rPr>
        <w:t>Office of the Chief Information Officer</w:t>
      </w:r>
    </w:p>
    <w:p w:rsidR="0091219C" w:rsidRDefault="0091219C" w:rsidP="008123C6">
      <w:pPr>
        <w:pStyle w:val="NormalWeb"/>
        <w:spacing w:line="360" w:lineRule="auto"/>
        <w:jc w:val="center"/>
        <w:rPr>
          <w:rFonts w:ascii="Arial" w:hAnsi="Arial" w:cs="Arial"/>
          <w:b/>
          <w:bCs/>
          <w:sz w:val="28"/>
          <w:szCs w:val="28"/>
          <w:u w:val="single"/>
        </w:rPr>
      </w:pPr>
    </w:p>
    <w:p w:rsidR="008123C6" w:rsidRPr="00523F4A" w:rsidRDefault="00CA02F9" w:rsidP="008123C6">
      <w:pPr>
        <w:pStyle w:val="NormalWeb"/>
        <w:spacing w:line="360" w:lineRule="auto"/>
        <w:jc w:val="center"/>
        <w:rPr>
          <w:rFonts w:ascii="Arial" w:hAnsi="Arial" w:cs="Arial"/>
          <w:b/>
          <w:bCs/>
          <w:sz w:val="28"/>
          <w:szCs w:val="28"/>
          <w:u w:val="single"/>
        </w:rPr>
      </w:pPr>
      <w:r w:rsidRPr="00523F4A">
        <w:rPr>
          <w:rFonts w:ascii="Arial" w:hAnsi="Arial" w:cs="Arial"/>
          <w:b/>
          <w:bCs/>
          <w:sz w:val="28"/>
          <w:szCs w:val="28"/>
          <w:u w:val="single"/>
        </w:rPr>
        <w:t>SUPPORTING STATEMENT</w:t>
      </w:r>
    </w:p>
    <w:p w:rsidR="00523F4A" w:rsidRPr="00523F4A" w:rsidRDefault="00523F4A" w:rsidP="008123C6">
      <w:pPr>
        <w:jc w:val="center"/>
        <w:rPr>
          <w:rFonts w:ascii="Arial" w:hAnsi="Arial" w:cs="Arial"/>
          <w:b/>
          <w:smallCaps/>
          <w:sz w:val="28"/>
          <w:szCs w:val="28"/>
        </w:rPr>
      </w:pPr>
      <w:r w:rsidRPr="00523F4A">
        <w:rPr>
          <w:rFonts w:ascii="Arial" w:hAnsi="Arial" w:cs="Arial"/>
          <w:b/>
          <w:smallCaps/>
          <w:sz w:val="28"/>
          <w:szCs w:val="28"/>
        </w:rPr>
        <w:t xml:space="preserve">Commercial Driver </w:t>
      </w:r>
      <w:r w:rsidR="000969AA">
        <w:rPr>
          <w:rFonts w:ascii="Arial" w:hAnsi="Arial" w:cs="Arial"/>
          <w:b/>
          <w:smallCaps/>
          <w:sz w:val="28"/>
          <w:szCs w:val="28"/>
        </w:rPr>
        <w:t>License</w:t>
      </w:r>
    </w:p>
    <w:p w:rsidR="00523F4A" w:rsidRDefault="00523F4A" w:rsidP="008123C6">
      <w:pPr>
        <w:jc w:val="center"/>
        <w:rPr>
          <w:rFonts w:ascii="Arial" w:hAnsi="Arial" w:cs="Arial"/>
          <w:b/>
          <w:smallCaps/>
          <w:sz w:val="28"/>
          <w:szCs w:val="28"/>
        </w:rPr>
      </w:pPr>
      <w:r w:rsidRPr="00523F4A">
        <w:rPr>
          <w:rFonts w:ascii="Arial" w:hAnsi="Arial" w:cs="Arial"/>
          <w:b/>
          <w:smallCaps/>
          <w:sz w:val="28"/>
          <w:szCs w:val="28"/>
        </w:rPr>
        <w:t xml:space="preserve">Drug and Alcohol </w:t>
      </w:r>
      <w:r w:rsidR="000969AA">
        <w:rPr>
          <w:rFonts w:ascii="Arial" w:hAnsi="Arial" w:cs="Arial"/>
          <w:b/>
          <w:smallCaps/>
          <w:sz w:val="28"/>
          <w:szCs w:val="28"/>
        </w:rPr>
        <w:t>Clearinghouse</w:t>
      </w:r>
    </w:p>
    <w:p w:rsidR="00220CFF" w:rsidRDefault="00744F37" w:rsidP="00744F37">
      <w:pPr>
        <w:tabs>
          <w:tab w:val="left" w:pos="2127"/>
        </w:tabs>
        <w:rPr>
          <w:rFonts w:ascii="Arial" w:hAnsi="Arial" w:cs="Arial"/>
          <w:b/>
          <w:smallCaps/>
          <w:sz w:val="28"/>
          <w:szCs w:val="28"/>
        </w:rPr>
      </w:pPr>
      <w:r>
        <w:rPr>
          <w:rFonts w:ascii="Arial" w:hAnsi="Arial" w:cs="Arial"/>
          <w:b/>
          <w:smallCaps/>
          <w:sz w:val="28"/>
          <w:szCs w:val="28"/>
        </w:rPr>
        <w:tab/>
      </w:r>
    </w:p>
    <w:p w:rsidR="0091219C" w:rsidRDefault="0091219C" w:rsidP="00744F37">
      <w:pPr>
        <w:pStyle w:val="NormalWeb"/>
        <w:tabs>
          <w:tab w:val="right" w:pos="9360"/>
        </w:tabs>
        <w:rPr>
          <w:rFonts w:ascii="Arial" w:hAnsi="Arial" w:cs="Arial"/>
          <w:b/>
          <w:bCs/>
          <w:szCs w:val="20"/>
        </w:rPr>
      </w:pPr>
      <w:r w:rsidRPr="0091219C">
        <w:rPr>
          <w:rFonts w:ascii="Arial" w:hAnsi="Arial" w:cs="Arial"/>
          <w:b/>
          <w:bCs/>
          <w:szCs w:val="20"/>
          <w:u w:val="single"/>
        </w:rPr>
        <w:t>INTRODUCTION</w:t>
      </w:r>
    </w:p>
    <w:p w:rsidR="0091219C" w:rsidRPr="001147A4" w:rsidRDefault="0091219C" w:rsidP="00744F37">
      <w:pPr>
        <w:pStyle w:val="NormalWeb"/>
        <w:rPr>
          <w:bCs/>
          <w:szCs w:val="20"/>
        </w:rPr>
      </w:pPr>
      <w:r w:rsidRPr="001147A4">
        <w:rPr>
          <w:bCs/>
          <w:szCs w:val="20"/>
        </w:rPr>
        <w:t xml:space="preserve">This is to request the Office of Management and Budget’s (OMB) approval of a new information collection request (ICR) </w:t>
      </w:r>
      <w:r w:rsidR="002B5B36" w:rsidRPr="001147A4">
        <w:rPr>
          <w:bCs/>
          <w:szCs w:val="20"/>
        </w:rPr>
        <w:t>contained in a Notice of Proposed Rulemaking (NPRM) entitled, “Commercial Driver License</w:t>
      </w:r>
      <w:r w:rsidR="009578BD" w:rsidRPr="001147A4">
        <w:rPr>
          <w:bCs/>
          <w:szCs w:val="20"/>
        </w:rPr>
        <w:t xml:space="preserve"> (CDL)</w:t>
      </w:r>
      <w:r w:rsidR="002B5B36" w:rsidRPr="001147A4">
        <w:rPr>
          <w:bCs/>
          <w:szCs w:val="20"/>
        </w:rPr>
        <w:t xml:space="preserve"> Drug and Alcohol Clearinghouse</w:t>
      </w:r>
      <w:r w:rsidR="00A652F4" w:rsidRPr="001147A4">
        <w:rPr>
          <w:bCs/>
          <w:szCs w:val="20"/>
        </w:rPr>
        <w:t>,</w:t>
      </w:r>
      <w:r w:rsidR="00200746" w:rsidRPr="001147A4">
        <w:rPr>
          <w:bCs/>
          <w:szCs w:val="20"/>
        </w:rPr>
        <w:t>”</w:t>
      </w:r>
      <w:r w:rsidR="00A652F4" w:rsidRPr="001147A4">
        <w:rPr>
          <w:bCs/>
          <w:szCs w:val="20"/>
        </w:rPr>
        <w:t xml:space="preserve"> (79 FR 9703), February 20, 2014,</w:t>
      </w:r>
      <w:r w:rsidR="00200746" w:rsidRPr="001147A4">
        <w:rPr>
          <w:bCs/>
          <w:szCs w:val="20"/>
        </w:rPr>
        <w:t xml:space="preserve"> </w:t>
      </w:r>
      <w:r w:rsidR="002B5B36" w:rsidRPr="001147A4">
        <w:rPr>
          <w:bCs/>
          <w:szCs w:val="20"/>
        </w:rPr>
        <w:t xml:space="preserve">(Attachment A). </w:t>
      </w:r>
    </w:p>
    <w:p w:rsidR="008123C6" w:rsidRPr="00516D3A" w:rsidRDefault="0091219C" w:rsidP="00744F37">
      <w:pPr>
        <w:pStyle w:val="NormalWeb"/>
        <w:rPr>
          <w:rFonts w:ascii="Arial" w:hAnsi="Arial" w:cs="Arial"/>
          <w:bCs/>
          <w:szCs w:val="20"/>
        </w:rPr>
      </w:pPr>
      <w:r w:rsidRPr="0091219C">
        <w:rPr>
          <w:rFonts w:ascii="Arial" w:hAnsi="Arial" w:cs="Arial"/>
          <w:b/>
          <w:bCs/>
          <w:szCs w:val="20"/>
          <w:u w:val="single"/>
        </w:rPr>
        <w:t>Part A.  Justification</w:t>
      </w:r>
    </w:p>
    <w:p w:rsidR="00CA02F9" w:rsidRDefault="00CA02F9" w:rsidP="00744F37">
      <w:pPr>
        <w:pStyle w:val="NormalWeb"/>
        <w:rPr>
          <w:rFonts w:ascii="Arial" w:hAnsi="Arial" w:cs="Arial"/>
        </w:rPr>
      </w:pPr>
      <w:r>
        <w:rPr>
          <w:rFonts w:ascii="Arial" w:hAnsi="Arial" w:cs="Arial"/>
          <w:b/>
          <w:bCs/>
          <w:szCs w:val="20"/>
        </w:rPr>
        <w:t>1. Circumstances that make the collection of information necessary.</w:t>
      </w:r>
    </w:p>
    <w:p w:rsidR="00E97872" w:rsidRDefault="005C174A" w:rsidP="00744F37">
      <w:r>
        <w:t xml:space="preserve">Section </w:t>
      </w:r>
      <w:r w:rsidR="0095349D">
        <w:t>31306a of The Moving Ahead for Progress in the 21</w:t>
      </w:r>
      <w:r w:rsidR="0095349D" w:rsidRPr="005C174A">
        <w:rPr>
          <w:vertAlign w:val="superscript"/>
        </w:rPr>
        <w:t>st</w:t>
      </w:r>
      <w:r w:rsidR="0095349D">
        <w:t xml:space="preserve"> Century Act (MAP-21), Public Law 112-141, 126 stat.405 (July 6, 2012), </w:t>
      </w:r>
      <w:r w:rsidR="00744F37">
        <w:t xml:space="preserve">(Attachment B) </w:t>
      </w:r>
      <w:r w:rsidR="0095349D">
        <w:t>mandates that the Secretary of Transportation</w:t>
      </w:r>
      <w:r w:rsidR="00E97872">
        <w:t xml:space="preserve"> (Secretary)</w:t>
      </w:r>
      <w:r w:rsidR="0095349D">
        <w:t xml:space="preserve"> establish a national clearinghouse for controlled substance and alcohol test results</w:t>
      </w:r>
      <w:r w:rsidR="00E97872">
        <w:t xml:space="preserve"> of commercial motor vehicle </w:t>
      </w:r>
      <w:r>
        <w:t xml:space="preserve">(CMV) </w:t>
      </w:r>
      <w:r w:rsidR="00E97872">
        <w:t>operators.</w:t>
      </w:r>
      <w:r>
        <w:t xml:space="preserve">  </w:t>
      </w:r>
    </w:p>
    <w:p w:rsidR="00E97872" w:rsidRDefault="00744F37" w:rsidP="00744F37">
      <w:pPr>
        <w:tabs>
          <w:tab w:val="left" w:pos="7686"/>
        </w:tabs>
      </w:pPr>
      <w:r>
        <w:tab/>
      </w:r>
    </w:p>
    <w:p w:rsidR="00354EFA" w:rsidRPr="009E21E6" w:rsidRDefault="00954F14" w:rsidP="00744F37">
      <w:r w:rsidRPr="009E21E6">
        <w:t>In 1999, a New Orleans bus crash resulted in 22 passenger fatalities.  The motorcoach driver’s post-accident drug test showed use of marijuana and a sedating anti-histamine prior to going on duty.  The driver had also failed pre-employment drug testing when applying for previous positions, a fact not revealed or known to the current employer. The driver also failed to disclose on his employment application a previous employer who fired him after a positive drug test.</w:t>
      </w:r>
    </w:p>
    <w:p w:rsidR="00354EFA" w:rsidRDefault="00354EFA" w:rsidP="00744F37"/>
    <w:p w:rsidR="00354EFA" w:rsidRDefault="00354EFA" w:rsidP="00744F37">
      <w:r>
        <w:t xml:space="preserve">As a result, the National Transportation Safety Board (NTSB) made recommendations to the Agency pertaining to the reporting of </w:t>
      </w:r>
      <w:r w:rsidR="009578BD">
        <w:t xml:space="preserve">CDL </w:t>
      </w:r>
      <w:r>
        <w:t>driver drug- and alcohol-testing results. Specifically, the NTSB recommended that the Federal Motor Carrier Safety Administration (FMCSA) “develop a system that records all positive drug and alcohol test results and refusal determinations that are conducted under the U.S. Department of Transportation (USDOT) testing requirements</w:t>
      </w:r>
      <w:r w:rsidR="00C150E7">
        <w:t xml:space="preserve"> and</w:t>
      </w:r>
      <w:r>
        <w:t xml:space="preserve"> require prospective employers to query the system before making a hiring decision</w:t>
      </w:r>
      <w:r w:rsidR="00C150E7">
        <w:t>.</w:t>
      </w:r>
      <w:r>
        <w:t>” This proposed rulemaking addresses the NTSB’s recommendation.</w:t>
      </w:r>
    </w:p>
    <w:p w:rsidR="00062064" w:rsidRDefault="00062064" w:rsidP="00744F37"/>
    <w:p w:rsidR="00062064" w:rsidRDefault="00062064" w:rsidP="00744F37">
      <w:r>
        <w:t>This information collection supports the DOT Strategic Goal of Safety by ensuring that drivers are qualified to operate trucks and buses on our nation’s highways</w:t>
      </w:r>
      <w:r w:rsidR="002C27AF">
        <w:t>.</w:t>
      </w:r>
    </w:p>
    <w:p w:rsidR="00354EFA" w:rsidRDefault="00354EFA" w:rsidP="00744F37"/>
    <w:p w:rsidR="00CA02F9" w:rsidRDefault="00CA02F9" w:rsidP="00744F37">
      <w:pPr>
        <w:pStyle w:val="NormalWeb"/>
        <w:keepNext/>
        <w:rPr>
          <w:rFonts w:ascii="Arial" w:hAnsi="Arial" w:cs="Arial"/>
        </w:rPr>
      </w:pPr>
      <w:r>
        <w:rPr>
          <w:rFonts w:ascii="Arial" w:hAnsi="Arial" w:cs="Arial"/>
          <w:b/>
          <w:bCs/>
          <w:szCs w:val="20"/>
        </w:rPr>
        <w:t xml:space="preserve">2. How, by whom, how frequently, and for what purpose the information will be used. </w:t>
      </w:r>
    </w:p>
    <w:p w:rsidR="00354EFA" w:rsidRPr="00354EFA" w:rsidRDefault="00354EFA" w:rsidP="00744F37">
      <w:pPr>
        <w:pStyle w:val="BodyTextIndent2"/>
        <w:spacing w:line="240" w:lineRule="auto"/>
        <w:ind w:firstLine="0"/>
        <w:rPr>
          <w:rFonts w:ascii="Times New Roman" w:hAnsi="Times New Roman" w:cs="Times New Roman"/>
        </w:rPr>
      </w:pPr>
      <w:r w:rsidRPr="00354EFA">
        <w:rPr>
          <w:rFonts w:ascii="Times New Roman" w:hAnsi="Times New Roman" w:cs="Times New Roman"/>
        </w:rPr>
        <w:t xml:space="preserve">The information </w:t>
      </w:r>
      <w:r w:rsidR="0001369F">
        <w:rPr>
          <w:rFonts w:ascii="Times New Roman" w:hAnsi="Times New Roman" w:cs="Times New Roman"/>
        </w:rPr>
        <w:t>would</w:t>
      </w:r>
      <w:r w:rsidRPr="00354EFA">
        <w:rPr>
          <w:rFonts w:ascii="Times New Roman" w:hAnsi="Times New Roman" w:cs="Times New Roman"/>
        </w:rPr>
        <w:t xml:space="preserve"> be used by employers to identify drivers who have </w:t>
      </w:r>
      <w:r w:rsidR="00426EE9">
        <w:rPr>
          <w:rFonts w:ascii="Times New Roman" w:hAnsi="Times New Roman" w:cs="Times New Roman"/>
        </w:rPr>
        <w:t>violated the Agency’s</w:t>
      </w:r>
      <w:r w:rsidR="00426EE9" w:rsidRPr="00354EFA">
        <w:rPr>
          <w:rFonts w:ascii="Times New Roman" w:hAnsi="Times New Roman" w:cs="Times New Roman"/>
        </w:rPr>
        <w:t xml:space="preserve"> </w:t>
      </w:r>
      <w:r w:rsidRPr="00354EFA">
        <w:rPr>
          <w:rFonts w:ascii="Times New Roman" w:hAnsi="Times New Roman" w:cs="Times New Roman"/>
        </w:rPr>
        <w:t xml:space="preserve">drug and alcohol </w:t>
      </w:r>
      <w:r w:rsidR="00426EE9">
        <w:rPr>
          <w:rFonts w:ascii="Times New Roman" w:hAnsi="Times New Roman" w:cs="Times New Roman"/>
        </w:rPr>
        <w:t>rules</w:t>
      </w:r>
      <w:r w:rsidR="00D25E01">
        <w:rPr>
          <w:rFonts w:ascii="Times New Roman" w:hAnsi="Times New Roman" w:cs="Times New Roman"/>
        </w:rPr>
        <w:t xml:space="preserve">, and are </w:t>
      </w:r>
      <w:r w:rsidR="00920595">
        <w:rPr>
          <w:rFonts w:ascii="Times New Roman" w:hAnsi="Times New Roman" w:cs="Times New Roman"/>
        </w:rPr>
        <w:t>prohibited</w:t>
      </w:r>
      <w:r w:rsidR="00D25E01">
        <w:rPr>
          <w:rFonts w:ascii="Times New Roman" w:hAnsi="Times New Roman" w:cs="Times New Roman"/>
        </w:rPr>
        <w:t xml:space="preserve"> </w:t>
      </w:r>
      <w:r w:rsidR="00920595">
        <w:rPr>
          <w:rFonts w:ascii="Times New Roman" w:hAnsi="Times New Roman" w:cs="Times New Roman"/>
        </w:rPr>
        <w:t xml:space="preserve">from </w:t>
      </w:r>
      <w:r w:rsidR="00D25E01">
        <w:rPr>
          <w:rFonts w:ascii="Times New Roman" w:hAnsi="Times New Roman" w:cs="Times New Roman"/>
        </w:rPr>
        <w:t>operat</w:t>
      </w:r>
      <w:r w:rsidR="00920595">
        <w:rPr>
          <w:rFonts w:ascii="Times New Roman" w:hAnsi="Times New Roman" w:cs="Times New Roman"/>
        </w:rPr>
        <w:t>ing</w:t>
      </w:r>
      <w:r w:rsidR="00D25E01">
        <w:rPr>
          <w:rFonts w:ascii="Times New Roman" w:hAnsi="Times New Roman" w:cs="Times New Roman"/>
        </w:rPr>
        <w:t xml:space="preserve"> commercial motor vehicles</w:t>
      </w:r>
      <w:r w:rsidR="00920595">
        <w:rPr>
          <w:rFonts w:ascii="Times New Roman" w:hAnsi="Times New Roman" w:cs="Times New Roman"/>
        </w:rPr>
        <w:t xml:space="preserve"> (CMV</w:t>
      </w:r>
      <w:r w:rsidR="00200746">
        <w:rPr>
          <w:rFonts w:ascii="Times New Roman" w:hAnsi="Times New Roman" w:cs="Times New Roman"/>
        </w:rPr>
        <w:t>s</w:t>
      </w:r>
      <w:r w:rsidR="00920595">
        <w:rPr>
          <w:rFonts w:ascii="Times New Roman" w:hAnsi="Times New Roman" w:cs="Times New Roman"/>
        </w:rPr>
        <w:t>)</w:t>
      </w:r>
      <w:r w:rsidRPr="00354EFA">
        <w:rPr>
          <w:rFonts w:ascii="Times New Roman" w:hAnsi="Times New Roman" w:cs="Times New Roman"/>
        </w:rPr>
        <w:t xml:space="preserve">. </w:t>
      </w:r>
      <w:r w:rsidR="0001369F">
        <w:rPr>
          <w:rFonts w:ascii="Times New Roman" w:hAnsi="Times New Roman" w:cs="Times New Roman"/>
        </w:rPr>
        <w:t>The information will also be used by FMCSA for research and enforcement purposes.  The NTSB will use information about drivers involved in specific crash investigations.</w:t>
      </w:r>
    </w:p>
    <w:p w:rsidR="00354EFA" w:rsidRDefault="00354EFA" w:rsidP="00744F37"/>
    <w:p w:rsidR="00354EFA" w:rsidRDefault="00354EFA" w:rsidP="00744F37">
      <w:r>
        <w:t xml:space="preserve">The purpose of this rule is to mandate reporting requirements in order to diminish or eliminate the problem of </w:t>
      </w:r>
      <w:r w:rsidR="00CD5EF9">
        <w:t xml:space="preserve">CDL </w:t>
      </w:r>
      <w:r>
        <w:t>holders testing positive for drugs or alcohol, and then continuing to operate CMV</w:t>
      </w:r>
      <w:r w:rsidR="00200746">
        <w:t>s</w:t>
      </w:r>
      <w:r>
        <w:t xml:space="preserve"> without participating in </w:t>
      </w:r>
      <w:r w:rsidR="00200746">
        <w:t xml:space="preserve">the </w:t>
      </w:r>
      <w:r>
        <w:t xml:space="preserve">required return-to-duty process. An additional purpose is to </w:t>
      </w:r>
      <w:r w:rsidR="003C059B">
        <w:t xml:space="preserve">identify </w:t>
      </w:r>
      <w:r>
        <w:t xml:space="preserve">employers </w:t>
      </w:r>
      <w:r w:rsidR="003C059B">
        <w:t>that do not</w:t>
      </w:r>
      <w:r>
        <w:t xml:space="preserve"> establish and maintain required drug and alcohol testing programs. </w:t>
      </w:r>
    </w:p>
    <w:p w:rsidR="00354EFA" w:rsidRDefault="00354EFA" w:rsidP="00744F37"/>
    <w:p w:rsidR="00CA02F9" w:rsidRPr="00354EFA" w:rsidRDefault="00354EFA" w:rsidP="00744F37">
      <w:pPr>
        <w:rPr>
          <w:rFonts w:cs="Arial"/>
          <w:szCs w:val="18"/>
        </w:rPr>
      </w:pPr>
      <w:r>
        <w:t xml:space="preserve">The </w:t>
      </w:r>
      <w:r w:rsidR="003C059B">
        <w:t xml:space="preserve">FMCSA </w:t>
      </w:r>
      <w:r>
        <w:t xml:space="preserve">would revise 49 CFR part 382, </w:t>
      </w:r>
      <w:r w:rsidR="00527DE9" w:rsidRPr="00527DE9">
        <w:rPr>
          <w:i/>
        </w:rPr>
        <w:t>Controlled Substances and Alcohol Use and Testing</w:t>
      </w:r>
      <w:r w:rsidR="00744F37">
        <w:t xml:space="preserve"> (Attachment </w:t>
      </w:r>
      <w:r w:rsidR="009E21E6">
        <w:t>C</w:t>
      </w:r>
      <w:r w:rsidR="00744F37">
        <w:t>)</w:t>
      </w:r>
      <w:r>
        <w:t xml:space="preserve">.  </w:t>
      </w:r>
    </w:p>
    <w:p w:rsidR="00CA02F9" w:rsidRDefault="00CA02F9" w:rsidP="00744F37">
      <w:pPr>
        <w:pStyle w:val="NormalWeb"/>
        <w:keepNext/>
        <w:rPr>
          <w:rFonts w:ascii="Arial" w:hAnsi="Arial" w:cs="Arial"/>
          <w:szCs w:val="20"/>
        </w:rPr>
      </w:pPr>
      <w:r>
        <w:rPr>
          <w:rFonts w:ascii="Arial" w:hAnsi="Arial"/>
          <w:b/>
        </w:rPr>
        <w:t>3. Extent of automated information collection.</w:t>
      </w:r>
      <w:r>
        <w:rPr>
          <w:rFonts w:ascii="Arial" w:hAnsi="Arial" w:cs="Arial"/>
          <w:szCs w:val="20"/>
        </w:rPr>
        <w:t xml:space="preserve"> </w:t>
      </w:r>
    </w:p>
    <w:p w:rsidR="00354EFA" w:rsidRDefault="00354EFA" w:rsidP="00744F37">
      <w:r w:rsidRPr="00354EFA">
        <w:rPr>
          <w:bCs/>
          <w:szCs w:val="20"/>
        </w:rPr>
        <w:t xml:space="preserve">FMCSA estimates that </w:t>
      </w:r>
      <w:r w:rsidR="009E21E6">
        <w:rPr>
          <w:bCs/>
          <w:szCs w:val="20"/>
        </w:rPr>
        <w:t>9</w:t>
      </w:r>
      <w:r w:rsidR="00632E4C">
        <w:rPr>
          <w:bCs/>
          <w:szCs w:val="20"/>
        </w:rPr>
        <w:t>5</w:t>
      </w:r>
      <w:bookmarkStart w:id="0" w:name="_GoBack"/>
      <w:bookmarkEnd w:id="0"/>
      <w:r w:rsidR="009E21E6">
        <w:rPr>
          <w:bCs/>
          <w:szCs w:val="20"/>
        </w:rPr>
        <w:t xml:space="preserve">% </w:t>
      </w:r>
      <w:r w:rsidR="00CA02F9" w:rsidRPr="00354EFA">
        <w:rPr>
          <w:bCs/>
          <w:szCs w:val="20"/>
        </w:rPr>
        <w:t>of th</w:t>
      </w:r>
      <w:r w:rsidR="009E21E6">
        <w:rPr>
          <w:bCs/>
          <w:szCs w:val="20"/>
        </w:rPr>
        <w:t>is</w:t>
      </w:r>
      <w:r w:rsidR="00CA02F9" w:rsidRPr="00354EFA">
        <w:rPr>
          <w:bCs/>
          <w:szCs w:val="20"/>
        </w:rPr>
        <w:t xml:space="preserve"> information </w:t>
      </w:r>
      <w:r w:rsidR="003C059B">
        <w:rPr>
          <w:bCs/>
          <w:szCs w:val="20"/>
        </w:rPr>
        <w:t>would</w:t>
      </w:r>
      <w:r w:rsidR="00CA02F9" w:rsidRPr="00354EFA">
        <w:rPr>
          <w:bCs/>
          <w:szCs w:val="20"/>
        </w:rPr>
        <w:t xml:space="preserve"> be disseminated by</w:t>
      </w:r>
      <w:r w:rsidR="00426EE9">
        <w:rPr>
          <w:bCs/>
          <w:szCs w:val="20"/>
        </w:rPr>
        <w:t xml:space="preserve"> logging into a secure website</w:t>
      </w:r>
      <w:r w:rsidRPr="00354EFA">
        <w:rPr>
          <w:szCs w:val="20"/>
        </w:rPr>
        <w:t>, with the exception of the n</w:t>
      </w:r>
      <w:r w:rsidR="0061220F">
        <w:rPr>
          <w:szCs w:val="20"/>
        </w:rPr>
        <w:t xml:space="preserve">otification </w:t>
      </w:r>
      <w:r w:rsidR="00426EE9">
        <w:rPr>
          <w:szCs w:val="20"/>
        </w:rPr>
        <w:t xml:space="preserve">to </w:t>
      </w:r>
      <w:r w:rsidR="0061220F">
        <w:rPr>
          <w:szCs w:val="20"/>
        </w:rPr>
        <w:t>drivers (</w:t>
      </w:r>
      <w:r w:rsidRPr="00354EFA">
        <w:t xml:space="preserve">FMCSA would notify each driver </w:t>
      </w:r>
      <w:r w:rsidR="00426EE9">
        <w:t xml:space="preserve">via U.S. Mail </w:t>
      </w:r>
      <w:r w:rsidRPr="00354EFA">
        <w:t>that information about them has been reported to</w:t>
      </w:r>
      <w:r w:rsidR="00A13018">
        <w:t>, revised or removed from</w:t>
      </w:r>
      <w:r w:rsidRPr="00354EFA">
        <w:t xml:space="preserve"> the database</w:t>
      </w:r>
      <w:r w:rsidR="00CD5EF9">
        <w:t xml:space="preserve"> unless the driver provides an alternative method of notification such as email</w:t>
      </w:r>
      <w:r w:rsidR="0061220F">
        <w:t>)</w:t>
      </w:r>
      <w:r w:rsidRPr="00354EFA">
        <w:t xml:space="preserve">. </w:t>
      </w:r>
      <w:r w:rsidR="00C6027D">
        <w:t>Thus, of the seven</w:t>
      </w:r>
      <w:r w:rsidR="0061220F">
        <w:t xml:space="preserve"> stated requirements of the rule, all would be </w:t>
      </w:r>
      <w:r w:rsidR="00CD5EF9">
        <w:t>electronic</w:t>
      </w:r>
      <w:r w:rsidR="0061220F">
        <w:t xml:space="preserve"> except for the second below:</w:t>
      </w:r>
    </w:p>
    <w:p w:rsidR="0061220F" w:rsidRDefault="0061220F" w:rsidP="00744F37"/>
    <w:p w:rsidR="0061220F" w:rsidRDefault="0061220F" w:rsidP="00744F37">
      <w:pPr>
        <w:numPr>
          <w:ilvl w:val="0"/>
          <w:numId w:val="13"/>
        </w:numPr>
      </w:pPr>
      <w:r>
        <w:t>Medical Review Officers (MROs) would submit verified positive controlled</w:t>
      </w:r>
      <w:r w:rsidR="00D25E01">
        <w:t xml:space="preserve"> </w:t>
      </w:r>
      <w:r>
        <w:t>substances test</w:t>
      </w:r>
      <w:r w:rsidR="00D25E01">
        <w:t xml:space="preserve"> </w:t>
      </w:r>
      <w:r>
        <w:t xml:space="preserve">results </w:t>
      </w:r>
      <w:r w:rsidR="00D25E01">
        <w:t>and medical refusals</w:t>
      </w:r>
      <w:r>
        <w:t xml:space="preserve"> to the Agency. </w:t>
      </w:r>
    </w:p>
    <w:p w:rsidR="0061220F" w:rsidRPr="007E1F04" w:rsidRDefault="0061220F" w:rsidP="00744F37">
      <w:pPr>
        <w:numPr>
          <w:ilvl w:val="0"/>
          <w:numId w:val="13"/>
        </w:numPr>
      </w:pPr>
      <w:r w:rsidRPr="007E1F04">
        <w:t xml:space="preserve">FMCSA </w:t>
      </w:r>
      <w:r>
        <w:t>would notify driver</w:t>
      </w:r>
      <w:r w:rsidR="00E02372">
        <w:t>s</w:t>
      </w:r>
      <w:r>
        <w:t xml:space="preserve"> testing positive</w:t>
      </w:r>
      <w:r w:rsidRPr="007E1F04">
        <w:t xml:space="preserve"> that information about them has been reported to the database. The drivers would also have the opportunity to </w:t>
      </w:r>
      <w:r>
        <w:t>review the information reported.</w:t>
      </w:r>
    </w:p>
    <w:p w:rsidR="0061220F" w:rsidRDefault="0061220F" w:rsidP="00744F37">
      <w:pPr>
        <w:numPr>
          <w:ilvl w:val="0"/>
          <w:numId w:val="13"/>
        </w:numPr>
      </w:pPr>
      <w:r>
        <w:t>Substance Abuse Professionals (SAPs) would report</w:t>
      </w:r>
      <w:r w:rsidR="00CD5EF9">
        <w:t xml:space="preserve"> </w:t>
      </w:r>
      <w:r w:rsidR="00D25E01">
        <w:t>the completion date of the return to duty process, and the prescribed follow up testing</w:t>
      </w:r>
      <w:r>
        <w:t xml:space="preserve">. </w:t>
      </w:r>
    </w:p>
    <w:p w:rsidR="0061220F" w:rsidRDefault="0061220F" w:rsidP="00744F37">
      <w:pPr>
        <w:numPr>
          <w:ilvl w:val="0"/>
          <w:numId w:val="13"/>
        </w:numPr>
      </w:pPr>
      <w:r>
        <w:t>Employers</w:t>
      </w:r>
      <w:r w:rsidR="00057D8E">
        <w:t xml:space="preserve"> </w:t>
      </w:r>
      <w:r>
        <w:t xml:space="preserve">or designated service agents </w:t>
      </w:r>
      <w:r w:rsidR="00CD5EF9">
        <w:t xml:space="preserve">(C/TPAs) </w:t>
      </w:r>
      <w:r>
        <w:t xml:space="preserve">would </w:t>
      </w:r>
      <w:r w:rsidR="00A13018">
        <w:t xml:space="preserve">report </w:t>
      </w:r>
      <w:r>
        <w:t>verified alcohol test results at or above 0.04 alcohol-concentration for drivers to the Agency.</w:t>
      </w:r>
    </w:p>
    <w:p w:rsidR="0061220F" w:rsidRDefault="00D25E01" w:rsidP="00744F37">
      <w:pPr>
        <w:numPr>
          <w:ilvl w:val="0"/>
          <w:numId w:val="13"/>
        </w:numPr>
      </w:pPr>
      <w:r>
        <w:t>E</w:t>
      </w:r>
      <w:r w:rsidR="0061220F">
        <w:t>mployers or C/TPAs acting on the employer’s behalf would submit information on refusals to test.</w:t>
      </w:r>
    </w:p>
    <w:p w:rsidR="00A13018" w:rsidRDefault="00A13018" w:rsidP="00744F37">
      <w:pPr>
        <w:numPr>
          <w:ilvl w:val="0"/>
          <w:numId w:val="13"/>
        </w:numPr>
      </w:pPr>
      <w:r>
        <w:t>All employers would report actual knowledge of drivers who received traffic citations for operating a CMV under the influence of drugs or alcohol.</w:t>
      </w:r>
    </w:p>
    <w:p w:rsidR="001E433E" w:rsidRDefault="000374A0" w:rsidP="00744F37">
      <w:pPr>
        <w:numPr>
          <w:ilvl w:val="0"/>
          <w:numId w:val="13"/>
        </w:numPr>
      </w:pPr>
      <w:r>
        <w:t>All drug-</w:t>
      </w:r>
      <w:r w:rsidR="0005511D">
        <w:t>testing laboratories would</w:t>
      </w:r>
      <w:r w:rsidR="0061220F">
        <w:t xml:space="preserve"> submit annual summaries of the results of their controlled substances and alcohol testing programs</w:t>
      </w:r>
      <w:r>
        <w:t xml:space="preserve"> directly to FMCSA</w:t>
      </w:r>
      <w:r w:rsidR="000F69C1">
        <w:t>.</w:t>
      </w:r>
    </w:p>
    <w:p w:rsidR="00CA02F9" w:rsidRDefault="00CA02F9" w:rsidP="00744F37">
      <w:pPr>
        <w:pStyle w:val="NormalWeb"/>
        <w:keepNext/>
        <w:rPr>
          <w:rFonts w:ascii="Arial" w:hAnsi="Arial" w:cs="Arial"/>
          <w:szCs w:val="20"/>
        </w:rPr>
      </w:pPr>
      <w:r>
        <w:rPr>
          <w:rFonts w:ascii="Arial" w:hAnsi="Arial" w:cs="Arial"/>
          <w:b/>
          <w:bCs/>
          <w:szCs w:val="20"/>
        </w:rPr>
        <w:t>4. Efforts to identify duplication.</w:t>
      </w:r>
      <w:r>
        <w:rPr>
          <w:rFonts w:ascii="Arial" w:hAnsi="Arial" w:cs="Arial"/>
          <w:szCs w:val="20"/>
        </w:rPr>
        <w:t xml:space="preserve"> </w:t>
      </w:r>
    </w:p>
    <w:p w:rsidR="00CD5EF9" w:rsidRDefault="00CD5EF9" w:rsidP="00744F37">
      <w:r>
        <w:t> </w:t>
      </w:r>
      <w:r w:rsidR="00EE569E" w:rsidRPr="003C059B">
        <w:t xml:space="preserve">The FMCSA is not aware of any other rules </w:t>
      </w:r>
      <w:r w:rsidR="00200746">
        <w:t>that</w:t>
      </w:r>
      <w:r w:rsidR="00200746" w:rsidRPr="003C059B">
        <w:t xml:space="preserve"> </w:t>
      </w:r>
      <w:r w:rsidR="00987B09" w:rsidRPr="00987B09">
        <w:rPr>
          <w:iCs/>
        </w:rPr>
        <w:t>conflict</w:t>
      </w:r>
      <w:r w:rsidR="00EE569E" w:rsidRPr="003C059B">
        <w:t xml:space="preserve"> with the proposed action. The proposed rule would require laboratories to report summary test information on each motor carrier covered </w:t>
      </w:r>
      <w:r w:rsidR="00EE569E" w:rsidRPr="003C059B">
        <w:lastRenderedPageBreak/>
        <w:t>by FMCSA’s drug and alcohol rules for which they perform tests. The purpose of this requirement is to help FMCSA identify motor carriers that do not comply with mandatory drug and alcohol testing requirements.  Currently, there exists a DOT-wide requirement for laboratories to report summary information on testing services provided to DOT-regulated entities, but does not require the information to be broken down on a carrier-by-carrier basis.  The DOT-wide report overlaps with the proposed rule in the sense that it contains some of the same aggregate information that would be required under the proposed rule.  However, since the reports do not contain summary information specific to each motor carrier for which the laboratory provide</w:t>
      </w:r>
      <w:r w:rsidR="00A157D6">
        <w:t>s</w:t>
      </w:r>
      <w:r w:rsidR="00EE569E" w:rsidRPr="003C059B">
        <w:t xml:space="preserve"> services, FMCSA cannot use this information to identify non-compliant motor-carriers.  In addition</w:t>
      </w:r>
      <w:r w:rsidR="00200746">
        <w:t>,</w:t>
      </w:r>
      <w:r w:rsidR="00EE569E" w:rsidRPr="003C059B">
        <w:t xml:space="preserve"> the Agency requests drug and alcohol testing summary reports from approximately 3,000 employers per year through FMCSA’s Drug and Alcohol Testing Survey.  This information is not collected from every covered motor carrier. Instead, the purpose of the survey is to produce nationally representative estimates for drug and alcohol usage rates among CDL drivers, in order to determine whether to increase or decrease random testing rates in accordance with 49 CFR 382.305(c)</w:t>
      </w:r>
      <w:r w:rsidR="009E21E6">
        <w:t xml:space="preserve"> (Attachment </w:t>
      </w:r>
      <w:r w:rsidR="00EE73A1">
        <w:t>D</w:t>
      </w:r>
      <w:r w:rsidR="009E21E6">
        <w:t>)</w:t>
      </w:r>
      <w:r w:rsidR="00EE569E" w:rsidRPr="003C059B">
        <w:t>.</w:t>
      </w:r>
    </w:p>
    <w:p w:rsidR="004B4C7C" w:rsidRDefault="004015FC" w:rsidP="00744F37">
      <w:pPr>
        <w:spacing w:before="100" w:beforeAutospacing="1" w:after="100" w:afterAutospacing="1"/>
        <w:rPr>
          <w:rFonts w:ascii="Arial" w:hAnsi="Arial" w:cs="Arial"/>
          <w:b/>
          <w:bCs/>
          <w:szCs w:val="20"/>
        </w:rPr>
      </w:pPr>
      <w:r>
        <w:rPr>
          <w:rFonts w:ascii="Arial" w:hAnsi="Arial"/>
          <w:b/>
        </w:rPr>
        <w:t>5. Efforts to minimize the burden on small businesses or other small entities</w:t>
      </w:r>
      <w:r>
        <w:rPr>
          <w:rFonts w:ascii="Arial" w:hAnsi="Arial" w:cs="Arial"/>
          <w:b/>
          <w:bCs/>
          <w:szCs w:val="20"/>
        </w:rPr>
        <w:t>.</w:t>
      </w:r>
    </w:p>
    <w:p w:rsidR="00CB4915" w:rsidRDefault="00CB4915" w:rsidP="00744F37">
      <w:r>
        <w:t>The FMCSA drug and alcohol testing regulations apply to more than an estimated 520,000</w:t>
      </w:r>
      <w:r w:rsidRPr="00B11CA8">
        <w:t xml:space="preserve"> </w:t>
      </w:r>
      <w:r>
        <w:t>carriers consisting of about 4 million driver</w:t>
      </w:r>
      <w:r w:rsidRPr="00B11CA8">
        <w:t>s</w:t>
      </w:r>
      <w:r>
        <w:t>. An estimated 99 percent or 515,</w:t>
      </w:r>
      <w:r w:rsidRPr="00E6418B">
        <w:t>000</w:t>
      </w:r>
      <w:r>
        <w:t xml:space="preserve"> of these motor carriers are considered small entities. In addition, an estimated 11,000 MROs, 5000 C/TPAs, and 15,000 SAPs would verify and report positive drug and alcohol test results, test refusals, and information about evaluation and treatment of return to duty processes. MROs, C/TPAs, and SAPs are most likely small entities.</w:t>
      </w:r>
    </w:p>
    <w:p w:rsidR="00CB4915" w:rsidRDefault="00CB4915" w:rsidP="00744F37"/>
    <w:p w:rsidR="001E433E" w:rsidRDefault="00CB4915" w:rsidP="00744F37">
      <w:pPr>
        <w:rPr>
          <w:rFonts w:ascii="Arial" w:hAnsi="Arial" w:cs="Arial"/>
          <w:b/>
          <w:bCs/>
          <w:szCs w:val="20"/>
        </w:rPr>
      </w:pPr>
      <w:r>
        <w:t>The requirement to submit drug and alcohol test information of CDL holders applies to all motor carriers conducting operations regardless of size.</w:t>
      </w:r>
      <w:r w:rsidRPr="00673E3A">
        <w:rPr>
          <w:color w:val="FF0000"/>
        </w:rPr>
        <w:t xml:space="preserve"> </w:t>
      </w:r>
      <w:r>
        <w:t>T</w:t>
      </w:r>
      <w:r w:rsidRPr="00B4583A">
        <w:t>he FMCSA is requesting no more information t</w:t>
      </w:r>
      <w:r>
        <w:t>han is absolutely necessary to e</w:t>
      </w:r>
      <w:r w:rsidRPr="00B4583A">
        <w:t>nsure compliance with applicable safety regulations</w:t>
      </w:r>
      <w:r>
        <w:t>. However, t</w:t>
      </w:r>
      <w:r w:rsidRPr="00673E3A">
        <w:t>he burden</w:t>
      </w:r>
      <w:r>
        <w:t xml:space="preserve"> of the proposed rule</w:t>
      </w:r>
      <w:r w:rsidRPr="00673E3A">
        <w:t xml:space="preserve"> </w:t>
      </w:r>
      <w:r>
        <w:t>is</w:t>
      </w:r>
      <w:r w:rsidRPr="00673E3A">
        <w:t xml:space="preserve"> likely </w:t>
      </w:r>
      <w:r>
        <w:t xml:space="preserve">to </w:t>
      </w:r>
      <w:r w:rsidRPr="00673E3A">
        <w:t xml:space="preserve">decrease as </w:t>
      </w:r>
      <w:r w:rsidR="00200746">
        <w:t>the dete</w:t>
      </w:r>
      <w:r w:rsidR="0066632E">
        <w:t>r</w:t>
      </w:r>
      <w:r w:rsidR="00200746">
        <w:t>rent effect of</w:t>
      </w:r>
      <w:r>
        <w:t xml:space="preserve"> a more credible </w:t>
      </w:r>
      <w:r w:rsidRPr="00673E3A">
        <w:t>drug and alcohol testing program</w:t>
      </w:r>
      <w:r w:rsidR="00200746">
        <w:t xml:space="preserve"> increases compliance</w:t>
      </w:r>
      <w:r w:rsidRPr="00673E3A">
        <w:t>.</w:t>
      </w:r>
    </w:p>
    <w:p w:rsidR="00CA02F9" w:rsidRDefault="00CA02F9" w:rsidP="00744F37">
      <w:pPr>
        <w:pStyle w:val="NormalWeb"/>
        <w:keepNext/>
        <w:rPr>
          <w:rFonts w:ascii="Arial" w:hAnsi="Arial" w:cs="Arial"/>
          <w:b/>
          <w:bCs/>
          <w:szCs w:val="20"/>
        </w:rPr>
      </w:pPr>
      <w:r>
        <w:rPr>
          <w:rFonts w:ascii="Arial" w:hAnsi="Arial" w:cs="Arial"/>
          <w:b/>
          <w:bCs/>
          <w:szCs w:val="20"/>
        </w:rPr>
        <w:t>6. Impact of less frequent collection of information.</w:t>
      </w:r>
    </w:p>
    <w:p w:rsidR="00C1670D" w:rsidRPr="00E14C53" w:rsidRDefault="00354EFA" w:rsidP="00744F37">
      <w:pPr>
        <w:pStyle w:val="NormalWeb"/>
        <w:rPr>
          <w:szCs w:val="20"/>
        </w:rPr>
      </w:pPr>
      <w:r w:rsidRPr="00354EFA">
        <w:rPr>
          <w:szCs w:val="20"/>
        </w:rPr>
        <w:t>F</w:t>
      </w:r>
      <w:r w:rsidR="00CA02F9" w:rsidRPr="00354EFA">
        <w:rPr>
          <w:szCs w:val="20"/>
        </w:rPr>
        <w:t xml:space="preserve">requency is based on the number of </w:t>
      </w:r>
      <w:r w:rsidRPr="00354EFA">
        <w:rPr>
          <w:szCs w:val="20"/>
        </w:rPr>
        <w:t xml:space="preserve">positive drug and alcohol tests. </w:t>
      </w:r>
      <w:r w:rsidR="00E415C3">
        <w:rPr>
          <w:szCs w:val="20"/>
        </w:rPr>
        <w:t>With</w:t>
      </w:r>
      <w:r w:rsidR="009A60C1">
        <w:rPr>
          <w:szCs w:val="20"/>
        </w:rPr>
        <w:t xml:space="preserve"> fewer positive tests,</w:t>
      </w:r>
      <w:r w:rsidRPr="00354EFA">
        <w:rPr>
          <w:szCs w:val="20"/>
        </w:rPr>
        <w:t xml:space="preserve"> the</w:t>
      </w:r>
      <w:r w:rsidR="00E415C3">
        <w:rPr>
          <w:szCs w:val="20"/>
        </w:rPr>
        <w:t>re would be</w:t>
      </w:r>
      <w:r w:rsidRPr="00354EFA">
        <w:rPr>
          <w:szCs w:val="20"/>
        </w:rPr>
        <w:t xml:space="preserve"> less frequent collection of information</w:t>
      </w:r>
      <w:r w:rsidR="00CA02F9" w:rsidRPr="00354EFA">
        <w:rPr>
          <w:szCs w:val="20"/>
        </w:rPr>
        <w:t xml:space="preserve">. </w:t>
      </w:r>
      <w:r w:rsidR="00F762CC">
        <w:rPr>
          <w:szCs w:val="20"/>
        </w:rPr>
        <w:t>All information (except driver-notification</w:t>
      </w:r>
      <w:r w:rsidR="00164054">
        <w:rPr>
          <w:szCs w:val="20"/>
        </w:rPr>
        <w:t>s</w:t>
      </w:r>
      <w:r w:rsidR="00A97342">
        <w:rPr>
          <w:szCs w:val="20"/>
        </w:rPr>
        <w:t xml:space="preserve"> by FMCSA</w:t>
      </w:r>
      <w:r w:rsidR="00F762CC">
        <w:rPr>
          <w:szCs w:val="20"/>
        </w:rPr>
        <w:t xml:space="preserve">) will be transmitted electronically. </w:t>
      </w:r>
    </w:p>
    <w:p w:rsidR="00CA02F9" w:rsidRDefault="00CA02F9" w:rsidP="00744F37">
      <w:pPr>
        <w:pStyle w:val="NormalWeb"/>
        <w:keepNext/>
        <w:rPr>
          <w:rFonts w:ascii="Arial" w:hAnsi="Arial" w:cs="Arial"/>
        </w:rPr>
      </w:pPr>
      <w:r>
        <w:rPr>
          <w:rFonts w:ascii="Arial" w:hAnsi="Arial" w:cs="Arial"/>
          <w:b/>
          <w:bCs/>
          <w:szCs w:val="20"/>
        </w:rPr>
        <w:t>7. Special circumstances.</w:t>
      </w:r>
      <w:r>
        <w:rPr>
          <w:rFonts w:ascii="Arial" w:hAnsi="Arial" w:cs="Arial"/>
          <w:szCs w:val="20"/>
        </w:rPr>
        <w:t xml:space="preserve"> </w:t>
      </w:r>
    </w:p>
    <w:p w:rsidR="00E14C53" w:rsidRPr="00354EFA" w:rsidRDefault="00CA02F9" w:rsidP="00744F37">
      <w:pPr>
        <w:pStyle w:val="NormalWeb"/>
      </w:pPr>
      <w:r w:rsidRPr="00354EFA">
        <w:t>The frequency of information collection i</w:t>
      </w:r>
      <w:r w:rsidR="00F762CC">
        <w:t>s done more often than quarterly</w:t>
      </w:r>
      <w:r w:rsidR="002042D9">
        <w:t>,</w:t>
      </w:r>
      <w:r w:rsidRPr="00354EFA">
        <w:t xml:space="preserve"> as it is done as </w:t>
      </w:r>
      <w:r w:rsidR="00354EFA" w:rsidRPr="00354EFA">
        <w:t xml:space="preserve">the database is updated with each additional positive test </w:t>
      </w:r>
      <w:r w:rsidR="002042D9">
        <w:t>that</w:t>
      </w:r>
      <w:r w:rsidR="00354EFA" w:rsidRPr="00354EFA">
        <w:t xml:space="preserve"> occurs. </w:t>
      </w:r>
      <w:r w:rsidR="00164054">
        <w:t>This is to provide employers with the most current information possible to keep unqualified drivers from being re-employed by other motor carriers.</w:t>
      </w:r>
    </w:p>
    <w:p w:rsidR="00CA02F9" w:rsidRDefault="00CA02F9" w:rsidP="00744F37">
      <w:pPr>
        <w:pStyle w:val="NormalWeb"/>
        <w:keepNext/>
        <w:rPr>
          <w:rFonts w:ascii="Arial" w:hAnsi="Arial" w:cs="Arial"/>
          <w:b/>
          <w:bCs/>
          <w:szCs w:val="20"/>
        </w:rPr>
      </w:pPr>
      <w:r>
        <w:rPr>
          <w:rFonts w:ascii="Arial" w:hAnsi="Arial" w:cs="Arial"/>
          <w:b/>
          <w:bCs/>
          <w:szCs w:val="20"/>
        </w:rPr>
        <w:lastRenderedPageBreak/>
        <w:t>8. Compliance with 5 CFR § 1320.8.</w:t>
      </w:r>
    </w:p>
    <w:p w:rsidR="00CA02F9" w:rsidRDefault="00CD5EF9" w:rsidP="00744F37">
      <w:r>
        <w:t xml:space="preserve"> The </w:t>
      </w:r>
      <w:r w:rsidR="009A60C1">
        <w:t>NTSB made recommendations to the Agency pertaining to the reporting of driver drug- and alcohol-testing results. Specifically, the NTSB recommended that the FMCSA “develop a system that records all positive drug and alcohol test results and refusal determinations that are conducted under the USDOT testing requirements, require prospective employers to query the system before making a hiring decision, and require certifying authorities to query the system before making a certification decision.” This proposed rulemaking addresses the NTSB’s recommendation.</w:t>
      </w:r>
    </w:p>
    <w:p w:rsidR="00B92B29" w:rsidRDefault="00B92B29" w:rsidP="00744F37"/>
    <w:p w:rsidR="00E14C53" w:rsidRDefault="00B92B29" w:rsidP="00744F37">
      <w:pPr>
        <w:rPr>
          <w:rFonts w:cs="Century"/>
          <w:color w:val="000000"/>
        </w:rPr>
      </w:pPr>
      <w:r w:rsidRPr="002266C0">
        <w:rPr>
          <w:color w:val="000000"/>
        </w:rPr>
        <w:t>Two recent Government Accountability Office (GAO) reports discuss “job hopping” by drivers after failing</w:t>
      </w:r>
      <w:r>
        <w:rPr>
          <w:color w:val="000000"/>
        </w:rPr>
        <w:t xml:space="preserve">, or refusing to submit to, drug or alcohol </w:t>
      </w:r>
      <w:r w:rsidR="00A13018">
        <w:rPr>
          <w:color w:val="000000"/>
        </w:rPr>
        <w:t xml:space="preserve">tests </w:t>
      </w:r>
      <w:r>
        <w:rPr>
          <w:color w:val="000000"/>
        </w:rPr>
        <w:t xml:space="preserve">(see: </w:t>
      </w:r>
      <w:r w:rsidRPr="002266C0">
        <w:rPr>
          <w:color w:val="000000"/>
        </w:rPr>
        <w:t>GAO</w:t>
      </w:r>
      <w:r>
        <w:rPr>
          <w:color w:val="000000"/>
        </w:rPr>
        <w:noBreakHyphen/>
        <w:t>0</w:t>
      </w:r>
      <w:r w:rsidRPr="002266C0">
        <w:rPr>
          <w:color w:val="000000"/>
        </w:rPr>
        <w:t>8</w:t>
      </w:r>
      <w:r>
        <w:rPr>
          <w:color w:val="000000"/>
        </w:rPr>
        <w:noBreakHyphen/>
      </w:r>
      <w:r w:rsidRPr="002266C0">
        <w:rPr>
          <w:color w:val="000000"/>
        </w:rPr>
        <w:t>600</w:t>
      </w:r>
      <w:r w:rsidR="00516D3A">
        <w:rPr>
          <w:color w:val="000000"/>
        </w:rPr>
        <w:t xml:space="preserve"> (Attachment </w:t>
      </w:r>
      <w:r w:rsidR="00EE73A1">
        <w:rPr>
          <w:color w:val="000000"/>
        </w:rPr>
        <w:t>E</w:t>
      </w:r>
      <w:r w:rsidR="00166F40">
        <w:rPr>
          <w:color w:val="000000"/>
        </w:rPr>
        <w:t>)</w:t>
      </w:r>
      <w:r w:rsidR="00166F40" w:rsidRPr="002266C0">
        <w:rPr>
          <w:color w:val="000000"/>
        </w:rPr>
        <w:t xml:space="preserve"> </w:t>
      </w:r>
      <w:r w:rsidRPr="002266C0">
        <w:rPr>
          <w:color w:val="000000"/>
        </w:rPr>
        <w:t>and GAO-08-0829R</w:t>
      </w:r>
      <w:r w:rsidR="00516D3A">
        <w:rPr>
          <w:color w:val="000000"/>
        </w:rPr>
        <w:t xml:space="preserve"> (Attachment </w:t>
      </w:r>
      <w:r w:rsidR="00EE73A1">
        <w:rPr>
          <w:color w:val="000000"/>
        </w:rPr>
        <w:t>F</w:t>
      </w:r>
      <w:r w:rsidR="00166F40">
        <w:rPr>
          <w:color w:val="000000"/>
        </w:rPr>
        <w:t>))</w:t>
      </w:r>
      <w:r w:rsidR="00166F40" w:rsidRPr="002266C0">
        <w:rPr>
          <w:color w:val="000000"/>
        </w:rPr>
        <w:t xml:space="preserve">. </w:t>
      </w:r>
      <w:r w:rsidRPr="002266C0">
        <w:rPr>
          <w:color w:val="000000"/>
        </w:rPr>
        <w:t xml:space="preserve">The GAO </w:t>
      </w:r>
      <w:r w:rsidRPr="002266C0">
        <w:rPr>
          <w:rFonts w:cs="Century"/>
          <w:color w:val="000000"/>
        </w:rPr>
        <w:t xml:space="preserve">identified </w:t>
      </w:r>
      <w:r>
        <w:rPr>
          <w:rFonts w:cs="Century"/>
          <w:color w:val="000000"/>
        </w:rPr>
        <w:t xml:space="preserve">and verified </w:t>
      </w:r>
      <w:r w:rsidR="00E02372">
        <w:rPr>
          <w:rFonts w:cs="Century"/>
          <w:color w:val="000000"/>
        </w:rPr>
        <w:t>43</w:t>
      </w:r>
      <w:r w:rsidRPr="002266C0">
        <w:rPr>
          <w:rFonts w:cs="Century"/>
          <w:color w:val="000000"/>
        </w:rPr>
        <w:t xml:space="preserve"> cases</w:t>
      </w:r>
      <w:r>
        <w:rPr>
          <w:rFonts w:cs="Century"/>
          <w:color w:val="000000"/>
        </w:rPr>
        <w:t xml:space="preserve"> (based on insider information supplied by a third party to a Congressman) </w:t>
      </w:r>
      <w:r w:rsidRPr="002266C0">
        <w:rPr>
          <w:rFonts w:cs="Century"/>
          <w:color w:val="000000"/>
        </w:rPr>
        <w:t>where drivers had tes</w:t>
      </w:r>
      <w:r>
        <w:rPr>
          <w:rFonts w:cs="Century"/>
          <w:color w:val="000000"/>
        </w:rPr>
        <w:t>ted positive for illegal drugs (</w:t>
      </w:r>
      <w:r w:rsidRPr="002266C0">
        <w:rPr>
          <w:rFonts w:cs="Century"/>
          <w:color w:val="000000"/>
        </w:rPr>
        <w:t>such as cocai</w:t>
      </w:r>
      <w:r>
        <w:rPr>
          <w:rFonts w:cs="Century"/>
          <w:color w:val="000000"/>
        </w:rPr>
        <w:t>ne, marijuana, and amphetamines) with one employer—a</w:t>
      </w:r>
      <w:r w:rsidRPr="002266C0">
        <w:rPr>
          <w:rFonts w:cs="Century"/>
          <w:color w:val="000000"/>
        </w:rPr>
        <w:t xml:space="preserve">nd within </w:t>
      </w:r>
      <w:r>
        <w:rPr>
          <w:rFonts w:cs="Century"/>
          <w:color w:val="000000"/>
        </w:rPr>
        <w:t>one</w:t>
      </w:r>
      <w:r w:rsidRPr="002266C0">
        <w:rPr>
          <w:rFonts w:cs="Century"/>
          <w:color w:val="000000"/>
        </w:rPr>
        <w:t xml:space="preserve"> month tested negative with another employer. </w:t>
      </w:r>
      <w:r>
        <w:rPr>
          <w:rFonts w:cs="Century"/>
          <w:color w:val="000000"/>
        </w:rPr>
        <w:t>In its recommendations to Congress, the GAO advocated a national database and this rulemaking as possible methods to eliminate the job-hopping problems it verified.</w:t>
      </w:r>
    </w:p>
    <w:p w:rsidR="00CA02F9" w:rsidRDefault="00CA02F9" w:rsidP="00744F37">
      <w:pPr>
        <w:pStyle w:val="NormalWeb"/>
        <w:keepNext/>
        <w:rPr>
          <w:rFonts w:ascii="Arial" w:hAnsi="Arial" w:cs="Arial"/>
          <w:b/>
          <w:bCs/>
          <w:szCs w:val="20"/>
        </w:rPr>
      </w:pPr>
      <w:r>
        <w:rPr>
          <w:rFonts w:ascii="Arial" w:hAnsi="Arial" w:cs="Arial"/>
          <w:b/>
          <w:bCs/>
          <w:szCs w:val="20"/>
        </w:rPr>
        <w:t>9. Payments or gifts to respondents.</w:t>
      </w:r>
    </w:p>
    <w:p w:rsidR="008123C6" w:rsidRPr="00E14C53" w:rsidRDefault="00CA02F9" w:rsidP="00744F37">
      <w:pPr>
        <w:pStyle w:val="NormalWeb"/>
        <w:rPr>
          <w:szCs w:val="20"/>
        </w:rPr>
      </w:pPr>
      <w:r w:rsidRPr="00382CA3">
        <w:rPr>
          <w:szCs w:val="20"/>
        </w:rPr>
        <w:t xml:space="preserve">There are no payments or gifts </w:t>
      </w:r>
      <w:r w:rsidR="00382CA3">
        <w:rPr>
          <w:szCs w:val="20"/>
        </w:rPr>
        <w:t xml:space="preserve">provided </w:t>
      </w:r>
      <w:r w:rsidRPr="00382CA3">
        <w:rPr>
          <w:szCs w:val="20"/>
        </w:rPr>
        <w:t>to respondents for this information collection.</w:t>
      </w:r>
    </w:p>
    <w:p w:rsidR="008C1856" w:rsidRPr="00A32AD5" w:rsidRDefault="00CA02F9" w:rsidP="00744F37">
      <w:pPr>
        <w:keepNext/>
        <w:rPr>
          <w:rFonts w:ascii="Arial" w:hAnsi="Arial"/>
          <w:b/>
        </w:rPr>
      </w:pPr>
      <w:r w:rsidRPr="00A32AD5">
        <w:rPr>
          <w:rFonts w:ascii="Arial" w:hAnsi="Arial"/>
          <w:b/>
        </w:rPr>
        <w:t>10. Assurances of Confidentiality</w:t>
      </w:r>
      <w:r w:rsidR="008C1856" w:rsidRPr="00A32AD5">
        <w:rPr>
          <w:rFonts w:ascii="Arial" w:hAnsi="Arial"/>
          <w:b/>
        </w:rPr>
        <w:t>.</w:t>
      </w:r>
    </w:p>
    <w:p w:rsidR="008223D8" w:rsidRPr="00A32AD5" w:rsidRDefault="008223D8" w:rsidP="00744F37">
      <w:pPr>
        <w:keepNext/>
        <w:rPr>
          <w:rFonts w:ascii="Arial" w:hAnsi="Arial"/>
          <w:b/>
        </w:rPr>
      </w:pPr>
    </w:p>
    <w:p w:rsidR="008223D8" w:rsidRPr="00A32AD5" w:rsidRDefault="008223D8" w:rsidP="00744F37">
      <w:pPr>
        <w:keepNext/>
        <w:rPr>
          <w:rFonts w:ascii="Arial" w:hAnsi="Arial"/>
          <w:b/>
        </w:rPr>
      </w:pPr>
      <w:r w:rsidRPr="00A32AD5">
        <w:t>There is assurance of confidentiality for items included in this information collection.  They are addressed in detail in the Privacy Impact A</w:t>
      </w:r>
      <w:r w:rsidR="001D6E83">
        <w:t>ssessment</w:t>
      </w:r>
      <w:r w:rsidRPr="00A32AD5">
        <w:t xml:space="preserve"> (</w:t>
      </w:r>
      <w:r w:rsidR="001D6E83">
        <w:t xml:space="preserve">Attachment </w:t>
      </w:r>
      <w:r w:rsidR="00EE73A1">
        <w:t>G</w:t>
      </w:r>
      <w:r w:rsidRPr="00A32AD5">
        <w:t>) prepared for this rulemaking.</w:t>
      </w:r>
    </w:p>
    <w:p w:rsidR="00CA02F9" w:rsidRPr="00A32AD5" w:rsidRDefault="00CA02F9" w:rsidP="00744F37">
      <w:pPr>
        <w:pStyle w:val="NormalWeb"/>
        <w:keepNext/>
        <w:rPr>
          <w:rFonts w:ascii="Arial" w:hAnsi="Arial" w:cs="Arial"/>
          <w:b/>
          <w:bCs/>
          <w:szCs w:val="20"/>
        </w:rPr>
      </w:pPr>
      <w:r w:rsidRPr="00A32AD5">
        <w:rPr>
          <w:rFonts w:ascii="Arial" w:hAnsi="Arial" w:cs="Arial"/>
          <w:b/>
          <w:bCs/>
          <w:szCs w:val="20"/>
        </w:rPr>
        <w:t>11. Justification for Sensitive Information.</w:t>
      </w:r>
    </w:p>
    <w:p w:rsidR="008223D8" w:rsidRDefault="008223D8" w:rsidP="00744F37">
      <w:pPr>
        <w:keepNext/>
      </w:pPr>
      <w:r w:rsidRPr="00A32AD5">
        <w:t>This information collection includes Personally Identifiable Information, which is considered sensitive information.  This is addressed in detail in the Privacy Impact A</w:t>
      </w:r>
      <w:r w:rsidR="001D6E83">
        <w:t>ssessment</w:t>
      </w:r>
      <w:r w:rsidRPr="00A32AD5">
        <w:t xml:space="preserve"> (</w:t>
      </w:r>
      <w:r w:rsidR="00BD7CE6">
        <w:t xml:space="preserve">Attachment </w:t>
      </w:r>
      <w:r w:rsidR="00EE73A1">
        <w:t>G</w:t>
      </w:r>
      <w:r w:rsidRPr="00A32AD5">
        <w:t>) prepared for this rulemaking.</w:t>
      </w:r>
    </w:p>
    <w:p w:rsidR="004015FC" w:rsidRDefault="004015FC" w:rsidP="00744F37">
      <w:pPr>
        <w:pStyle w:val="NormalWeb"/>
        <w:keepNext/>
        <w:rPr>
          <w:rFonts w:ascii="Arial" w:hAnsi="Arial" w:cs="Arial"/>
          <w:b/>
          <w:bCs/>
          <w:szCs w:val="20"/>
        </w:rPr>
      </w:pPr>
      <w:r>
        <w:rPr>
          <w:rFonts w:ascii="Arial" w:hAnsi="Arial"/>
          <w:b/>
        </w:rPr>
        <w:t>12. Estimates of Burden Hours for Information Requested.</w:t>
      </w:r>
      <w:r>
        <w:rPr>
          <w:rFonts w:ascii="Arial" w:hAnsi="Arial" w:cs="Arial"/>
          <w:b/>
          <w:bCs/>
          <w:szCs w:val="20"/>
        </w:rPr>
        <w:t xml:space="preserve"> </w:t>
      </w:r>
    </w:p>
    <w:p w:rsidR="004E350E" w:rsidRDefault="004E350E" w:rsidP="00744F37">
      <w:r>
        <w:t xml:space="preserve">Annual burden hours for the proposed rule can be separated into eight parts: </w:t>
      </w:r>
    </w:p>
    <w:p w:rsidR="00580B6E" w:rsidRDefault="00580B6E" w:rsidP="00744F37"/>
    <w:p w:rsidR="004B4C7C" w:rsidRDefault="00DC46EC" w:rsidP="00744F37">
      <w:pPr>
        <w:pStyle w:val="ListParagraph"/>
        <w:numPr>
          <w:ilvl w:val="0"/>
          <w:numId w:val="29"/>
        </w:numPr>
      </w:pPr>
      <w:r>
        <w:t xml:space="preserve">Employers would query the Clearinghouse annually for each of their drivers. FMCSA estimates employers would perform a total of </w:t>
      </w:r>
      <w:r w:rsidR="005923C4">
        <w:t>5,2</w:t>
      </w:r>
      <w:r>
        <w:t xml:space="preserve">00,000 annual queries per year. The Agency estimates that a “bookkeeping, accounting, or auditing” clerk would spend ten minutes (1/6th of an hour) to conduct a query on a single driver. Given </w:t>
      </w:r>
      <w:r w:rsidR="005923C4">
        <w:t>5,2</w:t>
      </w:r>
      <w:r>
        <w:t xml:space="preserve">00,000 queries, the total number of hours spent to complete them is estimated at </w:t>
      </w:r>
      <w:r w:rsidR="001F2D52">
        <w:t>866,667</w:t>
      </w:r>
      <w:r>
        <w:t xml:space="preserve"> (</w:t>
      </w:r>
      <w:r w:rsidR="001F2D52">
        <w:t>5,2</w:t>
      </w:r>
      <w:r>
        <w:t xml:space="preserve">00,000 queries x 1/6 hours per query = </w:t>
      </w:r>
      <w:r w:rsidR="001F2D52">
        <w:t>866,667</w:t>
      </w:r>
      <w:r>
        <w:t xml:space="preserve"> hours).</w:t>
      </w:r>
    </w:p>
    <w:p w:rsidR="00DC46EC" w:rsidRDefault="00DC46EC" w:rsidP="00744F37"/>
    <w:p w:rsidR="004B4C7C" w:rsidRDefault="00DC46EC" w:rsidP="00744F37">
      <w:pPr>
        <w:pStyle w:val="ListParagraph"/>
        <w:numPr>
          <w:ilvl w:val="0"/>
          <w:numId w:val="29"/>
        </w:numPr>
      </w:pPr>
      <w:r>
        <w:lastRenderedPageBreak/>
        <w:t xml:space="preserve">Employers would query the Clearinghouse as part of their pre-employment screening process of potential hires. FMCSA estimates employers would perform a total of </w:t>
      </w:r>
      <w:r w:rsidR="00E9075E">
        <w:t>1,876,000</w:t>
      </w:r>
      <w:r>
        <w:t xml:space="preserve"> pre-employment queries per year. As mentioned previously, the Agency estimates that a bookkeeping clerk would spend ten minutes (1/6th of an hour) to conduct a query on a single driver. Given </w:t>
      </w:r>
      <w:r w:rsidR="00E9075E">
        <w:t>1,876,000</w:t>
      </w:r>
      <w:r>
        <w:t xml:space="preserve"> queries, the total number of hours spent to complete them is estimated at </w:t>
      </w:r>
      <w:r w:rsidR="00E9075E">
        <w:t>312,667</w:t>
      </w:r>
      <w:r>
        <w:t xml:space="preserve"> (</w:t>
      </w:r>
      <w:r w:rsidR="00E9075E">
        <w:t>1,876,000</w:t>
      </w:r>
      <w:r>
        <w:t xml:space="preserve"> queries x 1/6 hours per query = </w:t>
      </w:r>
      <w:r w:rsidR="00E9075E">
        <w:t>312,667</w:t>
      </w:r>
      <w:r>
        <w:t xml:space="preserve"> hours). </w:t>
      </w:r>
    </w:p>
    <w:p w:rsidR="00DC46EC" w:rsidRDefault="00DC46EC" w:rsidP="00744F37"/>
    <w:p w:rsidR="004B4C7C" w:rsidRDefault="00DC46EC" w:rsidP="00744F37">
      <w:pPr>
        <w:pStyle w:val="ListParagraph"/>
        <w:numPr>
          <w:ilvl w:val="0"/>
          <w:numId w:val="29"/>
        </w:numPr>
      </w:pPr>
      <w:r>
        <w:t xml:space="preserve">Employers would be required to designate their C/TPAs with the Clearinghouse. FMCSA estimates that a bookkeeping clerk would spend ten minutes (1/6th of an hour) to designate a C/TPA. If each of the 520,000 motor carriers designate a C/TPA, then the total number of hours spent to fulfill this requirement is estimated to be 86,667 (520,000 designations x 1/6 hours per designation = 86,667 hours). </w:t>
      </w:r>
    </w:p>
    <w:p w:rsidR="00DC46EC" w:rsidRDefault="00DC46EC" w:rsidP="00744F37"/>
    <w:p w:rsidR="004B4C7C" w:rsidRDefault="00254CD9" w:rsidP="00744F37">
      <w:pPr>
        <w:pStyle w:val="ListParagraph"/>
        <w:numPr>
          <w:ilvl w:val="0"/>
          <w:numId w:val="29"/>
        </w:numPr>
      </w:pPr>
      <w:r w:rsidRPr="00D059E5">
        <w:t>SAPs would</w:t>
      </w:r>
      <w:r>
        <w:t xml:space="preserve"> be</w:t>
      </w:r>
      <w:r w:rsidRPr="00D059E5">
        <w:t xml:space="preserve"> require</w:t>
      </w:r>
      <w:r>
        <w:t>d</w:t>
      </w:r>
      <w:r w:rsidRPr="00D059E5">
        <w:t xml:space="preserve"> to </w:t>
      </w:r>
      <w:r w:rsidR="001D2821">
        <w:t>input</w:t>
      </w:r>
      <w:r w:rsidRPr="00D059E5">
        <w:t xml:space="preserve"> information to the Clearinghouse about driver</w:t>
      </w:r>
      <w:r>
        <w:t xml:space="preserve">s initiating and completing the return-to-duty process. FMCSA estimates that 82,900 drivers would be required to have their information </w:t>
      </w:r>
      <w:r w:rsidR="00342E95">
        <w:t>input</w:t>
      </w:r>
      <w:r>
        <w:t xml:space="preserve"> by an SAP. The Agency estimates that SAPs would spend a total of ten minutes </w:t>
      </w:r>
      <w:r w:rsidRPr="007A6D11">
        <w:t>(1/6</w:t>
      </w:r>
      <w:r w:rsidRPr="007A6D11">
        <w:rPr>
          <w:vertAlign w:val="superscript"/>
        </w:rPr>
        <w:t>th</w:t>
      </w:r>
      <w:r w:rsidRPr="007A6D11">
        <w:t xml:space="preserve"> of an hour) </w:t>
      </w:r>
      <w:r>
        <w:t>entering driver information at the beginning and completion of the return-to-duty process. Therefore, the total number of hours spent to fulfill this requirement is estimated at 13,817 (82,900 designations x 1/6 hours per designation).</w:t>
      </w:r>
    </w:p>
    <w:p w:rsidR="00DC46EC" w:rsidRDefault="00DC46EC" w:rsidP="00744F37"/>
    <w:p w:rsidR="004B4C7C" w:rsidRDefault="00DC46EC" w:rsidP="00744F37">
      <w:pPr>
        <w:pStyle w:val="ListParagraph"/>
        <w:numPr>
          <w:ilvl w:val="0"/>
          <w:numId w:val="29"/>
        </w:numPr>
      </w:pPr>
      <w:r>
        <w:t>MROs, SAPs, C/TPAs, and employers would be required to report</w:t>
      </w:r>
      <w:r w:rsidR="00214F63">
        <w:t xml:space="preserve"> information</w:t>
      </w:r>
      <w:r>
        <w:t xml:space="preserve"> </w:t>
      </w:r>
      <w:r w:rsidR="00164054">
        <w:t>to the Clearinghouse</w:t>
      </w:r>
      <w:r>
        <w:t xml:space="preserve">. The number of reports totals </w:t>
      </w:r>
      <w:r w:rsidR="00C1468A">
        <w:t>1</w:t>
      </w:r>
      <w:r w:rsidR="00227EAE">
        <w:t>65,800</w:t>
      </w:r>
      <w:r>
        <w:t xml:space="preserve"> (</w:t>
      </w:r>
      <w:r w:rsidR="00C1468A">
        <w:t>75,800</w:t>
      </w:r>
      <w:r>
        <w:t xml:space="preserve"> positive test results</w:t>
      </w:r>
      <w:r w:rsidR="00C1468A">
        <w:t xml:space="preserve"> and refusals</w:t>
      </w:r>
      <w:r>
        <w:t xml:space="preserve"> reported by MROs to the Clearinghouse, </w:t>
      </w:r>
      <w:r w:rsidR="00C1468A">
        <w:t>7,100</w:t>
      </w:r>
      <w:r>
        <w:t xml:space="preserve"> alcohol test results</w:t>
      </w:r>
      <w:r w:rsidR="00C1468A">
        <w:t xml:space="preserve"> and refusals</w:t>
      </w:r>
      <w:r>
        <w:t xml:space="preserve"> reported by employers or C/TPAs to the Clearinghouse, and </w:t>
      </w:r>
      <w:r w:rsidR="00BA7AA0">
        <w:t>82,900</w:t>
      </w:r>
      <w:r>
        <w:t xml:space="preserve"> </w:t>
      </w:r>
      <w:r w:rsidR="00164054">
        <w:t>return-to-duty</w:t>
      </w:r>
      <w:r>
        <w:t xml:space="preserve"> reports to the Clearinghouse by SAPs). The Agency estimates that a bookkeeping clerk would spend ten minutes to report positive test results, report information on test refusals, or report information on treatment processes to the Clearinghouse. In sum, </w:t>
      </w:r>
      <w:r w:rsidR="00C1468A">
        <w:t>2</w:t>
      </w:r>
      <w:r w:rsidR="00CA3975">
        <w:t>7,633</w:t>
      </w:r>
      <w:r>
        <w:t xml:space="preserve"> hours would be spent on reporting test results to the Clearinghouse (</w:t>
      </w:r>
      <w:r w:rsidR="00C1468A">
        <w:t>1</w:t>
      </w:r>
      <w:r w:rsidR="00BA7AA0">
        <w:t>65,800</w:t>
      </w:r>
      <w:r>
        <w:t xml:space="preserve"> reports x 1/6 hours per report). </w:t>
      </w:r>
    </w:p>
    <w:p w:rsidR="00DC46EC" w:rsidRDefault="00DC46EC" w:rsidP="00744F37"/>
    <w:p w:rsidR="004B4C7C" w:rsidRDefault="00DC46EC" w:rsidP="00744F37">
      <w:pPr>
        <w:pStyle w:val="ListParagraph"/>
        <w:numPr>
          <w:ilvl w:val="0"/>
          <w:numId w:val="29"/>
        </w:numPr>
      </w:pPr>
      <w:r>
        <w:t>Employers, C/TPAs, MROs, and SAPs would be required to register and become familiar with the new processes and requirements of the Clearinghouse. Given 520,000 carriers, the Agency estimates there would be 5000 C/TPAs, 11,000 MROs, and 15,000 SAPs that would be required to fulfill these requirements. FMCSA estimates that it would take a bookkeeping clerk ten minutes (1/6th of an hour) to register and receive credentials and another ten minutes to become familiar with the new processes. Given 551,000 such instances of registration, reception of credentials, and familiarization, the total number of hours spent to fulfill this requirement is estimated at 183,667 (551,000 registration-familiarizations x 1/3 hours per registration-familiarization = 183,667 hours). However, the Agency assumes that these entities do not have to register and become familiar with the rules annually, but instead only once every four years. The 183,667 hours dedicated to registration and familiarization every four years amounts to 45,917 hours annually (45,917= 183,667 / 4).</w:t>
      </w:r>
    </w:p>
    <w:p w:rsidR="004E350E" w:rsidRDefault="004E350E" w:rsidP="00744F37"/>
    <w:p w:rsidR="004B4C7C" w:rsidRDefault="00DC46EC" w:rsidP="00744F37">
      <w:pPr>
        <w:ind w:left="720"/>
      </w:pPr>
      <w:r>
        <w:lastRenderedPageBreak/>
        <w:t xml:space="preserve">In addition, both employers and C/TPAs must verify the names of persons authorized to report and obtain information from the Clearinghouse. </w:t>
      </w:r>
      <w:r w:rsidR="00AD7857">
        <w:t xml:space="preserve">If each C/TPA or employer authorizes one person, then the number of necessary verifications is estimated to be 655,000.  </w:t>
      </w:r>
      <w:r w:rsidR="00D01323">
        <w:t xml:space="preserve">Further, the </w:t>
      </w:r>
      <w:r>
        <w:t>FMCSA estimates that it would take a bookkeeping clerk ten minutes (1/6th of an hour) to verify each person authorized; therefore, the total number of hours spent to fulfill this requirement is would be 109,167 (655,000 registration-familiarizations x 1/6 hours per registration-familiarization = 109,167 hours).</w:t>
      </w:r>
    </w:p>
    <w:p w:rsidR="004B4C7C" w:rsidRDefault="004B4C7C" w:rsidP="00744F37">
      <w:pPr>
        <w:ind w:left="720"/>
      </w:pPr>
    </w:p>
    <w:p w:rsidR="004B4C7C" w:rsidRDefault="00DC46EC" w:rsidP="00744F37">
      <w:pPr>
        <w:ind w:left="720"/>
      </w:pPr>
      <w:r>
        <w:t>The total amount of hours required for employers, C/TPAs, MROs, and SAPs to register and become familiar with the new processes and requirements, as well as verify persons authorized to access the Clearinghouse would be 155,084 hours (45,917 hours + 109,167 hours).</w:t>
      </w:r>
    </w:p>
    <w:p w:rsidR="00DC46EC" w:rsidRDefault="00DC46EC" w:rsidP="00744F37"/>
    <w:p w:rsidR="004B4C7C" w:rsidRDefault="00DC46EC" w:rsidP="00744F37">
      <w:pPr>
        <w:pStyle w:val="ListParagraph"/>
        <w:numPr>
          <w:ilvl w:val="0"/>
          <w:numId w:val="29"/>
        </w:numPr>
      </w:pPr>
      <w:r>
        <w:t xml:space="preserve">Drivers must consent to the release of their records from the Clearinghouse. FMCSA estimates that it takes a driver ten minutes (1/6th of an hour) to </w:t>
      </w:r>
      <w:r w:rsidR="00A505D4">
        <w:t xml:space="preserve">provide </w:t>
      </w:r>
      <w:r>
        <w:t xml:space="preserve">driver consent to release information. Given </w:t>
      </w:r>
      <w:r w:rsidR="00651126">
        <w:t>1,876,000</w:t>
      </w:r>
      <w:r>
        <w:t xml:space="preserve"> pre-employment queries that require driver consent, the number of hours spent on consent verification is estimated at </w:t>
      </w:r>
      <w:r w:rsidR="00651126">
        <w:t>312,667</w:t>
      </w:r>
      <w:r>
        <w:t xml:space="preserve"> (</w:t>
      </w:r>
      <w:r w:rsidR="00651126">
        <w:t>1,876,000</w:t>
      </w:r>
      <w:r>
        <w:t xml:space="preserve"> queries x 1/6 hours per query = </w:t>
      </w:r>
      <w:r w:rsidR="00651126">
        <w:t>312,667</w:t>
      </w:r>
      <w:r>
        <w:t xml:space="preserve"> hours).</w:t>
      </w:r>
      <w:r w:rsidR="00580B6E">
        <w:t xml:space="preserve"> </w:t>
      </w:r>
    </w:p>
    <w:p w:rsidR="004B4C7C" w:rsidRDefault="004B4C7C" w:rsidP="00744F37">
      <w:pPr>
        <w:pStyle w:val="ListParagraph"/>
      </w:pPr>
    </w:p>
    <w:p w:rsidR="004B4C7C" w:rsidRDefault="00DC46EC" w:rsidP="00744F37">
      <w:pPr>
        <w:pStyle w:val="ListParagraph"/>
      </w:pPr>
      <w:r>
        <w:t xml:space="preserve">In addition, the Agency estimates that </w:t>
      </w:r>
      <w:r w:rsidR="00651126">
        <w:t>512,000</w:t>
      </w:r>
      <w:r>
        <w:t xml:space="preserve"> annual queries would necessitate driver consent. Given ten minutes (1/6th of an hour) for a driver to consent to release of information, the number of hours spent on driver consent is estimated to be </w:t>
      </w:r>
      <w:r w:rsidR="00651126">
        <w:t>85,333</w:t>
      </w:r>
      <w:r>
        <w:t xml:space="preserve"> (</w:t>
      </w:r>
      <w:r w:rsidR="00651126">
        <w:t>512,000</w:t>
      </w:r>
      <w:r>
        <w:t xml:space="preserve"> queries x 1/6 hours per query = </w:t>
      </w:r>
      <w:r w:rsidR="00651126">
        <w:t>85,333</w:t>
      </w:r>
      <w:r>
        <w:t xml:space="preserve"> hours).</w:t>
      </w:r>
    </w:p>
    <w:p w:rsidR="004B4C7C" w:rsidRDefault="004B4C7C" w:rsidP="00744F37">
      <w:pPr>
        <w:ind w:left="720"/>
      </w:pPr>
    </w:p>
    <w:p w:rsidR="004B4C7C" w:rsidRDefault="00DC46EC" w:rsidP="00744F37">
      <w:pPr>
        <w:ind w:left="720"/>
      </w:pPr>
      <w:r>
        <w:t xml:space="preserve">The total amount of hours that would require drivers to consent to release of information is estimated at </w:t>
      </w:r>
      <w:r w:rsidR="00651126">
        <w:t>398,000</w:t>
      </w:r>
      <w:r>
        <w:t xml:space="preserve"> (</w:t>
      </w:r>
      <w:r w:rsidR="00651126">
        <w:t>312,667</w:t>
      </w:r>
      <w:r>
        <w:t xml:space="preserve"> hours for pre-employment queries + </w:t>
      </w:r>
      <w:r w:rsidR="00651126">
        <w:t>85,333</w:t>
      </w:r>
      <w:r>
        <w:t xml:space="preserve"> hours for annual queries). </w:t>
      </w:r>
    </w:p>
    <w:p w:rsidR="00DC46EC" w:rsidRDefault="00DC46EC" w:rsidP="00744F37"/>
    <w:p w:rsidR="004B4C7C" w:rsidRDefault="00DC46EC" w:rsidP="00744F37">
      <w:pPr>
        <w:pStyle w:val="ListParagraph"/>
        <w:numPr>
          <w:ilvl w:val="0"/>
          <w:numId w:val="29"/>
        </w:numPr>
      </w:pPr>
      <w:r>
        <w:t xml:space="preserve">All </w:t>
      </w:r>
      <w:r w:rsidR="002661BB">
        <w:t>32</w:t>
      </w:r>
      <w:r>
        <w:t xml:space="preserve"> drug-testing laboratories must submit </w:t>
      </w:r>
      <w:r w:rsidR="00A47E3B">
        <w:t>an</w:t>
      </w:r>
      <w:r w:rsidR="009D3F19">
        <w:t xml:space="preserve"> </w:t>
      </w:r>
      <w:r>
        <w:t xml:space="preserve">annual summary report of test-results directly to FMCSA every </w:t>
      </w:r>
      <w:r w:rsidR="00A47E3B">
        <w:t>year</w:t>
      </w:r>
      <w:r>
        <w:t xml:space="preserve">. If this takes a conservatively high estimate of </w:t>
      </w:r>
      <w:r w:rsidR="00A47E3B">
        <w:t>1.5</w:t>
      </w:r>
      <w:r>
        <w:t xml:space="preserve"> hour</w:t>
      </w:r>
      <w:r w:rsidR="00A47E3B">
        <w:t>s</w:t>
      </w:r>
      <w:r>
        <w:t xml:space="preserve"> to complete, then an additional </w:t>
      </w:r>
      <w:r w:rsidR="002661BB">
        <w:t>48</w:t>
      </w:r>
      <w:r>
        <w:t xml:space="preserve"> hours are spent on information requests.</w:t>
      </w:r>
    </w:p>
    <w:p w:rsidR="00DC46EC" w:rsidRDefault="00DC46EC" w:rsidP="00744F37"/>
    <w:p w:rsidR="001D6E83" w:rsidRDefault="001D6E83" w:rsidP="00744F37"/>
    <w:p w:rsidR="001D6E83" w:rsidRDefault="001D6E83" w:rsidP="00744F37"/>
    <w:p w:rsidR="001D6E83" w:rsidRDefault="001D6E83" w:rsidP="00744F37"/>
    <w:p w:rsidR="001D6E83" w:rsidRDefault="001D6E83" w:rsidP="00744F37"/>
    <w:p w:rsidR="00A652F4" w:rsidRDefault="00A652F4" w:rsidP="00744F37"/>
    <w:p w:rsidR="00A652F4" w:rsidRDefault="00A652F4" w:rsidP="00744F37"/>
    <w:p w:rsidR="00A652F4" w:rsidRDefault="00A652F4" w:rsidP="00744F37"/>
    <w:p w:rsidR="001D6E83" w:rsidRDefault="001D6E83" w:rsidP="00744F37"/>
    <w:p w:rsidR="001D6E83" w:rsidRDefault="001D6E83" w:rsidP="00744F37"/>
    <w:p w:rsidR="001D6E83" w:rsidRDefault="001D6E83" w:rsidP="00744F37"/>
    <w:p w:rsidR="001D6E83" w:rsidRDefault="001D6E83" w:rsidP="00744F37"/>
    <w:p w:rsidR="001D6E83" w:rsidRDefault="001D6E83" w:rsidP="00744F37"/>
    <w:p w:rsidR="001D6E83" w:rsidRDefault="001D6E83" w:rsidP="00744F37"/>
    <w:p w:rsidR="001D6E83" w:rsidRDefault="001D6E83" w:rsidP="00744F37"/>
    <w:p w:rsidR="004015FC" w:rsidRDefault="004015FC" w:rsidP="001D6E83">
      <w:r>
        <w:lastRenderedPageBreak/>
        <w:t>The table below presents calculations for the discussion above.</w:t>
      </w:r>
      <w:r w:rsidRPr="006714B2">
        <w:t xml:space="preserve"> </w:t>
      </w:r>
    </w:p>
    <w:p w:rsidR="001D6E83" w:rsidRDefault="001D6E83" w:rsidP="00744F37"/>
    <w:tbl>
      <w:tblPr>
        <w:tblW w:w="9620" w:type="dxa"/>
        <w:jc w:val="center"/>
        <w:tblInd w:w="89" w:type="dxa"/>
        <w:tblLook w:val="04A0" w:firstRow="1" w:lastRow="0" w:firstColumn="1" w:lastColumn="0" w:noHBand="0" w:noVBand="1"/>
      </w:tblPr>
      <w:tblGrid>
        <w:gridCol w:w="2251"/>
        <w:gridCol w:w="1283"/>
        <w:gridCol w:w="1501"/>
        <w:gridCol w:w="2013"/>
        <w:gridCol w:w="838"/>
        <w:gridCol w:w="1734"/>
      </w:tblGrid>
      <w:tr w:rsidR="0050652C" w:rsidRPr="006D4897" w:rsidTr="006A5094">
        <w:trPr>
          <w:trHeight w:val="315"/>
          <w:jc w:val="center"/>
        </w:trPr>
        <w:tc>
          <w:tcPr>
            <w:tcW w:w="9620" w:type="dxa"/>
            <w:gridSpan w:val="6"/>
            <w:tcBorders>
              <w:top w:val="single" w:sz="8" w:space="0" w:color="auto"/>
              <w:left w:val="single" w:sz="8" w:space="0" w:color="auto"/>
              <w:bottom w:val="single" w:sz="8" w:space="0" w:color="auto"/>
              <w:right w:val="single" w:sz="8" w:space="0" w:color="000000"/>
            </w:tcBorders>
            <w:shd w:val="clear" w:color="000000" w:fill="CCFFCC"/>
            <w:noWrap/>
            <w:vAlign w:val="center"/>
            <w:hideMark/>
          </w:tcPr>
          <w:p w:rsidR="0050652C" w:rsidRPr="006D4897" w:rsidRDefault="0050652C" w:rsidP="00744F37">
            <w:pPr>
              <w:rPr>
                <w:rFonts w:ascii="Arial Narrow" w:hAnsi="Arial Narrow"/>
                <w:b/>
                <w:bCs/>
                <w:color w:val="000000"/>
                <w:sz w:val="20"/>
                <w:szCs w:val="20"/>
              </w:rPr>
            </w:pPr>
            <w:r w:rsidRPr="006D4897">
              <w:rPr>
                <w:rFonts w:ascii="Arial Narrow" w:hAnsi="Arial Narrow"/>
                <w:b/>
                <w:bCs/>
                <w:color w:val="000000"/>
                <w:sz w:val="20"/>
                <w:szCs w:val="20"/>
              </w:rPr>
              <w:t>Total Annual Number of Burden Hours</w:t>
            </w:r>
          </w:p>
        </w:tc>
      </w:tr>
      <w:tr w:rsidR="003F56CB" w:rsidRPr="006D4897" w:rsidTr="006A5094">
        <w:trPr>
          <w:trHeight w:val="315"/>
          <w:jc w:val="center"/>
        </w:trPr>
        <w:tc>
          <w:tcPr>
            <w:tcW w:w="2251" w:type="dxa"/>
            <w:tcBorders>
              <w:top w:val="nil"/>
              <w:left w:val="single" w:sz="8" w:space="0" w:color="auto"/>
              <w:bottom w:val="single" w:sz="8" w:space="0" w:color="auto"/>
              <w:right w:val="single" w:sz="8" w:space="0" w:color="auto"/>
            </w:tcBorders>
            <w:shd w:val="clear" w:color="000000" w:fill="99CCFF"/>
            <w:noWrap/>
            <w:vAlign w:val="center"/>
            <w:hideMark/>
          </w:tcPr>
          <w:p w:rsidR="0050652C" w:rsidRPr="006D4897" w:rsidRDefault="0050652C" w:rsidP="00744F37">
            <w:pPr>
              <w:rPr>
                <w:rFonts w:ascii="Arial Narrow" w:hAnsi="Arial Narrow"/>
                <w:b/>
                <w:bCs/>
                <w:color w:val="000000"/>
                <w:sz w:val="20"/>
                <w:szCs w:val="20"/>
              </w:rPr>
            </w:pPr>
            <w:r w:rsidRPr="006D4897">
              <w:rPr>
                <w:rFonts w:ascii="Arial Narrow" w:hAnsi="Arial Narrow"/>
                <w:b/>
                <w:bCs/>
                <w:color w:val="000000"/>
                <w:sz w:val="20"/>
                <w:szCs w:val="20"/>
              </w:rPr>
              <w:t>Submissions</w:t>
            </w:r>
          </w:p>
        </w:tc>
        <w:tc>
          <w:tcPr>
            <w:tcW w:w="1283" w:type="dxa"/>
            <w:tcBorders>
              <w:top w:val="nil"/>
              <w:left w:val="nil"/>
              <w:bottom w:val="single" w:sz="8" w:space="0" w:color="auto"/>
              <w:right w:val="single" w:sz="8" w:space="0" w:color="auto"/>
            </w:tcBorders>
            <w:shd w:val="clear" w:color="000000" w:fill="99CCFF"/>
            <w:noWrap/>
            <w:vAlign w:val="center"/>
            <w:hideMark/>
          </w:tcPr>
          <w:p w:rsidR="0050652C" w:rsidRPr="006D4897" w:rsidRDefault="0050652C" w:rsidP="00744F37">
            <w:pPr>
              <w:rPr>
                <w:rFonts w:ascii="Arial Narrow" w:hAnsi="Arial Narrow"/>
                <w:b/>
                <w:bCs/>
                <w:color w:val="000000"/>
                <w:sz w:val="20"/>
                <w:szCs w:val="20"/>
              </w:rPr>
            </w:pPr>
            <w:r w:rsidRPr="006D4897">
              <w:rPr>
                <w:rFonts w:ascii="Arial Narrow" w:hAnsi="Arial Narrow"/>
                <w:b/>
                <w:bCs/>
                <w:color w:val="000000"/>
                <w:sz w:val="20"/>
                <w:szCs w:val="20"/>
              </w:rPr>
              <w:t>Responsible</w:t>
            </w:r>
          </w:p>
        </w:tc>
        <w:tc>
          <w:tcPr>
            <w:tcW w:w="1501" w:type="dxa"/>
            <w:tcBorders>
              <w:top w:val="nil"/>
              <w:left w:val="nil"/>
              <w:bottom w:val="single" w:sz="8" w:space="0" w:color="auto"/>
              <w:right w:val="single" w:sz="8" w:space="0" w:color="auto"/>
            </w:tcBorders>
            <w:shd w:val="clear" w:color="000000" w:fill="99CCFF"/>
            <w:noWrap/>
            <w:vAlign w:val="center"/>
            <w:hideMark/>
          </w:tcPr>
          <w:p w:rsidR="0050652C" w:rsidRPr="006D4897" w:rsidRDefault="0050652C" w:rsidP="00744F37">
            <w:pPr>
              <w:rPr>
                <w:rFonts w:ascii="Arial Narrow" w:hAnsi="Arial Narrow"/>
                <w:b/>
                <w:bCs/>
                <w:color w:val="000000"/>
                <w:sz w:val="20"/>
                <w:szCs w:val="20"/>
              </w:rPr>
            </w:pPr>
            <w:r w:rsidRPr="006D4897">
              <w:rPr>
                <w:rFonts w:ascii="Arial Narrow" w:hAnsi="Arial Narrow"/>
                <w:b/>
                <w:bCs/>
                <w:color w:val="000000"/>
                <w:sz w:val="20"/>
                <w:szCs w:val="20"/>
              </w:rPr>
              <w:t>Performed by</w:t>
            </w:r>
          </w:p>
        </w:tc>
        <w:tc>
          <w:tcPr>
            <w:tcW w:w="2013" w:type="dxa"/>
            <w:tcBorders>
              <w:top w:val="nil"/>
              <w:left w:val="nil"/>
              <w:bottom w:val="single" w:sz="8" w:space="0" w:color="auto"/>
              <w:right w:val="single" w:sz="8" w:space="0" w:color="auto"/>
            </w:tcBorders>
            <w:shd w:val="clear" w:color="000000" w:fill="99CCFF"/>
            <w:noWrap/>
            <w:vAlign w:val="center"/>
            <w:hideMark/>
          </w:tcPr>
          <w:p w:rsidR="0050652C" w:rsidRPr="006D4897" w:rsidRDefault="0050652C" w:rsidP="00744F37">
            <w:pPr>
              <w:rPr>
                <w:rFonts w:ascii="Arial Narrow" w:hAnsi="Arial Narrow"/>
                <w:b/>
                <w:bCs/>
                <w:color w:val="000000"/>
                <w:sz w:val="20"/>
                <w:szCs w:val="20"/>
              </w:rPr>
            </w:pPr>
            <w:r w:rsidRPr="006D4897">
              <w:rPr>
                <w:rFonts w:ascii="Arial Narrow" w:hAnsi="Arial Narrow"/>
                <w:b/>
                <w:bCs/>
                <w:color w:val="000000"/>
                <w:sz w:val="20"/>
                <w:szCs w:val="20"/>
              </w:rPr>
              <w:t>Instances</w:t>
            </w:r>
          </w:p>
        </w:tc>
        <w:tc>
          <w:tcPr>
            <w:tcW w:w="838" w:type="dxa"/>
            <w:tcBorders>
              <w:top w:val="nil"/>
              <w:left w:val="nil"/>
              <w:bottom w:val="single" w:sz="8" w:space="0" w:color="auto"/>
              <w:right w:val="single" w:sz="8" w:space="0" w:color="auto"/>
            </w:tcBorders>
            <w:shd w:val="clear" w:color="000000" w:fill="99CCFF"/>
            <w:noWrap/>
            <w:vAlign w:val="center"/>
            <w:hideMark/>
          </w:tcPr>
          <w:p w:rsidR="0050652C" w:rsidRPr="006D4897" w:rsidRDefault="0050652C" w:rsidP="00744F37">
            <w:pPr>
              <w:rPr>
                <w:rFonts w:ascii="Arial Narrow" w:hAnsi="Arial Narrow"/>
                <w:b/>
                <w:bCs/>
                <w:color w:val="000000"/>
                <w:sz w:val="20"/>
                <w:szCs w:val="20"/>
              </w:rPr>
            </w:pPr>
            <w:r w:rsidRPr="006D4897">
              <w:rPr>
                <w:rFonts w:ascii="Arial Narrow" w:hAnsi="Arial Narrow"/>
                <w:b/>
                <w:bCs/>
                <w:color w:val="000000"/>
                <w:sz w:val="20"/>
                <w:szCs w:val="20"/>
              </w:rPr>
              <w:t>Minutes</w:t>
            </w:r>
          </w:p>
        </w:tc>
        <w:tc>
          <w:tcPr>
            <w:tcW w:w="1734" w:type="dxa"/>
            <w:tcBorders>
              <w:top w:val="nil"/>
              <w:left w:val="nil"/>
              <w:bottom w:val="single" w:sz="8" w:space="0" w:color="auto"/>
              <w:right w:val="single" w:sz="8" w:space="0" w:color="auto"/>
            </w:tcBorders>
            <w:shd w:val="clear" w:color="000000" w:fill="99CCFF"/>
            <w:noWrap/>
            <w:vAlign w:val="center"/>
            <w:hideMark/>
          </w:tcPr>
          <w:p w:rsidR="0050652C" w:rsidRPr="006D4897" w:rsidRDefault="0050652C" w:rsidP="00744F37">
            <w:pPr>
              <w:rPr>
                <w:rFonts w:ascii="Arial Narrow" w:hAnsi="Arial Narrow"/>
                <w:b/>
                <w:bCs/>
                <w:color w:val="000000"/>
                <w:sz w:val="20"/>
                <w:szCs w:val="20"/>
              </w:rPr>
            </w:pPr>
            <w:r w:rsidRPr="006D4897">
              <w:rPr>
                <w:rFonts w:ascii="Arial Narrow" w:hAnsi="Arial Narrow"/>
                <w:b/>
                <w:bCs/>
                <w:color w:val="000000"/>
                <w:sz w:val="20"/>
                <w:szCs w:val="20"/>
              </w:rPr>
              <w:t>Total Hours</w:t>
            </w:r>
          </w:p>
        </w:tc>
      </w:tr>
      <w:tr w:rsidR="003F56CB" w:rsidRPr="006D4897" w:rsidTr="006A5094">
        <w:trPr>
          <w:trHeight w:val="300"/>
          <w:jc w:val="center"/>
        </w:trPr>
        <w:tc>
          <w:tcPr>
            <w:tcW w:w="2251" w:type="dxa"/>
            <w:tcBorders>
              <w:top w:val="nil"/>
              <w:left w:val="single" w:sz="8" w:space="0" w:color="auto"/>
              <w:bottom w:val="nil"/>
              <w:right w:val="nil"/>
            </w:tcBorders>
            <w:shd w:val="clear" w:color="auto" w:fill="auto"/>
            <w:noWrap/>
            <w:vAlign w:val="center"/>
            <w:hideMark/>
          </w:tcPr>
          <w:p w:rsidR="0050652C" w:rsidRPr="006D4897" w:rsidRDefault="0050652C" w:rsidP="00744F37">
            <w:pPr>
              <w:rPr>
                <w:rFonts w:ascii="Arial Narrow" w:hAnsi="Arial Narrow"/>
                <w:b/>
                <w:bCs/>
                <w:color w:val="000000"/>
                <w:sz w:val="20"/>
                <w:szCs w:val="20"/>
              </w:rPr>
            </w:pPr>
            <w:r w:rsidRPr="006D4897">
              <w:rPr>
                <w:rFonts w:ascii="Arial Narrow" w:hAnsi="Arial Narrow"/>
                <w:b/>
                <w:bCs/>
                <w:color w:val="000000"/>
                <w:sz w:val="20"/>
                <w:szCs w:val="20"/>
              </w:rPr>
              <w:t>Annual Queries</w:t>
            </w:r>
          </w:p>
        </w:tc>
        <w:tc>
          <w:tcPr>
            <w:tcW w:w="1283" w:type="dxa"/>
            <w:tcBorders>
              <w:top w:val="nil"/>
              <w:left w:val="nil"/>
              <w:bottom w:val="nil"/>
              <w:right w:val="nil"/>
            </w:tcBorders>
            <w:shd w:val="clear" w:color="auto" w:fill="auto"/>
            <w:noWrap/>
            <w:vAlign w:val="center"/>
            <w:hideMark/>
          </w:tcPr>
          <w:p w:rsidR="0050652C" w:rsidRPr="006D4897" w:rsidRDefault="0050652C" w:rsidP="00744F37">
            <w:pPr>
              <w:rPr>
                <w:rFonts w:ascii="Arial Narrow" w:hAnsi="Arial Narrow"/>
                <w:color w:val="000000"/>
                <w:sz w:val="20"/>
                <w:szCs w:val="20"/>
              </w:rPr>
            </w:pPr>
            <w:r w:rsidRPr="006D4897">
              <w:rPr>
                <w:rFonts w:ascii="Arial Narrow" w:hAnsi="Arial Narrow"/>
                <w:color w:val="000000"/>
                <w:sz w:val="20"/>
                <w:szCs w:val="20"/>
              </w:rPr>
              <w:t>Carriers</w:t>
            </w:r>
          </w:p>
        </w:tc>
        <w:tc>
          <w:tcPr>
            <w:tcW w:w="1501" w:type="dxa"/>
            <w:tcBorders>
              <w:top w:val="nil"/>
              <w:left w:val="nil"/>
              <w:bottom w:val="nil"/>
              <w:right w:val="nil"/>
            </w:tcBorders>
            <w:shd w:val="clear" w:color="auto" w:fill="auto"/>
            <w:noWrap/>
            <w:vAlign w:val="center"/>
            <w:hideMark/>
          </w:tcPr>
          <w:p w:rsidR="0050652C" w:rsidRPr="006D4897" w:rsidRDefault="0050652C" w:rsidP="00744F37">
            <w:pPr>
              <w:rPr>
                <w:rFonts w:ascii="Arial Narrow" w:hAnsi="Arial Narrow"/>
                <w:color w:val="000000"/>
                <w:sz w:val="20"/>
                <w:szCs w:val="20"/>
              </w:rPr>
            </w:pPr>
            <w:r w:rsidRPr="006D4897">
              <w:rPr>
                <w:rFonts w:ascii="Arial Narrow" w:hAnsi="Arial Narrow"/>
                <w:color w:val="000000"/>
                <w:sz w:val="20"/>
                <w:szCs w:val="20"/>
              </w:rPr>
              <w:t>Bookkeeping Clerk</w:t>
            </w:r>
          </w:p>
        </w:tc>
        <w:tc>
          <w:tcPr>
            <w:tcW w:w="2013" w:type="dxa"/>
            <w:tcBorders>
              <w:top w:val="nil"/>
              <w:left w:val="nil"/>
              <w:bottom w:val="nil"/>
              <w:right w:val="nil"/>
            </w:tcBorders>
            <w:shd w:val="clear" w:color="auto" w:fill="auto"/>
            <w:noWrap/>
            <w:vAlign w:val="center"/>
            <w:hideMark/>
          </w:tcPr>
          <w:p w:rsidR="0050652C" w:rsidRPr="006D4897" w:rsidRDefault="00AF1A96" w:rsidP="00744F37">
            <w:pPr>
              <w:rPr>
                <w:rFonts w:ascii="Arial Narrow" w:hAnsi="Arial Narrow"/>
                <w:color w:val="000000"/>
                <w:sz w:val="20"/>
                <w:szCs w:val="20"/>
              </w:rPr>
            </w:pPr>
            <w:r>
              <w:rPr>
                <w:rFonts w:ascii="Arial Narrow" w:hAnsi="Arial Narrow"/>
                <w:color w:val="000000"/>
                <w:sz w:val="20"/>
                <w:szCs w:val="20"/>
              </w:rPr>
              <w:t>5,200,000</w:t>
            </w:r>
          </w:p>
        </w:tc>
        <w:tc>
          <w:tcPr>
            <w:tcW w:w="838" w:type="dxa"/>
            <w:tcBorders>
              <w:top w:val="nil"/>
              <w:left w:val="nil"/>
              <w:bottom w:val="nil"/>
              <w:right w:val="nil"/>
            </w:tcBorders>
            <w:shd w:val="clear" w:color="auto" w:fill="auto"/>
            <w:noWrap/>
            <w:vAlign w:val="center"/>
            <w:hideMark/>
          </w:tcPr>
          <w:p w:rsidR="0050652C" w:rsidRPr="006D4897" w:rsidRDefault="0050652C" w:rsidP="00744F37">
            <w:pPr>
              <w:rPr>
                <w:rFonts w:ascii="Arial Narrow" w:hAnsi="Arial Narrow"/>
                <w:color w:val="000000"/>
                <w:sz w:val="20"/>
                <w:szCs w:val="20"/>
              </w:rPr>
            </w:pPr>
            <w:r w:rsidRPr="006D4897">
              <w:rPr>
                <w:rFonts w:ascii="Arial Narrow" w:hAnsi="Arial Narrow"/>
                <w:color w:val="000000"/>
                <w:sz w:val="20"/>
                <w:szCs w:val="20"/>
              </w:rPr>
              <w:t>10</w:t>
            </w:r>
          </w:p>
        </w:tc>
        <w:tc>
          <w:tcPr>
            <w:tcW w:w="1734" w:type="dxa"/>
            <w:tcBorders>
              <w:top w:val="nil"/>
              <w:left w:val="nil"/>
              <w:bottom w:val="nil"/>
              <w:right w:val="single" w:sz="8" w:space="0" w:color="auto"/>
            </w:tcBorders>
            <w:shd w:val="clear" w:color="auto" w:fill="auto"/>
            <w:noWrap/>
            <w:vAlign w:val="center"/>
            <w:hideMark/>
          </w:tcPr>
          <w:p w:rsidR="0050652C" w:rsidRPr="006D4897" w:rsidRDefault="00CF253C" w:rsidP="00744F37">
            <w:pPr>
              <w:rPr>
                <w:rFonts w:ascii="Arial Narrow" w:hAnsi="Arial Narrow"/>
                <w:color w:val="000000"/>
                <w:sz w:val="20"/>
                <w:szCs w:val="20"/>
              </w:rPr>
            </w:pPr>
            <w:r>
              <w:rPr>
                <w:rFonts w:ascii="Arial Narrow" w:hAnsi="Arial Narrow"/>
                <w:color w:val="000000"/>
                <w:sz w:val="20"/>
                <w:szCs w:val="20"/>
              </w:rPr>
              <w:t>866,667</w:t>
            </w:r>
          </w:p>
        </w:tc>
      </w:tr>
      <w:tr w:rsidR="003F56CB" w:rsidRPr="006D4897" w:rsidTr="006A5094">
        <w:trPr>
          <w:trHeight w:val="300"/>
          <w:jc w:val="center"/>
        </w:trPr>
        <w:tc>
          <w:tcPr>
            <w:tcW w:w="2251" w:type="dxa"/>
            <w:tcBorders>
              <w:top w:val="nil"/>
              <w:left w:val="single" w:sz="8" w:space="0" w:color="auto"/>
              <w:bottom w:val="nil"/>
              <w:right w:val="nil"/>
            </w:tcBorders>
            <w:shd w:val="clear" w:color="auto" w:fill="auto"/>
            <w:noWrap/>
            <w:vAlign w:val="center"/>
            <w:hideMark/>
          </w:tcPr>
          <w:p w:rsidR="0050652C" w:rsidRPr="006D4897" w:rsidRDefault="0050652C" w:rsidP="00744F37">
            <w:pPr>
              <w:rPr>
                <w:rFonts w:ascii="Arial Narrow" w:hAnsi="Arial Narrow"/>
                <w:b/>
                <w:bCs/>
                <w:color w:val="000000"/>
                <w:sz w:val="20"/>
                <w:szCs w:val="20"/>
              </w:rPr>
            </w:pPr>
            <w:r w:rsidRPr="006D4897">
              <w:rPr>
                <w:rFonts w:ascii="Arial Narrow" w:hAnsi="Arial Narrow"/>
                <w:b/>
                <w:bCs/>
                <w:color w:val="000000"/>
                <w:sz w:val="20"/>
                <w:szCs w:val="20"/>
              </w:rPr>
              <w:t>Pre-Employment Queries</w:t>
            </w:r>
          </w:p>
        </w:tc>
        <w:tc>
          <w:tcPr>
            <w:tcW w:w="1283" w:type="dxa"/>
            <w:tcBorders>
              <w:top w:val="nil"/>
              <w:left w:val="nil"/>
              <w:bottom w:val="nil"/>
              <w:right w:val="nil"/>
            </w:tcBorders>
            <w:shd w:val="clear" w:color="auto" w:fill="auto"/>
            <w:noWrap/>
            <w:vAlign w:val="center"/>
            <w:hideMark/>
          </w:tcPr>
          <w:p w:rsidR="0050652C" w:rsidRPr="006D4897" w:rsidRDefault="0050652C" w:rsidP="00744F37">
            <w:pPr>
              <w:rPr>
                <w:rFonts w:ascii="Arial Narrow" w:hAnsi="Arial Narrow"/>
                <w:color w:val="000000"/>
                <w:sz w:val="20"/>
                <w:szCs w:val="20"/>
              </w:rPr>
            </w:pPr>
            <w:r w:rsidRPr="006D4897">
              <w:rPr>
                <w:rFonts w:ascii="Arial Narrow" w:hAnsi="Arial Narrow"/>
                <w:color w:val="000000"/>
                <w:sz w:val="20"/>
                <w:szCs w:val="20"/>
              </w:rPr>
              <w:t>Carriers</w:t>
            </w:r>
          </w:p>
        </w:tc>
        <w:tc>
          <w:tcPr>
            <w:tcW w:w="1501" w:type="dxa"/>
            <w:tcBorders>
              <w:top w:val="nil"/>
              <w:left w:val="nil"/>
              <w:bottom w:val="nil"/>
              <w:right w:val="nil"/>
            </w:tcBorders>
            <w:shd w:val="clear" w:color="auto" w:fill="auto"/>
            <w:noWrap/>
            <w:vAlign w:val="center"/>
            <w:hideMark/>
          </w:tcPr>
          <w:p w:rsidR="0050652C" w:rsidRPr="006D4897" w:rsidRDefault="0050652C" w:rsidP="00744F37">
            <w:pPr>
              <w:rPr>
                <w:rFonts w:ascii="Arial Narrow" w:hAnsi="Arial Narrow"/>
                <w:color w:val="000000"/>
                <w:sz w:val="20"/>
                <w:szCs w:val="20"/>
              </w:rPr>
            </w:pPr>
            <w:r w:rsidRPr="006D4897">
              <w:rPr>
                <w:rFonts w:ascii="Arial Narrow" w:hAnsi="Arial Narrow"/>
                <w:color w:val="000000"/>
                <w:sz w:val="20"/>
                <w:szCs w:val="20"/>
              </w:rPr>
              <w:t>Bookkeeping Clerk</w:t>
            </w:r>
          </w:p>
        </w:tc>
        <w:tc>
          <w:tcPr>
            <w:tcW w:w="2013" w:type="dxa"/>
            <w:tcBorders>
              <w:top w:val="nil"/>
              <w:left w:val="nil"/>
              <w:bottom w:val="nil"/>
              <w:right w:val="nil"/>
            </w:tcBorders>
            <w:shd w:val="clear" w:color="auto" w:fill="auto"/>
            <w:noWrap/>
            <w:vAlign w:val="center"/>
            <w:hideMark/>
          </w:tcPr>
          <w:p w:rsidR="0050652C" w:rsidRPr="006D4897" w:rsidRDefault="00AF1A96" w:rsidP="00744F37">
            <w:pPr>
              <w:rPr>
                <w:rFonts w:ascii="Arial Narrow" w:hAnsi="Arial Narrow"/>
                <w:color w:val="000000"/>
                <w:sz w:val="20"/>
                <w:szCs w:val="20"/>
              </w:rPr>
            </w:pPr>
            <w:r>
              <w:rPr>
                <w:rFonts w:ascii="Arial Narrow" w:hAnsi="Arial Narrow"/>
                <w:color w:val="000000"/>
                <w:sz w:val="20"/>
                <w:szCs w:val="20"/>
              </w:rPr>
              <w:t>1,876,000</w:t>
            </w:r>
          </w:p>
        </w:tc>
        <w:tc>
          <w:tcPr>
            <w:tcW w:w="838" w:type="dxa"/>
            <w:tcBorders>
              <w:top w:val="nil"/>
              <w:left w:val="nil"/>
              <w:bottom w:val="nil"/>
              <w:right w:val="nil"/>
            </w:tcBorders>
            <w:shd w:val="clear" w:color="auto" w:fill="auto"/>
            <w:noWrap/>
            <w:vAlign w:val="center"/>
            <w:hideMark/>
          </w:tcPr>
          <w:p w:rsidR="0050652C" w:rsidRPr="006D4897" w:rsidRDefault="0050652C" w:rsidP="00744F37">
            <w:pPr>
              <w:rPr>
                <w:rFonts w:ascii="Arial Narrow" w:hAnsi="Arial Narrow"/>
                <w:color w:val="000000"/>
                <w:sz w:val="20"/>
                <w:szCs w:val="20"/>
              </w:rPr>
            </w:pPr>
            <w:r w:rsidRPr="006D4897">
              <w:rPr>
                <w:rFonts w:ascii="Arial Narrow" w:hAnsi="Arial Narrow"/>
                <w:color w:val="000000"/>
                <w:sz w:val="20"/>
                <w:szCs w:val="20"/>
              </w:rPr>
              <w:t>10</w:t>
            </w:r>
          </w:p>
        </w:tc>
        <w:tc>
          <w:tcPr>
            <w:tcW w:w="1734" w:type="dxa"/>
            <w:tcBorders>
              <w:top w:val="nil"/>
              <w:left w:val="nil"/>
              <w:bottom w:val="nil"/>
              <w:right w:val="single" w:sz="8" w:space="0" w:color="auto"/>
            </w:tcBorders>
            <w:shd w:val="clear" w:color="auto" w:fill="auto"/>
            <w:noWrap/>
            <w:vAlign w:val="center"/>
            <w:hideMark/>
          </w:tcPr>
          <w:p w:rsidR="0050652C" w:rsidRPr="006D4897" w:rsidRDefault="00CF253C" w:rsidP="00744F37">
            <w:pPr>
              <w:rPr>
                <w:rFonts w:ascii="Arial Narrow" w:hAnsi="Arial Narrow"/>
                <w:color w:val="000000"/>
                <w:sz w:val="20"/>
                <w:szCs w:val="20"/>
              </w:rPr>
            </w:pPr>
            <w:r>
              <w:rPr>
                <w:rFonts w:ascii="Arial Narrow" w:hAnsi="Arial Narrow"/>
                <w:color w:val="000000"/>
                <w:sz w:val="20"/>
                <w:szCs w:val="20"/>
              </w:rPr>
              <w:t>312,667</w:t>
            </w:r>
          </w:p>
        </w:tc>
      </w:tr>
      <w:tr w:rsidR="003F56CB" w:rsidRPr="006D4897" w:rsidTr="006A5094">
        <w:trPr>
          <w:trHeight w:val="300"/>
          <w:jc w:val="center"/>
        </w:trPr>
        <w:tc>
          <w:tcPr>
            <w:tcW w:w="2251" w:type="dxa"/>
            <w:tcBorders>
              <w:top w:val="nil"/>
              <w:left w:val="single" w:sz="8" w:space="0" w:color="auto"/>
              <w:bottom w:val="nil"/>
              <w:right w:val="nil"/>
            </w:tcBorders>
            <w:shd w:val="clear" w:color="auto" w:fill="auto"/>
            <w:noWrap/>
            <w:vAlign w:val="center"/>
            <w:hideMark/>
          </w:tcPr>
          <w:p w:rsidR="0050652C" w:rsidRPr="006D4897" w:rsidRDefault="0050652C" w:rsidP="00744F37">
            <w:pPr>
              <w:rPr>
                <w:rFonts w:ascii="Arial Narrow" w:hAnsi="Arial Narrow"/>
                <w:b/>
                <w:bCs/>
                <w:color w:val="000000"/>
                <w:sz w:val="20"/>
                <w:szCs w:val="20"/>
              </w:rPr>
            </w:pPr>
            <w:r w:rsidRPr="006D4897">
              <w:rPr>
                <w:rFonts w:ascii="Arial Narrow" w:hAnsi="Arial Narrow"/>
                <w:b/>
                <w:bCs/>
                <w:color w:val="000000"/>
                <w:sz w:val="20"/>
                <w:szCs w:val="20"/>
              </w:rPr>
              <w:t>Designate C/TPAs</w:t>
            </w:r>
          </w:p>
        </w:tc>
        <w:tc>
          <w:tcPr>
            <w:tcW w:w="1283" w:type="dxa"/>
            <w:tcBorders>
              <w:top w:val="nil"/>
              <w:left w:val="nil"/>
              <w:bottom w:val="nil"/>
              <w:right w:val="nil"/>
            </w:tcBorders>
            <w:shd w:val="clear" w:color="auto" w:fill="auto"/>
            <w:noWrap/>
            <w:vAlign w:val="center"/>
            <w:hideMark/>
          </w:tcPr>
          <w:p w:rsidR="0050652C" w:rsidRPr="006D4897" w:rsidRDefault="0050652C" w:rsidP="00744F37">
            <w:pPr>
              <w:rPr>
                <w:rFonts w:ascii="Arial Narrow" w:hAnsi="Arial Narrow"/>
                <w:color w:val="000000"/>
                <w:sz w:val="20"/>
                <w:szCs w:val="20"/>
              </w:rPr>
            </w:pPr>
            <w:r w:rsidRPr="006D4897">
              <w:rPr>
                <w:rFonts w:ascii="Arial Narrow" w:hAnsi="Arial Narrow"/>
                <w:color w:val="000000"/>
                <w:sz w:val="20"/>
                <w:szCs w:val="20"/>
              </w:rPr>
              <w:t>Carriers</w:t>
            </w:r>
          </w:p>
        </w:tc>
        <w:tc>
          <w:tcPr>
            <w:tcW w:w="1501" w:type="dxa"/>
            <w:tcBorders>
              <w:top w:val="nil"/>
              <w:left w:val="nil"/>
              <w:bottom w:val="nil"/>
              <w:right w:val="nil"/>
            </w:tcBorders>
            <w:shd w:val="clear" w:color="auto" w:fill="auto"/>
            <w:noWrap/>
            <w:vAlign w:val="center"/>
            <w:hideMark/>
          </w:tcPr>
          <w:p w:rsidR="0050652C" w:rsidRPr="006D4897" w:rsidRDefault="0050652C" w:rsidP="00744F37">
            <w:pPr>
              <w:rPr>
                <w:rFonts w:ascii="Arial Narrow" w:hAnsi="Arial Narrow"/>
                <w:color w:val="000000"/>
                <w:sz w:val="20"/>
                <w:szCs w:val="20"/>
              </w:rPr>
            </w:pPr>
            <w:r w:rsidRPr="006D4897">
              <w:rPr>
                <w:rFonts w:ascii="Arial Narrow" w:hAnsi="Arial Narrow"/>
                <w:color w:val="000000"/>
                <w:sz w:val="20"/>
                <w:szCs w:val="20"/>
              </w:rPr>
              <w:t>Bookkeeping Clerk</w:t>
            </w:r>
          </w:p>
        </w:tc>
        <w:tc>
          <w:tcPr>
            <w:tcW w:w="2013" w:type="dxa"/>
            <w:tcBorders>
              <w:top w:val="nil"/>
              <w:left w:val="nil"/>
              <w:bottom w:val="nil"/>
              <w:right w:val="nil"/>
            </w:tcBorders>
            <w:shd w:val="clear" w:color="auto" w:fill="auto"/>
            <w:noWrap/>
            <w:vAlign w:val="center"/>
            <w:hideMark/>
          </w:tcPr>
          <w:p w:rsidR="0050652C" w:rsidRPr="006D4897" w:rsidRDefault="0050652C" w:rsidP="00744F37">
            <w:pPr>
              <w:rPr>
                <w:rFonts w:ascii="Arial Narrow" w:hAnsi="Arial Narrow"/>
                <w:color w:val="000000"/>
                <w:sz w:val="20"/>
                <w:szCs w:val="20"/>
              </w:rPr>
            </w:pPr>
            <w:r w:rsidRPr="006D4897">
              <w:rPr>
                <w:rFonts w:ascii="Arial Narrow" w:hAnsi="Arial Narrow"/>
                <w:color w:val="000000"/>
                <w:sz w:val="20"/>
                <w:szCs w:val="20"/>
              </w:rPr>
              <w:t>520,000</w:t>
            </w:r>
          </w:p>
        </w:tc>
        <w:tc>
          <w:tcPr>
            <w:tcW w:w="838" w:type="dxa"/>
            <w:tcBorders>
              <w:top w:val="nil"/>
              <w:left w:val="nil"/>
              <w:bottom w:val="nil"/>
              <w:right w:val="nil"/>
            </w:tcBorders>
            <w:shd w:val="clear" w:color="auto" w:fill="auto"/>
            <w:noWrap/>
            <w:vAlign w:val="center"/>
            <w:hideMark/>
          </w:tcPr>
          <w:p w:rsidR="0050652C" w:rsidRPr="006D4897" w:rsidRDefault="0050652C" w:rsidP="00744F37">
            <w:pPr>
              <w:rPr>
                <w:rFonts w:ascii="Arial Narrow" w:hAnsi="Arial Narrow"/>
                <w:color w:val="000000"/>
                <w:sz w:val="20"/>
                <w:szCs w:val="20"/>
              </w:rPr>
            </w:pPr>
            <w:r w:rsidRPr="006D4897">
              <w:rPr>
                <w:rFonts w:ascii="Arial Narrow" w:hAnsi="Arial Narrow"/>
                <w:color w:val="000000"/>
                <w:sz w:val="20"/>
                <w:szCs w:val="20"/>
              </w:rPr>
              <w:t>10</w:t>
            </w:r>
          </w:p>
        </w:tc>
        <w:tc>
          <w:tcPr>
            <w:tcW w:w="1734" w:type="dxa"/>
            <w:tcBorders>
              <w:top w:val="nil"/>
              <w:left w:val="nil"/>
              <w:bottom w:val="nil"/>
              <w:right w:val="single" w:sz="8" w:space="0" w:color="auto"/>
            </w:tcBorders>
            <w:shd w:val="clear" w:color="auto" w:fill="auto"/>
            <w:noWrap/>
            <w:vAlign w:val="center"/>
            <w:hideMark/>
          </w:tcPr>
          <w:p w:rsidR="0050652C" w:rsidRPr="006D4897" w:rsidRDefault="0050652C" w:rsidP="00744F37">
            <w:pPr>
              <w:rPr>
                <w:rFonts w:ascii="Arial Narrow" w:hAnsi="Arial Narrow"/>
                <w:color w:val="000000"/>
                <w:sz w:val="20"/>
                <w:szCs w:val="20"/>
              </w:rPr>
            </w:pPr>
            <w:r w:rsidRPr="006D4897">
              <w:rPr>
                <w:rFonts w:ascii="Arial Narrow" w:hAnsi="Arial Narrow"/>
                <w:color w:val="000000"/>
                <w:sz w:val="20"/>
                <w:szCs w:val="20"/>
              </w:rPr>
              <w:t>86,667</w:t>
            </w:r>
          </w:p>
        </w:tc>
      </w:tr>
      <w:tr w:rsidR="003F56CB" w:rsidRPr="006D4897" w:rsidTr="006A5094">
        <w:trPr>
          <w:trHeight w:val="300"/>
          <w:jc w:val="center"/>
        </w:trPr>
        <w:tc>
          <w:tcPr>
            <w:tcW w:w="2251" w:type="dxa"/>
            <w:tcBorders>
              <w:top w:val="nil"/>
              <w:left w:val="single" w:sz="8" w:space="0" w:color="auto"/>
              <w:bottom w:val="nil"/>
              <w:right w:val="nil"/>
            </w:tcBorders>
            <w:shd w:val="clear" w:color="auto" w:fill="auto"/>
            <w:noWrap/>
            <w:vAlign w:val="center"/>
            <w:hideMark/>
          </w:tcPr>
          <w:p w:rsidR="0050652C" w:rsidRPr="006D4897" w:rsidRDefault="0050652C" w:rsidP="00744F37">
            <w:pPr>
              <w:rPr>
                <w:rFonts w:ascii="Arial Narrow" w:hAnsi="Arial Narrow"/>
                <w:b/>
                <w:bCs/>
                <w:color w:val="000000"/>
                <w:sz w:val="20"/>
                <w:szCs w:val="20"/>
              </w:rPr>
            </w:pPr>
            <w:r w:rsidRPr="006D4897">
              <w:rPr>
                <w:rFonts w:ascii="Arial Narrow" w:hAnsi="Arial Narrow"/>
                <w:b/>
                <w:bCs/>
                <w:color w:val="000000"/>
                <w:sz w:val="20"/>
                <w:szCs w:val="20"/>
              </w:rPr>
              <w:t>SAPs</w:t>
            </w:r>
            <w:r w:rsidR="00787C8F">
              <w:rPr>
                <w:rFonts w:ascii="Arial Narrow" w:hAnsi="Arial Narrow"/>
                <w:b/>
                <w:bCs/>
                <w:color w:val="000000"/>
                <w:sz w:val="20"/>
                <w:szCs w:val="20"/>
              </w:rPr>
              <w:t xml:space="preserve"> </w:t>
            </w:r>
            <w:r w:rsidR="00A90623">
              <w:rPr>
                <w:rFonts w:ascii="Arial Narrow" w:hAnsi="Arial Narrow"/>
                <w:b/>
                <w:bCs/>
                <w:color w:val="000000"/>
                <w:sz w:val="20"/>
                <w:szCs w:val="20"/>
              </w:rPr>
              <w:t>Inputting</w:t>
            </w:r>
            <w:r w:rsidR="00787C8F">
              <w:rPr>
                <w:rFonts w:ascii="Arial Narrow" w:hAnsi="Arial Narrow"/>
                <w:b/>
                <w:bCs/>
                <w:color w:val="000000"/>
                <w:sz w:val="20"/>
                <w:szCs w:val="20"/>
              </w:rPr>
              <w:t xml:space="preserve"> Driver Information</w:t>
            </w:r>
          </w:p>
        </w:tc>
        <w:tc>
          <w:tcPr>
            <w:tcW w:w="1283" w:type="dxa"/>
            <w:tcBorders>
              <w:top w:val="nil"/>
              <w:left w:val="nil"/>
              <w:bottom w:val="nil"/>
              <w:right w:val="nil"/>
            </w:tcBorders>
            <w:shd w:val="clear" w:color="auto" w:fill="auto"/>
            <w:noWrap/>
            <w:vAlign w:val="center"/>
            <w:hideMark/>
          </w:tcPr>
          <w:p w:rsidR="0050652C" w:rsidRPr="006D4897" w:rsidRDefault="00787C8F" w:rsidP="00744F37">
            <w:pPr>
              <w:rPr>
                <w:rFonts w:ascii="Arial Narrow" w:hAnsi="Arial Narrow"/>
                <w:color w:val="000000"/>
                <w:sz w:val="20"/>
                <w:szCs w:val="20"/>
              </w:rPr>
            </w:pPr>
            <w:r>
              <w:rPr>
                <w:rFonts w:ascii="Arial Narrow" w:hAnsi="Arial Narrow"/>
                <w:color w:val="000000"/>
                <w:sz w:val="20"/>
                <w:szCs w:val="20"/>
              </w:rPr>
              <w:t>SAPs</w:t>
            </w:r>
          </w:p>
        </w:tc>
        <w:tc>
          <w:tcPr>
            <w:tcW w:w="1501" w:type="dxa"/>
            <w:tcBorders>
              <w:top w:val="nil"/>
              <w:left w:val="nil"/>
              <w:bottom w:val="nil"/>
              <w:right w:val="nil"/>
            </w:tcBorders>
            <w:shd w:val="clear" w:color="auto" w:fill="auto"/>
            <w:noWrap/>
            <w:vAlign w:val="center"/>
            <w:hideMark/>
          </w:tcPr>
          <w:p w:rsidR="0050652C" w:rsidRPr="006D4897" w:rsidRDefault="00787C8F" w:rsidP="00744F37">
            <w:pPr>
              <w:rPr>
                <w:rFonts w:ascii="Arial Narrow" w:hAnsi="Arial Narrow"/>
                <w:color w:val="000000"/>
                <w:sz w:val="20"/>
                <w:szCs w:val="20"/>
              </w:rPr>
            </w:pPr>
            <w:r>
              <w:rPr>
                <w:rFonts w:ascii="Arial Narrow" w:hAnsi="Arial Narrow"/>
                <w:color w:val="000000"/>
                <w:sz w:val="20"/>
                <w:szCs w:val="20"/>
              </w:rPr>
              <w:t>SAPs</w:t>
            </w:r>
          </w:p>
        </w:tc>
        <w:tc>
          <w:tcPr>
            <w:tcW w:w="2013" w:type="dxa"/>
            <w:tcBorders>
              <w:top w:val="nil"/>
              <w:left w:val="nil"/>
              <w:bottom w:val="nil"/>
              <w:right w:val="nil"/>
            </w:tcBorders>
            <w:shd w:val="clear" w:color="auto" w:fill="auto"/>
            <w:noWrap/>
            <w:vAlign w:val="center"/>
            <w:hideMark/>
          </w:tcPr>
          <w:p w:rsidR="0050652C" w:rsidRPr="006D4897" w:rsidRDefault="00787C8F" w:rsidP="00744F37">
            <w:pPr>
              <w:rPr>
                <w:rFonts w:ascii="Arial Narrow" w:hAnsi="Arial Narrow"/>
                <w:color w:val="000000"/>
                <w:sz w:val="20"/>
                <w:szCs w:val="20"/>
              </w:rPr>
            </w:pPr>
            <w:r>
              <w:rPr>
                <w:rFonts w:ascii="Arial Narrow" w:hAnsi="Arial Narrow"/>
                <w:color w:val="000000"/>
                <w:sz w:val="20"/>
                <w:szCs w:val="20"/>
              </w:rPr>
              <w:t>82,900</w:t>
            </w:r>
          </w:p>
        </w:tc>
        <w:tc>
          <w:tcPr>
            <w:tcW w:w="838" w:type="dxa"/>
            <w:tcBorders>
              <w:top w:val="nil"/>
              <w:left w:val="nil"/>
              <w:bottom w:val="nil"/>
              <w:right w:val="nil"/>
            </w:tcBorders>
            <w:shd w:val="clear" w:color="auto" w:fill="auto"/>
            <w:noWrap/>
            <w:vAlign w:val="center"/>
            <w:hideMark/>
          </w:tcPr>
          <w:p w:rsidR="0050652C" w:rsidRPr="006D4897" w:rsidRDefault="0050652C" w:rsidP="00744F37">
            <w:pPr>
              <w:rPr>
                <w:rFonts w:ascii="Arial Narrow" w:hAnsi="Arial Narrow"/>
                <w:color w:val="000000"/>
                <w:sz w:val="20"/>
                <w:szCs w:val="20"/>
              </w:rPr>
            </w:pPr>
            <w:r w:rsidRPr="006D4897">
              <w:rPr>
                <w:rFonts w:ascii="Arial Narrow" w:hAnsi="Arial Narrow"/>
                <w:color w:val="000000"/>
                <w:sz w:val="20"/>
                <w:szCs w:val="20"/>
              </w:rPr>
              <w:t>10</w:t>
            </w:r>
          </w:p>
        </w:tc>
        <w:tc>
          <w:tcPr>
            <w:tcW w:w="1734" w:type="dxa"/>
            <w:tcBorders>
              <w:top w:val="nil"/>
              <w:left w:val="nil"/>
              <w:bottom w:val="nil"/>
              <w:right w:val="single" w:sz="8" w:space="0" w:color="auto"/>
            </w:tcBorders>
            <w:shd w:val="clear" w:color="auto" w:fill="auto"/>
            <w:noWrap/>
            <w:vAlign w:val="center"/>
            <w:hideMark/>
          </w:tcPr>
          <w:p w:rsidR="0050652C" w:rsidRPr="006D4897" w:rsidRDefault="00787C8F" w:rsidP="00744F37">
            <w:pPr>
              <w:rPr>
                <w:rFonts w:ascii="Arial Narrow" w:hAnsi="Arial Narrow"/>
                <w:color w:val="000000"/>
                <w:sz w:val="20"/>
                <w:szCs w:val="20"/>
              </w:rPr>
            </w:pPr>
            <w:r>
              <w:rPr>
                <w:rFonts w:ascii="Arial Narrow" w:hAnsi="Arial Narrow"/>
                <w:color w:val="000000"/>
                <w:sz w:val="20"/>
                <w:szCs w:val="20"/>
              </w:rPr>
              <w:t>13,817</w:t>
            </w:r>
          </w:p>
        </w:tc>
      </w:tr>
      <w:tr w:rsidR="003F56CB" w:rsidRPr="006D4897" w:rsidTr="006A5094">
        <w:trPr>
          <w:trHeight w:val="300"/>
          <w:jc w:val="center"/>
        </w:trPr>
        <w:tc>
          <w:tcPr>
            <w:tcW w:w="2251" w:type="dxa"/>
            <w:tcBorders>
              <w:top w:val="nil"/>
              <w:left w:val="single" w:sz="8" w:space="0" w:color="auto"/>
              <w:bottom w:val="nil"/>
              <w:right w:val="nil"/>
            </w:tcBorders>
            <w:shd w:val="clear" w:color="auto" w:fill="auto"/>
            <w:noWrap/>
            <w:vAlign w:val="center"/>
            <w:hideMark/>
          </w:tcPr>
          <w:p w:rsidR="0050652C" w:rsidRPr="006D4897" w:rsidRDefault="0050652C" w:rsidP="00744F37">
            <w:pPr>
              <w:rPr>
                <w:rFonts w:ascii="Arial Narrow" w:hAnsi="Arial Narrow"/>
                <w:b/>
                <w:bCs/>
                <w:color w:val="000000"/>
                <w:sz w:val="20"/>
                <w:szCs w:val="20"/>
              </w:rPr>
            </w:pPr>
            <w:r w:rsidRPr="006D4897">
              <w:rPr>
                <w:rFonts w:ascii="Arial Narrow" w:hAnsi="Arial Narrow"/>
                <w:b/>
                <w:bCs/>
                <w:color w:val="000000"/>
                <w:sz w:val="20"/>
                <w:szCs w:val="20"/>
              </w:rPr>
              <w:t>Report/Notify Positive Tests</w:t>
            </w:r>
          </w:p>
        </w:tc>
        <w:tc>
          <w:tcPr>
            <w:tcW w:w="1283" w:type="dxa"/>
            <w:tcBorders>
              <w:top w:val="nil"/>
              <w:left w:val="nil"/>
              <w:bottom w:val="nil"/>
              <w:right w:val="nil"/>
            </w:tcBorders>
            <w:shd w:val="clear" w:color="auto" w:fill="auto"/>
            <w:noWrap/>
            <w:vAlign w:val="center"/>
            <w:hideMark/>
          </w:tcPr>
          <w:p w:rsidR="0050652C" w:rsidRPr="006D4897" w:rsidRDefault="0050652C" w:rsidP="00744F37">
            <w:pPr>
              <w:rPr>
                <w:rFonts w:ascii="Arial Narrow" w:hAnsi="Arial Narrow"/>
                <w:color w:val="000000"/>
                <w:sz w:val="20"/>
                <w:szCs w:val="20"/>
              </w:rPr>
            </w:pPr>
            <w:r w:rsidRPr="006D4897">
              <w:rPr>
                <w:rFonts w:ascii="Arial Narrow" w:hAnsi="Arial Narrow"/>
                <w:color w:val="000000"/>
                <w:sz w:val="20"/>
                <w:szCs w:val="20"/>
              </w:rPr>
              <w:t>Various</w:t>
            </w:r>
          </w:p>
        </w:tc>
        <w:tc>
          <w:tcPr>
            <w:tcW w:w="1501" w:type="dxa"/>
            <w:tcBorders>
              <w:top w:val="nil"/>
              <w:left w:val="nil"/>
              <w:bottom w:val="nil"/>
              <w:right w:val="nil"/>
            </w:tcBorders>
            <w:shd w:val="clear" w:color="auto" w:fill="auto"/>
            <w:noWrap/>
            <w:vAlign w:val="center"/>
            <w:hideMark/>
          </w:tcPr>
          <w:p w:rsidR="0050652C" w:rsidRPr="006D4897" w:rsidRDefault="0050652C" w:rsidP="00744F37">
            <w:pPr>
              <w:rPr>
                <w:rFonts w:ascii="Arial Narrow" w:hAnsi="Arial Narrow"/>
                <w:color w:val="000000"/>
                <w:sz w:val="20"/>
                <w:szCs w:val="20"/>
              </w:rPr>
            </w:pPr>
            <w:r w:rsidRPr="006D4897">
              <w:rPr>
                <w:rFonts w:ascii="Arial Narrow" w:hAnsi="Arial Narrow"/>
                <w:color w:val="000000"/>
                <w:sz w:val="20"/>
                <w:szCs w:val="20"/>
              </w:rPr>
              <w:t>Bookkeeping Clerk</w:t>
            </w:r>
          </w:p>
        </w:tc>
        <w:tc>
          <w:tcPr>
            <w:tcW w:w="2013" w:type="dxa"/>
            <w:tcBorders>
              <w:top w:val="nil"/>
              <w:left w:val="nil"/>
              <w:bottom w:val="nil"/>
              <w:right w:val="nil"/>
            </w:tcBorders>
            <w:shd w:val="clear" w:color="auto" w:fill="auto"/>
            <w:noWrap/>
            <w:vAlign w:val="center"/>
            <w:hideMark/>
          </w:tcPr>
          <w:p w:rsidR="0050652C" w:rsidRPr="006D4897" w:rsidRDefault="00AF1A96" w:rsidP="00744F37">
            <w:pPr>
              <w:rPr>
                <w:rFonts w:ascii="Arial Narrow" w:hAnsi="Arial Narrow"/>
                <w:color w:val="000000"/>
                <w:sz w:val="20"/>
                <w:szCs w:val="20"/>
              </w:rPr>
            </w:pPr>
            <w:r>
              <w:rPr>
                <w:rFonts w:ascii="Arial Narrow" w:hAnsi="Arial Narrow"/>
                <w:color w:val="000000"/>
                <w:sz w:val="20"/>
                <w:szCs w:val="20"/>
              </w:rPr>
              <w:t>1</w:t>
            </w:r>
            <w:r w:rsidR="0039205B">
              <w:rPr>
                <w:rFonts w:ascii="Arial Narrow" w:hAnsi="Arial Narrow"/>
                <w:color w:val="000000"/>
                <w:sz w:val="20"/>
                <w:szCs w:val="20"/>
              </w:rPr>
              <w:t>65,800</w:t>
            </w:r>
          </w:p>
        </w:tc>
        <w:tc>
          <w:tcPr>
            <w:tcW w:w="838" w:type="dxa"/>
            <w:tcBorders>
              <w:top w:val="nil"/>
              <w:left w:val="nil"/>
              <w:bottom w:val="nil"/>
              <w:right w:val="nil"/>
            </w:tcBorders>
            <w:shd w:val="clear" w:color="auto" w:fill="auto"/>
            <w:noWrap/>
            <w:vAlign w:val="center"/>
            <w:hideMark/>
          </w:tcPr>
          <w:p w:rsidR="0050652C" w:rsidRPr="006D4897" w:rsidRDefault="0050652C" w:rsidP="00744F37">
            <w:pPr>
              <w:rPr>
                <w:rFonts w:ascii="Arial Narrow" w:hAnsi="Arial Narrow"/>
                <w:color w:val="000000"/>
                <w:sz w:val="20"/>
                <w:szCs w:val="20"/>
              </w:rPr>
            </w:pPr>
            <w:r w:rsidRPr="006D4897">
              <w:rPr>
                <w:rFonts w:ascii="Arial Narrow" w:hAnsi="Arial Narrow"/>
                <w:color w:val="000000"/>
                <w:sz w:val="20"/>
                <w:szCs w:val="20"/>
              </w:rPr>
              <w:t>10</w:t>
            </w:r>
          </w:p>
        </w:tc>
        <w:tc>
          <w:tcPr>
            <w:tcW w:w="1734" w:type="dxa"/>
            <w:tcBorders>
              <w:top w:val="nil"/>
              <w:left w:val="nil"/>
              <w:bottom w:val="nil"/>
              <w:right w:val="single" w:sz="8" w:space="0" w:color="auto"/>
            </w:tcBorders>
            <w:shd w:val="clear" w:color="auto" w:fill="auto"/>
            <w:noWrap/>
            <w:vAlign w:val="center"/>
            <w:hideMark/>
          </w:tcPr>
          <w:p w:rsidR="0050652C" w:rsidRPr="006D4897" w:rsidRDefault="00CF253C" w:rsidP="00744F37">
            <w:pPr>
              <w:rPr>
                <w:rFonts w:ascii="Arial Narrow" w:hAnsi="Arial Narrow"/>
                <w:color w:val="000000"/>
                <w:sz w:val="20"/>
                <w:szCs w:val="20"/>
              </w:rPr>
            </w:pPr>
            <w:r>
              <w:rPr>
                <w:rFonts w:ascii="Arial Narrow" w:hAnsi="Arial Narrow"/>
                <w:color w:val="000000"/>
                <w:sz w:val="20"/>
                <w:szCs w:val="20"/>
              </w:rPr>
              <w:t>2</w:t>
            </w:r>
            <w:r w:rsidR="00CA3975">
              <w:rPr>
                <w:rFonts w:ascii="Arial Narrow" w:hAnsi="Arial Narrow"/>
                <w:color w:val="000000"/>
                <w:sz w:val="20"/>
                <w:szCs w:val="20"/>
              </w:rPr>
              <w:t>7,633</w:t>
            </w:r>
          </w:p>
        </w:tc>
      </w:tr>
      <w:tr w:rsidR="003F56CB" w:rsidRPr="006D4897" w:rsidTr="006A5094">
        <w:trPr>
          <w:trHeight w:val="300"/>
          <w:jc w:val="center"/>
        </w:trPr>
        <w:tc>
          <w:tcPr>
            <w:tcW w:w="2251" w:type="dxa"/>
            <w:tcBorders>
              <w:top w:val="nil"/>
              <w:left w:val="single" w:sz="8" w:space="0" w:color="auto"/>
              <w:bottom w:val="nil"/>
              <w:right w:val="nil"/>
            </w:tcBorders>
            <w:shd w:val="clear" w:color="auto" w:fill="auto"/>
            <w:noWrap/>
            <w:vAlign w:val="center"/>
            <w:hideMark/>
          </w:tcPr>
          <w:p w:rsidR="0050652C" w:rsidRPr="006D4897" w:rsidRDefault="0050652C" w:rsidP="00744F37">
            <w:pPr>
              <w:rPr>
                <w:rFonts w:ascii="Arial Narrow" w:hAnsi="Arial Narrow"/>
                <w:b/>
                <w:bCs/>
                <w:color w:val="000000"/>
                <w:sz w:val="20"/>
                <w:szCs w:val="20"/>
              </w:rPr>
            </w:pPr>
            <w:r w:rsidRPr="006D4897">
              <w:rPr>
                <w:rFonts w:ascii="Arial Narrow" w:hAnsi="Arial Narrow"/>
                <w:b/>
                <w:bCs/>
                <w:color w:val="000000"/>
                <w:sz w:val="20"/>
                <w:szCs w:val="20"/>
              </w:rPr>
              <w:t>Register / Familiarize / Verify</w:t>
            </w:r>
          </w:p>
        </w:tc>
        <w:tc>
          <w:tcPr>
            <w:tcW w:w="1283" w:type="dxa"/>
            <w:tcBorders>
              <w:top w:val="nil"/>
              <w:left w:val="nil"/>
              <w:bottom w:val="nil"/>
              <w:right w:val="nil"/>
            </w:tcBorders>
            <w:shd w:val="clear" w:color="auto" w:fill="auto"/>
            <w:noWrap/>
            <w:vAlign w:val="center"/>
            <w:hideMark/>
          </w:tcPr>
          <w:p w:rsidR="0050652C" w:rsidRPr="006D4897" w:rsidRDefault="0050652C" w:rsidP="00744F37">
            <w:pPr>
              <w:rPr>
                <w:rFonts w:ascii="Arial Narrow" w:hAnsi="Arial Narrow"/>
                <w:color w:val="000000"/>
                <w:sz w:val="20"/>
                <w:szCs w:val="20"/>
              </w:rPr>
            </w:pPr>
            <w:r w:rsidRPr="006D4897">
              <w:rPr>
                <w:rFonts w:ascii="Arial Narrow" w:hAnsi="Arial Narrow"/>
                <w:color w:val="000000"/>
                <w:sz w:val="20"/>
                <w:szCs w:val="20"/>
              </w:rPr>
              <w:t>Various</w:t>
            </w:r>
          </w:p>
        </w:tc>
        <w:tc>
          <w:tcPr>
            <w:tcW w:w="1501" w:type="dxa"/>
            <w:tcBorders>
              <w:top w:val="nil"/>
              <w:left w:val="nil"/>
              <w:bottom w:val="nil"/>
              <w:right w:val="nil"/>
            </w:tcBorders>
            <w:shd w:val="clear" w:color="auto" w:fill="auto"/>
            <w:noWrap/>
            <w:vAlign w:val="center"/>
            <w:hideMark/>
          </w:tcPr>
          <w:p w:rsidR="0050652C" w:rsidRPr="006D4897" w:rsidRDefault="0050652C" w:rsidP="00744F37">
            <w:pPr>
              <w:rPr>
                <w:rFonts w:ascii="Arial Narrow" w:hAnsi="Arial Narrow"/>
                <w:color w:val="000000"/>
                <w:sz w:val="20"/>
                <w:szCs w:val="20"/>
              </w:rPr>
            </w:pPr>
            <w:r w:rsidRPr="006D4897">
              <w:rPr>
                <w:rFonts w:ascii="Arial Narrow" w:hAnsi="Arial Narrow"/>
                <w:color w:val="000000"/>
                <w:sz w:val="20"/>
                <w:szCs w:val="20"/>
              </w:rPr>
              <w:t>Bookkeeping Clerk</w:t>
            </w:r>
          </w:p>
        </w:tc>
        <w:tc>
          <w:tcPr>
            <w:tcW w:w="2013" w:type="dxa"/>
            <w:tcBorders>
              <w:top w:val="nil"/>
              <w:left w:val="nil"/>
              <w:bottom w:val="nil"/>
              <w:right w:val="nil"/>
            </w:tcBorders>
            <w:shd w:val="clear" w:color="auto" w:fill="auto"/>
            <w:noWrap/>
            <w:vAlign w:val="center"/>
            <w:hideMark/>
          </w:tcPr>
          <w:p w:rsidR="0050652C" w:rsidRPr="006D4897" w:rsidRDefault="00E670F5" w:rsidP="00744F37">
            <w:pPr>
              <w:rPr>
                <w:rFonts w:ascii="Arial Narrow" w:hAnsi="Arial Narrow"/>
                <w:color w:val="000000"/>
                <w:sz w:val="20"/>
                <w:szCs w:val="20"/>
              </w:rPr>
            </w:pPr>
            <w:r>
              <w:rPr>
                <w:rFonts w:ascii="Arial Narrow" w:hAnsi="Arial Narrow"/>
                <w:color w:val="000000"/>
                <w:sz w:val="20"/>
                <w:szCs w:val="20"/>
              </w:rPr>
              <w:t>792,750</w:t>
            </w:r>
          </w:p>
        </w:tc>
        <w:tc>
          <w:tcPr>
            <w:tcW w:w="838" w:type="dxa"/>
            <w:tcBorders>
              <w:top w:val="nil"/>
              <w:left w:val="nil"/>
              <w:bottom w:val="nil"/>
              <w:right w:val="nil"/>
            </w:tcBorders>
            <w:shd w:val="clear" w:color="auto" w:fill="auto"/>
            <w:noWrap/>
            <w:vAlign w:val="center"/>
            <w:hideMark/>
          </w:tcPr>
          <w:p w:rsidR="0050652C" w:rsidRPr="006D4897" w:rsidRDefault="0050652C" w:rsidP="00744F37">
            <w:pPr>
              <w:rPr>
                <w:rFonts w:ascii="Arial Narrow" w:hAnsi="Arial Narrow"/>
                <w:color w:val="000000"/>
                <w:sz w:val="20"/>
                <w:szCs w:val="20"/>
              </w:rPr>
            </w:pPr>
            <w:r w:rsidRPr="006D4897">
              <w:rPr>
                <w:rFonts w:ascii="Arial Narrow" w:hAnsi="Arial Narrow"/>
                <w:color w:val="000000"/>
                <w:sz w:val="20"/>
                <w:szCs w:val="20"/>
              </w:rPr>
              <w:t>20. 10</w:t>
            </w:r>
          </w:p>
        </w:tc>
        <w:tc>
          <w:tcPr>
            <w:tcW w:w="1734" w:type="dxa"/>
            <w:tcBorders>
              <w:top w:val="nil"/>
              <w:left w:val="nil"/>
              <w:bottom w:val="nil"/>
              <w:right w:val="single" w:sz="8" w:space="0" w:color="auto"/>
            </w:tcBorders>
            <w:shd w:val="clear" w:color="auto" w:fill="auto"/>
            <w:noWrap/>
            <w:vAlign w:val="center"/>
            <w:hideMark/>
          </w:tcPr>
          <w:p w:rsidR="0050652C" w:rsidRPr="006D4897" w:rsidRDefault="00E670F5" w:rsidP="00744F37">
            <w:pPr>
              <w:rPr>
                <w:rFonts w:ascii="Arial Narrow" w:hAnsi="Arial Narrow"/>
                <w:color w:val="000000"/>
                <w:sz w:val="20"/>
                <w:szCs w:val="20"/>
              </w:rPr>
            </w:pPr>
            <w:r>
              <w:rPr>
                <w:rFonts w:ascii="Arial Narrow" w:hAnsi="Arial Narrow"/>
                <w:color w:val="000000"/>
                <w:sz w:val="20"/>
                <w:szCs w:val="20"/>
              </w:rPr>
              <w:t>155,08</w:t>
            </w:r>
            <w:r w:rsidR="0039205B">
              <w:rPr>
                <w:rFonts w:ascii="Arial Narrow" w:hAnsi="Arial Narrow"/>
                <w:color w:val="000000"/>
                <w:sz w:val="20"/>
                <w:szCs w:val="20"/>
              </w:rPr>
              <w:t>3</w:t>
            </w:r>
          </w:p>
        </w:tc>
      </w:tr>
      <w:tr w:rsidR="003F56CB" w:rsidRPr="006D4897" w:rsidTr="006A5094">
        <w:trPr>
          <w:trHeight w:val="300"/>
          <w:jc w:val="center"/>
        </w:trPr>
        <w:tc>
          <w:tcPr>
            <w:tcW w:w="2251" w:type="dxa"/>
            <w:tcBorders>
              <w:top w:val="nil"/>
              <w:left w:val="single" w:sz="8" w:space="0" w:color="auto"/>
              <w:bottom w:val="nil"/>
              <w:right w:val="nil"/>
            </w:tcBorders>
            <w:shd w:val="clear" w:color="auto" w:fill="auto"/>
            <w:noWrap/>
            <w:vAlign w:val="center"/>
            <w:hideMark/>
          </w:tcPr>
          <w:p w:rsidR="0050652C" w:rsidRPr="006D4897" w:rsidRDefault="0050652C" w:rsidP="00744F37">
            <w:pPr>
              <w:rPr>
                <w:rFonts w:ascii="Arial Narrow" w:hAnsi="Arial Narrow"/>
                <w:b/>
                <w:bCs/>
                <w:color w:val="000000"/>
                <w:sz w:val="20"/>
                <w:szCs w:val="20"/>
              </w:rPr>
            </w:pPr>
            <w:r w:rsidRPr="006D4897">
              <w:rPr>
                <w:rFonts w:ascii="Arial Narrow" w:hAnsi="Arial Narrow"/>
                <w:b/>
                <w:bCs/>
                <w:color w:val="000000"/>
                <w:sz w:val="20"/>
                <w:szCs w:val="20"/>
              </w:rPr>
              <w:t>Driver Consent Verifications</w:t>
            </w:r>
          </w:p>
        </w:tc>
        <w:tc>
          <w:tcPr>
            <w:tcW w:w="1283" w:type="dxa"/>
            <w:tcBorders>
              <w:top w:val="nil"/>
              <w:left w:val="nil"/>
              <w:bottom w:val="nil"/>
              <w:right w:val="nil"/>
            </w:tcBorders>
            <w:shd w:val="clear" w:color="auto" w:fill="auto"/>
            <w:noWrap/>
            <w:vAlign w:val="center"/>
            <w:hideMark/>
          </w:tcPr>
          <w:p w:rsidR="0050652C" w:rsidRPr="006D4897" w:rsidRDefault="0050652C" w:rsidP="00744F37">
            <w:pPr>
              <w:rPr>
                <w:rFonts w:ascii="Arial Narrow" w:hAnsi="Arial Narrow"/>
                <w:color w:val="000000"/>
                <w:sz w:val="20"/>
                <w:szCs w:val="20"/>
              </w:rPr>
            </w:pPr>
            <w:r w:rsidRPr="006D4897">
              <w:rPr>
                <w:rFonts w:ascii="Arial Narrow" w:hAnsi="Arial Narrow"/>
                <w:color w:val="000000"/>
                <w:sz w:val="20"/>
                <w:szCs w:val="20"/>
              </w:rPr>
              <w:t>Drivers</w:t>
            </w:r>
          </w:p>
        </w:tc>
        <w:tc>
          <w:tcPr>
            <w:tcW w:w="1501" w:type="dxa"/>
            <w:tcBorders>
              <w:top w:val="nil"/>
              <w:left w:val="nil"/>
              <w:bottom w:val="nil"/>
              <w:right w:val="nil"/>
            </w:tcBorders>
            <w:shd w:val="clear" w:color="auto" w:fill="auto"/>
            <w:noWrap/>
            <w:vAlign w:val="center"/>
            <w:hideMark/>
          </w:tcPr>
          <w:p w:rsidR="0050652C" w:rsidRPr="006D4897" w:rsidRDefault="0050652C" w:rsidP="00744F37">
            <w:pPr>
              <w:rPr>
                <w:rFonts w:ascii="Arial Narrow" w:hAnsi="Arial Narrow"/>
                <w:color w:val="000000"/>
                <w:sz w:val="20"/>
                <w:szCs w:val="20"/>
              </w:rPr>
            </w:pPr>
            <w:r w:rsidRPr="006D4897">
              <w:rPr>
                <w:rFonts w:ascii="Arial Narrow" w:hAnsi="Arial Narrow"/>
                <w:color w:val="000000"/>
                <w:sz w:val="20"/>
                <w:szCs w:val="20"/>
              </w:rPr>
              <w:t>Drivers</w:t>
            </w:r>
          </w:p>
        </w:tc>
        <w:tc>
          <w:tcPr>
            <w:tcW w:w="2013" w:type="dxa"/>
            <w:tcBorders>
              <w:top w:val="nil"/>
              <w:left w:val="nil"/>
              <w:bottom w:val="nil"/>
              <w:right w:val="nil"/>
            </w:tcBorders>
            <w:shd w:val="clear" w:color="auto" w:fill="auto"/>
            <w:noWrap/>
            <w:vAlign w:val="center"/>
            <w:hideMark/>
          </w:tcPr>
          <w:p w:rsidR="0050652C" w:rsidRPr="006D4897" w:rsidRDefault="00AF1A96" w:rsidP="00744F37">
            <w:pPr>
              <w:rPr>
                <w:rFonts w:ascii="Arial Narrow" w:hAnsi="Arial Narrow"/>
                <w:color w:val="000000"/>
                <w:sz w:val="20"/>
                <w:szCs w:val="20"/>
              </w:rPr>
            </w:pPr>
            <w:r>
              <w:rPr>
                <w:rFonts w:ascii="Arial Narrow" w:hAnsi="Arial Narrow"/>
                <w:color w:val="000000"/>
                <w:sz w:val="20"/>
                <w:szCs w:val="20"/>
              </w:rPr>
              <w:t>2,388,000</w:t>
            </w:r>
          </w:p>
        </w:tc>
        <w:tc>
          <w:tcPr>
            <w:tcW w:w="838" w:type="dxa"/>
            <w:tcBorders>
              <w:top w:val="nil"/>
              <w:left w:val="nil"/>
              <w:bottom w:val="nil"/>
              <w:right w:val="nil"/>
            </w:tcBorders>
            <w:shd w:val="clear" w:color="auto" w:fill="auto"/>
            <w:noWrap/>
            <w:vAlign w:val="center"/>
            <w:hideMark/>
          </w:tcPr>
          <w:p w:rsidR="0050652C" w:rsidRPr="006D4897" w:rsidRDefault="0050652C" w:rsidP="00744F37">
            <w:pPr>
              <w:rPr>
                <w:rFonts w:ascii="Arial Narrow" w:hAnsi="Arial Narrow"/>
                <w:color w:val="000000"/>
                <w:sz w:val="20"/>
                <w:szCs w:val="20"/>
              </w:rPr>
            </w:pPr>
            <w:r w:rsidRPr="006D4897">
              <w:rPr>
                <w:rFonts w:ascii="Arial Narrow" w:hAnsi="Arial Narrow"/>
                <w:color w:val="000000"/>
                <w:sz w:val="20"/>
                <w:szCs w:val="20"/>
              </w:rPr>
              <w:t>10</w:t>
            </w:r>
          </w:p>
        </w:tc>
        <w:tc>
          <w:tcPr>
            <w:tcW w:w="1734" w:type="dxa"/>
            <w:tcBorders>
              <w:top w:val="nil"/>
              <w:left w:val="nil"/>
              <w:bottom w:val="nil"/>
              <w:right w:val="single" w:sz="8" w:space="0" w:color="auto"/>
            </w:tcBorders>
            <w:shd w:val="clear" w:color="auto" w:fill="auto"/>
            <w:noWrap/>
            <w:vAlign w:val="center"/>
            <w:hideMark/>
          </w:tcPr>
          <w:p w:rsidR="0050652C" w:rsidRPr="006D4897" w:rsidRDefault="00CF253C" w:rsidP="00744F37">
            <w:pPr>
              <w:rPr>
                <w:rFonts w:ascii="Arial Narrow" w:hAnsi="Arial Narrow"/>
                <w:color w:val="000000"/>
                <w:sz w:val="20"/>
                <w:szCs w:val="20"/>
              </w:rPr>
            </w:pPr>
            <w:r>
              <w:rPr>
                <w:rFonts w:ascii="Arial Narrow" w:hAnsi="Arial Narrow"/>
                <w:color w:val="000000"/>
                <w:sz w:val="20"/>
                <w:szCs w:val="20"/>
              </w:rPr>
              <w:t>398,000</w:t>
            </w:r>
          </w:p>
        </w:tc>
      </w:tr>
      <w:tr w:rsidR="003F56CB" w:rsidRPr="006D4897" w:rsidTr="006A5094">
        <w:trPr>
          <w:trHeight w:val="315"/>
          <w:jc w:val="center"/>
        </w:trPr>
        <w:tc>
          <w:tcPr>
            <w:tcW w:w="2251" w:type="dxa"/>
            <w:tcBorders>
              <w:top w:val="nil"/>
              <w:left w:val="single" w:sz="8" w:space="0" w:color="auto"/>
              <w:bottom w:val="nil"/>
              <w:right w:val="nil"/>
            </w:tcBorders>
            <w:shd w:val="clear" w:color="auto" w:fill="auto"/>
            <w:noWrap/>
            <w:vAlign w:val="center"/>
            <w:hideMark/>
          </w:tcPr>
          <w:p w:rsidR="0050652C" w:rsidRPr="006D4897" w:rsidRDefault="0050652C" w:rsidP="00744F37">
            <w:pPr>
              <w:rPr>
                <w:rFonts w:ascii="Arial Narrow" w:hAnsi="Arial Narrow"/>
                <w:b/>
                <w:bCs/>
                <w:color w:val="000000"/>
                <w:sz w:val="20"/>
                <w:szCs w:val="20"/>
              </w:rPr>
            </w:pPr>
            <w:r w:rsidRPr="006D4897">
              <w:rPr>
                <w:rFonts w:ascii="Arial Narrow" w:hAnsi="Arial Narrow"/>
                <w:b/>
                <w:bCs/>
                <w:color w:val="000000"/>
                <w:sz w:val="20"/>
                <w:szCs w:val="20"/>
              </w:rPr>
              <w:t>Annual Summaries</w:t>
            </w:r>
          </w:p>
        </w:tc>
        <w:tc>
          <w:tcPr>
            <w:tcW w:w="1283" w:type="dxa"/>
            <w:tcBorders>
              <w:top w:val="nil"/>
              <w:left w:val="nil"/>
              <w:bottom w:val="nil"/>
              <w:right w:val="nil"/>
            </w:tcBorders>
            <w:shd w:val="clear" w:color="auto" w:fill="auto"/>
            <w:noWrap/>
            <w:vAlign w:val="center"/>
            <w:hideMark/>
          </w:tcPr>
          <w:p w:rsidR="0050652C" w:rsidRPr="006D4897" w:rsidRDefault="0050652C" w:rsidP="00744F37">
            <w:pPr>
              <w:rPr>
                <w:rFonts w:ascii="Arial Narrow" w:hAnsi="Arial Narrow"/>
                <w:color w:val="000000"/>
                <w:sz w:val="20"/>
                <w:szCs w:val="20"/>
              </w:rPr>
            </w:pPr>
            <w:r w:rsidRPr="006D4897">
              <w:rPr>
                <w:rFonts w:ascii="Arial Narrow" w:hAnsi="Arial Narrow"/>
                <w:color w:val="000000"/>
                <w:sz w:val="20"/>
                <w:szCs w:val="20"/>
              </w:rPr>
              <w:t>Laboratories</w:t>
            </w:r>
          </w:p>
        </w:tc>
        <w:tc>
          <w:tcPr>
            <w:tcW w:w="1501" w:type="dxa"/>
            <w:tcBorders>
              <w:top w:val="nil"/>
              <w:left w:val="nil"/>
              <w:bottom w:val="nil"/>
              <w:right w:val="nil"/>
            </w:tcBorders>
            <w:shd w:val="clear" w:color="auto" w:fill="auto"/>
            <w:noWrap/>
            <w:vAlign w:val="center"/>
            <w:hideMark/>
          </w:tcPr>
          <w:p w:rsidR="0050652C" w:rsidRPr="006D4897" w:rsidRDefault="0050652C" w:rsidP="00744F37">
            <w:pPr>
              <w:rPr>
                <w:rFonts w:ascii="Arial Narrow" w:hAnsi="Arial Narrow"/>
                <w:color w:val="000000"/>
                <w:sz w:val="20"/>
                <w:szCs w:val="20"/>
              </w:rPr>
            </w:pPr>
            <w:r w:rsidRPr="006D4897">
              <w:rPr>
                <w:rFonts w:ascii="Arial Narrow" w:hAnsi="Arial Narrow"/>
                <w:color w:val="000000"/>
                <w:sz w:val="20"/>
                <w:szCs w:val="20"/>
              </w:rPr>
              <w:t>Bookkeeping Clerk</w:t>
            </w:r>
          </w:p>
        </w:tc>
        <w:tc>
          <w:tcPr>
            <w:tcW w:w="2013" w:type="dxa"/>
            <w:tcBorders>
              <w:top w:val="nil"/>
              <w:left w:val="nil"/>
              <w:bottom w:val="single" w:sz="8" w:space="0" w:color="auto"/>
              <w:right w:val="nil"/>
            </w:tcBorders>
            <w:shd w:val="clear" w:color="auto" w:fill="auto"/>
            <w:noWrap/>
            <w:vAlign w:val="center"/>
            <w:hideMark/>
          </w:tcPr>
          <w:p w:rsidR="0050652C" w:rsidRPr="006D4897" w:rsidRDefault="002661BB" w:rsidP="00744F37">
            <w:pPr>
              <w:rPr>
                <w:rFonts w:ascii="Arial Narrow" w:hAnsi="Arial Narrow"/>
                <w:color w:val="000000"/>
                <w:sz w:val="20"/>
                <w:szCs w:val="20"/>
              </w:rPr>
            </w:pPr>
            <w:r>
              <w:rPr>
                <w:rFonts w:ascii="Arial Narrow" w:hAnsi="Arial Narrow"/>
                <w:color w:val="000000"/>
                <w:sz w:val="20"/>
                <w:szCs w:val="20"/>
              </w:rPr>
              <w:t>32</w:t>
            </w:r>
          </w:p>
        </w:tc>
        <w:tc>
          <w:tcPr>
            <w:tcW w:w="838" w:type="dxa"/>
            <w:tcBorders>
              <w:top w:val="nil"/>
              <w:left w:val="nil"/>
              <w:bottom w:val="nil"/>
              <w:right w:val="nil"/>
            </w:tcBorders>
            <w:shd w:val="clear" w:color="auto" w:fill="auto"/>
            <w:noWrap/>
            <w:vAlign w:val="center"/>
            <w:hideMark/>
          </w:tcPr>
          <w:p w:rsidR="0050652C" w:rsidRPr="006D4897" w:rsidRDefault="00A47E3B" w:rsidP="00744F37">
            <w:pPr>
              <w:rPr>
                <w:rFonts w:ascii="Arial Narrow" w:hAnsi="Arial Narrow"/>
                <w:color w:val="000000"/>
                <w:sz w:val="20"/>
                <w:szCs w:val="20"/>
              </w:rPr>
            </w:pPr>
            <w:r>
              <w:rPr>
                <w:rFonts w:ascii="Arial Narrow" w:hAnsi="Arial Narrow"/>
                <w:color w:val="000000"/>
                <w:sz w:val="20"/>
                <w:szCs w:val="20"/>
              </w:rPr>
              <w:t>9</w:t>
            </w:r>
            <w:r w:rsidR="0050652C" w:rsidRPr="006D4897">
              <w:rPr>
                <w:rFonts w:ascii="Arial Narrow" w:hAnsi="Arial Narrow"/>
                <w:color w:val="000000"/>
                <w:sz w:val="20"/>
                <w:szCs w:val="20"/>
              </w:rPr>
              <w:t>0</w:t>
            </w:r>
          </w:p>
        </w:tc>
        <w:tc>
          <w:tcPr>
            <w:tcW w:w="1734" w:type="dxa"/>
            <w:tcBorders>
              <w:top w:val="nil"/>
              <w:left w:val="nil"/>
              <w:bottom w:val="single" w:sz="8" w:space="0" w:color="auto"/>
              <w:right w:val="single" w:sz="8" w:space="0" w:color="auto"/>
            </w:tcBorders>
            <w:shd w:val="clear" w:color="auto" w:fill="auto"/>
            <w:noWrap/>
            <w:vAlign w:val="center"/>
            <w:hideMark/>
          </w:tcPr>
          <w:p w:rsidR="0050652C" w:rsidRPr="006D4897" w:rsidRDefault="002661BB" w:rsidP="00744F37">
            <w:pPr>
              <w:rPr>
                <w:rFonts w:ascii="Arial Narrow" w:hAnsi="Arial Narrow"/>
                <w:color w:val="000000"/>
                <w:sz w:val="20"/>
                <w:szCs w:val="20"/>
              </w:rPr>
            </w:pPr>
            <w:r>
              <w:rPr>
                <w:rFonts w:ascii="Arial Narrow" w:hAnsi="Arial Narrow"/>
                <w:color w:val="000000"/>
                <w:sz w:val="20"/>
                <w:szCs w:val="20"/>
              </w:rPr>
              <w:t>48</w:t>
            </w:r>
          </w:p>
        </w:tc>
      </w:tr>
      <w:tr w:rsidR="003F56CB" w:rsidRPr="006D4897" w:rsidTr="006A5094">
        <w:trPr>
          <w:trHeight w:val="315"/>
          <w:jc w:val="center"/>
        </w:trPr>
        <w:tc>
          <w:tcPr>
            <w:tcW w:w="2251" w:type="dxa"/>
            <w:tcBorders>
              <w:top w:val="nil"/>
              <w:left w:val="single" w:sz="8" w:space="0" w:color="auto"/>
              <w:bottom w:val="single" w:sz="8" w:space="0" w:color="auto"/>
              <w:right w:val="nil"/>
            </w:tcBorders>
            <w:shd w:val="clear" w:color="auto" w:fill="auto"/>
            <w:noWrap/>
            <w:vAlign w:val="center"/>
            <w:hideMark/>
          </w:tcPr>
          <w:p w:rsidR="0050652C" w:rsidRPr="006D4897" w:rsidRDefault="0050652C" w:rsidP="00744F37">
            <w:pPr>
              <w:rPr>
                <w:rFonts w:ascii="Arial Narrow" w:hAnsi="Arial Narrow"/>
                <w:b/>
                <w:bCs/>
                <w:color w:val="000000"/>
                <w:sz w:val="20"/>
                <w:szCs w:val="20"/>
              </w:rPr>
            </w:pPr>
            <w:r w:rsidRPr="006D4897">
              <w:rPr>
                <w:rFonts w:ascii="Arial Narrow" w:hAnsi="Arial Narrow"/>
                <w:b/>
                <w:bCs/>
                <w:color w:val="000000"/>
                <w:sz w:val="20"/>
                <w:szCs w:val="20"/>
              </w:rPr>
              <w:t xml:space="preserve">Total </w:t>
            </w:r>
            <w:r w:rsidR="009723B7">
              <w:rPr>
                <w:rFonts w:ascii="Arial Narrow" w:hAnsi="Arial Narrow"/>
                <w:b/>
                <w:bCs/>
                <w:color w:val="000000"/>
                <w:sz w:val="20"/>
                <w:szCs w:val="20"/>
              </w:rPr>
              <w:t>Instances/</w:t>
            </w:r>
            <w:r w:rsidRPr="006D4897">
              <w:rPr>
                <w:rFonts w:ascii="Arial Narrow" w:hAnsi="Arial Narrow"/>
                <w:b/>
                <w:bCs/>
                <w:color w:val="000000"/>
                <w:sz w:val="20"/>
                <w:szCs w:val="20"/>
              </w:rPr>
              <w:t>Hours</w:t>
            </w:r>
          </w:p>
        </w:tc>
        <w:tc>
          <w:tcPr>
            <w:tcW w:w="1283" w:type="dxa"/>
            <w:tcBorders>
              <w:top w:val="nil"/>
              <w:left w:val="nil"/>
              <w:bottom w:val="single" w:sz="8" w:space="0" w:color="auto"/>
              <w:right w:val="nil"/>
            </w:tcBorders>
            <w:shd w:val="clear" w:color="auto" w:fill="auto"/>
            <w:noWrap/>
            <w:vAlign w:val="center"/>
            <w:hideMark/>
          </w:tcPr>
          <w:p w:rsidR="0050652C" w:rsidRPr="006D4897" w:rsidRDefault="0050652C" w:rsidP="00744F37">
            <w:pPr>
              <w:rPr>
                <w:rFonts w:ascii="Arial Narrow" w:hAnsi="Arial Narrow"/>
                <w:color w:val="000000"/>
                <w:sz w:val="20"/>
                <w:szCs w:val="20"/>
              </w:rPr>
            </w:pPr>
          </w:p>
        </w:tc>
        <w:tc>
          <w:tcPr>
            <w:tcW w:w="1501" w:type="dxa"/>
            <w:tcBorders>
              <w:top w:val="nil"/>
              <w:left w:val="nil"/>
              <w:bottom w:val="single" w:sz="8" w:space="0" w:color="auto"/>
              <w:right w:val="single" w:sz="8" w:space="0" w:color="auto"/>
            </w:tcBorders>
            <w:shd w:val="clear" w:color="auto" w:fill="auto"/>
            <w:noWrap/>
            <w:vAlign w:val="center"/>
            <w:hideMark/>
          </w:tcPr>
          <w:p w:rsidR="0077565C" w:rsidRDefault="0077565C" w:rsidP="00744F37">
            <w:pPr>
              <w:rPr>
                <w:rFonts w:ascii="Calibri" w:hAnsi="Calibri"/>
                <w:color w:val="000000"/>
                <w:sz w:val="22"/>
                <w:szCs w:val="22"/>
              </w:rPr>
            </w:pPr>
          </w:p>
        </w:tc>
        <w:tc>
          <w:tcPr>
            <w:tcW w:w="2013" w:type="dxa"/>
            <w:tcBorders>
              <w:top w:val="single" w:sz="8" w:space="0" w:color="auto"/>
              <w:left w:val="single" w:sz="8" w:space="0" w:color="auto"/>
              <w:bottom w:val="single" w:sz="8" w:space="0" w:color="auto"/>
              <w:right w:val="single" w:sz="8" w:space="0" w:color="auto"/>
            </w:tcBorders>
            <w:shd w:val="clear" w:color="auto" w:fill="FBD4B4" w:themeFill="accent6" w:themeFillTint="66"/>
            <w:noWrap/>
            <w:vAlign w:val="center"/>
            <w:hideMark/>
          </w:tcPr>
          <w:p w:rsidR="0050652C" w:rsidRPr="009723B7" w:rsidRDefault="00C86E9D" w:rsidP="00744F37">
            <w:pPr>
              <w:rPr>
                <w:rFonts w:ascii="Arial Narrow" w:hAnsi="Arial Narrow"/>
                <w:b/>
                <w:bCs/>
                <w:color w:val="000000"/>
                <w:sz w:val="20"/>
                <w:szCs w:val="20"/>
              </w:rPr>
            </w:pPr>
            <w:r>
              <w:rPr>
                <w:rFonts w:ascii="Arial Narrow" w:hAnsi="Arial Narrow"/>
                <w:b/>
                <w:bCs/>
                <w:color w:val="000000"/>
                <w:sz w:val="20"/>
                <w:szCs w:val="20"/>
              </w:rPr>
              <w:t>1</w:t>
            </w:r>
            <w:r w:rsidR="003F56CB">
              <w:rPr>
                <w:rFonts w:ascii="Arial Narrow" w:hAnsi="Arial Narrow"/>
                <w:b/>
                <w:bCs/>
                <w:color w:val="000000"/>
                <w:sz w:val="20"/>
                <w:szCs w:val="20"/>
              </w:rPr>
              <w:t>1,025,4</w:t>
            </w:r>
            <w:r w:rsidR="002661BB">
              <w:rPr>
                <w:rFonts w:ascii="Arial Narrow" w:hAnsi="Arial Narrow"/>
                <w:b/>
                <w:bCs/>
                <w:color w:val="000000"/>
                <w:sz w:val="20"/>
                <w:szCs w:val="20"/>
              </w:rPr>
              <w:t>82</w:t>
            </w:r>
          </w:p>
        </w:tc>
        <w:tc>
          <w:tcPr>
            <w:tcW w:w="838" w:type="dxa"/>
            <w:tcBorders>
              <w:top w:val="nil"/>
              <w:left w:val="single" w:sz="8" w:space="0" w:color="auto"/>
              <w:bottom w:val="single" w:sz="8" w:space="0" w:color="auto"/>
              <w:right w:val="nil"/>
            </w:tcBorders>
            <w:shd w:val="clear" w:color="auto" w:fill="auto"/>
            <w:noWrap/>
            <w:vAlign w:val="center"/>
            <w:hideMark/>
          </w:tcPr>
          <w:p w:rsidR="0050652C" w:rsidRPr="006D4897" w:rsidRDefault="0050652C" w:rsidP="00744F37">
            <w:pPr>
              <w:rPr>
                <w:rFonts w:ascii="Arial Narrow" w:hAnsi="Arial Narrow"/>
                <w:color w:val="000000"/>
                <w:sz w:val="20"/>
                <w:szCs w:val="20"/>
              </w:rPr>
            </w:pPr>
          </w:p>
        </w:tc>
        <w:tc>
          <w:tcPr>
            <w:tcW w:w="1734" w:type="dxa"/>
            <w:tcBorders>
              <w:top w:val="nil"/>
              <w:left w:val="single" w:sz="8" w:space="0" w:color="auto"/>
              <w:bottom w:val="single" w:sz="8" w:space="0" w:color="auto"/>
              <w:right w:val="single" w:sz="8" w:space="0" w:color="auto"/>
            </w:tcBorders>
            <w:shd w:val="clear" w:color="000000" w:fill="FCD5B4"/>
            <w:noWrap/>
            <w:vAlign w:val="center"/>
            <w:hideMark/>
          </w:tcPr>
          <w:p w:rsidR="0050652C" w:rsidRPr="006D4897" w:rsidRDefault="00C86E9D" w:rsidP="00744F37">
            <w:pPr>
              <w:rPr>
                <w:rFonts w:ascii="Arial Narrow" w:hAnsi="Arial Narrow"/>
                <w:b/>
                <w:bCs/>
                <w:color w:val="000000"/>
                <w:sz w:val="20"/>
                <w:szCs w:val="20"/>
              </w:rPr>
            </w:pPr>
            <w:r>
              <w:rPr>
                <w:rFonts w:ascii="Arial Narrow" w:hAnsi="Arial Narrow"/>
                <w:b/>
                <w:bCs/>
                <w:color w:val="000000"/>
                <w:sz w:val="20"/>
                <w:szCs w:val="20"/>
              </w:rPr>
              <w:t>1,8</w:t>
            </w:r>
            <w:r w:rsidR="0039205B">
              <w:rPr>
                <w:rFonts w:ascii="Arial Narrow" w:hAnsi="Arial Narrow"/>
                <w:b/>
                <w:bCs/>
                <w:color w:val="000000"/>
                <w:sz w:val="20"/>
                <w:szCs w:val="20"/>
              </w:rPr>
              <w:t>60,5</w:t>
            </w:r>
            <w:r w:rsidR="002661BB">
              <w:rPr>
                <w:rFonts w:ascii="Arial Narrow" w:hAnsi="Arial Narrow"/>
                <w:b/>
                <w:bCs/>
                <w:color w:val="000000"/>
                <w:sz w:val="20"/>
                <w:szCs w:val="20"/>
              </w:rPr>
              <w:t>81</w:t>
            </w:r>
          </w:p>
        </w:tc>
      </w:tr>
    </w:tbl>
    <w:p w:rsidR="0050652C" w:rsidRDefault="0050652C" w:rsidP="00744F37"/>
    <w:p w:rsidR="004015FC" w:rsidRDefault="004015FC" w:rsidP="00744F37">
      <w:pPr>
        <w:rPr>
          <w:b/>
        </w:rPr>
      </w:pPr>
      <w:r>
        <w:rPr>
          <w:b/>
        </w:rPr>
        <w:t xml:space="preserve">Estimated Annual Burden Hours:  </w:t>
      </w:r>
      <w:r w:rsidR="00C86E9D">
        <w:rPr>
          <w:b/>
        </w:rPr>
        <w:t>1,8</w:t>
      </w:r>
      <w:r w:rsidR="003F56CB">
        <w:rPr>
          <w:b/>
        </w:rPr>
        <w:t>60,5</w:t>
      </w:r>
      <w:r w:rsidR="002661BB">
        <w:rPr>
          <w:b/>
        </w:rPr>
        <w:t>81</w:t>
      </w:r>
    </w:p>
    <w:p w:rsidR="003948D6" w:rsidRDefault="004015FC" w:rsidP="00744F37">
      <w:pPr>
        <w:rPr>
          <w:b/>
        </w:rPr>
      </w:pPr>
      <w:r>
        <w:rPr>
          <w:b/>
        </w:rPr>
        <w:t xml:space="preserve">Estimated Annual Number Respondents:  </w:t>
      </w:r>
      <w:r w:rsidR="00C86E9D">
        <w:rPr>
          <w:b/>
        </w:rPr>
        <w:t>1</w:t>
      </w:r>
      <w:r w:rsidR="003F56CB">
        <w:rPr>
          <w:b/>
        </w:rPr>
        <w:t>1,025,4</w:t>
      </w:r>
      <w:r w:rsidR="002661BB">
        <w:rPr>
          <w:b/>
        </w:rPr>
        <w:t>82</w:t>
      </w:r>
    </w:p>
    <w:p w:rsidR="004015FC" w:rsidRDefault="004015FC" w:rsidP="00744F37">
      <w:pPr>
        <w:pStyle w:val="NormalWeb"/>
        <w:keepNext/>
        <w:rPr>
          <w:rFonts w:ascii="Arial" w:hAnsi="Arial"/>
          <w:b/>
        </w:rPr>
      </w:pPr>
      <w:r>
        <w:rPr>
          <w:rFonts w:ascii="Arial" w:hAnsi="Arial"/>
          <w:b/>
        </w:rPr>
        <w:t>13. Estimates of Total Annual Costs to Respondents.</w:t>
      </w:r>
    </w:p>
    <w:p w:rsidR="00D70638" w:rsidRDefault="00D70638" w:rsidP="00744F37">
      <w:r w:rsidRPr="00D70638">
        <w:t>With th</w:t>
      </w:r>
      <w:r>
        <w:t xml:space="preserve">e Clearinghouse in place, many more </w:t>
      </w:r>
      <w:r w:rsidRPr="00D70638">
        <w:t xml:space="preserve">drivers are expected </w:t>
      </w:r>
      <w:r>
        <w:t>to</w:t>
      </w:r>
      <w:r w:rsidRPr="00D70638">
        <w:t xml:space="preserve"> </w:t>
      </w:r>
      <w:r>
        <w:t>undergo and</w:t>
      </w:r>
      <w:r w:rsidRPr="00D70638">
        <w:t xml:space="preserve"> complete the return-to-duty process in order to continue driving in the trucking industry. </w:t>
      </w:r>
      <w:r>
        <w:t>T</w:t>
      </w:r>
      <w:r w:rsidRPr="00D70638">
        <w:t xml:space="preserve">here are an estimated 35,500 additional drivers expected to be caught by the proposed rule and therefore will </w:t>
      </w:r>
      <w:r w:rsidR="009506E6">
        <w:t>enroll in</w:t>
      </w:r>
      <w:r w:rsidRPr="00D70638">
        <w:t xml:space="preserve"> the return-to-duty process.</w:t>
      </w:r>
      <w:r>
        <w:t xml:space="preserve"> The cost of this process includes an SAP assessment, treatment or education, and follow-up testing.  The total annual costs to these 35,500 drivers/respondents</w:t>
      </w:r>
      <w:r w:rsidRPr="00D70638">
        <w:t xml:space="preserve"> would be approximately $</w:t>
      </w:r>
      <w:r w:rsidR="002A0F7F">
        <w:t>101</w:t>
      </w:r>
      <w:r w:rsidRPr="00D70638">
        <w:t xml:space="preserve"> million.</w:t>
      </w:r>
      <w:r>
        <w:t xml:space="preserve">  It should be noted that not all respondents will undergo the return-to-duty process.</w:t>
      </w:r>
    </w:p>
    <w:p w:rsidR="00D70638" w:rsidRDefault="00D70638" w:rsidP="00744F37"/>
    <w:p w:rsidR="004015FC" w:rsidRDefault="00B15C3B" w:rsidP="00744F37">
      <w:r>
        <w:t>FMCSA incurs a cost to process an employer’s request to access information in the Clearinghous</w:t>
      </w:r>
      <w:r w:rsidR="000F6EB2">
        <w:t>e on a particular driver</w:t>
      </w:r>
      <w:r>
        <w:t xml:space="preserve">.  However, this cost is offset by </w:t>
      </w:r>
      <w:r w:rsidR="00C75931">
        <w:t xml:space="preserve">a per request </w:t>
      </w:r>
      <w:r>
        <w:t xml:space="preserve">access fee that </w:t>
      </w:r>
      <w:r w:rsidR="00C75931">
        <w:t xml:space="preserve">FMCSA charges </w:t>
      </w:r>
      <w:r>
        <w:t>employers. FMCSA estimates no other costs to respondents other than the costs associated with the burden hours shown in item 12 above (which are not to be included in item 13).</w:t>
      </w:r>
    </w:p>
    <w:p w:rsidR="004015FC" w:rsidRDefault="004015FC" w:rsidP="00744F37">
      <w:pPr>
        <w:pStyle w:val="NormalWeb"/>
        <w:keepNext/>
        <w:rPr>
          <w:rFonts w:ascii="Arial" w:hAnsi="Arial" w:cs="Arial"/>
          <w:b/>
          <w:bCs/>
          <w:szCs w:val="20"/>
        </w:rPr>
      </w:pPr>
      <w:r>
        <w:rPr>
          <w:rFonts w:ascii="Arial" w:hAnsi="Arial"/>
          <w:b/>
        </w:rPr>
        <w:t>14. Estimate of Total Annual Costs to the Federal Government.</w:t>
      </w:r>
    </w:p>
    <w:p w:rsidR="004015FC" w:rsidRDefault="00557DFE" w:rsidP="00744F37">
      <w:r>
        <w:t>Annual costs to the Federal Government include t</w:t>
      </w:r>
      <w:r w:rsidR="004015FC" w:rsidRPr="00382CA3">
        <w:t xml:space="preserve">he </w:t>
      </w:r>
      <w:r w:rsidR="004015FC">
        <w:t xml:space="preserve">process of </w:t>
      </w:r>
      <w:r w:rsidR="004015FC" w:rsidRPr="00382CA3">
        <w:t>mailing notification</w:t>
      </w:r>
      <w:r w:rsidR="00691662">
        <w:t>s</w:t>
      </w:r>
      <w:r w:rsidR="004015FC" w:rsidRPr="00382CA3">
        <w:t xml:space="preserve"> </w:t>
      </w:r>
      <w:r w:rsidR="00E15B45">
        <w:t>to drivers when information about him</w:t>
      </w:r>
      <w:r w:rsidR="00691662">
        <w:t xml:space="preserve"> or </w:t>
      </w:r>
      <w:r w:rsidR="00E15B45">
        <w:t>her is added, modified</w:t>
      </w:r>
      <w:r w:rsidR="00D61A57">
        <w:t>,</w:t>
      </w:r>
      <w:r w:rsidR="00E15B45">
        <w:t xml:space="preserve"> or removed from the Clearinghouse</w:t>
      </w:r>
      <w:r>
        <w:t xml:space="preserve">. </w:t>
      </w:r>
      <w:r w:rsidR="00F869EE">
        <w:t>The Agency</w:t>
      </w:r>
      <w:r>
        <w:t xml:space="preserve"> </w:t>
      </w:r>
      <w:r w:rsidR="000F3ACC">
        <w:t>assume</w:t>
      </w:r>
      <w:r>
        <w:t>s this task</w:t>
      </w:r>
      <w:r w:rsidR="000F3ACC">
        <w:t xml:space="preserve"> </w:t>
      </w:r>
      <w:r>
        <w:t>will take 10 minutes to complete and will</w:t>
      </w:r>
      <w:r w:rsidR="000F3ACC">
        <w:t xml:space="preserve"> be performed by </w:t>
      </w:r>
      <w:r w:rsidR="009B7BB3">
        <w:t xml:space="preserve">a grade 9 </w:t>
      </w:r>
      <w:r w:rsidR="009B7BB3">
        <w:lastRenderedPageBreak/>
        <w:t xml:space="preserve">Transportation Specialist at FMCSA </w:t>
      </w:r>
      <w:r>
        <w:t>at a cost of</w:t>
      </w:r>
      <w:r w:rsidR="009B7BB3">
        <w:t xml:space="preserve"> $34 </w:t>
      </w:r>
      <w:r>
        <w:t>per hour</w:t>
      </w:r>
      <w:r w:rsidR="009B7BB3">
        <w:t>.</w:t>
      </w:r>
      <w:r w:rsidR="009B333A">
        <w:rPr>
          <w:rStyle w:val="FootnoteReference"/>
        </w:rPr>
        <w:footnoteReference w:id="1"/>
      </w:r>
      <w:r w:rsidR="009B7BB3">
        <w:t xml:space="preserve"> The </w:t>
      </w:r>
      <w:r w:rsidR="004015FC" w:rsidRPr="00382CA3">
        <w:t xml:space="preserve">expected cost </w:t>
      </w:r>
      <w:r w:rsidR="009B7BB3">
        <w:t xml:space="preserve">to </w:t>
      </w:r>
      <w:r w:rsidR="004015FC" w:rsidRPr="00382CA3">
        <w:t>the Federal Government</w:t>
      </w:r>
      <w:r w:rsidR="00886C3E">
        <w:t xml:space="preserve"> </w:t>
      </w:r>
      <w:r w:rsidR="003F5388">
        <w:t xml:space="preserve">for annual notifications </w:t>
      </w:r>
      <w:r w:rsidR="009B7BB3">
        <w:t xml:space="preserve">would be </w:t>
      </w:r>
      <w:r w:rsidR="00886C3E">
        <w:t>about</w:t>
      </w:r>
      <w:r w:rsidR="004015FC" w:rsidRPr="00382CA3">
        <w:t xml:space="preserve"> $</w:t>
      </w:r>
      <w:r w:rsidR="005A0383">
        <w:t>1,105,333</w:t>
      </w:r>
      <w:r w:rsidR="004015FC" w:rsidRPr="00382CA3">
        <w:t xml:space="preserve"> annually</w:t>
      </w:r>
      <w:r w:rsidR="009B7BB3">
        <w:t xml:space="preserve"> (</w:t>
      </w:r>
      <w:r w:rsidR="004015FC" w:rsidRPr="00382CA3">
        <w:t>$</w:t>
      </w:r>
      <w:r w:rsidR="00502291">
        <w:t>704,650</w:t>
      </w:r>
      <w:r w:rsidR="004015FC" w:rsidRPr="00382CA3">
        <w:t xml:space="preserve"> in labor costs to create and mail out the notifications (</w:t>
      </w:r>
      <w:r w:rsidR="00502291">
        <w:t>1</w:t>
      </w:r>
      <w:r w:rsidR="0032588D">
        <w:t>65,800</w:t>
      </w:r>
      <w:r w:rsidR="004015FC" w:rsidRPr="00382CA3">
        <w:t xml:space="preserve"> </w:t>
      </w:r>
      <w:r w:rsidR="009B7BB3">
        <w:t>notifications</w:t>
      </w:r>
      <w:r w:rsidR="004015FC" w:rsidRPr="00382CA3">
        <w:t xml:space="preserve"> x $</w:t>
      </w:r>
      <w:r w:rsidR="00EC4167">
        <w:t>34.00</w:t>
      </w:r>
      <w:r w:rsidR="004015FC">
        <w:t xml:space="preserve"> for 1/6</w:t>
      </w:r>
      <w:r w:rsidR="004015FC" w:rsidRPr="00B22AA6">
        <w:rPr>
          <w:vertAlign w:val="superscript"/>
        </w:rPr>
        <w:t>th</w:t>
      </w:r>
      <w:r w:rsidR="004015FC">
        <w:t xml:space="preserve"> hour), and $</w:t>
      </w:r>
      <w:r w:rsidR="00502291">
        <w:t>1</w:t>
      </w:r>
      <w:r w:rsidR="0032588D">
        <w:t>65,800</w:t>
      </w:r>
      <w:r w:rsidR="004015FC">
        <w:t xml:space="preserve"> for</w:t>
      </w:r>
      <w:r w:rsidR="004015FC" w:rsidRPr="00382CA3">
        <w:t xml:space="preserve"> envelopes</w:t>
      </w:r>
      <w:r w:rsidR="008868C4">
        <w:t>, letters</w:t>
      </w:r>
      <w:r w:rsidR="004015FC" w:rsidRPr="00382CA3">
        <w:t xml:space="preserve"> and postage</w:t>
      </w:r>
      <w:r w:rsidR="004015FC">
        <w:t xml:space="preserve"> ($1.00 for each of the </w:t>
      </w:r>
      <w:r w:rsidR="00502291">
        <w:t>1</w:t>
      </w:r>
      <w:r w:rsidR="0032588D">
        <w:t>65,800</w:t>
      </w:r>
      <w:r w:rsidR="004015FC">
        <w:t xml:space="preserve"> notifications)</w:t>
      </w:r>
      <w:r w:rsidR="004015FC" w:rsidRPr="00382CA3">
        <w:t>.</w:t>
      </w:r>
      <w:r w:rsidR="003F5388">
        <w:t xml:space="preserve"> In addition, development of the clearinghouse and management of driver records would be administered by FMCSA. The federal government would incur these costs, which are estimated to be no more than $2.2 million per year.</w:t>
      </w:r>
      <w:r w:rsidR="003F5388">
        <w:rPr>
          <w:rStyle w:val="FootnoteReference"/>
        </w:rPr>
        <w:footnoteReference w:id="2"/>
      </w:r>
      <w:r w:rsidR="003F5388">
        <w:t xml:space="preserve"> The total cost for annual notifications and development of the Drug and Alcohol Clearinghouse would be approximately $3 million ($</w:t>
      </w:r>
      <w:r w:rsidR="000670BD">
        <w:t>3,305,533</w:t>
      </w:r>
      <w:r w:rsidR="003F5388">
        <w:t xml:space="preserve"> = $2,200,000 + $</w:t>
      </w:r>
      <w:r w:rsidR="000670BD">
        <w:t>1,105,333</w:t>
      </w:r>
      <w:r w:rsidR="003F5388">
        <w:t xml:space="preserve">, rounded to the nearest million). </w:t>
      </w:r>
    </w:p>
    <w:p w:rsidR="004015FC" w:rsidRDefault="004015FC" w:rsidP="00744F37"/>
    <w:p w:rsidR="004015FC" w:rsidRDefault="004015FC" w:rsidP="00744F37">
      <w:r>
        <w:t>The annual costs to the Federal Government (FMCSA) are presented in the table below.</w:t>
      </w:r>
    </w:p>
    <w:p w:rsidR="00E544C0" w:rsidRDefault="00E544C0" w:rsidP="00744F37"/>
    <w:tbl>
      <w:tblPr>
        <w:tblW w:w="8323" w:type="dxa"/>
        <w:jc w:val="center"/>
        <w:tblInd w:w="-405" w:type="dxa"/>
        <w:tblLook w:val="04A0" w:firstRow="1" w:lastRow="0" w:firstColumn="1" w:lastColumn="0" w:noHBand="0" w:noVBand="1"/>
      </w:tblPr>
      <w:tblGrid>
        <w:gridCol w:w="3191"/>
        <w:gridCol w:w="1402"/>
        <w:gridCol w:w="927"/>
        <w:gridCol w:w="1310"/>
        <w:gridCol w:w="1493"/>
      </w:tblGrid>
      <w:tr w:rsidR="00E544C0" w:rsidTr="00E15E39">
        <w:trPr>
          <w:trHeight w:val="315"/>
          <w:jc w:val="center"/>
        </w:trPr>
        <w:tc>
          <w:tcPr>
            <w:tcW w:w="8323" w:type="dxa"/>
            <w:gridSpan w:val="5"/>
            <w:tcBorders>
              <w:top w:val="single" w:sz="8" w:space="0" w:color="auto"/>
              <w:left w:val="single" w:sz="8" w:space="0" w:color="auto"/>
              <w:bottom w:val="single" w:sz="8" w:space="0" w:color="auto"/>
              <w:right w:val="single" w:sz="8" w:space="0" w:color="000000"/>
            </w:tcBorders>
            <w:shd w:val="clear" w:color="000000" w:fill="CCFFCC"/>
            <w:noWrap/>
            <w:vAlign w:val="center"/>
            <w:hideMark/>
          </w:tcPr>
          <w:p w:rsidR="00E544C0" w:rsidRDefault="00E544C0" w:rsidP="00744F37">
            <w:pPr>
              <w:rPr>
                <w:rFonts w:ascii="Arial Narrow" w:hAnsi="Arial Narrow"/>
                <w:b/>
                <w:bCs/>
                <w:color w:val="000000"/>
                <w:sz w:val="20"/>
                <w:szCs w:val="20"/>
              </w:rPr>
            </w:pPr>
            <w:r>
              <w:rPr>
                <w:rFonts w:ascii="Arial Narrow" w:hAnsi="Arial Narrow"/>
                <w:b/>
                <w:bCs/>
                <w:color w:val="000000"/>
                <w:sz w:val="20"/>
                <w:szCs w:val="20"/>
              </w:rPr>
              <w:t>Annual Notification Costs of the Federal Government</w:t>
            </w:r>
          </w:p>
        </w:tc>
      </w:tr>
      <w:tr w:rsidR="00E544C0" w:rsidTr="00E15E39">
        <w:trPr>
          <w:trHeight w:val="315"/>
          <w:jc w:val="center"/>
        </w:trPr>
        <w:tc>
          <w:tcPr>
            <w:tcW w:w="3191" w:type="dxa"/>
            <w:tcBorders>
              <w:top w:val="nil"/>
              <w:left w:val="single" w:sz="8" w:space="0" w:color="auto"/>
              <w:bottom w:val="single" w:sz="8" w:space="0" w:color="auto"/>
              <w:right w:val="single" w:sz="8" w:space="0" w:color="auto"/>
            </w:tcBorders>
            <w:shd w:val="clear" w:color="000000" w:fill="99CCFF"/>
            <w:vAlign w:val="center"/>
            <w:hideMark/>
          </w:tcPr>
          <w:p w:rsidR="00E544C0" w:rsidRDefault="00E544C0" w:rsidP="00744F37">
            <w:pPr>
              <w:rPr>
                <w:rFonts w:ascii="Arial Narrow" w:hAnsi="Arial Narrow"/>
                <w:b/>
                <w:bCs/>
                <w:color w:val="000000"/>
                <w:sz w:val="20"/>
                <w:szCs w:val="20"/>
              </w:rPr>
            </w:pPr>
            <w:r>
              <w:rPr>
                <w:rFonts w:ascii="Arial Narrow" w:hAnsi="Arial Narrow"/>
                <w:b/>
                <w:bCs/>
                <w:color w:val="000000"/>
                <w:sz w:val="20"/>
                <w:szCs w:val="20"/>
              </w:rPr>
              <w:t>Notifications</w:t>
            </w:r>
          </w:p>
        </w:tc>
        <w:tc>
          <w:tcPr>
            <w:tcW w:w="1402" w:type="dxa"/>
            <w:tcBorders>
              <w:top w:val="nil"/>
              <w:left w:val="nil"/>
              <w:bottom w:val="single" w:sz="8" w:space="0" w:color="auto"/>
              <w:right w:val="single" w:sz="8" w:space="0" w:color="auto"/>
            </w:tcBorders>
            <w:shd w:val="clear" w:color="000000" w:fill="99CCFF"/>
            <w:vAlign w:val="center"/>
            <w:hideMark/>
          </w:tcPr>
          <w:p w:rsidR="00E544C0" w:rsidRDefault="00E544C0" w:rsidP="00744F37">
            <w:pPr>
              <w:rPr>
                <w:rFonts w:ascii="Arial Narrow" w:hAnsi="Arial Narrow"/>
                <w:b/>
                <w:bCs/>
                <w:color w:val="000000"/>
                <w:sz w:val="20"/>
                <w:szCs w:val="20"/>
              </w:rPr>
            </w:pPr>
            <w:r>
              <w:rPr>
                <w:rFonts w:ascii="Arial Narrow" w:hAnsi="Arial Narrow"/>
                <w:b/>
                <w:bCs/>
                <w:color w:val="000000"/>
                <w:sz w:val="20"/>
                <w:szCs w:val="20"/>
              </w:rPr>
              <w:t>Instances</w:t>
            </w:r>
          </w:p>
        </w:tc>
        <w:tc>
          <w:tcPr>
            <w:tcW w:w="927" w:type="dxa"/>
            <w:tcBorders>
              <w:top w:val="nil"/>
              <w:left w:val="nil"/>
              <w:bottom w:val="single" w:sz="8" w:space="0" w:color="auto"/>
              <w:right w:val="single" w:sz="8" w:space="0" w:color="auto"/>
            </w:tcBorders>
            <w:shd w:val="clear" w:color="000000" w:fill="99CCFF"/>
            <w:vAlign w:val="center"/>
            <w:hideMark/>
          </w:tcPr>
          <w:p w:rsidR="00E544C0" w:rsidRDefault="00E544C0" w:rsidP="00744F37">
            <w:pPr>
              <w:rPr>
                <w:rFonts w:ascii="Arial Narrow" w:hAnsi="Arial Narrow"/>
                <w:b/>
                <w:bCs/>
                <w:color w:val="000000"/>
                <w:sz w:val="20"/>
                <w:szCs w:val="20"/>
              </w:rPr>
            </w:pPr>
            <w:r>
              <w:rPr>
                <w:rFonts w:ascii="Arial Narrow" w:hAnsi="Arial Narrow"/>
                <w:b/>
                <w:bCs/>
                <w:color w:val="000000"/>
                <w:sz w:val="20"/>
                <w:szCs w:val="20"/>
              </w:rPr>
              <w:t>Minutes</w:t>
            </w:r>
          </w:p>
        </w:tc>
        <w:tc>
          <w:tcPr>
            <w:tcW w:w="1310" w:type="dxa"/>
            <w:tcBorders>
              <w:top w:val="nil"/>
              <w:left w:val="nil"/>
              <w:bottom w:val="single" w:sz="8" w:space="0" w:color="auto"/>
              <w:right w:val="single" w:sz="8" w:space="0" w:color="auto"/>
            </w:tcBorders>
            <w:shd w:val="clear" w:color="000000" w:fill="99CCFF"/>
            <w:vAlign w:val="center"/>
            <w:hideMark/>
          </w:tcPr>
          <w:p w:rsidR="00E544C0" w:rsidRDefault="00E544C0" w:rsidP="00744F37">
            <w:pPr>
              <w:rPr>
                <w:rFonts w:ascii="Arial Narrow" w:hAnsi="Arial Narrow"/>
                <w:b/>
                <w:bCs/>
                <w:color w:val="000000"/>
                <w:sz w:val="20"/>
                <w:szCs w:val="20"/>
              </w:rPr>
            </w:pPr>
            <w:r>
              <w:rPr>
                <w:rFonts w:ascii="Arial Narrow" w:hAnsi="Arial Narrow"/>
                <w:b/>
                <w:bCs/>
                <w:color w:val="000000"/>
                <w:sz w:val="20"/>
                <w:szCs w:val="20"/>
              </w:rPr>
              <w:t>Hourly Wage</w:t>
            </w:r>
          </w:p>
        </w:tc>
        <w:tc>
          <w:tcPr>
            <w:tcW w:w="1493" w:type="dxa"/>
            <w:tcBorders>
              <w:top w:val="nil"/>
              <w:left w:val="nil"/>
              <w:bottom w:val="single" w:sz="8" w:space="0" w:color="auto"/>
              <w:right w:val="single" w:sz="8" w:space="0" w:color="auto"/>
            </w:tcBorders>
            <w:shd w:val="clear" w:color="000000" w:fill="99CCFF"/>
            <w:vAlign w:val="center"/>
            <w:hideMark/>
          </w:tcPr>
          <w:p w:rsidR="00E544C0" w:rsidRDefault="00E544C0" w:rsidP="00744F37">
            <w:pPr>
              <w:rPr>
                <w:rFonts w:ascii="Arial Narrow" w:hAnsi="Arial Narrow"/>
                <w:b/>
                <w:bCs/>
                <w:color w:val="000000"/>
                <w:sz w:val="20"/>
                <w:szCs w:val="20"/>
              </w:rPr>
            </w:pPr>
            <w:r>
              <w:rPr>
                <w:rFonts w:ascii="Arial Narrow" w:hAnsi="Arial Narrow"/>
                <w:b/>
                <w:bCs/>
                <w:color w:val="000000"/>
                <w:sz w:val="20"/>
                <w:szCs w:val="20"/>
              </w:rPr>
              <w:t>Cost</w:t>
            </w:r>
          </w:p>
        </w:tc>
      </w:tr>
      <w:tr w:rsidR="00E544C0" w:rsidTr="00E15E39">
        <w:trPr>
          <w:trHeight w:val="300"/>
          <w:jc w:val="center"/>
        </w:trPr>
        <w:tc>
          <w:tcPr>
            <w:tcW w:w="3191" w:type="dxa"/>
            <w:tcBorders>
              <w:top w:val="nil"/>
              <w:left w:val="single" w:sz="8" w:space="0" w:color="auto"/>
              <w:bottom w:val="nil"/>
              <w:right w:val="nil"/>
            </w:tcBorders>
            <w:shd w:val="clear" w:color="auto" w:fill="auto"/>
            <w:noWrap/>
            <w:vAlign w:val="center"/>
            <w:hideMark/>
          </w:tcPr>
          <w:p w:rsidR="00E544C0" w:rsidRDefault="00E544C0" w:rsidP="00744F37">
            <w:pPr>
              <w:rPr>
                <w:rFonts w:ascii="Arial Narrow" w:hAnsi="Arial Narrow"/>
                <w:b/>
                <w:bCs/>
                <w:color w:val="000000"/>
                <w:sz w:val="20"/>
                <w:szCs w:val="20"/>
              </w:rPr>
            </w:pPr>
            <w:r>
              <w:rPr>
                <w:rFonts w:ascii="Arial Narrow" w:hAnsi="Arial Narrow"/>
                <w:b/>
                <w:bCs/>
                <w:color w:val="000000"/>
                <w:sz w:val="20"/>
                <w:szCs w:val="20"/>
              </w:rPr>
              <w:t>Positive Drug Test Results</w:t>
            </w:r>
            <w:r w:rsidR="003E1873">
              <w:rPr>
                <w:rFonts w:ascii="Arial Narrow" w:hAnsi="Arial Narrow"/>
                <w:b/>
                <w:bCs/>
                <w:color w:val="000000"/>
                <w:sz w:val="20"/>
                <w:szCs w:val="20"/>
              </w:rPr>
              <w:t xml:space="preserve"> and Refusals</w:t>
            </w:r>
          </w:p>
        </w:tc>
        <w:tc>
          <w:tcPr>
            <w:tcW w:w="1402" w:type="dxa"/>
            <w:tcBorders>
              <w:top w:val="nil"/>
              <w:left w:val="nil"/>
              <w:bottom w:val="nil"/>
              <w:right w:val="nil"/>
            </w:tcBorders>
            <w:shd w:val="clear" w:color="auto" w:fill="auto"/>
            <w:noWrap/>
            <w:vAlign w:val="center"/>
            <w:hideMark/>
          </w:tcPr>
          <w:p w:rsidR="00E544C0" w:rsidRDefault="003E1873" w:rsidP="00744F37">
            <w:pPr>
              <w:rPr>
                <w:rFonts w:ascii="Arial Narrow" w:hAnsi="Arial Narrow"/>
                <w:color w:val="000000"/>
                <w:sz w:val="20"/>
                <w:szCs w:val="20"/>
              </w:rPr>
            </w:pPr>
            <w:r>
              <w:rPr>
                <w:rFonts w:ascii="Arial Narrow" w:hAnsi="Arial Narrow"/>
                <w:color w:val="000000"/>
                <w:sz w:val="20"/>
                <w:szCs w:val="20"/>
              </w:rPr>
              <w:t>75,800</w:t>
            </w:r>
          </w:p>
        </w:tc>
        <w:tc>
          <w:tcPr>
            <w:tcW w:w="927" w:type="dxa"/>
            <w:tcBorders>
              <w:top w:val="nil"/>
              <w:left w:val="nil"/>
              <w:bottom w:val="nil"/>
              <w:right w:val="nil"/>
            </w:tcBorders>
            <w:shd w:val="clear" w:color="auto" w:fill="auto"/>
            <w:noWrap/>
            <w:vAlign w:val="center"/>
            <w:hideMark/>
          </w:tcPr>
          <w:p w:rsidR="00E544C0" w:rsidRDefault="00E544C0" w:rsidP="00744F37">
            <w:pPr>
              <w:rPr>
                <w:rFonts w:ascii="Arial Narrow" w:hAnsi="Arial Narrow"/>
                <w:color w:val="000000"/>
                <w:sz w:val="20"/>
                <w:szCs w:val="20"/>
              </w:rPr>
            </w:pPr>
            <w:r>
              <w:rPr>
                <w:rFonts w:ascii="Arial Narrow" w:hAnsi="Arial Narrow"/>
                <w:color w:val="000000"/>
                <w:sz w:val="20"/>
                <w:szCs w:val="20"/>
              </w:rPr>
              <w:t>10</w:t>
            </w:r>
          </w:p>
        </w:tc>
        <w:tc>
          <w:tcPr>
            <w:tcW w:w="1310" w:type="dxa"/>
            <w:tcBorders>
              <w:top w:val="nil"/>
              <w:left w:val="nil"/>
              <w:bottom w:val="nil"/>
              <w:right w:val="nil"/>
            </w:tcBorders>
            <w:shd w:val="clear" w:color="auto" w:fill="auto"/>
            <w:noWrap/>
            <w:vAlign w:val="center"/>
            <w:hideMark/>
          </w:tcPr>
          <w:p w:rsidR="00E544C0" w:rsidRDefault="00E544C0" w:rsidP="00744F37">
            <w:pPr>
              <w:rPr>
                <w:rFonts w:ascii="Arial Narrow" w:hAnsi="Arial Narrow"/>
                <w:color w:val="000000"/>
                <w:sz w:val="20"/>
                <w:szCs w:val="20"/>
              </w:rPr>
            </w:pPr>
            <w:r>
              <w:rPr>
                <w:rFonts w:ascii="Arial Narrow" w:hAnsi="Arial Narrow"/>
                <w:color w:val="000000"/>
                <w:sz w:val="20"/>
                <w:szCs w:val="20"/>
              </w:rPr>
              <w:t>$34.00</w:t>
            </w:r>
          </w:p>
        </w:tc>
        <w:tc>
          <w:tcPr>
            <w:tcW w:w="1493" w:type="dxa"/>
            <w:tcBorders>
              <w:top w:val="nil"/>
              <w:left w:val="nil"/>
              <w:bottom w:val="nil"/>
              <w:right w:val="single" w:sz="8" w:space="0" w:color="auto"/>
            </w:tcBorders>
            <w:shd w:val="clear" w:color="auto" w:fill="auto"/>
            <w:noWrap/>
            <w:vAlign w:val="center"/>
            <w:hideMark/>
          </w:tcPr>
          <w:p w:rsidR="00E544C0" w:rsidRDefault="00E544C0" w:rsidP="00744F37">
            <w:pPr>
              <w:rPr>
                <w:rFonts w:ascii="Arial Narrow" w:hAnsi="Arial Narrow"/>
                <w:color w:val="000000"/>
                <w:sz w:val="20"/>
                <w:szCs w:val="20"/>
              </w:rPr>
            </w:pPr>
            <w:r>
              <w:rPr>
                <w:rFonts w:ascii="Arial Narrow" w:hAnsi="Arial Narrow"/>
                <w:color w:val="000000"/>
                <w:sz w:val="20"/>
                <w:szCs w:val="20"/>
              </w:rPr>
              <w:t>$</w:t>
            </w:r>
            <w:r w:rsidR="009358ED">
              <w:rPr>
                <w:rFonts w:ascii="Arial Narrow" w:hAnsi="Arial Narrow"/>
                <w:color w:val="000000"/>
                <w:sz w:val="20"/>
                <w:szCs w:val="20"/>
              </w:rPr>
              <w:t>429,533</w:t>
            </w:r>
          </w:p>
        </w:tc>
      </w:tr>
      <w:tr w:rsidR="005A0383" w:rsidTr="00E15E39">
        <w:trPr>
          <w:trHeight w:val="300"/>
          <w:jc w:val="center"/>
        </w:trPr>
        <w:tc>
          <w:tcPr>
            <w:tcW w:w="3191" w:type="dxa"/>
            <w:tcBorders>
              <w:top w:val="nil"/>
              <w:left w:val="single" w:sz="8" w:space="0" w:color="auto"/>
              <w:bottom w:val="nil"/>
              <w:right w:val="nil"/>
            </w:tcBorders>
            <w:shd w:val="clear" w:color="auto" w:fill="auto"/>
            <w:noWrap/>
            <w:vAlign w:val="center"/>
          </w:tcPr>
          <w:p w:rsidR="005A0383" w:rsidRDefault="005A0383" w:rsidP="00744F37">
            <w:pPr>
              <w:rPr>
                <w:rFonts w:ascii="Arial Narrow" w:hAnsi="Arial Narrow"/>
                <w:b/>
                <w:bCs/>
                <w:color w:val="000000"/>
                <w:sz w:val="20"/>
                <w:szCs w:val="20"/>
              </w:rPr>
            </w:pPr>
            <w:r>
              <w:rPr>
                <w:rFonts w:ascii="Arial Narrow" w:hAnsi="Arial Narrow"/>
                <w:b/>
                <w:bCs/>
                <w:color w:val="000000"/>
                <w:sz w:val="20"/>
                <w:szCs w:val="20"/>
              </w:rPr>
              <w:t>Verified Alcohol Test Results and Refusals</w:t>
            </w:r>
          </w:p>
        </w:tc>
        <w:tc>
          <w:tcPr>
            <w:tcW w:w="1402" w:type="dxa"/>
            <w:tcBorders>
              <w:top w:val="nil"/>
              <w:left w:val="nil"/>
              <w:bottom w:val="nil"/>
              <w:right w:val="nil"/>
            </w:tcBorders>
            <w:shd w:val="clear" w:color="auto" w:fill="auto"/>
            <w:noWrap/>
            <w:vAlign w:val="center"/>
          </w:tcPr>
          <w:p w:rsidR="005A0383" w:rsidRDefault="005A0383" w:rsidP="00744F37">
            <w:pPr>
              <w:rPr>
                <w:rFonts w:ascii="Arial Narrow" w:hAnsi="Arial Narrow"/>
                <w:color w:val="000000"/>
                <w:sz w:val="20"/>
                <w:szCs w:val="20"/>
              </w:rPr>
            </w:pPr>
            <w:r>
              <w:rPr>
                <w:rFonts w:ascii="Arial Narrow" w:hAnsi="Arial Narrow"/>
                <w:color w:val="000000"/>
                <w:sz w:val="20"/>
                <w:szCs w:val="20"/>
              </w:rPr>
              <w:t>7,100</w:t>
            </w:r>
          </w:p>
        </w:tc>
        <w:tc>
          <w:tcPr>
            <w:tcW w:w="927" w:type="dxa"/>
            <w:tcBorders>
              <w:top w:val="nil"/>
              <w:left w:val="nil"/>
              <w:bottom w:val="nil"/>
              <w:right w:val="nil"/>
            </w:tcBorders>
            <w:shd w:val="clear" w:color="auto" w:fill="auto"/>
            <w:noWrap/>
            <w:vAlign w:val="center"/>
          </w:tcPr>
          <w:p w:rsidR="005A0383" w:rsidRDefault="005A0383" w:rsidP="00744F37">
            <w:pPr>
              <w:rPr>
                <w:rFonts w:ascii="Arial Narrow" w:hAnsi="Arial Narrow"/>
                <w:color w:val="000000"/>
                <w:sz w:val="20"/>
                <w:szCs w:val="20"/>
              </w:rPr>
            </w:pPr>
            <w:r>
              <w:rPr>
                <w:rFonts w:ascii="Arial Narrow" w:hAnsi="Arial Narrow"/>
                <w:color w:val="000000"/>
                <w:sz w:val="20"/>
                <w:szCs w:val="20"/>
              </w:rPr>
              <w:t>10</w:t>
            </w:r>
          </w:p>
        </w:tc>
        <w:tc>
          <w:tcPr>
            <w:tcW w:w="1310" w:type="dxa"/>
            <w:tcBorders>
              <w:top w:val="nil"/>
              <w:left w:val="nil"/>
              <w:bottom w:val="nil"/>
              <w:right w:val="nil"/>
            </w:tcBorders>
            <w:shd w:val="clear" w:color="auto" w:fill="auto"/>
            <w:noWrap/>
            <w:vAlign w:val="center"/>
          </w:tcPr>
          <w:p w:rsidR="005A0383" w:rsidRDefault="005A0383" w:rsidP="00744F37">
            <w:pPr>
              <w:rPr>
                <w:rFonts w:ascii="Arial Narrow" w:hAnsi="Arial Narrow"/>
                <w:color w:val="000000"/>
                <w:sz w:val="20"/>
                <w:szCs w:val="20"/>
              </w:rPr>
            </w:pPr>
            <w:r>
              <w:rPr>
                <w:rFonts w:ascii="Arial Narrow" w:hAnsi="Arial Narrow"/>
                <w:color w:val="000000"/>
                <w:sz w:val="20"/>
                <w:szCs w:val="20"/>
              </w:rPr>
              <w:t>$34.00</w:t>
            </w:r>
          </w:p>
        </w:tc>
        <w:tc>
          <w:tcPr>
            <w:tcW w:w="1493" w:type="dxa"/>
            <w:tcBorders>
              <w:top w:val="nil"/>
              <w:left w:val="nil"/>
              <w:bottom w:val="nil"/>
              <w:right w:val="single" w:sz="8" w:space="0" w:color="auto"/>
            </w:tcBorders>
            <w:shd w:val="clear" w:color="auto" w:fill="auto"/>
            <w:noWrap/>
            <w:vAlign w:val="center"/>
          </w:tcPr>
          <w:p w:rsidR="005A0383" w:rsidRDefault="005A0383" w:rsidP="00744F37">
            <w:pPr>
              <w:rPr>
                <w:rFonts w:ascii="Arial Narrow" w:hAnsi="Arial Narrow"/>
                <w:color w:val="000000"/>
                <w:sz w:val="20"/>
                <w:szCs w:val="20"/>
              </w:rPr>
            </w:pPr>
            <w:r>
              <w:rPr>
                <w:rFonts w:ascii="Arial Narrow" w:hAnsi="Arial Narrow"/>
                <w:color w:val="000000"/>
                <w:sz w:val="20"/>
                <w:szCs w:val="20"/>
              </w:rPr>
              <w:t>$40,233</w:t>
            </w:r>
          </w:p>
        </w:tc>
      </w:tr>
      <w:tr w:rsidR="00E544C0" w:rsidTr="00E15E39">
        <w:trPr>
          <w:trHeight w:val="300"/>
          <w:jc w:val="center"/>
        </w:trPr>
        <w:tc>
          <w:tcPr>
            <w:tcW w:w="3191" w:type="dxa"/>
            <w:tcBorders>
              <w:top w:val="nil"/>
              <w:left w:val="single" w:sz="8" w:space="0" w:color="auto"/>
              <w:bottom w:val="nil"/>
              <w:right w:val="nil"/>
            </w:tcBorders>
            <w:shd w:val="clear" w:color="auto" w:fill="auto"/>
            <w:noWrap/>
            <w:vAlign w:val="center"/>
            <w:hideMark/>
          </w:tcPr>
          <w:p w:rsidR="00E544C0" w:rsidRDefault="00E544C0" w:rsidP="00744F37">
            <w:pPr>
              <w:rPr>
                <w:rFonts w:ascii="Arial Narrow" w:hAnsi="Arial Narrow"/>
                <w:b/>
                <w:bCs/>
                <w:color w:val="000000"/>
                <w:sz w:val="20"/>
                <w:szCs w:val="20"/>
              </w:rPr>
            </w:pPr>
            <w:r>
              <w:rPr>
                <w:rFonts w:ascii="Arial Narrow" w:hAnsi="Arial Narrow"/>
                <w:b/>
                <w:bCs/>
                <w:color w:val="000000"/>
                <w:sz w:val="20"/>
                <w:szCs w:val="20"/>
              </w:rPr>
              <w:t>Reports on Treatment Process</w:t>
            </w:r>
          </w:p>
        </w:tc>
        <w:tc>
          <w:tcPr>
            <w:tcW w:w="1402" w:type="dxa"/>
            <w:tcBorders>
              <w:top w:val="nil"/>
              <w:left w:val="nil"/>
              <w:bottom w:val="nil"/>
              <w:right w:val="nil"/>
            </w:tcBorders>
            <w:shd w:val="clear" w:color="auto" w:fill="auto"/>
            <w:noWrap/>
            <w:vAlign w:val="center"/>
            <w:hideMark/>
          </w:tcPr>
          <w:p w:rsidR="00E544C0" w:rsidRDefault="005A0383" w:rsidP="00744F37">
            <w:pPr>
              <w:rPr>
                <w:rFonts w:ascii="Arial Narrow" w:hAnsi="Arial Narrow"/>
                <w:color w:val="000000"/>
                <w:sz w:val="20"/>
                <w:szCs w:val="20"/>
              </w:rPr>
            </w:pPr>
            <w:r>
              <w:rPr>
                <w:rFonts w:ascii="Arial Narrow" w:hAnsi="Arial Narrow"/>
                <w:color w:val="000000"/>
                <w:sz w:val="20"/>
                <w:szCs w:val="20"/>
              </w:rPr>
              <w:t>82,900</w:t>
            </w:r>
          </w:p>
        </w:tc>
        <w:tc>
          <w:tcPr>
            <w:tcW w:w="927" w:type="dxa"/>
            <w:tcBorders>
              <w:top w:val="nil"/>
              <w:left w:val="nil"/>
              <w:bottom w:val="nil"/>
              <w:right w:val="nil"/>
            </w:tcBorders>
            <w:shd w:val="clear" w:color="auto" w:fill="auto"/>
            <w:noWrap/>
            <w:vAlign w:val="center"/>
            <w:hideMark/>
          </w:tcPr>
          <w:p w:rsidR="00E544C0" w:rsidRDefault="00E544C0" w:rsidP="00744F37">
            <w:pPr>
              <w:rPr>
                <w:rFonts w:ascii="Arial Narrow" w:hAnsi="Arial Narrow"/>
                <w:color w:val="000000"/>
                <w:sz w:val="20"/>
                <w:szCs w:val="20"/>
              </w:rPr>
            </w:pPr>
            <w:r>
              <w:rPr>
                <w:rFonts w:ascii="Arial Narrow" w:hAnsi="Arial Narrow"/>
                <w:color w:val="000000"/>
                <w:sz w:val="20"/>
                <w:szCs w:val="20"/>
              </w:rPr>
              <w:t>10</w:t>
            </w:r>
          </w:p>
        </w:tc>
        <w:tc>
          <w:tcPr>
            <w:tcW w:w="1310" w:type="dxa"/>
            <w:tcBorders>
              <w:top w:val="nil"/>
              <w:left w:val="nil"/>
              <w:bottom w:val="nil"/>
              <w:right w:val="nil"/>
            </w:tcBorders>
            <w:shd w:val="clear" w:color="auto" w:fill="auto"/>
            <w:noWrap/>
            <w:vAlign w:val="center"/>
            <w:hideMark/>
          </w:tcPr>
          <w:p w:rsidR="00E544C0" w:rsidRDefault="00E544C0" w:rsidP="00744F37">
            <w:pPr>
              <w:rPr>
                <w:rFonts w:ascii="Arial Narrow" w:hAnsi="Arial Narrow"/>
                <w:color w:val="000000"/>
                <w:sz w:val="20"/>
                <w:szCs w:val="20"/>
              </w:rPr>
            </w:pPr>
            <w:r>
              <w:rPr>
                <w:rFonts w:ascii="Arial Narrow" w:hAnsi="Arial Narrow"/>
                <w:color w:val="000000"/>
                <w:sz w:val="20"/>
                <w:szCs w:val="20"/>
              </w:rPr>
              <w:t>$34.00</w:t>
            </w:r>
          </w:p>
        </w:tc>
        <w:tc>
          <w:tcPr>
            <w:tcW w:w="1493" w:type="dxa"/>
            <w:tcBorders>
              <w:top w:val="nil"/>
              <w:left w:val="nil"/>
              <w:bottom w:val="nil"/>
              <w:right w:val="single" w:sz="8" w:space="0" w:color="auto"/>
            </w:tcBorders>
            <w:shd w:val="clear" w:color="auto" w:fill="auto"/>
            <w:noWrap/>
            <w:vAlign w:val="center"/>
            <w:hideMark/>
          </w:tcPr>
          <w:p w:rsidR="00E544C0" w:rsidRDefault="00E544C0" w:rsidP="00744F37">
            <w:pPr>
              <w:rPr>
                <w:rFonts w:ascii="Arial Narrow" w:hAnsi="Arial Narrow"/>
                <w:color w:val="000000"/>
                <w:sz w:val="20"/>
                <w:szCs w:val="20"/>
              </w:rPr>
            </w:pPr>
            <w:r>
              <w:rPr>
                <w:rFonts w:ascii="Arial Narrow" w:hAnsi="Arial Narrow"/>
                <w:color w:val="000000"/>
                <w:sz w:val="20"/>
                <w:szCs w:val="20"/>
              </w:rPr>
              <w:t>$</w:t>
            </w:r>
            <w:r w:rsidR="005A0383">
              <w:rPr>
                <w:rFonts w:ascii="Arial Narrow" w:hAnsi="Arial Narrow"/>
                <w:color w:val="000000"/>
                <w:sz w:val="20"/>
                <w:szCs w:val="20"/>
              </w:rPr>
              <w:t>469,767</w:t>
            </w:r>
          </w:p>
        </w:tc>
      </w:tr>
      <w:tr w:rsidR="00E544C0" w:rsidTr="00E15E39">
        <w:trPr>
          <w:trHeight w:val="300"/>
          <w:jc w:val="center"/>
        </w:trPr>
        <w:tc>
          <w:tcPr>
            <w:tcW w:w="3191" w:type="dxa"/>
            <w:tcBorders>
              <w:top w:val="nil"/>
              <w:left w:val="single" w:sz="8" w:space="0" w:color="auto"/>
              <w:bottom w:val="nil"/>
              <w:right w:val="nil"/>
            </w:tcBorders>
            <w:shd w:val="clear" w:color="auto" w:fill="auto"/>
            <w:noWrap/>
            <w:vAlign w:val="center"/>
          </w:tcPr>
          <w:p w:rsidR="00E544C0" w:rsidRDefault="00E544C0" w:rsidP="00744F37">
            <w:pPr>
              <w:rPr>
                <w:rFonts w:ascii="Arial Narrow" w:hAnsi="Arial Narrow"/>
                <w:b/>
                <w:bCs/>
                <w:color w:val="000000"/>
                <w:sz w:val="20"/>
                <w:szCs w:val="20"/>
              </w:rPr>
            </w:pPr>
          </w:p>
        </w:tc>
        <w:tc>
          <w:tcPr>
            <w:tcW w:w="1402" w:type="dxa"/>
            <w:tcBorders>
              <w:top w:val="nil"/>
              <w:left w:val="nil"/>
              <w:bottom w:val="nil"/>
              <w:right w:val="nil"/>
            </w:tcBorders>
            <w:shd w:val="clear" w:color="auto" w:fill="auto"/>
            <w:noWrap/>
            <w:vAlign w:val="center"/>
          </w:tcPr>
          <w:p w:rsidR="00E544C0" w:rsidRDefault="00E544C0" w:rsidP="00744F37">
            <w:pPr>
              <w:rPr>
                <w:rFonts w:ascii="Arial Narrow" w:hAnsi="Arial Narrow"/>
                <w:color w:val="000000"/>
                <w:sz w:val="20"/>
                <w:szCs w:val="20"/>
              </w:rPr>
            </w:pPr>
          </w:p>
        </w:tc>
        <w:tc>
          <w:tcPr>
            <w:tcW w:w="927" w:type="dxa"/>
            <w:tcBorders>
              <w:top w:val="nil"/>
              <w:left w:val="nil"/>
              <w:bottom w:val="nil"/>
              <w:right w:val="nil"/>
            </w:tcBorders>
            <w:shd w:val="clear" w:color="auto" w:fill="auto"/>
            <w:noWrap/>
            <w:vAlign w:val="center"/>
          </w:tcPr>
          <w:p w:rsidR="00E544C0" w:rsidRDefault="00E544C0" w:rsidP="00744F37">
            <w:pPr>
              <w:rPr>
                <w:rFonts w:ascii="Arial Narrow" w:hAnsi="Arial Narrow"/>
                <w:color w:val="000000"/>
                <w:sz w:val="20"/>
                <w:szCs w:val="20"/>
              </w:rPr>
            </w:pPr>
          </w:p>
        </w:tc>
        <w:tc>
          <w:tcPr>
            <w:tcW w:w="1310" w:type="dxa"/>
            <w:tcBorders>
              <w:top w:val="nil"/>
              <w:left w:val="nil"/>
              <w:bottom w:val="nil"/>
              <w:right w:val="nil"/>
            </w:tcBorders>
            <w:shd w:val="clear" w:color="auto" w:fill="auto"/>
            <w:noWrap/>
            <w:vAlign w:val="center"/>
          </w:tcPr>
          <w:p w:rsidR="00E544C0" w:rsidRDefault="00E544C0" w:rsidP="00744F37">
            <w:pPr>
              <w:rPr>
                <w:rFonts w:ascii="Arial Narrow" w:hAnsi="Arial Narrow"/>
                <w:color w:val="000000"/>
                <w:sz w:val="20"/>
                <w:szCs w:val="20"/>
              </w:rPr>
            </w:pPr>
          </w:p>
        </w:tc>
        <w:tc>
          <w:tcPr>
            <w:tcW w:w="1493" w:type="dxa"/>
            <w:tcBorders>
              <w:top w:val="nil"/>
              <w:left w:val="nil"/>
              <w:bottom w:val="nil"/>
              <w:right w:val="single" w:sz="8" w:space="0" w:color="auto"/>
            </w:tcBorders>
            <w:shd w:val="clear" w:color="auto" w:fill="auto"/>
            <w:noWrap/>
            <w:vAlign w:val="center"/>
          </w:tcPr>
          <w:p w:rsidR="00E544C0" w:rsidRDefault="00E544C0" w:rsidP="00744F37">
            <w:pPr>
              <w:rPr>
                <w:rFonts w:ascii="Arial Narrow" w:hAnsi="Arial Narrow"/>
                <w:color w:val="000000"/>
                <w:sz w:val="20"/>
                <w:szCs w:val="20"/>
              </w:rPr>
            </w:pPr>
          </w:p>
        </w:tc>
      </w:tr>
      <w:tr w:rsidR="00E544C0" w:rsidTr="00E15E39">
        <w:trPr>
          <w:trHeight w:val="315"/>
          <w:jc w:val="center"/>
        </w:trPr>
        <w:tc>
          <w:tcPr>
            <w:tcW w:w="3191" w:type="dxa"/>
            <w:tcBorders>
              <w:top w:val="nil"/>
              <w:left w:val="single" w:sz="8" w:space="0" w:color="auto"/>
              <w:bottom w:val="nil"/>
              <w:right w:val="nil"/>
            </w:tcBorders>
            <w:shd w:val="clear" w:color="auto" w:fill="auto"/>
            <w:noWrap/>
            <w:vAlign w:val="center"/>
            <w:hideMark/>
          </w:tcPr>
          <w:p w:rsidR="00E544C0" w:rsidRDefault="00E544C0" w:rsidP="00744F37">
            <w:pPr>
              <w:rPr>
                <w:rFonts w:ascii="Arial Narrow" w:hAnsi="Arial Narrow"/>
                <w:b/>
                <w:bCs/>
                <w:color w:val="000000"/>
                <w:sz w:val="20"/>
                <w:szCs w:val="20"/>
              </w:rPr>
            </w:pPr>
            <w:r>
              <w:rPr>
                <w:rFonts w:ascii="Arial Narrow" w:hAnsi="Arial Narrow"/>
                <w:b/>
                <w:bCs/>
                <w:color w:val="000000"/>
                <w:sz w:val="20"/>
                <w:szCs w:val="20"/>
              </w:rPr>
              <w:t>Total Notifications to Mail</w:t>
            </w:r>
          </w:p>
        </w:tc>
        <w:tc>
          <w:tcPr>
            <w:tcW w:w="1402" w:type="dxa"/>
            <w:tcBorders>
              <w:top w:val="nil"/>
              <w:left w:val="nil"/>
              <w:bottom w:val="nil"/>
              <w:right w:val="nil"/>
            </w:tcBorders>
            <w:shd w:val="clear" w:color="auto" w:fill="auto"/>
            <w:noWrap/>
            <w:vAlign w:val="center"/>
            <w:hideMark/>
          </w:tcPr>
          <w:p w:rsidR="00E544C0" w:rsidRDefault="003E1873" w:rsidP="00744F37">
            <w:pPr>
              <w:rPr>
                <w:rFonts w:ascii="Arial Narrow" w:hAnsi="Arial Narrow"/>
                <w:color w:val="000000"/>
                <w:sz w:val="20"/>
                <w:szCs w:val="20"/>
              </w:rPr>
            </w:pPr>
            <w:r>
              <w:rPr>
                <w:rFonts w:ascii="Arial Narrow" w:hAnsi="Arial Narrow"/>
                <w:color w:val="000000"/>
                <w:sz w:val="20"/>
                <w:szCs w:val="20"/>
              </w:rPr>
              <w:t>1</w:t>
            </w:r>
            <w:r w:rsidR="005A0383">
              <w:rPr>
                <w:rFonts w:ascii="Arial Narrow" w:hAnsi="Arial Narrow"/>
                <w:color w:val="000000"/>
                <w:sz w:val="20"/>
                <w:szCs w:val="20"/>
              </w:rPr>
              <w:t>65,800</w:t>
            </w:r>
          </w:p>
        </w:tc>
        <w:tc>
          <w:tcPr>
            <w:tcW w:w="927" w:type="dxa"/>
            <w:tcBorders>
              <w:top w:val="nil"/>
              <w:left w:val="nil"/>
              <w:bottom w:val="nil"/>
              <w:right w:val="nil"/>
            </w:tcBorders>
            <w:shd w:val="clear" w:color="auto" w:fill="auto"/>
            <w:noWrap/>
            <w:vAlign w:val="center"/>
            <w:hideMark/>
          </w:tcPr>
          <w:p w:rsidR="00E544C0" w:rsidRDefault="00E544C0" w:rsidP="00744F37">
            <w:pPr>
              <w:rPr>
                <w:color w:val="000000"/>
                <w:sz w:val="20"/>
                <w:szCs w:val="20"/>
              </w:rPr>
            </w:pPr>
          </w:p>
        </w:tc>
        <w:tc>
          <w:tcPr>
            <w:tcW w:w="1310" w:type="dxa"/>
            <w:tcBorders>
              <w:top w:val="nil"/>
              <w:left w:val="nil"/>
              <w:bottom w:val="nil"/>
              <w:right w:val="nil"/>
            </w:tcBorders>
            <w:shd w:val="clear" w:color="auto" w:fill="auto"/>
            <w:noWrap/>
            <w:vAlign w:val="center"/>
            <w:hideMark/>
          </w:tcPr>
          <w:p w:rsidR="00E544C0" w:rsidRDefault="00E544C0" w:rsidP="00744F37">
            <w:pPr>
              <w:rPr>
                <w:rFonts w:ascii="Arial Narrow" w:hAnsi="Arial Narrow"/>
                <w:color w:val="000000"/>
                <w:sz w:val="20"/>
                <w:szCs w:val="20"/>
              </w:rPr>
            </w:pPr>
            <w:r>
              <w:rPr>
                <w:rFonts w:ascii="Arial Narrow" w:hAnsi="Arial Narrow"/>
                <w:color w:val="000000"/>
                <w:sz w:val="20"/>
                <w:szCs w:val="20"/>
              </w:rPr>
              <w:t>$1.00</w:t>
            </w:r>
          </w:p>
        </w:tc>
        <w:tc>
          <w:tcPr>
            <w:tcW w:w="1493" w:type="dxa"/>
            <w:tcBorders>
              <w:top w:val="nil"/>
              <w:left w:val="nil"/>
              <w:right w:val="single" w:sz="8" w:space="0" w:color="auto"/>
            </w:tcBorders>
            <w:shd w:val="clear" w:color="auto" w:fill="auto"/>
            <w:noWrap/>
            <w:vAlign w:val="center"/>
            <w:hideMark/>
          </w:tcPr>
          <w:p w:rsidR="00E544C0" w:rsidRDefault="00E544C0" w:rsidP="00744F37">
            <w:pPr>
              <w:rPr>
                <w:rFonts w:ascii="Arial Narrow" w:hAnsi="Arial Narrow"/>
                <w:color w:val="000000"/>
                <w:sz w:val="20"/>
                <w:szCs w:val="20"/>
              </w:rPr>
            </w:pPr>
            <w:r>
              <w:rPr>
                <w:rFonts w:ascii="Arial Narrow" w:hAnsi="Arial Narrow"/>
                <w:color w:val="000000"/>
                <w:sz w:val="20"/>
                <w:szCs w:val="20"/>
              </w:rPr>
              <w:t>$</w:t>
            </w:r>
            <w:r w:rsidR="003E1873">
              <w:rPr>
                <w:rFonts w:ascii="Arial Narrow" w:hAnsi="Arial Narrow"/>
                <w:color w:val="000000"/>
                <w:sz w:val="20"/>
                <w:szCs w:val="20"/>
              </w:rPr>
              <w:t>1</w:t>
            </w:r>
            <w:r w:rsidR="005A0383">
              <w:rPr>
                <w:rFonts w:ascii="Arial Narrow" w:hAnsi="Arial Narrow"/>
                <w:color w:val="000000"/>
                <w:sz w:val="20"/>
                <w:szCs w:val="20"/>
              </w:rPr>
              <w:t>65,800</w:t>
            </w:r>
          </w:p>
        </w:tc>
      </w:tr>
      <w:tr w:rsidR="003F5388" w:rsidTr="00E15E39">
        <w:trPr>
          <w:trHeight w:val="315"/>
          <w:jc w:val="center"/>
        </w:trPr>
        <w:tc>
          <w:tcPr>
            <w:tcW w:w="3191" w:type="dxa"/>
            <w:tcBorders>
              <w:top w:val="nil"/>
              <w:left w:val="single" w:sz="8" w:space="0" w:color="auto"/>
              <w:bottom w:val="single" w:sz="8" w:space="0" w:color="auto"/>
              <w:right w:val="nil"/>
            </w:tcBorders>
            <w:shd w:val="clear" w:color="auto" w:fill="auto"/>
            <w:noWrap/>
            <w:vAlign w:val="center"/>
          </w:tcPr>
          <w:p w:rsidR="003F5388" w:rsidRDefault="00A578B9" w:rsidP="00744F37">
            <w:pPr>
              <w:rPr>
                <w:rFonts w:ascii="Arial Narrow" w:hAnsi="Arial Narrow"/>
                <w:b/>
                <w:bCs/>
                <w:color w:val="000000"/>
                <w:sz w:val="20"/>
                <w:szCs w:val="20"/>
              </w:rPr>
            </w:pPr>
            <w:r>
              <w:rPr>
                <w:rFonts w:ascii="Arial Narrow" w:hAnsi="Arial Narrow"/>
                <w:b/>
                <w:bCs/>
                <w:color w:val="000000"/>
                <w:sz w:val="20"/>
                <w:szCs w:val="20"/>
              </w:rPr>
              <w:t>Development &amp; Records Management</w:t>
            </w:r>
          </w:p>
        </w:tc>
        <w:tc>
          <w:tcPr>
            <w:tcW w:w="1402" w:type="dxa"/>
            <w:tcBorders>
              <w:top w:val="nil"/>
              <w:left w:val="nil"/>
              <w:bottom w:val="single" w:sz="8" w:space="0" w:color="auto"/>
              <w:right w:val="nil"/>
            </w:tcBorders>
            <w:shd w:val="clear" w:color="auto" w:fill="auto"/>
            <w:noWrap/>
            <w:vAlign w:val="center"/>
          </w:tcPr>
          <w:p w:rsidR="003F5388" w:rsidRDefault="00A578B9" w:rsidP="00744F37">
            <w:pPr>
              <w:rPr>
                <w:rFonts w:ascii="Arial Narrow" w:hAnsi="Arial Narrow"/>
                <w:color w:val="000000"/>
                <w:sz w:val="20"/>
                <w:szCs w:val="20"/>
              </w:rPr>
            </w:pPr>
            <w:r>
              <w:rPr>
                <w:rFonts w:ascii="Arial Narrow" w:hAnsi="Arial Narrow"/>
                <w:color w:val="000000"/>
                <w:sz w:val="20"/>
                <w:szCs w:val="20"/>
              </w:rPr>
              <w:t>-</w:t>
            </w:r>
          </w:p>
        </w:tc>
        <w:tc>
          <w:tcPr>
            <w:tcW w:w="927" w:type="dxa"/>
            <w:tcBorders>
              <w:top w:val="nil"/>
              <w:left w:val="nil"/>
              <w:bottom w:val="single" w:sz="8" w:space="0" w:color="auto"/>
              <w:right w:val="nil"/>
            </w:tcBorders>
            <w:shd w:val="clear" w:color="auto" w:fill="auto"/>
            <w:noWrap/>
            <w:vAlign w:val="center"/>
          </w:tcPr>
          <w:p w:rsidR="003F5388" w:rsidRDefault="00A578B9" w:rsidP="00744F37">
            <w:pPr>
              <w:rPr>
                <w:rFonts w:ascii="Arial Narrow" w:hAnsi="Arial Narrow"/>
                <w:color w:val="000000"/>
                <w:sz w:val="20"/>
                <w:szCs w:val="20"/>
              </w:rPr>
            </w:pPr>
            <w:r>
              <w:rPr>
                <w:rFonts w:ascii="Arial Narrow" w:hAnsi="Arial Narrow"/>
                <w:color w:val="000000"/>
                <w:sz w:val="20"/>
                <w:szCs w:val="20"/>
              </w:rPr>
              <w:t>-</w:t>
            </w:r>
          </w:p>
        </w:tc>
        <w:tc>
          <w:tcPr>
            <w:tcW w:w="1310" w:type="dxa"/>
            <w:tcBorders>
              <w:top w:val="nil"/>
              <w:left w:val="nil"/>
              <w:bottom w:val="single" w:sz="8" w:space="0" w:color="auto"/>
            </w:tcBorders>
            <w:shd w:val="clear" w:color="auto" w:fill="auto"/>
            <w:noWrap/>
            <w:vAlign w:val="center"/>
          </w:tcPr>
          <w:p w:rsidR="003F5388" w:rsidRDefault="00A578B9" w:rsidP="00744F37">
            <w:pPr>
              <w:rPr>
                <w:rFonts w:ascii="Arial Narrow" w:hAnsi="Arial Narrow"/>
                <w:color w:val="000000"/>
                <w:sz w:val="20"/>
                <w:szCs w:val="20"/>
              </w:rPr>
            </w:pPr>
            <w:r>
              <w:rPr>
                <w:rFonts w:ascii="Arial Narrow" w:hAnsi="Arial Narrow"/>
                <w:color w:val="000000"/>
                <w:sz w:val="20"/>
                <w:szCs w:val="20"/>
              </w:rPr>
              <w:t>-</w:t>
            </w:r>
          </w:p>
        </w:tc>
        <w:tc>
          <w:tcPr>
            <w:tcW w:w="1493" w:type="dxa"/>
            <w:tcBorders>
              <w:bottom w:val="single" w:sz="8" w:space="0" w:color="auto"/>
              <w:right w:val="single" w:sz="8" w:space="0" w:color="auto"/>
            </w:tcBorders>
            <w:shd w:val="clear" w:color="auto" w:fill="auto"/>
            <w:noWrap/>
            <w:vAlign w:val="center"/>
          </w:tcPr>
          <w:p w:rsidR="003F5388" w:rsidRPr="00D6055F" w:rsidRDefault="0077565C" w:rsidP="00744F37">
            <w:pPr>
              <w:rPr>
                <w:rFonts w:ascii="Arial Narrow" w:hAnsi="Arial Narrow"/>
                <w:bCs/>
                <w:color w:val="000000"/>
                <w:sz w:val="20"/>
                <w:szCs w:val="20"/>
              </w:rPr>
            </w:pPr>
            <w:r w:rsidRPr="0077565C">
              <w:rPr>
                <w:rFonts w:ascii="Arial Narrow" w:hAnsi="Arial Narrow"/>
                <w:bCs/>
                <w:color w:val="000000"/>
                <w:sz w:val="20"/>
                <w:szCs w:val="20"/>
              </w:rPr>
              <w:t>$2,200,000</w:t>
            </w:r>
          </w:p>
        </w:tc>
      </w:tr>
      <w:tr w:rsidR="00E544C0" w:rsidTr="00E15E39">
        <w:trPr>
          <w:trHeight w:val="315"/>
          <w:jc w:val="center"/>
        </w:trPr>
        <w:tc>
          <w:tcPr>
            <w:tcW w:w="3191" w:type="dxa"/>
            <w:tcBorders>
              <w:top w:val="nil"/>
              <w:left w:val="single" w:sz="8" w:space="0" w:color="auto"/>
              <w:bottom w:val="single" w:sz="8" w:space="0" w:color="auto"/>
              <w:right w:val="nil"/>
            </w:tcBorders>
            <w:shd w:val="clear" w:color="auto" w:fill="auto"/>
            <w:noWrap/>
            <w:vAlign w:val="center"/>
            <w:hideMark/>
          </w:tcPr>
          <w:p w:rsidR="00E544C0" w:rsidRDefault="00E544C0" w:rsidP="00744F37">
            <w:pPr>
              <w:rPr>
                <w:rFonts w:ascii="Arial Narrow" w:hAnsi="Arial Narrow"/>
                <w:b/>
                <w:bCs/>
                <w:color w:val="000000"/>
                <w:sz w:val="20"/>
                <w:szCs w:val="20"/>
              </w:rPr>
            </w:pPr>
            <w:r>
              <w:rPr>
                <w:rFonts w:ascii="Arial Narrow" w:hAnsi="Arial Narrow"/>
                <w:b/>
                <w:bCs/>
                <w:color w:val="000000"/>
                <w:sz w:val="20"/>
                <w:szCs w:val="20"/>
              </w:rPr>
              <w:t>Total Costs</w:t>
            </w:r>
          </w:p>
        </w:tc>
        <w:tc>
          <w:tcPr>
            <w:tcW w:w="1402" w:type="dxa"/>
            <w:tcBorders>
              <w:top w:val="nil"/>
              <w:left w:val="nil"/>
              <w:bottom w:val="single" w:sz="8" w:space="0" w:color="auto"/>
              <w:right w:val="nil"/>
            </w:tcBorders>
            <w:shd w:val="clear" w:color="auto" w:fill="auto"/>
            <w:noWrap/>
            <w:vAlign w:val="center"/>
            <w:hideMark/>
          </w:tcPr>
          <w:p w:rsidR="00E544C0" w:rsidRDefault="00E544C0" w:rsidP="00744F37">
            <w:pPr>
              <w:rPr>
                <w:rFonts w:ascii="Arial Narrow" w:hAnsi="Arial Narrow"/>
                <w:color w:val="000000"/>
                <w:sz w:val="20"/>
                <w:szCs w:val="20"/>
              </w:rPr>
            </w:pPr>
          </w:p>
        </w:tc>
        <w:tc>
          <w:tcPr>
            <w:tcW w:w="927" w:type="dxa"/>
            <w:tcBorders>
              <w:top w:val="nil"/>
              <w:left w:val="nil"/>
              <w:bottom w:val="single" w:sz="8" w:space="0" w:color="auto"/>
              <w:right w:val="nil"/>
            </w:tcBorders>
            <w:shd w:val="clear" w:color="auto" w:fill="auto"/>
            <w:noWrap/>
            <w:vAlign w:val="center"/>
            <w:hideMark/>
          </w:tcPr>
          <w:p w:rsidR="00E544C0" w:rsidRDefault="00E544C0" w:rsidP="00744F37">
            <w:pPr>
              <w:rPr>
                <w:rFonts w:ascii="Arial Narrow" w:hAnsi="Arial Narrow"/>
                <w:color w:val="000000"/>
                <w:sz w:val="20"/>
                <w:szCs w:val="20"/>
              </w:rPr>
            </w:pPr>
          </w:p>
        </w:tc>
        <w:tc>
          <w:tcPr>
            <w:tcW w:w="1310" w:type="dxa"/>
            <w:tcBorders>
              <w:top w:val="nil"/>
              <w:left w:val="nil"/>
              <w:bottom w:val="single" w:sz="8" w:space="0" w:color="auto"/>
              <w:right w:val="nil"/>
            </w:tcBorders>
            <w:shd w:val="clear" w:color="auto" w:fill="auto"/>
            <w:noWrap/>
            <w:vAlign w:val="center"/>
            <w:hideMark/>
          </w:tcPr>
          <w:p w:rsidR="00E544C0" w:rsidRDefault="00E544C0" w:rsidP="00744F37">
            <w:pPr>
              <w:rPr>
                <w:rFonts w:ascii="Arial Narrow" w:hAnsi="Arial Narrow"/>
                <w:color w:val="000000"/>
                <w:sz w:val="20"/>
                <w:szCs w:val="20"/>
              </w:rPr>
            </w:pPr>
          </w:p>
        </w:tc>
        <w:tc>
          <w:tcPr>
            <w:tcW w:w="1493" w:type="dxa"/>
            <w:tcBorders>
              <w:top w:val="single" w:sz="8" w:space="0" w:color="auto"/>
              <w:left w:val="single" w:sz="8" w:space="0" w:color="auto"/>
              <w:bottom w:val="single" w:sz="8" w:space="0" w:color="auto"/>
              <w:right w:val="single" w:sz="8" w:space="0" w:color="auto"/>
            </w:tcBorders>
            <w:shd w:val="clear" w:color="000000" w:fill="FFFF99"/>
            <w:noWrap/>
            <w:vAlign w:val="center"/>
            <w:hideMark/>
          </w:tcPr>
          <w:p w:rsidR="00E544C0" w:rsidRDefault="00E544C0" w:rsidP="00744F37">
            <w:pPr>
              <w:rPr>
                <w:rFonts w:ascii="Arial Narrow" w:hAnsi="Arial Narrow"/>
                <w:b/>
                <w:bCs/>
                <w:color w:val="000000"/>
                <w:sz w:val="20"/>
                <w:szCs w:val="20"/>
              </w:rPr>
            </w:pPr>
            <w:r>
              <w:rPr>
                <w:rFonts w:ascii="Arial Narrow" w:hAnsi="Arial Narrow"/>
                <w:b/>
                <w:bCs/>
                <w:color w:val="000000"/>
                <w:sz w:val="20"/>
                <w:szCs w:val="20"/>
              </w:rPr>
              <w:t>$</w:t>
            </w:r>
            <w:r w:rsidR="005A0383">
              <w:rPr>
                <w:rFonts w:ascii="Arial Narrow" w:hAnsi="Arial Narrow"/>
                <w:b/>
                <w:bCs/>
                <w:color w:val="000000"/>
                <w:sz w:val="20"/>
                <w:szCs w:val="20"/>
              </w:rPr>
              <w:t>3,305,533</w:t>
            </w:r>
          </w:p>
        </w:tc>
      </w:tr>
    </w:tbl>
    <w:p w:rsidR="00E544C0" w:rsidRDefault="00E544C0" w:rsidP="00744F37"/>
    <w:p w:rsidR="004015FC" w:rsidRDefault="004015FC" w:rsidP="00744F37">
      <w:pPr>
        <w:pStyle w:val="NormalWeb"/>
        <w:keepNext/>
        <w:rPr>
          <w:rFonts w:ascii="Arial" w:hAnsi="Arial" w:cs="Arial"/>
          <w:b/>
          <w:bCs/>
          <w:szCs w:val="20"/>
        </w:rPr>
      </w:pPr>
      <w:r>
        <w:rPr>
          <w:rFonts w:ascii="Arial" w:hAnsi="Arial"/>
          <w:b/>
        </w:rPr>
        <w:t>15. Explanation of Program Changes or Adjustments.</w:t>
      </w:r>
    </w:p>
    <w:p w:rsidR="004B4C7C" w:rsidRDefault="00DD3810" w:rsidP="00744F37">
      <w:pPr>
        <w:pStyle w:val="NormalWeb"/>
        <w:rPr>
          <w:rFonts w:ascii="Arial" w:hAnsi="Arial" w:cs="Arial"/>
          <w:szCs w:val="20"/>
        </w:rPr>
      </w:pPr>
      <w:r>
        <w:t xml:space="preserve">This program increase is due to a new ICR requirement in an NPRM. </w:t>
      </w:r>
      <w:r w:rsidR="00D61A57">
        <w:t>From item</w:t>
      </w:r>
      <w:r w:rsidR="00D61A57" w:rsidRPr="00F70D33">
        <w:t xml:space="preserve"> 12 above, the additional </w:t>
      </w:r>
      <w:r w:rsidR="00D61A57">
        <w:t>burden-hours of this rule are</w:t>
      </w:r>
      <w:r w:rsidR="00D61A57" w:rsidRPr="00F70D33">
        <w:t xml:space="preserve"> </w:t>
      </w:r>
      <w:r w:rsidR="00985062">
        <w:t>1,8</w:t>
      </w:r>
      <w:r w:rsidR="005E4405">
        <w:t>60,5</w:t>
      </w:r>
      <w:r w:rsidR="00825B41">
        <w:t>81</w:t>
      </w:r>
      <w:r w:rsidR="00D61A57" w:rsidRPr="00F70D33">
        <w:t xml:space="preserve"> annually.</w:t>
      </w:r>
    </w:p>
    <w:p w:rsidR="00CA02F9" w:rsidRDefault="00CA02F9" w:rsidP="00744F37">
      <w:pPr>
        <w:pStyle w:val="NormalWeb"/>
        <w:keepNext/>
        <w:rPr>
          <w:rFonts w:ascii="Arial" w:hAnsi="Arial" w:cs="Arial"/>
          <w:b/>
          <w:bCs/>
          <w:szCs w:val="20"/>
        </w:rPr>
      </w:pPr>
      <w:r>
        <w:rPr>
          <w:rFonts w:ascii="Arial" w:hAnsi="Arial" w:cs="Arial"/>
          <w:b/>
          <w:bCs/>
          <w:szCs w:val="20"/>
        </w:rPr>
        <w:t>16. Publication of Results of Data Collection.</w:t>
      </w:r>
    </w:p>
    <w:p w:rsidR="00CA02F9" w:rsidRPr="00382CA3" w:rsidRDefault="00CA02F9" w:rsidP="00744F37">
      <w:pPr>
        <w:pStyle w:val="NormalWeb"/>
        <w:rPr>
          <w:szCs w:val="20"/>
        </w:rPr>
      </w:pPr>
      <w:r w:rsidRPr="00382CA3">
        <w:rPr>
          <w:szCs w:val="20"/>
        </w:rPr>
        <w:t>FMCSA does not plan to publish any results.</w:t>
      </w:r>
    </w:p>
    <w:p w:rsidR="00CA02F9" w:rsidRDefault="009A60C1" w:rsidP="00744F37">
      <w:pPr>
        <w:pStyle w:val="NormalWeb"/>
        <w:keepNext/>
        <w:rPr>
          <w:rFonts w:ascii="Arial" w:hAnsi="Arial" w:cs="Arial"/>
          <w:b/>
          <w:bCs/>
          <w:szCs w:val="20"/>
        </w:rPr>
      </w:pPr>
      <w:r>
        <w:rPr>
          <w:rFonts w:ascii="Arial" w:hAnsi="Arial" w:cs="Arial"/>
          <w:b/>
          <w:bCs/>
          <w:szCs w:val="20"/>
        </w:rPr>
        <w:lastRenderedPageBreak/>
        <w:t>17. Approval for Exemption of Display of</w:t>
      </w:r>
      <w:r w:rsidR="00CA02F9">
        <w:rPr>
          <w:rFonts w:ascii="Arial" w:hAnsi="Arial" w:cs="Arial"/>
          <w:b/>
          <w:bCs/>
          <w:szCs w:val="20"/>
        </w:rPr>
        <w:t xml:space="preserve"> the Expiration Date of OMB Approval.</w:t>
      </w:r>
    </w:p>
    <w:p w:rsidR="00CA02F9" w:rsidRPr="00382CA3" w:rsidRDefault="00CA02F9" w:rsidP="00744F37">
      <w:pPr>
        <w:pStyle w:val="NormalWeb"/>
        <w:rPr>
          <w:szCs w:val="20"/>
        </w:rPr>
      </w:pPr>
      <w:r w:rsidRPr="00382CA3">
        <w:rPr>
          <w:szCs w:val="20"/>
        </w:rPr>
        <w:t>The FMCS</w:t>
      </w:r>
      <w:r w:rsidR="00382CA3" w:rsidRPr="00382CA3">
        <w:rPr>
          <w:szCs w:val="20"/>
        </w:rPr>
        <w:t>A is not seeking approval to exempt</w:t>
      </w:r>
      <w:r w:rsidRPr="00382CA3">
        <w:rPr>
          <w:szCs w:val="20"/>
        </w:rPr>
        <w:t xml:space="preserve"> display </w:t>
      </w:r>
      <w:r w:rsidR="00382CA3" w:rsidRPr="00382CA3">
        <w:rPr>
          <w:szCs w:val="20"/>
        </w:rPr>
        <w:t xml:space="preserve">of </w:t>
      </w:r>
      <w:r w:rsidRPr="00382CA3">
        <w:rPr>
          <w:szCs w:val="20"/>
        </w:rPr>
        <w:t>the expiration date of OMB approval of the information collection.</w:t>
      </w:r>
    </w:p>
    <w:p w:rsidR="00CA02F9" w:rsidRDefault="00CA02F9" w:rsidP="00744F37">
      <w:pPr>
        <w:pStyle w:val="NormalWeb"/>
        <w:keepNext/>
        <w:rPr>
          <w:rFonts w:ascii="Arial" w:hAnsi="Arial" w:cs="Arial"/>
          <w:b/>
          <w:bCs/>
          <w:szCs w:val="20"/>
        </w:rPr>
      </w:pPr>
      <w:r>
        <w:rPr>
          <w:rFonts w:ascii="Arial" w:hAnsi="Arial" w:cs="Arial"/>
          <w:b/>
          <w:bCs/>
          <w:szCs w:val="20"/>
        </w:rPr>
        <w:t>18. Exceptions to Certification Statement.</w:t>
      </w:r>
    </w:p>
    <w:p w:rsidR="00CA02F9" w:rsidRDefault="00CA02F9" w:rsidP="00744F37">
      <w:pPr>
        <w:pStyle w:val="NormalWeb"/>
        <w:rPr>
          <w:rFonts w:ascii="Arial" w:hAnsi="Arial" w:cs="Arial"/>
          <w:szCs w:val="20"/>
        </w:rPr>
      </w:pPr>
      <w:r w:rsidRPr="00382CA3">
        <w:rPr>
          <w:szCs w:val="20"/>
        </w:rPr>
        <w:t>There are no exceptions to the certification statement</w:t>
      </w:r>
      <w:r>
        <w:rPr>
          <w:rFonts w:ascii="Arial" w:hAnsi="Arial" w:cs="Arial"/>
          <w:szCs w:val="20"/>
        </w:rPr>
        <w:t>.</w:t>
      </w:r>
    </w:p>
    <w:p w:rsidR="002B5B36" w:rsidRPr="00EF3E93" w:rsidRDefault="00EF3E93" w:rsidP="00EF3E93">
      <w:pPr>
        <w:tabs>
          <w:tab w:val="left" w:pos="5810"/>
        </w:tabs>
      </w:pPr>
      <w:r>
        <w:tab/>
      </w:r>
    </w:p>
    <w:sectPr w:rsidR="002B5B36" w:rsidRPr="00EF3E93" w:rsidSect="002F76AA">
      <w:footerReference w:type="even" r:id="rId9"/>
      <w:foot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3CD" w:rsidRDefault="004133CD">
      <w:r>
        <w:separator/>
      </w:r>
    </w:p>
  </w:endnote>
  <w:endnote w:type="continuationSeparator" w:id="0">
    <w:p w:rsidR="004133CD" w:rsidRDefault="00413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857" w:rsidRDefault="0008167C">
    <w:pPr>
      <w:pStyle w:val="Footer"/>
      <w:framePr w:wrap="around" w:vAnchor="text" w:hAnchor="margin" w:xAlign="center" w:y="1"/>
      <w:rPr>
        <w:rStyle w:val="PageNumber"/>
      </w:rPr>
    </w:pPr>
    <w:r>
      <w:rPr>
        <w:rStyle w:val="PageNumber"/>
      </w:rPr>
      <w:fldChar w:fldCharType="begin"/>
    </w:r>
    <w:r w:rsidR="00AD7857">
      <w:rPr>
        <w:rStyle w:val="PageNumber"/>
      </w:rPr>
      <w:instrText xml:space="preserve">PAGE  </w:instrText>
    </w:r>
    <w:r>
      <w:rPr>
        <w:rStyle w:val="PageNumber"/>
      </w:rPr>
      <w:fldChar w:fldCharType="end"/>
    </w:r>
  </w:p>
  <w:p w:rsidR="00AD7857" w:rsidRDefault="00AD78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807049"/>
      <w:docPartObj>
        <w:docPartGallery w:val="Page Numbers (Bottom of Page)"/>
        <w:docPartUnique/>
      </w:docPartObj>
    </w:sdtPr>
    <w:sdtEndPr/>
    <w:sdtContent>
      <w:p w:rsidR="00AD7857" w:rsidRDefault="0008167C">
        <w:pPr>
          <w:pStyle w:val="Footer"/>
          <w:jc w:val="center"/>
        </w:pPr>
        <w:r>
          <w:fldChar w:fldCharType="begin"/>
        </w:r>
        <w:r w:rsidR="00AD7857">
          <w:instrText xml:space="preserve"> PAGE   \* MERGEFORMAT </w:instrText>
        </w:r>
        <w:r>
          <w:fldChar w:fldCharType="separate"/>
        </w:r>
        <w:r w:rsidR="00632E4C">
          <w:rPr>
            <w:noProof/>
          </w:rPr>
          <w:t>2</w:t>
        </w:r>
        <w:r>
          <w:rPr>
            <w:noProof/>
          </w:rPr>
          <w:fldChar w:fldCharType="end"/>
        </w:r>
      </w:p>
    </w:sdtContent>
  </w:sdt>
  <w:p w:rsidR="00AD7857" w:rsidRDefault="00AD7857" w:rsidP="00DF6135">
    <w:pPr>
      <w:pStyle w:val="Footer"/>
      <w:tabs>
        <w:tab w:val="clear" w:pos="4320"/>
        <w:tab w:val="clear" w:pos="8640"/>
        <w:tab w:val="right" w:pos="9360"/>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807048"/>
      <w:docPartObj>
        <w:docPartGallery w:val="Page Numbers (Bottom of Page)"/>
        <w:docPartUnique/>
      </w:docPartObj>
    </w:sdtPr>
    <w:sdtEndPr/>
    <w:sdtContent>
      <w:p w:rsidR="00AD7857" w:rsidRDefault="0008167C">
        <w:pPr>
          <w:pStyle w:val="Footer"/>
          <w:jc w:val="center"/>
        </w:pPr>
        <w:r>
          <w:fldChar w:fldCharType="begin"/>
        </w:r>
        <w:r w:rsidR="00AD7857">
          <w:instrText xml:space="preserve"> PAGE   \* MERGEFORMAT </w:instrText>
        </w:r>
        <w:r>
          <w:fldChar w:fldCharType="separate"/>
        </w:r>
        <w:r w:rsidR="00632E4C">
          <w:rPr>
            <w:noProof/>
          </w:rPr>
          <w:t>1</w:t>
        </w:r>
        <w:r>
          <w:rPr>
            <w:noProof/>
          </w:rPr>
          <w:fldChar w:fldCharType="end"/>
        </w:r>
      </w:p>
    </w:sdtContent>
  </w:sdt>
  <w:p w:rsidR="00AD7857" w:rsidRDefault="00AD7857" w:rsidP="005F0224">
    <w:pPr>
      <w:pStyle w:val="Footer"/>
      <w:tabs>
        <w:tab w:val="clear" w:pos="4320"/>
        <w:tab w:val="clear" w:pos="8640"/>
        <w:tab w:val="right" w:pos="9360"/>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3CD" w:rsidRDefault="004133CD">
      <w:r>
        <w:separator/>
      </w:r>
    </w:p>
  </w:footnote>
  <w:footnote w:type="continuationSeparator" w:id="0">
    <w:p w:rsidR="004133CD" w:rsidRDefault="004133CD">
      <w:r>
        <w:continuationSeparator/>
      </w:r>
    </w:p>
  </w:footnote>
  <w:footnote w:id="1">
    <w:p w:rsidR="00AD7857" w:rsidRDefault="00AD7857" w:rsidP="004B4C7C">
      <w:r>
        <w:rPr>
          <w:rStyle w:val="FootnoteReference"/>
          <w:sz w:val="20"/>
          <w:szCs w:val="20"/>
        </w:rPr>
        <w:footnoteRef/>
      </w:r>
      <w:r w:rsidRPr="004B4C7C">
        <w:rPr>
          <w:sz w:val="20"/>
          <w:szCs w:val="20"/>
        </w:rPr>
        <w:t xml:space="preserve"> Based on the 2011wage </w:t>
      </w:r>
      <w:r w:rsidR="00D76BA6">
        <w:rPr>
          <w:sz w:val="20"/>
          <w:szCs w:val="20"/>
        </w:rPr>
        <w:t xml:space="preserve">(2012 rates frozen at 2010 levels) </w:t>
      </w:r>
      <w:r w:rsidRPr="004B4C7C">
        <w:rPr>
          <w:sz w:val="20"/>
          <w:szCs w:val="20"/>
        </w:rPr>
        <w:t xml:space="preserve">for GS 9 step 5 of $22.57 per hour (see </w:t>
      </w:r>
      <w:hyperlink r:id="rId1" w:history="1">
        <w:r w:rsidRPr="0001153C">
          <w:rPr>
            <w:rStyle w:val="Hyperlink"/>
            <w:color w:val="000000" w:themeColor="text1"/>
            <w:sz w:val="20"/>
            <w:szCs w:val="20"/>
          </w:rPr>
          <w:t>http://www.opm.gov/oca/11tables/pdf/gs_h.pdf</w:t>
        </w:r>
      </w:hyperlink>
      <w:r w:rsidRPr="004B4C7C">
        <w:rPr>
          <w:sz w:val="20"/>
          <w:szCs w:val="20"/>
        </w:rPr>
        <w:t xml:space="preserve">), plus 36.25 percent of that base wage for fringe benefits, plus 12 percent of wages and fringe benefits to account for overhead (see </w:t>
      </w:r>
      <w:hyperlink r:id="rId2" w:history="1">
        <w:r w:rsidRPr="0001153C">
          <w:rPr>
            <w:rStyle w:val="Hyperlink"/>
            <w:color w:val="000000" w:themeColor="text1"/>
            <w:sz w:val="20"/>
            <w:szCs w:val="20"/>
          </w:rPr>
          <w:t>http://www.whitehouse.gov/omb/circulars_a076_a76_incl_tech_correction</w:t>
        </w:r>
      </w:hyperlink>
      <w:r w:rsidRPr="004B4C7C">
        <w:rPr>
          <w:sz w:val="20"/>
          <w:szCs w:val="20"/>
        </w:rPr>
        <w:t>).</w:t>
      </w:r>
    </w:p>
  </w:footnote>
  <w:footnote w:id="2">
    <w:p w:rsidR="003F5388" w:rsidRPr="00CC2DC2" w:rsidRDefault="003F5388" w:rsidP="003F5388">
      <w:pPr>
        <w:pStyle w:val="SuperRIAFootnote"/>
      </w:pPr>
      <w:r>
        <w:rPr>
          <w:rStyle w:val="FootnoteReference"/>
        </w:rPr>
        <w:footnoteRef/>
      </w:r>
      <w:r>
        <w:t xml:space="preserve"> This is the value of the contract to develop and administer the FMCSA National Registry of Certified Medical Examiners (NRCME), a similar database used to store and retrieve driver medical records. However, the Agency believes this estimate is conservative for the Drug &amp; Alcohol Clearinghouse because it has many less records to store and manage than NRCME</w:t>
      </w:r>
      <w:r w:rsidRPr="00DC7641">
        <w:t>, “</w:t>
      </w:r>
      <w:r>
        <w:t>National Registry of Certified Medical Examiners</w:t>
      </w:r>
      <w:r w:rsidRPr="00DC7641">
        <w:t>,” Final Rule (</w:t>
      </w:r>
      <w:r>
        <w:t>77 FR 24104</w:t>
      </w:r>
      <w:r w:rsidRPr="00DC7641">
        <w:t>, Apr</w:t>
      </w:r>
      <w:r>
        <w:t>il 20, 2012</w:t>
      </w:r>
      <w:r w:rsidRPr="00DC7641">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4211E"/>
    <w:multiLevelType w:val="hybridMultilevel"/>
    <w:tmpl w:val="F4A2A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548AF"/>
    <w:multiLevelType w:val="hybridMultilevel"/>
    <w:tmpl w:val="420E65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9E36E31"/>
    <w:multiLevelType w:val="hybridMultilevel"/>
    <w:tmpl w:val="A00428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73780B"/>
    <w:multiLevelType w:val="hybridMultilevel"/>
    <w:tmpl w:val="E5B281A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421A94"/>
    <w:multiLevelType w:val="hybridMultilevel"/>
    <w:tmpl w:val="9C169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A83F17"/>
    <w:multiLevelType w:val="hybridMultilevel"/>
    <w:tmpl w:val="3ADA1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EE040C"/>
    <w:multiLevelType w:val="hybridMultilevel"/>
    <w:tmpl w:val="C8D41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971988"/>
    <w:multiLevelType w:val="hybridMultilevel"/>
    <w:tmpl w:val="2EFA8C3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CC6C6B"/>
    <w:multiLevelType w:val="multilevel"/>
    <w:tmpl w:val="2180AF02"/>
    <w:lvl w:ilvl="0">
      <w:start w:val="1"/>
      <w:numFmt w:val="decimal"/>
      <w:pStyle w:val="double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288003FC"/>
    <w:multiLevelType w:val="hybridMultilevel"/>
    <w:tmpl w:val="BE8C7D52"/>
    <w:lvl w:ilvl="0" w:tplc="41BAC9BA">
      <w:start w:val="1"/>
      <w:numFmt w:val="decimal"/>
      <w:lvlText w:val="%1."/>
      <w:lvlJc w:val="left"/>
      <w:pPr>
        <w:ind w:left="720" w:hanging="360"/>
      </w:pPr>
      <w:rPr>
        <w:rFonts w:ascii="Times New Roman" w:eastAsia="Times New Roman" w:hAnsi="Times New Roman" w:cs="Times New Roman"/>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FB59C6"/>
    <w:multiLevelType w:val="hybridMultilevel"/>
    <w:tmpl w:val="BA0A8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9DE73D8"/>
    <w:multiLevelType w:val="hybridMultilevel"/>
    <w:tmpl w:val="CF184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9EB4DED"/>
    <w:multiLevelType w:val="hybridMultilevel"/>
    <w:tmpl w:val="83909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A2C2718"/>
    <w:multiLevelType w:val="hybridMultilevel"/>
    <w:tmpl w:val="FA9E0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4A0CE2"/>
    <w:multiLevelType w:val="hybridMultilevel"/>
    <w:tmpl w:val="9CA28E32"/>
    <w:lvl w:ilvl="0" w:tplc="04090015">
      <w:start w:val="1"/>
      <w:numFmt w:val="upp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C684F35"/>
    <w:multiLevelType w:val="hybridMultilevel"/>
    <w:tmpl w:val="2DB863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88149D"/>
    <w:multiLevelType w:val="hybridMultilevel"/>
    <w:tmpl w:val="0BDAE7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713BEE"/>
    <w:multiLevelType w:val="hybridMultilevel"/>
    <w:tmpl w:val="D53AB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6632C5"/>
    <w:multiLevelType w:val="hybridMultilevel"/>
    <w:tmpl w:val="F230DD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3601463"/>
    <w:multiLevelType w:val="hybridMultilevel"/>
    <w:tmpl w:val="B5BC86C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35F652C9"/>
    <w:multiLevelType w:val="hybridMultilevel"/>
    <w:tmpl w:val="CFF46278"/>
    <w:lvl w:ilvl="0" w:tplc="28964F76">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C665D20"/>
    <w:multiLevelType w:val="hybridMultilevel"/>
    <w:tmpl w:val="ADE486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277FF9"/>
    <w:multiLevelType w:val="hybridMultilevel"/>
    <w:tmpl w:val="885E1C20"/>
    <w:lvl w:ilvl="0" w:tplc="8F4E304A">
      <w:start w:val="1"/>
      <w:numFmt w:val="decimal"/>
      <w:lvlText w:val="%1."/>
      <w:lvlJc w:val="left"/>
      <w:pPr>
        <w:ind w:left="720" w:hanging="360"/>
      </w:pPr>
      <w:rPr>
        <w:rFonts w:ascii="Times New Roman" w:hAnsi="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7A601F"/>
    <w:multiLevelType w:val="hybridMultilevel"/>
    <w:tmpl w:val="970C21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A6A0998"/>
    <w:multiLevelType w:val="hybridMultilevel"/>
    <w:tmpl w:val="AEE067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B7468B1"/>
    <w:multiLevelType w:val="hybridMultilevel"/>
    <w:tmpl w:val="835E550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4951585"/>
    <w:multiLevelType w:val="hybridMultilevel"/>
    <w:tmpl w:val="7174CA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AB0EDA"/>
    <w:multiLevelType w:val="hybridMultilevel"/>
    <w:tmpl w:val="FAFC4E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EDB4D9B"/>
    <w:multiLevelType w:val="hybridMultilevel"/>
    <w:tmpl w:val="5DAE7A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18579B7"/>
    <w:multiLevelType w:val="hybridMultilevel"/>
    <w:tmpl w:val="5E66C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062EA3"/>
    <w:multiLevelType w:val="hybridMultilevel"/>
    <w:tmpl w:val="BB66B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B01416D"/>
    <w:multiLevelType w:val="hybridMultilevel"/>
    <w:tmpl w:val="F7BA5B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E64C68"/>
    <w:multiLevelType w:val="hybridMultilevel"/>
    <w:tmpl w:val="CF904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461C09"/>
    <w:multiLevelType w:val="hybridMultilevel"/>
    <w:tmpl w:val="6096F8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7706BA"/>
    <w:multiLevelType w:val="hybridMultilevel"/>
    <w:tmpl w:val="5B485D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30"/>
  </w:num>
  <w:num w:numId="3">
    <w:abstractNumId w:val="11"/>
  </w:num>
  <w:num w:numId="4">
    <w:abstractNumId w:val="23"/>
  </w:num>
  <w:num w:numId="5">
    <w:abstractNumId w:val="18"/>
  </w:num>
  <w:num w:numId="6">
    <w:abstractNumId w:val="10"/>
  </w:num>
  <w:num w:numId="7">
    <w:abstractNumId w:val="7"/>
  </w:num>
  <w:num w:numId="8">
    <w:abstractNumId w:val="3"/>
  </w:num>
  <w:num w:numId="9">
    <w:abstractNumId w:val="19"/>
  </w:num>
  <w:num w:numId="10">
    <w:abstractNumId w:val="14"/>
  </w:num>
  <w:num w:numId="11">
    <w:abstractNumId w:val="1"/>
  </w:num>
  <w:num w:numId="12">
    <w:abstractNumId w:val="12"/>
  </w:num>
  <w:num w:numId="13">
    <w:abstractNumId w:val="2"/>
  </w:num>
  <w:num w:numId="14">
    <w:abstractNumId w:val="28"/>
  </w:num>
  <w:num w:numId="15">
    <w:abstractNumId w:val="24"/>
  </w:num>
  <w:num w:numId="16">
    <w:abstractNumId w:val="25"/>
  </w:num>
  <w:num w:numId="17">
    <w:abstractNumId w:val="22"/>
  </w:num>
  <w:num w:numId="18">
    <w:abstractNumId w:val="26"/>
  </w:num>
  <w:num w:numId="19">
    <w:abstractNumId w:val="21"/>
  </w:num>
  <w:num w:numId="20">
    <w:abstractNumId w:val="32"/>
  </w:num>
  <w:num w:numId="21">
    <w:abstractNumId w:val="6"/>
  </w:num>
  <w:num w:numId="22">
    <w:abstractNumId w:val="20"/>
  </w:num>
  <w:num w:numId="23">
    <w:abstractNumId w:val="8"/>
  </w:num>
  <w:num w:numId="24">
    <w:abstractNumId w:val="5"/>
  </w:num>
  <w:num w:numId="25">
    <w:abstractNumId w:val="9"/>
  </w:num>
  <w:num w:numId="26">
    <w:abstractNumId w:val="29"/>
  </w:num>
  <w:num w:numId="27">
    <w:abstractNumId w:val="4"/>
  </w:num>
  <w:num w:numId="28">
    <w:abstractNumId w:val="16"/>
  </w:num>
  <w:num w:numId="29">
    <w:abstractNumId w:val="13"/>
  </w:num>
  <w:num w:numId="30">
    <w:abstractNumId w:val="17"/>
  </w:num>
  <w:num w:numId="31">
    <w:abstractNumId w:val="0"/>
  </w:num>
  <w:num w:numId="32">
    <w:abstractNumId w:val="31"/>
  </w:num>
  <w:num w:numId="33">
    <w:abstractNumId w:val="33"/>
  </w:num>
  <w:num w:numId="34">
    <w:abstractNumId w:val="34"/>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F4A"/>
    <w:rsid w:val="00002726"/>
    <w:rsid w:val="0001153C"/>
    <w:rsid w:val="0001369F"/>
    <w:rsid w:val="0002394F"/>
    <w:rsid w:val="0002448E"/>
    <w:rsid w:val="000374A0"/>
    <w:rsid w:val="00041790"/>
    <w:rsid w:val="000446DB"/>
    <w:rsid w:val="00052D4B"/>
    <w:rsid w:val="0005511D"/>
    <w:rsid w:val="000565EB"/>
    <w:rsid w:val="00056E2C"/>
    <w:rsid w:val="00057D8E"/>
    <w:rsid w:val="00062064"/>
    <w:rsid w:val="000670BD"/>
    <w:rsid w:val="0008167C"/>
    <w:rsid w:val="000929F3"/>
    <w:rsid w:val="000969AA"/>
    <w:rsid w:val="000A53F6"/>
    <w:rsid w:val="000A667E"/>
    <w:rsid w:val="000A733C"/>
    <w:rsid w:val="000B0BCA"/>
    <w:rsid w:val="000B0FF7"/>
    <w:rsid w:val="000B38FF"/>
    <w:rsid w:val="000B442D"/>
    <w:rsid w:val="000C0FD5"/>
    <w:rsid w:val="000C21A3"/>
    <w:rsid w:val="000C41A2"/>
    <w:rsid w:val="000C5AB8"/>
    <w:rsid w:val="000F3862"/>
    <w:rsid w:val="000F3ACC"/>
    <w:rsid w:val="000F4840"/>
    <w:rsid w:val="000F69C1"/>
    <w:rsid w:val="000F6EB2"/>
    <w:rsid w:val="001028CE"/>
    <w:rsid w:val="00104031"/>
    <w:rsid w:val="001078A7"/>
    <w:rsid w:val="001147A4"/>
    <w:rsid w:val="00125FC6"/>
    <w:rsid w:val="0013656F"/>
    <w:rsid w:val="00144015"/>
    <w:rsid w:val="001466B3"/>
    <w:rsid w:val="00146EE2"/>
    <w:rsid w:val="001604A2"/>
    <w:rsid w:val="00164054"/>
    <w:rsid w:val="00166F40"/>
    <w:rsid w:val="00171640"/>
    <w:rsid w:val="00176E88"/>
    <w:rsid w:val="00193405"/>
    <w:rsid w:val="001A1429"/>
    <w:rsid w:val="001B080D"/>
    <w:rsid w:val="001B0B47"/>
    <w:rsid w:val="001B5099"/>
    <w:rsid w:val="001D0847"/>
    <w:rsid w:val="001D19CF"/>
    <w:rsid w:val="001D2821"/>
    <w:rsid w:val="001D30DC"/>
    <w:rsid w:val="001D6E83"/>
    <w:rsid w:val="001E433E"/>
    <w:rsid w:val="001F2D52"/>
    <w:rsid w:val="001F723F"/>
    <w:rsid w:val="00200746"/>
    <w:rsid w:val="0020403C"/>
    <w:rsid w:val="002042D9"/>
    <w:rsid w:val="0020494B"/>
    <w:rsid w:val="00204C0A"/>
    <w:rsid w:val="00214F63"/>
    <w:rsid w:val="00220985"/>
    <w:rsid w:val="00220CFF"/>
    <w:rsid w:val="00222F15"/>
    <w:rsid w:val="00227EAE"/>
    <w:rsid w:val="002409E2"/>
    <w:rsid w:val="002418AC"/>
    <w:rsid w:val="002437DB"/>
    <w:rsid w:val="00245663"/>
    <w:rsid w:val="0025473E"/>
    <w:rsid w:val="00254CD9"/>
    <w:rsid w:val="00255059"/>
    <w:rsid w:val="00255E37"/>
    <w:rsid w:val="002661BB"/>
    <w:rsid w:val="002735E9"/>
    <w:rsid w:val="00274EA8"/>
    <w:rsid w:val="00290D76"/>
    <w:rsid w:val="00295D8A"/>
    <w:rsid w:val="002A0F7F"/>
    <w:rsid w:val="002A10F4"/>
    <w:rsid w:val="002A28C9"/>
    <w:rsid w:val="002A4A22"/>
    <w:rsid w:val="002B5B36"/>
    <w:rsid w:val="002B6E26"/>
    <w:rsid w:val="002B6F56"/>
    <w:rsid w:val="002C27AF"/>
    <w:rsid w:val="002C57C3"/>
    <w:rsid w:val="002C58C6"/>
    <w:rsid w:val="002C7626"/>
    <w:rsid w:val="002D25F6"/>
    <w:rsid w:val="002D29BB"/>
    <w:rsid w:val="002E100A"/>
    <w:rsid w:val="002F76AA"/>
    <w:rsid w:val="003020AC"/>
    <w:rsid w:val="003146A7"/>
    <w:rsid w:val="0032588D"/>
    <w:rsid w:val="003323B4"/>
    <w:rsid w:val="003334C3"/>
    <w:rsid w:val="00334EBE"/>
    <w:rsid w:val="0033532E"/>
    <w:rsid w:val="003412C5"/>
    <w:rsid w:val="00342E95"/>
    <w:rsid w:val="00354EFA"/>
    <w:rsid w:val="0035673F"/>
    <w:rsid w:val="00362956"/>
    <w:rsid w:val="0036408C"/>
    <w:rsid w:val="003673D8"/>
    <w:rsid w:val="00373932"/>
    <w:rsid w:val="00373A70"/>
    <w:rsid w:val="00376EA1"/>
    <w:rsid w:val="00382C35"/>
    <w:rsid w:val="00382CA3"/>
    <w:rsid w:val="00385199"/>
    <w:rsid w:val="003875A2"/>
    <w:rsid w:val="0039047C"/>
    <w:rsid w:val="0039205B"/>
    <w:rsid w:val="003948D6"/>
    <w:rsid w:val="003A5BA5"/>
    <w:rsid w:val="003C059B"/>
    <w:rsid w:val="003C1616"/>
    <w:rsid w:val="003D3EF9"/>
    <w:rsid w:val="003D4C1D"/>
    <w:rsid w:val="003D5942"/>
    <w:rsid w:val="003D7E41"/>
    <w:rsid w:val="003E1873"/>
    <w:rsid w:val="003E628E"/>
    <w:rsid w:val="003F0880"/>
    <w:rsid w:val="003F5388"/>
    <w:rsid w:val="003F56CB"/>
    <w:rsid w:val="004015FC"/>
    <w:rsid w:val="0040447B"/>
    <w:rsid w:val="00406FE9"/>
    <w:rsid w:val="004133CD"/>
    <w:rsid w:val="00414A97"/>
    <w:rsid w:val="004154B1"/>
    <w:rsid w:val="00420F14"/>
    <w:rsid w:val="004218F6"/>
    <w:rsid w:val="00424689"/>
    <w:rsid w:val="00426EE9"/>
    <w:rsid w:val="00427C5A"/>
    <w:rsid w:val="004324A6"/>
    <w:rsid w:val="004406B5"/>
    <w:rsid w:val="0044153B"/>
    <w:rsid w:val="0044564F"/>
    <w:rsid w:val="004565AA"/>
    <w:rsid w:val="004617F4"/>
    <w:rsid w:val="00466F83"/>
    <w:rsid w:val="00470EAD"/>
    <w:rsid w:val="00470FB2"/>
    <w:rsid w:val="004973D4"/>
    <w:rsid w:val="004B18AB"/>
    <w:rsid w:val="004B3B3F"/>
    <w:rsid w:val="004B4C7C"/>
    <w:rsid w:val="004C49C3"/>
    <w:rsid w:val="004C6800"/>
    <w:rsid w:val="004C6846"/>
    <w:rsid w:val="004D1B42"/>
    <w:rsid w:val="004D3157"/>
    <w:rsid w:val="004E1213"/>
    <w:rsid w:val="004E1716"/>
    <w:rsid w:val="004E350E"/>
    <w:rsid w:val="004E3965"/>
    <w:rsid w:val="004F7DDA"/>
    <w:rsid w:val="00502291"/>
    <w:rsid w:val="0050291D"/>
    <w:rsid w:val="00504E1F"/>
    <w:rsid w:val="0050652C"/>
    <w:rsid w:val="00516D3A"/>
    <w:rsid w:val="00523F4A"/>
    <w:rsid w:val="0052673A"/>
    <w:rsid w:val="00527DE9"/>
    <w:rsid w:val="00531889"/>
    <w:rsid w:val="005321C8"/>
    <w:rsid w:val="00536B4B"/>
    <w:rsid w:val="00537709"/>
    <w:rsid w:val="00537F50"/>
    <w:rsid w:val="00547B72"/>
    <w:rsid w:val="00557DFE"/>
    <w:rsid w:val="00560F71"/>
    <w:rsid w:val="00562E2A"/>
    <w:rsid w:val="00564173"/>
    <w:rsid w:val="00580B6E"/>
    <w:rsid w:val="0058582E"/>
    <w:rsid w:val="00585D33"/>
    <w:rsid w:val="005923C4"/>
    <w:rsid w:val="005951DF"/>
    <w:rsid w:val="005A0383"/>
    <w:rsid w:val="005B277C"/>
    <w:rsid w:val="005B2811"/>
    <w:rsid w:val="005B43D2"/>
    <w:rsid w:val="005C174A"/>
    <w:rsid w:val="005C1F28"/>
    <w:rsid w:val="005C3338"/>
    <w:rsid w:val="005D46FB"/>
    <w:rsid w:val="005D60B6"/>
    <w:rsid w:val="005D6606"/>
    <w:rsid w:val="005E4405"/>
    <w:rsid w:val="005E51B9"/>
    <w:rsid w:val="005E55FA"/>
    <w:rsid w:val="005F0224"/>
    <w:rsid w:val="005F19A9"/>
    <w:rsid w:val="005F21B8"/>
    <w:rsid w:val="005F2AA4"/>
    <w:rsid w:val="005F5E78"/>
    <w:rsid w:val="005F5F07"/>
    <w:rsid w:val="005F68D0"/>
    <w:rsid w:val="0061220F"/>
    <w:rsid w:val="00621AB3"/>
    <w:rsid w:val="00622E78"/>
    <w:rsid w:val="00627984"/>
    <w:rsid w:val="0063086B"/>
    <w:rsid w:val="00632E4C"/>
    <w:rsid w:val="006472E0"/>
    <w:rsid w:val="00651100"/>
    <w:rsid w:val="00651126"/>
    <w:rsid w:val="00652872"/>
    <w:rsid w:val="00652F56"/>
    <w:rsid w:val="00654A87"/>
    <w:rsid w:val="0066632E"/>
    <w:rsid w:val="006714B2"/>
    <w:rsid w:val="00690081"/>
    <w:rsid w:val="00690D38"/>
    <w:rsid w:val="00691662"/>
    <w:rsid w:val="006A0FF8"/>
    <w:rsid w:val="006A5094"/>
    <w:rsid w:val="006A707A"/>
    <w:rsid w:val="006A7D4A"/>
    <w:rsid w:val="006C4696"/>
    <w:rsid w:val="006D2084"/>
    <w:rsid w:val="006D2D63"/>
    <w:rsid w:val="006E0E87"/>
    <w:rsid w:val="006E2D32"/>
    <w:rsid w:val="006F274B"/>
    <w:rsid w:val="006F4AC2"/>
    <w:rsid w:val="006F656C"/>
    <w:rsid w:val="0072320B"/>
    <w:rsid w:val="00723467"/>
    <w:rsid w:val="007258E9"/>
    <w:rsid w:val="007267D2"/>
    <w:rsid w:val="007279CE"/>
    <w:rsid w:val="00735F4A"/>
    <w:rsid w:val="00737255"/>
    <w:rsid w:val="0074206C"/>
    <w:rsid w:val="00742679"/>
    <w:rsid w:val="00744F37"/>
    <w:rsid w:val="00751EA7"/>
    <w:rsid w:val="00761245"/>
    <w:rsid w:val="0076316B"/>
    <w:rsid w:val="00771CF0"/>
    <w:rsid w:val="00773E74"/>
    <w:rsid w:val="0077565C"/>
    <w:rsid w:val="00784B5B"/>
    <w:rsid w:val="00787C8F"/>
    <w:rsid w:val="00791D30"/>
    <w:rsid w:val="007956D1"/>
    <w:rsid w:val="007A3563"/>
    <w:rsid w:val="007A3E08"/>
    <w:rsid w:val="007C10DF"/>
    <w:rsid w:val="007C34D6"/>
    <w:rsid w:val="007C5609"/>
    <w:rsid w:val="007C65C6"/>
    <w:rsid w:val="007D57F0"/>
    <w:rsid w:val="007D7EDE"/>
    <w:rsid w:val="007E03D5"/>
    <w:rsid w:val="007E5B1B"/>
    <w:rsid w:val="007F038C"/>
    <w:rsid w:val="00800133"/>
    <w:rsid w:val="00801C59"/>
    <w:rsid w:val="008123C6"/>
    <w:rsid w:val="00817932"/>
    <w:rsid w:val="008223D8"/>
    <w:rsid w:val="00822518"/>
    <w:rsid w:val="00822E77"/>
    <w:rsid w:val="00824A14"/>
    <w:rsid w:val="00825B41"/>
    <w:rsid w:val="0083009D"/>
    <w:rsid w:val="008317F3"/>
    <w:rsid w:val="00842ACA"/>
    <w:rsid w:val="00843BDB"/>
    <w:rsid w:val="00845A51"/>
    <w:rsid w:val="00862CB5"/>
    <w:rsid w:val="00863D11"/>
    <w:rsid w:val="00870B80"/>
    <w:rsid w:val="008711B3"/>
    <w:rsid w:val="008807BE"/>
    <w:rsid w:val="008868C4"/>
    <w:rsid w:val="00886C3E"/>
    <w:rsid w:val="00895CF3"/>
    <w:rsid w:val="00896160"/>
    <w:rsid w:val="008A2258"/>
    <w:rsid w:val="008A62A1"/>
    <w:rsid w:val="008A7CA1"/>
    <w:rsid w:val="008B03F2"/>
    <w:rsid w:val="008C1856"/>
    <w:rsid w:val="008C1A04"/>
    <w:rsid w:val="008C3BEA"/>
    <w:rsid w:val="008D2500"/>
    <w:rsid w:val="008E1B2F"/>
    <w:rsid w:val="008F5F31"/>
    <w:rsid w:val="008F6FE3"/>
    <w:rsid w:val="0091219C"/>
    <w:rsid w:val="00920383"/>
    <w:rsid w:val="00920595"/>
    <w:rsid w:val="009221F5"/>
    <w:rsid w:val="009234C8"/>
    <w:rsid w:val="00924D0B"/>
    <w:rsid w:val="009271EA"/>
    <w:rsid w:val="0093337F"/>
    <w:rsid w:val="009340E7"/>
    <w:rsid w:val="009358ED"/>
    <w:rsid w:val="00942FB1"/>
    <w:rsid w:val="009506E6"/>
    <w:rsid w:val="0095349D"/>
    <w:rsid w:val="00954F14"/>
    <w:rsid w:val="009578BD"/>
    <w:rsid w:val="00966433"/>
    <w:rsid w:val="00967DA4"/>
    <w:rsid w:val="009723B7"/>
    <w:rsid w:val="00977BBD"/>
    <w:rsid w:val="00980CDA"/>
    <w:rsid w:val="00984FCD"/>
    <w:rsid w:val="00985062"/>
    <w:rsid w:val="00986520"/>
    <w:rsid w:val="00987B09"/>
    <w:rsid w:val="00991C08"/>
    <w:rsid w:val="00991D3F"/>
    <w:rsid w:val="00997C9C"/>
    <w:rsid w:val="009A60C1"/>
    <w:rsid w:val="009B103F"/>
    <w:rsid w:val="009B333A"/>
    <w:rsid w:val="009B5B6F"/>
    <w:rsid w:val="009B7BB3"/>
    <w:rsid w:val="009C6424"/>
    <w:rsid w:val="009C7136"/>
    <w:rsid w:val="009D0A14"/>
    <w:rsid w:val="009D304D"/>
    <w:rsid w:val="009D3F19"/>
    <w:rsid w:val="009E0C14"/>
    <w:rsid w:val="009E21E6"/>
    <w:rsid w:val="009F4A3A"/>
    <w:rsid w:val="00A00E6B"/>
    <w:rsid w:val="00A05765"/>
    <w:rsid w:val="00A05D51"/>
    <w:rsid w:val="00A13018"/>
    <w:rsid w:val="00A157D6"/>
    <w:rsid w:val="00A25F84"/>
    <w:rsid w:val="00A313AD"/>
    <w:rsid w:val="00A32988"/>
    <w:rsid w:val="00A32AD5"/>
    <w:rsid w:val="00A37455"/>
    <w:rsid w:val="00A47E3B"/>
    <w:rsid w:val="00A505D4"/>
    <w:rsid w:val="00A53F21"/>
    <w:rsid w:val="00A558B6"/>
    <w:rsid w:val="00A578B9"/>
    <w:rsid w:val="00A6498E"/>
    <w:rsid w:val="00A652F4"/>
    <w:rsid w:val="00A66805"/>
    <w:rsid w:val="00A73116"/>
    <w:rsid w:val="00A766C6"/>
    <w:rsid w:val="00A90623"/>
    <w:rsid w:val="00A970B6"/>
    <w:rsid w:val="00A97342"/>
    <w:rsid w:val="00AB3C5B"/>
    <w:rsid w:val="00AC112A"/>
    <w:rsid w:val="00AC3846"/>
    <w:rsid w:val="00AC6106"/>
    <w:rsid w:val="00AD7857"/>
    <w:rsid w:val="00AE1333"/>
    <w:rsid w:val="00AF1A96"/>
    <w:rsid w:val="00AF5D38"/>
    <w:rsid w:val="00AF5F02"/>
    <w:rsid w:val="00AF712D"/>
    <w:rsid w:val="00B00CCF"/>
    <w:rsid w:val="00B15C3B"/>
    <w:rsid w:val="00B22F04"/>
    <w:rsid w:val="00B24F3E"/>
    <w:rsid w:val="00B25A77"/>
    <w:rsid w:val="00B3556D"/>
    <w:rsid w:val="00B52E0A"/>
    <w:rsid w:val="00B60B0F"/>
    <w:rsid w:val="00B625AD"/>
    <w:rsid w:val="00B72436"/>
    <w:rsid w:val="00B757CD"/>
    <w:rsid w:val="00B76418"/>
    <w:rsid w:val="00B76DF8"/>
    <w:rsid w:val="00B809EC"/>
    <w:rsid w:val="00B81C4E"/>
    <w:rsid w:val="00B8288D"/>
    <w:rsid w:val="00B92B29"/>
    <w:rsid w:val="00BA064F"/>
    <w:rsid w:val="00BA1C54"/>
    <w:rsid w:val="00BA6CAC"/>
    <w:rsid w:val="00BA7AA0"/>
    <w:rsid w:val="00BB6161"/>
    <w:rsid w:val="00BB702C"/>
    <w:rsid w:val="00BB75D5"/>
    <w:rsid w:val="00BC7591"/>
    <w:rsid w:val="00BD7BA5"/>
    <w:rsid w:val="00BD7CE6"/>
    <w:rsid w:val="00BE1499"/>
    <w:rsid w:val="00BE1CD2"/>
    <w:rsid w:val="00BE2FDA"/>
    <w:rsid w:val="00BE459B"/>
    <w:rsid w:val="00BE7F54"/>
    <w:rsid w:val="00BF186A"/>
    <w:rsid w:val="00C000F3"/>
    <w:rsid w:val="00C03573"/>
    <w:rsid w:val="00C059FD"/>
    <w:rsid w:val="00C1468A"/>
    <w:rsid w:val="00C150E7"/>
    <w:rsid w:val="00C15E12"/>
    <w:rsid w:val="00C1670D"/>
    <w:rsid w:val="00C26A5A"/>
    <w:rsid w:val="00C31417"/>
    <w:rsid w:val="00C320D6"/>
    <w:rsid w:val="00C416E1"/>
    <w:rsid w:val="00C4463C"/>
    <w:rsid w:val="00C6027D"/>
    <w:rsid w:val="00C60A0F"/>
    <w:rsid w:val="00C73AAC"/>
    <w:rsid w:val="00C75931"/>
    <w:rsid w:val="00C80888"/>
    <w:rsid w:val="00C832D6"/>
    <w:rsid w:val="00C86E9D"/>
    <w:rsid w:val="00C94F51"/>
    <w:rsid w:val="00C97AF0"/>
    <w:rsid w:val="00CA02F9"/>
    <w:rsid w:val="00CA1F5B"/>
    <w:rsid w:val="00CA3975"/>
    <w:rsid w:val="00CB406E"/>
    <w:rsid w:val="00CB4915"/>
    <w:rsid w:val="00CC43D6"/>
    <w:rsid w:val="00CC4773"/>
    <w:rsid w:val="00CC67C2"/>
    <w:rsid w:val="00CC7A21"/>
    <w:rsid w:val="00CD132A"/>
    <w:rsid w:val="00CD5EF9"/>
    <w:rsid w:val="00CE0828"/>
    <w:rsid w:val="00CE5987"/>
    <w:rsid w:val="00CE7239"/>
    <w:rsid w:val="00CF253C"/>
    <w:rsid w:val="00CF516B"/>
    <w:rsid w:val="00D01323"/>
    <w:rsid w:val="00D17C0D"/>
    <w:rsid w:val="00D25850"/>
    <w:rsid w:val="00D25E01"/>
    <w:rsid w:val="00D26022"/>
    <w:rsid w:val="00D31036"/>
    <w:rsid w:val="00D349C0"/>
    <w:rsid w:val="00D50376"/>
    <w:rsid w:val="00D52A29"/>
    <w:rsid w:val="00D6055F"/>
    <w:rsid w:val="00D60748"/>
    <w:rsid w:val="00D61A57"/>
    <w:rsid w:val="00D63B56"/>
    <w:rsid w:val="00D70638"/>
    <w:rsid w:val="00D765B1"/>
    <w:rsid w:val="00D76BA6"/>
    <w:rsid w:val="00D81160"/>
    <w:rsid w:val="00D86628"/>
    <w:rsid w:val="00D9248E"/>
    <w:rsid w:val="00D92736"/>
    <w:rsid w:val="00D9373F"/>
    <w:rsid w:val="00DA111B"/>
    <w:rsid w:val="00DA14F5"/>
    <w:rsid w:val="00DA33A9"/>
    <w:rsid w:val="00DB25B2"/>
    <w:rsid w:val="00DC46EC"/>
    <w:rsid w:val="00DD16C9"/>
    <w:rsid w:val="00DD3810"/>
    <w:rsid w:val="00DD6F0A"/>
    <w:rsid w:val="00DE13A5"/>
    <w:rsid w:val="00DE157C"/>
    <w:rsid w:val="00DE3709"/>
    <w:rsid w:val="00DE4120"/>
    <w:rsid w:val="00DE4853"/>
    <w:rsid w:val="00DF1FC1"/>
    <w:rsid w:val="00DF336E"/>
    <w:rsid w:val="00DF6135"/>
    <w:rsid w:val="00E01436"/>
    <w:rsid w:val="00E02372"/>
    <w:rsid w:val="00E0600E"/>
    <w:rsid w:val="00E11F61"/>
    <w:rsid w:val="00E148CD"/>
    <w:rsid w:val="00E14C53"/>
    <w:rsid w:val="00E15B45"/>
    <w:rsid w:val="00E15E39"/>
    <w:rsid w:val="00E35CEC"/>
    <w:rsid w:val="00E415C3"/>
    <w:rsid w:val="00E437B5"/>
    <w:rsid w:val="00E544C0"/>
    <w:rsid w:val="00E61531"/>
    <w:rsid w:val="00E6418B"/>
    <w:rsid w:val="00E670F5"/>
    <w:rsid w:val="00E714BB"/>
    <w:rsid w:val="00E71ECC"/>
    <w:rsid w:val="00E9075E"/>
    <w:rsid w:val="00E97872"/>
    <w:rsid w:val="00E979E2"/>
    <w:rsid w:val="00EA2D38"/>
    <w:rsid w:val="00EA56D0"/>
    <w:rsid w:val="00EB2DC4"/>
    <w:rsid w:val="00EC4167"/>
    <w:rsid w:val="00ED3D9A"/>
    <w:rsid w:val="00EE0346"/>
    <w:rsid w:val="00EE569E"/>
    <w:rsid w:val="00EE6C4C"/>
    <w:rsid w:val="00EE73A1"/>
    <w:rsid w:val="00EF0F2C"/>
    <w:rsid w:val="00EF3E93"/>
    <w:rsid w:val="00EF5EBA"/>
    <w:rsid w:val="00F0099A"/>
    <w:rsid w:val="00F16F62"/>
    <w:rsid w:val="00F205B1"/>
    <w:rsid w:val="00F32E85"/>
    <w:rsid w:val="00F41B3E"/>
    <w:rsid w:val="00F44F86"/>
    <w:rsid w:val="00F45F70"/>
    <w:rsid w:val="00F571B3"/>
    <w:rsid w:val="00F64B2C"/>
    <w:rsid w:val="00F71BFD"/>
    <w:rsid w:val="00F7625E"/>
    <w:rsid w:val="00F762CC"/>
    <w:rsid w:val="00F8476F"/>
    <w:rsid w:val="00F869EE"/>
    <w:rsid w:val="00F86F7C"/>
    <w:rsid w:val="00F877FF"/>
    <w:rsid w:val="00F911F5"/>
    <w:rsid w:val="00F95252"/>
    <w:rsid w:val="00F963E2"/>
    <w:rsid w:val="00F96599"/>
    <w:rsid w:val="00F97B10"/>
    <w:rsid w:val="00FB24CB"/>
    <w:rsid w:val="00FB3C9B"/>
    <w:rsid w:val="00FB3E24"/>
    <w:rsid w:val="00FB66F9"/>
    <w:rsid w:val="00FC5894"/>
    <w:rsid w:val="00FF2404"/>
    <w:rsid w:val="00FF6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76AA"/>
    <w:rPr>
      <w:sz w:val="24"/>
      <w:szCs w:val="24"/>
    </w:rPr>
  </w:style>
  <w:style w:type="paragraph" w:styleId="Heading1">
    <w:name w:val="heading 1"/>
    <w:basedOn w:val="Normal"/>
    <w:next w:val="Normal"/>
    <w:qFormat/>
    <w:rsid w:val="002F76AA"/>
    <w:pPr>
      <w:keepNext/>
      <w:autoSpaceDE w:val="0"/>
      <w:autoSpaceDN w:val="0"/>
      <w:adjustRightInd w:val="0"/>
      <w:spacing w:line="480" w:lineRule="auto"/>
      <w:outlineLvl w:val="0"/>
    </w:pPr>
    <w:rPr>
      <w:rFonts w:ascii="Arial" w:hAnsi="Arial" w:cs="Arial"/>
      <w:bCs/>
      <w:color w:val="000000"/>
      <w:u w:val="single"/>
    </w:rPr>
  </w:style>
  <w:style w:type="paragraph" w:styleId="Heading2">
    <w:name w:val="heading 2"/>
    <w:basedOn w:val="Normal"/>
    <w:next w:val="Normal"/>
    <w:qFormat/>
    <w:rsid w:val="002F76AA"/>
    <w:pPr>
      <w:keepNext/>
      <w:outlineLvl w:val="1"/>
    </w:pPr>
    <w:rPr>
      <w:rFonts w:ascii="Arial" w:hAnsi="Arial" w:cs="Arial"/>
      <w:b/>
      <w:bCs/>
      <w:color w:val="000000"/>
    </w:rPr>
  </w:style>
  <w:style w:type="paragraph" w:styleId="Heading3">
    <w:name w:val="heading 3"/>
    <w:basedOn w:val="Normal"/>
    <w:next w:val="Normal"/>
    <w:qFormat/>
    <w:rsid w:val="002F76A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F76AA"/>
    <w:pPr>
      <w:spacing w:before="100" w:beforeAutospacing="1" w:after="100" w:afterAutospacing="1"/>
    </w:pPr>
  </w:style>
  <w:style w:type="character" w:styleId="Hyperlink">
    <w:name w:val="Hyperlink"/>
    <w:basedOn w:val="DefaultParagraphFont"/>
    <w:rsid w:val="002F76AA"/>
    <w:rPr>
      <w:color w:val="0000FF"/>
      <w:u w:val="single"/>
    </w:rPr>
  </w:style>
  <w:style w:type="paragraph" w:styleId="BodyTextIndent">
    <w:name w:val="Body Text Indent"/>
    <w:basedOn w:val="Normal"/>
    <w:rsid w:val="002F76AA"/>
    <w:pPr>
      <w:ind w:left="360"/>
    </w:pPr>
  </w:style>
  <w:style w:type="paragraph" w:styleId="BodyText2">
    <w:name w:val="Body Text 2"/>
    <w:basedOn w:val="Normal"/>
    <w:rsid w:val="002F76AA"/>
    <w:pPr>
      <w:spacing w:after="120" w:line="480" w:lineRule="auto"/>
    </w:pPr>
  </w:style>
  <w:style w:type="paragraph" w:styleId="FootnoteText">
    <w:name w:val="footnote text"/>
    <w:basedOn w:val="Normal"/>
    <w:link w:val="FootnoteTextChar"/>
    <w:uiPriority w:val="99"/>
    <w:rsid w:val="002F76AA"/>
    <w:rPr>
      <w:sz w:val="20"/>
      <w:szCs w:val="20"/>
    </w:rPr>
  </w:style>
  <w:style w:type="character" w:styleId="FootnoteReference">
    <w:name w:val="footnote reference"/>
    <w:basedOn w:val="DefaultParagraphFont"/>
    <w:uiPriority w:val="99"/>
    <w:rsid w:val="002F76AA"/>
    <w:rPr>
      <w:vertAlign w:val="superscript"/>
    </w:rPr>
  </w:style>
  <w:style w:type="paragraph" w:styleId="Footer">
    <w:name w:val="footer"/>
    <w:basedOn w:val="Normal"/>
    <w:link w:val="FooterChar"/>
    <w:uiPriority w:val="99"/>
    <w:rsid w:val="002F76AA"/>
    <w:pPr>
      <w:tabs>
        <w:tab w:val="center" w:pos="4320"/>
        <w:tab w:val="right" w:pos="8640"/>
      </w:tabs>
    </w:pPr>
  </w:style>
  <w:style w:type="paragraph" w:customStyle="1" w:styleId="FedRegPreambleParagraphNormal">
    <w:name w:val="FedReg Preamble Paragraph Normal"/>
    <w:rsid w:val="002F76AA"/>
    <w:pPr>
      <w:spacing w:line="480" w:lineRule="auto"/>
      <w:ind w:firstLine="720"/>
    </w:pPr>
    <w:rPr>
      <w:rFonts w:ascii="Arial" w:hAnsi="Arial"/>
      <w:sz w:val="24"/>
    </w:rPr>
  </w:style>
  <w:style w:type="paragraph" w:styleId="BodyTextIndent2">
    <w:name w:val="Body Text Indent 2"/>
    <w:basedOn w:val="Normal"/>
    <w:rsid w:val="002F76AA"/>
    <w:pPr>
      <w:spacing w:line="480" w:lineRule="auto"/>
      <w:ind w:firstLine="720"/>
    </w:pPr>
    <w:rPr>
      <w:rFonts w:ascii="Arial" w:hAnsi="Arial" w:cs="Arial"/>
      <w:color w:val="000000"/>
    </w:rPr>
  </w:style>
  <w:style w:type="paragraph" w:styleId="BodyTextIndent3">
    <w:name w:val="Body Text Indent 3"/>
    <w:basedOn w:val="Normal"/>
    <w:rsid w:val="002F76AA"/>
    <w:pPr>
      <w:ind w:firstLine="720"/>
    </w:pPr>
    <w:rPr>
      <w:rFonts w:ascii="Arial" w:hAnsi="Arial" w:cs="Arial"/>
    </w:rPr>
  </w:style>
  <w:style w:type="paragraph" w:customStyle="1" w:styleId="doublebullet">
    <w:name w:val="double bullet"/>
    <w:basedOn w:val="Normal"/>
    <w:rsid w:val="00A32AD5"/>
    <w:pPr>
      <w:numPr>
        <w:numId w:val="23"/>
      </w:numPr>
    </w:pPr>
  </w:style>
  <w:style w:type="paragraph" w:customStyle="1" w:styleId="head3">
    <w:name w:val="head3"/>
    <w:basedOn w:val="Normal"/>
    <w:rsid w:val="002F76AA"/>
    <w:rPr>
      <w:rFonts w:ascii="Arial" w:hAnsi="Arial" w:cs="Arial"/>
      <w:bCs/>
      <w:i/>
      <w:sz w:val="28"/>
    </w:rPr>
  </w:style>
  <w:style w:type="paragraph" w:customStyle="1" w:styleId="fedregpreambletitlenormal">
    <w:name w:val="fedregpreambletitlenormal"/>
    <w:basedOn w:val="Normal"/>
    <w:rsid w:val="002F76AA"/>
    <w:pPr>
      <w:spacing w:before="100" w:beforeAutospacing="1" w:after="100" w:afterAutospacing="1"/>
    </w:pPr>
  </w:style>
  <w:style w:type="paragraph" w:customStyle="1" w:styleId="OmniPage2">
    <w:name w:val="OmniPage #2"/>
    <w:basedOn w:val="Normal"/>
    <w:rsid w:val="002F76AA"/>
    <w:pPr>
      <w:spacing w:line="300" w:lineRule="exact"/>
    </w:pPr>
    <w:rPr>
      <w:sz w:val="20"/>
      <w:szCs w:val="20"/>
    </w:rPr>
  </w:style>
  <w:style w:type="paragraph" w:customStyle="1" w:styleId="OmniPage4">
    <w:name w:val="OmniPage #4"/>
    <w:basedOn w:val="Normal"/>
    <w:rsid w:val="002F76AA"/>
    <w:pPr>
      <w:spacing w:line="240" w:lineRule="exact"/>
    </w:pPr>
    <w:rPr>
      <w:sz w:val="20"/>
      <w:szCs w:val="20"/>
    </w:rPr>
  </w:style>
  <w:style w:type="character" w:styleId="FollowedHyperlink">
    <w:name w:val="FollowedHyperlink"/>
    <w:basedOn w:val="DefaultParagraphFont"/>
    <w:rsid w:val="002F76AA"/>
    <w:rPr>
      <w:color w:val="800080"/>
      <w:u w:val="single"/>
    </w:rPr>
  </w:style>
  <w:style w:type="character" w:styleId="PageNumber">
    <w:name w:val="page number"/>
    <w:basedOn w:val="DefaultParagraphFont"/>
    <w:rsid w:val="002F76AA"/>
  </w:style>
  <w:style w:type="paragraph" w:styleId="BalloonText">
    <w:name w:val="Balloon Text"/>
    <w:basedOn w:val="Normal"/>
    <w:semiHidden/>
    <w:rsid w:val="002F76AA"/>
    <w:rPr>
      <w:rFonts w:ascii="Tahoma" w:hAnsi="Tahoma" w:cs="Tahoma"/>
      <w:sz w:val="16"/>
      <w:szCs w:val="16"/>
    </w:rPr>
  </w:style>
  <w:style w:type="character" w:styleId="CommentReference">
    <w:name w:val="annotation reference"/>
    <w:basedOn w:val="DefaultParagraphFont"/>
    <w:uiPriority w:val="99"/>
    <w:semiHidden/>
    <w:rsid w:val="002F76AA"/>
    <w:rPr>
      <w:sz w:val="16"/>
      <w:szCs w:val="16"/>
    </w:rPr>
  </w:style>
  <w:style w:type="paragraph" w:styleId="CommentText">
    <w:name w:val="annotation text"/>
    <w:basedOn w:val="Normal"/>
    <w:link w:val="CommentTextChar"/>
    <w:uiPriority w:val="99"/>
    <w:semiHidden/>
    <w:rsid w:val="002F76AA"/>
    <w:rPr>
      <w:sz w:val="20"/>
      <w:szCs w:val="20"/>
    </w:rPr>
  </w:style>
  <w:style w:type="paragraph" w:styleId="CommentSubject">
    <w:name w:val="annotation subject"/>
    <w:basedOn w:val="CommentText"/>
    <w:next w:val="CommentText"/>
    <w:semiHidden/>
    <w:rsid w:val="002F76AA"/>
    <w:rPr>
      <w:b/>
      <w:bCs/>
    </w:rPr>
  </w:style>
  <w:style w:type="paragraph" w:styleId="Header">
    <w:name w:val="header"/>
    <w:aliases w:val="h1"/>
    <w:basedOn w:val="Normal"/>
    <w:rsid w:val="002F76AA"/>
    <w:pPr>
      <w:tabs>
        <w:tab w:val="center" w:pos="4320"/>
        <w:tab w:val="right" w:pos="8640"/>
      </w:tabs>
    </w:pPr>
  </w:style>
  <w:style w:type="paragraph" w:customStyle="1" w:styleId="OmniPage3">
    <w:name w:val="OmniPage #3"/>
    <w:basedOn w:val="Normal"/>
    <w:rsid w:val="002F76AA"/>
    <w:pPr>
      <w:spacing w:line="120" w:lineRule="exact"/>
    </w:pPr>
    <w:rPr>
      <w:sz w:val="20"/>
      <w:szCs w:val="20"/>
    </w:rPr>
  </w:style>
  <w:style w:type="character" w:customStyle="1" w:styleId="FootnoteTextChar">
    <w:name w:val="Footnote Text Char"/>
    <w:basedOn w:val="DefaultParagraphFont"/>
    <w:link w:val="FootnoteText"/>
    <w:uiPriority w:val="99"/>
    <w:rsid w:val="00A32AD5"/>
  </w:style>
  <w:style w:type="character" w:customStyle="1" w:styleId="FootnoteTextChar1">
    <w:name w:val="Footnote Text Char1"/>
    <w:basedOn w:val="DefaultParagraphFont"/>
    <w:uiPriority w:val="99"/>
    <w:semiHidden/>
    <w:locked/>
    <w:rsid w:val="00A32AD5"/>
    <w:rPr>
      <w:rFonts w:cs="Times New Roman"/>
      <w:lang w:val="en-US" w:eastAsia="en-US" w:bidi="ar-SA"/>
    </w:rPr>
  </w:style>
  <w:style w:type="paragraph" w:styleId="Revision">
    <w:name w:val="Revision"/>
    <w:hidden/>
    <w:uiPriority w:val="99"/>
    <w:semiHidden/>
    <w:rsid w:val="004015FC"/>
    <w:rPr>
      <w:sz w:val="24"/>
      <w:szCs w:val="24"/>
    </w:rPr>
  </w:style>
  <w:style w:type="character" w:customStyle="1" w:styleId="FooterChar">
    <w:name w:val="Footer Char"/>
    <w:basedOn w:val="DefaultParagraphFont"/>
    <w:link w:val="Footer"/>
    <w:uiPriority w:val="99"/>
    <w:rsid w:val="003D7E41"/>
    <w:rPr>
      <w:sz w:val="24"/>
      <w:szCs w:val="24"/>
    </w:rPr>
  </w:style>
  <w:style w:type="character" w:customStyle="1" w:styleId="CommentTextChar">
    <w:name w:val="Comment Text Char"/>
    <w:basedOn w:val="DefaultParagraphFont"/>
    <w:link w:val="CommentText"/>
    <w:uiPriority w:val="99"/>
    <w:semiHidden/>
    <w:rsid w:val="0050652C"/>
  </w:style>
  <w:style w:type="paragraph" w:styleId="ListParagraph">
    <w:name w:val="List Paragraph"/>
    <w:basedOn w:val="Normal"/>
    <w:uiPriority w:val="34"/>
    <w:qFormat/>
    <w:rsid w:val="00DC46EC"/>
    <w:pPr>
      <w:ind w:left="720"/>
      <w:contextualSpacing/>
    </w:pPr>
  </w:style>
  <w:style w:type="paragraph" w:customStyle="1" w:styleId="SuperRIAFootnote">
    <w:name w:val="Super RIA Footnote"/>
    <w:basedOn w:val="Normal"/>
    <w:link w:val="SuperRIAFootnoteChar"/>
    <w:qFormat/>
    <w:rsid w:val="003F5388"/>
    <w:pPr>
      <w:widowControl w:val="0"/>
      <w:tabs>
        <w:tab w:val="left" w:pos="360"/>
      </w:tabs>
      <w:suppressAutoHyphens/>
      <w:autoSpaceDE w:val="0"/>
      <w:adjustRightInd w:val="0"/>
      <w:spacing w:before="60"/>
      <w:jc w:val="both"/>
      <w:textAlignment w:val="baseline"/>
    </w:pPr>
    <w:rPr>
      <w:sz w:val="20"/>
      <w:szCs w:val="20"/>
      <w:lang w:eastAsia="ar-SA"/>
    </w:rPr>
  </w:style>
  <w:style w:type="character" w:customStyle="1" w:styleId="SuperRIAFootnoteChar">
    <w:name w:val="Super RIA Footnote Char"/>
    <w:link w:val="SuperRIAFootnote"/>
    <w:rsid w:val="003F5388"/>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76AA"/>
    <w:rPr>
      <w:sz w:val="24"/>
      <w:szCs w:val="24"/>
    </w:rPr>
  </w:style>
  <w:style w:type="paragraph" w:styleId="Heading1">
    <w:name w:val="heading 1"/>
    <w:basedOn w:val="Normal"/>
    <w:next w:val="Normal"/>
    <w:qFormat/>
    <w:rsid w:val="002F76AA"/>
    <w:pPr>
      <w:keepNext/>
      <w:autoSpaceDE w:val="0"/>
      <w:autoSpaceDN w:val="0"/>
      <w:adjustRightInd w:val="0"/>
      <w:spacing w:line="480" w:lineRule="auto"/>
      <w:outlineLvl w:val="0"/>
    </w:pPr>
    <w:rPr>
      <w:rFonts w:ascii="Arial" w:hAnsi="Arial" w:cs="Arial"/>
      <w:bCs/>
      <w:color w:val="000000"/>
      <w:u w:val="single"/>
    </w:rPr>
  </w:style>
  <w:style w:type="paragraph" w:styleId="Heading2">
    <w:name w:val="heading 2"/>
    <w:basedOn w:val="Normal"/>
    <w:next w:val="Normal"/>
    <w:qFormat/>
    <w:rsid w:val="002F76AA"/>
    <w:pPr>
      <w:keepNext/>
      <w:outlineLvl w:val="1"/>
    </w:pPr>
    <w:rPr>
      <w:rFonts w:ascii="Arial" w:hAnsi="Arial" w:cs="Arial"/>
      <w:b/>
      <w:bCs/>
      <w:color w:val="000000"/>
    </w:rPr>
  </w:style>
  <w:style w:type="paragraph" w:styleId="Heading3">
    <w:name w:val="heading 3"/>
    <w:basedOn w:val="Normal"/>
    <w:next w:val="Normal"/>
    <w:qFormat/>
    <w:rsid w:val="002F76A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F76AA"/>
    <w:pPr>
      <w:spacing w:before="100" w:beforeAutospacing="1" w:after="100" w:afterAutospacing="1"/>
    </w:pPr>
  </w:style>
  <w:style w:type="character" w:styleId="Hyperlink">
    <w:name w:val="Hyperlink"/>
    <w:basedOn w:val="DefaultParagraphFont"/>
    <w:rsid w:val="002F76AA"/>
    <w:rPr>
      <w:color w:val="0000FF"/>
      <w:u w:val="single"/>
    </w:rPr>
  </w:style>
  <w:style w:type="paragraph" w:styleId="BodyTextIndent">
    <w:name w:val="Body Text Indent"/>
    <w:basedOn w:val="Normal"/>
    <w:rsid w:val="002F76AA"/>
    <w:pPr>
      <w:ind w:left="360"/>
    </w:pPr>
  </w:style>
  <w:style w:type="paragraph" w:styleId="BodyText2">
    <w:name w:val="Body Text 2"/>
    <w:basedOn w:val="Normal"/>
    <w:rsid w:val="002F76AA"/>
    <w:pPr>
      <w:spacing w:after="120" w:line="480" w:lineRule="auto"/>
    </w:pPr>
  </w:style>
  <w:style w:type="paragraph" w:styleId="FootnoteText">
    <w:name w:val="footnote text"/>
    <w:basedOn w:val="Normal"/>
    <w:link w:val="FootnoteTextChar"/>
    <w:uiPriority w:val="99"/>
    <w:rsid w:val="002F76AA"/>
    <w:rPr>
      <w:sz w:val="20"/>
      <w:szCs w:val="20"/>
    </w:rPr>
  </w:style>
  <w:style w:type="character" w:styleId="FootnoteReference">
    <w:name w:val="footnote reference"/>
    <w:basedOn w:val="DefaultParagraphFont"/>
    <w:uiPriority w:val="99"/>
    <w:rsid w:val="002F76AA"/>
    <w:rPr>
      <w:vertAlign w:val="superscript"/>
    </w:rPr>
  </w:style>
  <w:style w:type="paragraph" w:styleId="Footer">
    <w:name w:val="footer"/>
    <w:basedOn w:val="Normal"/>
    <w:link w:val="FooterChar"/>
    <w:uiPriority w:val="99"/>
    <w:rsid w:val="002F76AA"/>
    <w:pPr>
      <w:tabs>
        <w:tab w:val="center" w:pos="4320"/>
        <w:tab w:val="right" w:pos="8640"/>
      </w:tabs>
    </w:pPr>
  </w:style>
  <w:style w:type="paragraph" w:customStyle="1" w:styleId="FedRegPreambleParagraphNormal">
    <w:name w:val="FedReg Preamble Paragraph Normal"/>
    <w:rsid w:val="002F76AA"/>
    <w:pPr>
      <w:spacing w:line="480" w:lineRule="auto"/>
      <w:ind w:firstLine="720"/>
    </w:pPr>
    <w:rPr>
      <w:rFonts w:ascii="Arial" w:hAnsi="Arial"/>
      <w:sz w:val="24"/>
    </w:rPr>
  </w:style>
  <w:style w:type="paragraph" w:styleId="BodyTextIndent2">
    <w:name w:val="Body Text Indent 2"/>
    <w:basedOn w:val="Normal"/>
    <w:rsid w:val="002F76AA"/>
    <w:pPr>
      <w:spacing w:line="480" w:lineRule="auto"/>
      <w:ind w:firstLine="720"/>
    </w:pPr>
    <w:rPr>
      <w:rFonts w:ascii="Arial" w:hAnsi="Arial" w:cs="Arial"/>
      <w:color w:val="000000"/>
    </w:rPr>
  </w:style>
  <w:style w:type="paragraph" w:styleId="BodyTextIndent3">
    <w:name w:val="Body Text Indent 3"/>
    <w:basedOn w:val="Normal"/>
    <w:rsid w:val="002F76AA"/>
    <w:pPr>
      <w:ind w:firstLine="720"/>
    </w:pPr>
    <w:rPr>
      <w:rFonts w:ascii="Arial" w:hAnsi="Arial" w:cs="Arial"/>
    </w:rPr>
  </w:style>
  <w:style w:type="paragraph" w:customStyle="1" w:styleId="doublebullet">
    <w:name w:val="double bullet"/>
    <w:basedOn w:val="Normal"/>
    <w:rsid w:val="00A32AD5"/>
    <w:pPr>
      <w:numPr>
        <w:numId w:val="23"/>
      </w:numPr>
    </w:pPr>
  </w:style>
  <w:style w:type="paragraph" w:customStyle="1" w:styleId="head3">
    <w:name w:val="head3"/>
    <w:basedOn w:val="Normal"/>
    <w:rsid w:val="002F76AA"/>
    <w:rPr>
      <w:rFonts w:ascii="Arial" w:hAnsi="Arial" w:cs="Arial"/>
      <w:bCs/>
      <w:i/>
      <w:sz w:val="28"/>
    </w:rPr>
  </w:style>
  <w:style w:type="paragraph" w:customStyle="1" w:styleId="fedregpreambletitlenormal">
    <w:name w:val="fedregpreambletitlenormal"/>
    <w:basedOn w:val="Normal"/>
    <w:rsid w:val="002F76AA"/>
    <w:pPr>
      <w:spacing w:before="100" w:beforeAutospacing="1" w:after="100" w:afterAutospacing="1"/>
    </w:pPr>
  </w:style>
  <w:style w:type="paragraph" w:customStyle="1" w:styleId="OmniPage2">
    <w:name w:val="OmniPage #2"/>
    <w:basedOn w:val="Normal"/>
    <w:rsid w:val="002F76AA"/>
    <w:pPr>
      <w:spacing w:line="300" w:lineRule="exact"/>
    </w:pPr>
    <w:rPr>
      <w:sz w:val="20"/>
      <w:szCs w:val="20"/>
    </w:rPr>
  </w:style>
  <w:style w:type="paragraph" w:customStyle="1" w:styleId="OmniPage4">
    <w:name w:val="OmniPage #4"/>
    <w:basedOn w:val="Normal"/>
    <w:rsid w:val="002F76AA"/>
    <w:pPr>
      <w:spacing w:line="240" w:lineRule="exact"/>
    </w:pPr>
    <w:rPr>
      <w:sz w:val="20"/>
      <w:szCs w:val="20"/>
    </w:rPr>
  </w:style>
  <w:style w:type="character" w:styleId="FollowedHyperlink">
    <w:name w:val="FollowedHyperlink"/>
    <w:basedOn w:val="DefaultParagraphFont"/>
    <w:rsid w:val="002F76AA"/>
    <w:rPr>
      <w:color w:val="800080"/>
      <w:u w:val="single"/>
    </w:rPr>
  </w:style>
  <w:style w:type="character" w:styleId="PageNumber">
    <w:name w:val="page number"/>
    <w:basedOn w:val="DefaultParagraphFont"/>
    <w:rsid w:val="002F76AA"/>
  </w:style>
  <w:style w:type="paragraph" w:styleId="BalloonText">
    <w:name w:val="Balloon Text"/>
    <w:basedOn w:val="Normal"/>
    <w:semiHidden/>
    <w:rsid w:val="002F76AA"/>
    <w:rPr>
      <w:rFonts w:ascii="Tahoma" w:hAnsi="Tahoma" w:cs="Tahoma"/>
      <w:sz w:val="16"/>
      <w:szCs w:val="16"/>
    </w:rPr>
  </w:style>
  <w:style w:type="character" w:styleId="CommentReference">
    <w:name w:val="annotation reference"/>
    <w:basedOn w:val="DefaultParagraphFont"/>
    <w:uiPriority w:val="99"/>
    <w:semiHidden/>
    <w:rsid w:val="002F76AA"/>
    <w:rPr>
      <w:sz w:val="16"/>
      <w:szCs w:val="16"/>
    </w:rPr>
  </w:style>
  <w:style w:type="paragraph" w:styleId="CommentText">
    <w:name w:val="annotation text"/>
    <w:basedOn w:val="Normal"/>
    <w:link w:val="CommentTextChar"/>
    <w:uiPriority w:val="99"/>
    <w:semiHidden/>
    <w:rsid w:val="002F76AA"/>
    <w:rPr>
      <w:sz w:val="20"/>
      <w:szCs w:val="20"/>
    </w:rPr>
  </w:style>
  <w:style w:type="paragraph" w:styleId="CommentSubject">
    <w:name w:val="annotation subject"/>
    <w:basedOn w:val="CommentText"/>
    <w:next w:val="CommentText"/>
    <w:semiHidden/>
    <w:rsid w:val="002F76AA"/>
    <w:rPr>
      <w:b/>
      <w:bCs/>
    </w:rPr>
  </w:style>
  <w:style w:type="paragraph" w:styleId="Header">
    <w:name w:val="header"/>
    <w:aliases w:val="h1"/>
    <w:basedOn w:val="Normal"/>
    <w:rsid w:val="002F76AA"/>
    <w:pPr>
      <w:tabs>
        <w:tab w:val="center" w:pos="4320"/>
        <w:tab w:val="right" w:pos="8640"/>
      </w:tabs>
    </w:pPr>
  </w:style>
  <w:style w:type="paragraph" w:customStyle="1" w:styleId="OmniPage3">
    <w:name w:val="OmniPage #3"/>
    <w:basedOn w:val="Normal"/>
    <w:rsid w:val="002F76AA"/>
    <w:pPr>
      <w:spacing w:line="120" w:lineRule="exact"/>
    </w:pPr>
    <w:rPr>
      <w:sz w:val="20"/>
      <w:szCs w:val="20"/>
    </w:rPr>
  </w:style>
  <w:style w:type="character" w:customStyle="1" w:styleId="FootnoteTextChar">
    <w:name w:val="Footnote Text Char"/>
    <w:basedOn w:val="DefaultParagraphFont"/>
    <w:link w:val="FootnoteText"/>
    <w:uiPriority w:val="99"/>
    <w:rsid w:val="00A32AD5"/>
  </w:style>
  <w:style w:type="character" w:customStyle="1" w:styleId="FootnoteTextChar1">
    <w:name w:val="Footnote Text Char1"/>
    <w:basedOn w:val="DefaultParagraphFont"/>
    <w:uiPriority w:val="99"/>
    <w:semiHidden/>
    <w:locked/>
    <w:rsid w:val="00A32AD5"/>
    <w:rPr>
      <w:rFonts w:cs="Times New Roman"/>
      <w:lang w:val="en-US" w:eastAsia="en-US" w:bidi="ar-SA"/>
    </w:rPr>
  </w:style>
  <w:style w:type="paragraph" w:styleId="Revision">
    <w:name w:val="Revision"/>
    <w:hidden/>
    <w:uiPriority w:val="99"/>
    <w:semiHidden/>
    <w:rsid w:val="004015FC"/>
    <w:rPr>
      <w:sz w:val="24"/>
      <w:szCs w:val="24"/>
    </w:rPr>
  </w:style>
  <w:style w:type="character" w:customStyle="1" w:styleId="FooterChar">
    <w:name w:val="Footer Char"/>
    <w:basedOn w:val="DefaultParagraphFont"/>
    <w:link w:val="Footer"/>
    <w:uiPriority w:val="99"/>
    <w:rsid w:val="003D7E41"/>
    <w:rPr>
      <w:sz w:val="24"/>
      <w:szCs w:val="24"/>
    </w:rPr>
  </w:style>
  <w:style w:type="character" w:customStyle="1" w:styleId="CommentTextChar">
    <w:name w:val="Comment Text Char"/>
    <w:basedOn w:val="DefaultParagraphFont"/>
    <w:link w:val="CommentText"/>
    <w:uiPriority w:val="99"/>
    <w:semiHidden/>
    <w:rsid w:val="0050652C"/>
  </w:style>
  <w:style w:type="paragraph" w:styleId="ListParagraph">
    <w:name w:val="List Paragraph"/>
    <w:basedOn w:val="Normal"/>
    <w:uiPriority w:val="34"/>
    <w:qFormat/>
    <w:rsid w:val="00DC46EC"/>
    <w:pPr>
      <w:ind w:left="720"/>
      <w:contextualSpacing/>
    </w:pPr>
  </w:style>
  <w:style w:type="paragraph" w:customStyle="1" w:styleId="SuperRIAFootnote">
    <w:name w:val="Super RIA Footnote"/>
    <w:basedOn w:val="Normal"/>
    <w:link w:val="SuperRIAFootnoteChar"/>
    <w:qFormat/>
    <w:rsid w:val="003F5388"/>
    <w:pPr>
      <w:widowControl w:val="0"/>
      <w:tabs>
        <w:tab w:val="left" w:pos="360"/>
      </w:tabs>
      <w:suppressAutoHyphens/>
      <w:autoSpaceDE w:val="0"/>
      <w:adjustRightInd w:val="0"/>
      <w:spacing w:before="60"/>
      <w:jc w:val="both"/>
      <w:textAlignment w:val="baseline"/>
    </w:pPr>
    <w:rPr>
      <w:sz w:val="20"/>
      <w:szCs w:val="20"/>
      <w:lang w:eastAsia="ar-SA"/>
    </w:rPr>
  </w:style>
  <w:style w:type="character" w:customStyle="1" w:styleId="SuperRIAFootnoteChar">
    <w:name w:val="Super RIA Footnote Char"/>
    <w:link w:val="SuperRIAFootnote"/>
    <w:rsid w:val="003F5388"/>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6994">
      <w:bodyDiv w:val="1"/>
      <w:marLeft w:val="0"/>
      <w:marRight w:val="0"/>
      <w:marTop w:val="0"/>
      <w:marBottom w:val="0"/>
      <w:divBdr>
        <w:top w:val="none" w:sz="0" w:space="0" w:color="auto"/>
        <w:left w:val="none" w:sz="0" w:space="0" w:color="auto"/>
        <w:bottom w:val="none" w:sz="0" w:space="0" w:color="auto"/>
        <w:right w:val="none" w:sz="0" w:space="0" w:color="auto"/>
      </w:divBdr>
    </w:div>
    <w:div w:id="77364500">
      <w:bodyDiv w:val="1"/>
      <w:marLeft w:val="0"/>
      <w:marRight w:val="0"/>
      <w:marTop w:val="0"/>
      <w:marBottom w:val="0"/>
      <w:divBdr>
        <w:top w:val="none" w:sz="0" w:space="0" w:color="auto"/>
        <w:left w:val="none" w:sz="0" w:space="0" w:color="auto"/>
        <w:bottom w:val="none" w:sz="0" w:space="0" w:color="auto"/>
        <w:right w:val="none" w:sz="0" w:space="0" w:color="auto"/>
      </w:divBdr>
    </w:div>
    <w:div w:id="99573475">
      <w:bodyDiv w:val="1"/>
      <w:marLeft w:val="0"/>
      <w:marRight w:val="0"/>
      <w:marTop w:val="0"/>
      <w:marBottom w:val="0"/>
      <w:divBdr>
        <w:top w:val="none" w:sz="0" w:space="0" w:color="auto"/>
        <w:left w:val="none" w:sz="0" w:space="0" w:color="auto"/>
        <w:bottom w:val="none" w:sz="0" w:space="0" w:color="auto"/>
        <w:right w:val="none" w:sz="0" w:space="0" w:color="auto"/>
      </w:divBdr>
    </w:div>
    <w:div w:id="130170866">
      <w:bodyDiv w:val="1"/>
      <w:marLeft w:val="0"/>
      <w:marRight w:val="0"/>
      <w:marTop w:val="0"/>
      <w:marBottom w:val="0"/>
      <w:divBdr>
        <w:top w:val="none" w:sz="0" w:space="0" w:color="auto"/>
        <w:left w:val="none" w:sz="0" w:space="0" w:color="auto"/>
        <w:bottom w:val="none" w:sz="0" w:space="0" w:color="auto"/>
        <w:right w:val="none" w:sz="0" w:space="0" w:color="auto"/>
      </w:divBdr>
    </w:div>
    <w:div w:id="148979333">
      <w:bodyDiv w:val="1"/>
      <w:marLeft w:val="0"/>
      <w:marRight w:val="0"/>
      <w:marTop w:val="0"/>
      <w:marBottom w:val="0"/>
      <w:divBdr>
        <w:top w:val="none" w:sz="0" w:space="0" w:color="auto"/>
        <w:left w:val="none" w:sz="0" w:space="0" w:color="auto"/>
        <w:bottom w:val="none" w:sz="0" w:space="0" w:color="auto"/>
        <w:right w:val="none" w:sz="0" w:space="0" w:color="auto"/>
      </w:divBdr>
    </w:div>
    <w:div w:id="155734287">
      <w:bodyDiv w:val="1"/>
      <w:marLeft w:val="0"/>
      <w:marRight w:val="0"/>
      <w:marTop w:val="0"/>
      <w:marBottom w:val="0"/>
      <w:divBdr>
        <w:top w:val="none" w:sz="0" w:space="0" w:color="auto"/>
        <w:left w:val="none" w:sz="0" w:space="0" w:color="auto"/>
        <w:bottom w:val="none" w:sz="0" w:space="0" w:color="auto"/>
        <w:right w:val="none" w:sz="0" w:space="0" w:color="auto"/>
      </w:divBdr>
    </w:div>
    <w:div w:id="274407808">
      <w:bodyDiv w:val="1"/>
      <w:marLeft w:val="0"/>
      <w:marRight w:val="0"/>
      <w:marTop w:val="0"/>
      <w:marBottom w:val="0"/>
      <w:divBdr>
        <w:top w:val="none" w:sz="0" w:space="0" w:color="auto"/>
        <w:left w:val="none" w:sz="0" w:space="0" w:color="auto"/>
        <w:bottom w:val="none" w:sz="0" w:space="0" w:color="auto"/>
        <w:right w:val="none" w:sz="0" w:space="0" w:color="auto"/>
      </w:divBdr>
    </w:div>
    <w:div w:id="283931382">
      <w:bodyDiv w:val="1"/>
      <w:marLeft w:val="0"/>
      <w:marRight w:val="0"/>
      <w:marTop w:val="0"/>
      <w:marBottom w:val="0"/>
      <w:divBdr>
        <w:top w:val="none" w:sz="0" w:space="0" w:color="auto"/>
        <w:left w:val="none" w:sz="0" w:space="0" w:color="auto"/>
        <w:bottom w:val="none" w:sz="0" w:space="0" w:color="auto"/>
        <w:right w:val="none" w:sz="0" w:space="0" w:color="auto"/>
      </w:divBdr>
    </w:div>
    <w:div w:id="287443004">
      <w:bodyDiv w:val="1"/>
      <w:marLeft w:val="0"/>
      <w:marRight w:val="0"/>
      <w:marTop w:val="0"/>
      <w:marBottom w:val="0"/>
      <w:divBdr>
        <w:top w:val="none" w:sz="0" w:space="0" w:color="auto"/>
        <w:left w:val="none" w:sz="0" w:space="0" w:color="auto"/>
        <w:bottom w:val="none" w:sz="0" w:space="0" w:color="auto"/>
        <w:right w:val="none" w:sz="0" w:space="0" w:color="auto"/>
      </w:divBdr>
    </w:div>
    <w:div w:id="313990453">
      <w:bodyDiv w:val="1"/>
      <w:marLeft w:val="0"/>
      <w:marRight w:val="0"/>
      <w:marTop w:val="0"/>
      <w:marBottom w:val="0"/>
      <w:divBdr>
        <w:top w:val="none" w:sz="0" w:space="0" w:color="auto"/>
        <w:left w:val="none" w:sz="0" w:space="0" w:color="auto"/>
        <w:bottom w:val="none" w:sz="0" w:space="0" w:color="auto"/>
        <w:right w:val="none" w:sz="0" w:space="0" w:color="auto"/>
      </w:divBdr>
    </w:div>
    <w:div w:id="432677652">
      <w:bodyDiv w:val="1"/>
      <w:marLeft w:val="0"/>
      <w:marRight w:val="0"/>
      <w:marTop w:val="0"/>
      <w:marBottom w:val="0"/>
      <w:divBdr>
        <w:top w:val="none" w:sz="0" w:space="0" w:color="auto"/>
        <w:left w:val="none" w:sz="0" w:space="0" w:color="auto"/>
        <w:bottom w:val="none" w:sz="0" w:space="0" w:color="auto"/>
        <w:right w:val="none" w:sz="0" w:space="0" w:color="auto"/>
      </w:divBdr>
    </w:div>
    <w:div w:id="517282232">
      <w:bodyDiv w:val="1"/>
      <w:marLeft w:val="0"/>
      <w:marRight w:val="0"/>
      <w:marTop w:val="0"/>
      <w:marBottom w:val="0"/>
      <w:divBdr>
        <w:top w:val="none" w:sz="0" w:space="0" w:color="auto"/>
        <w:left w:val="none" w:sz="0" w:space="0" w:color="auto"/>
        <w:bottom w:val="none" w:sz="0" w:space="0" w:color="auto"/>
        <w:right w:val="none" w:sz="0" w:space="0" w:color="auto"/>
      </w:divBdr>
    </w:div>
    <w:div w:id="707729559">
      <w:bodyDiv w:val="1"/>
      <w:marLeft w:val="0"/>
      <w:marRight w:val="0"/>
      <w:marTop w:val="0"/>
      <w:marBottom w:val="0"/>
      <w:divBdr>
        <w:top w:val="none" w:sz="0" w:space="0" w:color="auto"/>
        <w:left w:val="none" w:sz="0" w:space="0" w:color="auto"/>
        <w:bottom w:val="none" w:sz="0" w:space="0" w:color="auto"/>
        <w:right w:val="none" w:sz="0" w:space="0" w:color="auto"/>
      </w:divBdr>
    </w:div>
    <w:div w:id="1045642590">
      <w:bodyDiv w:val="1"/>
      <w:marLeft w:val="0"/>
      <w:marRight w:val="0"/>
      <w:marTop w:val="0"/>
      <w:marBottom w:val="0"/>
      <w:divBdr>
        <w:top w:val="none" w:sz="0" w:space="0" w:color="auto"/>
        <w:left w:val="none" w:sz="0" w:space="0" w:color="auto"/>
        <w:bottom w:val="none" w:sz="0" w:space="0" w:color="auto"/>
        <w:right w:val="none" w:sz="0" w:space="0" w:color="auto"/>
      </w:divBdr>
    </w:div>
    <w:div w:id="1061757967">
      <w:bodyDiv w:val="1"/>
      <w:marLeft w:val="0"/>
      <w:marRight w:val="0"/>
      <w:marTop w:val="0"/>
      <w:marBottom w:val="0"/>
      <w:divBdr>
        <w:top w:val="none" w:sz="0" w:space="0" w:color="auto"/>
        <w:left w:val="none" w:sz="0" w:space="0" w:color="auto"/>
        <w:bottom w:val="none" w:sz="0" w:space="0" w:color="auto"/>
        <w:right w:val="none" w:sz="0" w:space="0" w:color="auto"/>
      </w:divBdr>
    </w:div>
    <w:div w:id="1217357071">
      <w:bodyDiv w:val="1"/>
      <w:marLeft w:val="0"/>
      <w:marRight w:val="0"/>
      <w:marTop w:val="0"/>
      <w:marBottom w:val="0"/>
      <w:divBdr>
        <w:top w:val="none" w:sz="0" w:space="0" w:color="auto"/>
        <w:left w:val="none" w:sz="0" w:space="0" w:color="auto"/>
        <w:bottom w:val="none" w:sz="0" w:space="0" w:color="auto"/>
        <w:right w:val="none" w:sz="0" w:space="0" w:color="auto"/>
      </w:divBdr>
    </w:div>
    <w:div w:id="1273828961">
      <w:bodyDiv w:val="1"/>
      <w:marLeft w:val="0"/>
      <w:marRight w:val="0"/>
      <w:marTop w:val="0"/>
      <w:marBottom w:val="0"/>
      <w:divBdr>
        <w:top w:val="none" w:sz="0" w:space="0" w:color="auto"/>
        <w:left w:val="none" w:sz="0" w:space="0" w:color="auto"/>
        <w:bottom w:val="none" w:sz="0" w:space="0" w:color="auto"/>
        <w:right w:val="none" w:sz="0" w:space="0" w:color="auto"/>
      </w:divBdr>
    </w:div>
    <w:div w:id="1370186245">
      <w:bodyDiv w:val="1"/>
      <w:marLeft w:val="0"/>
      <w:marRight w:val="0"/>
      <w:marTop w:val="0"/>
      <w:marBottom w:val="0"/>
      <w:divBdr>
        <w:top w:val="none" w:sz="0" w:space="0" w:color="auto"/>
        <w:left w:val="none" w:sz="0" w:space="0" w:color="auto"/>
        <w:bottom w:val="none" w:sz="0" w:space="0" w:color="auto"/>
        <w:right w:val="none" w:sz="0" w:space="0" w:color="auto"/>
      </w:divBdr>
    </w:div>
    <w:div w:id="1434738827">
      <w:bodyDiv w:val="1"/>
      <w:marLeft w:val="0"/>
      <w:marRight w:val="0"/>
      <w:marTop w:val="0"/>
      <w:marBottom w:val="0"/>
      <w:divBdr>
        <w:top w:val="none" w:sz="0" w:space="0" w:color="auto"/>
        <w:left w:val="none" w:sz="0" w:space="0" w:color="auto"/>
        <w:bottom w:val="none" w:sz="0" w:space="0" w:color="auto"/>
        <w:right w:val="none" w:sz="0" w:space="0" w:color="auto"/>
      </w:divBdr>
    </w:div>
    <w:div w:id="1564097585">
      <w:bodyDiv w:val="1"/>
      <w:marLeft w:val="0"/>
      <w:marRight w:val="0"/>
      <w:marTop w:val="0"/>
      <w:marBottom w:val="0"/>
      <w:divBdr>
        <w:top w:val="none" w:sz="0" w:space="0" w:color="auto"/>
        <w:left w:val="none" w:sz="0" w:space="0" w:color="auto"/>
        <w:bottom w:val="none" w:sz="0" w:space="0" w:color="auto"/>
        <w:right w:val="none" w:sz="0" w:space="0" w:color="auto"/>
      </w:divBdr>
    </w:div>
    <w:div w:id="1588882418">
      <w:bodyDiv w:val="1"/>
      <w:marLeft w:val="0"/>
      <w:marRight w:val="0"/>
      <w:marTop w:val="0"/>
      <w:marBottom w:val="0"/>
      <w:divBdr>
        <w:top w:val="none" w:sz="0" w:space="0" w:color="auto"/>
        <w:left w:val="none" w:sz="0" w:space="0" w:color="auto"/>
        <w:bottom w:val="none" w:sz="0" w:space="0" w:color="auto"/>
        <w:right w:val="none" w:sz="0" w:space="0" w:color="auto"/>
      </w:divBdr>
    </w:div>
    <w:div w:id="1670015954">
      <w:bodyDiv w:val="1"/>
      <w:marLeft w:val="0"/>
      <w:marRight w:val="0"/>
      <w:marTop w:val="0"/>
      <w:marBottom w:val="0"/>
      <w:divBdr>
        <w:top w:val="none" w:sz="0" w:space="0" w:color="auto"/>
        <w:left w:val="none" w:sz="0" w:space="0" w:color="auto"/>
        <w:bottom w:val="none" w:sz="0" w:space="0" w:color="auto"/>
        <w:right w:val="none" w:sz="0" w:space="0" w:color="auto"/>
      </w:divBdr>
    </w:div>
    <w:div w:id="1692803598">
      <w:bodyDiv w:val="1"/>
      <w:marLeft w:val="0"/>
      <w:marRight w:val="0"/>
      <w:marTop w:val="0"/>
      <w:marBottom w:val="0"/>
      <w:divBdr>
        <w:top w:val="none" w:sz="0" w:space="0" w:color="auto"/>
        <w:left w:val="none" w:sz="0" w:space="0" w:color="auto"/>
        <w:bottom w:val="none" w:sz="0" w:space="0" w:color="auto"/>
        <w:right w:val="none" w:sz="0" w:space="0" w:color="auto"/>
      </w:divBdr>
    </w:div>
    <w:div w:id="1710110636">
      <w:bodyDiv w:val="1"/>
      <w:marLeft w:val="0"/>
      <w:marRight w:val="0"/>
      <w:marTop w:val="0"/>
      <w:marBottom w:val="0"/>
      <w:divBdr>
        <w:top w:val="none" w:sz="0" w:space="0" w:color="auto"/>
        <w:left w:val="none" w:sz="0" w:space="0" w:color="auto"/>
        <w:bottom w:val="none" w:sz="0" w:space="0" w:color="auto"/>
        <w:right w:val="none" w:sz="0" w:space="0" w:color="auto"/>
      </w:divBdr>
    </w:div>
    <w:div w:id="1724138387">
      <w:bodyDiv w:val="1"/>
      <w:marLeft w:val="0"/>
      <w:marRight w:val="0"/>
      <w:marTop w:val="0"/>
      <w:marBottom w:val="0"/>
      <w:divBdr>
        <w:top w:val="none" w:sz="0" w:space="0" w:color="auto"/>
        <w:left w:val="none" w:sz="0" w:space="0" w:color="auto"/>
        <w:bottom w:val="none" w:sz="0" w:space="0" w:color="auto"/>
        <w:right w:val="none" w:sz="0" w:space="0" w:color="auto"/>
      </w:divBdr>
    </w:div>
    <w:div w:id="1769504712">
      <w:bodyDiv w:val="1"/>
      <w:marLeft w:val="0"/>
      <w:marRight w:val="0"/>
      <w:marTop w:val="0"/>
      <w:marBottom w:val="0"/>
      <w:divBdr>
        <w:top w:val="none" w:sz="0" w:space="0" w:color="auto"/>
        <w:left w:val="none" w:sz="0" w:space="0" w:color="auto"/>
        <w:bottom w:val="none" w:sz="0" w:space="0" w:color="auto"/>
        <w:right w:val="none" w:sz="0" w:space="0" w:color="auto"/>
      </w:divBdr>
    </w:div>
    <w:div w:id="1781101510">
      <w:bodyDiv w:val="1"/>
      <w:marLeft w:val="0"/>
      <w:marRight w:val="0"/>
      <w:marTop w:val="0"/>
      <w:marBottom w:val="0"/>
      <w:divBdr>
        <w:top w:val="none" w:sz="0" w:space="0" w:color="auto"/>
        <w:left w:val="none" w:sz="0" w:space="0" w:color="auto"/>
        <w:bottom w:val="none" w:sz="0" w:space="0" w:color="auto"/>
        <w:right w:val="none" w:sz="0" w:space="0" w:color="auto"/>
      </w:divBdr>
    </w:div>
    <w:div w:id="1795128249">
      <w:bodyDiv w:val="1"/>
      <w:marLeft w:val="0"/>
      <w:marRight w:val="0"/>
      <w:marTop w:val="0"/>
      <w:marBottom w:val="0"/>
      <w:divBdr>
        <w:top w:val="none" w:sz="0" w:space="0" w:color="auto"/>
        <w:left w:val="none" w:sz="0" w:space="0" w:color="auto"/>
        <w:bottom w:val="none" w:sz="0" w:space="0" w:color="auto"/>
        <w:right w:val="none" w:sz="0" w:space="0" w:color="auto"/>
      </w:divBdr>
    </w:div>
    <w:div w:id="1864975378">
      <w:bodyDiv w:val="1"/>
      <w:marLeft w:val="0"/>
      <w:marRight w:val="0"/>
      <w:marTop w:val="0"/>
      <w:marBottom w:val="0"/>
      <w:divBdr>
        <w:top w:val="none" w:sz="0" w:space="0" w:color="auto"/>
        <w:left w:val="none" w:sz="0" w:space="0" w:color="auto"/>
        <w:bottom w:val="none" w:sz="0" w:space="0" w:color="auto"/>
        <w:right w:val="none" w:sz="0" w:space="0" w:color="auto"/>
      </w:divBdr>
    </w:div>
    <w:div w:id="188154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whitehouse.gov/omb/circulars_a076_a76_incl_tech_correction" TargetMode="External"/><Relationship Id="rId1" Type="http://schemas.openxmlformats.org/officeDocument/2006/relationships/hyperlink" Target="http://www.opm.gov/oca/11tables/pdf/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BE2EE-732C-4906-B42B-8774BB94F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2969</Words>
  <Characters>16788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Information Collection Supporting Statement</vt:lpstr>
    </vt:vector>
  </TitlesOfParts>
  <Manager>Loretta Bitner</Manager>
  <Company>FMCSA</Company>
  <LinksUpToDate>false</LinksUpToDate>
  <CharactersWithSpaces>19718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Supporting Statement</dc:title>
  <dc:subject>Practices of Household Goods Brokers, 2126-NEW</dc:subject>
  <dc:creator>FMCSA Commercial Enforcement Division (MC-ECC), Washington D.C.</dc:creator>
  <cp:lastModifiedBy>herman.dogan</cp:lastModifiedBy>
  <cp:revision>2</cp:revision>
  <cp:lastPrinted>2014-02-21T14:45:00Z</cp:lastPrinted>
  <dcterms:created xsi:type="dcterms:W3CDTF">2014-02-21T15:24:00Z</dcterms:created>
  <dcterms:modified xsi:type="dcterms:W3CDTF">2014-02-21T15:24:00Z</dcterms:modified>
</cp:coreProperties>
</file>