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D3" w:rsidRDefault="008F10D3" w:rsidP="008F10D3">
      <w:r>
        <w:t>Part B: Collections of Information Employing Statistical Methods</w:t>
      </w:r>
    </w:p>
    <w:p w:rsidR="008F10D3" w:rsidRDefault="008F10D3" w:rsidP="008F10D3"/>
    <w:p w:rsidR="008F10D3" w:rsidRDefault="008F10D3" w:rsidP="008F10D3">
      <w:pPr>
        <w:pStyle w:val="ListParagraph"/>
        <w:numPr>
          <w:ilvl w:val="0"/>
          <w:numId w:val="1"/>
        </w:numPr>
        <w:autoSpaceDE w:val="0"/>
        <w:autoSpaceDN w:val="0"/>
        <w:adjustRightInd w:val="0"/>
        <w:rPr>
          <w:rFonts w:eastAsiaTheme="minorHAnsi"/>
        </w:rPr>
      </w:pPr>
      <w:r>
        <w:rPr>
          <w:rFonts w:eastAsiaTheme="minorHAnsi"/>
        </w:rPr>
        <w:t>Respondent Universe</w:t>
      </w:r>
      <w:r w:rsidRPr="00973107">
        <w:rPr>
          <w:rFonts w:eastAsiaTheme="minorHAnsi"/>
        </w:rPr>
        <w:t xml:space="preserve"> and Sampling</w:t>
      </w:r>
    </w:p>
    <w:p w:rsidR="008F10D3" w:rsidRDefault="008F10D3" w:rsidP="008F10D3"/>
    <w:p w:rsidR="008F10D3" w:rsidRDefault="008F10D3" w:rsidP="008F10D3">
      <w:r w:rsidRPr="00DF3BC6">
        <w:t>During Fiscal Year 2013 there were 210 RSVP grantees with over 150,000 volunteers</w:t>
      </w:r>
      <w:r>
        <w:t xml:space="preserve"> that submitted work plans for future service plans</w:t>
      </w:r>
      <w:r w:rsidRPr="00DF3BC6">
        <w:t xml:space="preserve">. </w:t>
      </w:r>
      <w:r>
        <w:t>Approximately 150 of the grantees submitted Periodic Progress Report (PPR</w:t>
      </w:r>
      <w:proofErr w:type="gramStart"/>
      <w:r>
        <w:t>)data</w:t>
      </w:r>
      <w:proofErr w:type="gramEnd"/>
      <w:r>
        <w:t xml:space="preserve"> in April 2013. The PPR data will be </w:t>
      </w:r>
      <w:proofErr w:type="spellStart"/>
      <w:r>
        <w:t>usedas</w:t>
      </w:r>
      <w:proofErr w:type="spellEnd"/>
      <w:r>
        <w:t xml:space="preserve"> the sampling frame for this evaluation. The other 60 grantees will submit their PPR data in August 2013, which makes it too late to include them in the evaluation. The division of when grantees report PPR data is purely administrative. There is no known systematic difference between the two groups. The advantage of using PPR data is that it provides </w:t>
      </w:r>
      <w:r>
        <w:rPr>
          <w:color w:val="1F497D"/>
        </w:rPr>
        <w:t xml:space="preserve">actual performance measure data, as opposed to projected data reported in the work plans. The limitation of using the PPR data is that the results will not be </w:t>
      </w:r>
      <w:proofErr w:type="spellStart"/>
      <w:r>
        <w:rPr>
          <w:color w:val="1F497D"/>
        </w:rPr>
        <w:t>generalizable</w:t>
      </w:r>
      <w:proofErr w:type="spellEnd"/>
      <w:r>
        <w:rPr>
          <w:color w:val="1F497D"/>
        </w:rPr>
        <w:t xml:space="preserve"> to all Fiscal Year 2013 grantees. </w:t>
      </w:r>
      <w:proofErr w:type="spellStart"/>
      <w:r>
        <w:t>RSVP</w:t>
      </w:r>
      <w:r w:rsidRPr="00DF3BC6">
        <w:t>grantees</w:t>
      </w:r>
      <w:proofErr w:type="spellEnd"/>
      <w:r w:rsidRPr="00DF3BC6">
        <w:t xml:space="preserve"> support senior volunteers in six focus areas: Disaster Services, Education, Environmental Stewardship, Economic Opportunity, Healthy Futures, and Veterans and Military Families. Volunteers also address Community Priorities, and Capacity Building. Service activities are as varied as providing companionship to other seniors, building homes, supporting students in educational settings and recruiting other volunteers. </w:t>
      </w:r>
    </w:p>
    <w:p w:rsidR="008F10D3" w:rsidRPr="00F84F18" w:rsidRDefault="008F10D3" w:rsidP="008F10D3">
      <w:pPr>
        <w:autoSpaceDE w:val="0"/>
        <w:autoSpaceDN w:val="0"/>
        <w:adjustRightInd w:val="0"/>
        <w:rPr>
          <w:rFonts w:eastAsiaTheme="minorHAnsi"/>
        </w:rPr>
      </w:pPr>
    </w:p>
    <w:p w:rsidR="008F10D3" w:rsidRDefault="008F10D3" w:rsidP="008F10D3">
      <w:r>
        <w:t>Among Fiscal Year 2013 grantees, t</w:t>
      </w:r>
      <w:r w:rsidRPr="00084F9E">
        <w:t xml:space="preserve">he range in the number of </w:t>
      </w:r>
      <w:r>
        <w:t xml:space="preserve">unduplicated </w:t>
      </w:r>
      <w:proofErr w:type="spellStart"/>
      <w:r>
        <w:t>volunteers</w:t>
      </w:r>
      <w:r w:rsidRPr="00084F9E">
        <w:t>per</w:t>
      </w:r>
      <w:proofErr w:type="spellEnd"/>
      <w:r w:rsidRPr="00084F9E">
        <w:t xml:space="preserve"> grantee is </w:t>
      </w:r>
      <w:r>
        <w:t>81</w:t>
      </w:r>
      <w:r w:rsidRPr="00084F9E">
        <w:t xml:space="preserve"> to </w:t>
      </w:r>
      <w:r>
        <w:t>6</w:t>
      </w:r>
      <w:r w:rsidRPr="00084F9E">
        <w:t xml:space="preserve">,000 </w:t>
      </w:r>
      <w:r>
        <w:t>volunteers</w:t>
      </w:r>
      <w:r w:rsidRPr="00084F9E">
        <w:t xml:space="preserve">. The universe from which the sample will be drawn has a hierarchical structure such that </w:t>
      </w:r>
      <w:proofErr w:type="spellStart"/>
      <w:r>
        <w:t>RSVPvolunteers</w:t>
      </w:r>
      <w:r w:rsidRPr="00084F9E">
        <w:t>exist</w:t>
      </w:r>
      <w:proofErr w:type="spellEnd"/>
      <w:r w:rsidRPr="00084F9E">
        <w:t xml:space="preserve"> within </w:t>
      </w:r>
      <w:proofErr w:type="spellStart"/>
      <w:r>
        <w:t>RSVP</w:t>
      </w:r>
      <w:r w:rsidRPr="00084F9E">
        <w:t>grantees</w:t>
      </w:r>
      <w:proofErr w:type="spellEnd"/>
      <w:r w:rsidRPr="00084F9E">
        <w:t xml:space="preserve"> or projects. </w:t>
      </w:r>
      <w:r>
        <w:t xml:space="preserve">An </w:t>
      </w:r>
      <w:r w:rsidRPr="00084F9E">
        <w:t xml:space="preserve">additional level of structure </w:t>
      </w:r>
      <w:proofErr w:type="spellStart"/>
      <w:r>
        <w:t>is</w:t>
      </w:r>
      <w:r w:rsidRPr="00084F9E">
        <w:t>that</w:t>
      </w:r>
      <w:proofErr w:type="spellEnd"/>
      <w:r w:rsidRPr="00084F9E">
        <w:t xml:space="preserve"> </w:t>
      </w:r>
      <w:proofErr w:type="spellStart"/>
      <w:r>
        <w:t>volunteers</w:t>
      </w:r>
      <w:r w:rsidRPr="00084F9E">
        <w:t>are</w:t>
      </w:r>
      <w:proofErr w:type="spellEnd"/>
      <w:r w:rsidRPr="00084F9E">
        <w:t xml:space="preserve"> nested within sites or stations. </w:t>
      </w:r>
      <w:r>
        <w:t xml:space="preserve">Moreover, volunteers may be engaged in multiple work plans within grantees or stations. Therefore, the unduplicated count of volunteers may include volunteers who are counted in multiple work plans. </w:t>
      </w:r>
    </w:p>
    <w:p w:rsidR="008F10D3" w:rsidRDefault="008F10D3" w:rsidP="008F10D3"/>
    <w:p w:rsidR="008F10D3" w:rsidRDefault="008F10D3" w:rsidP="008F10D3">
      <w:r>
        <w:t xml:space="preserve">JBS will draw </w:t>
      </w:r>
      <w:r w:rsidRPr="003F6B70">
        <w:t xml:space="preserve">a sample of </w:t>
      </w:r>
      <w:r w:rsidRPr="00893FFB">
        <w:t>1,</w:t>
      </w:r>
      <w:r>
        <w:t>50</w:t>
      </w:r>
      <w:r w:rsidRPr="00893FFB">
        <w:t>0</w:t>
      </w:r>
      <w:r>
        <w:t>RSVP volunteers</w:t>
      </w:r>
      <w:r w:rsidRPr="003F6B70">
        <w:t>, yielding a final sample size of 1,</w:t>
      </w:r>
      <w:r>
        <w:t>20</w:t>
      </w:r>
      <w:r w:rsidRPr="003F6B70">
        <w:t>0 assuming a response rate of 8</w:t>
      </w:r>
      <w:r>
        <w:t>0</w:t>
      </w:r>
      <w:r w:rsidRPr="003F6B70">
        <w:t xml:space="preserve"> percent. </w:t>
      </w:r>
      <w:r w:rsidRPr="00BB2D45">
        <w:t xml:space="preserve">It is assumed that all volunteers </w:t>
      </w:r>
      <w:r>
        <w:t>devote hours</w:t>
      </w:r>
      <w:r w:rsidRPr="00BB2D45">
        <w:t xml:space="preserve"> on at least one </w:t>
      </w:r>
      <w:proofErr w:type="spellStart"/>
      <w:r w:rsidRPr="00BB2D45">
        <w:t>workplan</w:t>
      </w:r>
      <w:proofErr w:type="spellEnd"/>
      <w:r w:rsidRPr="00BB2D45">
        <w:t xml:space="preserve"> and it is anticipated</w:t>
      </w:r>
      <w:r>
        <w:t xml:space="preserve"> that</w:t>
      </w:r>
      <w:r w:rsidRPr="00BB2D45">
        <w:t>, based on the available 2013 data, approximately 76</w:t>
      </w:r>
      <w:r>
        <w:t xml:space="preserve"> percent</w:t>
      </w:r>
      <w:r w:rsidRPr="00BB2D45">
        <w:t xml:space="preserve"> of volunteers </w:t>
      </w:r>
      <w:r>
        <w:t>devote hours</w:t>
      </w:r>
      <w:r w:rsidRPr="00BB2D45">
        <w:t xml:space="preserve"> on either a Primary Focus area or Other Focus Area/Capacity Building.</w:t>
      </w:r>
    </w:p>
    <w:p w:rsidR="008F10D3" w:rsidRDefault="008F10D3" w:rsidP="008F10D3"/>
    <w:p w:rsidR="008F10D3" w:rsidRDefault="008F10D3" w:rsidP="008F10D3">
      <w:pPr>
        <w:ind w:right="720"/>
      </w:pPr>
      <w:proofErr w:type="gramStart"/>
      <w:r w:rsidRPr="002B0FF2">
        <w:t>Th</w:t>
      </w:r>
      <w:r>
        <w:t>is study will</w:t>
      </w:r>
      <w:proofErr w:type="gramEnd"/>
      <w:r>
        <w:t xml:space="preserve"> </w:t>
      </w:r>
      <w:proofErr w:type="spellStart"/>
      <w:r>
        <w:t>samplevolunteers</w:t>
      </w:r>
      <w:proofErr w:type="spellEnd"/>
      <w:r>
        <w:t xml:space="preserve"> who are nested within grantees and stations</w:t>
      </w:r>
      <w:r w:rsidRPr="002B0FF2">
        <w:t xml:space="preserve">. </w:t>
      </w:r>
      <w:r w:rsidRPr="00FD46B4">
        <w:t>The sampling unit is the volunteer and the</w:t>
      </w:r>
      <w:r w:rsidRPr="002B0FF2">
        <w:t xml:space="preserve"> sampling universe is the universe of </w:t>
      </w:r>
      <w:r>
        <w:t xml:space="preserve">unduplicated </w:t>
      </w:r>
      <w:r w:rsidRPr="002B0FF2">
        <w:t xml:space="preserve">RSVP volunteers </w:t>
      </w:r>
      <w:r>
        <w:t>from the Fiscal Year 2013grantees who will report their PPR data in April 2013</w:t>
      </w:r>
      <w:r w:rsidRPr="002B0FF2">
        <w:t>.</w:t>
      </w:r>
      <w:r>
        <w:t xml:space="preserve"> JBS will select the sample of volunteers using a three-stage stratified </w:t>
      </w:r>
      <w:r w:rsidRPr="00133C88">
        <w:t xml:space="preserve">probability proportionate to </w:t>
      </w:r>
      <w:proofErr w:type="gramStart"/>
      <w:r>
        <w:t>size(</w:t>
      </w:r>
      <w:proofErr w:type="gramEnd"/>
      <w:r>
        <w:t xml:space="preserve">PPS) sample that is expected to result in an equal probability sample. The size measure will be the number of unduplicated RSVP volunteers. </w:t>
      </w:r>
      <w:r w:rsidRPr="00223B4F">
        <w:t xml:space="preserve">At the first stage, a sample of </w:t>
      </w:r>
      <w:r>
        <w:t>grantees</w:t>
      </w:r>
      <w:r w:rsidRPr="00223B4F">
        <w:t xml:space="preserve"> will be selected from the </w:t>
      </w:r>
      <w:r>
        <w:t>cohort of grantees reporting PPR data in April 2013 using PPS</w:t>
      </w:r>
      <w:r w:rsidRPr="00223B4F">
        <w:t xml:space="preserve">. </w:t>
      </w:r>
      <w:r>
        <w:t xml:space="preserve">In order to assure there is adequate representation of grantees of varying capacity, the grantees will be stratified into three groups based on the estimated number of unduplicated </w:t>
      </w:r>
      <w:proofErr w:type="spellStart"/>
      <w:r>
        <w:t>volunteers</w:t>
      </w:r>
      <w:r w:rsidRPr="00BB2D45">
        <w:t>.</w:t>
      </w:r>
      <w:r w:rsidRPr="00223B4F">
        <w:t>At</w:t>
      </w:r>
      <w:proofErr w:type="spellEnd"/>
      <w:r w:rsidRPr="00223B4F">
        <w:t xml:space="preserve"> the second stage, the </w:t>
      </w:r>
      <w:r>
        <w:t xml:space="preserve">sampled </w:t>
      </w:r>
      <w:r w:rsidRPr="00223B4F">
        <w:t>grantee</w:t>
      </w:r>
      <w:r>
        <w:t>s</w:t>
      </w:r>
      <w:r w:rsidRPr="00223B4F">
        <w:t xml:space="preserve"> will be asked</w:t>
      </w:r>
      <w:r w:rsidRPr="002B0FF2">
        <w:t xml:space="preserve"> for a roster of </w:t>
      </w:r>
      <w:r>
        <w:t>stations and the number of volunteers at each station.  A sample of stations will be selected from this list using PPS, where the size is defined by the number of unduplicated volunteers</w:t>
      </w:r>
      <w:r w:rsidRPr="002B0FF2">
        <w:t>. A</w:t>
      </w:r>
      <w:r>
        <w:t xml:space="preserve">t the third stage, stations will </w:t>
      </w:r>
      <w:r>
        <w:lastRenderedPageBreak/>
        <w:t xml:space="preserve">be contacted and full volunteer lists will be requested. </w:t>
      </w:r>
      <w:proofErr w:type="spellStart"/>
      <w:r>
        <w:t>Asimple</w:t>
      </w:r>
      <w:proofErr w:type="spellEnd"/>
      <w:r>
        <w:t xml:space="preserve"> </w:t>
      </w:r>
      <w:r w:rsidRPr="002B0FF2">
        <w:t>random sample of volunteers will be draw</w:t>
      </w:r>
      <w:r>
        <w:t>n</w:t>
      </w:r>
      <w:r w:rsidRPr="002B0FF2">
        <w:t xml:space="preserve"> from th</w:t>
      </w:r>
      <w:r>
        <w:t>ese</w:t>
      </w:r>
      <w:r w:rsidRPr="002B0FF2">
        <w:t xml:space="preserve"> list</w:t>
      </w:r>
      <w:r>
        <w:t>s</w:t>
      </w:r>
      <w:r w:rsidRPr="002B0FF2">
        <w:t>.</w:t>
      </w:r>
    </w:p>
    <w:p w:rsidR="008F10D3" w:rsidRPr="00FD46B4" w:rsidRDefault="008F10D3" w:rsidP="008F10D3">
      <w:pPr>
        <w:ind w:right="720"/>
      </w:pPr>
    </w:p>
    <w:p w:rsidR="008F10D3" w:rsidRDefault="008F10D3" w:rsidP="008F10D3">
      <w:r>
        <w:t>In the first stage of sampling JBS</w:t>
      </w:r>
      <w:r w:rsidRPr="00BB2D45">
        <w:t xml:space="preserve"> will divide the  grantees into three strata based on the projected unduplicated volunteer counts from the</w:t>
      </w:r>
      <w:r>
        <w:t xml:space="preserve"> most recently available 2013 grantee data: </w:t>
      </w:r>
      <w:r w:rsidRPr="00BB2D45">
        <w:t>Large</w:t>
      </w:r>
      <w:r>
        <w:t xml:space="preserve"> Grantees</w:t>
      </w:r>
      <w:r w:rsidRPr="00BB2D45">
        <w:t xml:space="preserve"> (those with more than 900 unduplicated volunteers), Medium</w:t>
      </w:r>
      <w:r>
        <w:t xml:space="preserve"> Grantees</w:t>
      </w:r>
      <w:r w:rsidRPr="00BB2D45">
        <w:t xml:space="preserve"> (501-900 volunteers) and Small</w:t>
      </w:r>
      <w:r>
        <w:t xml:space="preserve"> Grantees (1</w:t>
      </w:r>
      <w:r w:rsidRPr="00BB2D45">
        <w:t>-500 volunteers).</w:t>
      </w:r>
      <w:r>
        <w:t xml:space="preserve">  A total of 33 grantees will be sampled for </w:t>
      </w:r>
      <w:proofErr w:type="spellStart"/>
      <w:r>
        <w:t>inclusionin</w:t>
      </w:r>
      <w:proofErr w:type="spellEnd"/>
      <w:r>
        <w:t xml:space="preserve"> the study. </w:t>
      </w:r>
      <w:r w:rsidRPr="00A469F8">
        <w:t>Table 3</w:t>
      </w:r>
      <w:r>
        <w:t xml:space="preserve"> shows the number of grantees in each stratum, total and average number of estimated unduplicated volunteers for each stratum, and the proposed number of sampled grantees within each stratum. Based on previous experience conducting studies with Senior Corps grantees, we anticipate that the actual number of unduplicated volunteers will be lower than the estimated number that is recorded in CNCS’s database. The variance between the actual and the projected number is expected to be greater among the small and medium size grantees. In order to account for this variance, and to assure there is a sufficient pool of volunteers to meet the allocation within each stratum, JBS will over-sample the number of small and medium size grantees to be included in the study. As illustrated in </w:t>
      </w:r>
      <w:r w:rsidRPr="00A469F8">
        <w:t xml:space="preserve">Table </w:t>
      </w:r>
      <w:r>
        <w:t xml:space="preserve">5, JBS will include 14 grantees in the small stratum and 13 grantees in the medium stratum. In the large stratum, the largest grantee with an estimated number of 6,000 unduplicated volunteers will be selected with certainty; an additional 5 grantees will be selected in the large stratum. Within each stratum, grantees will be selected proportional to the number of unduplicated volunteers. </w:t>
      </w:r>
    </w:p>
    <w:p w:rsidR="008F10D3" w:rsidRDefault="008F10D3" w:rsidP="008F10D3"/>
    <w:p w:rsidR="008F10D3" w:rsidRDefault="008F10D3" w:rsidP="008F10D3">
      <w:r w:rsidRPr="00755E25">
        <w:t xml:space="preserve">Table </w:t>
      </w:r>
      <w:r>
        <w:t>5</w:t>
      </w:r>
      <w:r w:rsidRPr="00755E25">
        <w:t xml:space="preserve">.RSVP Sampling </w:t>
      </w:r>
    </w:p>
    <w:p w:rsidR="008F10D3" w:rsidRDefault="008F10D3" w:rsidP="008F10D3"/>
    <w:tbl>
      <w:tblPr>
        <w:tblStyle w:val="TableGrid"/>
        <w:tblW w:w="4167" w:type="pct"/>
        <w:tblLook w:val="04A0"/>
      </w:tblPr>
      <w:tblGrid>
        <w:gridCol w:w="1593"/>
        <w:gridCol w:w="1595"/>
        <w:gridCol w:w="1604"/>
        <w:gridCol w:w="1596"/>
        <w:gridCol w:w="1593"/>
      </w:tblGrid>
      <w:tr w:rsidR="008F10D3" w:rsidTr="00C02A80">
        <w:tc>
          <w:tcPr>
            <w:tcW w:w="998" w:type="pct"/>
          </w:tcPr>
          <w:p w:rsidR="008F10D3" w:rsidRPr="00A469F8" w:rsidRDefault="008F10D3" w:rsidP="00C02A80">
            <w:pPr>
              <w:rPr>
                <w:b/>
              </w:rPr>
            </w:pPr>
          </w:p>
        </w:tc>
        <w:tc>
          <w:tcPr>
            <w:tcW w:w="999" w:type="pct"/>
          </w:tcPr>
          <w:p w:rsidR="008F10D3" w:rsidRPr="00A469F8" w:rsidRDefault="008F10D3" w:rsidP="00C02A80">
            <w:pPr>
              <w:rPr>
                <w:b/>
              </w:rPr>
            </w:pPr>
          </w:p>
        </w:tc>
        <w:tc>
          <w:tcPr>
            <w:tcW w:w="2005" w:type="pct"/>
            <w:gridSpan w:val="2"/>
          </w:tcPr>
          <w:p w:rsidR="008F10D3" w:rsidRPr="00A469F8" w:rsidRDefault="008F10D3" w:rsidP="00C02A80">
            <w:pPr>
              <w:rPr>
                <w:b/>
              </w:rPr>
            </w:pPr>
            <w:r w:rsidRPr="00A469F8">
              <w:rPr>
                <w:b/>
              </w:rPr>
              <w:t xml:space="preserve">Estimated </w:t>
            </w:r>
            <w:r>
              <w:rPr>
                <w:b/>
              </w:rPr>
              <w:t xml:space="preserve">Average </w:t>
            </w:r>
            <w:r w:rsidRPr="00A469F8">
              <w:rPr>
                <w:b/>
              </w:rPr>
              <w:t>Number of Unduplicated Volunteers</w:t>
            </w:r>
          </w:p>
        </w:tc>
        <w:tc>
          <w:tcPr>
            <w:tcW w:w="999" w:type="pct"/>
          </w:tcPr>
          <w:p w:rsidR="008F10D3" w:rsidRPr="00A469F8" w:rsidRDefault="008F10D3" w:rsidP="00C02A80">
            <w:pPr>
              <w:rPr>
                <w:b/>
              </w:rPr>
            </w:pPr>
          </w:p>
        </w:tc>
      </w:tr>
      <w:tr w:rsidR="008F10D3" w:rsidTr="00C02A80">
        <w:tc>
          <w:tcPr>
            <w:tcW w:w="998" w:type="pct"/>
          </w:tcPr>
          <w:p w:rsidR="008F10D3" w:rsidRPr="00A469F8" w:rsidRDefault="008F10D3" w:rsidP="00C02A80">
            <w:pPr>
              <w:rPr>
                <w:b/>
              </w:rPr>
            </w:pPr>
            <w:r w:rsidRPr="00A469F8">
              <w:rPr>
                <w:b/>
              </w:rPr>
              <w:t>Stratum</w:t>
            </w:r>
          </w:p>
        </w:tc>
        <w:tc>
          <w:tcPr>
            <w:tcW w:w="999" w:type="pct"/>
          </w:tcPr>
          <w:p w:rsidR="008F10D3" w:rsidRPr="00A469F8" w:rsidRDefault="008F10D3" w:rsidP="00C02A80">
            <w:pPr>
              <w:jc w:val="center"/>
              <w:rPr>
                <w:b/>
              </w:rPr>
            </w:pPr>
            <w:r w:rsidRPr="00A469F8">
              <w:rPr>
                <w:b/>
              </w:rPr>
              <w:t>Actual Number of Grantees</w:t>
            </w:r>
          </w:p>
        </w:tc>
        <w:tc>
          <w:tcPr>
            <w:tcW w:w="1005" w:type="pct"/>
          </w:tcPr>
          <w:p w:rsidR="008F10D3" w:rsidRPr="00A469F8" w:rsidRDefault="008F10D3" w:rsidP="00C02A80">
            <w:pPr>
              <w:jc w:val="center"/>
              <w:rPr>
                <w:b/>
              </w:rPr>
            </w:pPr>
            <w:r w:rsidRPr="00A469F8">
              <w:rPr>
                <w:b/>
              </w:rPr>
              <w:t>Mean</w:t>
            </w:r>
          </w:p>
        </w:tc>
        <w:tc>
          <w:tcPr>
            <w:tcW w:w="1000" w:type="pct"/>
          </w:tcPr>
          <w:p w:rsidR="008F10D3" w:rsidRPr="00A469F8" w:rsidRDefault="008F10D3" w:rsidP="00C02A80">
            <w:pPr>
              <w:jc w:val="center"/>
              <w:rPr>
                <w:b/>
              </w:rPr>
            </w:pPr>
            <w:r w:rsidRPr="00A469F8">
              <w:rPr>
                <w:b/>
              </w:rPr>
              <w:t>Range</w:t>
            </w:r>
          </w:p>
        </w:tc>
        <w:tc>
          <w:tcPr>
            <w:tcW w:w="999" w:type="pct"/>
          </w:tcPr>
          <w:p w:rsidR="008F10D3" w:rsidRPr="00A469F8" w:rsidRDefault="008F10D3" w:rsidP="00C02A80">
            <w:pPr>
              <w:jc w:val="center"/>
              <w:rPr>
                <w:b/>
              </w:rPr>
            </w:pPr>
            <w:r w:rsidRPr="00A469F8">
              <w:rPr>
                <w:b/>
              </w:rPr>
              <w:t>Proposed Sampled Grantees</w:t>
            </w:r>
          </w:p>
        </w:tc>
      </w:tr>
      <w:tr w:rsidR="008F10D3" w:rsidTr="00C02A80">
        <w:tc>
          <w:tcPr>
            <w:tcW w:w="998" w:type="pct"/>
          </w:tcPr>
          <w:p w:rsidR="008F10D3" w:rsidRDefault="008F10D3" w:rsidP="00C02A80">
            <w:r>
              <w:t>Small</w:t>
            </w:r>
          </w:p>
        </w:tc>
        <w:tc>
          <w:tcPr>
            <w:tcW w:w="999" w:type="pct"/>
          </w:tcPr>
          <w:p w:rsidR="008F10D3" w:rsidRDefault="008F10D3" w:rsidP="00C02A80">
            <w:pPr>
              <w:jc w:val="center"/>
            </w:pPr>
            <w:r>
              <w:t>79</w:t>
            </w:r>
          </w:p>
        </w:tc>
        <w:tc>
          <w:tcPr>
            <w:tcW w:w="1005" w:type="pct"/>
          </w:tcPr>
          <w:p w:rsidR="008F10D3" w:rsidRDefault="008F10D3" w:rsidP="00C02A80">
            <w:pPr>
              <w:jc w:val="center"/>
            </w:pPr>
            <w:r>
              <w:t>335</w:t>
            </w:r>
          </w:p>
        </w:tc>
        <w:tc>
          <w:tcPr>
            <w:tcW w:w="1000" w:type="pct"/>
          </w:tcPr>
          <w:p w:rsidR="008F10D3" w:rsidRDefault="008F10D3" w:rsidP="00C02A80">
            <w:pPr>
              <w:jc w:val="center"/>
            </w:pPr>
            <w:r>
              <w:t>1-500</w:t>
            </w:r>
          </w:p>
        </w:tc>
        <w:tc>
          <w:tcPr>
            <w:tcW w:w="999" w:type="pct"/>
          </w:tcPr>
          <w:p w:rsidR="008F10D3" w:rsidRDefault="008F10D3" w:rsidP="00C02A80">
            <w:pPr>
              <w:jc w:val="center"/>
            </w:pPr>
            <w:r>
              <w:t>14</w:t>
            </w:r>
          </w:p>
        </w:tc>
      </w:tr>
      <w:tr w:rsidR="008F10D3" w:rsidTr="00C02A80">
        <w:tc>
          <w:tcPr>
            <w:tcW w:w="998" w:type="pct"/>
          </w:tcPr>
          <w:p w:rsidR="008F10D3" w:rsidRDefault="008F10D3" w:rsidP="00C02A80">
            <w:r>
              <w:t>Medium</w:t>
            </w:r>
          </w:p>
        </w:tc>
        <w:tc>
          <w:tcPr>
            <w:tcW w:w="999" w:type="pct"/>
          </w:tcPr>
          <w:p w:rsidR="008F10D3" w:rsidRDefault="008F10D3" w:rsidP="00C02A80">
            <w:pPr>
              <w:jc w:val="center"/>
            </w:pPr>
            <w:r>
              <w:t>69</w:t>
            </w:r>
          </w:p>
        </w:tc>
        <w:tc>
          <w:tcPr>
            <w:tcW w:w="1005" w:type="pct"/>
          </w:tcPr>
          <w:p w:rsidR="008F10D3" w:rsidRDefault="008F10D3" w:rsidP="00C02A80">
            <w:pPr>
              <w:jc w:val="center"/>
            </w:pPr>
            <w:r>
              <w:t>690</w:t>
            </w:r>
          </w:p>
        </w:tc>
        <w:tc>
          <w:tcPr>
            <w:tcW w:w="1000" w:type="pct"/>
          </w:tcPr>
          <w:p w:rsidR="008F10D3" w:rsidRDefault="008F10D3" w:rsidP="00C02A80">
            <w:pPr>
              <w:jc w:val="center"/>
            </w:pPr>
            <w:r>
              <w:t>501-900</w:t>
            </w:r>
          </w:p>
        </w:tc>
        <w:tc>
          <w:tcPr>
            <w:tcW w:w="999" w:type="pct"/>
          </w:tcPr>
          <w:p w:rsidR="008F10D3" w:rsidRDefault="008F10D3" w:rsidP="00C02A80">
            <w:pPr>
              <w:jc w:val="center"/>
            </w:pPr>
            <w:r>
              <w:t>13</w:t>
            </w:r>
          </w:p>
        </w:tc>
      </w:tr>
      <w:tr w:rsidR="008F10D3" w:rsidTr="00C02A80">
        <w:tc>
          <w:tcPr>
            <w:tcW w:w="998" w:type="pct"/>
          </w:tcPr>
          <w:p w:rsidR="008F10D3" w:rsidRDefault="008F10D3" w:rsidP="00C02A80">
            <w:r>
              <w:t>Large</w:t>
            </w:r>
          </w:p>
        </w:tc>
        <w:tc>
          <w:tcPr>
            <w:tcW w:w="999" w:type="pct"/>
          </w:tcPr>
          <w:p w:rsidR="008F10D3" w:rsidRDefault="008F10D3" w:rsidP="00C02A80">
            <w:pPr>
              <w:jc w:val="center"/>
            </w:pPr>
            <w:r>
              <w:t>62</w:t>
            </w:r>
          </w:p>
        </w:tc>
        <w:tc>
          <w:tcPr>
            <w:tcW w:w="1005" w:type="pct"/>
          </w:tcPr>
          <w:p w:rsidR="008F10D3" w:rsidRDefault="008F10D3" w:rsidP="00C02A80">
            <w:pPr>
              <w:jc w:val="center"/>
            </w:pPr>
            <w:r>
              <w:t>1407</w:t>
            </w:r>
          </w:p>
        </w:tc>
        <w:tc>
          <w:tcPr>
            <w:tcW w:w="1000" w:type="pct"/>
          </w:tcPr>
          <w:p w:rsidR="008F10D3" w:rsidRDefault="008F10D3" w:rsidP="00C02A80">
            <w:pPr>
              <w:jc w:val="center"/>
            </w:pPr>
            <w:r>
              <w:t>910-6006</w:t>
            </w:r>
          </w:p>
        </w:tc>
        <w:tc>
          <w:tcPr>
            <w:tcW w:w="999" w:type="pct"/>
          </w:tcPr>
          <w:p w:rsidR="008F10D3" w:rsidRDefault="008F10D3" w:rsidP="00C02A80">
            <w:pPr>
              <w:jc w:val="center"/>
            </w:pPr>
            <w:r>
              <w:t>6</w:t>
            </w:r>
          </w:p>
        </w:tc>
      </w:tr>
    </w:tbl>
    <w:p w:rsidR="008F10D3" w:rsidRDefault="008F10D3" w:rsidP="008F10D3">
      <w:r>
        <w:t xml:space="preserve">Note: The table is based on current data </w:t>
      </w:r>
      <w:bookmarkStart w:id="0" w:name="_GoBack"/>
      <w:bookmarkEnd w:id="0"/>
      <w:r>
        <w:t xml:space="preserve">for all Fiscal Year 2013 RSVP grantees. </w:t>
      </w:r>
    </w:p>
    <w:p w:rsidR="008F10D3" w:rsidRPr="00BB2D45" w:rsidRDefault="008F10D3" w:rsidP="008F10D3"/>
    <w:p w:rsidR="008F10D3" w:rsidRPr="00BB2D45" w:rsidRDefault="008F10D3" w:rsidP="008F10D3">
      <w:r>
        <w:t>For the second stage of sampling, JBS will s</w:t>
      </w:r>
      <w:r w:rsidRPr="00BB2D45">
        <w:t>elect stations within grantee</w:t>
      </w:r>
      <w:r>
        <w:t>s using the following process:</w:t>
      </w:r>
    </w:p>
    <w:p w:rsidR="008F10D3" w:rsidRDefault="008F10D3" w:rsidP="008F10D3">
      <w:pPr>
        <w:numPr>
          <w:ilvl w:val="0"/>
          <w:numId w:val="3"/>
        </w:numPr>
        <w:spacing w:after="200" w:line="276" w:lineRule="auto"/>
        <w:ind w:left="360"/>
        <w:contextualSpacing/>
      </w:pPr>
      <w:r>
        <w:t>JBS will o</w:t>
      </w:r>
      <w:r w:rsidRPr="00BB2D45">
        <w:t xml:space="preserve">btain information on stations/sites from sampled grantees. This intermediate step will provide information on the number of stations and expected number of volunteers within each station for each of the </w:t>
      </w:r>
      <w:r>
        <w:t xml:space="preserve">sampled </w:t>
      </w:r>
      <w:r w:rsidRPr="00BB2D45">
        <w:t>grantees. The information on stations will inform whether we will sample stations</w:t>
      </w:r>
      <w:r>
        <w:t xml:space="preserve"> within grantee</w:t>
      </w:r>
      <w:r w:rsidRPr="00BB2D45">
        <w:t xml:space="preserve"> using </w:t>
      </w:r>
      <w:r>
        <w:t>probabilities proportional to size (</w:t>
      </w:r>
      <w:r w:rsidRPr="00BB2D45">
        <w:t>PPS</w:t>
      </w:r>
      <w:r>
        <w:t>)</w:t>
      </w:r>
      <w:r w:rsidRPr="00BB2D45">
        <w:t>. If a selected grantee only has one station/site, then the station/site is selected with certainty.</w:t>
      </w:r>
    </w:p>
    <w:p w:rsidR="008F10D3" w:rsidRPr="00BB2D45" w:rsidRDefault="008F10D3" w:rsidP="008F10D3">
      <w:pPr>
        <w:numPr>
          <w:ilvl w:val="0"/>
          <w:numId w:val="3"/>
        </w:numPr>
        <w:spacing w:after="200" w:line="276" w:lineRule="auto"/>
        <w:ind w:left="360"/>
        <w:contextualSpacing/>
      </w:pPr>
      <w:r w:rsidRPr="00BB2D45">
        <w:t xml:space="preserve">Each grantee </w:t>
      </w:r>
      <w:r>
        <w:t>will</w:t>
      </w:r>
      <w:r w:rsidRPr="00BB2D45">
        <w:t xml:space="preserve"> provide a list of their stations. The list should include the following information:</w:t>
      </w:r>
    </w:p>
    <w:p w:rsidR="008F10D3" w:rsidRPr="00BB2D45" w:rsidRDefault="008F10D3" w:rsidP="008F10D3">
      <w:pPr>
        <w:numPr>
          <w:ilvl w:val="0"/>
          <w:numId w:val="4"/>
        </w:numPr>
        <w:spacing w:after="200" w:line="276" w:lineRule="auto"/>
        <w:ind w:left="1080"/>
        <w:contextualSpacing/>
      </w:pPr>
      <w:r w:rsidRPr="00BB2D45">
        <w:t>Each station’s unique identifier  (e.g., name)</w:t>
      </w:r>
    </w:p>
    <w:p w:rsidR="008F10D3" w:rsidRPr="00BB2D45" w:rsidRDefault="008F10D3" w:rsidP="008F10D3">
      <w:pPr>
        <w:numPr>
          <w:ilvl w:val="0"/>
          <w:numId w:val="4"/>
        </w:numPr>
        <w:spacing w:after="200" w:line="276" w:lineRule="auto"/>
        <w:ind w:left="1080"/>
        <w:contextualSpacing/>
      </w:pPr>
      <w:r w:rsidRPr="00BB2D45">
        <w:t xml:space="preserve">Number of volunteers </w:t>
      </w:r>
      <w:r>
        <w:t>at</w:t>
      </w:r>
      <w:r w:rsidRPr="00BB2D45">
        <w:t xml:space="preserve"> each station</w:t>
      </w:r>
    </w:p>
    <w:p w:rsidR="008F10D3" w:rsidRPr="00BB2D45" w:rsidRDefault="008F10D3" w:rsidP="008F10D3">
      <w:pPr>
        <w:numPr>
          <w:ilvl w:val="0"/>
          <w:numId w:val="4"/>
        </w:numPr>
        <w:spacing w:after="200" w:line="276" w:lineRule="auto"/>
        <w:ind w:left="1080"/>
        <w:contextualSpacing/>
      </w:pPr>
      <w:r w:rsidRPr="00BB2D45">
        <w:t>City, state, zip code and 4-digit zip for each station</w:t>
      </w:r>
    </w:p>
    <w:p w:rsidR="008F10D3" w:rsidRDefault="008F10D3" w:rsidP="008F10D3">
      <w:pPr>
        <w:contextualSpacing/>
      </w:pPr>
    </w:p>
    <w:p w:rsidR="008F10D3" w:rsidRDefault="008F10D3" w:rsidP="008F10D3">
      <w:pPr>
        <w:contextualSpacing/>
      </w:pPr>
      <w:r>
        <w:t>For the third stage of sampling, JBS will select a sample of volunteers within each station using the following steps:</w:t>
      </w:r>
    </w:p>
    <w:p w:rsidR="008F10D3" w:rsidRPr="00BB2D45" w:rsidRDefault="008F10D3" w:rsidP="008F10D3">
      <w:pPr>
        <w:numPr>
          <w:ilvl w:val="0"/>
          <w:numId w:val="5"/>
        </w:numPr>
        <w:spacing w:after="200" w:line="276" w:lineRule="auto"/>
        <w:contextualSpacing/>
      </w:pPr>
      <w:r>
        <w:t>JBS would o</w:t>
      </w:r>
      <w:r w:rsidRPr="00BB2D45">
        <w:t xml:space="preserve">btain volunteer lists from each </w:t>
      </w:r>
      <w:r>
        <w:t>sampled station/site.</w:t>
      </w:r>
    </w:p>
    <w:p w:rsidR="008F10D3" w:rsidRPr="00BB2D45" w:rsidRDefault="008F10D3" w:rsidP="008F10D3">
      <w:pPr>
        <w:numPr>
          <w:ilvl w:val="0"/>
          <w:numId w:val="5"/>
        </w:numPr>
        <w:spacing w:after="200" w:line="276" w:lineRule="auto"/>
        <w:contextualSpacing/>
      </w:pPr>
      <w:r>
        <w:t xml:space="preserve">The list of volunteers will inform whether for any station we will draw a random sample of </w:t>
      </w:r>
      <w:proofErr w:type="spellStart"/>
      <w:r>
        <w:t>volunteers.The</w:t>
      </w:r>
      <w:proofErr w:type="spellEnd"/>
      <w:r>
        <w:t xml:space="preserve"> number of interviews allocated to each station will be proportional to the number of volunteers at that location. If volunteers are to be sampled, JBS will use simple random sample. </w:t>
      </w:r>
    </w:p>
    <w:p w:rsidR="008F10D3" w:rsidRDefault="008F10D3" w:rsidP="008F10D3"/>
    <w:p w:rsidR="008F10D3" w:rsidRDefault="008F10D3" w:rsidP="008F10D3">
      <w:r>
        <w:t xml:space="preserve">The list of volunteers will include full contact information such as name, contact phone number, primary language spoken to assist with assigning interviewers, and the volunteer’s primary assigned work plan. </w:t>
      </w:r>
      <w:r w:rsidRPr="00317E3F">
        <w:t xml:space="preserve">This information will be transferred to JBS via a secure upload process. </w:t>
      </w:r>
      <w:r>
        <w:t>Grantees and s</w:t>
      </w:r>
      <w:r w:rsidRPr="00317E3F">
        <w:t xml:space="preserve">tations will </w:t>
      </w:r>
      <w:proofErr w:type="spellStart"/>
      <w:r>
        <w:t>receivethe</w:t>
      </w:r>
      <w:proofErr w:type="spellEnd"/>
      <w:r>
        <w:t xml:space="preserve"> names of the sampled</w:t>
      </w:r>
      <w:r w:rsidRPr="00317E3F">
        <w:t xml:space="preserve"> volunt</w:t>
      </w:r>
      <w:r w:rsidRPr="00BB2D45">
        <w:t>eers</w:t>
      </w:r>
      <w:r>
        <w:t xml:space="preserve"> </w:t>
      </w:r>
      <w:proofErr w:type="spellStart"/>
      <w:r>
        <w:t>andwill</w:t>
      </w:r>
      <w:proofErr w:type="spellEnd"/>
      <w:r>
        <w:t xml:space="preserve"> be asked to </w:t>
      </w:r>
      <w:r w:rsidRPr="00BB2D45">
        <w:t xml:space="preserve">contact </w:t>
      </w:r>
      <w:r>
        <w:t xml:space="preserve">these </w:t>
      </w:r>
      <w:r w:rsidRPr="00BB2D45">
        <w:t xml:space="preserve">volunteers to let them know they </w:t>
      </w:r>
      <w:r>
        <w:t xml:space="preserve">have </w:t>
      </w:r>
      <w:proofErr w:type="spellStart"/>
      <w:r>
        <w:t>been</w:t>
      </w:r>
      <w:r w:rsidRPr="00BB2D45">
        <w:t>selected</w:t>
      </w:r>
      <w:proofErr w:type="spellEnd"/>
      <w:r w:rsidRPr="00BB2D45">
        <w:t xml:space="preserve"> to participate in t</w:t>
      </w:r>
      <w:r>
        <w:t>he study</w:t>
      </w:r>
      <w:r w:rsidRPr="00BB2D45">
        <w:t>.</w:t>
      </w:r>
    </w:p>
    <w:p w:rsidR="008F10D3" w:rsidRDefault="008F10D3" w:rsidP="008F10D3"/>
    <w:p w:rsidR="008F10D3" w:rsidRDefault="008F10D3" w:rsidP="008F10D3">
      <w:r w:rsidRPr="003D6E8C">
        <w:t>The expected sample size of 1,200 volunteer surveys will allow analysi</w:t>
      </w:r>
      <w:r>
        <w:t>s at</w:t>
      </w:r>
      <w:r w:rsidRPr="003D6E8C">
        <w:t xml:space="preserve">95 percent confidence interval of less than +/-5 percentage </w:t>
      </w:r>
      <w:proofErr w:type="spellStart"/>
      <w:r w:rsidRPr="003D6E8C">
        <w:t>pointsfor</w:t>
      </w:r>
      <w:proofErr w:type="spellEnd"/>
      <w:r w:rsidRPr="003D6E8C">
        <w:t xml:space="preserve"> two subgroups defined by Performance Measure </w:t>
      </w:r>
      <w:proofErr w:type="spellStart"/>
      <w:r w:rsidRPr="003D6E8C">
        <w:t>Categories.The</w:t>
      </w:r>
      <w:proofErr w:type="spellEnd"/>
      <w:r w:rsidRPr="003D6E8C">
        <w:t xml:space="preserve"> first subgroup will consist of all volunteers under the Primary Focus Area. The second subgroup will consist of volunteers under the Community Priorities Focus Area or Capacity Building Focus Area. Table </w:t>
      </w:r>
      <w:r>
        <w:t>6</w:t>
      </w:r>
      <w:r w:rsidRPr="003D6E8C">
        <w:t xml:space="preserve">shows the minimum detectable effect size for analysis of responses within the survey with a power of 0.80 and alpha value of 0.05. The sensitivity analysis shows that an effective sample size of 1,200 responses should allow us to detect effect size of about 0.08 to 0.10 depending on the statistical test performed. Subgroup analyses with a total of 600 responses within the subgroup should allow us to detect effect size of about 0.11 to 0.14. The stratified probability proportional to size sampling design proposed here is intended to be an equal probability sample. Although this equal probability </w:t>
      </w:r>
      <w:proofErr w:type="spellStart"/>
      <w:r w:rsidRPr="003D6E8C">
        <w:t>samplingdesign</w:t>
      </w:r>
      <w:proofErr w:type="spellEnd"/>
      <w:r w:rsidRPr="003D6E8C">
        <w:t xml:space="preserve"> deviates from a simple random sample, the design effect is expected to be close to 1.</w:t>
      </w:r>
    </w:p>
    <w:p w:rsidR="008F10D3" w:rsidRDefault="008F10D3" w:rsidP="008F10D3"/>
    <w:p w:rsidR="008F10D3" w:rsidRPr="003D5991" w:rsidRDefault="008F10D3" w:rsidP="008F10D3">
      <w:pPr>
        <w:pStyle w:val="Heading5"/>
        <w:rPr>
          <w:b w:val="0"/>
        </w:rPr>
      </w:pPr>
      <w:r w:rsidRPr="003D5991">
        <w:rPr>
          <w:b w:val="0"/>
        </w:rPr>
        <w:t xml:space="preserve">Table </w:t>
      </w:r>
      <w:r>
        <w:rPr>
          <w:b w:val="0"/>
        </w:rPr>
        <w:t>6</w:t>
      </w:r>
      <w:r w:rsidRPr="003D5991">
        <w:rPr>
          <w:b w:val="0"/>
        </w:rPr>
        <w:t>.Effect Size</w:t>
      </w:r>
    </w:p>
    <w:tbl>
      <w:tblPr>
        <w:tblW w:w="0" w:type="auto"/>
        <w:tblCellMar>
          <w:left w:w="0" w:type="dxa"/>
          <w:right w:w="0" w:type="dxa"/>
        </w:tblCellMar>
        <w:tblLook w:val="04A0"/>
      </w:tblPr>
      <w:tblGrid>
        <w:gridCol w:w="2430"/>
        <w:gridCol w:w="3150"/>
        <w:gridCol w:w="3150"/>
      </w:tblGrid>
      <w:tr w:rsidR="008F10D3" w:rsidRPr="003D6E8C" w:rsidTr="00C02A80">
        <w:tc>
          <w:tcPr>
            <w:tcW w:w="2430"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bottom"/>
            <w:hideMark/>
          </w:tcPr>
          <w:p w:rsidR="008F10D3" w:rsidRPr="003D6E8C" w:rsidRDefault="008F10D3" w:rsidP="00C02A80">
            <w:pPr>
              <w:pStyle w:val="Heading4"/>
              <w:jc w:val="center"/>
              <w:rPr>
                <w:rFonts w:ascii="Times New Roman" w:eastAsia="Times New Roman" w:hAnsi="Times New Roman" w:cs="Times New Roman"/>
                <w:sz w:val="24"/>
                <w:szCs w:val="24"/>
              </w:rPr>
            </w:pPr>
            <w:r w:rsidRPr="003D6E8C">
              <w:rPr>
                <w:rFonts w:ascii="Times New Roman" w:eastAsia="Times New Roman" w:hAnsi="Times New Roman" w:cs="Times New Roman"/>
                <w:sz w:val="24"/>
                <w:szCs w:val="24"/>
              </w:rPr>
              <w:t>Effective Sample Size</w:t>
            </w:r>
          </w:p>
        </w:tc>
        <w:tc>
          <w:tcPr>
            <w:tcW w:w="3150" w:type="dxa"/>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bottom"/>
            <w:hideMark/>
          </w:tcPr>
          <w:p w:rsidR="008F10D3" w:rsidRPr="003D6E8C" w:rsidRDefault="008F10D3" w:rsidP="00C02A80">
            <w:pPr>
              <w:jc w:val="center"/>
              <w:rPr>
                <w:rFonts w:eastAsiaTheme="minorHAnsi"/>
                <w:b/>
                <w:bCs/>
                <w:sz w:val="22"/>
                <w:szCs w:val="22"/>
              </w:rPr>
            </w:pPr>
            <w:r w:rsidRPr="003D6E8C">
              <w:rPr>
                <w:b/>
                <w:bCs/>
              </w:rPr>
              <w:t xml:space="preserve">Point </w:t>
            </w:r>
            <w:proofErr w:type="spellStart"/>
            <w:r w:rsidRPr="003D6E8C">
              <w:rPr>
                <w:b/>
                <w:bCs/>
              </w:rPr>
              <w:t>Biserial</w:t>
            </w:r>
            <w:proofErr w:type="spellEnd"/>
            <w:r w:rsidRPr="003D6E8C">
              <w:rPr>
                <w:b/>
                <w:bCs/>
              </w:rPr>
              <w:t xml:space="preserve"> Correlation</w:t>
            </w:r>
          </w:p>
        </w:tc>
        <w:tc>
          <w:tcPr>
            <w:tcW w:w="3150" w:type="dxa"/>
            <w:tcBorders>
              <w:top w:val="single" w:sz="8" w:space="0" w:color="auto"/>
              <w:left w:val="nil"/>
              <w:bottom w:val="single" w:sz="8" w:space="0" w:color="auto"/>
              <w:right w:val="single" w:sz="8" w:space="0" w:color="auto"/>
            </w:tcBorders>
            <w:shd w:val="clear" w:color="auto" w:fill="auto"/>
          </w:tcPr>
          <w:p w:rsidR="008F10D3" w:rsidRPr="003D6E8C" w:rsidRDefault="008F10D3" w:rsidP="00C02A80">
            <w:pPr>
              <w:jc w:val="center"/>
              <w:rPr>
                <w:b/>
                <w:bCs/>
              </w:rPr>
            </w:pPr>
            <w:r>
              <w:rPr>
                <w:b/>
                <w:bCs/>
              </w:rPr>
              <w:t>Goodness-of-fit Test</w:t>
            </w:r>
          </w:p>
        </w:tc>
      </w:tr>
      <w:tr w:rsidR="008F10D3" w:rsidRPr="003D6E8C" w:rsidTr="00C02A80">
        <w:tc>
          <w:tcPr>
            <w:tcW w:w="2430" w:type="dxa"/>
            <w:tcBorders>
              <w:top w:val="single" w:sz="4" w:space="0" w:color="auto"/>
              <w:left w:val="single" w:sz="8" w:space="0" w:color="auto"/>
              <w:bottom w:val="single" w:sz="4"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600</w:t>
            </w:r>
          </w:p>
        </w:tc>
        <w:tc>
          <w:tcPr>
            <w:tcW w:w="3150" w:type="dxa"/>
            <w:tcBorders>
              <w:top w:val="single" w:sz="4" w:space="0" w:color="auto"/>
              <w:left w:val="nil"/>
              <w:bottom w:val="single" w:sz="4"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0.11</w:t>
            </w:r>
          </w:p>
        </w:tc>
        <w:tc>
          <w:tcPr>
            <w:tcW w:w="3150" w:type="dxa"/>
            <w:tcBorders>
              <w:top w:val="single" w:sz="4" w:space="0" w:color="auto"/>
              <w:left w:val="nil"/>
              <w:bottom w:val="single" w:sz="4"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0.15</w:t>
            </w:r>
          </w:p>
        </w:tc>
      </w:tr>
      <w:tr w:rsidR="008F10D3" w:rsidRPr="003D6E8C" w:rsidTr="00C02A80">
        <w:tc>
          <w:tcPr>
            <w:tcW w:w="2430" w:type="dxa"/>
            <w:tcBorders>
              <w:top w:val="single" w:sz="4" w:space="0" w:color="auto"/>
              <w:left w:val="single" w:sz="8" w:space="0" w:color="auto"/>
              <w:bottom w:val="single" w:sz="4"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700</w:t>
            </w:r>
          </w:p>
        </w:tc>
        <w:tc>
          <w:tcPr>
            <w:tcW w:w="3150" w:type="dxa"/>
            <w:tcBorders>
              <w:top w:val="single" w:sz="4" w:space="0" w:color="auto"/>
              <w:left w:val="nil"/>
              <w:bottom w:val="single" w:sz="4"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0.10</w:t>
            </w:r>
          </w:p>
        </w:tc>
        <w:tc>
          <w:tcPr>
            <w:tcW w:w="3150" w:type="dxa"/>
            <w:tcBorders>
              <w:top w:val="single" w:sz="4" w:space="0" w:color="auto"/>
              <w:left w:val="nil"/>
              <w:bottom w:val="single" w:sz="4"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0.14</w:t>
            </w:r>
          </w:p>
        </w:tc>
      </w:tr>
      <w:tr w:rsidR="008F10D3" w:rsidRPr="003D6E8C" w:rsidTr="00C02A80">
        <w:tc>
          <w:tcPr>
            <w:tcW w:w="2430" w:type="dxa"/>
            <w:tcBorders>
              <w:top w:val="single" w:sz="4" w:space="0" w:color="auto"/>
              <w:left w:val="single" w:sz="8" w:space="0" w:color="auto"/>
              <w:bottom w:val="single" w:sz="4"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800</w:t>
            </w:r>
          </w:p>
        </w:tc>
        <w:tc>
          <w:tcPr>
            <w:tcW w:w="3150" w:type="dxa"/>
            <w:tcBorders>
              <w:top w:val="single" w:sz="4" w:space="0" w:color="auto"/>
              <w:left w:val="nil"/>
              <w:bottom w:val="single" w:sz="4"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0.10</w:t>
            </w:r>
          </w:p>
        </w:tc>
        <w:tc>
          <w:tcPr>
            <w:tcW w:w="3150" w:type="dxa"/>
            <w:tcBorders>
              <w:top w:val="single" w:sz="4" w:space="0" w:color="auto"/>
              <w:left w:val="nil"/>
              <w:bottom w:val="single" w:sz="4"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0.13</w:t>
            </w:r>
          </w:p>
        </w:tc>
      </w:tr>
      <w:tr w:rsidR="008F10D3" w:rsidRPr="003D6E8C" w:rsidTr="00C02A80">
        <w:tc>
          <w:tcPr>
            <w:tcW w:w="2430" w:type="dxa"/>
            <w:tcBorders>
              <w:top w:val="single" w:sz="4" w:space="0" w:color="auto"/>
              <w:left w:val="single" w:sz="8" w:space="0" w:color="auto"/>
              <w:bottom w:val="single" w:sz="4"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900</w:t>
            </w:r>
          </w:p>
        </w:tc>
        <w:tc>
          <w:tcPr>
            <w:tcW w:w="3150" w:type="dxa"/>
            <w:tcBorders>
              <w:top w:val="single" w:sz="4" w:space="0" w:color="auto"/>
              <w:left w:val="nil"/>
              <w:bottom w:val="single" w:sz="4"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0.09</w:t>
            </w:r>
          </w:p>
        </w:tc>
        <w:tc>
          <w:tcPr>
            <w:tcW w:w="3150" w:type="dxa"/>
            <w:tcBorders>
              <w:top w:val="single" w:sz="4" w:space="0" w:color="auto"/>
              <w:left w:val="nil"/>
              <w:bottom w:val="single" w:sz="4"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0.12</w:t>
            </w:r>
          </w:p>
        </w:tc>
      </w:tr>
      <w:tr w:rsidR="008F10D3" w:rsidRPr="003D6E8C" w:rsidTr="00C02A80">
        <w:tc>
          <w:tcPr>
            <w:tcW w:w="2430" w:type="dxa"/>
            <w:tcBorders>
              <w:top w:val="single" w:sz="4" w:space="0" w:color="auto"/>
              <w:left w:val="single" w:sz="8" w:space="0" w:color="auto"/>
              <w:bottom w:val="single" w:sz="4"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1000</w:t>
            </w:r>
          </w:p>
        </w:tc>
        <w:tc>
          <w:tcPr>
            <w:tcW w:w="3150" w:type="dxa"/>
            <w:tcBorders>
              <w:top w:val="single" w:sz="4" w:space="0" w:color="auto"/>
              <w:left w:val="nil"/>
              <w:bottom w:val="single" w:sz="4"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0.09</w:t>
            </w:r>
          </w:p>
        </w:tc>
        <w:tc>
          <w:tcPr>
            <w:tcW w:w="3150" w:type="dxa"/>
            <w:tcBorders>
              <w:top w:val="single" w:sz="4" w:space="0" w:color="auto"/>
              <w:left w:val="nil"/>
              <w:bottom w:val="single" w:sz="4"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0.11</w:t>
            </w:r>
          </w:p>
        </w:tc>
      </w:tr>
      <w:tr w:rsidR="008F10D3" w:rsidRPr="003D6E8C" w:rsidTr="00C02A80">
        <w:tc>
          <w:tcPr>
            <w:tcW w:w="2430" w:type="dxa"/>
            <w:tcBorders>
              <w:top w:val="single" w:sz="4" w:space="0" w:color="auto"/>
              <w:left w:val="single" w:sz="8" w:space="0" w:color="auto"/>
              <w:bottom w:val="single" w:sz="4"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1100</w:t>
            </w:r>
          </w:p>
        </w:tc>
        <w:tc>
          <w:tcPr>
            <w:tcW w:w="3150" w:type="dxa"/>
            <w:tcBorders>
              <w:top w:val="single" w:sz="4" w:space="0" w:color="auto"/>
              <w:left w:val="nil"/>
              <w:bottom w:val="single" w:sz="4"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0.08</w:t>
            </w:r>
          </w:p>
        </w:tc>
        <w:tc>
          <w:tcPr>
            <w:tcW w:w="3150" w:type="dxa"/>
            <w:tcBorders>
              <w:top w:val="single" w:sz="4" w:space="0" w:color="auto"/>
              <w:left w:val="nil"/>
              <w:bottom w:val="single" w:sz="4"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0.11</w:t>
            </w:r>
          </w:p>
        </w:tc>
      </w:tr>
      <w:tr w:rsidR="008F10D3" w:rsidTr="00C02A80">
        <w:tc>
          <w:tcPr>
            <w:tcW w:w="2430" w:type="dxa"/>
            <w:tcBorders>
              <w:top w:val="single" w:sz="4"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tcPr>
          <w:p w:rsidR="008F10D3" w:rsidRPr="003D6E8C" w:rsidRDefault="008F10D3" w:rsidP="00C02A80">
            <w:pPr>
              <w:tabs>
                <w:tab w:val="decimal" w:pos="1426"/>
              </w:tabs>
            </w:pPr>
            <w:r w:rsidRPr="003D6E8C">
              <w:t>1200</w:t>
            </w:r>
          </w:p>
        </w:tc>
        <w:tc>
          <w:tcPr>
            <w:tcW w:w="3150" w:type="dxa"/>
            <w:tcBorders>
              <w:top w:val="single" w:sz="4" w:space="0" w:color="auto"/>
              <w:left w:val="nil"/>
              <w:bottom w:val="single" w:sz="8" w:space="0" w:color="auto"/>
              <w:right w:val="single" w:sz="8" w:space="0" w:color="auto"/>
            </w:tcBorders>
            <w:shd w:val="clear" w:color="auto" w:fill="auto"/>
            <w:tcMar>
              <w:top w:w="0" w:type="dxa"/>
              <w:left w:w="115" w:type="dxa"/>
              <w:bottom w:w="0" w:type="dxa"/>
              <w:right w:w="115" w:type="dxa"/>
            </w:tcMar>
            <w:vAlign w:val="bottom"/>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0.08</w:t>
            </w:r>
          </w:p>
        </w:tc>
        <w:tc>
          <w:tcPr>
            <w:tcW w:w="3150" w:type="dxa"/>
            <w:tcBorders>
              <w:top w:val="single" w:sz="4" w:space="0" w:color="auto"/>
              <w:left w:val="nil"/>
              <w:bottom w:val="single" w:sz="8" w:space="0" w:color="auto"/>
              <w:right w:val="single" w:sz="8" w:space="0" w:color="auto"/>
            </w:tcBorders>
            <w:shd w:val="clear" w:color="auto" w:fill="auto"/>
          </w:tcPr>
          <w:p w:rsidR="008F10D3" w:rsidRPr="003D6E8C" w:rsidRDefault="008F10D3" w:rsidP="00C02A80">
            <w:pPr>
              <w:tabs>
                <w:tab w:val="decimal" w:pos="1461"/>
              </w:tabs>
              <w:rPr>
                <w:rFonts w:eastAsiaTheme="minorHAnsi"/>
                <w:sz w:val="22"/>
                <w:szCs w:val="22"/>
              </w:rPr>
            </w:pPr>
            <w:r w:rsidRPr="003D6E8C">
              <w:rPr>
                <w:rFonts w:eastAsiaTheme="minorHAnsi"/>
                <w:sz w:val="22"/>
                <w:szCs w:val="22"/>
              </w:rPr>
              <w:t>0.10</w:t>
            </w:r>
          </w:p>
        </w:tc>
      </w:tr>
    </w:tbl>
    <w:p w:rsidR="008F10D3" w:rsidRDefault="008F10D3" w:rsidP="008F10D3">
      <w:r>
        <w:t xml:space="preserve">Note: The point </w:t>
      </w:r>
      <w:proofErr w:type="spellStart"/>
      <w:r>
        <w:t>biserial</w:t>
      </w:r>
      <w:proofErr w:type="spellEnd"/>
      <w:r>
        <w:t xml:space="preserve"> correlation model assumes a two-tails t-test; the goodness-of-fit model is based on a chi-square test with 5 degrees of freedom. Both models assume a power of 0.80 and alpha value of 0.05.</w:t>
      </w:r>
    </w:p>
    <w:p w:rsidR="008F10D3" w:rsidRDefault="008F10D3" w:rsidP="008F10D3"/>
    <w:p w:rsidR="008F10D3" w:rsidRDefault="008F10D3" w:rsidP="008F10D3">
      <w:pPr>
        <w:pStyle w:val="ListParagraph"/>
        <w:numPr>
          <w:ilvl w:val="0"/>
          <w:numId w:val="1"/>
        </w:numPr>
        <w:autoSpaceDE w:val="0"/>
        <w:autoSpaceDN w:val="0"/>
        <w:adjustRightInd w:val="0"/>
        <w:rPr>
          <w:rFonts w:eastAsiaTheme="minorHAnsi"/>
        </w:rPr>
      </w:pPr>
      <w:r w:rsidRPr="003F2ECB">
        <w:rPr>
          <w:rFonts w:eastAsiaTheme="minorHAnsi"/>
        </w:rPr>
        <w:t>Procedures for Collection of Information</w:t>
      </w:r>
    </w:p>
    <w:p w:rsidR="008F10D3" w:rsidRDefault="008F10D3" w:rsidP="008F10D3">
      <w:pPr>
        <w:rPr>
          <w:rFonts w:eastAsiaTheme="minorHAnsi"/>
        </w:rPr>
      </w:pPr>
    </w:p>
    <w:p w:rsidR="008F10D3" w:rsidRPr="004C5A4F" w:rsidRDefault="008F10D3" w:rsidP="008F10D3">
      <w:r w:rsidRPr="007F008A">
        <w:t xml:space="preserve">JBS staff will obtain a list of the </w:t>
      </w:r>
      <w:r>
        <w:t xml:space="preserve">210RSVP </w:t>
      </w:r>
      <w:r w:rsidRPr="007F008A">
        <w:t xml:space="preserve">grantees from </w:t>
      </w:r>
      <w:proofErr w:type="spellStart"/>
      <w:r w:rsidRPr="007F008A">
        <w:t>CNCS.</w:t>
      </w:r>
      <w:r w:rsidRPr="004C5A4F">
        <w:t>The</w:t>
      </w:r>
      <w:proofErr w:type="spellEnd"/>
      <w:r w:rsidRPr="004C5A4F">
        <w:t xml:space="preserve"> list of grantees will include the name of the grantee or sponsor </w:t>
      </w:r>
      <w:proofErr w:type="spellStart"/>
      <w:r w:rsidRPr="004C5A4F">
        <w:t>organization,</w:t>
      </w:r>
      <w:r>
        <w:t>a</w:t>
      </w:r>
      <w:proofErr w:type="spellEnd"/>
      <w:r>
        <w:t xml:space="preserve"> list of </w:t>
      </w:r>
      <w:proofErr w:type="spellStart"/>
      <w:r>
        <w:t>workplans</w:t>
      </w:r>
      <w:proofErr w:type="spellEnd"/>
      <w:r>
        <w:t xml:space="preserve"> and </w:t>
      </w:r>
      <w:r w:rsidRPr="004C5A4F">
        <w:t>the</w:t>
      </w:r>
      <w:r>
        <w:t xml:space="preserve"> </w:t>
      </w:r>
      <w:proofErr w:type="spellStart"/>
      <w:r>
        <w:lastRenderedPageBreak/>
        <w:t>correspondingperformance</w:t>
      </w:r>
      <w:proofErr w:type="spellEnd"/>
      <w:r>
        <w:t xml:space="preserve"> measures activities, outputs and outcomes</w:t>
      </w:r>
      <w:r w:rsidRPr="004C5A4F">
        <w:t xml:space="preserve">, the number of </w:t>
      </w:r>
      <w:r>
        <w:t xml:space="preserve">unduplicated </w:t>
      </w:r>
      <w:r w:rsidRPr="004C5A4F">
        <w:t>volunteers</w:t>
      </w:r>
      <w:r>
        <w:t xml:space="preserve"> per </w:t>
      </w:r>
      <w:proofErr w:type="spellStart"/>
      <w:r>
        <w:t>workplan</w:t>
      </w:r>
      <w:proofErr w:type="spellEnd"/>
      <w:r w:rsidRPr="004C5A4F">
        <w:t xml:space="preserve">, and the state and city where the </w:t>
      </w:r>
      <w:proofErr w:type="spellStart"/>
      <w:r>
        <w:t>grantee</w:t>
      </w:r>
      <w:r w:rsidRPr="004C5A4F">
        <w:t>is</w:t>
      </w:r>
      <w:proofErr w:type="spellEnd"/>
      <w:r w:rsidRPr="004C5A4F">
        <w:t xml:space="preserve"> operating. Each grantee will provide JBS </w:t>
      </w:r>
      <w:r>
        <w:t xml:space="preserve">with </w:t>
      </w:r>
      <w:r w:rsidRPr="004C5A4F">
        <w:t xml:space="preserve">a list of </w:t>
      </w:r>
      <w:r>
        <w:t xml:space="preserve">stations and the number of volunteers at each </w:t>
      </w:r>
      <w:proofErr w:type="spellStart"/>
      <w:r>
        <w:t>station</w:t>
      </w:r>
      <w:r w:rsidRPr="004C5A4F">
        <w:t>that</w:t>
      </w:r>
      <w:proofErr w:type="spellEnd"/>
      <w:r w:rsidRPr="004C5A4F">
        <w:t xml:space="preserve"> will be needed to draw the total sample of </w:t>
      </w:r>
      <w:r>
        <w:t>1,500volunteers</w:t>
      </w:r>
      <w:r w:rsidRPr="004C5A4F">
        <w:t xml:space="preserve">. </w:t>
      </w:r>
      <w:r w:rsidRPr="006B7DDB">
        <w:t xml:space="preserve">The list will include </w:t>
      </w:r>
      <w:r>
        <w:t>the grantee/sponsoring organization, name and contact information for the grantee’s project director, the city and state where the volunteer station is operating, the total number of volunteers at each station, contact information for the stations and the sampled volunteers, and each sampled volunteer’s assigned primary work plan</w:t>
      </w:r>
      <w:r w:rsidRPr="006B7DDB">
        <w:t xml:space="preserve">. </w:t>
      </w:r>
      <w:r w:rsidRPr="004C5A4F">
        <w:t xml:space="preserve">JBS proposes to use </w:t>
      </w:r>
      <w:r>
        <w:t xml:space="preserve">probability </w:t>
      </w:r>
      <w:r w:rsidRPr="004C5A4F">
        <w:t xml:space="preserve">proportional </w:t>
      </w:r>
      <w:r>
        <w:t xml:space="preserve">to size </w:t>
      </w:r>
      <w:r w:rsidRPr="004C5A4F">
        <w:t xml:space="preserve">sampling, drawing upon the universe of </w:t>
      </w:r>
      <w:r>
        <w:t>210</w:t>
      </w:r>
      <w:r w:rsidRPr="004C5A4F">
        <w:t xml:space="preserve"> grantees. That is, </w:t>
      </w:r>
      <w:r>
        <w:t>JBS will first select 33 grantees from the universe of 210</w:t>
      </w:r>
      <w:r w:rsidRPr="004C5A4F">
        <w:t xml:space="preserve"> grantees</w:t>
      </w:r>
      <w:r>
        <w:t>. CNCS will notify each of the sampled grantees that they have been selected to participate in the study. Following notification from CNCS, JBS will contact the 33 project directors to explain the study, and to obtain information about the number of stations/sites and volunteers for their projects. Once the lists of stations/sites and volunteers are received from each RSVP project, a</w:t>
      </w:r>
      <w:r w:rsidRPr="004C5A4F">
        <w:t xml:space="preserve"> random sample of </w:t>
      </w:r>
      <w:proofErr w:type="spellStart"/>
      <w:r>
        <w:t>volunteers</w:t>
      </w:r>
      <w:r w:rsidRPr="004C5A4F">
        <w:t>will</w:t>
      </w:r>
      <w:proofErr w:type="spellEnd"/>
      <w:r w:rsidRPr="004C5A4F">
        <w:t xml:space="preserve"> be selected proportional to the number of </w:t>
      </w:r>
      <w:proofErr w:type="spellStart"/>
      <w:r>
        <w:t>volunteers</w:t>
      </w:r>
      <w:r w:rsidRPr="004C5A4F">
        <w:t>served</w:t>
      </w:r>
      <w:proofErr w:type="spellEnd"/>
      <w:r w:rsidRPr="004C5A4F">
        <w:t xml:space="preserve"> by the grantee</w:t>
      </w:r>
      <w:r>
        <w:t xml:space="preserve"> at their stations or sites</w:t>
      </w:r>
      <w:r w:rsidRPr="004C5A4F">
        <w:t xml:space="preserve">. </w:t>
      </w:r>
    </w:p>
    <w:p w:rsidR="008F10D3" w:rsidRDefault="008F10D3" w:rsidP="008F10D3"/>
    <w:p w:rsidR="008F10D3" w:rsidRDefault="008F10D3" w:rsidP="008F10D3">
      <w:r>
        <w:t xml:space="preserve">Each RSVP </w:t>
      </w:r>
      <w:proofErr w:type="spellStart"/>
      <w:r>
        <w:t>projectwill</w:t>
      </w:r>
      <w:proofErr w:type="spellEnd"/>
      <w:r>
        <w:t xml:space="preserve"> be provided the list of </w:t>
      </w:r>
      <w:proofErr w:type="spellStart"/>
      <w:r>
        <w:t>theirvolunteers</w:t>
      </w:r>
      <w:proofErr w:type="spellEnd"/>
      <w:r>
        <w:t xml:space="preserve"> sampled for the study. CNCS and JBS will </w:t>
      </w:r>
      <w:r w:rsidRPr="00F33B22">
        <w:t xml:space="preserve">engage proactively with </w:t>
      </w:r>
      <w:proofErr w:type="spellStart"/>
      <w:r>
        <w:t>theprojects</w:t>
      </w:r>
      <w:proofErr w:type="spellEnd"/>
      <w:r w:rsidRPr="00F33B22">
        <w:t xml:space="preserve"> to </w:t>
      </w:r>
      <w:r>
        <w:t xml:space="preserve">help them encourage their volunteers to participate to maximize the response rate. To facilitate this </w:t>
      </w:r>
      <w:r w:rsidRPr="00F33B22">
        <w:t xml:space="preserve">JBS will </w:t>
      </w:r>
      <w:r>
        <w:t xml:space="preserve">draft </w:t>
      </w:r>
      <w:r w:rsidRPr="00F33B22">
        <w:t xml:space="preserve">an </w:t>
      </w:r>
      <w:r>
        <w:t>invitation</w:t>
      </w:r>
      <w:r w:rsidRPr="00F33B22">
        <w:t xml:space="preserve"> letter for </w:t>
      </w:r>
      <w:r>
        <w:t>RSVP</w:t>
      </w:r>
      <w:r w:rsidRPr="00F33B22">
        <w:t xml:space="preserve"> project directors to </w:t>
      </w:r>
      <w:r>
        <w:t>give</w:t>
      </w:r>
      <w:r w:rsidRPr="00F33B22">
        <w:t xml:space="preserve"> to </w:t>
      </w:r>
      <w:r>
        <w:t>the sampled volunteers</w:t>
      </w:r>
      <w:r w:rsidRPr="00F33B22">
        <w:t xml:space="preserve">. </w:t>
      </w:r>
      <w:proofErr w:type="spellStart"/>
      <w:r>
        <w:t>Theinvitation</w:t>
      </w:r>
      <w:proofErr w:type="spellEnd"/>
      <w:r w:rsidRPr="00F33B22">
        <w:t xml:space="preserve"> will introduce JBS and </w:t>
      </w:r>
      <w:r>
        <w:t>its</w:t>
      </w:r>
      <w:r w:rsidRPr="00F33B22">
        <w:t xml:space="preserve"> function in the study, and succinctly inform potential </w:t>
      </w:r>
      <w:r>
        <w:t xml:space="preserve">respondents of the study’s </w:t>
      </w:r>
      <w:r w:rsidRPr="00CB74AB">
        <w:t xml:space="preserve">risks and benefits, and provide assurance of </w:t>
      </w:r>
      <w:r>
        <w:t>anonymity</w:t>
      </w:r>
      <w:r w:rsidRPr="00CB74AB">
        <w:t>. Respondents will also receive information on whom to contact if they have questions. Respondents will be informed of the voluntary nature of the research and that their responses will be anonymous.</w:t>
      </w:r>
    </w:p>
    <w:p w:rsidR="008F10D3" w:rsidRDefault="008F10D3" w:rsidP="008F10D3"/>
    <w:p w:rsidR="008F10D3" w:rsidRDefault="008F10D3" w:rsidP="008F10D3">
      <w:r>
        <w:t xml:space="preserve">Trained interviewers will make three contact attempts for each sampled volunteer. </w:t>
      </w:r>
      <w:r w:rsidRPr="00E54D81">
        <w:t xml:space="preserve">Upon contacting respondents, trained interviewers will explain the study and will provide information on who is conducting the study and why the study is being conducted. Interviewers will describe the background, research activities, risks and benefits, and provide assurance of </w:t>
      </w:r>
      <w:r>
        <w:t>anonymity</w:t>
      </w:r>
      <w:r w:rsidRPr="00E54D81">
        <w:t xml:space="preserve">. Respondents will also receive information on whom to contact if they have questions. Respondents will be informed of the voluntary nature of the research and their right to end participation at any time. Respondents will be informed that their responses will be anonymous. </w:t>
      </w:r>
      <w:r w:rsidRPr="0074663C">
        <w:t xml:space="preserve">Once the interviewing process begins, interviewers will enter </w:t>
      </w:r>
      <w:r>
        <w:t>responses</w:t>
      </w:r>
      <w:r w:rsidRPr="0074663C">
        <w:t xml:space="preserve"> directly </w:t>
      </w:r>
      <w:r>
        <w:t>into the CATI system</w:t>
      </w:r>
      <w:r w:rsidRPr="0074663C">
        <w:t xml:space="preserve">. </w:t>
      </w:r>
      <w:r>
        <w:t xml:space="preserve">The CATI has built-in protocols to monitor data collection activities such as progress, response and reasons for </w:t>
      </w:r>
      <w:proofErr w:type="spellStart"/>
      <w:r>
        <w:t>nonresponse</w:t>
      </w:r>
      <w:proofErr w:type="spellEnd"/>
      <w:r>
        <w:t xml:space="preserve"> for each contact attempt. In addition, r</w:t>
      </w:r>
      <w:r w:rsidRPr="0074663C">
        <w:t xml:space="preserve">esearch </w:t>
      </w:r>
      <w:r>
        <w:t>staff</w:t>
      </w:r>
      <w:r w:rsidRPr="0074663C">
        <w:t xml:space="preserve"> will review the </w:t>
      </w:r>
      <w:r>
        <w:t>data</w:t>
      </w:r>
      <w:r w:rsidRPr="0074663C">
        <w:t xml:space="preserve"> daily, as they are conducted, for completeness and quality. </w:t>
      </w:r>
      <w:r>
        <w:t>Research staff</w:t>
      </w:r>
      <w:r w:rsidRPr="0074663C">
        <w:t xml:space="preserve"> will </w:t>
      </w:r>
      <w:r>
        <w:t xml:space="preserve">periodically download the data to </w:t>
      </w:r>
      <w:r w:rsidRPr="0074663C">
        <w:t>cross-check queries so that potential missing fields and other discrepancies can be founded and corrected as part of the interviewing process.</w:t>
      </w:r>
    </w:p>
    <w:p w:rsidR="008F10D3" w:rsidRDefault="008F10D3" w:rsidP="008F10D3"/>
    <w:p w:rsidR="008F10D3" w:rsidRPr="003F6B70" w:rsidRDefault="008F10D3" w:rsidP="008F10D3">
      <w:pPr>
        <w:pStyle w:val="Heading1"/>
        <w:keepLines w:val="0"/>
        <w:numPr>
          <w:ilvl w:val="0"/>
          <w:numId w:val="2"/>
        </w:numPr>
        <w:spacing w:before="0" w:after="200"/>
        <w:rPr>
          <w:rFonts w:ascii="Times New Roman" w:eastAsia="Times New Roman" w:hAnsi="Times New Roman" w:cs="Times New Roman"/>
          <w:b w:val="0"/>
          <w:bCs w:val="0"/>
          <w:color w:val="auto"/>
          <w:sz w:val="24"/>
          <w:szCs w:val="24"/>
        </w:rPr>
      </w:pPr>
      <w:r w:rsidRPr="003F6B70">
        <w:rPr>
          <w:rFonts w:ascii="Times New Roman" w:eastAsia="Times New Roman" w:hAnsi="Times New Roman" w:cs="Times New Roman"/>
          <w:b w:val="0"/>
          <w:bCs w:val="0"/>
          <w:color w:val="auto"/>
          <w:sz w:val="24"/>
          <w:szCs w:val="24"/>
        </w:rPr>
        <w:t>Weights</w:t>
      </w:r>
    </w:p>
    <w:p w:rsidR="008F10D3" w:rsidRDefault="008F10D3" w:rsidP="008F10D3">
      <w:r>
        <w:t>While the PPS design proposed results in equal probabilities of selection, should there be unforeseen issues that make sampling or non-response weights appropriate, JBS will calculate them. JBS</w:t>
      </w:r>
      <w:r w:rsidRPr="00533121">
        <w:t xml:space="preserve"> will perform quality check</w:t>
      </w:r>
      <w:r>
        <w:t>s</w:t>
      </w:r>
      <w:r w:rsidRPr="00533121">
        <w:t xml:space="preserve"> on the weight calculation to catch programming or logic errors. </w:t>
      </w:r>
    </w:p>
    <w:p w:rsidR="008F10D3" w:rsidRDefault="008F10D3" w:rsidP="008F10D3"/>
    <w:p w:rsidR="008F10D3" w:rsidRDefault="008F10D3" w:rsidP="008F10D3">
      <w:pPr>
        <w:pStyle w:val="ListParagraph"/>
        <w:numPr>
          <w:ilvl w:val="0"/>
          <w:numId w:val="1"/>
        </w:numPr>
        <w:autoSpaceDE w:val="0"/>
        <w:autoSpaceDN w:val="0"/>
        <w:adjustRightInd w:val="0"/>
        <w:ind w:hanging="450"/>
        <w:rPr>
          <w:rFonts w:eastAsiaTheme="minorHAnsi"/>
        </w:rPr>
      </w:pPr>
      <w:r w:rsidRPr="00160755">
        <w:rPr>
          <w:rFonts w:eastAsiaTheme="minorHAnsi"/>
        </w:rPr>
        <w:t>Methods to Maximize Response Rates</w:t>
      </w:r>
    </w:p>
    <w:p w:rsidR="008F10D3" w:rsidRDefault="008F10D3" w:rsidP="008F10D3">
      <w:pPr>
        <w:autoSpaceDE w:val="0"/>
        <w:autoSpaceDN w:val="0"/>
        <w:adjustRightInd w:val="0"/>
        <w:rPr>
          <w:rFonts w:eastAsiaTheme="minorHAnsi"/>
        </w:rPr>
      </w:pPr>
    </w:p>
    <w:p w:rsidR="008F10D3" w:rsidRDefault="008F10D3" w:rsidP="008F10D3">
      <w:r>
        <w:t xml:space="preserve">Oversampling of volunteers will be used to ensure satisfactory response rates. We assume an80 percent response rate. CNCS will develop </w:t>
      </w:r>
      <w:r w:rsidRPr="00FE0FF3">
        <w:t xml:space="preserve">messaging </w:t>
      </w:r>
      <w:r>
        <w:t xml:space="preserve">to use with grantees that </w:t>
      </w:r>
      <w:r w:rsidRPr="00FE0FF3">
        <w:t>will emphasize the positive value of data collected</w:t>
      </w:r>
      <w:r>
        <w:t xml:space="preserve"> and their participation.</w:t>
      </w:r>
    </w:p>
    <w:p w:rsidR="008F10D3" w:rsidRDefault="008F10D3" w:rsidP="008F10D3">
      <w:pPr>
        <w:spacing w:line="276" w:lineRule="auto"/>
        <w:rPr>
          <w:rFonts w:eastAsiaTheme="minorHAnsi"/>
        </w:rPr>
      </w:pPr>
    </w:p>
    <w:p w:rsidR="008F10D3" w:rsidRDefault="008F10D3" w:rsidP="008F10D3">
      <w:pPr>
        <w:pStyle w:val="ListParagraph"/>
        <w:numPr>
          <w:ilvl w:val="0"/>
          <w:numId w:val="1"/>
        </w:numPr>
        <w:autoSpaceDE w:val="0"/>
        <w:autoSpaceDN w:val="0"/>
        <w:adjustRightInd w:val="0"/>
        <w:ind w:hanging="450"/>
        <w:rPr>
          <w:rFonts w:eastAsiaTheme="minorHAnsi"/>
        </w:rPr>
      </w:pPr>
      <w:r w:rsidRPr="00160755">
        <w:rPr>
          <w:rFonts w:eastAsiaTheme="minorHAnsi"/>
        </w:rPr>
        <w:t>Tests of Procedures or Methods</w:t>
      </w:r>
    </w:p>
    <w:p w:rsidR="008F10D3" w:rsidRDefault="008F10D3" w:rsidP="008F10D3">
      <w:pPr>
        <w:autoSpaceDE w:val="0"/>
        <w:autoSpaceDN w:val="0"/>
        <w:adjustRightInd w:val="0"/>
        <w:rPr>
          <w:rFonts w:eastAsiaTheme="minorHAnsi"/>
        </w:rPr>
      </w:pPr>
    </w:p>
    <w:p w:rsidR="008F10D3" w:rsidRDefault="008F10D3" w:rsidP="008F10D3">
      <w:pPr>
        <w:pStyle w:val="BodyText1"/>
        <w:rPr>
          <w:rFonts w:ascii="Times New Roman" w:hAnsi="Times New Roman"/>
          <w:sz w:val="24"/>
          <w:szCs w:val="24"/>
        </w:rPr>
      </w:pPr>
      <w:r w:rsidRPr="007E7E2F">
        <w:rPr>
          <w:rFonts w:ascii="Times New Roman" w:hAnsi="Times New Roman"/>
          <w:color w:val="auto"/>
          <w:sz w:val="24"/>
          <w:szCs w:val="24"/>
        </w:rPr>
        <w:t xml:space="preserve">The primary objective of the proposed research is to </w:t>
      </w:r>
      <w:r w:rsidRPr="007E7E2F">
        <w:rPr>
          <w:rFonts w:ascii="Times New Roman" w:hAnsi="Times New Roman"/>
          <w:sz w:val="24"/>
          <w:szCs w:val="24"/>
        </w:rPr>
        <w:t xml:space="preserve">examine the distribution of volunteers across types of work </w:t>
      </w:r>
      <w:proofErr w:type="spellStart"/>
      <w:r w:rsidRPr="007E7E2F">
        <w:rPr>
          <w:rFonts w:ascii="Times New Roman" w:hAnsi="Times New Roman"/>
          <w:sz w:val="24"/>
          <w:szCs w:val="24"/>
        </w:rPr>
        <w:t>plansand</w:t>
      </w:r>
      <w:proofErr w:type="spellEnd"/>
      <w:r w:rsidRPr="007E7E2F">
        <w:rPr>
          <w:rFonts w:ascii="Times New Roman" w:hAnsi="Times New Roman"/>
          <w:sz w:val="24"/>
          <w:szCs w:val="24"/>
        </w:rPr>
        <w:t xml:space="preserve"> </w:t>
      </w:r>
      <w:r w:rsidRPr="007E7E2F" w:rsidDel="00200241">
        <w:rPr>
          <w:rFonts w:ascii="Times New Roman" w:hAnsi="Times New Roman"/>
          <w:sz w:val="24"/>
          <w:szCs w:val="24"/>
        </w:rPr>
        <w:t>provide information on RSVP volunteer characteristics</w:t>
      </w:r>
      <w:r w:rsidRPr="007E7E2F">
        <w:rPr>
          <w:rFonts w:ascii="Times New Roman" w:hAnsi="Times New Roman"/>
          <w:sz w:val="24"/>
          <w:szCs w:val="24"/>
        </w:rPr>
        <w:t>, volunteer service activities</w:t>
      </w:r>
      <w:r w:rsidRPr="007E7E2F" w:rsidDel="00200241">
        <w:rPr>
          <w:rFonts w:ascii="Times New Roman" w:hAnsi="Times New Roman"/>
          <w:sz w:val="24"/>
          <w:szCs w:val="24"/>
        </w:rPr>
        <w:t xml:space="preserve"> and their psychosocial health</w:t>
      </w:r>
      <w:r w:rsidRPr="007E7E2F">
        <w:rPr>
          <w:rFonts w:ascii="Times New Roman" w:hAnsi="Times New Roman"/>
          <w:sz w:val="24"/>
          <w:szCs w:val="24"/>
        </w:rPr>
        <w:t xml:space="preserve">. The proposed </w:t>
      </w:r>
      <w:r>
        <w:rPr>
          <w:rFonts w:ascii="Times New Roman" w:hAnsi="Times New Roman"/>
          <w:sz w:val="24"/>
          <w:szCs w:val="24"/>
        </w:rPr>
        <w:t>evaluation</w:t>
      </w:r>
      <w:r w:rsidRPr="007E7E2F">
        <w:rPr>
          <w:rFonts w:ascii="Times New Roman" w:hAnsi="Times New Roman"/>
          <w:sz w:val="24"/>
          <w:szCs w:val="24"/>
        </w:rPr>
        <w:t xml:space="preserve"> is also designed to inform two future studies: 1</w:t>
      </w:r>
      <w:r w:rsidRPr="007E7E2F" w:rsidDel="00200241">
        <w:rPr>
          <w:rFonts w:ascii="Times New Roman" w:hAnsi="Times New Roman"/>
          <w:sz w:val="24"/>
          <w:szCs w:val="24"/>
        </w:rPr>
        <w:t xml:space="preserve">) allow for </w:t>
      </w:r>
      <w:r w:rsidRPr="007E7E2F">
        <w:rPr>
          <w:rFonts w:ascii="Times New Roman" w:hAnsi="Times New Roman"/>
          <w:sz w:val="24"/>
          <w:szCs w:val="24"/>
        </w:rPr>
        <w:t xml:space="preserve">a possible </w:t>
      </w:r>
      <w:r w:rsidRPr="007E7E2F" w:rsidDel="00200241">
        <w:rPr>
          <w:rFonts w:ascii="Times New Roman" w:hAnsi="Times New Roman"/>
          <w:sz w:val="24"/>
          <w:szCs w:val="24"/>
        </w:rPr>
        <w:t xml:space="preserve">quasi-experimental </w:t>
      </w:r>
      <w:r w:rsidRPr="007E7E2F">
        <w:rPr>
          <w:rFonts w:ascii="Times New Roman" w:hAnsi="Times New Roman"/>
          <w:sz w:val="24"/>
          <w:szCs w:val="24"/>
        </w:rPr>
        <w:t>study, and 2</w:t>
      </w:r>
      <w:r w:rsidRPr="007E7E2F" w:rsidDel="00200241">
        <w:rPr>
          <w:rFonts w:ascii="Times New Roman" w:hAnsi="Times New Roman"/>
          <w:sz w:val="24"/>
          <w:szCs w:val="24"/>
        </w:rPr>
        <w:t xml:space="preserve">) provide information on the relationships between the volunteer </w:t>
      </w:r>
      <w:r w:rsidRPr="007E7E2F">
        <w:rPr>
          <w:rFonts w:ascii="Times New Roman" w:hAnsi="Times New Roman"/>
          <w:sz w:val="24"/>
          <w:szCs w:val="24"/>
        </w:rPr>
        <w:t>service activities in</w:t>
      </w:r>
      <w:r w:rsidRPr="007E7E2F" w:rsidDel="00200241">
        <w:rPr>
          <w:rFonts w:ascii="Times New Roman" w:hAnsi="Times New Roman"/>
          <w:sz w:val="24"/>
          <w:szCs w:val="24"/>
        </w:rPr>
        <w:t xml:space="preserve"> a work plan and performance measurement data submitted by grantees in the future.</w:t>
      </w:r>
    </w:p>
    <w:p w:rsidR="008F10D3" w:rsidRDefault="008F10D3" w:rsidP="008F10D3">
      <w:pPr>
        <w:pStyle w:val="BodyText1"/>
        <w:rPr>
          <w:rFonts w:ascii="Times New Roman" w:hAnsi="Times New Roman"/>
          <w:sz w:val="24"/>
          <w:szCs w:val="24"/>
        </w:rPr>
      </w:pPr>
      <w:r w:rsidRPr="007E7E2F">
        <w:rPr>
          <w:rFonts w:ascii="Times New Roman" w:hAnsi="Times New Roman"/>
          <w:sz w:val="24"/>
          <w:szCs w:val="24"/>
        </w:rPr>
        <w:t xml:space="preserve">The strength of this plan is that it uses an equal probability sample which makes the analysis more straightforward and decreases complications in </w:t>
      </w:r>
      <w:r>
        <w:rPr>
          <w:rFonts w:ascii="Times New Roman" w:hAnsi="Times New Roman"/>
          <w:sz w:val="24"/>
          <w:szCs w:val="24"/>
        </w:rPr>
        <w:t>matching the volunteer data to another data for a quasi-experimental study</w:t>
      </w:r>
      <w:r w:rsidRPr="007E7E2F">
        <w:rPr>
          <w:rFonts w:ascii="Times New Roman" w:hAnsi="Times New Roman"/>
          <w:sz w:val="24"/>
          <w:szCs w:val="24"/>
        </w:rPr>
        <w:t>. The drawback of a design that samples unduplicated volunteers is that the number of responses per work plan will vary and though it is likely that the number of work plans with sampled volunteers would increase</w:t>
      </w:r>
      <w:r>
        <w:rPr>
          <w:rFonts w:ascii="Times New Roman" w:hAnsi="Times New Roman"/>
          <w:sz w:val="24"/>
          <w:szCs w:val="24"/>
        </w:rPr>
        <w:t>, it also means that</w:t>
      </w:r>
      <w:r w:rsidRPr="007E7E2F">
        <w:rPr>
          <w:rFonts w:ascii="Times New Roman" w:hAnsi="Times New Roman"/>
          <w:sz w:val="24"/>
          <w:szCs w:val="24"/>
        </w:rPr>
        <w:t xml:space="preserve"> the ability to report on individual work plans tied to outcomes would be reduced. </w:t>
      </w:r>
    </w:p>
    <w:p w:rsidR="008F10D3" w:rsidRDefault="008F10D3" w:rsidP="008F10D3">
      <w:pPr>
        <w:pStyle w:val="ListParagraph"/>
        <w:numPr>
          <w:ilvl w:val="0"/>
          <w:numId w:val="1"/>
        </w:numPr>
        <w:autoSpaceDE w:val="0"/>
        <w:autoSpaceDN w:val="0"/>
        <w:adjustRightInd w:val="0"/>
        <w:spacing w:after="120"/>
        <w:ind w:hanging="446"/>
        <w:contextualSpacing w:val="0"/>
        <w:rPr>
          <w:rFonts w:eastAsiaTheme="minorHAnsi"/>
        </w:rPr>
      </w:pPr>
      <w:r>
        <w:rPr>
          <w:rFonts w:eastAsiaTheme="minorHAnsi"/>
        </w:rPr>
        <w:t>Contact Information</w:t>
      </w:r>
    </w:p>
    <w:p w:rsidR="008F10D3" w:rsidRDefault="008F10D3" w:rsidP="008F10D3">
      <w:pPr>
        <w:pStyle w:val="BodyText1"/>
        <w:numPr>
          <w:ilvl w:val="1"/>
          <w:numId w:val="1"/>
        </w:numPr>
        <w:ind w:left="1080"/>
        <w:rPr>
          <w:rFonts w:ascii="Times New Roman" w:eastAsiaTheme="minorHAnsi" w:hAnsi="Times New Roman"/>
          <w:sz w:val="24"/>
          <w:szCs w:val="24"/>
        </w:rPr>
      </w:pPr>
      <w:r>
        <w:rPr>
          <w:rFonts w:ascii="Times New Roman" w:eastAsiaTheme="minorHAnsi" w:hAnsi="Times New Roman"/>
          <w:sz w:val="24"/>
          <w:szCs w:val="24"/>
        </w:rPr>
        <w:t>The following i</w:t>
      </w:r>
      <w:r w:rsidRPr="005232F8">
        <w:rPr>
          <w:rFonts w:ascii="Times New Roman" w:eastAsiaTheme="minorHAnsi" w:hAnsi="Times New Roman"/>
          <w:sz w:val="24"/>
          <w:szCs w:val="24"/>
        </w:rPr>
        <w:t xml:space="preserve">ndividuals </w:t>
      </w:r>
      <w:r>
        <w:rPr>
          <w:rFonts w:ascii="Times New Roman" w:eastAsiaTheme="minorHAnsi" w:hAnsi="Times New Roman"/>
          <w:sz w:val="24"/>
          <w:szCs w:val="24"/>
        </w:rPr>
        <w:t xml:space="preserve">were </w:t>
      </w:r>
      <w:r w:rsidRPr="005232F8">
        <w:rPr>
          <w:rFonts w:ascii="Times New Roman" w:eastAsiaTheme="minorHAnsi" w:hAnsi="Times New Roman"/>
          <w:sz w:val="24"/>
          <w:szCs w:val="24"/>
        </w:rPr>
        <w:t>consulted on statistical aspects of the design</w:t>
      </w:r>
      <w:r>
        <w:rPr>
          <w:rFonts w:ascii="Times New Roman" w:eastAsiaTheme="minorHAnsi" w:hAnsi="Times New Roman"/>
          <w:sz w:val="24"/>
          <w:szCs w:val="24"/>
        </w:rPr>
        <w:t>:</w:t>
      </w:r>
    </w:p>
    <w:p w:rsidR="008F10D3" w:rsidRDefault="008F10D3" w:rsidP="008F10D3">
      <w:pPr>
        <w:ind w:left="2880"/>
        <w:rPr>
          <w:rFonts w:eastAsiaTheme="minorHAnsi"/>
        </w:rPr>
      </w:pPr>
      <w:r>
        <w:rPr>
          <w:rFonts w:eastAsiaTheme="minorHAnsi"/>
        </w:rPr>
        <w:t xml:space="preserve">Susan </w:t>
      </w:r>
      <w:proofErr w:type="spellStart"/>
      <w:r w:rsidRPr="00FD7C7B">
        <w:t>Gabbard</w:t>
      </w:r>
      <w:proofErr w:type="spellEnd"/>
      <w:r>
        <w:rPr>
          <w:rFonts w:eastAsiaTheme="minorHAnsi"/>
        </w:rPr>
        <w:t>, PhD</w:t>
      </w:r>
    </w:p>
    <w:p w:rsidR="008F10D3" w:rsidRDefault="008F10D3" w:rsidP="008F10D3">
      <w:pPr>
        <w:ind w:left="2880"/>
        <w:rPr>
          <w:rFonts w:eastAsiaTheme="minorHAnsi"/>
        </w:rPr>
      </w:pPr>
      <w:r>
        <w:rPr>
          <w:rFonts w:eastAsiaTheme="minorHAnsi"/>
        </w:rPr>
        <w:t>Annie Georges, PhD</w:t>
      </w:r>
    </w:p>
    <w:p w:rsidR="008F10D3" w:rsidRDefault="008F10D3" w:rsidP="008F10D3">
      <w:pPr>
        <w:ind w:left="2880"/>
        <w:rPr>
          <w:rFonts w:eastAsiaTheme="minorHAnsi"/>
          <w:lang w:val="fr-FR"/>
        </w:rPr>
      </w:pPr>
      <w:r w:rsidRPr="00FA3AE1">
        <w:rPr>
          <w:rFonts w:eastAsiaTheme="minorHAnsi"/>
          <w:lang w:val="fr-FR"/>
        </w:rPr>
        <w:t xml:space="preserve">Nicole </w:t>
      </w:r>
      <w:proofErr w:type="spellStart"/>
      <w:r w:rsidRPr="00FA3AE1">
        <w:rPr>
          <w:rFonts w:eastAsiaTheme="minorHAnsi"/>
          <w:lang w:val="fr-FR"/>
        </w:rPr>
        <w:t>Vicinanza</w:t>
      </w:r>
      <w:proofErr w:type="spellEnd"/>
      <w:r w:rsidRPr="00FA3AE1">
        <w:rPr>
          <w:rFonts w:eastAsiaTheme="minorHAnsi"/>
          <w:lang w:val="fr-FR"/>
        </w:rPr>
        <w:t xml:space="preserve">, </w:t>
      </w:r>
      <w:proofErr w:type="spellStart"/>
      <w:r w:rsidRPr="00FA3AE1">
        <w:rPr>
          <w:rFonts w:eastAsiaTheme="minorHAnsi"/>
          <w:lang w:val="fr-FR"/>
        </w:rPr>
        <w:t>PhD</w:t>
      </w:r>
      <w:proofErr w:type="spellEnd"/>
    </w:p>
    <w:p w:rsidR="008F10D3" w:rsidRPr="006E4534" w:rsidRDefault="008F10D3" w:rsidP="008F10D3">
      <w:pPr>
        <w:ind w:left="2880"/>
        <w:rPr>
          <w:rFonts w:eastAsiaTheme="minorHAnsi"/>
          <w:lang w:val="fr-FR"/>
        </w:rPr>
      </w:pPr>
      <w:r>
        <w:rPr>
          <w:rFonts w:eastAsiaTheme="minorHAnsi"/>
          <w:lang w:val="fr-FR"/>
        </w:rPr>
        <w:t xml:space="preserve">Peter </w:t>
      </w:r>
      <w:proofErr w:type="spellStart"/>
      <w:r>
        <w:rPr>
          <w:rFonts w:eastAsiaTheme="minorHAnsi"/>
          <w:lang w:val="fr-FR"/>
        </w:rPr>
        <w:t>Lovegrove</w:t>
      </w:r>
      <w:proofErr w:type="spellEnd"/>
      <w:r>
        <w:rPr>
          <w:rFonts w:eastAsiaTheme="minorHAnsi"/>
          <w:lang w:val="fr-FR"/>
        </w:rPr>
        <w:t xml:space="preserve">, </w:t>
      </w:r>
      <w:proofErr w:type="spellStart"/>
      <w:r>
        <w:rPr>
          <w:rFonts w:eastAsiaTheme="minorHAnsi"/>
          <w:lang w:val="fr-FR"/>
        </w:rPr>
        <w:t>PhD</w:t>
      </w:r>
      <w:proofErr w:type="spellEnd"/>
    </w:p>
    <w:p w:rsidR="008F10D3" w:rsidRPr="00A028B6" w:rsidRDefault="008F10D3" w:rsidP="008F10D3">
      <w:pPr>
        <w:ind w:left="2880"/>
        <w:rPr>
          <w:lang w:val="fr-FR"/>
        </w:rPr>
      </w:pPr>
      <w:r w:rsidRPr="00A028B6">
        <w:rPr>
          <w:lang w:val="fr-FR"/>
        </w:rPr>
        <w:t>JBS International, Inc</w:t>
      </w:r>
      <w:r>
        <w:rPr>
          <w:lang w:val="fr-FR"/>
        </w:rPr>
        <w:t>.</w:t>
      </w:r>
    </w:p>
    <w:p w:rsidR="008F10D3" w:rsidRPr="00A028B6" w:rsidRDefault="008F10D3" w:rsidP="008F10D3">
      <w:pPr>
        <w:ind w:left="2880"/>
        <w:rPr>
          <w:lang w:val="fr-FR"/>
        </w:rPr>
      </w:pPr>
      <w:r w:rsidRPr="00A028B6">
        <w:rPr>
          <w:lang w:val="fr-FR"/>
        </w:rPr>
        <w:t>Aguirre Division</w:t>
      </w:r>
    </w:p>
    <w:p w:rsidR="008F10D3" w:rsidRPr="00A028B6" w:rsidRDefault="008F10D3" w:rsidP="008F10D3">
      <w:pPr>
        <w:ind w:left="2880"/>
        <w:rPr>
          <w:lang w:val="fr-FR"/>
        </w:rPr>
      </w:pPr>
      <w:r w:rsidRPr="00A028B6">
        <w:rPr>
          <w:lang w:val="fr-FR"/>
        </w:rPr>
        <w:t xml:space="preserve">555 </w:t>
      </w:r>
      <w:proofErr w:type="spellStart"/>
      <w:r w:rsidRPr="00A028B6">
        <w:rPr>
          <w:lang w:val="fr-FR"/>
        </w:rPr>
        <w:t>Airport</w:t>
      </w:r>
      <w:proofErr w:type="spellEnd"/>
      <w:r w:rsidRPr="00A028B6">
        <w:rPr>
          <w:lang w:val="fr-FR"/>
        </w:rPr>
        <w:t xml:space="preserve"> Boulevard, Suite 400</w:t>
      </w:r>
    </w:p>
    <w:p w:rsidR="008F10D3" w:rsidRDefault="008F10D3" w:rsidP="008F10D3">
      <w:pPr>
        <w:ind w:left="2880"/>
        <w:rPr>
          <w:lang w:val="fr-FR"/>
        </w:rPr>
      </w:pPr>
      <w:proofErr w:type="spellStart"/>
      <w:r>
        <w:rPr>
          <w:lang w:val="fr-FR"/>
        </w:rPr>
        <w:t>Burlingame</w:t>
      </w:r>
      <w:proofErr w:type="spellEnd"/>
      <w:r>
        <w:rPr>
          <w:lang w:val="fr-FR"/>
        </w:rPr>
        <w:t>, CA 94010</w:t>
      </w:r>
    </w:p>
    <w:p w:rsidR="008F10D3" w:rsidRPr="00FD7C7B" w:rsidRDefault="008F10D3" w:rsidP="008F10D3">
      <w:pPr>
        <w:ind w:left="2880"/>
        <w:rPr>
          <w:lang w:val="fr-FR"/>
        </w:rPr>
      </w:pPr>
      <w:r w:rsidRPr="00FD7C7B">
        <w:rPr>
          <w:b/>
          <w:bCs/>
          <w:lang w:val="fr-FR"/>
        </w:rPr>
        <w:t>T:</w:t>
      </w:r>
      <w:r w:rsidRPr="00FD7C7B">
        <w:rPr>
          <w:lang w:val="fr-FR"/>
        </w:rPr>
        <w:t xml:space="preserve"> 650.373.4949 (direct)</w:t>
      </w:r>
    </w:p>
    <w:p w:rsidR="008F10D3" w:rsidRPr="00FD7C7B" w:rsidRDefault="008F10D3" w:rsidP="008F10D3">
      <w:pPr>
        <w:ind w:left="2880"/>
        <w:rPr>
          <w:lang w:val="fr-FR"/>
        </w:rPr>
      </w:pPr>
      <w:r w:rsidRPr="00FD7C7B">
        <w:rPr>
          <w:b/>
          <w:bCs/>
          <w:lang w:val="fr-FR"/>
        </w:rPr>
        <w:t>T:</w:t>
      </w:r>
      <w:r w:rsidRPr="00FD7C7B">
        <w:rPr>
          <w:lang w:val="fr-FR"/>
        </w:rPr>
        <w:t xml:space="preserve"> 650.373.4900 (main)</w:t>
      </w:r>
    </w:p>
    <w:p w:rsidR="008F10D3" w:rsidRPr="00763B7A" w:rsidRDefault="008F10D3" w:rsidP="008F10D3">
      <w:pPr>
        <w:ind w:left="2880"/>
        <w:rPr>
          <w:lang w:val="es-US"/>
        </w:rPr>
      </w:pPr>
      <w:r w:rsidRPr="00763B7A">
        <w:rPr>
          <w:b/>
          <w:bCs/>
          <w:lang w:val="es-US"/>
        </w:rPr>
        <w:t>F:</w:t>
      </w:r>
      <w:r w:rsidRPr="00763B7A">
        <w:rPr>
          <w:lang w:val="es-US"/>
        </w:rPr>
        <w:t xml:space="preserve"> 650.348.0260 (fax)</w:t>
      </w:r>
    </w:p>
    <w:p w:rsidR="008F10D3" w:rsidRPr="00763B7A" w:rsidRDefault="008F10D3" w:rsidP="008F10D3">
      <w:pPr>
        <w:spacing w:after="120"/>
        <w:ind w:left="2880"/>
        <w:rPr>
          <w:lang w:val="es-US"/>
        </w:rPr>
      </w:pPr>
      <w:r w:rsidRPr="00763B7A">
        <w:rPr>
          <w:b/>
          <w:bCs/>
          <w:lang w:val="es-US"/>
        </w:rPr>
        <w:t>E:</w:t>
      </w:r>
      <w:hyperlink r:id="rId5" w:history="1">
        <w:r w:rsidRPr="00763B7A">
          <w:rPr>
            <w:rStyle w:val="Hyperlink"/>
            <w:lang w:val="es-US"/>
          </w:rPr>
          <w:t>sgabbard@jbsinternational.com</w:t>
        </w:r>
      </w:hyperlink>
    </w:p>
    <w:p w:rsidR="008F10D3" w:rsidRDefault="008F10D3" w:rsidP="008F10D3">
      <w:pPr>
        <w:ind w:left="2880"/>
        <w:rPr>
          <w:rFonts w:eastAsiaTheme="minorHAnsi"/>
        </w:rPr>
      </w:pPr>
      <w:r>
        <w:rPr>
          <w:rFonts w:eastAsiaTheme="minorHAnsi"/>
        </w:rPr>
        <w:t>Robert L. Fountain, PhD</w:t>
      </w:r>
    </w:p>
    <w:p w:rsidR="008F10D3" w:rsidRDefault="008F10D3" w:rsidP="008F10D3">
      <w:pPr>
        <w:ind w:left="2880"/>
        <w:rPr>
          <w:rFonts w:eastAsiaTheme="minorHAnsi"/>
        </w:rPr>
      </w:pPr>
      <w:r>
        <w:rPr>
          <w:rFonts w:eastAsiaTheme="minorHAnsi"/>
        </w:rPr>
        <w:t>University of Oregon</w:t>
      </w:r>
    </w:p>
    <w:p w:rsidR="008F10D3" w:rsidRDefault="008F10D3" w:rsidP="008F10D3">
      <w:pPr>
        <w:spacing w:after="120"/>
        <w:ind w:left="2880"/>
        <w:rPr>
          <w:rFonts w:eastAsiaTheme="minorHAnsi"/>
        </w:rPr>
      </w:pPr>
      <w:r>
        <w:t>8601 SW 50th Ave</w:t>
      </w:r>
      <w:r>
        <w:br/>
        <w:t>Portland, OR 97219</w:t>
      </w:r>
      <w:r>
        <w:br/>
      </w:r>
      <w:r w:rsidRPr="002E5A3D">
        <w:rPr>
          <w:b/>
          <w:bCs/>
        </w:rPr>
        <w:t>E:</w:t>
      </w:r>
      <w:r w:rsidRPr="002E5A3D">
        <w:t xml:space="preserve"> bob@bobfountain.com</w:t>
      </w:r>
    </w:p>
    <w:p w:rsidR="008F10D3" w:rsidRDefault="008F10D3" w:rsidP="008F10D3">
      <w:pPr>
        <w:spacing w:after="120"/>
        <w:ind w:left="2880"/>
        <w:rPr>
          <w:rFonts w:eastAsiaTheme="minorHAnsi"/>
        </w:rPr>
      </w:pPr>
      <w:r>
        <w:rPr>
          <w:rFonts w:eastAsiaTheme="minorHAnsi"/>
        </w:rPr>
        <w:t>Field Working Group Members</w:t>
      </w:r>
    </w:p>
    <w:p w:rsidR="008F10D3" w:rsidRDefault="008F10D3" w:rsidP="008F10D3">
      <w:pPr>
        <w:ind w:left="2880"/>
        <w:rPr>
          <w:rFonts w:eastAsia="Calibri"/>
        </w:rPr>
      </w:pPr>
      <w:r w:rsidRPr="002D34FC">
        <w:rPr>
          <w:rFonts w:eastAsia="Calibri"/>
        </w:rPr>
        <w:t xml:space="preserve">Carole </w:t>
      </w:r>
      <w:proofErr w:type="spellStart"/>
      <w:r w:rsidRPr="002D34FC">
        <w:rPr>
          <w:rFonts w:eastAsia="Calibri"/>
        </w:rPr>
        <w:t>Mandino</w:t>
      </w:r>
      <w:proofErr w:type="spellEnd"/>
    </w:p>
    <w:p w:rsidR="008F10D3" w:rsidRPr="00B33433" w:rsidRDefault="008F10D3" w:rsidP="008F10D3">
      <w:pPr>
        <w:ind w:left="2880"/>
        <w:rPr>
          <w:rFonts w:eastAsia="Calibri"/>
          <w:lang w:val="es-ES"/>
        </w:rPr>
      </w:pPr>
      <w:r w:rsidRPr="00B33433">
        <w:rPr>
          <w:rFonts w:eastAsia="Calibri"/>
          <w:lang w:val="es-ES"/>
        </w:rPr>
        <w:t xml:space="preserve">Director, NAU RSVP </w:t>
      </w:r>
      <w:proofErr w:type="spellStart"/>
      <w:r w:rsidRPr="00B33433">
        <w:rPr>
          <w:rFonts w:eastAsia="Calibri"/>
          <w:lang w:val="es-ES"/>
        </w:rPr>
        <w:t>Program</w:t>
      </w:r>
      <w:proofErr w:type="spellEnd"/>
    </w:p>
    <w:p w:rsidR="008F10D3" w:rsidRPr="00B33433" w:rsidRDefault="008F10D3" w:rsidP="008F10D3">
      <w:pPr>
        <w:spacing w:after="120"/>
        <w:ind w:left="2880"/>
        <w:rPr>
          <w:rFonts w:eastAsiaTheme="minorHAnsi"/>
          <w:lang w:val="es-ES"/>
        </w:rPr>
      </w:pPr>
      <w:r w:rsidRPr="00B33433">
        <w:rPr>
          <w:rFonts w:eastAsiaTheme="minorHAnsi"/>
          <w:b/>
          <w:lang w:val="es-ES"/>
        </w:rPr>
        <w:t>E:</w:t>
      </w:r>
      <w:r w:rsidRPr="00B33433">
        <w:rPr>
          <w:rFonts w:eastAsiaTheme="minorHAnsi"/>
          <w:lang w:val="es-ES"/>
        </w:rPr>
        <w:t>carole.mandino@nau.edu</w:t>
      </w:r>
    </w:p>
    <w:p w:rsidR="008F10D3" w:rsidRPr="00C27FBE" w:rsidRDefault="008F10D3" w:rsidP="008F10D3">
      <w:pPr>
        <w:ind w:left="2880"/>
        <w:rPr>
          <w:rFonts w:eastAsia="Calibri"/>
        </w:rPr>
      </w:pPr>
      <w:r w:rsidRPr="002D34FC">
        <w:rPr>
          <w:rFonts w:eastAsia="Calibri"/>
        </w:rPr>
        <w:t>Betty Ruth</w:t>
      </w:r>
    </w:p>
    <w:p w:rsidR="008F10D3" w:rsidRPr="00C27FBE" w:rsidRDefault="008F10D3" w:rsidP="008F10D3">
      <w:pPr>
        <w:ind w:left="2880"/>
        <w:rPr>
          <w:rFonts w:eastAsia="Calibri"/>
        </w:rPr>
      </w:pPr>
      <w:r w:rsidRPr="00B8385F">
        <w:rPr>
          <w:rFonts w:eastAsia="Calibri"/>
        </w:rPr>
        <w:lastRenderedPageBreak/>
        <w:t xml:space="preserve">Executive Director, </w:t>
      </w:r>
      <w:r>
        <w:rPr>
          <w:rFonts w:eastAsia="Calibri"/>
        </w:rPr>
        <w:t>Alabama RSVP Program</w:t>
      </w:r>
    </w:p>
    <w:p w:rsidR="008F10D3" w:rsidRPr="00B33433" w:rsidRDefault="008F10D3" w:rsidP="008F10D3">
      <w:pPr>
        <w:spacing w:after="120"/>
        <w:ind w:left="2880"/>
        <w:rPr>
          <w:rFonts w:eastAsiaTheme="minorHAnsi"/>
          <w:lang w:val="es-ES"/>
        </w:rPr>
      </w:pPr>
      <w:r w:rsidRPr="00B33433">
        <w:rPr>
          <w:rFonts w:eastAsiaTheme="minorHAnsi"/>
          <w:b/>
          <w:lang w:val="es-ES"/>
        </w:rPr>
        <w:t>E:</w:t>
      </w:r>
      <w:r w:rsidRPr="00B33433">
        <w:rPr>
          <w:rFonts w:eastAsiaTheme="minorHAnsi"/>
          <w:lang w:val="es-ES"/>
        </w:rPr>
        <w:t>bruth@al-rsvp.com</w:t>
      </w:r>
    </w:p>
    <w:p w:rsidR="008F10D3" w:rsidRPr="00B33433" w:rsidRDefault="008F10D3" w:rsidP="008F10D3">
      <w:pPr>
        <w:ind w:left="2880"/>
        <w:rPr>
          <w:rFonts w:eastAsia="Calibri"/>
          <w:lang w:val="es-ES"/>
        </w:rPr>
      </w:pPr>
      <w:proofErr w:type="spellStart"/>
      <w:r w:rsidRPr="00B33433">
        <w:rPr>
          <w:rFonts w:eastAsia="Calibri"/>
          <w:lang w:val="es-ES"/>
        </w:rPr>
        <w:t>MelodyeKleinman</w:t>
      </w:r>
      <w:proofErr w:type="spellEnd"/>
    </w:p>
    <w:p w:rsidR="008F10D3" w:rsidRPr="00C27FBE" w:rsidRDefault="008F10D3" w:rsidP="008F10D3">
      <w:pPr>
        <w:ind w:left="2880"/>
        <w:rPr>
          <w:rFonts w:eastAsia="Calibri"/>
        </w:rPr>
      </w:pPr>
      <w:r w:rsidRPr="00B8385F">
        <w:rPr>
          <w:rFonts w:eastAsia="Calibri"/>
        </w:rPr>
        <w:t>Executive Director, RSVP of Santa Monica</w:t>
      </w:r>
    </w:p>
    <w:p w:rsidR="008F10D3" w:rsidRPr="00B33433" w:rsidRDefault="008F10D3" w:rsidP="008F10D3">
      <w:pPr>
        <w:spacing w:after="120"/>
        <w:ind w:left="2880"/>
        <w:rPr>
          <w:rFonts w:eastAsiaTheme="minorHAnsi"/>
          <w:lang w:val="es-ES"/>
        </w:rPr>
      </w:pPr>
      <w:r w:rsidRPr="00B33433">
        <w:rPr>
          <w:rFonts w:eastAsiaTheme="minorHAnsi"/>
          <w:b/>
          <w:lang w:val="es-ES"/>
        </w:rPr>
        <w:t>E:</w:t>
      </w:r>
      <w:r w:rsidRPr="00B33433">
        <w:rPr>
          <w:rFonts w:eastAsiaTheme="minorHAnsi"/>
          <w:lang w:val="es-ES"/>
        </w:rPr>
        <w:t>mkleinman@ntvcc.org</w:t>
      </w:r>
    </w:p>
    <w:p w:rsidR="008F10D3" w:rsidRPr="00B33433" w:rsidRDefault="008F10D3" w:rsidP="008F10D3">
      <w:pPr>
        <w:ind w:left="2880"/>
        <w:rPr>
          <w:rFonts w:eastAsiaTheme="minorHAnsi"/>
          <w:highlight w:val="yellow"/>
          <w:lang w:val="es-ES"/>
        </w:rPr>
      </w:pPr>
      <w:proofErr w:type="spellStart"/>
      <w:r w:rsidRPr="00B33433">
        <w:rPr>
          <w:rFonts w:eastAsia="Calibri"/>
          <w:lang w:val="es-ES"/>
        </w:rPr>
        <w:t>GerriZabusky</w:t>
      </w:r>
      <w:proofErr w:type="spellEnd"/>
    </w:p>
    <w:p w:rsidR="008F10D3" w:rsidRPr="004348D0" w:rsidRDefault="008F10D3" w:rsidP="008F10D3">
      <w:pPr>
        <w:ind w:left="2880"/>
        <w:rPr>
          <w:rFonts w:eastAsia="Calibri"/>
        </w:rPr>
      </w:pPr>
      <w:r w:rsidRPr="004348D0">
        <w:rPr>
          <w:rFonts w:eastAsia="Calibri"/>
        </w:rPr>
        <w:t>Director, RSVP of Rockland County</w:t>
      </w:r>
    </w:p>
    <w:p w:rsidR="008F10D3" w:rsidRPr="00B41FC4" w:rsidRDefault="008F10D3" w:rsidP="008F10D3">
      <w:pPr>
        <w:spacing w:after="120"/>
        <w:ind w:left="2880"/>
        <w:rPr>
          <w:rFonts w:eastAsiaTheme="minorHAnsi"/>
        </w:rPr>
      </w:pPr>
      <w:r w:rsidRPr="004348D0">
        <w:rPr>
          <w:rFonts w:eastAsiaTheme="minorHAnsi"/>
          <w:b/>
        </w:rPr>
        <w:t>E:</w:t>
      </w:r>
      <w:r w:rsidRPr="004348D0">
        <w:rPr>
          <w:rFonts w:eastAsiaTheme="minorHAnsi"/>
        </w:rPr>
        <w:t>gzabusky@sunyrockland.edu</w:t>
      </w:r>
    </w:p>
    <w:p w:rsidR="008F10D3" w:rsidRDefault="008F10D3" w:rsidP="008F10D3">
      <w:pPr>
        <w:ind w:left="2880"/>
        <w:rPr>
          <w:rFonts w:eastAsiaTheme="minorHAnsi"/>
          <w:highlight w:val="yellow"/>
        </w:rPr>
      </w:pPr>
    </w:p>
    <w:p w:rsidR="008F10D3" w:rsidRPr="00640C3C" w:rsidRDefault="008F10D3" w:rsidP="008F10D3">
      <w:pPr>
        <w:pStyle w:val="BodyText1"/>
        <w:numPr>
          <w:ilvl w:val="1"/>
          <w:numId w:val="1"/>
        </w:numPr>
        <w:spacing w:after="180"/>
        <w:ind w:left="1080"/>
        <w:rPr>
          <w:rFonts w:ascii="Times New Roman" w:eastAsiaTheme="minorHAnsi" w:hAnsi="Times New Roman"/>
          <w:sz w:val="24"/>
          <w:szCs w:val="24"/>
        </w:rPr>
      </w:pPr>
      <w:r w:rsidRPr="00640C3C">
        <w:rPr>
          <w:rFonts w:ascii="Times New Roman" w:eastAsiaTheme="minorHAnsi" w:hAnsi="Times New Roman"/>
          <w:sz w:val="24"/>
          <w:szCs w:val="24"/>
        </w:rPr>
        <w:t>Name of the agency unit, contractor(s), grantee(s), or other person(s) who will actually collect and/or analyze the information for the agency</w:t>
      </w:r>
    </w:p>
    <w:p w:rsidR="008F10D3" w:rsidRPr="00641D7F" w:rsidRDefault="008F10D3" w:rsidP="008F10D3">
      <w:pPr>
        <w:ind w:left="2880"/>
        <w:rPr>
          <w:rFonts w:eastAsiaTheme="minorHAnsi"/>
          <w:lang w:val="fr-FR"/>
        </w:rPr>
      </w:pPr>
      <w:r w:rsidRPr="00641D7F">
        <w:rPr>
          <w:rFonts w:eastAsiaTheme="minorHAnsi"/>
          <w:lang w:val="fr-FR"/>
        </w:rPr>
        <w:t>JBS International, Inc.</w:t>
      </w:r>
    </w:p>
    <w:p w:rsidR="008F10D3" w:rsidRPr="00641D7F" w:rsidRDefault="008F10D3" w:rsidP="008F10D3">
      <w:pPr>
        <w:ind w:left="2880"/>
        <w:rPr>
          <w:rFonts w:eastAsiaTheme="minorHAnsi"/>
          <w:lang w:val="fr-FR"/>
        </w:rPr>
      </w:pPr>
      <w:r w:rsidRPr="00641D7F">
        <w:rPr>
          <w:rFonts w:eastAsiaTheme="minorHAnsi"/>
          <w:lang w:val="fr-FR"/>
        </w:rPr>
        <w:t>Aguirre Division</w:t>
      </w:r>
    </w:p>
    <w:p w:rsidR="008F10D3" w:rsidRPr="00641D7F" w:rsidRDefault="008F10D3" w:rsidP="008F10D3">
      <w:pPr>
        <w:ind w:left="2880"/>
        <w:rPr>
          <w:rFonts w:eastAsiaTheme="minorHAnsi"/>
          <w:lang w:val="fr-FR"/>
        </w:rPr>
      </w:pPr>
      <w:r w:rsidRPr="00641D7F">
        <w:rPr>
          <w:rFonts w:eastAsiaTheme="minorHAnsi"/>
          <w:lang w:val="fr-FR"/>
        </w:rPr>
        <w:t xml:space="preserve">555 </w:t>
      </w:r>
      <w:proofErr w:type="spellStart"/>
      <w:r w:rsidRPr="00641D7F">
        <w:rPr>
          <w:rFonts w:eastAsiaTheme="minorHAnsi"/>
          <w:lang w:val="fr-FR"/>
        </w:rPr>
        <w:t>Airport</w:t>
      </w:r>
      <w:proofErr w:type="spellEnd"/>
      <w:r w:rsidRPr="00641D7F">
        <w:rPr>
          <w:rFonts w:eastAsiaTheme="minorHAnsi"/>
          <w:lang w:val="fr-FR"/>
        </w:rPr>
        <w:t xml:space="preserve"> Boulevard, Suite 400</w:t>
      </w:r>
    </w:p>
    <w:p w:rsidR="008F10D3" w:rsidRDefault="008F10D3" w:rsidP="008F10D3">
      <w:pPr>
        <w:ind w:left="2880"/>
        <w:rPr>
          <w:rFonts w:eastAsiaTheme="minorHAnsi"/>
        </w:rPr>
      </w:pPr>
      <w:r w:rsidRPr="00334C63">
        <w:rPr>
          <w:rFonts w:eastAsiaTheme="minorHAnsi"/>
        </w:rPr>
        <w:t>Burlingame, CA 94010</w:t>
      </w:r>
    </w:p>
    <w:p w:rsidR="008F10D3" w:rsidRDefault="008F10D3" w:rsidP="008F10D3">
      <w:pPr>
        <w:ind w:left="2880"/>
        <w:rPr>
          <w:rFonts w:eastAsiaTheme="minorHAnsi"/>
        </w:rPr>
      </w:pPr>
    </w:p>
    <w:p w:rsidR="008F10D3" w:rsidRDefault="008F10D3" w:rsidP="008F10D3">
      <w:pPr>
        <w:spacing w:after="200" w:line="276" w:lineRule="auto"/>
        <w:rPr>
          <w:rFonts w:eastAsiaTheme="minorHAnsi"/>
        </w:rPr>
      </w:pPr>
    </w:p>
    <w:p w:rsidR="008F10D3" w:rsidRPr="00334C63" w:rsidRDefault="008F10D3" w:rsidP="008F10D3">
      <w:pPr>
        <w:ind w:left="2880"/>
        <w:rPr>
          <w:rFonts w:eastAsiaTheme="minorHAnsi"/>
        </w:rPr>
      </w:pPr>
    </w:p>
    <w:p w:rsidR="002A15F1" w:rsidRDefault="002A15F1"/>
    <w:sectPr w:rsidR="002A15F1" w:rsidSect="002E5EDB">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rsidR="00B6533D" w:rsidRDefault="008F10D3">
            <w:pPr>
              <w:pStyle w:val="Footer"/>
              <w:jc w:val="center"/>
            </w:pPr>
            <w:r>
              <w:t xml:space="preserve">Page </w:t>
            </w:r>
            <w:r>
              <w:rPr>
                <w:b/>
              </w:rPr>
              <w:fldChar w:fldCharType="begin"/>
            </w:r>
            <w:r>
              <w:rPr>
                <w:b/>
              </w:rPr>
              <w:instrText xml:space="preserve"> PAGE </w:instrText>
            </w:r>
            <w:r>
              <w:rPr>
                <w:b/>
              </w:rPr>
              <w:fldChar w:fldCharType="separate"/>
            </w:r>
            <w:r>
              <w:rPr>
                <w:b/>
                <w:noProof/>
              </w:rPr>
              <w:t>6</w:t>
            </w:r>
            <w:r>
              <w:rPr>
                <w:b/>
              </w:rPr>
              <w:fldChar w:fldCharType="end"/>
            </w:r>
            <w:r>
              <w:t xml:space="preserve"> of </w:t>
            </w:r>
            <w:r>
              <w:rPr>
                <w:b/>
              </w:rPr>
              <w:fldChar w:fldCharType="begin"/>
            </w:r>
            <w:r>
              <w:rPr>
                <w:b/>
              </w:rPr>
              <w:instrText xml:space="preserve"> NUMPAGES  </w:instrText>
            </w:r>
            <w:r>
              <w:rPr>
                <w:b/>
              </w:rPr>
              <w:fldChar w:fldCharType="separate"/>
            </w:r>
            <w:r>
              <w:rPr>
                <w:b/>
                <w:noProof/>
              </w:rPr>
              <w:t>6</w:t>
            </w:r>
            <w:r>
              <w:rPr>
                <w:b/>
              </w:rPr>
              <w:fldChar w:fldCharType="end"/>
            </w:r>
          </w:p>
        </w:sdtContent>
      </w:sdt>
    </w:sdtContent>
  </w:sdt>
  <w:p w:rsidR="00B6533D" w:rsidRDefault="008F10D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90B77"/>
    <w:multiLevelType w:val="hybridMultilevel"/>
    <w:tmpl w:val="EE3C05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C10061"/>
    <w:multiLevelType w:val="hybridMultilevel"/>
    <w:tmpl w:val="8A68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43691"/>
    <w:multiLevelType w:val="hybridMultilevel"/>
    <w:tmpl w:val="3EB285A6"/>
    <w:lvl w:ilvl="0" w:tplc="04090017">
      <w:start w:val="1"/>
      <w:numFmt w:val="lowerLetter"/>
      <w:lvlText w:val="%1)"/>
      <w:lvlJc w:val="left"/>
      <w:pPr>
        <w:ind w:left="2164" w:hanging="360"/>
      </w:pPr>
    </w:lvl>
    <w:lvl w:ilvl="1" w:tplc="04090019">
      <w:start w:val="1"/>
      <w:numFmt w:val="lowerLetter"/>
      <w:lvlText w:val="%2."/>
      <w:lvlJc w:val="left"/>
      <w:pPr>
        <w:ind w:left="2884" w:hanging="360"/>
      </w:pPr>
    </w:lvl>
    <w:lvl w:ilvl="2" w:tplc="0409001B">
      <w:start w:val="1"/>
      <w:numFmt w:val="lowerRoman"/>
      <w:lvlText w:val="%3."/>
      <w:lvlJc w:val="right"/>
      <w:pPr>
        <w:ind w:left="3604" w:hanging="180"/>
      </w:pPr>
    </w:lvl>
    <w:lvl w:ilvl="3" w:tplc="0409000F">
      <w:start w:val="1"/>
      <w:numFmt w:val="decimal"/>
      <w:lvlText w:val="%4."/>
      <w:lvlJc w:val="left"/>
      <w:pPr>
        <w:ind w:left="4324" w:hanging="360"/>
      </w:pPr>
    </w:lvl>
    <w:lvl w:ilvl="4" w:tplc="04090019">
      <w:start w:val="1"/>
      <w:numFmt w:val="lowerLetter"/>
      <w:lvlText w:val="%5."/>
      <w:lvlJc w:val="left"/>
      <w:pPr>
        <w:ind w:left="5044" w:hanging="360"/>
      </w:pPr>
    </w:lvl>
    <w:lvl w:ilvl="5" w:tplc="0409001B">
      <w:start w:val="1"/>
      <w:numFmt w:val="lowerRoman"/>
      <w:lvlText w:val="%6."/>
      <w:lvlJc w:val="right"/>
      <w:pPr>
        <w:ind w:left="5764" w:hanging="180"/>
      </w:pPr>
    </w:lvl>
    <w:lvl w:ilvl="6" w:tplc="0409000F">
      <w:start w:val="1"/>
      <w:numFmt w:val="decimal"/>
      <w:lvlText w:val="%7."/>
      <w:lvlJc w:val="left"/>
      <w:pPr>
        <w:ind w:left="6484" w:hanging="360"/>
      </w:pPr>
    </w:lvl>
    <w:lvl w:ilvl="7" w:tplc="04090019">
      <w:start w:val="1"/>
      <w:numFmt w:val="lowerLetter"/>
      <w:lvlText w:val="%8."/>
      <w:lvlJc w:val="left"/>
      <w:pPr>
        <w:ind w:left="7204" w:hanging="360"/>
      </w:pPr>
    </w:lvl>
    <w:lvl w:ilvl="8" w:tplc="0409001B">
      <w:start w:val="1"/>
      <w:numFmt w:val="lowerRoman"/>
      <w:lvlText w:val="%9."/>
      <w:lvlJc w:val="right"/>
      <w:pPr>
        <w:ind w:left="7924" w:hanging="180"/>
      </w:pPr>
    </w:lvl>
  </w:abstractNum>
  <w:abstractNum w:abstractNumId="3">
    <w:nsid w:val="6C071FC2"/>
    <w:multiLevelType w:val="hybridMultilevel"/>
    <w:tmpl w:val="AA56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6C60BE"/>
    <w:multiLevelType w:val="hybridMultilevel"/>
    <w:tmpl w:val="5B6A7B7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0D3"/>
    <w:rsid w:val="002A15F1"/>
    <w:rsid w:val="008F1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1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unhideWhenUsed/>
    <w:qFormat/>
    <w:rsid w:val="008F10D3"/>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8F10D3"/>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10D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8F10D3"/>
    <w:rPr>
      <w:rFonts w:ascii="Calibri" w:hAnsi="Calibri" w:cs="Calibri"/>
      <w:b/>
      <w:bCs/>
    </w:rPr>
  </w:style>
  <w:style w:type="character" w:customStyle="1" w:styleId="Heading5Char">
    <w:name w:val="Heading 5 Char"/>
    <w:basedOn w:val="DefaultParagraphFont"/>
    <w:link w:val="Heading5"/>
    <w:uiPriority w:val="9"/>
    <w:rsid w:val="008F10D3"/>
    <w:rPr>
      <w:rFonts w:ascii="Times New Roman" w:eastAsia="Times New Roman" w:hAnsi="Times New Roman" w:cs="Times New Roman"/>
      <w:b/>
      <w:sz w:val="24"/>
      <w:szCs w:val="24"/>
    </w:rPr>
  </w:style>
  <w:style w:type="paragraph" w:styleId="ListParagraph">
    <w:name w:val="List Paragraph"/>
    <w:basedOn w:val="Normal"/>
    <w:uiPriority w:val="34"/>
    <w:qFormat/>
    <w:rsid w:val="008F10D3"/>
    <w:pPr>
      <w:ind w:left="720"/>
      <w:contextualSpacing/>
    </w:pPr>
  </w:style>
  <w:style w:type="paragraph" w:customStyle="1" w:styleId="BodyText1">
    <w:name w:val="Body Text1"/>
    <w:uiPriority w:val="99"/>
    <w:rsid w:val="008F10D3"/>
    <w:pPr>
      <w:spacing w:after="120" w:line="240" w:lineRule="auto"/>
    </w:pPr>
    <w:rPr>
      <w:rFonts w:ascii="Lucida Grande" w:eastAsia="ヒラギノ角ゴ Pro W3" w:hAnsi="Lucida Grande" w:cs="Times New Roman"/>
      <w:color w:val="000000"/>
      <w:sz w:val="20"/>
      <w:szCs w:val="20"/>
    </w:rPr>
  </w:style>
  <w:style w:type="character" w:styleId="Hyperlink">
    <w:name w:val="Hyperlink"/>
    <w:basedOn w:val="DefaultParagraphFont"/>
    <w:uiPriority w:val="99"/>
    <w:unhideWhenUsed/>
    <w:rsid w:val="008F10D3"/>
    <w:rPr>
      <w:color w:val="0000FF"/>
      <w:u w:val="single"/>
    </w:rPr>
  </w:style>
  <w:style w:type="paragraph" w:styleId="Footer">
    <w:name w:val="footer"/>
    <w:basedOn w:val="Normal"/>
    <w:link w:val="FooterChar"/>
    <w:uiPriority w:val="99"/>
    <w:unhideWhenUsed/>
    <w:rsid w:val="008F10D3"/>
    <w:pPr>
      <w:tabs>
        <w:tab w:val="center" w:pos="4680"/>
        <w:tab w:val="right" w:pos="9360"/>
      </w:tabs>
    </w:pPr>
  </w:style>
  <w:style w:type="character" w:customStyle="1" w:styleId="FooterChar">
    <w:name w:val="Footer Char"/>
    <w:basedOn w:val="DefaultParagraphFont"/>
    <w:link w:val="Footer"/>
    <w:uiPriority w:val="99"/>
    <w:rsid w:val="008F10D3"/>
    <w:rPr>
      <w:rFonts w:ascii="Times New Roman" w:eastAsia="Times New Roman" w:hAnsi="Times New Roman" w:cs="Times New Roman"/>
      <w:sz w:val="24"/>
      <w:szCs w:val="24"/>
    </w:rPr>
  </w:style>
  <w:style w:type="table" w:styleId="TableGrid">
    <w:name w:val="Table Grid"/>
    <w:basedOn w:val="TableNormal"/>
    <w:uiPriority w:val="59"/>
    <w:rsid w:val="008F10D3"/>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name@jbsinternation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Borgstrom</dc:creator>
  <cp:lastModifiedBy>Amy Borgstrom</cp:lastModifiedBy>
  <cp:revision>1</cp:revision>
  <dcterms:created xsi:type="dcterms:W3CDTF">2014-05-29T23:43:00Z</dcterms:created>
  <dcterms:modified xsi:type="dcterms:W3CDTF">2014-05-29T23:44:00Z</dcterms:modified>
</cp:coreProperties>
</file>