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CC2FCE" w:rsidRPr="00CC2FCE" w:rsidTr="00CC2FCE">
        <w:trPr>
          <w:tblCellSpacing w:w="15" w:type="dxa"/>
          <w:jc w:val="center"/>
        </w:trPr>
        <w:tc>
          <w:tcPr>
            <w:tcW w:w="0" w:type="auto"/>
            <w:hideMark/>
          </w:tcPr>
          <w:p w:rsidR="00CC2FCE" w:rsidRPr="00CC2FCE" w:rsidRDefault="00CC2FCE" w:rsidP="00CC2FCE">
            <w:pPr>
              <w:spacing w:before="100" w:beforeAutospacing="1" w:after="100" w:afterAutospacing="1" w:line="240" w:lineRule="auto"/>
              <w:jc w:val="center"/>
              <w:rPr>
                <w:rFonts w:ascii="Arial" w:eastAsia="Times New Roman" w:hAnsi="Arial" w:cs="Arial"/>
                <w:b/>
                <w:bCs/>
                <w:color w:val="FF0000"/>
                <w:sz w:val="27"/>
                <w:szCs w:val="27"/>
              </w:rPr>
            </w:pPr>
            <w:bookmarkStart w:id="0" w:name="_GoBack"/>
            <w:bookmarkEnd w:id="0"/>
            <w:r w:rsidRPr="00CC2FCE">
              <w:rPr>
                <w:rFonts w:ascii="Arial" w:eastAsia="Times New Roman" w:hAnsi="Arial" w:cs="Arial"/>
                <w:b/>
                <w:bCs/>
                <w:color w:val="FF0000"/>
                <w:sz w:val="27"/>
                <w:szCs w:val="27"/>
              </w:rPr>
              <w:t>e-CFR Data is current as of February 10, 2014</w:t>
            </w:r>
          </w:p>
        </w:tc>
      </w:tr>
    </w:tbl>
    <w:p w:rsidR="00CC2FCE" w:rsidRPr="00CC2FCE" w:rsidRDefault="003D47EB" w:rsidP="00CC2FCE">
      <w:pPr>
        <w:spacing w:before="200" w:after="100" w:afterAutospacing="1" w:line="240" w:lineRule="auto"/>
        <w:rPr>
          <w:rFonts w:ascii="Arial" w:eastAsia="Times New Roman" w:hAnsi="Arial" w:cs="Arial"/>
          <w:sz w:val="20"/>
          <w:szCs w:val="20"/>
        </w:rPr>
      </w:pPr>
      <w:hyperlink r:id="rId5" w:history="1">
        <w:r w:rsidR="00CC2FCE" w:rsidRPr="00CC2FCE">
          <w:rPr>
            <w:rFonts w:ascii="Arial" w:eastAsia="Times New Roman" w:hAnsi="Arial" w:cs="Arial"/>
            <w:color w:val="0000FF"/>
            <w:sz w:val="17"/>
            <w:szCs w:val="17"/>
          </w:rPr>
          <w:t>Browse Previous</w:t>
        </w:r>
      </w:hyperlink>
      <w:r w:rsidR="00CC2FCE" w:rsidRPr="00CC2FCE">
        <w:rPr>
          <w:rFonts w:ascii="Arial" w:eastAsia="Times New Roman" w:hAnsi="Arial" w:cs="Arial"/>
          <w:sz w:val="20"/>
          <w:szCs w:val="20"/>
        </w:rPr>
        <w:t xml:space="preserve"> | </w:t>
      </w:r>
      <w:hyperlink r:id="rId6" w:history="1">
        <w:r w:rsidR="00CC2FCE" w:rsidRPr="00CC2FCE">
          <w:rPr>
            <w:rFonts w:ascii="Arial" w:eastAsia="Times New Roman" w:hAnsi="Arial" w:cs="Arial"/>
            <w:color w:val="0000FF"/>
            <w:sz w:val="17"/>
            <w:szCs w:val="17"/>
          </w:rPr>
          <w:t>Browse Next</w:t>
        </w:r>
      </w:hyperlink>
    </w:p>
    <w:p w:rsidR="00CC2FCE" w:rsidRPr="00CC2FCE" w:rsidRDefault="00CC2FCE" w:rsidP="00CC2FCE">
      <w:pPr>
        <w:spacing w:before="200"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 xml:space="preserve">Title 47: Telecommunication </w:t>
      </w:r>
      <w:r w:rsidRPr="00CC2FCE">
        <w:rPr>
          <w:rFonts w:ascii="Arial" w:eastAsia="Times New Roman" w:hAnsi="Arial" w:cs="Arial"/>
          <w:sz w:val="20"/>
          <w:szCs w:val="20"/>
        </w:rPr>
        <w:br/>
      </w:r>
      <w:hyperlink r:id="rId7" w:history="1">
        <w:r w:rsidRPr="00CC2FCE">
          <w:rPr>
            <w:rFonts w:ascii="Arial" w:eastAsia="Times New Roman" w:hAnsi="Arial" w:cs="Arial"/>
            <w:color w:val="0000FF"/>
            <w:sz w:val="17"/>
            <w:szCs w:val="17"/>
          </w:rPr>
          <w:t>PART 5—EXPERIMENTAL RADIO SERVICE</w:t>
        </w:r>
      </w:hyperlink>
      <w:r w:rsidRPr="00CC2FCE">
        <w:rPr>
          <w:rFonts w:ascii="Arial" w:eastAsia="Times New Roman" w:hAnsi="Arial" w:cs="Arial"/>
          <w:sz w:val="20"/>
          <w:szCs w:val="20"/>
        </w:rPr>
        <w:t xml:space="preserve"> </w:t>
      </w:r>
      <w:r w:rsidRPr="00CC2FCE">
        <w:rPr>
          <w:rFonts w:ascii="Arial" w:eastAsia="Times New Roman" w:hAnsi="Arial" w:cs="Arial"/>
          <w:sz w:val="20"/>
          <w:szCs w:val="20"/>
        </w:rPr>
        <w:br/>
      </w:r>
      <w:hyperlink r:id="rId8" w:history="1">
        <w:r w:rsidRPr="00CC2FCE">
          <w:rPr>
            <w:rFonts w:ascii="Arial" w:eastAsia="Times New Roman" w:hAnsi="Arial" w:cs="Arial"/>
            <w:color w:val="0000FF"/>
            <w:sz w:val="17"/>
            <w:szCs w:val="17"/>
          </w:rPr>
          <w:t>Subpart B—Applications and Licenses</w:t>
        </w:r>
      </w:hyperlink>
      <w:r w:rsidRPr="00CC2FCE">
        <w:rPr>
          <w:rFonts w:ascii="Arial" w:eastAsia="Times New Roman" w:hAnsi="Arial" w:cs="Arial"/>
          <w:sz w:val="20"/>
          <w:szCs w:val="20"/>
        </w:rPr>
        <w:t xml:space="preserve"> </w:t>
      </w:r>
    </w:p>
    <w:p w:rsidR="00CC2FCE" w:rsidRPr="00CC2FCE" w:rsidRDefault="003D47EB" w:rsidP="00CC2FC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C2FCE" w:rsidRPr="00CC2FCE" w:rsidRDefault="00CC2FCE" w:rsidP="00CC2FCE">
      <w:pPr>
        <w:spacing w:before="200" w:after="100" w:line="240" w:lineRule="auto"/>
        <w:outlineLvl w:val="1"/>
        <w:rPr>
          <w:rFonts w:ascii="Arial" w:eastAsia="Times New Roman" w:hAnsi="Arial" w:cs="Arial"/>
          <w:b/>
          <w:bCs/>
          <w:sz w:val="20"/>
          <w:szCs w:val="20"/>
        </w:rPr>
      </w:pPr>
      <w:bookmarkStart w:id="1" w:name="_top"/>
      <w:bookmarkEnd w:id="1"/>
      <w:r w:rsidRPr="00CC2FCE">
        <w:rPr>
          <w:rFonts w:ascii="Arial" w:eastAsia="Times New Roman" w:hAnsi="Arial" w:cs="Arial"/>
          <w:b/>
          <w:bCs/>
          <w:sz w:val="20"/>
          <w:szCs w:val="20"/>
        </w:rPr>
        <w:t>§5.55   Filing of applications.</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(a) To assure that necessary information is supplied in a consistent manner by applicants, standard forms must be used, except for applications for special temporary authorization (STA) and reports submitted for Commission consideration. Standard numbered forms for the Experimental Radio Service are described in §5.59.</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(b) Applications requiring fees as set forth in part 1, subpart G of this chapter must be filed in accordance with §0.401(b) of this chapter.</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(c) Each application for station authorization shall be specific and complete with regard to the information required by the application form and this part.</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(1) Conventional license and STA applications shall be specific as to station location, proposed equipment, power, antenna height, and operating frequencies.</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(2) Broadcast license applicants shall comply with the requirements in subpart D of this part; Program license applicants shall comply with the requirements in subpart E of this part; Medical Testing license applicants shall comply with the requirements in subpart F of this part; and Compliance Testing license applicants shall comply with the requirements in subpart G of this part.</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(d) Filing conventional, program, medical, and compliance testing experimental radio license applications:</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 xml:space="preserve">(1) Applications for radio station authorization shall be submitted electronically through the Office of Engineering and Technology Web site </w:t>
      </w:r>
      <w:r w:rsidRPr="00CC2FCE">
        <w:rPr>
          <w:rFonts w:ascii="Arial" w:eastAsia="Times New Roman" w:hAnsi="Arial" w:cs="Arial"/>
          <w:i/>
          <w:iCs/>
          <w:sz w:val="20"/>
          <w:szCs w:val="20"/>
        </w:rPr>
        <w:t>http://www.fcc.gov/els.</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(2) Applications for special temporary authorization shall be filed in accordance with the procedures of §5.61.</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(3) Any correspondence relating thereto that cannot be submitted electronically shall instead be submitted to the Commission's Office of Engineering and Technology, Washington, DC 20554.</w:t>
      </w:r>
    </w:p>
    <w:p w:rsidR="00CC2FCE" w:rsidRPr="00CC2FCE" w:rsidRDefault="00CC2FCE" w:rsidP="00CC2FCE">
      <w:pPr>
        <w:spacing w:before="100" w:beforeAutospacing="1" w:after="100" w:afterAutospacing="1" w:line="240" w:lineRule="auto"/>
        <w:rPr>
          <w:rFonts w:ascii="Arial" w:eastAsia="Times New Roman" w:hAnsi="Arial" w:cs="Arial"/>
          <w:sz w:val="20"/>
          <w:szCs w:val="20"/>
        </w:rPr>
      </w:pPr>
      <w:r w:rsidRPr="00CC2FCE">
        <w:rPr>
          <w:rFonts w:ascii="Arial" w:eastAsia="Times New Roman" w:hAnsi="Arial" w:cs="Arial"/>
          <w:sz w:val="20"/>
          <w:szCs w:val="20"/>
        </w:rPr>
        <w:t>(e) For broadcast experimental radio licenses, applications for radio station authorization shall be submitted in accordance with the provisions of §5.59.</w:t>
      </w:r>
    </w:p>
    <w:p w:rsidR="00CC2FCE" w:rsidRDefault="00CC2FCE" w:rsidP="00CC2FCE">
      <w:pPr>
        <w:pStyle w:val="Heading2"/>
        <w:jc w:val="left"/>
        <w:rPr>
          <w:rFonts w:ascii="Arial" w:hAnsi="Arial" w:cs="Arial"/>
        </w:rPr>
      </w:pPr>
      <w:r>
        <w:rPr>
          <w:rFonts w:ascii="Arial" w:hAnsi="Arial" w:cs="Arial"/>
        </w:rPr>
        <w:t>§5.59   Forms to be used.</w:t>
      </w:r>
    </w:p>
    <w:p w:rsidR="00CC2FCE" w:rsidRDefault="00CC2FCE" w:rsidP="00CC2FCE">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Application for conventional, program, medical, and compliance testing experimental radio licenses.</w:t>
      </w:r>
    </w:p>
    <w:p w:rsidR="00CC2FCE" w:rsidRDefault="00CC2FCE" w:rsidP="00CC2FCE">
      <w:pPr>
        <w:pStyle w:val="NormalWeb"/>
        <w:rPr>
          <w:rFonts w:ascii="Arial" w:hAnsi="Arial" w:cs="Arial"/>
          <w:sz w:val="20"/>
          <w:szCs w:val="20"/>
        </w:rPr>
      </w:pPr>
      <w:r>
        <w:rPr>
          <w:rFonts w:ascii="Arial" w:hAnsi="Arial" w:cs="Arial"/>
          <w:sz w:val="20"/>
          <w:szCs w:val="20"/>
        </w:rPr>
        <w:t xml:space="preserve">(1) </w:t>
      </w:r>
      <w:r>
        <w:rPr>
          <w:rFonts w:ascii="Arial" w:hAnsi="Arial" w:cs="Arial"/>
          <w:i/>
          <w:iCs/>
          <w:sz w:val="20"/>
          <w:szCs w:val="20"/>
        </w:rPr>
        <w:t>Application for new authorization or modification of existing authorization.</w:t>
      </w:r>
      <w:r>
        <w:rPr>
          <w:rFonts w:ascii="Arial" w:hAnsi="Arial" w:cs="Arial"/>
          <w:sz w:val="20"/>
          <w:szCs w:val="20"/>
        </w:rPr>
        <w:t xml:space="preserve"> Entities must submit FCC Form 442.</w:t>
      </w:r>
    </w:p>
    <w:p w:rsidR="00CC2FCE" w:rsidRDefault="00CC2FCE" w:rsidP="00CC2FCE">
      <w:pPr>
        <w:pStyle w:val="NormalWeb"/>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Application for renewal of experimental authorization.</w:t>
      </w:r>
      <w:r>
        <w:rPr>
          <w:rFonts w:ascii="Arial" w:hAnsi="Arial" w:cs="Arial"/>
          <w:sz w:val="20"/>
          <w:szCs w:val="20"/>
        </w:rPr>
        <w:t xml:space="preserve"> Application for renewal of station license shall be submitted on FCC Form 405. Unless otherwise directed by the Commission, each application for renewal of license shall be filed at least 60 days prior to the expiration date of the license to be renewed.</w:t>
      </w:r>
    </w:p>
    <w:p w:rsidR="00CC2FCE" w:rsidRDefault="00CC2FCE" w:rsidP="00CC2FC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Application for consent to assign an experimental authorization.</w:t>
      </w:r>
      <w:r>
        <w:rPr>
          <w:rFonts w:ascii="Arial" w:hAnsi="Arial" w:cs="Arial"/>
          <w:sz w:val="20"/>
          <w:szCs w:val="20"/>
        </w:rPr>
        <w:t xml:space="preserve"> 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w:t>
      </w:r>
    </w:p>
    <w:p w:rsidR="00CC2FCE" w:rsidRDefault="00CC2FCE" w:rsidP="00CC2FC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Application for consent to transfer control of Corporation holding experimental authorization.</w:t>
      </w:r>
      <w:r>
        <w:rPr>
          <w:rFonts w:ascii="Arial" w:hAnsi="Arial" w:cs="Arial"/>
          <w:sz w:val="20"/>
          <w:szCs w:val="20"/>
        </w:rPr>
        <w:t xml:space="preserve"> Application for consent to transfer control shall be submitted on FCC Form 703 whenever it is proposed to change the control of a corporation holding a station authorization.</w:t>
      </w:r>
    </w:p>
    <w:p w:rsidR="00CC2FCE" w:rsidRDefault="00CC2FCE" w:rsidP="00CC2FC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Application for product development and market trials.</w:t>
      </w:r>
      <w:r>
        <w:rPr>
          <w:rFonts w:ascii="Arial" w:hAnsi="Arial" w:cs="Arial"/>
          <w:sz w:val="20"/>
          <w:szCs w:val="20"/>
        </w:rPr>
        <w:t xml:space="preserve"> Application for product development and market trials shall be submitted on FCC Form 442.</w:t>
      </w:r>
    </w:p>
    <w:p w:rsidR="00CC2FCE" w:rsidRDefault="00CC2FCE" w:rsidP="00CC2FCE">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Applications for broadcast experimental radio license</w:t>
      </w:r>
      <w:r>
        <w:rPr>
          <w:rFonts w:ascii="Arial" w:hAnsi="Arial" w:cs="Arial"/>
          <w:sz w:val="20"/>
          <w:szCs w:val="20"/>
        </w:rPr>
        <w:t xml:space="preserve">—(1) </w:t>
      </w:r>
      <w:r>
        <w:rPr>
          <w:rFonts w:ascii="Arial" w:hAnsi="Arial" w:cs="Arial"/>
          <w:i/>
          <w:iCs/>
          <w:sz w:val="20"/>
          <w:szCs w:val="20"/>
        </w:rPr>
        <w:t>Application for new authorization or modification of existing authorization.</w:t>
      </w:r>
      <w:r>
        <w:rPr>
          <w:rFonts w:ascii="Arial" w:hAnsi="Arial" w:cs="Arial"/>
          <w:sz w:val="20"/>
          <w:szCs w:val="20"/>
        </w:rPr>
        <w:t xml:space="preserve"> An application for a construction permit for a new broadcast experimental station or modification of an existing broadcast experimental station must be submitted on FCC Form 309.</w:t>
      </w:r>
    </w:p>
    <w:p w:rsidR="00CC2FCE" w:rsidRDefault="00CC2FCE" w:rsidP="00CC2FC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Application for a license.</w:t>
      </w:r>
      <w:r>
        <w:rPr>
          <w:rFonts w:ascii="Arial" w:hAnsi="Arial" w:cs="Arial"/>
          <w:sz w:val="20"/>
          <w:szCs w:val="20"/>
        </w:rPr>
        <w:t xml:space="preserve"> An application for a license to cover a construction permit for a broadcast experimental station must be submitted on FCC Form 310.</w:t>
      </w:r>
    </w:p>
    <w:p w:rsidR="00CC2FCE" w:rsidRDefault="00CC2FCE" w:rsidP="00CC2FC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Application for renewal of license.</w:t>
      </w:r>
      <w:r>
        <w:rPr>
          <w:rFonts w:ascii="Arial" w:hAnsi="Arial" w:cs="Arial"/>
          <w:sz w:val="20"/>
          <w:szCs w:val="20"/>
        </w:rPr>
        <w:t xml:space="preserve"> An application for renewal of station license for a broadcast experimental station must be submitted on FCC Form 311. Unless otherwise directed by the Commission, each application for renewal of license shall be filed at least 60 days prior to the expiration date of the license to be renewed.</w:t>
      </w:r>
    </w:p>
    <w:p w:rsidR="00CC2FCE" w:rsidRDefault="00CC2FCE" w:rsidP="00CC2FCE">
      <w:pPr>
        <w:pStyle w:val="effdnot"/>
        <w:rPr>
          <w:rFonts w:ascii="Arial" w:hAnsi="Arial" w:cs="Arial"/>
        </w:rPr>
      </w:pPr>
      <w:r>
        <w:rPr>
          <w:rFonts w:ascii="Arial" w:hAnsi="Arial" w:cs="Arial"/>
          <w:smallCaps/>
        </w:rPr>
        <w:t>Effective Date Note:</w:t>
      </w:r>
      <w:r>
        <w:rPr>
          <w:rFonts w:ascii="Arial" w:hAnsi="Arial" w:cs="Arial"/>
        </w:rPr>
        <w:t xml:space="preserve"> At 78 FR 25162, Apr. 29, 2013, §§5.59 was revised. This section contains information collection and recordkeeping requirements and will not become effective until approval has been given by the Office of Management and Budget. </w:t>
      </w:r>
    </w:p>
    <w:p w:rsidR="00CC2FCE" w:rsidRDefault="00CC2FCE" w:rsidP="00CC2FCE"/>
    <w:sectPr w:rsidR="00CC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CE"/>
    <w:rsid w:val="003D47EB"/>
    <w:rsid w:val="00CC2FCE"/>
    <w:rsid w:val="00DC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FC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FC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C2FC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C2FC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CC2FC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CC2FCE"/>
    <w:pPr>
      <w:spacing w:before="200" w:after="100" w:afterAutospacing="1" w:line="240" w:lineRule="auto"/>
    </w:pPr>
    <w:rPr>
      <w:rFonts w:ascii="Times New Roman" w:eastAsia="Times New Roman" w:hAnsi="Times New Roman" w:cs="Times New Roman"/>
      <w:sz w:val="24"/>
      <w:szCs w:val="24"/>
    </w:rPr>
  </w:style>
  <w:style w:type="paragraph" w:customStyle="1" w:styleId="effdnot">
    <w:name w:val="effdnot"/>
    <w:basedOn w:val="Normal"/>
    <w:rsid w:val="00CC2FCE"/>
    <w:pPr>
      <w:spacing w:before="200" w:after="100" w:afterAutospacing="1" w:line="240" w:lineRule="auto"/>
      <w:ind w:firstLine="48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FC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FC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C2FC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C2FC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CC2FC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CC2FCE"/>
    <w:pPr>
      <w:spacing w:before="200" w:after="100" w:afterAutospacing="1" w:line="240" w:lineRule="auto"/>
    </w:pPr>
    <w:rPr>
      <w:rFonts w:ascii="Times New Roman" w:eastAsia="Times New Roman" w:hAnsi="Times New Roman" w:cs="Times New Roman"/>
      <w:sz w:val="24"/>
      <w:szCs w:val="24"/>
    </w:rPr>
  </w:style>
  <w:style w:type="paragraph" w:customStyle="1" w:styleId="effdnot">
    <w:name w:val="effdnot"/>
    <w:basedOn w:val="Normal"/>
    <w:rsid w:val="00CC2FCE"/>
    <w:pPr>
      <w:spacing w:before="200" w:after="100" w:afterAutospacing="1" w:line="240" w:lineRule="auto"/>
      <w:ind w:firstLine="4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7561">
      <w:bodyDiv w:val="1"/>
      <w:marLeft w:val="0"/>
      <w:marRight w:val="0"/>
      <w:marTop w:val="30"/>
      <w:marBottom w:val="750"/>
      <w:divBdr>
        <w:top w:val="none" w:sz="0" w:space="0" w:color="auto"/>
        <w:left w:val="none" w:sz="0" w:space="0" w:color="auto"/>
        <w:bottom w:val="none" w:sz="0" w:space="0" w:color="auto"/>
        <w:right w:val="none" w:sz="0" w:space="0" w:color="auto"/>
      </w:divBdr>
      <w:divsChild>
        <w:div w:id="1576936831">
          <w:marLeft w:val="0"/>
          <w:marRight w:val="0"/>
          <w:marTop w:val="0"/>
          <w:marBottom w:val="0"/>
          <w:divBdr>
            <w:top w:val="none" w:sz="0" w:space="0" w:color="auto"/>
            <w:left w:val="none" w:sz="0" w:space="0" w:color="auto"/>
            <w:bottom w:val="none" w:sz="0" w:space="0" w:color="auto"/>
            <w:right w:val="none" w:sz="0" w:space="0" w:color="auto"/>
          </w:divBdr>
          <w:divsChild>
            <w:div w:id="17140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5182">
      <w:bodyDiv w:val="1"/>
      <w:marLeft w:val="0"/>
      <w:marRight w:val="0"/>
      <w:marTop w:val="30"/>
      <w:marBottom w:val="750"/>
      <w:divBdr>
        <w:top w:val="none" w:sz="0" w:space="0" w:color="auto"/>
        <w:left w:val="none" w:sz="0" w:space="0" w:color="auto"/>
        <w:bottom w:val="none" w:sz="0" w:space="0" w:color="auto"/>
        <w:right w:val="none" w:sz="0" w:space="0" w:color="auto"/>
      </w:divBdr>
      <w:divsChild>
        <w:div w:id="228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1a496a87b5356840a5a3b1c72cf3299d&amp;n=47y1.0.1.1.6.2&amp;r=SUBPART&amp;ty=HTML" TargetMode="External"/><Relationship Id="rId3" Type="http://schemas.openxmlformats.org/officeDocument/2006/relationships/settings" Target="settings.xml"/><Relationship Id="rId7" Type="http://schemas.openxmlformats.org/officeDocument/2006/relationships/hyperlink" Target="http://www.ecfr.gov/cgi-bin/retrieveECFR?gp=&amp;SID=1a496a87b5356840a5a3b1c72cf3299d&amp;n=47y1.0.1.1.6&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1a496a87b5356840a5a3b1c72cf3299d&amp;r=SECTION&amp;n=47y1.0.1.1.6.2.233.5" TargetMode="External"/><Relationship Id="rId5" Type="http://schemas.openxmlformats.org/officeDocument/2006/relationships/hyperlink" Target="http://www.ecfr.gov/cgi-bin/retrieveECFR?gp=&amp;SID=1a496a87b5356840a5a3b1c72cf3299d&amp;r=SECTION&amp;n=47y1.0.1.1.6.2.23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Brooks</dc:creator>
  <cp:lastModifiedBy>Benish Shah</cp:lastModifiedBy>
  <cp:revision>2</cp:revision>
  <cp:lastPrinted>2014-02-12T17:06:00Z</cp:lastPrinted>
  <dcterms:created xsi:type="dcterms:W3CDTF">2014-02-14T17:43:00Z</dcterms:created>
  <dcterms:modified xsi:type="dcterms:W3CDTF">2014-02-14T17:43:00Z</dcterms:modified>
</cp:coreProperties>
</file>