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5E714A" w:rsidRDefault="00947E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2B3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B41DD">
        <w:t xml:space="preserve">Customer Satisfaction Survey for the NSF Electronic Research Administration Forum, </w:t>
      </w:r>
      <w:r w:rsidR="00BB35A9">
        <w:t>March 15, 2017</w:t>
      </w:r>
    </w:p>
    <w:p w:rsidR="00CB41DD" w:rsidRDefault="00CB41DD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901511" w:rsidRPr="00B50F1D" w:rsidRDefault="00901511" w:rsidP="00060B5A">
      <w:r w:rsidRPr="00E80C43">
        <w:t xml:space="preserve">Gauge Satisfaction of </w:t>
      </w:r>
      <w:r w:rsidR="008219D0" w:rsidRPr="00E80C43">
        <w:t xml:space="preserve">NSF’s Electronic Research Administration </w:t>
      </w:r>
      <w:r w:rsidRPr="00E80C43">
        <w:t>Forum</w:t>
      </w:r>
      <w:r w:rsidR="00D755EF" w:rsidRPr="00E80C43">
        <w:t>, which will be done in a WebEx format</w:t>
      </w:r>
      <w:r w:rsidR="00BB35A9" w:rsidRPr="00E80C43">
        <w:t xml:space="preserve"> (</w:t>
      </w:r>
      <w:r w:rsidR="00E80C43">
        <w:t>covering FastLane and Research.gov</w:t>
      </w:r>
      <w:r w:rsidR="00B50F1D" w:rsidRPr="00E80C43">
        <w:t xml:space="preserve"> systems)</w:t>
      </w:r>
      <w:r w:rsidRPr="00E80C43">
        <w:t xml:space="preserve"> and gather future topics of interest from participants.</w:t>
      </w:r>
      <w:r w:rsidR="008219D0" w:rsidRPr="00E80C43">
        <w:t xml:space="preserve">  This survey will g</w:t>
      </w:r>
      <w:r w:rsidRPr="00E80C43">
        <w:t>ather individual opinions and perspectives on Electronic Research Administration activities and gather user community’s need</w:t>
      </w:r>
      <w:r w:rsidR="00947E65" w:rsidRPr="00E80C43">
        <w:t xml:space="preserve">s and </w:t>
      </w:r>
      <w:r w:rsidRPr="00E80C43">
        <w:t>priorities.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901511" w:rsidRPr="00B50F1D" w:rsidRDefault="00901511">
      <w:r w:rsidRPr="00B50F1D">
        <w:t>FastLane, R.Gov and Grants.Gov Systems Users who are familiar with the Program and the</w:t>
      </w:r>
      <w:r w:rsidR="00947E65" w:rsidRPr="00B50F1D">
        <w:t xml:space="preserve"> NSF</w:t>
      </w:r>
      <w:r w:rsidRPr="00B50F1D">
        <w:t xml:space="preserve"> systems.</w:t>
      </w:r>
    </w:p>
    <w:p w:rsidR="00C8488C" w:rsidRDefault="00982A35" w:rsidP="00982A35">
      <w:pPr>
        <w:tabs>
          <w:tab w:val="left" w:pos="4050"/>
        </w:tabs>
      </w:pPr>
      <w:r>
        <w:tab/>
      </w:r>
    </w:p>
    <w:p w:rsidR="00F15956" w:rsidRDefault="00F15956"/>
    <w:p w:rsidR="00F06866" w:rsidRPr="00E80C43" w:rsidRDefault="00F06866">
      <w:pPr>
        <w:rPr>
          <w:b/>
        </w:rPr>
      </w:pPr>
      <w:r w:rsidRPr="00E80C43">
        <w:rPr>
          <w:b/>
        </w:rPr>
        <w:t>TYPE OF COLLECTION:</w:t>
      </w:r>
      <w:r w:rsidRPr="00E80C43">
        <w:t xml:space="preserve"> (Check one)</w:t>
      </w:r>
    </w:p>
    <w:p w:rsidR="00441434" w:rsidRPr="00E80C4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Customer Comment Card/Complaint Form</w:t>
      </w:r>
      <w:r w:rsidRPr="00E80C43">
        <w:rPr>
          <w:bCs/>
          <w:sz w:val="24"/>
        </w:rPr>
        <w:t xml:space="preserve"> </w:t>
      </w:r>
      <w:r w:rsidRPr="00E80C43">
        <w:rPr>
          <w:bCs/>
          <w:sz w:val="24"/>
        </w:rPr>
        <w:tab/>
        <w:t>[</w:t>
      </w:r>
      <w:r w:rsidR="00901511" w:rsidRPr="00E80C43">
        <w:rPr>
          <w:bCs/>
          <w:color w:val="17365D" w:themeColor="text2" w:themeShade="BF"/>
          <w:sz w:val="24"/>
        </w:rPr>
        <w:t>X</w:t>
      </w:r>
      <w:r w:rsidRPr="00E80C43">
        <w:rPr>
          <w:bCs/>
          <w:sz w:val="24"/>
        </w:rPr>
        <w:t xml:space="preserve"> ] </w:t>
      </w:r>
      <w:r w:rsidR="00F06866" w:rsidRPr="00E80C43">
        <w:rPr>
          <w:bCs/>
          <w:sz w:val="24"/>
        </w:rPr>
        <w:t>Customer Satisfaction Survey</w:t>
      </w:r>
      <w:r w:rsidRPr="00E80C43">
        <w:rPr>
          <w:bCs/>
          <w:sz w:val="24"/>
        </w:rPr>
        <w:t xml:space="preserve"> </w:t>
      </w:r>
      <w:r w:rsidR="00CA2650" w:rsidRPr="00E80C43">
        <w:rPr>
          <w:bCs/>
          <w:sz w:val="24"/>
        </w:rPr>
        <w:t xml:space="preserve">  </w:t>
      </w:r>
      <w:r w:rsidRPr="00E80C43">
        <w:rPr>
          <w:bCs/>
          <w:sz w:val="24"/>
        </w:rPr>
        <w:t xml:space="preserve"> </w:t>
      </w:r>
    </w:p>
    <w:p w:rsidR="0096108F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Usability</w:t>
      </w:r>
      <w:r w:rsidR="009239AA" w:rsidRPr="00E80C43">
        <w:rPr>
          <w:bCs/>
          <w:sz w:val="24"/>
        </w:rPr>
        <w:t xml:space="preserve"> Testing (e.g., Website or Software</w:t>
      </w:r>
      <w:r w:rsidR="00F06866" w:rsidRPr="00E80C43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[]  Focus Group  </w:t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="00F06866" w:rsidRPr="00E80C43">
        <w:rPr>
          <w:bCs/>
          <w:sz w:val="24"/>
        </w:rPr>
        <w:t>[ ] Other:</w:t>
      </w:r>
      <w:r w:rsidR="00F06866" w:rsidRPr="00E80C43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47E65" w:rsidP="009C13B9">
      <w:r>
        <w:t>Name:_</w:t>
      </w:r>
      <w:r w:rsidR="00B76CD7" w:rsidRP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01511" w:rsidRPr="00947E65">
        <w:rPr>
          <w:color w:val="17365D" w:themeColor="text2" w:themeShade="BF"/>
        </w:rPr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901511" w:rsidRPr="00947E65">
        <w:rPr>
          <w:color w:val="17365D" w:themeColor="text2" w:themeShade="BF"/>
        </w:rPr>
        <w:t>X</w:t>
      </w:r>
      <w:r w:rsidR="00947E65" w:rsidRPr="00947E65">
        <w:rPr>
          <w:color w:val="17365D" w:themeColor="text2" w:themeShade="BF"/>
        </w:rPr>
        <w:t xml:space="preserve"> </w:t>
      </w:r>
      <w:r w:rsidR="00947E65">
        <w:t>]</w:t>
      </w:r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Pr="00E80C43" w:rsidRDefault="005E714A" w:rsidP="00C86E91">
      <w:pPr>
        <w:rPr>
          <w:i/>
        </w:rPr>
      </w:pPr>
      <w:r w:rsidRPr="00E80C43">
        <w:rPr>
          <w:b/>
        </w:rPr>
        <w:t>BURDEN HOUR</w:t>
      </w:r>
      <w:r w:rsidR="00441434" w:rsidRPr="00E80C43">
        <w:rPr>
          <w:b/>
        </w:rPr>
        <w:t>S</w:t>
      </w:r>
      <w:r w:rsidRPr="00E80C43">
        <w:t xml:space="preserve"> </w:t>
      </w:r>
    </w:p>
    <w:p w:rsidR="006832D9" w:rsidRPr="00E80C43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E40B50" w:rsidP="00C8488C">
            <w:pPr>
              <w:rPr>
                <w:b/>
              </w:rPr>
            </w:pPr>
            <w:r w:rsidRPr="00E80C43">
              <w:rPr>
                <w:b/>
              </w:rPr>
              <w:t>Category of Respondent</w:t>
            </w:r>
            <w:r w:rsidR="00EF2095" w:rsidRPr="00E80C43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N</w:t>
            </w:r>
            <w:r w:rsidR="009F5923" w:rsidRPr="00E80C43">
              <w:rPr>
                <w:b/>
              </w:rPr>
              <w:t>o.</w:t>
            </w:r>
            <w:r w:rsidRPr="00E80C4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Burden</w:t>
            </w:r>
          </w:p>
        </w:tc>
      </w:tr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Individuals</w:t>
            </w:r>
          </w:p>
        </w:tc>
        <w:tc>
          <w:tcPr>
            <w:tcW w:w="1530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50</w:t>
            </w:r>
          </w:p>
        </w:tc>
        <w:tc>
          <w:tcPr>
            <w:tcW w:w="1710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2 mins</w:t>
            </w:r>
          </w:p>
        </w:tc>
        <w:tc>
          <w:tcPr>
            <w:tcW w:w="1003" w:type="dxa"/>
          </w:tcPr>
          <w:p w:rsidR="006832D9" w:rsidRPr="00E80C43" w:rsidRDefault="00982A35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2 hours</w:t>
            </w:r>
          </w:p>
        </w:tc>
      </w:tr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947E65" w:rsidRDefault="00AE4986" w:rsidP="00843796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2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947E65" w:rsidRDefault="001C39F7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="00901511" w:rsidRPr="00947E65">
        <w:rPr>
          <w:b/>
          <w:color w:val="17365D" w:themeColor="text2" w:themeShade="BF"/>
          <w:u w:val="single"/>
        </w:rPr>
        <w:t>minimal (close to zero)</w:t>
      </w:r>
      <w:r w:rsidR="00901511" w:rsidRPr="00947E65">
        <w:rPr>
          <w:color w:val="17365D" w:themeColor="text2" w:themeShade="BF"/>
        </w:rPr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01511" w:rsidRPr="00947E65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947E65" w:rsidRDefault="00A403BB" w:rsidP="00A403BB">
      <w:pPr>
        <w:rPr>
          <w:color w:val="17365D" w:themeColor="text2" w:themeShade="BF"/>
        </w:rPr>
      </w:pPr>
    </w:p>
    <w:p w:rsidR="00060B5A" w:rsidRPr="00947E65" w:rsidRDefault="00E80C43" w:rsidP="00060B5A">
      <w:pPr>
        <w:rPr>
          <w:color w:val="17365D" w:themeColor="text2" w:themeShade="BF"/>
        </w:rPr>
      </w:pPr>
      <w:r>
        <w:rPr>
          <w:color w:val="17365D" w:themeColor="text2" w:themeShade="BF"/>
        </w:rPr>
        <w:t>FastLane and Research.g</w:t>
      </w:r>
      <w:r w:rsidR="00060B5A" w:rsidRPr="00947E65">
        <w:rPr>
          <w:color w:val="17365D" w:themeColor="text2" w:themeShade="BF"/>
        </w:rPr>
        <w:t>ov Systems Users who are familiar with the Program and the NSF systems.</w:t>
      </w:r>
      <w:r w:rsidR="00D755EF">
        <w:rPr>
          <w:color w:val="17365D" w:themeColor="text2" w:themeShade="BF"/>
        </w:rPr>
        <w:t xml:space="preserve">  The survey will launch when they log into the WebEx meeting.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47E6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20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80C43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901511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B063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0B5A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26B4"/>
    <w:rsid w:val="00223102"/>
    <w:rsid w:val="00237B48"/>
    <w:rsid w:val="0024521E"/>
    <w:rsid w:val="00263C3D"/>
    <w:rsid w:val="00274D0B"/>
    <w:rsid w:val="002B3C95"/>
    <w:rsid w:val="002D0B92"/>
    <w:rsid w:val="00363DBA"/>
    <w:rsid w:val="003B063B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802607"/>
    <w:rsid w:val="008101A5"/>
    <w:rsid w:val="008219D0"/>
    <w:rsid w:val="00822664"/>
    <w:rsid w:val="00843796"/>
    <w:rsid w:val="00895229"/>
    <w:rsid w:val="008F0203"/>
    <w:rsid w:val="008F41C7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C13B9"/>
    <w:rsid w:val="009D01A2"/>
    <w:rsid w:val="009F5923"/>
    <w:rsid w:val="00A403BB"/>
    <w:rsid w:val="00A674DF"/>
    <w:rsid w:val="00A83AA6"/>
    <w:rsid w:val="00AE1809"/>
    <w:rsid w:val="00AE4986"/>
    <w:rsid w:val="00B0703E"/>
    <w:rsid w:val="00B50F1D"/>
    <w:rsid w:val="00B7676E"/>
    <w:rsid w:val="00B7687E"/>
    <w:rsid w:val="00B76CD7"/>
    <w:rsid w:val="00B80D76"/>
    <w:rsid w:val="00BA2105"/>
    <w:rsid w:val="00BA7E06"/>
    <w:rsid w:val="00BB35A9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41DD"/>
    <w:rsid w:val="00CC6FAF"/>
    <w:rsid w:val="00D24698"/>
    <w:rsid w:val="00D6383F"/>
    <w:rsid w:val="00D755EF"/>
    <w:rsid w:val="00DB59D0"/>
    <w:rsid w:val="00DC33D3"/>
    <w:rsid w:val="00DE4C70"/>
    <w:rsid w:val="00E26329"/>
    <w:rsid w:val="00E40B50"/>
    <w:rsid w:val="00E50293"/>
    <w:rsid w:val="00E65FFC"/>
    <w:rsid w:val="00E80951"/>
    <w:rsid w:val="00E80C43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8944E743-BE0B-4A05-88B9-A47B2303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5324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2010-10-04T16:59:00Z</cp:lastPrinted>
  <dcterms:created xsi:type="dcterms:W3CDTF">2017-02-24T15:48:00Z</dcterms:created>
  <dcterms:modified xsi:type="dcterms:W3CDTF">2017-02-24T15:48:00Z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