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47147" w14:textId="77777777" w:rsidR="009D3409" w:rsidRPr="004D6DFE" w:rsidRDefault="009D3409">
      <w:pPr>
        <w:pStyle w:val="Heading2"/>
        <w:tabs>
          <w:tab w:val="clear" w:pos="606"/>
          <w:tab w:val="clear" w:pos="663"/>
          <w:tab w:val="clear" w:pos="9303"/>
          <w:tab w:val="left" w:pos="720"/>
          <w:tab w:val="left" w:pos="10080"/>
        </w:tabs>
        <w:ind w:left="720" w:right="173"/>
      </w:pPr>
    </w:p>
    <w:p w14:paraId="1DAA93ED" w14:textId="4EB7655A" w:rsidR="009D3409" w:rsidRPr="004D6DFE" w:rsidRDefault="008A6863">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sz w:val="24"/>
        </w:rPr>
      </w:pPr>
      <w:r>
        <w:rPr>
          <w:noProof/>
        </w:rPr>
        <w:drawing>
          <wp:inline distT="0" distB="0" distL="0" distR="0" wp14:anchorId="23272806" wp14:editId="5D02C7CA">
            <wp:extent cx="6829425" cy="1209675"/>
            <wp:effectExtent l="0" t="0" r="9525" b="9525"/>
            <wp:docPr id="2" name="Picture 2" descr="EKS NICHD formal letterhead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 NICHD formal letterhead 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9425" cy="1209675"/>
                    </a:xfrm>
                    <a:prstGeom prst="rect">
                      <a:avLst/>
                    </a:prstGeom>
                    <a:noFill/>
                    <a:ln>
                      <a:noFill/>
                    </a:ln>
                  </pic:spPr>
                </pic:pic>
              </a:graphicData>
            </a:graphic>
          </wp:inline>
        </w:drawing>
      </w:r>
    </w:p>
    <w:p w14:paraId="33F9AA7D" w14:textId="77777777" w:rsidR="009D3409" w:rsidRPr="004D6DFE" w:rsidRDefault="009D3409">
      <w:pPr>
        <w:rPr>
          <w:rFonts w:ascii="Times New Roman" w:hAnsi="Times New Roman"/>
          <w:sz w:val="24"/>
        </w:rPr>
      </w:pPr>
    </w:p>
    <w:p w14:paraId="0C0E4A84" w14:textId="6200BDDF" w:rsidR="009D3409" w:rsidRPr="00323CD8" w:rsidRDefault="009D3409" w:rsidP="00E841F7">
      <w:pPr>
        <w:pStyle w:val="Heading2"/>
        <w:tabs>
          <w:tab w:val="clear" w:pos="606"/>
          <w:tab w:val="clear" w:pos="663"/>
          <w:tab w:val="clear" w:pos="9303"/>
          <w:tab w:val="left" w:pos="720"/>
          <w:tab w:val="left" w:pos="10080"/>
        </w:tabs>
        <w:ind w:left="0" w:right="173"/>
      </w:pPr>
      <w:r w:rsidRPr="00323CD8">
        <w:t>Date:</w:t>
      </w:r>
      <w:r w:rsidRPr="00323CD8">
        <w:tab/>
      </w:r>
      <w:r w:rsidRPr="00323CD8">
        <w:tab/>
      </w:r>
      <w:r w:rsidR="00F60774">
        <w:t>October 10, 2014</w:t>
      </w:r>
    </w:p>
    <w:p w14:paraId="1B4D59E9"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17EFCB7"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To:</w:t>
      </w:r>
      <w:r w:rsidRPr="00323CD8">
        <w:rPr>
          <w:rFonts w:ascii="Times New Roman" w:hAnsi="Times New Roman"/>
          <w:sz w:val="24"/>
        </w:rPr>
        <w:tab/>
      </w:r>
      <w:r w:rsidRPr="00323CD8">
        <w:rPr>
          <w:rFonts w:ascii="Times New Roman" w:hAnsi="Times New Roman"/>
          <w:sz w:val="24"/>
        </w:rPr>
        <w:tab/>
        <w:t>Office of Management and Budget (OMB)</w:t>
      </w:r>
      <w:r w:rsidRPr="00323CD8">
        <w:rPr>
          <w:rFonts w:ascii="Times New Roman" w:hAnsi="Times New Roman"/>
          <w:sz w:val="24"/>
        </w:rPr>
        <w:tab/>
      </w:r>
    </w:p>
    <w:p w14:paraId="7FB1AD60"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5E554538"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Through:</w:t>
      </w:r>
      <w:r w:rsidRPr="00323CD8">
        <w:rPr>
          <w:rFonts w:ascii="Times New Roman" w:hAnsi="Times New Roman"/>
          <w:sz w:val="24"/>
        </w:rPr>
        <w:tab/>
        <w:t>DHHS Report Clearance Officer</w:t>
      </w:r>
    </w:p>
    <w:p w14:paraId="084D58C7" w14:textId="77777777" w:rsidR="009D3409" w:rsidRPr="00323CD8" w:rsidRDefault="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323CD8">
        <w:rPr>
          <w:rFonts w:ascii="Times New Roman" w:hAnsi="Times New Roman"/>
          <w:sz w:val="24"/>
        </w:rPr>
        <w:tab/>
      </w:r>
      <w:r w:rsidR="006121E2" w:rsidRPr="00323CD8">
        <w:rPr>
          <w:rFonts w:ascii="Times New Roman" w:hAnsi="Times New Roman"/>
          <w:sz w:val="24"/>
        </w:rPr>
        <w:t>Seleda Perryman</w:t>
      </w:r>
      <w:r w:rsidR="009D3409" w:rsidRPr="00323CD8">
        <w:rPr>
          <w:rFonts w:ascii="Times New Roman" w:hAnsi="Times New Roman"/>
          <w:sz w:val="24"/>
        </w:rPr>
        <w:t>, NIH Project Clearance Officer, OPERA</w:t>
      </w:r>
    </w:p>
    <w:p w14:paraId="1A537F32" w14:textId="77777777" w:rsidR="009D3409" w:rsidRPr="00323CD8" w:rsidRDefault="004D6DFE"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383" w:right="173"/>
        <w:rPr>
          <w:rFonts w:ascii="Times New Roman" w:hAnsi="Times New Roman"/>
          <w:sz w:val="24"/>
        </w:rPr>
      </w:pPr>
      <w:r w:rsidRPr="00323CD8">
        <w:rPr>
          <w:rFonts w:ascii="Times New Roman" w:hAnsi="Times New Roman"/>
          <w:sz w:val="24"/>
        </w:rPr>
        <w:t>Sarah Glavin</w:t>
      </w:r>
      <w:r w:rsidR="006121E2" w:rsidRPr="00323CD8">
        <w:rPr>
          <w:rFonts w:ascii="Times New Roman" w:hAnsi="Times New Roman"/>
          <w:sz w:val="24"/>
        </w:rPr>
        <w:t>, NICHD</w:t>
      </w:r>
      <w:r w:rsidRPr="00323CD8">
        <w:rPr>
          <w:rFonts w:ascii="Times New Roman" w:hAnsi="Times New Roman"/>
          <w:sz w:val="24"/>
        </w:rPr>
        <w:t xml:space="preserve"> Project Clearance Liaison</w:t>
      </w:r>
    </w:p>
    <w:p w14:paraId="10435DC9"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371997A"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From:</w:t>
      </w:r>
      <w:r w:rsidRPr="00323CD8">
        <w:rPr>
          <w:rFonts w:ascii="Times New Roman" w:hAnsi="Times New Roman"/>
          <w:sz w:val="24"/>
        </w:rPr>
        <w:tab/>
      </w:r>
      <w:r w:rsidRPr="00323CD8">
        <w:rPr>
          <w:rFonts w:ascii="Times New Roman" w:hAnsi="Times New Roman"/>
          <w:sz w:val="24"/>
        </w:rPr>
        <w:tab/>
      </w:r>
      <w:r w:rsidR="006121E2" w:rsidRPr="00323CD8">
        <w:rPr>
          <w:rFonts w:ascii="Times New Roman" w:hAnsi="Times New Roman"/>
          <w:sz w:val="24"/>
        </w:rPr>
        <w:t>Shavon Artis</w:t>
      </w:r>
    </w:p>
    <w:p w14:paraId="38198C4D"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323CD8">
        <w:rPr>
          <w:rFonts w:ascii="Times New Roman" w:hAnsi="Times New Roman"/>
          <w:sz w:val="24"/>
        </w:rPr>
        <w:tab/>
      </w:r>
      <w:r w:rsidR="006121E2" w:rsidRPr="00323CD8">
        <w:rPr>
          <w:rFonts w:ascii="Times New Roman" w:hAnsi="Times New Roman"/>
          <w:sz w:val="24"/>
        </w:rPr>
        <w:t xml:space="preserve">Public </w:t>
      </w:r>
      <w:r w:rsidRPr="00323CD8">
        <w:rPr>
          <w:rFonts w:ascii="Times New Roman" w:hAnsi="Times New Roman"/>
          <w:sz w:val="24"/>
        </w:rPr>
        <w:t xml:space="preserve">Communications </w:t>
      </w:r>
      <w:r w:rsidR="006121E2" w:rsidRPr="00323CD8">
        <w:rPr>
          <w:rFonts w:ascii="Times New Roman" w:hAnsi="Times New Roman"/>
          <w:sz w:val="24"/>
        </w:rPr>
        <w:t>Branch</w:t>
      </w:r>
      <w:r w:rsidRPr="00323CD8">
        <w:rPr>
          <w:rFonts w:ascii="Times New Roman" w:hAnsi="Times New Roman"/>
          <w:sz w:val="24"/>
        </w:rPr>
        <w:t xml:space="preserve">, </w:t>
      </w:r>
      <w:r w:rsidR="006121E2" w:rsidRPr="00323CD8">
        <w:rPr>
          <w:rFonts w:ascii="Times New Roman" w:hAnsi="Times New Roman"/>
          <w:sz w:val="24"/>
        </w:rPr>
        <w:t>NICHD</w:t>
      </w:r>
      <w:r w:rsidRPr="00323CD8">
        <w:rPr>
          <w:rFonts w:ascii="Times New Roman" w:hAnsi="Times New Roman"/>
          <w:sz w:val="24"/>
        </w:rPr>
        <w:tab/>
      </w:r>
      <w:r w:rsidRPr="00323CD8">
        <w:rPr>
          <w:rFonts w:ascii="Times New Roman" w:hAnsi="Times New Roman"/>
          <w:sz w:val="24"/>
        </w:rPr>
        <w:tab/>
      </w:r>
    </w:p>
    <w:p w14:paraId="47283B8A"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A0DA36C" w14:textId="2B2EDB4B" w:rsidR="009D3409" w:rsidRPr="00323CD8" w:rsidRDefault="009D3409" w:rsidP="00FD4931">
      <w:pPr>
        <w:ind w:left="1440" w:hanging="1440"/>
        <w:rPr>
          <w:rFonts w:ascii="Times New Roman" w:hAnsi="Times New Roman"/>
          <w:b/>
          <w:sz w:val="24"/>
        </w:rPr>
      </w:pPr>
      <w:r w:rsidRPr="00323CD8">
        <w:rPr>
          <w:rFonts w:ascii="Times New Roman" w:hAnsi="Times New Roman"/>
          <w:sz w:val="24"/>
        </w:rPr>
        <w:t>Subject:</w:t>
      </w:r>
      <w:r w:rsidRPr="00323CD8">
        <w:rPr>
          <w:rFonts w:ascii="Times New Roman" w:hAnsi="Times New Roman"/>
          <w:sz w:val="24"/>
        </w:rPr>
        <w:tab/>
      </w:r>
      <w:r w:rsidRPr="00323CD8">
        <w:rPr>
          <w:rFonts w:ascii="Times New Roman" w:hAnsi="Times New Roman"/>
          <w:b/>
          <w:sz w:val="24"/>
        </w:rPr>
        <w:t xml:space="preserve">Generic Sub-Study, </w:t>
      </w:r>
      <w:r w:rsidR="001C5B8A">
        <w:rPr>
          <w:rFonts w:ascii="Times New Roman" w:hAnsi="Times New Roman"/>
          <w:b/>
          <w:sz w:val="24"/>
        </w:rPr>
        <w:t xml:space="preserve">Healthy Native Babies </w:t>
      </w:r>
      <w:r w:rsidR="008A6863">
        <w:rPr>
          <w:rFonts w:ascii="Times New Roman" w:hAnsi="Times New Roman"/>
          <w:b/>
          <w:sz w:val="24"/>
        </w:rPr>
        <w:t>Project</w:t>
      </w:r>
      <w:r w:rsidR="00FD4931">
        <w:rPr>
          <w:rFonts w:ascii="Times New Roman" w:hAnsi="Times New Roman"/>
          <w:b/>
          <w:sz w:val="24"/>
        </w:rPr>
        <w:t xml:space="preserve"> Train-the-Trainer</w:t>
      </w:r>
      <w:r w:rsidR="008D7EF1">
        <w:rPr>
          <w:rFonts w:ascii="Times New Roman" w:hAnsi="Times New Roman"/>
          <w:b/>
          <w:sz w:val="24"/>
        </w:rPr>
        <w:t xml:space="preserve"> Follow-Up</w:t>
      </w:r>
      <w:r w:rsidR="00FD4931">
        <w:rPr>
          <w:rFonts w:ascii="Times New Roman" w:hAnsi="Times New Roman"/>
          <w:b/>
          <w:sz w:val="24"/>
        </w:rPr>
        <w:t xml:space="preserve"> Assessment </w:t>
      </w:r>
      <w:r w:rsidRPr="00323CD8">
        <w:rPr>
          <w:rFonts w:ascii="Times New Roman" w:hAnsi="Times New Roman"/>
          <w:b/>
          <w:sz w:val="24"/>
        </w:rPr>
        <w:t>(OMB No. 0925-</w:t>
      </w:r>
      <w:r w:rsidR="00FD4931">
        <w:rPr>
          <w:rFonts w:ascii="Times New Roman" w:hAnsi="Times New Roman"/>
          <w:b/>
          <w:sz w:val="24"/>
        </w:rPr>
        <w:t>0701</w:t>
      </w:r>
      <w:r w:rsidR="005F4D1B">
        <w:rPr>
          <w:rFonts w:ascii="Times New Roman" w:hAnsi="Times New Roman"/>
          <w:b/>
          <w:sz w:val="24"/>
        </w:rPr>
        <w:t>,</w:t>
      </w:r>
      <w:r w:rsidR="005F4D1B" w:rsidRPr="005F4D1B">
        <w:rPr>
          <w:rFonts w:ascii="Times New Roman" w:hAnsi="Times New Roman"/>
          <w:b/>
          <w:sz w:val="24"/>
        </w:rPr>
        <w:t xml:space="preserve"> </w:t>
      </w:r>
      <w:r w:rsidR="005F4D1B">
        <w:rPr>
          <w:rFonts w:ascii="Times New Roman" w:hAnsi="Times New Roman"/>
          <w:b/>
          <w:sz w:val="24"/>
        </w:rPr>
        <w:t>Expiration Date: 07/31/2017</w:t>
      </w:r>
      <w:r w:rsidRPr="00323CD8">
        <w:rPr>
          <w:rFonts w:ascii="Times New Roman" w:hAnsi="Times New Roman"/>
          <w:b/>
          <w:sz w:val="24"/>
        </w:rPr>
        <w:t>)</w:t>
      </w:r>
    </w:p>
    <w:p w14:paraId="48431F1B" w14:textId="77777777" w:rsidR="009D3409" w:rsidRPr="00323CD8" w:rsidRDefault="009D340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14:paraId="55D8248D" w14:textId="342F1199" w:rsidR="00385B52" w:rsidRPr="00385B52" w:rsidRDefault="00385B52" w:rsidP="00385B52">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385B52">
        <w:rPr>
          <w:rFonts w:ascii="Times New Roman" w:hAnsi="Times New Roman"/>
          <w:sz w:val="24"/>
        </w:rPr>
        <w:t xml:space="preserve">The </w:t>
      </w:r>
      <w:r w:rsidRPr="00385B52">
        <w:rPr>
          <w:rFonts w:ascii="Times New Roman" w:hAnsi="Times New Roman"/>
          <w:i/>
          <w:sz w:val="24"/>
        </w:rPr>
        <w:t>Eunice Kennedy Shriver</w:t>
      </w:r>
      <w:r w:rsidRPr="00385B52">
        <w:rPr>
          <w:rFonts w:ascii="Times New Roman" w:hAnsi="Times New Roman"/>
          <w:sz w:val="24"/>
        </w:rPr>
        <w:t xml:space="preserve"> National Institute of Child Health and Human Development (NICHD) propose conducting a follow-up survey of participants in the Healthy Native Babies</w:t>
      </w:r>
      <w:r w:rsidR="00FD4931">
        <w:rPr>
          <w:rFonts w:ascii="Times New Roman" w:hAnsi="Times New Roman"/>
          <w:sz w:val="24"/>
        </w:rPr>
        <w:t xml:space="preserve"> (HNB)</w:t>
      </w:r>
      <w:r w:rsidRPr="00385B52">
        <w:rPr>
          <w:rFonts w:ascii="Times New Roman" w:hAnsi="Times New Roman"/>
          <w:sz w:val="24"/>
        </w:rPr>
        <w:t xml:space="preserve"> Pro</w:t>
      </w:r>
      <w:r w:rsidR="008A6863">
        <w:rPr>
          <w:rFonts w:ascii="Times New Roman" w:hAnsi="Times New Roman"/>
          <w:sz w:val="24"/>
        </w:rPr>
        <w:t>ject</w:t>
      </w:r>
      <w:r w:rsidRPr="00385B52">
        <w:rPr>
          <w:rFonts w:ascii="Times New Roman" w:hAnsi="Times New Roman"/>
          <w:sz w:val="24"/>
        </w:rPr>
        <w:t xml:space="preserve"> train-the-trainer sessions.  The H</w:t>
      </w:r>
      <w:r w:rsidR="00FD4931">
        <w:rPr>
          <w:rFonts w:ascii="Times New Roman" w:hAnsi="Times New Roman"/>
          <w:sz w:val="24"/>
        </w:rPr>
        <w:t>NB</w:t>
      </w:r>
      <w:r w:rsidRPr="00385B52">
        <w:rPr>
          <w:rFonts w:ascii="Times New Roman" w:hAnsi="Times New Roman"/>
          <w:sz w:val="24"/>
        </w:rPr>
        <w:t xml:space="preserve"> Pro</w:t>
      </w:r>
      <w:r w:rsidR="008A6863">
        <w:rPr>
          <w:rFonts w:ascii="Times New Roman" w:hAnsi="Times New Roman"/>
          <w:sz w:val="24"/>
        </w:rPr>
        <w:t>ject</w:t>
      </w:r>
      <w:r w:rsidRPr="00385B52">
        <w:rPr>
          <w:rFonts w:ascii="Times New Roman" w:hAnsi="Times New Roman"/>
          <w:sz w:val="24"/>
        </w:rPr>
        <w:t xml:space="preserve"> is a collaboration between the NICHD and representatives from five American Indian/Alaskan Native (AI/AN) communities in the U.S. Northern Tier - Aberdeen, Alaska, Billings, Bemidji, and Portland.  This innovative collaboration is part of the Safe to Sleep® </w:t>
      </w:r>
      <w:r w:rsidR="00FD4931">
        <w:rPr>
          <w:rFonts w:ascii="Times New Roman" w:hAnsi="Times New Roman"/>
          <w:sz w:val="24"/>
        </w:rPr>
        <w:t xml:space="preserve">(STS) </w:t>
      </w:r>
      <w:r w:rsidRPr="00385B52">
        <w:rPr>
          <w:rFonts w:ascii="Times New Roman" w:hAnsi="Times New Roman"/>
          <w:sz w:val="24"/>
        </w:rPr>
        <w:t>campaign and aims to spread safe sleep messages within AI/AN communities.</w:t>
      </w:r>
    </w:p>
    <w:p w14:paraId="5FFF1EA5" w14:textId="77777777" w:rsidR="00385B52" w:rsidRPr="00385B52" w:rsidRDefault="00385B52" w:rsidP="00385B52">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14:paraId="1D7118DB" w14:textId="542821DA" w:rsidR="00712FED" w:rsidRPr="00385B52" w:rsidRDefault="00385B52" w:rsidP="00385B5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385B52">
        <w:rPr>
          <w:rFonts w:ascii="Times New Roman" w:hAnsi="Times New Roman"/>
          <w:sz w:val="24"/>
        </w:rPr>
        <w:t>NICHD will collect information using the Healthy Native Babies Pro</w:t>
      </w:r>
      <w:r w:rsidR="008A6863">
        <w:rPr>
          <w:rFonts w:ascii="Times New Roman" w:hAnsi="Times New Roman"/>
          <w:sz w:val="24"/>
        </w:rPr>
        <w:t>ject</w:t>
      </w:r>
      <w:r w:rsidRPr="00385B52">
        <w:rPr>
          <w:rFonts w:ascii="Times New Roman" w:hAnsi="Times New Roman"/>
          <w:sz w:val="24"/>
        </w:rPr>
        <w:t xml:space="preserve"> </w:t>
      </w:r>
      <w:r w:rsidR="00FD4931">
        <w:rPr>
          <w:rFonts w:ascii="Times New Roman" w:hAnsi="Times New Roman"/>
          <w:sz w:val="24"/>
        </w:rPr>
        <w:t xml:space="preserve">Train-the-Trainer </w:t>
      </w:r>
      <w:r w:rsidRPr="00385B52">
        <w:rPr>
          <w:rFonts w:ascii="Times New Roman" w:hAnsi="Times New Roman"/>
          <w:sz w:val="24"/>
        </w:rPr>
        <w:t xml:space="preserve">Follow-Up </w:t>
      </w:r>
      <w:r w:rsidR="00FD4931">
        <w:rPr>
          <w:rFonts w:ascii="Times New Roman" w:hAnsi="Times New Roman"/>
          <w:sz w:val="24"/>
        </w:rPr>
        <w:t>Assessment</w:t>
      </w:r>
      <w:r w:rsidRPr="00385B52">
        <w:rPr>
          <w:rFonts w:ascii="Times New Roman" w:hAnsi="Times New Roman"/>
          <w:sz w:val="24"/>
        </w:rPr>
        <w:t xml:space="preserve"> </w:t>
      </w:r>
      <w:r w:rsidR="007F2C9C">
        <w:rPr>
          <w:rFonts w:ascii="Times New Roman" w:hAnsi="Times New Roman"/>
          <w:sz w:val="24"/>
        </w:rPr>
        <w:t xml:space="preserve">survey </w:t>
      </w:r>
      <w:r w:rsidRPr="00385B52">
        <w:rPr>
          <w:rFonts w:ascii="Times New Roman" w:hAnsi="Times New Roman"/>
          <w:sz w:val="24"/>
        </w:rPr>
        <w:t>(</w:t>
      </w:r>
      <w:r w:rsidR="00D33451" w:rsidRPr="00F60774">
        <w:rPr>
          <w:rFonts w:ascii="Times New Roman" w:hAnsi="Times New Roman"/>
          <w:sz w:val="24"/>
        </w:rPr>
        <w:t>Attachment</w:t>
      </w:r>
      <w:r w:rsidRPr="00F60774">
        <w:rPr>
          <w:rFonts w:ascii="Times New Roman" w:hAnsi="Times New Roman"/>
          <w:sz w:val="24"/>
        </w:rPr>
        <w:t xml:space="preserve"> </w:t>
      </w:r>
      <w:r w:rsidR="00F60774" w:rsidRPr="00F60774">
        <w:rPr>
          <w:rFonts w:ascii="Times New Roman" w:hAnsi="Times New Roman"/>
          <w:sz w:val="24"/>
        </w:rPr>
        <w:t>1</w:t>
      </w:r>
      <w:r w:rsidRPr="00F60774">
        <w:rPr>
          <w:rFonts w:ascii="Times New Roman" w:hAnsi="Times New Roman"/>
          <w:sz w:val="24"/>
        </w:rPr>
        <w:t>).</w:t>
      </w:r>
      <w:r w:rsidRPr="00385B52">
        <w:rPr>
          <w:rFonts w:ascii="Times New Roman" w:hAnsi="Times New Roman"/>
          <w:sz w:val="24"/>
        </w:rPr>
        <w:t xml:space="preserve"> </w:t>
      </w:r>
      <w:r w:rsidR="008A6863">
        <w:rPr>
          <w:rFonts w:ascii="Times New Roman" w:hAnsi="Times New Roman"/>
          <w:sz w:val="24"/>
        </w:rPr>
        <w:t>HNB Project</w:t>
      </w:r>
      <w:r w:rsidR="00FD4931">
        <w:rPr>
          <w:rFonts w:ascii="Times New Roman" w:hAnsi="Times New Roman"/>
          <w:sz w:val="24"/>
        </w:rPr>
        <w:t xml:space="preserve"> trainees will receive a follow-up survey 3-6 months after completing the training.  The follow-up survey will gather information on the participants’ community outreach and education activities since taking the training as well as their level of confidence in conducting these activities.  </w:t>
      </w:r>
      <w:r w:rsidRPr="00385B52">
        <w:rPr>
          <w:rFonts w:ascii="Times New Roman" w:hAnsi="Times New Roman"/>
          <w:sz w:val="24"/>
        </w:rPr>
        <w:t xml:space="preserve">The follow-up survey will </w:t>
      </w:r>
      <w:r w:rsidR="00FD4931">
        <w:rPr>
          <w:rFonts w:ascii="Times New Roman" w:hAnsi="Times New Roman"/>
          <w:sz w:val="24"/>
        </w:rPr>
        <w:t xml:space="preserve">also </w:t>
      </w:r>
      <w:r w:rsidRPr="00385B52">
        <w:rPr>
          <w:rFonts w:ascii="Times New Roman" w:hAnsi="Times New Roman"/>
          <w:sz w:val="24"/>
        </w:rPr>
        <w:t xml:space="preserve">assess the participants’ use of </w:t>
      </w:r>
      <w:r w:rsidR="007F2C9C">
        <w:rPr>
          <w:rFonts w:ascii="Times New Roman" w:hAnsi="Times New Roman"/>
          <w:sz w:val="24"/>
        </w:rPr>
        <w:t xml:space="preserve">and satisfaction with </w:t>
      </w:r>
      <w:r w:rsidR="008A6863">
        <w:rPr>
          <w:rFonts w:ascii="Times New Roman" w:hAnsi="Times New Roman"/>
          <w:sz w:val="24"/>
        </w:rPr>
        <w:t>HNB Project</w:t>
      </w:r>
      <w:r w:rsidR="00FD4931">
        <w:rPr>
          <w:rFonts w:ascii="Times New Roman" w:hAnsi="Times New Roman"/>
          <w:sz w:val="24"/>
        </w:rPr>
        <w:t xml:space="preserve"> </w:t>
      </w:r>
      <w:r w:rsidRPr="00385B52">
        <w:rPr>
          <w:rFonts w:ascii="Times New Roman" w:hAnsi="Times New Roman"/>
          <w:sz w:val="24"/>
        </w:rPr>
        <w:t>training tools and materials.</w:t>
      </w:r>
    </w:p>
    <w:p w14:paraId="11F008E6" w14:textId="77777777" w:rsidR="00385B52" w:rsidRDefault="00385B52"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p>
    <w:p w14:paraId="16D33BC3" w14:textId="77777777" w:rsidR="009D3409"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Circumstances Making the Collection of Information Necessary</w:t>
      </w:r>
    </w:p>
    <w:p w14:paraId="40A87624" w14:textId="77777777" w:rsidR="001C5B8A" w:rsidRPr="00F4154C" w:rsidRDefault="001C5B8A" w:rsidP="001C5B8A">
      <w:pPr>
        <w:pStyle w:val="Style"/>
        <w:ind w:right="67"/>
        <w:rPr>
          <w:rFonts w:ascii="Times New Roman" w:hAnsi="Times New Roman" w:cs="Times New Roman"/>
          <w:color w:val="000000"/>
        </w:rPr>
      </w:pPr>
      <w:r w:rsidRPr="00DC2081">
        <w:rPr>
          <w:rFonts w:ascii="Times New Roman" w:hAnsi="Times New Roman" w:cs="Times New Roman"/>
          <w:color w:val="000000"/>
        </w:rPr>
        <w:t xml:space="preserve">Since the </w:t>
      </w:r>
      <w:r w:rsidRPr="007917DE">
        <w:rPr>
          <w:rStyle w:val="style11"/>
          <w:rFonts w:ascii="Times New Roman" w:hAnsi="Times New Roman" w:cs="Times New Roman"/>
          <w:sz w:val="24"/>
          <w:szCs w:val="24"/>
        </w:rPr>
        <w:t>NICHD</w:t>
      </w:r>
      <w:r w:rsidRPr="00DC2081">
        <w:rPr>
          <w:rFonts w:ascii="Times New Roman" w:hAnsi="Times New Roman" w:cs="Times New Roman"/>
          <w:color w:val="000000"/>
        </w:rPr>
        <w:t xml:space="preserve">-led </w:t>
      </w:r>
      <w:r w:rsidRPr="00DC2081">
        <w:rPr>
          <w:rFonts w:ascii="Times New Roman" w:hAnsi="Times New Roman" w:cs="Times New Roman"/>
          <w:i/>
          <w:iCs/>
          <w:color w:val="000000"/>
        </w:rPr>
        <w:t xml:space="preserve">Back to Sleep </w:t>
      </w:r>
      <w:r w:rsidRPr="00DC2081">
        <w:rPr>
          <w:rFonts w:ascii="Times New Roman" w:hAnsi="Times New Roman" w:cs="Times New Roman"/>
          <w:color w:val="000000"/>
        </w:rPr>
        <w:t>campaign was initiated in the early 1990s, the rate of Sudden Infant Death Syndrome (SIDS) has declined by about 50 percent. This decline has occurred in all segments of the population, although the decline has been less in American Indian communities. Today, American Indian infants are almost three times as likely to die from SIDS as white infants. The Aberdeen Area Infant Mortality Study, a study of Northern Plains Indians, found that infants were less likely to die of SIDS if their mothers received visits from public health nurses before and after giving birth. This study was funded by three agencies of the Department of Health and Human Services: the Indian Health Service (IHS), NICHD of the National Institutes of Health, and the Centers for Disease Control and Prevention (CDC).</w:t>
      </w:r>
    </w:p>
    <w:p w14:paraId="19C915CD" w14:textId="77777777" w:rsidR="001C5B8A" w:rsidRPr="00DC2081" w:rsidRDefault="001C5B8A" w:rsidP="001C5B8A">
      <w:pPr>
        <w:rPr>
          <w:rFonts w:ascii="Times New Roman" w:hAnsi="Times New Roman"/>
          <w:sz w:val="24"/>
        </w:rPr>
      </w:pPr>
    </w:p>
    <w:p w14:paraId="52562154" w14:textId="792D81B8" w:rsidR="001C5B8A" w:rsidRDefault="001C5B8A" w:rsidP="001C5B8A">
      <w:pPr>
        <w:rPr>
          <w:rFonts w:ascii="Times New Roman" w:hAnsi="Times New Roman"/>
          <w:sz w:val="24"/>
        </w:rPr>
      </w:pPr>
      <w:r>
        <w:rPr>
          <w:rFonts w:ascii="Times New Roman" w:hAnsi="Times New Roman"/>
          <w:sz w:val="24"/>
        </w:rPr>
        <w:t xml:space="preserve">In 2002, the </w:t>
      </w:r>
      <w:r w:rsidRPr="00DC2081">
        <w:rPr>
          <w:rFonts w:ascii="Times New Roman" w:hAnsi="Times New Roman"/>
          <w:sz w:val="24"/>
        </w:rPr>
        <w:t xml:space="preserve">NICHD met with American Indian and Alaska Native (AI/AN) stakeholders and federal partners to address the high SIDS rates in American Indian and Alaska Native communities.  A work </w:t>
      </w:r>
      <w:r w:rsidRPr="00DC2081">
        <w:rPr>
          <w:rFonts w:ascii="Times New Roman" w:hAnsi="Times New Roman"/>
          <w:sz w:val="24"/>
        </w:rPr>
        <w:lastRenderedPageBreak/>
        <w:t>group was formed to create an outreach initiative focusing on the Northern Tier of the United States, where AI/AN SIDS rates are the highest.  Ba</w:t>
      </w:r>
      <w:r w:rsidR="006E730D">
        <w:rPr>
          <w:rFonts w:ascii="Times New Roman" w:hAnsi="Times New Roman"/>
          <w:sz w:val="24"/>
        </w:rPr>
        <w:t xml:space="preserve">sed on a series of focus groups and </w:t>
      </w:r>
      <w:r w:rsidRPr="00DC2081">
        <w:rPr>
          <w:rFonts w:ascii="Times New Roman" w:hAnsi="Times New Roman"/>
          <w:sz w:val="24"/>
        </w:rPr>
        <w:t>discussion sessions with AI/AN parents, the NICHD</w:t>
      </w:r>
      <w:r w:rsidR="006E730D">
        <w:rPr>
          <w:rFonts w:ascii="Times New Roman" w:hAnsi="Times New Roman"/>
          <w:sz w:val="24"/>
        </w:rPr>
        <w:t>,</w:t>
      </w:r>
      <w:r w:rsidRPr="00DC2081">
        <w:rPr>
          <w:rFonts w:ascii="Times New Roman" w:hAnsi="Times New Roman"/>
          <w:sz w:val="24"/>
        </w:rPr>
        <w:t xml:space="preserve"> </w:t>
      </w:r>
      <w:r w:rsidRPr="00DC2081">
        <w:rPr>
          <w:rStyle w:val="style11"/>
          <w:rFonts w:ascii="Times New Roman" w:hAnsi="Times New Roman"/>
          <w:sz w:val="24"/>
        </w:rPr>
        <w:t>in collaboration with Native American Management Services, Inc</w:t>
      </w:r>
      <w:r w:rsidR="006E730D">
        <w:rPr>
          <w:rStyle w:val="style11"/>
          <w:rFonts w:ascii="Times New Roman" w:hAnsi="Times New Roman"/>
          <w:sz w:val="24"/>
        </w:rPr>
        <w:t>.</w:t>
      </w:r>
      <w:r w:rsidRPr="00DC2081">
        <w:rPr>
          <w:rStyle w:val="style11"/>
          <w:rFonts w:ascii="Times New Roman" w:hAnsi="Times New Roman"/>
          <w:sz w:val="24"/>
        </w:rPr>
        <w:t xml:space="preserve"> </w:t>
      </w:r>
      <w:r w:rsidRPr="00DC2081">
        <w:rPr>
          <w:rFonts w:ascii="Times New Roman" w:hAnsi="Times New Roman"/>
          <w:sz w:val="24"/>
        </w:rPr>
        <w:t xml:space="preserve">developed adaptable, culturally-appropriate SIDS risk-reduction materials for use in five Indian Health Service </w:t>
      </w:r>
      <w:r>
        <w:rPr>
          <w:rFonts w:ascii="Times New Roman" w:hAnsi="Times New Roman"/>
          <w:sz w:val="24"/>
        </w:rPr>
        <w:t>a</w:t>
      </w:r>
      <w:r w:rsidRPr="00DC2081">
        <w:rPr>
          <w:rFonts w:ascii="Times New Roman" w:hAnsi="Times New Roman"/>
          <w:sz w:val="24"/>
        </w:rPr>
        <w:t>reas</w:t>
      </w:r>
      <w:r>
        <w:rPr>
          <w:rFonts w:ascii="Times New Roman" w:hAnsi="Times New Roman"/>
          <w:sz w:val="24"/>
        </w:rPr>
        <w:t xml:space="preserve"> in the Northern Tier – </w:t>
      </w:r>
      <w:r w:rsidRPr="00DC2081">
        <w:rPr>
          <w:rFonts w:ascii="Times New Roman" w:hAnsi="Times New Roman"/>
          <w:sz w:val="24"/>
        </w:rPr>
        <w:t xml:space="preserve">Aberdeen, Billings, Bemidji, Portland, and Alaska. Under the guidance of a community-based work group, educational materials were developed based on recommendations from the five </w:t>
      </w:r>
      <w:r>
        <w:rPr>
          <w:rFonts w:ascii="Times New Roman" w:hAnsi="Times New Roman"/>
          <w:sz w:val="24"/>
        </w:rPr>
        <w:t>IHS a</w:t>
      </w:r>
      <w:r w:rsidRPr="00DC2081">
        <w:rPr>
          <w:rFonts w:ascii="Times New Roman" w:hAnsi="Times New Roman"/>
          <w:sz w:val="24"/>
        </w:rPr>
        <w:t xml:space="preserve">reas.  The outreach </w:t>
      </w:r>
      <w:r w:rsidR="007F2C9C">
        <w:rPr>
          <w:rFonts w:ascii="Times New Roman" w:hAnsi="Times New Roman"/>
          <w:sz w:val="24"/>
        </w:rPr>
        <w:t>initiative</w:t>
      </w:r>
      <w:r w:rsidRPr="00DC2081">
        <w:rPr>
          <w:rFonts w:ascii="Times New Roman" w:hAnsi="Times New Roman"/>
          <w:sz w:val="24"/>
        </w:rPr>
        <w:t xml:space="preserve"> is called “</w:t>
      </w:r>
      <w:r w:rsidRPr="00DC2081">
        <w:rPr>
          <w:rFonts w:ascii="Times New Roman" w:hAnsi="Times New Roman"/>
          <w:color w:val="000000"/>
          <w:spacing w:val="5"/>
          <w:sz w:val="24"/>
        </w:rPr>
        <w:t>Healthy Native Babies: Honoring the Past, L</w:t>
      </w:r>
      <w:r w:rsidR="007F2C9C">
        <w:rPr>
          <w:rFonts w:ascii="Times New Roman" w:hAnsi="Times New Roman"/>
          <w:color w:val="000000"/>
          <w:spacing w:val="5"/>
          <w:sz w:val="24"/>
        </w:rPr>
        <w:t>earning fo</w:t>
      </w:r>
      <w:r w:rsidR="008A6863">
        <w:rPr>
          <w:rFonts w:ascii="Times New Roman" w:hAnsi="Times New Roman"/>
          <w:color w:val="000000"/>
          <w:spacing w:val="5"/>
          <w:sz w:val="24"/>
        </w:rPr>
        <w:t>r the Future” (HNB). HNB Project</w:t>
      </w:r>
      <w:r w:rsidRPr="00DC2081">
        <w:rPr>
          <w:rFonts w:ascii="Times New Roman" w:hAnsi="Times New Roman"/>
          <w:color w:val="000000"/>
          <w:spacing w:val="5"/>
          <w:sz w:val="24"/>
        </w:rPr>
        <w:t xml:space="preserve"> materials include a </w:t>
      </w:r>
      <w:r>
        <w:rPr>
          <w:rFonts w:ascii="Times New Roman" w:hAnsi="Times New Roman"/>
          <w:color w:val="000000"/>
          <w:spacing w:val="5"/>
          <w:sz w:val="24"/>
        </w:rPr>
        <w:t xml:space="preserve">Workbook, Resource CD, and Toolkit </w:t>
      </w:r>
      <w:r w:rsidRPr="00DC2081">
        <w:rPr>
          <w:rFonts w:ascii="Times New Roman" w:hAnsi="Times New Roman"/>
          <w:color w:val="000000"/>
          <w:spacing w:val="5"/>
          <w:sz w:val="24"/>
        </w:rPr>
        <w:t>CD ROM.</w:t>
      </w:r>
      <w:r>
        <w:rPr>
          <w:rFonts w:ascii="Times New Roman" w:hAnsi="Times New Roman"/>
          <w:color w:val="000000"/>
          <w:spacing w:val="5"/>
          <w:sz w:val="24"/>
        </w:rPr>
        <w:t xml:space="preserve">  </w:t>
      </w:r>
      <w:r w:rsidRPr="00DC2081">
        <w:rPr>
          <w:rFonts w:ascii="Times New Roman" w:hAnsi="Times New Roman"/>
          <w:sz w:val="24"/>
        </w:rPr>
        <w:t>The interactive CD ROM includes templates for a variety of SIDS risk-reduction educational materials.  It contains photographs of American Indian and Alaska Native families and infants from the five regions, taken by local photographers. These photographs can be incorporated into educational materials such as posters, flyers, brochures</w:t>
      </w:r>
      <w:r>
        <w:rPr>
          <w:rFonts w:ascii="Times New Roman" w:hAnsi="Times New Roman"/>
          <w:sz w:val="24"/>
        </w:rPr>
        <w:t>,</w:t>
      </w:r>
      <w:r w:rsidRPr="00DC2081">
        <w:rPr>
          <w:rFonts w:ascii="Times New Roman" w:hAnsi="Times New Roman"/>
          <w:sz w:val="24"/>
        </w:rPr>
        <w:t xml:space="preserve"> and post cards.</w:t>
      </w:r>
    </w:p>
    <w:p w14:paraId="4D4974C6" w14:textId="77777777" w:rsidR="007917DE" w:rsidRDefault="007917DE" w:rsidP="001C5B8A">
      <w:pPr>
        <w:rPr>
          <w:rFonts w:ascii="Times New Roman" w:hAnsi="Times New Roman"/>
          <w:sz w:val="24"/>
        </w:rPr>
      </w:pPr>
    </w:p>
    <w:p w14:paraId="1611A0EE" w14:textId="1C2DDBEC" w:rsidR="00147069" w:rsidRDefault="007917DE" w:rsidP="00147069">
      <w:pPr>
        <w:rPr>
          <w:rStyle w:val="style11"/>
          <w:rFonts w:ascii="Times New Roman" w:hAnsi="Times New Roman"/>
          <w:sz w:val="24"/>
        </w:rPr>
      </w:pPr>
      <w:r>
        <w:rPr>
          <w:rFonts w:ascii="Times New Roman" w:hAnsi="Times New Roman"/>
          <w:sz w:val="24"/>
        </w:rPr>
        <w:t>The Healthy Native Babies Pro</w:t>
      </w:r>
      <w:r w:rsidR="008A6863">
        <w:rPr>
          <w:rFonts w:ascii="Times New Roman" w:hAnsi="Times New Roman"/>
          <w:sz w:val="24"/>
        </w:rPr>
        <w:t>ject</w:t>
      </w:r>
      <w:r>
        <w:rPr>
          <w:rFonts w:ascii="Times New Roman" w:hAnsi="Times New Roman"/>
          <w:sz w:val="24"/>
        </w:rPr>
        <w:t xml:space="preserve"> materials </w:t>
      </w:r>
      <w:r w:rsidR="007F2C9C">
        <w:rPr>
          <w:rFonts w:ascii="Times New Roman" w:hAnsi="Times New Roman"/>
          <w:sz w:val="24"/>
        </w:rPr>
        <w:t xml:space="preserve">are used for </w:t>
      </w:r>
      <w:r>
        <w:rPr>
          <w:rFonts w:ascii="Times New Roman" w:hAnsi="Times New Roman"/>
          <w:sz w:val="24"/>
        </w:rPr>
        <w:t xml:space="preserve">outreach </w:t>
      </w:r>
      <w:r w:rsidR="007F2C9C">
        <w:rPr>
          <w:rFonts w:ascii="Times New Roman" w:hAnsi="Times New Roman"/>
          <w:sz w:val="24"/>
        </w:rPr>
        <w:t xml:space="preserve">training </w:t>
      </w:r>
      <w:r>
        <w:rPr>
          <w:rFonts w:ascii="Times New Roman" w:hAnsi="Times New Roman"/>
          <w:sz w:val="24"/>
        </w:rPr>
        <w:t>activities</w:t>
      </w:r>
      <w:r w:rsidR="00147069">
        <w:rPr>
          <w:rFonts w:ascii="Times New Roman" w:hAnsi="Times New Roman"/>
          <w:sz w:val="24"/>
        </w:rPr>
        <w:t xml:space="preserve">.  A number of </w:t>
      </w:r>
      <w:r w:rsidR="00147069" w:rsidRPr="00DC2081">
        <w:rPr>
          <w:rFonts w:ascii="Times New Roman" w:hAnsi="Times New Roman"/>
          <w:sz w:val="24"/>
        </w:rPr>
        <w:t xml:space="preserve">train-the-trainer sessions </w:t>
      </w:r>
      <w:r w:rsidR="00147069">
        <w:rPr>
          <w:rFonts w:ascii="Times New Roman" w:hAnsi="Times New Roman"/>
          <w:sz w:val="24"/>
        </w:rPr>
        <w:t>have been held in the five IHS a</w:t>
      </w:r>
      <w:r w:rsidR="00147069" w:rsidRPr="00DC2081">
        <w:rPr>
          <w:rFonts w:ascii="Times New Roman" w:hAnsi="Times New Roman"/>
          <w:sz w:val="24"/>
        </w:rPr>
        <w:t xml:space="preserve">reas to familiarize people with the </w:t>
      </w:r>
      <w:r w:rsidR="00147069">
        <w:rPr>
          <w:rFonts w:ascii="Times New Roman" w:hAnsi="Times New Roman"/>
          <w:sz w:val="24"/>
        </w:rPr>
        <w:t>training</w:t>
      </w:r>
      <w:r w:rsidR="00147069" w:rsidRPr="00DC2081">
        <w:rPr>
          <w:rFonts w:ascii="Times New Roman" w:hAnsi="Times New Roman"/>
          <w:sz w:val="24"/>
        </w:rPr>
        <w:t xml:space="preserve"> resources. </w:t>
      </w:r>
      <w:r w:rsidR="007F2C9C">
        <w:rPr>
          <w:rFonts w:ascii="Times New Roman" w:hAnsi="Times New Roman"/>
          <w:sz w:val="24"/>
        </w:rPr>
        <w:t>HNB P</w:t>
      </w:r>
      <w:r w:rsidR="008A6863">
        <w:rPr>
          <w:rFonts w:ascii="Times New Roman" w:hAnsi="Times New Roman"/>
          <w:sz w:val="24"/>
        </w:rPr>
        <w:t>roject</w:t>
      </w:r>
      <w:r w:rsidR="007F2C9C">
        <w:rPr>
          <w:rFonts w:ascii="Times New Roman" w:hAnsi="Times New Roman"/>
          <w:sz w:val="24"/>
        </w:rPr>
        <w:t xml:space="preserve"> t</w:t>
      </w:r>
      <w:r w:rsidR="00147069">
        <w:rPr>
          <w:rFonts w:ascii="Times New Roman" w:hAnsi="Times New Roman"/>
          <w:sz w:val="24"/>
        </w:rPr>
        <w:t xml:space="preserve">raining participants </w:t>
      </w:r>
      <w:r w:rsidR="00147069" w:rsidRPr="00DC2081">
        <w:rPr>
          <w:rStyle w:val="style11"/>
          <w:rFonts w:ascii="Times New Roman" w:hAnsi="Times New Roman"/>
          <w:sz w:val="24"/>
        </w:rPr>
        <w:t>work in the area</w:t>
      </w:r>
      <w:r w:rsidR="00147069">
        <w:rPr>
          <w:rStyle w:val="style11"/>
          <w:rFonts w:ascii="Times New Roman" w:hAnsi="Times New Roman"/>
          <w:sz w:val="24"/>
        </w:rPr>
        <w:t>s</w:t>
      </w:r>
      <w:r w:rsidR="00147069" w:rsidRPr="00DC2081">
        <w:rPr>
          <w:rStyle w:val="style11"/>
          <w:rFonts w:ascii="Times New Roman" w:hAnsi="Times New Roman"/>
          <w:sz w:val="24"/>
        </w:rPr>
        <w:t xml:space="preserve"> of public health, health education or promoti</w:t>
      </w:r>
      <w:r w:rsidR="00147069">
        <w:rPr>
          <w:rStyle w:val="style11"/>
          <w:rFonts w:ascii="Times New Roman" w:hAnsi="Times New Roman"/>
          <w:sz w:val="24"/>
        </w:rPr>
        <w:t>on, injury prevention, maternal/</w:t>
      </w:r>
      <w:r w:rsidR="00147069" w:rsidRPr="00DC2081">
        <w:rPr>
          <w:rStyle w:val="style11"/>
          <w:rFonts w:ascii="Times New Roman" w:hAnsi="Times New Roman"/>
          <w:sz w:val="24"/>
        </w:rPr>
        <w:t>child health, childcare or child service, or other programs that reach large numbers of Native families with infants.</w:t>
      </w:r>
      <w:r w:rsidR="00147069">
        <w:rPr>
          <w:rFonts w:ascii="Times New Roman" w:hAnsi="Times New Roman"/>
          <w:sz w:val="24"/>
        </w:rPr>
        <w:t xml:space="preserve"> Training participants </w:t>
      </w:r>
      <w:r w:rsidR="00147069" w:rsidRPr="00DC2081">
        <w:rPr>
          <w:rFonts w:ascii="Times New Roman" w:hAnsi="Times New Roman"/>
          <w:sz w:val="24"/>
        </w:rPr>
        <w:t xml:space="preserve">learn how to use the tools and to create tailored, effective SIDS risk-reduction educational materials.  </w:t>
      </w:r>
      <w:r w:rsidR="00147069" w:rsidRPr="00DC2081">
        <w:rPr>
          <w:rStyle w:val="style11"/>
          <w:rFonts w:ascii="Times New Roman" w:hAnsi="Times New Roman"/>
          <w:sz w:val="24"/>
        </w:rPr>
        <w:t xml:space="preserve">The training </w:t>
      </w:r>
      <w:r w:rsidR="00147069">
        <w:rPr>
          <w:rStyle w:val="style11"/>
          <w:rFonts w:ascii="Times New Roman" w:hAnsi="Times New Roman"/>
          <w:sz w:val="24"/>
        </w:rPr>
        <w:t>also</w:t>
      </w:r>
      <w:r w:rsidR="00147069" w:rsidRPr="00DC2081">
        <w:rPr>
          <w:rStyle w:val="style11"/>
          <w:rFonts w:ascii="Times New Roman" w:hAnsi="Times New Roman"/>
          <w:sz w:val="24"/>
        </w:rPr>
        <w:t xml:space="preserve"> provide</w:t>
      </w:r>
      <w:r w:rsidR="00147069">
        <w:rPr>
          <w:rStyle w:val="style11"/>
          <w:rFonts w:ascii="Times New Roman" w:hAnsi="Times New Roman"/>
          <w:sz w:val="24"/>
        </w:rPr>
        <w:t>s</w:t>
      </w:r>
      <w:r w:rsidR="00147069" w:rsidRPr="00DC2081">
        <w:rPr>
          <w:rStyle w:val="style11"/>
          <w:rFonts w:ascii="Times New Roman" w:hAnsi="Times New Roman"/>
          <w:sz w:val="24"/>
        </w:rPr>
        <w:t xml:space="preserve"> trainers with information about current SIDS research, risk reduction activities/messages, social marketing and community strategies, project management tools</w:t>
      </w:r>
      <w:r w:rsidR="00147069">
        <w:rPr>
          <w:rStyle w:val="style11"/>
          <w:rFonts w:ascii="Times New Roman" w:hAnsi="Times New Roman"/>
          <w:sz w:val="24"/>
        </w:rPr>
        <w:t>,</w:t>
      </w:r>
      <w:r w:rsidR="00147069" w:rsidRPr="00DC2081">
        <w:rPr>
          <w:rStyle w:val="style11"/>
          <w:rFonts w:ascii="Times New Roman" w:hAnsi="Times New Roman"/>
          <w:sz w:val="24"/>
        </w:rPr>
        <w:t xml:space="preserve"> and </w:t>
      </w:r>
      <w:r w:rsidR="00147069">
        <w:rPr>
          <w:rStyle w:val="style11"/>
          <w:rFonts w:ascii="Times New Roman" w:hAnsi="Times New Roman"/>
          <w:sz w:val="24"/>
        </w:rPr>
        <w:t>instructions for how to use</w:t>
      </w:r>
      <w:r w:rsidR="00147069" w:rsidRPr="00DC2081">
        <w:rPr>
          <w:rStyle w:val="style11"/>
          <w:rFonts w:ascii="Times New Roman" w:hAnsi="Times New Roman"/>
          <w:sz w:val="24"/>
        </w:rPr>
        <w:t xml:space="preserve"> the CD-ROM. </w:t>
      </w:r>
      <w:r w:rsidR="00147069">
        <w:rPr>
          <w:rStyle w:val="style11"/>
          <w:rFonts w:ascii="Times New Roman" w:hAnsi="Times New Roman"/>
          <w:sz w:val="24"/>
        </w:rPr>
        <w:t xml:space="preserve">Additionally, participants engage in hands-on activities </w:t>
      </w:r>
      <w:r w:rsidR="00147069" w:rsidRPr="00DC2081">
        <w:rPr>
          <w:rFonts w:ascii="Times New Roman" w:hAnsi="Times New Roman"/>
          <w:sz w:val="24"/>
        </w:rPr>
        <w:t>to enhance the</w:t>
      </w:r>
      <w:r w:rsidR="00147069">
        <w:rPr>
          <w:rFonts w:ascii="Times New Roman" w:hAnsi="Times New Roman"/>
          <w:sz w:val="24"/>
        </w:rPr>
        <w:t>ir</w:t>
      </w:r>
      <w:r w:rsidR="00147069" w:rsidRPr="00DC2081">
        <w:rPr>
          <w:rFonts w:ascii="Times New Roman" w:hAnsi="Times New Roman"/>
          <w:sz w:val="24"/>
        </w:rPr>
        <w:t xml:space="preserve"> skill set to wor</w:t>
      </w:r>
      <w:r w:rsidR="00147069">
        <w:rPr>
          <w:rFonts w:ascii="Times New Roman" w:hAnsi="Times New Roman"/>
          <w:sz w:val="24"/>
        </w:rPr>
        <w:t xml:space="preserve">k more effectively </w:t>
      </w:r>
      <w:r w:rsidR="007F2C9C">
        <w:rPr>
          <w:rFonts w:ascii="Times New Roman" w:hAnsi="Times New Roman"/>
          <w:sz w:val="24"/>
        </w:rPr>
        <w:t xml:space="preserve">and confidently </w:t>
      </w:r>
      <w:r w:rsidR="00147069">
        <w:rPr>
          <w:rFonts w:ascii="Times New Roman" w:hAnsi="Times New Roman"/>
          <w:sz w:val="24"/>
        </w:rPr>
        <w:t>on SIDS risk-</w:t>
      </w:r>
      <w:r w:rsidR="00147069" w:rsidRPr="00DC2081">
        <w:rPr>
          <w:rFonts w:ascii="Times New Roman" w:hAnsi="Times New Roman"/>
          <w:sz w:val="24"/>
        </w:rPr>
        <w:t>reducing activities with Native families.</w:t>
      </w:r>
    </w:p>
    <w:p w14:paraId="3D578B80" w14:textId="77777777" w:rsidR="007917DE" w:rsidRPr="00DC2081" w:rsidRDefault="007917DE" w:rsidP="001C5B8A">
      <w:pPr>
        <w:rPr>
          <w:rFonts w:ascii="Times New Roman" w:hAnsi="Times New Roman"/>
          <w:sz w:val="24"/>
        </w:rPr>
      </w:pPr>
    </w:p>
    <w:p w14:paraId="628F7A73" w14:textId="4D857A78" w:rsidR="004745FB" w:rsidRPr="00323CD8" w:rsidRDefault="008A6863" w:rsidP="00147069">
      <w:pPr>
        <w:widowControl/>
        <w:autoSpaceDE/>
        <w:autoSpaceDN/>
        <w:adjustRightInd/>
        <w:rPr>
          <w:rFonts w:ascii="Times New Roman" w:hAnsi="Times New Roman"/>
          <w:sz w:val="24"/>
        </w:rPr>
      </w:pPr>
      <w:r>
        <w:rPr>
          <w:rFonts w:ascii="Times New Roman" w:hAnsi="Times New Roman"/>
          <w:sz w:val="24"/>
        </w:rPr>
        <w:t>The HNB Project</w:t>
      </w:r>
      <w:r w:rsidR="007F2C9C">
        <w:rPr>
          <w:rFonts w:ascii="Times New Roman" w:hAnsi="Times New Roman"/>
          <w:sz w:val="24"/>
        </w:rPr>
        <w:t xml:space="preserve"> Train-the-Trainer</w:t>
      </w:r>
      <w:r w:rsidR="008D7EF1">
        <w:rPr>
          <w:rFonts w:ascii="Times New Roman" w:hAnsi="Times New Roman"/>
          <w:sz w:val="24"/>
        </w:rPr>
        <w:t xml:space="preserve"> follow-up </w:t>
      </w:r>
      <w:r w:rsidR="007F2C9C">
        <w:rPr>
          <w:rFonts w:ascii="Times New Roman" w:hAnsi="Times New Roman"/>
          <w:sz w:val="24"/>
        </w:rPr>
        <w:t>assessment</w:t>
      </w:r>
      <w:r w:rsidR="008D7EF1">
        <w:rPr>
          <w:rFonts w:ascii="Times New Roman" w:hAnsi="Times New Roman"/>
          <w:sz w:val="24"/>
        </w:rPr>
        <w:t xml:space="preserve"> </w:t>
      </w:r>
      <w:r w:rsidR="00634945">
        <w:rPr>
          <w:rFonts w:ascii="Times New Roman" w:hAnsi="Times New Roman"/>
          <w:sz w:val="24"/>
        </w:rPr>
        <w:t xml:space="preserve">survey </w:t>
      </w:r>
      <w:r w:rsidR="008D7EF1">
        <w:rPr>
          <w:rFonts w:ascii="Times New Roman" w:hAnsi="Times New Roman"/>
          <w:sz w:val="24"/>
        </w:rPr>
        <w:t>will be sent to p</w:t>
      </w:r>
      <w:r w:rsidR="00634945">
        <w:rPr>
          <w:rFonts w:ascii="Times New Roman" w:hAnsi="Times New Roman"/>
          <w:sz w:val="24"/>
        </w:rPr>
        <w:t>articipants 3-6 months after completion of the</w:t>
      </w:r>
      <w:r w:rsidR="008D7EF1">
        <w:rPr>
          <w:rFonts w:ascii="Times New Roman" w:hAnsi="Times New Roman"/>
          <w:sz w:val="24"/>
        </w:rPr>
        <w:t xml:space="preserve"> training session.  </w:t>
      </w:r>
      <w:r w:rsidR="007F2C9C">
        <w:rPr>
          <w:rFonts w:ascii="Times New Roman" w:hAnsi="Times New Roman"/>
          <w:sz w:val="24"/>
        </w:rPr>
        <w:t>T</w:t>
      </w:r>
      <w:r w:rsidR="00385B52">
        <w:rPr>
          <w:rFonts w:ascii="Times New Roman" w:hAnsi="Times New Roman"/>
          <w:sz w:val="24"/>
        </w:rPr>
        <w:t>he follow-up survey collect</w:t>
      </w:r>
      <w:r w:rsidR="007F2C9C">
        <w:rPr>
          <w:rFonts w:ascii="Times New Roman" w:hAnsi="Times New Roman"/>
          <w:sz w:val="24"/>
        </w:rPr>
        <w:t>s</w:t>
      </w:r>
      <w:r w:rsidR="00385B52">
        <w:rPr>
          <w:rFonts w:ascii="Times New Roman" w:hAnsi="Times New Roman"/>
          <w:sz w:val="24"/>
        </w:rPr>
        <w:t xml:space="preserve"> information on the partici</w:t>
      </w:r>
      <w:r w:rsidR="007F2C9C">
        <w:rPr>
          <w:rFonts w:ascii="Times New Roman" w:hAnsi="Times New Roman"/>
          <w:sz w:val="24"/>
        </w:rPr>
        <w:t xml:space="preserve">pants’ use of </w:t>
      </w:r>
      <w:r w:rsidR="00706B87">
        <w:rPr>
          <w:rFonts w:ascii="Times New Roman" w:hAnsi="Times New Roman"/>
          <w:sz w:val="24"/>
        </w:rPr>
        <w:t>project</w:t>
      </w:r>
      <w:r w:rsidR="007F2C9C">
        <w:rPr>
          <w:rFonts w:ascii="Times New Roman" w:hAnsi="Times New Roman"/>
          <w:sz w:val="24"/>
        </w:rPr>
        <w:t xml:space="preserve"> tools, </w:t>
      </w:r>
      <w:r w:rsidR="00385B52">
        <w:rPr>
          <w:rFonts w:ascii="Times New Roman" w:hAnsi="Times New Roman"/>
          <w:sz w:val="24"/>
        </w:rPr>
        <w:t>dissemination of pro</w:t>
      </w:r>
      <w:r>
        <w:rPr>
          <w:rFonts w:ascii="Times New Roman" w:hAnsi="Times New Roman"/>
          <w:sz w:val="24"/>
        </w:rPr>
        <w:t>ject</w:t>
      </w:r>
      <w:r w:rsidR="00385B52">
        <w:rPr>
          <w:rFonts w:ascii="Times New Roman" w:hAnsi="Times New Roman"/>
          <w:sz w:val="24"/>
        </w:rPr>
        <w:t xml:space="preserve"> materials</w:t>
      </w:r>
      <w:r w:rsidR="007F2C9C">
        <w:rPr>
          <w:rFonts w:ascii="Times New Roman" w:hAnsi="Times New Roman"/>
          <w:sz w:val="24"/>
        </w:rPr>
        <w:t xml:space="preserve">, </w:t>
      </w:r>
      <w:r w:rsidR="0033041E">
        <w:rPr>
          <w:rFonts w:ascii="Times New Roman" w:hAnsi="Times New Roman"/>
          <w:sz w:val="24"/>
        </w:rPr>
        <w:t xml:space="preserve">and </w:t>
      </w:r>
      <w:r w:rsidR="00CE5746">
        <w:rPr>
          <w:rFonts w:ascii="Times New Roman" w:hAnsi="Times New Roman"/>
          <w:sz w:val="24"/>
        </w:rPr>
        <w:t xml:space="preserve">level of confidence in conducting </w:t>
      </w:r>
      <w:r w:rsidR="008577D1">
        <w:rPr>
          <w:rFonts w:ascii="Times New Roman" w:hAnsi="Times New Roman"/>
          <w:sz w:val="24"/>
        </w:rPr>
        <w:t>education and outreach activities</w:t>
      </w:r>
      <w:r w:rsidR="00CE5746">
        <w:rPr>
          <w:rFonts w:ascii="Times New Roman" w:hAnsi="Times New Roman"/>
          <w:sz w:val="24"/>
        </w:rPr>
        <w:t xml:space="preserve">.  </w:t>
      </w:r>
      <w:r w:rsidR="00634945">
        <w:rPr>
          <w:rFonts w:ascii="Times New Roman" w:hAnsi="Times New Roman"/>
          <w:sz w:val="24"/>
        </w:rPr>
        <w:t>D</w:t>
      </w:r>
      <w:r w:rsidR="0033041E">
        <w:rPr>
          <w:rFonts w:ascii="Times New Roman" w:hAnsi="Times New Roman"/>
          <w:sz w:val="24"/>
        </w:rPr>
        <w:t xml:space="preserve">escriptive information on post-training activities such as the number and types of education activities conducted, </w:t>
      </w:r>
      <w:r w:rsidR="00634945">
        <w:rPr>
          <w:rFonts w:ascii="Times New Roman" w:hAnsi="Times New Roman"/>
          <w:sz w:val="24"/>
        </w:rPr>
        <w:t xml:space="preserve">most frequently used </w:t>
      </w:r>
      <w:r>
        <w:rPr>
          <w:rFonts w:ascii="Times New Roman" w:hAnsi="Times New Roman"/>
          <w:sz w:val="24"/>
        </w:rPr>
        <w:t xml:space="preserve">HNB project </w:t>
      </w:r>
      <w:r w:rsidR="0033041E">
        <w:rPr>
          <w:rFonts w:ascii="Times New Roman" w:hAnsi="Times New Roman"/>
          <w:sz w:val="24"/>
        </w:rPr>
        <w:t xml:space="preserve">materials, and </w:t>
      </w:r>
      <w:r w:rsidR="00634945">
        <w:rPr>
          <w:rFonts w:ascii="Times New Roman" w:hAnsi="Times New Roman"/>
          <w:sz w:val="24"/>
        </w:rPr>
        <w:t xml:space="preserve">most frequent type of </w:t>
      </w:r>
      <w:r w:rsidR="0033041E">
        <w:rPr>
          <w:rFonts w:ascii="Times New Roman" w:hAnsi="Times New Roman"/>
          <w:sz w:val="24"/>
        </w:rPr>
        <w:t>client/patient trained</w:t>
      </w:r>
      <w:r w:rsidR="00634945">
        <w:rPr>
          <w:rFonts w:ascii="Times New Roman" w:hAnsi="Times New Roman"/>
          <w:sz w:val="24"/>
        </w:rPr>
        <w:t>, will also be collected</w:t>
      </w:r>
      <w:r w:rsidR="0033041E">
        <w:rPr>
          <w:rFonts w:ascii="Times New Roman" w:hAnsi="Times New Roman"/>
          <w:sz w:val="24"/>
        </w:rPr>
        <w:t xml:space="preserve">.  </w:t>
      </w:r>
      <w:r w:rsidR="00634945">
        <w:rPr>
          <w:rFonts w:ascii="Times New Roman" w:hAnsi="Times New Roman"/>
          <w:sz w:val="24"/>
        </w:rPr>
        <w:t>T</w:t>
      </w:r>
      <w:r w:rsidR="00385B52">
        <w:rPr>
          <w:rFonts w:ascii="Times New Roman" w:hAnsi="Times New Roman"/>
          <w:sz w:val="24"/>
        </w:rPr>
        <w:t xml:space="preserve">he collected information </w:t>
      </w:r>
      <w:r w:rsidR="004745FB" w:rsidRPr="00323CD8">
        <w:rPr>
          <w:rFonts w:ascii="Times New Roman" w:hAnsi="Times New Roman"/>
          <w:sz w:val="24"/>
        </w:rPr>
        <w:t xml:space="preserve">will </w:t>
      </w:r>
      <w:r w:rsidR="0033041E">
        <w:rPr>
          <w:rFonts w:ascii="Times New Roman" w:hAnsi="Times New Roman"/>
          <w:sz w:val="24"/>
        </w:rPr>
        <w:t>help NICHD</w:t>
      </w:r>
      <w:r w:rsidR="00634945">
        <w:rPr>
          <w:rFonts w:ascii="Times New Roman" w:hAnsi="Times New Roman"/>
          <w:sz w:val="24"/>
        </w:rPr>
        <w:t xml:space="preserve"> adjust training activities and </w:t>
      </w:r>
      <w:r w:rsidR="00706B87">
        <w:rPr>
          <w:rFonts w:ascii="Times New Roman" w:hAnsi="Times New Roman"/>
          <w:sz w:val="24"/>
        </w:rPr>
        <w:t>tailor project</w:t>
      </w:r>
      <w:r w:rsidR="0033041E">
        <w:rPr>
          <w:rFonts w:ascii="Times New Roman" w:hAnsi="Times New Roman"/>
          <w:sz w:val="24"/>
        </w:rPr>
        <w:t xml:space="preserve"> materials</w:t>
      </w:r>
      <w:r w:rsidR="001C4E66">
        <w:rPr>
          <w:rFonts w:ascii="Times New Roman" w:hAnsi="Times New Roman"/>
          <w:sz w:val="24"/>
        </w:rPr>
        <w:t xml:space="preserve"> </w:t>
      </w:r>
      <w:r w:rsidR="00634945">
        <w:rPr>
          <w:rFonts w:ascii="Times New Roman" w:hAnsi="Times New Roman"/>
          <w:sz w:val="24"/>
        </w:rPr>
        <w:t>to im</w:t>
      </w:r>
      <w:r>
        <w:rPr>
          <w:rFonts w:ascii="Times New Roman" w:hAnsi="Times New Roman"/>
          <w:sz w:val="24"/>
        </w:rPr>
        <w:t>prove the project</w:t>
      </w:r>
      <w:r w:rsidR="004745FB" w:rsidRPr="00323CD8">
        <w:rPr>
          <w:rFonts w:ascii="Times New Roman" w:hAnsi="Times New Roman"/>
          <w:sz w:val="24"/>
        </w:rPr>
        <w:t>’s overall effectiveness and efficiency.</w:t>
      </w:r>
    </w:p>
    <w:p w14:paraId="35597C86" w14:textId="77777777" w:rsidR="004B438A"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35626AA4" w14:textId="77777777" w:rsidR="00385B52" w:rsidRDefault="00385B52"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p>
    <w:p w14:paraId="450AE5FD" w14:textId="77777777" w:rsidR="004B438A"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Purpose and Use of the Information Collection</w:t>
      </w:r>
    </w:p>
    <w:p w14:paraId="5FBB9CD7" w14:textId="4BD71E78" w:rsidR="0033041E" w:rsidRDefault="00147069" w:rsidP="00147069">
      <w:pPr>
        <w:rPr>
          <w:rFonts w:ascii="Times New Roman" w:hAnsi="Times New Roman"/>
          <w:sz w:val="24"/>
        </w:rPr>
      </w:pPr>
      <w:r w:rsidRPr="00DC2081">
        <w:rPr>
          <w:rFonts w:ascii="Times New Roman" w:hAnsi="Times New Roman"/>
          <w:sz w:val="24"/>
        </w:rPr>
        <w:t xml:space="preserve">The findings of this survey will be used to </w:t>
      </w:r>
      <w:r w:rsidR="00634945">
        <w:rPr>
          <w:rFonts w:ascii="Times New Roman" w:hAnsi="Times New Roman"/>
          <w:sz w:val="24"/>
        </w:rPr>
        <w:t xml:space="preserve">monitor and improve </w:t>
      </w:r>
      <w:r w:rsidR="008577D1">
        <w:rPr>
          <w:rFonts w:ascii="Times New Roman" w:hAnsi="Times New Roman"/>
          <w:sz w:val="24"/>
        </w:rPr>
        <w:t xml:space="preserve">the </w:t>
      </w:r>
      <w:r w:rsidR="00634945">
        <w:rPr>
          <w:rFonts w:ascii="Times New Roman" w:hAnsi="Times New Roman"/>
          <w:sz w:val="24"/>
        </w:rPr>
        <w:t xml:space="preserve">HNB </w:t>
      </w:r>
      <w:r w:rsidR="008A6863">
        <w:rPr>
          <w:rFonts w:ascii="Times New Roman" w:hAnsi="Times New Roman"/>
          <w:sz w:val="24"/>
        </w:rPr>
        <w:t>Project</w:t>
      </w:r>
      <w:r w:rsidR="00CE5746">
        <w:rPr>
          <w:rFonts w:ascii="Times New Roman" w:hAnsi="Times New Roman"/>
          <w:sz w:val="24"/>
        </w:rPr>
        <w:t xml:space="preserve"> Train-the-T</w:t>
      </w:r>
      <w:r w:rsidR="00634945">
        <w:rPr>
          <w:rFonts w:ascii="Times New Roman" w:hAnsi="Times New Roman"/>
          <w:sz w:val="24"/>
        </w:rPr>
        <w:t xml:space="preserve">rainer activities and materials.  </w:t>
      </w:r>
      <w:r w:rsidR="00CE5746">
        <w:rPr>
          <w:rFonts w:ascii="Times New Roman" w:hAnsi="Times New Roman"/>
          <w:sz w:val="24"/>
        </w:rPr>
        <w:t xml:space="preserve">Using the follow-up assessment survey, NICHD will be able to identify </w:t>
      </w:r>
      <w:r w:rsidR="008577D1">
        <w:rPr>
          <w:rFonts w:ascii="Times New Roman" w:hAnsi="Times New Roman"/>
          <w:sz w:val="24"/>
        </w:rPr>
        <w:t xml:space="preserve">training components </w:t>
      </w:r>
      <w:r w:rsidR="00CE5746">
        <w:rPr>
          <w:rFonts w:ascii="Times New Roman" w:hAnsi="Times New Roman"/>
          <w:sz w:val="24"/>
        </w:rPr>
        <w:t>that were most helpful</w:t>
      </w:r>
      <w:r w:rsidR="008577D1">
        <w:rPr>
          <w:rFonts w:ascii="Times New Roman" w:hAnsi="Times New Roman"/>
          <w:sz w:val="24"/>
        </w:rPr>
        <w:t xml:space="preserve"> and</w:t>
      </w:r>
      <w:r w:rsidR="00CE5746">
        <w:rPr>
          <w:rFonts w:ascii="Times New Roman" w:hAnsi="Times New Roman"/>
          <w:sz w:val="24"/>
        </w:rPr>
        <w:t xml:space="preserve"> areas needing improvement.</w:t>
      </w:r>
      <w:r w:rsidR="008577D1">
        <w:rPr>
          <w:rFonts w:ascii="Times New Roman" w:hAnsi="Times New Roman"/>
          <w:sz w:val="24"/>
        </w:rPr>
        <w:t xml:space="preserve">  Data on trainees’ accomplishments, challenges, and level of confidence in and commitment to conducting </w:t>
      </w:r>
      <w:r w:rsidR="00BE2B5B">
        <w:rPr>
          <w:rFonts w:ascii="Times New Roman" w:hAnsi="Times New Roman"/>
          <w:sz w:val="24"/>
        </w:rPr>
        <w:t xml:space="preserve">education and </w:t>
      </w:r>
      <w:r w:rsidR="008577D1">
        <w:rPr>
          <w:rFonts w:ascii="Times New Roman" w:hAnsi="Times New Roman"/>
          <w:sz w:val="24"/>
        </w:rPr>
        <w:t>outreach activities will also be assess</w:t>
      </w:r>
      <w:r w:rsidR="00BE2B5B">
        <w:rPr>
          <w:rFonts w:ascii="Times New Roman" w:hAnsi="Times New Roman"/>
          <w:sz w:val="24"/>
        </w:rPr>
        <w:t>ed</w:t>
      </w:r>
      <w:r w:rsidR="008577D1">
        <w:rPr>
          <w:rFonts w:ascii="Times New Roman" w:hAnsi="Times New Roman"/>
          <w:sz w:val="24"/>
        </w:rPr>
        <w:t>.  This information will</w:t>
      </w:r>
      <w:r w:rsidR="00960090">
        <w:rPr>
          <w:rFonts w:ascii="Times New Roman" w:hAnsi="Times New Roman"/>
          <w:sz w:val="24"/>
        </w:rPr>
        <w:t xml:space="preserve"> </w:t>
      </w:r>
      <w:r w:rsidR="00F60774">
        <w:rPr>
          <w:rFonts w:ascii="Times New Roman" w:hAnsi="Times New Roman"/>
          <w:sz w:val="24"/>
        </w:rPr>
        <w:t xml:space="preserve">also </w:t>
      </w:r>
      <w:r w:rsidR="008577D1">
        <w:rPr>
          <w:rFonts w:ascii="Times New Roman" w:hAnsi="Times New Roman"/>
          <w:sz w:val="24"/>
        </w:rPr>
        <w:t xml:space="preserve">be used to determine how the training curriculum </w:t>
      </w:r>
      <w:r w:rsidR="008A6863">
        <w:rPr>
          <w:rFonts w:ascii="Times New Roman" w:hAnsi="Times New Roman"/>
          <w:sz w:val="24"/>
        </w:rPr>
        <w:t>and HNB Project</w:t>
      </w:r>
      <w:r w:rsidR="00BE2B5B">
        <w:rPr>
          <w:rFonts w:ascii="Times New Roman" w:hAnsi="Times New Roman"/>
          <w:sz w:val="24"/>
        </w:rPr>
        <w:t xml:space="preserve"> materials c</w:t>
      </w:r>
      <w:r w:rsidR="008577D1">
        <w:rPr>
          <w:rFonts w:ascii="Times New Roman" w:hAnsi="Times New Roman"/>
          <w:sz w:val="24"/>
        </w:rPr>
        <w:t>an be improved.  Additionally, t</w:t>
      </w:r>
      <w:r w:rsidR="00CE5746">
        <w:rPr>
          <w:rFonts w:ascii="Times New Roman" w:hAnsi="Times New Roman"/>
          <w:sz w:val="24"/>
        </w:rPr>
        <w:t xml:space="preserve">he survey will provide information on the </w:t>
      </w:r>
      <w:r w:rsidR="0033041E">
        <w:rPr>
          <w:rFonts w:ascii="Times New Roman" w:hAnsi="Times New Roman"/>
          <w:sz w:val="24"/>
        </w:rPr>
        <w:t>types of materials</w:t>
      </w:r>
      <w:r w:rsidR="00BE2B5B">
        <w:rPr>
          <w:rFonts w:ascii="Times New Roman" w:hAnsi="Times New Roman"/>
          <w:sz w:val="24"/>
        </w:rPr>
        <w:t xml:space="preserve"> and modes of delivery most frequently used among trainees.  </w:t>
      </w:r>
      <w:r w:rsidR="008577D1">
        <w:rPr>
          <w:rFonts w:ascii="Times New Roman" w:hAnsi="Times New Roman"/>
          <w:sz w:val="24"/>
        </w:rPr>
        <w:t xml:space="preserve">Based on this information, NICHD will be able to monitor and adjust training resources as needed.  </w:t>
      </w:r>
    </w:p>
    <w:p w14:paraId="3D2ACC18" w14:textId="77777777" w:rsidR="0033041E" w:rsidRDefault="0033041E" w:rsidP="00147069">
      <w:pPr>
        <w:rPr>
          <w:rFonts w:ascii="Times New Roman" w:hAnsi="Times New Roman"/>
          <w:sz w:val="24"/>
        </w:rPr>
      </w:pPr>
    </w:p>
    <w:p w14:paraId="730D30A3" w14:textId="1AC5A43F" w:rsidR="004745FB" w:rsidRPr="00323CD8" w:rsidRDefault="004745FB" w:rsidP="004745FB">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r w:rsidRPr="00323CD8">
        <w:rPr>
          <w:rFonts w:ascii="Times New Roman" w:hAnsi="Times New Roman"/>
          <w:sz w:val="24"/>
        </w:rPr>
        <w:t xml:space="preserve">The respondent universe for the </w:t>
      </w:r>
      <w:r w:rsidR="00147069">
        <w:rPr>
          <w:rFonts w:ascii="Times New Roman" w:hAnsi="Times New Roman"/>
          <w:sz w:val="24"/>
        </w:rPr>
        <w:t>Healthy Native Babies Pro</w:t>
      </w:r>
      <w:r w:rsidR="00706B87">
        <w:rPr>
          <w:rFonts w:ascii="Times New Roman" w:hAnsi="Times New Roman"/>
          <w:sz w:val="24"/>
        </w:rPr>
        <w:t>ject</w:t>
      </w:r>
      <w:r w:rsidR="0033041E">
        <w:rPr>
          <w:rFonts w:ascii="Times New Roman" w:hAnsi="Times New Roman"/>
          <w:sz w:val="24"/>
        </w:rPr>
        <w:t xml:space="preserve"> </w:t>
      </w:r>
      <w:r w:rsidR="00385B52">
        <w:rPr>
          <w:rFonts w:ascii="Times New Roman" w:hAnsi="Times New Roman"/>
          <w:sz w:val="24"/>
        </w:rPr>
        <w:t xml:space="preserve">follow-up survey </w:t>
      </w:r>
      <w:r w:rsidRPr="00323CD8">
        <w:rPr>
          <w:rFonts w:ascii="Times New Roman" w:hAnsi="Times New Roman"/>
          <w:sz w:val="24"/>
        </w:rPr>
        <w:t xml:space="preserve">will be </w:t>
      </w:r>
      <w:r w:rsidR="00147069">
        <w:rPr>
          <w:rFonts w:ascii="Times New Roman" w:hAnsi="Times New Roman"/>
          <w:sz w:val="24"/>
        </w:rPr>
        <w:t xml:space="preserve">the training participants.  </w:t>
      </w:r>
      <w:r w:rsidRPr="00323CD8">
        <w:rPr>
          <w:rFonts w:ascii="Times New Roman" w:hAnsi="Times New Roman"/>
          <w:sz w:val="24"/>
        </w:rPr>
        <w:t xml:space="preserve">Respondents will not receive an incentive for completing the </w:t>
      </w:r>
      <w:r w:rsidR="00385B52">
        <w:rPr>
          <w:rFonts w:ascii="Times New Roman" w:hAnsi="Times New Roman"/>
          <w:sz w:val="24"/>
        </w:rPr>
        <w:t xml:space="preserve">follow-up </w:t>
      </w:r>
      <w:r w:rsidR="0033041E">
        <w:rPr>
          <w:rFonts w:ascii="Times New Roman" w:hAnsi="Times New Roman"/>
          <w:sz w:val="24"/>
        </w:rPr>
        <w:t xml:space="preserve">assessment </w:t>
      </w:r>
      <w:r w:rsidR="00385B52">
        <w:rPr>
          <w:rFonts w:ascii="Times New Roman" w:hAnsi="Times New Roman"/>
          <w:sz w:val="24"/>
        </w:rPr>
        <w:t>survey</w:t>
      </w:r>
      <w:r w:rsidRPr="00323CD8">
        <w:rPr>
          <w:rFonts w:ascii="Times New Roman" w:hAnsi="Times New Roman"/>
          <w:sz w:val="24"/>
        </w:rPr>
        <w:t xml:space="preserve">.  Completion of the form </w:t>
      </w:r>
      <w:r w:rsidR="0033041E">
        <w:rPr>
          <w:rFonts w:ascii="Times New Roman" w:hAnsi="Times New Roman"/>
          <w:sz w:val="24"/>
        </w:rPr>
        <w:t>is</w:t>
      </w:r>
      <w:r w:rsidRPr="00323CD8">
        <w:rPr>
          <w:rFonts w:ascii="Times New Roman" w:hAnsi="Times New Roman"/>
          <w:sz w:val="24"/>
        </w:rPr>
        <w:t xml:space="preserve"> voluntary.  Personally identifiable information (PII) w</w:t>
      </w:r>
      <w:r w:rsidR="00323CD8" w:rsidRPr="00323CD8">
        <w:rPr>
          <w:rFonts w:ascii="Times New Roman" w:hAnsi="Times New Roman"/>
          <w:sz w:val="24"/>
        </w:rPr>
        <w:t xml:space="preserve">ill </w:t>
      </w:r>
      <w:r w:rsidR="00147069">
        <w:rPr>
          <w:rFonts w:ascii="Times New Roman" w:hAnsi="Times New Roman"/>
          <w:sz w:val="24"/>
        </w:rPr>
        <w:t xml:space="preserve">not </w:t>
      </w:r>
      <w:r w:rsidR="00323CD8" w:rsidRPr="00323CD8">
        <w:rPr>
          <w:rFonts w:ascii="Times New Roman" w:hAnsi="Times New Roman"/>
          <w:sz w:val="24"/>
        </w:rPr>
        <w:t xml:space="preserve">be </w:t>
      </w:r>
      <w:r w:rsidRPr="00323CD8">
        <w:rPr>
          <w:rFonts w:ascii="Times New Roman" w:hAnsi="Times New Roman"/>
          <w:sz w:val="24"/>
        </w:rPr>
        <w:t>obtained from the respondents. None of the information provided will be publicly disclosed except in aggregation with other responses, unless it is specifically requested and the respondent provides specific permission to allow such disclosure.</w:t>
      </w:r>
    </w:p>
    <w:p w14:paraId="5C0FD52C" w14:textId="77777777" w:rsidR="00323CD8" w:rsidRPr="00323CD8" w:rsidRDefault="00323CD8" w:rsidP="004745FB">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0FF54719" w14:textId="77777777" w:rsidR="00634945" w:rsidRDefault="00634945" w:rsidP="00385B52">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0E251A48" w14:textId="23A22DCE" w:rsidR="00323CD8" w:rsidRDefault="00323CD8" w:rsidP="00385B52">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lastRenderedPageBreak/>
        <w:t>Estimate of Burden Hours and Costs</w:t>
      </w:r>
    </w:p>
    <w:p w14:paraId="2038ED90" w14:textId="0946A997" w:rsidR="005F4D1B" w:rsidRPr="00967174" w:rsidRDefault="005F4D1B" w:rsidP="005F4D1B">
      <w:pPr>
        <w:pStyle w:val="Default"/>
        <w:rPr>
          <w:rFonts w:ascii="Times New Roman" w:hAnsi="Times New Roman" w:cs="Times New Roman"/>
          <w:bCs/>
        </w:rPr>
      </w:pPr>
      <w:r w:rsidRPr="00967174">
        <w:rPr>
          <w:rFonts w:ascii="Times New Roman" w:hAnsi="Times New Roman" w:cs="Times New Roman"/>
        </w:rPr>
        <w:t xml:space="preserve">Per the NICHD Safe to Sleep </w:t>
      </w:r>
      <w:r w:rsidRPr="00967174">
        <w:rPr>
          <w:rFonts w:ascii="Times New Roman" w:hAnsi="Times New Roman" w:cs="Times New Roman"/>
          <w:bCs/>
        </w:rPr>
        <w:t>Generic Clearance (0925-0701) Supporting Statement A, Section A12, the mean hourly wage for all occupations is $25.04.  This is based on labor rates from the Bureau of Labor Statistics for June 2013 (</w:t>
      </w:r>
      <w:hyperlink r:id="rId9" w:history="1">
        <w:r w:rsidRPr="00967174">
          <w:rPr>
            <w:rStyle w:val="Hyperlink"/>
            <w:rFonts w:ascii="Times New Roman" w:hAnsi="Times New Roman" w:cs="Times New Roman"/>
          </w:rPr>
          <w:t>http://www.bls.gov/news.release/empsit.t19.htm</w:t>
        </w:r>
      </w:hyperlink>
      <w:r w:rsidRPr="00967174">
        <w:rPr>
          <w:rFonts w:ascii="Times New Roman" w:hAnsi="Times New Roman" w:cs="Times New Roman"/>
        </w:rPr>
        <w:t xml:space="preserve">).  The estimated participation time for this sub-study collection is </w:t>
      </w:r>
      <w:r>
        <w:rPr>
          <w:rFonts w:ascii="Times New Roman" w:hAnsi="Times New Roman" w:cs="Times New Roman"/>
        </w:rPr>
        <w:t>15</w:t>
      </w:r>
      <w:r w:rsidRPr="00967174">
        <w:rPr>
          <w:rFonts w:ascii="Times New Roman" w:hAnsi="Times New Roman" w:cs="Times New Roman"/>
        </w:rPr>
        <w:t xml:space="preserve">/60 minutes which is a wage rate of </w:t>
      </w:r>
      <w:r>
        <w:rPr>
          <w:rFonts w:ascii="Times New Roman" w:hAnsi="Times New Roman" w:cs="Times New Roman"/>
        </w:rPr>
        <w:t>$6.26</w:t>
      </w:r>
      <w:r w:rsidRPr="00967174">
        <w:rPr>
          <w:rFonts w:ascii="Times New Roman" w:hAnsi="Times New Roman" w:cs="Times New Roman"/>
        </w:rPr>
        <w:t xml:space="preserve"> per respondent.  The estimated burden hours and costs to participants is provided in the below tables.   </w:t>
      </w:r>
    </w:p>
    <w:p w14:paraId="548AEF44" w14:textId="77777777" w:rsidR="005F4D1B" w:rsidRDefault="005F4D1B"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620"/>
        <w:gridCol w:w="1800"/>
        <w:gridCol w:w="1620"/>
      </w:tblGrid>
      <w:tr w:rsidR="005F4D1B" w:rsidRPr="00323CD8" w14:paraId="2804E654" w14:textId="77777777" w:rsidTr="00F0771E">
        <w:trPr>
          <w:trHeight w:val="274"/>
        </w:trPr>
        <w:tc>
          <w:tcPr>
            <w:tcW w:w="4788" w:type="dxa"/>
          </w:tcPr>
          <w:p w14:paraId="48713D0E" w14:textId="77777777" w:rsidR="005F4D1B" w:rsidRPr="00323CD8" w:rsidRDefault="005F4D1B" w:rsidP="00F0771E">
            <w:pPr>
              <w:widowControl/>
              <w:autoSpaceDE/>
              <w:autoSpaceDN/>
              <w:adjustRightInd/>
              <w:rPr>
                <w:rFonts w:ascii="Times New Roman" w:hAnsi="Times New Roman"/>
                <w:b/>
                <w:sz w:val="24"/>
              </w:rPr>
            </w:pPr>
            <w:r w:rsidRPr="00323CD8">
              <w:rPr>
                <w:rFonts w:ascii="Times New Roman" w:hAnsi="Times New Roman"/>
                <w:b/>
                <w:sz w:val="24"/>
              </w:rPr>
              <w:t xml:space="preserve">Category of Respondent </w:t>
            </w:r>
          </w:p>
        </w:tc>
        <w:tc>
          <w:tcPr>
            <w:tcW w:w="1620" w:type="dxa"/>
          </w:tcPr>
          <w:p w14:paraId="3B401E8C" w14:textId="77777777" w:rsidR="005F4D1B" w:rsidRPr="00323CD8" w:rsidRDefault="005F4D1B" w:rsidP="00F0771E">
            <w:pPr>
              <w:widowControl/>
              <w:autoSpaceDE/>
              <w:autoSpaceDN/>
              <w:adjustRightInd/>
              <w:rPr>
                <w:rFonts w:ascii="Times New Roman" w:hAnsi="Times New Roman"/>
                <w:b/>
                <w:sz w:val="24"/>
              </w:rPr>
            </w:pPr>
            <w:r w:rsidRPr="00323CD8">
              <w:rPr>
                <w:rFonts w:ascii="Times New Roman" w:hAnsi="Times New Roman"/>
                <w:b/>
                <w:sz w:val="24"/>
              </w:rPr>
              <w:t>No. of Respondents</w:t>
            </w:r>
          </w:p>
        </w:tc>
        <w:tc>
          <w:tcPr>
            <w:tcW w:w="1800" w:type="dxa"/>
          </w:tcPr>
          <w:p w14:paraId="25E0C03F" w14:textId="77777777" w:rsidR="005F4D1B" w:rsidRPr="00323CD8" w:rsidRDefault="005F4D1B" w:rsidP="00F0771E">
            <w:pPr>
              <w:widowControl/>
              <w:autoSpaceDE/>
              <w:autoSpaceDN/>
              <w:adjustRightInd/>
              <w:rPr>
                <w:rFonts w:ascii="Times New Roman" w:hAnsi="Times New Roman"/>
                <w:b/>
                <w:sz w:val="24"/>
              </w:rPr>
            </w:pPr>
            <w:r w:rsidRPr="00323CD8">
              <w:rPr>
                <w:rFonts w:ascii="Times New Roman" w:hAnsi="Times New Roman"/>
                <w:b/>
                <w:sz w:val="24"/>
              </w:rPr>
              <w:t>Participation Time</w:t>
            </w:r>
            <w:r>
              <w:rPr>
                <w:rFonts w:ascii="Times New Roman" w:hAnsi="Times New Roman"/>
                <w:b/>
                <w:sz w:val="24"/>
              </w:rPr>
              <w:t xml:space="preserve"> - Cost</w:t>
            </w:r>
          </w:p>
        </w:tc>
        <w:tc>
          <w:tcPr>
            <w:tcW w:w="1620" w:type="dxa"/>
          </w:tcPr>
          <w:p w14:paraId="3A3BED21" w14:textId="77777777" w:rsidR="005F4D1B" w:rsidRPr="00323CD8" w:rsidRDefault="005F4D1B" w:rsidP="00F0771E">
            <w:pPr>
              <w:widowControl/>
              <w:autoSpaceDE/>
              <w:autoSpaceDN/>
              <w:adjustRightInd/>
              <w:rPr>
                <w:rFonts w:ascii="Times New Roman" w:hAnsi="Times New Roman"/>
                <w:b/>
                <w:sz w:val="24"/>
              </w:rPr>
            </w:pPr>
            <w:r w:rsidRPr="00323CD8">
              <w:rPr>
                <w:rFonts w:ascii="Times New Roman" w:hAnsi="Times New Roman"/>
                <w:b/>
                <w:sz w:val="24"/>
              </w:rPr>
              <w:t>Response Burden</w:t>
            </w:r>
            <w:r>
              <w:rPr>
                <w:rFonts w:ascii="Times New Roman" w:hAnsi="Times New Roman"/>
                <w:b/>
                <w:sz w:val="24"/>
              </w:rPr>
              <w:t>/Cost</w:t>
            </w:r>
          </w:p>
        </w:tc>
      </w:tr>
      <w:tr w:rsidR="005F4D1B" w:rsidRPr="00323CD8" w14:paraId="0604B767" w14:textId="77777777" w:rsidTr="00F0771E">
        <w:trPr>
          <w:trHeight w:val="274"/>
        </w:trPr>
        <w:tc>
          <w:tcPr>
            <w:tcW w:w="4788" w:type="dxa"/>
          </w:tcPr>
          <w:p w14:paraId="5F04E819" w14:textId="5EA73F18" w:rsidR="005F4D1B" w:rsidRPr="00323CD8" w:rsidRDefault="005F4D1B" w:rsidP="00F0771E">
            <w:pPr>
              <w:widowControl/>
              <w:autoSpaceDE/>
              <w:autoSpaceDN/>
              <w:adjustRightInd/>
              <w:rPr>
                <w:rFonts w:ascii="Times New Roman" w:hAnsi="Times New Roman"/>
                <w:sz w:val="24"/>
              </w:rPr>
            </w:pPr>
            <w:r>
              <w:rPr>
                <w:rFonts w:ascii="Times New Roman" w:hAnsi="Times New Roman"/>
                <w:sz w:val="24"/>
              </w:rPr>
              <w:t>State/Local/Tribal Governments</w:t>
            </w:r>
          </w:p>
        </w:tc>
        <w:tc>
          <w:tcPr>
            <w:tcW w:w="1620" w:type="dxa"/>
          </w:tcPr>
          <w:p w14:paraId="5A490124" w14:textId="77777777" w:rsidR="005F4D1B" w:rsidRPr="00323CD8" w:rsidRDefault="005F4D1B" w:rsidP="00F0771E">
            <w:pPr>
              <w:widowControl/>
              <w:autoSpaceDE/>
              <w:autoSpaceDN/>
              <w:adjustRightInd/>
              <w:rPr>
                <w:rFonts w:ascii="Times New Roman" w:hAnsi="Times New Roman"/>
                <w:sz w:val="24"/>
              </w:rPr>
            </w:pPr>
            <w:r>
              <w:rPr>
                <w:rFonts w:ascii="Times New Roman" w:hAnsi="Times New Roman"/>
                <w:sz w:val="24"/>
              </w:rPr>
              <w:t>63</w:t>
            </w:r>
          </w:p>
        </w:tc>
        <w:tc>
          <w:tcPr>
            <w:tcW w:w="1800" w:type="dxa"/>
          </w:tcPr>
          <w:p w14:paraId="3DBD97CC" w14:textId="77777777" w:rsidR="005F4D1B" w:rsidRPr="00323CD8" w:rsidRDefault="005F4D1B" w:rsidP="00F0771E">
            <w:pPr>
              <w:widowControl/>
              <w:autoSpaceDE/>
              <w:autoSpaceDN/>
              <w:adjustRightInd/>
              <w:rPr>
                <w:rFonts w:ascii="Times New Roman" w:hAnsi="Times New Roman"/>
                <w:sz w:val="24"/>
              </w:rPr>
            </w:pPr>
            <w:r>
              <w:rPr>
                <w:rFonts w:ascii="Times New Roman" w:hAnsi="Times New Roman"/>
                <w:sz w:val="24"/>
              </w:rPr>
              <w:t>15/60 - $6.26</w:t>
            </w:r>
          </w:p>
        </w:tc>
        <w:tc>
          <w:tcPr>
            <w:tcW w:w="1620" w:type="dxa"/>
          </w:tcPr>
          <w:p w14:paraId="2D753F28" w14:textId="77777777" w:rsidR="005F4D1B" w:rsidRPr="00323CD8" w:rsidRDefault="005F4D1B" w:rsidP="00F0771E">
            <w:pPr>
              <w:widowControl/>
              <w:autoSpaceDE/>
              <w:autoSpaceDN/>
              <w:adjustRightInd/>
              <w:rPr>
                <w:rFonts w:ascii="Times New Roman" w:hAnsi="Times New Roman"/>
                <w:sz w:val="24"/>
              </w:rPr>
            </w:pPr>
            <w:r>
              <w:rPr>
                <w:rFonts w:ascii="Times New Roman" w:hAnsi="Times New Roman"/>
                <w:sz w:val="24"/>
              </w:rPr>
              <w:t>16/$394.38</w:t>
            </w:r>
            <w:r w:rsidRPr="00323CD8">
              <w:rPr>
                <w:rFonts w:ascii="Times New Roman" w:hAnsi="Times New Roman"/>
                <w:sz w:val="24"/>
              </w:rPr>
              <w:t xml:space="preserve"> cost</w:t>
            </w:r>
          </w:p>
        </w:tc>
      </w:tr>
      <w:tr w:rsidR="005F4D1B" w:rsidRPr="00323CD8" w14:paraId="65BD55E9" w14:textId="77777777" w:rsidTr="00F0771E">
        <w:trPr>
          <w:trHeight w:val="274"/>
        </w:trPr>
        <w:tc>
          <w:tcPr>
            <w:tcW w:w="4788" w:type="dxa"/>
          </w:tcPr>
          <w:p w14:paraId="7DFCA409" w14:textId="77777777" w:rsidR="005F4D1B" w:rsidRPr="00323CD8" w:rsidRDefault="005F4D1B" w:rsidP="00F0771E">
            <w:pPr>
              <w:widowControl/>
              <w:autoSpaceDE/>
              <w:autoSpaceDN/>
              <w:adjustRightInd/>
              <w:rPr>
                <w:rFonts w:ascii="Times New Roman" w:hAnsi="Times New Roman"/>
                <w:sz w:val="24"/>
              </w:rPr>
            </w:pPr>
          </w:p>
        </w:tc>
        <w:tc>
          <w:tcPr>
            <w:tcW w:w="1620" w:type="dxa"/>
          </w:tcPr>
          <w:p w14:paraId="602DE142" w14:textId="77777777" w:rsidR="005F4D1B" w:rsidRPr="00323CD8" w:rsidRDefault="005F4D1B" w:rsidP="00F0771E">
            <w:pPr>
              <w:widowControl/>
              <w:autoSpaceDE/>
              <w:autoSpaceDN/>
              <w:adjustRightInd/>
              <w:rPr>
                <w:rFonts w:ascii="Times New Roman" w:hAnsi="Times New Roman"/>
                <w:sz w:val="24"/>
              </w:rPr>
            </w:pPr>
          </w:p>
        </w:tc>
        <w:tc>
          <w:tcPr>
            <w:tcW w:w="1800" w:type="dxa"/>
          </w:tcPr>
          <w:p w14:paraId="5B2781B5" w14:textId="77777777" w:rsidR="005F4D1B" w:rsidRPr="00323CD8" w:rsidRDefault="005F4D1B" w:rsidP="00F0771E">
            <w:pPr>
              <w:widowControl/>
              <w:autoSpaceDE/>
              <w:autoSpaceDN/>
              <w:adjustRightInd/>
              <w:rPr>
                <w:rFonts w:ascii="Times New Roman" w:hAnsi="Times New Roman"/>
                <w:sz w:val="24"/>
              </w:rPr>
            </w:pPr>
          </w:p>
        </w:tc>
        <w:tc>
          <w:tcPr>
            <w:tcW w:w="1620" w:type="dxa"/>
          </w:tcPr>
          <w:p w14:paraId="15A7E9B4" w14:textId="77777777" w:rsidR="005F4D1B" w:rsidRPr="00323CD8" w:rsidRDefault="005F4D1B" w:rsidP="00F0771E">
            <w:pPr>
              <w:widowControl/>
              <w:autoSpaceDE/>
              <w:autoSpaceDN/>
              <w:adjustRightInd/>
              <w:rPr>
                <w:rFonts w:ascii="Times New Roman" w:hAnsi="Times New Roman"/>
                <w:sz w:val="24"/>
              </w:rPr>
            </w:pPr>
          </w:p>
        </w:tc>
      </w:tr>
      <w:tr w:rsidR="005F4D1B" w:rsidRPr="00323CD8" w14:paraId="5E35E479" w14:textId="77777777" w:rsidTr="00F0771E">
        <w:trPr>
          <w:trHeight w:val="289"/>
        </w:trPr>
        <w:tc>
          <w:tcPr>
            <w:tcW w:w="4788" w:type="dxa"/>
          </w:tcPr>
          <w:p w14:paraId="2B95BC57" w14:textId="77777777" w:rsidR="005F4D1B" w:rsidRPr="00323CD8" w:rsidRDefault="005F4D1B" w:rsidP="00F0771E">
            <w:pPr>
              <w:widowControl/>
              <w:autoSpaceDE/>
              <w:autoSpaceDN/>
              <w:adjustRightInd/>
              <w:rPr>
                <w:rFonts w:ascii="Times New Roman" w:hAnsi="Times New Roman"/>
                <w:b/>
                <w:sz w:val="24"/>
              </w:rPr>
            </w:pPr>
            <w:r w:rsidRPr="00323CD8">
              <w:rPr>
                <w:rFonts w:ascii="Times New Roman" w:hAnsi="Times New Roman"/>
                <w:b/>
                <w:sz w:val="24"/>
              </w:rPr>
              <w:t>Totals</w:t>
            </w:r>
          </w:p>
        </w:tc>
        <w:tc>
          <w:tcPr>
            <w:tcW w:w="1620" w:type="dxa"/>
          </w:tcPr>
          <w:p w14:paraId="2A671047" w14:textId="77777777" w:rsidR="005F4D1B" w:rsidRPr="00323CD8" w:rsidRDefault="005F4D1B" w:rsidP="00F0771E">
            <w:pPr>
              <w:widowControl/>
              <w:autoSpaceDE/>
              <w:autoSpaceDN/>
              <w:adjustRightInd/>
              <w:rPr>
                <w:rFonts w:ascii="Times New Roman" w:hAnsi="Times New Roman"/>
                <w:b/>
                <w:sz w:val="24"/>
              </w:rPr>
            </w:pPr>
            <w:r>
              <w:rPr>
                <w:rFonts w:ascii="Times New Roman" w:hAnsi="Times New Roman"/>
                <w:b/>
                <w:sz w:val="24"/>
              </w:rPr>
              <w:t>63</w:t>
            </w:r>
          </w:p>
        </w:tc>
        <w:tc>
          <w:tcPr>
            <w:tcW w:w="1800" w:type="dxa"/>
          </w:tcPr>
          <w:p w14:paraId="4EE82FE3" w14:textId="77777777" w:rsidR="005F4D1B" w:rsidRPr="00323CD8" w:rsidRDefault="005F4D1B" w:rsidP="00F0771E">
            <w:pPr>
              <w:widowControl/>
              <w:autoSpaceDE/>
              <w:autoSpaceDN/>
              <w:adjustRightInd/>
              <w:rPr>
                <w:rFonts w:ascii="Times New Roman" w:hAnsi="Times New Roman"/>
                <w:b/>
                <w:sz w:val="24"/>
              </w:rPr>
            </w:pPr>
            <w:r>
              <w:rPr>
                <w:rFonts w:ascii="Times New Roman" w:hAnsi="Times New Roman"/>
                <w:b/>
                <w:sz w:val="24"/>
              </w:rPr>
              <w:t>15/60 – $6.26</w:t>
            </w:r>
          </w:p>
        </w:tc>
        <w:tc>
          <w:tcPr>
            <w:tcW w:w="1620" w:type="dxa"/>
          </w:tcPr>
          <w:p w14:paraId="3C81E4DE" w14:textId="77777777" w:rsidR="005F4D1B" w:rsidRPr="00323CD8" w:rsidRDefault="005F4D1B" w:rsidP="00F0771E">
            <w:pPr>
              <w:widowControl/>
              <w:autoSpaceDE/>
              <w:autoSpaceDN/>
              <w:adjustRightInd/>
              <w:rPr>
                <w:rFonts w:ascii="Times New Roman" w:hAnsi="Times New Roman"/>
                <w:b/>
                <w:sz w:val="24"/>
              </w:rPr>
            </w:pPr>
            <w:r>
              <w:rPr>
                <w:rFonts w:ascii="Times New Roman" w:hAnsi="Times New Roman"/>
                <w:b/>
                <w:sz w:val="24"/>
              </w:rPr>
              <w:t>16/$394.38</w:t>
            </w:r>
            <w:r w:rsidRPr="00323CD8">
              <w:rPr>
                <w:rFonts w:ascii="Times New Roman" w:hAnsi="Times New Roman"/>
                <w:b/>
                <w:sz w:val="24"/>
              </w:rPr>
              <w:t xml:space="preserve"> cost</w:t>
            </w:r>
          </w:p>
        </w:tc>
      </w:tr>
    </w:tbl>
    <w:p w14:paraId="262194E3" w14:textId="77777777" w:rsidR="005F4D1B" w:rsidRDefault="005F4D1B"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bookmarkStart w:id="0" w:name="_GoBack"/>
      <w:bookmarkEnd w:id="0"/>
    </w:p>
    <w:p w14:paraId="1F4EF2BD" w14:textId="77777777" w:rsidR="006E730D" w:rsidRDefault="006E730D"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61B8DDD2" w14:textId="77777777" w:rsidR="005F4D1B" w:rsidRPr="00967174" w:rsidRDefault="005F4D1B" w:rsidP="005F4D1B">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24"/>
          <w:u w:val="single"/>
        </w:rPr>
      </w:pPr>
      <w:r w:rsidRPr="00967174">
        <w:rPr>
          <w:rFonts w:ascii="Times New Roman" w:hAnsi="Times New Roman"/>
          <w:b/>
          <w:sz w:val="24"/>
          <w:u w:val="single"/>
        </w:rPr>
        <w:t>Cost to the Federal Government</w:t>
      </w:r>
    </w:p>
    <w:p w14:paraId="0C22A0C0" w14:textId="4EE62937" w:rsidR="005F4D1B" w:rsidRPr="00967174" w:rsidRDefault="005F4D1B" w:rsidP="005F4D1B">
      <w:pPr>
        <w:rPr>
          <w:rFonts w:ascii="Times New Roman" w:hAnsi="Times New Roman"/>
          <w:sz w:val="24"/>
        </w:rPr>
      </w:pPr>
      <w:r w:rsidRPr="00967174">
        <w:rPr>
          <w:rFonts w:ascii="Times New Roman" w:hAnsi="Times New Roman"/>
          <w:sz w:val="24"/>
        </w:rPr>
        <w:t>The approximate cost to the government for this sub-study data collection effort is $</w:t>
      </w:r>
      <w:r w:rsidR="009B5B88">
        <w:rPr>
          <w:rFonts w:ascii="Times New Roman" w:hAnsi="Times New Roman"/>
          <w:sz w:val="24"/>
        </w:rPr>
        <w:t>3,324.83</w:t>
      </w:r>
      <w:r w:rsidRPr="00967174">
        <w:rPr>
          <w:rFonts w:ascii="Times New Roman" w:hAnsi="Times New Roman"/>
          <w:sz w:val="24"/>
        </w:rPr>
        <w:t>.  The below table provides a cost breakdown for the federal government.</w:t>
      </w:r>
    </w:p>
    <w:p w14:paraId="277DA8F6" w14:textId="77777777" w:rsidR="005F4D1B" w:rsidRPr="00967174" w:rsidRDefault="005F4D1B" w:rsidP="005F4D1B">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1404"/>
        <w:gridCol w:w="2394"/>
      </w:tblGrid>
      <w:tr w:rsidR="005F4D1B" w:rsidRPr="00967174" w14:paraId="7B9A8A73" w14:textId="77777777" w:rsidTr="00F0771E">
        <w:tc>
          <w:tcPr>
            <w:tcW w:w="9576" w:type="dxa"/>
            <w:gridSpan w:val="4"/>
            <w:shd w:val="clear" w:color="auto" w:fill="auto"/>
          </w:tcPr>
          <w:p w14:paraId="1AC7BC96" w14:textId="77777777" w:rsidR="005F4D1B" w:rsidRPr="00967174" w:rsidRDefault="005F4D1B" w:rsidP="00F0771E">
            <w:pPr>
              <w:rPr>
                <w:rFonts w:ascii="Times New Roman" w:eastAsia="Calibri" w:hAnsi="Times New Roman"/>
                <w:sz w:val="24"/>
              </w:rPr>
            </w:pPr>
            <w:r w:rsidRPr="00967174">
              <w:rPr>
                <w:rFonts w:ascii="Times New Roman" w:eastAsia="Calibri" w:hAnsi="Times New Roman"/>
                <w:sz w:val="24"/>
              </w:rPr>
              <w:t>Sub-study Cost to the Federal Government</w:t>
            </w:r>
          </w:p>
        </w:tc>
      </w:tr>
      <w:tr w:rsidR="005F4D1B" w:rsidRPr="00967174" w14:paraId="07FBE3A7" w14:textId="77777777" w:rsidTr="00F0771E">
        <w:tc>
          <w:tcPr>
            <w:tcW w:w="3258" w:type="dxa"/>
            <w:shd w:val="clear" w:color="auto" w:fill="auto"/>
          </w:tcPr>
          <w:p w14:paraId="72BE5450" w14:textId="77777777"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Item</w:t>
            </w:r>
          </w:p>
        </w:tc>
        <w:tc>
          <w:tcPr>
            <w:tcW w:w="2520" w:type="dxa"/>
            <w:shd w:val="clear" w:color="auto" w:fill="auto"/>
          </w:tcPr>
          <w:p w14:paraId="0AB5688B" w14:textId="77777777"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Grade/Salary</w:t>
            </w:r>
          </w:p>
          <w:p w14:paraId="6C784A20" w14:textId="77777777" w:rsidR="005F4D1B" w:rsidRPr="00967174" w:rsidRDefault="005F4D1B" w:rsidP="00F0771E">
            <w:pPr>
              <w:jc w:val="center"/>
              <w:rPr>
                <w:rFonts w:ascii="Times New Roman" w:eastAsia="Calibri" w:hAnsi="Times New Roman"/>
                <w:b/>
                <w:sz w:val="24"/>
              </w:rPr>
            </w:pPr>
          </w:p>
        </w:tc>
        <w:tc>
          <w:tcPr>
            <w:tcW w:w="1404" w:type="dxa"/>
            <w:shd w:val="clear" w:color="auto" w:fill="auto"/>
          </w:tcPr>
          <w:p w14:paraId="5DC09F37" w14:textId="77777777"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Percent Effort</w:t>
            </w:r>
          </w:p>
        </w:tc>
        <w:tc>
          <w:tcPr>
            <w:tcW w:w="2394" w:type="dxa"/>
            <w:shd w:val="clear" w:color="auto" w:fill="auto"/>
          </w:tcPr>
          <w:p w14:paraId="41A8E8E8" w14:textId="77777777"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Cost</w:t>
            </w:r>
          </w:p>
        </w:tc>
      </w:tr>
      <w:tr w:rsidR="005F4D1B" w:rsidRPr="00967174" w14:paraId="317223CB" w14:textId="77777777" w:rsidTr="00F0771E">
        <w:tc>
          <w:tcPr>
            <w:tcW w:w="3258" w:type="dxa"/>
            <w:shd w:val="clear" w:color="auto" w:fill="auto"/>
          </w:tcPr>
          <w:p w14:paraId="65592933" w14:textId="77777777" w:rsidR="005F4D1B" w:rsidRPr="00967174" w:rsidRDefault="005F4D1B" w:rsidP="00F0771E">
            <w:pPr>
              <w:rPr>
                <w:rFonts w:ascii="Times New Roman" w:eastAsia="Calibri" w:hAnsi="Times New Roman"/>
                <w:sz w:val="24"/>
              </w:rPr>
            </w:pPr>
            <w:r w:rsidRPr="00967174">
              <w:rPr>
                <w:rFonts w:ascii="Times New Roman" w:eastAsia="Calibri" w:hAnsi="Times New Roman"/>
                <w:sz w:val="24"/>
              </w:rPr>
              <w:t>NICHD Safe to Sleep Program Staff/Project Oversight</w:t>
            </w:r>
          </w:p>
        </w:tc>
        <w:tc>
          <w:tcPr>
            <w:tcW w:w="2520" w:type="dxa"/>
            <w:shd w:val="clear" w:color="auto" w:fill="auto"/>
          </w:tcPr>
          <w:p w14:paraId="288E77D3"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GS-14-3 ($113,346)</w:t>
            </w:r>
          </w:p>
        </w:tc>
        <w:tc>
          <w:tcPr>
            <w:tcW w:w="1404" w:type="dxa"/>
            <w:shd w:val="clear" w:color="auto" w:fill="auto"/>
          </w:tcPr>
          <w:p w14:paraId="7C979B83" w14:textId="77777777" w:rsidR="005F4D1B" w:rsidRPr="00967174" w:rsidRDefault="005F4D1B" w:rsidP="00F0771E">
            <w:pPr>
              <w:jc w:val="center"/>
              <w:rPr>
                <w:rFonts w:ascii="Times New Roman" w:eastAsia="Calibri" w:hAnsi="Times New Roman"/>
                <w:sz w:val="24"/>
              </w:rPr>
            </w:pPr>
            <w:r>
              <w:rPr>
                <w:rFonts w:ascii="Times New Roman" w:eastAsia="Calibri" w:hAnsi="Times New Roman"/>
                <w:sz w:val="24"/>
              </w:rPr>
              <w:t>0.05</w:t>
            </w:r>
            <w:r w:rsidRPr="00967174">
              <w:rPr>
                <w:rFonts w:ascii="Times New Roman" w:eastAsia="Calibri" w:hAnsi="Times New Roman"/>
                <w:sz w:val="24"/>
              </w:rPr>
              <w:t>%</w:t>
            </w:r>
          </w:p>
        </w:tc>
        <w:tc>
          <w:tcPr>
            <w:tcW w:w="2394" w:type="dxa"/>
            <w:shd w:val="clear" w:color="auto" w:fill="auto"/>
          </w:tcPr>
          <w:p w14:paraId="5F35E3D4"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Pr>
                <w:rFonts w:ascii="Times New Roman" w:eastAsia="Calibri" w:hAnsi="Times New Roman"/>
                <w:sz w:val="24"/>
              </w:rPr>
              <w:t>566.73</w:t>
            </w:r>
          </w:p>
        </w:tc>
      </w:tr>
      <w:tr w:rsidR="005F4D1B" w:rsidRPr="00967174" w14:paraId="7FA019A4" w14:textId="77777777" w:rsidTr="00F0771E">
        <w:tc>
          <w:tcPr>
            <w:tcW w:w="3258" w:type="dxa"/>
            <w:shd w:val="clear" w:color="auto" w:fill="auto"/>
          </w:tcPr>
          <w:p w14:paraId="02D3EC2E" w14:textId="77777777" w:rsidR="005F4D1B" w:rsidRPr="00967174" w:rsidRDefault="005F4D1B" w:rsidP="00F0771E">
            <w:pPr>
              <w:rPr>
                <w:rFonts w:ascii="Times New Roman" w:eastAsia="Calibri" w:hAnsi="Times New Roman"/>
                <w:sz w:val="24"/>
              </w:rPr>
            </w:pPr>
            <w:r w:rsidRPr="00967174">
              <w:rPr>
                <w:rFonts w:ascii="Times New Roman" w:eastAsia="Calibri" w:hAnsi="Times New Roman"/>
                <w:sz w:val="24"/>
              </w:rPr>
              <w:t>NICHD PRA/OMB Liaison</w:t>
            </w:r>
          </w:p>
        </w:tc>
        <w:tc>
          <w:tcPr>
            <w:tcW w:w="2520" w:type="dxa"/>
            <w:shd w:val="clear" w:color="auto" w:fill="auto"/>
          </w:tcPr>
          <w:p w14:paraId="1718547D"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GS-14-4 ($116,887)</w:t>
            </w:r>
          </w:p>
        </w:tc>
        <w:tc>
          <w:tcPr>
            <w:tcW w:w="1404" w:type="dxa"/>
            <w:shd w:val="clear" w:color="auto" w:fill="auto"/>
          </w:tcPr>
          <w:p w14:paraId="1B6E0699"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0.0</w:t>
            </w:r>
            <w:r>
              <w:rPr>
                <w:rFonts w:ascii="Times New Roman" w:eastAsia="Calibri" w:hAnsi="Times New Roman"/>
                <w:sz w:val="24"/>
              </w:rPr>
              <w:t>1</w:t>
            </w:r>
            <w:r w:rsidRPr="00967174">
              <w:rPr>
                <w:rFonts w:ascii="Times New Roman" w:eastAsia="Calibri" w:hAnsi="Times New Roman"/>
                <w:sz w:val="24"/>
              </w:rPr>
              <w:t>%</w:t>
            </w:r>
          </w:p>
        </w:tc>
        <w:tc>
          <w:tcPr>
            <w:tcW w:w="2394" w:type="dxa"/>
            <w:shd w:val="clear" w:color="auto" w:fill="auto"/>
          </w:tcPr>
          <w:p w14:paraId="66FFD520"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Pr>
                <w:rFonts w:ascii="Times New Roman" w:eastAsia="Calibri" w:hAnsi="Times New Roman"/>
                <w:sz w:val="24"/>
              </w:rPr>
              <w:t>116.89</w:t>
            </w:r>
          </w:p>
        </w:tc>
      </w:tr>
      <w:tr w:rsidR="005F4D1B" w:rsidRPr="00967174" w14:paraId="0B663D3A" w14:textId="77777777" w:rsidTr="00F0771E">
        <w:tc>
          <w:tcPr>
            <w:tcW w:w="3258" w:type="dxa"/>
            <w:shd w:val="clear" w:color="auto" w:fill="auto"/>
          </w:tcPr>
          <w:p w14:paraId="3C04B3CC" w14:textId="77777777" w:rsidR="005F4D1B" w:rsidRPr="00967174" w:rsidRDefault="005F4D1B" w:rsidP="00F0771E">
            <w:pPr>
              <w:rPr>
                <w:rFonts w:ascii="Times New Roman" w:eastAsia="Calibri" w:hAnsi="Times New Roman"/>
                <w:sz w:val="24"/>
              </w:rPr>
            </w:pPr>
            <w:r>
              <w:rPr>
                <w:rFonts w:ascii="Times New Roman" w:eastAsia="Calibri" w:hAnsi="Times New Roman"/>
                <w:sz w:val="24"/>
              </w:rPr>
              <w:t>Contractor Staff* (Account Director)</w:t>
            </w:r>
          </w:p>
        </w:tc>
        <w:tc>
          <w:tcPr>
            <w:tcW w:w="2520" w:type="dxa"/>
            <w:shd w:val="clear" w:color="auto" w:fill="auto"/>
          </w:tcPr>
          <w:p w14:paraId="1B725F52" w14:textId="77777777"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Pr>
                <w:rFonts w:ascii="Times New Roman" w:eastAsia="Calibri" w:hAnsi="Times New Roman"/>
                <w:sz w:val="24"/>
              </w:rPr>
              <w:t>262,620.80</w:t>
            </w:r>
          </w:p>
        </w:tc>
        <w:tc>
          <w:tcPr>
            <w:tcW w:w="1404" w:type="dxa"/>
            <w:shd w:val="clear" w:color="auto" w:fill="auto"/>
          </w:tcPr>
          <w:p w14:paraId="0DBF87D6" w14:textId="32DD3850" w:rsidR="005F4D1B" w:rsidRPr="00967174" w:rsidRDefault="009B5B88" w:rsidP="00F0771E">
            <w:pPr>
              <w:jc w:val="center"/>
              <w:rPr>
                <w:rFonts w:ascii="Times New Roman" w:eastAsia="Calibri" w:hAnsi="Times New Roman"/>
                <w:sz w:val="24"/>
              </w:rPr>
            </w:pPr>
            <w:r>
              <w:rPr>
                <w:rFonts w:ascii="Times New Roman" w:eastAsia="Calibri" w:hAnsi="Times New Roman"/>
                <w:sz w:val="24"/>
              </w:rPr>
              <w:t>1.0</w:t>
            </w:r>
            <w:r w:rsidR="005F4D1B" w:rsidRPr="00967174">
              <w:rPr>
                <w:rFonts w:ascii="Times New Roman" w:eastAsia="Calibri" w:hAnsi="Times New Roman"/>
                <w:sz w:val="24"/>
              </w:rPr>
              <w:t>%</w:t>
            </w:r>
          </w:p>
        </w:tc>
        <w:tc>
          <w:tcPr>
            <w:tcW w:w="2394" w:type="dxa"/>
            <w:shd w:val="clear" w:color="auto" w:fill="auto"/>
          </w:tcPr>
          <w:p w14:paraId="07CAD551" w14:textId="39C06691"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sidR="009B5B88">
              <w:rPr>
                <w:rFonts w:ascii="Times New Roman" w:eastAsia="Calibri" w:hAnsi="Times New Roman"/>
                <w:sz w:val="24"/>
              </w:rPr>
              <w:t>2626.21</w:t>
            </w:r>
          </w:p>
        </w:tc>
      </w:tr>
      <w:tr w:rsidR="005F4D1B" w:rsidRPr="00967174" w14:paraId="3669E838" w14:textId="77777777" w:rsidTr="00F0771E">
        <w:tc>
          <w:tcPr>
            <w:tcW w:w="3258" w:type="dxa"/>
            <w:shd w:val="clear" w:color="auto" w:fill="auto"/>
          </w:tcPr>
          <w:p w14:paraId="6C478168" w14:textId="77777777" w:rsidR="005F4D1B" w:rsidRPr="00967174" w:rsidRDefault="005F4D1B" w:rsidP="00F0771E">
            <w:pPr>
              <w:rPr>
                <w:rFonts w:ascii="Times New Roman" w:eastAsia="Calibri" w:hAnsi="Times New Roman"/>
                <w:sz w:val="24"/>
              </w:rPr>
            </w:pPr>
            <w:r w:rsidRPr="00967174">
              <w:rPr>
                <w:rFonts w:ascii="Times New Roman" w:eastAsia="Calibri" w:hAnsi="Times New Roman"/>
                <w:sz w:val="24"/>
              </w:rPr>
              <w:t>Operational Costs for Data Collection Activities (e.g., printing, postage, equipment), non-labor</w:t>
            </w:r>
          </w:p>
        </w:tc>
        <w:tc>
          <w:tcPr>
            <w:tcW w:w="2520" w:type="dxa"/>
            <w:shd w:val="clear" w:color="auto" w:fill="auto"/>
          </w:tcPr>
          <w:p w14:paraId="0E3C5A7C" w14:textId="77777777" w:rsidR="005F4D1B" w:rsidRPr="00967174" w:rsidRDefault="005F4D1B" w:rsidP="00F0771E">
            <w:pPr>
              <w:jc w:val="center"/>
              <w:rPr>
                <w:rFonts w:ascii="Times New Roman" w:eastAsia="Calibri" w:hAnsi="Times New Roman"/>
                <w:sz w:val="24"/>
              </w:rPr>
            </w:pPr>
          </w:p>
        </w:tc>
        <w:tc>
          <w:tcPr>
            <w:tcW w:w="1404" w:type="dxa"/>
            <w:shd w:val="clear" w:color="auto" w:fill="auto"/>
          </w:tcPr>
          <w:p w14:paraId="3C680982" w14:textId="77777777" w:rsidR="005F4D1B" w:rsidRPr="00967174" w:rsidRDefault="005F4D1B" w:rsidP="00F0771E">
            <w:pPr>
              <w:jc w:val="center"/>
              <w:rPr>
                <w:rFonts w:ascii="Times New Roman" w:eastAsia="Calibri" w:hAnsi="Times New Roman"/>
                <w:sz w:val="24"/>
              </w:rPr>
            </w:pPr>
          </w:p>
        </w:tc>
        <w:tc>
          <w:tcPr>
            <w:tcW w:w="2394" w:type="dxa"/>
            <w:shd w:val="clear" w:color="auto" w:fill="auto"/>
          </w:tcPr>
          <w:p w14:paraId="7E419E7C" w14:textId="252BA510" w:rsidR="005F4D1B" w:rsidRPr="00967174" w:rsidRDefault="005F4D1B" w:rsidP="00F0771E">
            <w:pPr>
              <w:jc w:val="center"/>
              <w:rPr>
                <w:rFonts w:ascii="Times New Roman" w:eastAsia="Calibri" w:hAnsi="Times New Roman"/>
                <w:sz w:val="24"/>
              </w:rPr>
            </w:pPr>
            <w:r w:rsidRPr="00967174">
              <w:rPr>
                <w:rFonts w:ascii="Times New Roman" w:eastAsia="Calibri" w:hAnsi="Times New Roman"/>
                <w:sz w:val="24"/>
              </w:rPr>
              <w:t>$</w:t>
            </w:r>
            <w:r w:rsidR="009B5B88">
              <w:rPr>
                <w:rFonts w:ascii="Times New Roman" w:eastAsia="Calibri" w:hAnsi="Times New Roman"/>
                <w:sz w:val="24"/>
              </w:rPr>
              <w:t>1</w:t>
            </w:r>
            <w:r>
              <w:rPr>
                <w:rFonts w:ascii="Times New Roman" w:eastAsia="Calibri" w:hAnsi="Times New Roman"/>
                <w:sz w:val="24"/>
              </w:rPr>
              <w:t>5</w:t>
            </w:r>
          </w:p>
        </w:tc>
      </w:tr>
      <w:tr w:rsidR="005F4D1B" w:rsidRPr="00967174" w14:paraId="48A70463" w14:textId="77777777" w:rsidTr="00F0771E">
        <w:tc>
          <w:tcPr>
            <w:tcW w:w="3258" w:type="dxa"/>
            <w:shd w:val="clear" w:color="auto" w:fill="auto"/>
          </w:tcPr>
          <w:p w14:paraId="17FE78D9" w14:textId="77777777" w:rsidR="005F4D1B" w:rsidRPr="00967174" w:rsidRDefault="005F4D1B" w:rsidP="00F0771E">
            <w:pPr>
              <w:rPr>
                <w:rFonts w:ascii="Times New Roman" w:eastAsia="Calibri" w:hAnsi="Times New Roman"/>
                <w:b/>
                <w:sz w:val="24"/>
              </w:rPr>
            </w:pPr>
            <w:r w:rsidRPr="00967174">
              <w:rPr>
                <w:rFonts w:ascii="Times New Roman" w:eastAsia="Calibri" w:hAnsi="Times New Roman"/>
                <w:b/>
                <w:sz w:val="24"/>
              </w:rPr>
              <w:t>Total</w:t>
            </w:r>
          </w:p>
        </w:tc>
        <w:tc>
          <w:tcPr>
            <w:tcW w:w="2520" w:type="dxa"/>
            <w:shd w:val="clear" w:color="auto" w:fill="auto"/>
          </w:tcPr>
          <w:p w14:paraId="186EE1C5" w14:textId="77777777" w:rsidR="005F4D1B" w:rsidRPr="00967174" w:rsidRDefault="005F4D1B" w:rsidP="00F0771E">
            <w:pPr>
              <w:jc w:val="center"/>
              <w:rPr>
                <w:rFonts w:ascii="Times New Roman" w:eastAsia="Calibri" w:hAnsi="Times New Roman"/>
                <w:sz w:val="24"/>
              </w:rPr>
            </w:pPr>
          </w:p>
        </w:tc>
        <w:tc>
          <w:tcPr>
            <w:tcW w:w="1404" w:type="dxa"/>
            <w:shd w:val="clear" w:color="auto" w:fill="auto"/>
          </w:tcPr>
          <w:p w14:paraId="70D7FA3C" w14:textId="77777777" w:rsidR="005F4D1B" w:rsidRPr="00967174" w:rsidRDefault="005F4D1B" w:rsidP="00F0771E">
            <w:pPr>
              <w:jc w:val="center"/>
              <w:rPr>
                <w:rFonts w:ascii="Times New Roman" w:eastAsia="Calibri" w:hAnsi="Times New Roman"/>
                <w:sz w:val="24"/>
              </w:rPr>
            </w:pPr>
          </w:p>
        </w:tc>
        <w:tc>
          <w:tcPr>
            <w:tcW w:w="2394" w:type="dxa"/>
            <w:shd w:val="clear" w:color="auto" w:fill="auto"/>
          </w:tcPr>
          <w:p w14:paraId="28A7CE6D" w14:textId="6EC80775" w:rsidR="005F4D1B" w:rsidRPr="00967174" w:rsidRDefault="005F4D1B" w:rsidP="00F0771E">
            <w:pPr>
              <w:jc w:val="center"/>
              <w:rPr>
                <w:rFonts w:ascii="Times New Roman" w:eastAsia="Calibri" w:hAnsi="Times New Roman"/>
                <w:b/>
                <w:sz w:val="24"/>
              </w:rPr>
            </w:pPr>
            <w:r w:rsidRPr="00967174">
              <w:rPr>
                <w:rFonts w:ascii="Times New Roman" w:eastAsia="Calibri" w:hAnsi="Times New Roman"/>
                <w:b/>
                <w:sz w:val="24"/>
              </w:rPr>
              <w:t>$</w:t>
            </w:r>
            <w:r w:rsidR="009B5B88">
              <w:rPr>
                <w:rFonts w:ascii="Times New Roman" w:eastAsia="Calibri" w:hAnsi="Times New Roman"/>
                <w:b/>
                <w:sz w:val="24"/>
              </w:rPr>
              <w:t>3,324.83</w:t>
            </w:r>
          </w:p>
        </w:tc>
      </w:tr>
    </w:tbl>
    <w:p w14:paraId="4A602D2B" w14:textId="77777777" w:rsidR="005F4D1B" w:rsidRPr="00967174" w:rsidRDefault="005F4D1B" w:rsidP="005F4D1B">
      <w:pPr>
        <w:rPr>
          <w:rFonts w:ascii="Times New Roman" w:eastAsia="Calibri" w:hAnsi="Times New Roman"/>
          <w:sz w:val="24"/>
        </w:rPr>
      </w:pPr>
      <w:r w:rsidRPr="00967174">
        <w:rPr>
          <w:rFonts w:ascii="Times New Roman" w:eastAsia="Calibri" w:hAnsi="Times New Roman"/>
          <w:sz w:val="24"/>
        </w:rPr>
        <w:t xml:space="preserve">*Contractor salaries are loaded and include fringe benefits (e.g., costs for health insurance, travel, paid vacation).  The fringe rate is 38.5% for full-time staff and 11.5% for part-time staff. </w:t>
      </w:r>
    </w:p>
    <w:p w14:paraId="66B1B757" w14:textId="77777777" w:rsidR="005F4D1B" w:rsidRPr="00967174" w:rsidRDefault="005F4D1B" w:rsidP="005F4D1B">
      <w:pPr>
        <w:rPr>
          <w:rFonts w:ascii="Times New Roman" w:hAnsi="Times New Roman"/>
          <w:sz w:val="24"/>
        </w:rPr>
      </w:pPr>
    </w:p>
    <w:p w14:paraId="30EA327A" w14:textId="77777777" w:rsidR="006E730D" w:rsidRPr="00323CD8" w:rsidRDefault="006E730D"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sectPr w:rsidR="006E730D" w:rsidRPr="00323CD8">
      <w:footerReference w:type="even" r:id="rId10"/>
      <w:footerReference w:type="default" r:id="rId11"/>
      <w:endnotePr>
        <w:numFmt w:val="decimal"/>
      </w:endnotePr>
      <w:pgSz w:w="12240" w:h="15840" w:code="1"/>
      <w:pgMar w:top="720" w:right="907" w:bottom="1267" w:left="1080" w:header="18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E818E" w14:textId="77777777" w:rsidR="00195491" w:rsidRDefault="00195491">
      <w:r>
        <w:separator/>
      </w:r>
    </w:p>
  </w:endnote>
  <w:endnote w:type="continuationSeparator" w:id="0">
    <w:p w14:paraId="7E906615" w14:textId="77777777" w:rsidR="00195491" w:rsidRDefault="0019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13F9C" w14:textId="77777777" w:rsidR="00D847FA" w:rsidRDefault="00D8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20F0D" w14:textId="77777777" w:rsidR="00D847FA" w:rsidRDefault="00D8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9AD5" w14:textId="77777777" w:rsidR="00D847FA" w:rsidRDefault="00D8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C5B">
      <w:rPr>
        <w:rStyle w:val="PageNumber"/>
        <w:noProof/>
      </w:rPr>
      <w:t>3</w:t>
    </w:r>
    <w:r>
      <w:rPr>
        <w:rStyle w:val="PageNumber"/>
      </w:rPr>
      <w:fldChar w:fldCharType="end"/>
    </w:r>
  </w:p>
  <w:p w14:paraId="2D66B007" w14:textId="77777777" w:rsidR="00D847FA" w:rsidRDefault="00D8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93F5E" w14:textId="77777777" w:rsidR="00195491" w:rsidRDefault="00195491">
      <w:r>
        <w:separator/>
      </w:r>
    </w:p>
  </w:footnote>
  <w:footnote w:type="continuationSeparator" w:id="0">
    <w:p w14:paraId="7ADC23C5" w14:textId="77777777" w:rsidR="00195491" w:rsidRDefault="00195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58F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E6654"/>
    <w:multiLevelType w:val="hybridMultilevel"/>
    <w:tmpl w:val="C52CB06A"/>
    <w:lvl w:ilvl="0" w:tplc="7770A8DC">
      <w:start w:val="1"/>
      <w:numFmt w:val="decimal"/>
      <w:lvlText w:val="(%1)"/>
      <w:lvlJc w:val="left"/>
      <w:pPr>
        <w:tabs>
          <w:tab w:val="num" w:pos="1800"/>
        </w:tabs>
        <w:ind w:left="1800" w:hanging="360"/>
      </w:pPr>
      <w:rPr>
        <w:rFonts w:hint="default"/>
      </w:rPr>
    </w:lvl>
    <w:lvl w:ilvl="1" w:tplc="3A86A15E">
      <w:start w:val="1"/>
      <w:numFmt w:val="decimal"/>
      <w:lvlText w:val="(%2)"/>
      <w:lvlJc w:val="left"/>
      <w:pPr>
        <w:tabs>
          <w:tab w:val="num" w:pos="1800"/>
        </w:tabs>
        <w:ind w:left="1800" w:hanging="360"/>
      </w:pPr>
      <w:rPr>
        <w:rFonts w:ascii="Times New Roman" w:hAnsi="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34C18F2"/>
    <w:multiLevelType w:val="hybridMultilevel"/>
    <w:tmpl w:val="3D36CE54"/>
    <w:lvl w:ilvl="0" w:tplc="FFFFFFFF">
      <w:start w:val="152"/>
      <w:numFmt w:val="bullet"/>
      <w:lvlText w:val="□"/>
      <w:lvlJc w:val="left"/>
      <w:pPr>
        <w:tabs>
          <w:tab w:val="num" w:pos="454"/>
        </w:tabs>
        <w:ind w:left="454" w:hanging="454"/>
      </w:pPr>
      <w:rPr>
        <w:rFonts w:ascii="Arial" w:hAnsi="Arial" w:hint="default"/>
      </w:rPr>
    </w:lvl>
    <w:lvl w:ilvl="1" w:tplc="0409000F">
      <w:start w:val="1"/>
      <w:numFmt w:val="decimal"/>
      <w:lvlText w:val="%2."/>
      <w:lvlJc w:val="left"/>
      <w:pPr>
        <w:tabs>
          <w:tab w:val="num" w:pos="760"/>
        </w:tabs>
        <w:ind w:left="760" w:hanging="360"/>
      </w:pPr>
      <w:rPr>
        <w:rFonts w:hint="default"/>
      </w:rPr>
    </w:lvl>
    <w:lvl w:ilvl="2" w:tplc="FFFFFFFF" w:tentative="1">
      <w:start w:val="1"/>
      <w:numFmt w:val="bullet"/>
      <w:lvlText w:val=""/>
      <w:lvlJc w:val="left"/>
      <w:pPr>
        <w:tabs>
          <w:tab w:val="num" w:pos="1480"/>
        </w:tabs>
        <w:ind w:left="1480" w:hanging="360"/>
      </w:pPr>
      <w:rPr>
        <w:rFonts w:ascii="Wingdings" w:hAnsi="Wingdings" w:hint="default"/>
      </w:rPr>
    </w:lvl>
    <w:lvl w:ilvl="3" w:tplc="FFFFFFFF" w:tentative="1">
      <w:start w:val="1"/>
      <w:numFmt w:val="bullet"/>
      <w:lvlText w:val=""/>
      <w:lvlJc w:val="left"/>
      <w:pPr>
        <w:tabs>
          <w:tab w:val="num" w:pos="2200"/>
        </w:tabs>
        <w:ind w:left="2200" w:hanging="360"/>
      </w:pPr>
      <w:rPr>
        <w:rFonts w:ascii="Symbol" w:hAnsi="Symbol" w:hint="default"/>
      </w:rPr>
    </w:lvl>
    <w:lvl w:ilvl="4" w:tplc="FFFFFFFF" w:tentative="1">
      <w:start w:val="1"/>
      <w:numFmt w:val="bullet"/>
      <w:lvlText w:val="o"/>
      <w:lvlJc w:val="left"/>
      <w:pPr>
        <w:tabs>
          <w:tab w:val="num" w:pos="2920"/>
        </w:tabs>
        <w:ind w:left="2920" w:hanging="360"/>
      </w:pPr>
      <w:rPr>
        <w:rFonts w:ascii="Courier New" w:hAnsi="Courier New" w:cs="Courier New" w:hint="default"/>
      </w:rPr>
    </w:lvl>
    <w:lvl w:ilvl="5" w:tplc="FFFFFFFF" w:tentative="1">
      <w:start w:val="1"/>
      <w:numFmt w:val="bullet"/>
      <w:lvlText w:val=""/>
      <w:lvlJc w:val="left"/>
      <w:pPr>
        <w:tabs>
          <w:tab w:val="num" w:pos="3640"/>
        </w:tabs>
        <w:ind w:left="3640" w:hanging="360"/>
      </w:pPr>
      <w:rPr>
        <w:rFonts w:ascii="Wingdings" w:hAnsi="Wingdings" w:hint="default"/>
      </w:rPr>
    </w:lvl>
    <w:lvl w:ilvl="6" w:tplc="FFFFFFFF" w:tentative="1">
      <w:start w:val="1"/>
      <w:numFmt w:val="bullet"/>
      <w:lvlText w:val=""/>
      <w:lvlJc w:val="left"/>
      <w:pPr>
        <w:tabs>
          <w:tab w:val="num" w:pos="4360"/>
        </w:tabs>
        <w:ind w:left="4360" w:hanging="360"/>
      </w:pPr>
      <w:rPr>
        <w:rFonts w:ascii="Symbol" w:hAnsi="Symbol" w:hint="default"/>
      </w:rPr>
    </w:lvl>
    <w:lvl w:ilvl="7" w:tplc="FFFFFFFF" w:tentative="1">
      <w:start w:val="1"/>
      <w:numFmt w:val="bullet"/>
      <w:lvlText w:val="o"/>
      <w:lvlJc w:val="left"/>
      <w:pPr>
        <w:tabs>
          <w:tab w:val="num" w:pos="5080"/>
        </w:tabs>
        <w:ind w:left="5080" w:hanging="360"/>
      </w:pPr>
      <w:rPr>
        <w:rFonts w:ascii="Courier New" w:hAnsi="Courier New" w:cs="Courier New" w:hint="default"/>
      </w:rPr>
    </w:lvl>
    <w:lvl w:ilvl="8" w:tplc="FFFFFFFF" w:tentative="1">
      <w:start w:val="1"/>
      <w:numFmt w:val="bullet"/>
      <w:lvlText w:val=""/>
      <w:lvlJc w:val="left"/>
      <w:pPr>
        <w:tabs>
          <w:tab w:val="num" w:pos="5800"/>
        </w:tabs>
        <w:ind w:left="5800" w:hanging="360"/>
      </w:pPr>
      <w:rPr>
        <w:rFonts w:ascii="Wingdings" w:hAnsi="Wingdings" w:hint="default"/>
      </w:rPr>
    </w:lvl>
  </w:abstractNum>
  <w:abstractNum w:abstractNumId="3">
    <w:nsid w:val="052F7CD0"/>
    <w:multiLevelType w:val="hybridMultilevel"/>
    <w:tmpl w:val="91608B2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541F76"/>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5">
    <w:nsid w:val="09680579"/>
    <w:multiLevelType w:val="hybridMultilevel"/>
    <w:tmpl w:val="FF02A5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C42FC"/>
    <w:multiLevelType w:val="hybridMultilevel"/>
    <w:tmpl w:val="28B40C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67A5B"/>
    <w:multiLevelType w:val="hybridMultilevel"/>
    <w:tmpl w:val="7550FD2C"/>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1EF4247"/>
    <w:multiLevelType w:val="hybridMultilevel"/>
    <w:tmpl w:val="D2582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FC2BE1"/>
    <w:multiLevelType w:val="hybridMultilevel"/>
    <w:tmpl w:val="31E4526E"/>
    <w:lvl w:ilvl="0" w:tplc="3C480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27489B"/>
    <w:multiLevelType w:val="hybridMultilevel"/>
    <w:tmpl w:val="56AA1EE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3F755A"/>
    <w:multiLevelType w:val="hybridMultilevel"/>
    <w:tmpl w:val="A5D0AE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60416E"/>
    <w:multiLevelType w:val="hybridMultilevel"/>
    <w:tmpl w:val="A37E85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C662B91"/>
    <w:multiLevelType w:val="hybridMultilevel"/>
    <w:tmpl w:val="0764D5C4"/>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1C6607E"/>
    <w:multiLevelType w:val="multilevel"/>
    <w:tmpl w:val="50CCFC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233A2AD1"/>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18">
    <w:nsid w:val="23953337"/>
    <w:multiLevelType w:val="hybridMultilevel"/>
    <w:tmpl w:val="2268396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95C5B90"/>
    <w:multiLevelType w:val="hybridMultilevel"/>
    <w:tmpl w:val="D8829008"/>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E5F3ECD"/>
    <w:multiLevelType w:val="hybridMultilevel"/>
    <w:tmpl w:val="F4945F22"/>
    <w:lvl w:ilvl="0" w:tplc="DAE89E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2FD6527E"/>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22">
    <w:nsid w:val="32C91068"/>
    <w:multiLevelType w:val="hybridMultilevel"/>
    <w:tmpl w:val="21C4C97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6019DE"/>
    <w:multiLevelType w:val="hybridMultilevel"/>
    <w:tmpl w:val="50CCFC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4596F20"/>
    <w:multiLevelType w:val="hybridMultilevel"/>
    <w:tmpl w:val="E552066C"/>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5763D09"/>
    <w:multiLevelType w:val="hybridMultilevel"/>
    <w:tmpl w:val="60D0A058"/>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nsid w:val="3AF33A88"/>
    <w:multiLevelType w:val="hybridMultilevel"/>
    <w:tmpl w:val="A7D29D76"/>
    <w:lvl w:ilvl="0" w:tplc="268C2876">
      <w:start w:val="1"/>
      <w:numFmt w:val="decimal"/>
      <w:lvlText w:val="(%1)"/>
      <w:lvlJc w:val="left"/>
      <w:pPr>
        <w:tabs>
          <w:tab w:val="num" w:pos="3240"/>
        </w:tabs>
        <w:ind w:left="3240" w:hanging="360"/>
      </w:pPr>
      <w:rPr>
        <w:rFonts w:ascii="Times New Roman" w:hAnsi="Times New Roman" w:hint="default"/>
        <w:sz w:val="36"/>
      </w:rPr>
    </w:lvl>
    <w:lvl w:ilvl="1" w:tplc="04090011">
      <w:start w:val="1"/>
      <w:numFmt w:val="decimal"/>
      <w:lvlText w:val="%2)"/>
      <w:lvlJc w:val="left"/>
      <w:pPr>
        <w:tabs>
          <w:tab w:val="num" w:pos="2700"/>
        </w:tabs>
        <w:ind w:left="2700" w:hanging="360"/>
      </w:pPr>
      <w:rPr>
        <w:rFonts w:hint="default"/>
        <w:sz w:val="36"/>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43C93AE8"/>
    <w:multiLevelType w:val="hybridMultilevel"/>
    <w:tmpl w:val="91341B02"/>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4110872"/>
    <w:multiLevelType w:val="multilevel"/>
    <w:tmpl w:val="A5D0AE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5E65B91"/>
    <w:multiLevelType w:val="hybridMultilevel"/>
    <w:tmpl w:val="3F9E076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7195043"/>
    <w:multiLevelType w:val="hybridMultilevel"/>
    <w:tmpl w:val="35E4E98C"/>
    <w:lvl w:ilvl="0" w:tplc="5A526F10">
      <w:start w:val="1"/>
      <w:numFmt w:val="decimal"/>
      <w:lvlText w:val="(%1)"/>
      <w:lvlJc w:val="left"/>
      <w:pPr>
        <w:tabs>
          <w:tab w:val="num" w:pos="1800"/>
        </w:tabs>
        <w:ind w:left="1800" w:hanging="360"/>
      </w:pPr>
      <w:rPr>
        <w:rFonts w:hint="default"/>
      </w:rPr>
    </w:lvl>
    <w:lvl w:ilvl="1" w:tplc="66B2366A">
      <w:start w:val="1"/>
      <w:numFmt w:val="decimal"/>
      <w:lvlText w:val="%2."/>
      <w:lvlJc w:val="left"/>
      <w:pPr>
        <w:tabs>
          <w:tab w:val="num" w:pos="3240"/>
        </w:tabs>
        <w:ind w:left="3240" w:hanging="720"/>
      </w:pPr>
      <w:rPr>
        <w:rFonts w:ascii="Times New Roman" w:eastAsia="Times New Roman" w:hAnsi="Times New Roman" w:cs="Times New Roman"/>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47240629"/>
    <w:multiLevelType w:val="hybridMultilevel"/>
    <w:tmpl w:val="66589A74"/>
    <w:lvl w:ilvl="0" w:tplc="32CAF4F4">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nsid w:val="47677A1A"/>
    <w:multiLevelType w:val="hybridMultilevel"/>
    <w:tmpl w:val="F1AA9D0E"/>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CB2F36"/>
    <w:multiLevelType w:val="hybridMultilevel"/>
    <w:tmpl w:val="B7E6A44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34">
    <w:nsid w:val="4CBE66EB"/>
    <w:multiLevelType w:val="hybridMultilevel"/>
    <w:tmpl w:val="34FCF2D0"/>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DCB2E5B"/>
    <w:multiLevelType w:val="hybridMultilevel"/>
    <w:tmpl w:val="DC80C4E8"/>
    <w:lvl w:ilvl="0" w:tplc="0409000F">
      <w:start w:val="19"/>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38">
    <w:nsid w:val="53564D77"/>
    <w:multiLevelType w:val="hybridMultilevel"/>
    <w:tmpl w:val="1C648046"/>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5903D4F"/>
    <w:multiLevelType w:val="hybridMultilevel"/>
    <w:tmpl w:val="A5E4A120"/>
    <w:lvl w:ilvl="0" w:tplc="56DC8FDA">
      <w:start w:val="152"/>
      <w:numFmt w:val="bullet"/>
      <w:lvlText w:val="□"/>
      <w:lvlJc w:val="left"/>
      <w:pPr>
        <w:tabs>
          <w:tab w:val="num" w:pos="1354"/>
        </w:tabs>
        <w:ind w:left="135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58BE42CF"/>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41">
    <w:nsid w:val="594B5F58"/>
    <w:multiLevelType w:val="hybridMultilevel"/>
    <w:tmpl w:val="243089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CFC7209"/>
    <w:multiLevelType w:val="hybridMultilevel"/>
    <w:tmpl w:val="464AD72E"/>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65E613B"/>
    <w:multiLevelType w:val="hybridMultilevel"/>
    <w:tmpl w:val="BD585114"/>
    <w:lvl w:ilvl="0" w:tplc="3C480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91F22A3"/>
    <w:multiLevelType w:val="hybridMultilevel"/>
    <w:tmpl w:val="4092955A"/>
    <w:lvl w:ilvl="0" w:tplc="2D323D4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3A70E81"/>
    <w:multiLevelType w:val="hybridMultilevel"/>
    <w:tmpl w:val="2CF04B1C"/>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831081"/>
    <w:multiLevelType w:val="hybridMultilevel"/>
    <w:tmpl w:val="558EC452"/>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3A86A15E">
      <w:start w:val="1"/>
      <w:numFmt w:val="decimal"/>
      <w:lvlText w:val="(%3)"/>
      <w:lvlJc w:val="left"/>
      <w:pPr>
        <w:tabs>
          <w:tab w:val="num" w:pos="1800"/>
        </w:tabs>
        <w:ind w:left="180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4D56EA0"/>
    <w:multiLevelType w:val="hybridMultilevel"/>
    <w:tmpl w:val="A5D2E232"/>
    <w:lvl w:ilvl="0" w:tplc="6A8E6A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6"/>
  </w:num>
  <w:num w:numId="2">
    <w:abstractNumId w:val="12"/>
  </w:num>
  <w:num w:numId="3">
    <w:abstractNumId w:val="30"/>
  </w:num>
  <w:num w:numId="4">
    <w:abstractNumId w:val="20"/>
  </w:num>
  <w:num w:numId="5">
    <w:abstractNumId w:val="47"/>
  </w:num>
  <w:num w:numId="6">
    <w:abstractNumId w:val="27"/>
  </w:num>
  <w:num w:numId="7">
    <w:abstractNumId w:val="7"/>
  </w:num>
  <w:num w:numId="8">
    <w:abstractNumId w:val="1"/>
  </w:num>
  <w:num w:numId="9">
    <w:abstractNumId w:val="38"/>
  </w:num>
  <w:num w:numId="10">
    <w:abstractNumId w:val="18"/>
  </w:num>
  <w:num w:numId="11">
    <w:abstractNumId w:val="24"/>
  </w:num>
  <w:num w:numId="12">
    <w:abstractNumId w:val="19"/>
  </w:num>
  <w:num w:numId="13">
    <w:abstractNumId w:val="29"/>
  </w:num>
  <w:num w:numId="14">
    <w:abstractNumId w:val="34"/>
  </w:num>
  <w:num w:numId="15">
    <w:abstractNumId w:val="15"/>
  </w:num>
  <w:num w:numId="16">
    <w:abstractNumId w:val="44"/>
  </w:num>
  <w:num w:numId="17">
    <w:abstractNumId w:val="22"/>
  </w:num>
  <w:num w:numId="18">
    <w:abstractNumId w:val="32"/>
  </w:num>
  <w:num w:numId="19">
    <w:abstractNumId w:val="45"/>
  </w:num>
  <w:num w:numId="20">
    <w:abstractNumId w:val="42"/>
  </w:num>
  <w:num w:numId="21">
    <w:abstractNumId w:val="46"/>
  </w:num>
  <w:num w:numId="22">
    <w:abstractNumId w:val="26"/>
  </w:num>
  <w:num w:numId="23">
    <w:abstractNumId w:val="11"/>
  </w:num>
  <w:num w:numId="24">
    <w:abstractNumId w:val="43"/>
  </w:num>
  <w:num w:numId="25">
    <w:abstractNumId w:val="9"/>
  </w:num>
  <w:num w:numId="26">
    <w:abstractNumId w:val="5"/>
  </w:num>
  <w:num w:numId="27">
    <w:abstractNumId w:val="2"/>
  </w:num>
  <w:num w:numId="28">
    <w:abstractNumId w:val="10"/>
  </w:num>
  <w:num w:numId="29">
    <w:abstractNumId w:val="37"/>
  </w:num>
  <w:num w:numId="30">
    <w:abstractNumId w:val="13"/>
  </w:num>
  <w:num w:numId="31">
    <w:abstractNumId w:val="39"/>
  </w:num>
  <w:num w:numId="32">
    <w:abstractNumId w:val="33"/>
  </w:num>
  <w:num w:numId="33">
    <w:abstractNumId w:val="8"/>
  </w:num>
  <w:num w:numId="34">
    <w:abstractNumId w:val="31"/>
  </w:num>
  <w:num w:numId="35">
    <w:abstractNumId w:val="23"/>
  </w:num>
  <w:num w:numId="36">
    <w:abstractNumId w:val="25"/>
  </w:num>
  <w:num w:numId="37">
    <w:abstractNumId w:val="6"/>
  </w:num>
  <w:num w:numId="38">
    <w:abstractNumId w:val="21"/>
  </w:num>
  <w:num w:numId="39">
    <w:abstractNumId w:val="4"/>
  </w:num>
  <w:num w:numId="40">
    <w:abstractNumId w:val="17"/>
  </w:num>
  <w:num w:numId="41">
    <w:abstractNumId w:val="40"/>
  </w:num>
  <w:num w:numId="42">
    <w:abstractNumId w:val="16"/>
  </w:num>
  <w:num w:numId="43">
    <w:abstractNumId w:val="28"/>
  </w:num>
  <w:num w:numId="44">
    <w:abstractNumId w:val="3"/>
  </w:num>
  <w:num w:numId="45">
    <w:abstractNumId w:val="35"/>
  </w:num>
  <w:num w:numId="46">
    <w:abstractNumId w:val="41"/>
  </w:num>
  <w:num w:numId="47">
    <w:abstractNumId w:val="1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64"/>
    <w:rsid w:val="00036E95"/>
    <w:rsid w:val="00067DDE"/>
    <w:rsid w:val="000C425F"/>
    <w:rsid w:val="00147069"/>
    <w:rsid w:val="00195491"/>
    <w:rsid w:val="001C2073"/>
    <w:rsid w:val="001C4E66"/>
    <w:rsid w:val="001C5B8A"/>
    <w:rsid w:val="001F6C5B"/>
    <w:rsid w:val="00256490"/>
    <w:rsid w:val="00262C60"/>
    <w:rsid w:val="002A0C6C"/>
    <w:rsid w:val="00323CD8"/>
    <w:rsid w:val="0033041E"/>
    <w:rsid w:val="003524DC"/>
    <w:rsid w:val="00385B52"/>
    <w:rsid w:val="003C00DF"/>
    <w:rsid w:val="003E65E7"/>
    <w:rsid w:val="00404A16"/>
    <w:rsid w:val="004745FB"/>
    <w:rsid w:val="004B438A"/>
    <w:rsid w:val="004D6DFE"/>
    <w:rsid w:val="00550976"/>
    <w:rsid w:val="00567495"/>
    <w:rsid w:val="005F4D1B"/>
    <w:rsid w:val="006121E2"/>
    <w:rsid w:val="00634945"/>
    <w:rsid w:val="006B3C8F"/>
    <w:rsid w:val="006E730D"/>
    <w:rsid w:val="00706B87"/>
    <w:rsid w:val="00712FED"/>
    <w:rsid w:val="00734281"/>
    <w:rsid w:val="007917DE"/>
    <w:rsid w:val="007F2C9C"/>
    <w:rsid w:val="00814852"/>
    <w:rsid w:val="008577D1"/>
    <w:rsid w:val="008A6863"/>
    <w:rsid w:val="008D7EF1"/>
    <w:rsid w:val="00942456"/>
    <w:rsid w:val="00960090"/>
    <w:rsid w:val="009657FE"/>
    <w:rsid w:val="00985376"/>
    <w:rsid w:val="009B5B88"/>
    <w:rsid w:val="009B69A0"/>
    <w:rsid w:val="009D3409"/>
    <w:rsid w:val="00A45163"/>
    <w:rsid w:val="00AB3C28"/>
    <w:rsid w:val="00B52DFB"/>
    <w:rsid w:val="00BD4CBA"/>
    <w:rsid w:val="00BE2B5B"/>
    <w:rsid w:val="00C158ED"/>
    <w:rsid w:val="00C35064"/>
    <w:rsid w:val="00CB1173"/>
    <w:rsid w:val="00CB663B"/>
    <w:rsid w:val="00CE5746"/>
    <w:rsid w:val="00CE6A32"/>
    <w:rsid w:val="00D33451"/>
    <w:rsid w:val="00D847FA"/>
    <w:rsid w:val="00E841F7"/>
    <w:rsid w:val="00EB21C7"/>
    <w:rsid w:val="00EF3EB9"/>
    <w:rsid w:val="00F22D70"/>
    <w:rsid w:val="00F60774"/>
    <w:rsid w:val="00FD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ind w:left="663"/>
      <w:outlineLvl w:val="0"/>
    </w:pPr>
    <w:rPr>
      <w:rFonts w:ascii="Times New Roman" w:hAnsi="Times New Roman"/>
      <w:sz w:val="24"/>
      <w:u w:val="single"/>
    </w:rPr>
  </w:style>
  <w:style w:type="paragraph" w:styleId="Heading2">
    <w:name w:val="heading 2"/>
    <w:basedOn w:val="Normal"/>
    <w:next w:val="Normal"/>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pPr>
      <w:spacing w:after="120"/>
      <w:ind w:left="360"/>
    </w:pPr>
  </w:style>
  <w:style w:type="paragraph" w:customStyle="1" w:styleId="Style1">
    <w:name w:val="Style1"/>
    <w:basedOn w:val="Normal"/>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pPr>
      <w:widowControl/>
      <w:autoSpaceDE/>
      <w:autoSpaceDN/>
      <w:adjustRightInd/>
    </w:pPr>
    <w:rPr>
      <w:rFonts w:ascii="Times New Roman" w:hAnsi="Times New Roman"/>
      <w:b/>
      <w:szCs w:val="20"/>
    </w:rPr>
  </w:style>
  <w:style w:type="paragraph" w:customStyle="1" w:styleId="Level2">
    <w:name w:val="Level 2"/>
    <w:basedOn w:val="Normal"/>
    <w:pPr>
      <w:widowControl/>
      <w:autoSpaceDE/>
      <w:autoSpaceDN/>
      <w:adjustRightInd/>
    </w:pPr>
    <w:rPr>
      <w:rFonts w:ascii="Times New Roman" w:hAnsi="Times New Roman"/>
      <w:sz w:val="24"/>
      <w:szCs w:val="20"/>
    </w:rPr>
  </w:style>
  <w:style w:type="character" w:customStyle="1" w:styleId="annotationr">
    <w:name w:val="annotation r"/>
    <w:rPr>
      <w:sz w:val="16"/>
    </w:rPr>
  </w:style>
  <w:style w:type="character" w:customStyle="1" w:styleId="QuickFormat2">
    <w:name w:val="QuickFormat2"/>
    <w:rPr>
      <w:rFonts w:ascii="Arial" w:hAnsi="Arial"/>
      <w:b/>
      <w:sz w:val="20"/>
    </w:rPr>
  </w:style>
  <w:style w:type="paragraph" w:customStyle="1" w:styleId="HangingIndent">
    <w:name w:val="Hanging Indent"/>
    <w:basedOn w:val="Normal"/>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pPr>
      <w:widowControl/>
      <w:autoSpaceDE/>
      <w:autoSpaceDN/>
      <w:adjustRightInd/>
      <w:ind w:left="576"/>
    </w:pPr>
    <w:rPr>
      <w:rFonts w:ascii="Times New Roman" w:hAnsi="Times New Roman"/>
      <w:szCs w:val="20"/>
    </w:rPr>
  </w:style>
  <w:style w:type="paragraph" w:customStyle="1" w:styleId="Rational">
    <w:name w:val="Rational"/>
    <w:basedOn w:val="Normal"/>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pPr>
      <w:widowControl/>
      <w:autoSpaceDE/>
      <w:autoSpaceDN/>
      <w:adjustRightInd/>
    </w:pPr>
    <w:rPr>
      <w:rFonts w:ascii="Times New Roman" w:hAnsi="Times New Roman"/>
      <w:sz w:val="32"/>
      <w:szCs w:val="20"/>
    </w:rPr>
  </w:style>
  <w:style w:type="paragraph" w:styleId="TOC1">
    <w:name w:val="toc 1"/>
    <w:basedOn w:val="Normal"/>
    <w:next w:val="Normal"/>
    <w:autoRedefine/>
    <w:semiHidden/>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5">
    <w:name w:val="OmniPage #5"/>
    <w:basedOn w:val="Normal"/>
    <w:pPr>
      <w:widowControl/>
      <w:tabs>
        <w:tab w:val="right" w:pos="6071"/>
      </w:tabs>
      <w:autoSpaceDE/>
      <w:autoSpaceDN/>
      <w:adjustRightInd/>
    </w:pPr>
    <w:rPr>
      <w:noProof/>
      <w:szCs w:val="20"/>
    </w:rPr>
  </w:style>
  <w:style w:type="character" w:styleId="Strong">
    <w:name w:val="Strong"/>
    <w:qFormat/>
    <w:rPr>
      <w:b/>
      <w:bCs/>
    </w:rPr>
  </w:style>
  <w:style w:type="paragraph" w:customStyle="1" w:styleId="Quick">
    <w:name w:val="Quick _"/>
    <w:basedOn w:val="Normal"/>
    <w:pPr>
      <w:ind w:left="1080" w:hanging="360"/>
    </w:pPr>
    <w:rPr>
      <w:rFonts w:ascii="Times New Roman" w:hAnsi="Times New Roman"/>
      <w:sz w:val="24"/>
    </w:rPr>
  </w:style>
  <w:style w:type="paragraph" w:customStyle="1" w:styleId="Style0">
    <w:name w:val="Style0"/>
    <w:pPr>
      <w:autoSpaceDE w:val="0"/>
      <w:autoSpaceDN w:val="0"/>
      <w:adjustRightInd w:val="0"/>
    </w:pPr>
    <w:rPr>
      <w:rFonts w:ascii="Arial" w:hAnsi="Arial"/>
      <w:sz w:val="24"/>
      <w:szCs w:val="24"/>
    </w:rPr>
  </w:style>
  <w:style w:type="paragraph" w:customStyle="1" w:styleId="Default">
    <w:name w:val="Default"/>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Pr>
      <w:rFonts w:ascii="Times New Roman" w:eastAsia="Times New Roman" w:hAnsi="Times New Roman" w:cs="Times New Roman"/>
      <w:color w:val="auto"/>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oL11-9">
    <w:name w:val="Q No L1 1-9"/>
    <w:basedOn w:val="Normal"/>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pPr>
      <w:autoSpaceDE/>
      <w:autoSpaceDN/>
      <w:adjustRightInd/>
    </w:pPr>
    <w:rPr>
      <w:rFonts w:ascii="Times New Roman" w:hAnsi="Times New Roman"/>
      <w:b/>
      <w:szCs w:val="20"/>
    </w:rPr>
  </w:style>
  <w:style w:type="paragraph" w:customStyle="1" w:styleId="QNoL110">
    <w:name w:val="Q No L1 10+"/>
    <w:basedOn w:val="Normal"/>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customStyle="1" w:styleId="CharCharCharCharCharCharCharCharChar">
    <w:name w:val="Char Char Char Char Char Char Char Char Char"/>
    <w:basedOn w:val="Normal"/>
    <w:semiHidden/>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rsid w:val="002A0C6C"/>
    <w:rPr>
      <w:sz w:val="16"/>
      <w:szCs w:val="16"/>
    </w:rPr>
  </w:style>
  <w:style w:type="paragraph" w:styleId="CommentText">
    <w:name w:val="annotation text"/>
    <w:basedOn w:val="Normal"/>
    <w:link w:val="CommentTextChar"/>
    <w:rsid w:val="002A0C6C"/>
    <w:rPr>
      <w:szCs w:val="20"/>
    </w:rPr>
  </w:style>
  <w:style w:type="character" w:customStyle="1" w:styleId="CommentTextChar">
    <w:name w:val="Comment Text Char"/>
    <w:link w:val="CommentText"/>
    <w:rsid w:val="002A0C6C"/>
    <w:rPr>
      <w:rFonts w:ascii="Arial" w:hAnsi="Arial"/>
    </w:rPr>
  </w:style>
  <w:style w:type="paragraph" w:styleId="CommentSubject">
    <w:name w:val="annotation subject"/>
    <w:basedOn w:val="CommentText"/>
    <w:next w:val="CommentText"/>
    <w:link w:val="CommentSubjectChar"/>
    <w:rsid w:val="002A0C6C"/>
    <w:rPr>
      <w:b/>
      <w:bCs/>
    </w:rPr>
  </w:style>
  <w:style w:type="character" w:customStyle="1" w:styleId="CommentSubjectChar">
    <w:name w:val="Comment Subject Char"/>
    <w:link w:val="CommentSubject"/>
    <w:rsid w:val="002A0C6C"/>
    <w:rPr>
      <w:rFonts w:ascii="Arial" w:hAnsi="Arial"/>
      <w:b/>
      <w:bCs/>
    </w:rPr>
  </w:style>
  <w:style w:type="paragraph" w:customStyle="1" w:styleId="Style">
    <w:name w:val="Style"/>
    <w:rsid w:val="001C5B8A"/>
    <w:pPr>
      <w:widowControl w:val="0"/>
      <w:autoSpaceDE w:val="0"/>
      <w:autoSpaceDN w:val="0"/>
      <w:adjustRightInd w:val="0"/>
    </w:pPr>
    <w:rPr>
      <w:rFonts w:ascii="Arial" w:hAnsi="Arial" w:cs="Arial"/>
      <w:sz w:val="24"/>
      <w:szCs w:val="24"/>
    </w:rPr>
  </w:style>
  <w:style w:type="character" w:customStyle="1" w:styleId="style11">
    <w:name w:val="style11"/>
    <w:rsid w:val="001C5B8A"/>
    <w:rPr>
      <w:rFonts w:ascii="Arial" w:hAnsi="Arial" w:cs="Arial" w:hint="default"/>
      <w:color w:val="000000"/>
      <w:spacing w:val="5"/>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ind w:left="663"/>
      <w:outlineLvl w:val="0"/>
    </w:pPr>
    <w:rPr>
      <w:rFonts w:ascii="Times New Roman" w:hAnsi="Times New Roman"/>
      <w:sz w:val="24"/>
      <w:u w:val="single"/>
    </w:rPr>
  </w:style>
  <w:style w:type="paragraph" w:styleId="Heading2">
    <w:name w:val="heading 2"/>
    <w:basedOn w:val="Normal"/>
    <w:next w:val="Normal"/>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pPr>
      <w:spacing w:after="120"/>
      <w:ind w:left="360"/>
    </w:pPr>
  </w:style>
  <w:style w:type="paragraph" w:customStyle="1" w:styleId="Style1">
    <w:name w:val="Style1"/>
    <w:basedOn w:val="Normal"/>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pPr>
      <w:widowControl/>
      <w:autoSpaceDE/>
      <w:autoSpaceDN/>
      <w:adjustRightInd/>
    </w:pPr>
    <w:rPr>
      <w:rFonts w:ascii="Times New Roman" w:hAnsi="Times New Roman"/>
      <w:b/>
      <w:szCs w:val="20"/>
    </w:rPr>
  </w:style>
  <w:style w:type="paragraph" w:customStyle="1" w:styleId="Level2">
    <w:name w:val="Level 2"/>
    <w:basedOn w:val="Normal"/>
    <w:pPr>
      <w:widowControl/>
      <w:autoSpaceDE/>
      <w:autoSpaceDN/>
      <w:adjustRightInd/>
    </w:pPr>
    <w:rPr>
      <w:rFonts w:ascii="Times New Roman" w:hAnsi="Times New Roman"/>
      <w:sz w:val="24"/>
      <w:szCs w:val="20"/>
    </w:rPr>
  </w:style>
  <w:style w:type="character" w:customStyle="1" w:styleId="annotationr">
    <w:name w:val="annotation r"/>
    <w:rPr>
      <w:sz w:val="16"/>
    </w:rPr>
  </w:style>
  <w:style w:type="character" w:customStyle="1" w:styleId="QuickFormat2">
    <w:name w:val="QuickFormat2"/>
    <w:rPr>
      <w:rFonts w:ascii="Arial" w:hAnsi="Arial"/>
      <w:b/>
      <w:sz w:val="20"/>
    </w:rPr>
  </w:style>
  <w:style w:type="paragraph" w:customStyle="1" w:styleId="HangingIndent">
    <w:name w:val="Hanging Indent"/>
    <w:basedOn w:val="Normal"/>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pPr>
      <w:widowControl/>
      <w:autoSpaceDE/>
      <w:autoSpaceDN/>
      <w:adjustRightInd/>
      <w:ind w:left="576"/>
    </w:pPr>
    <w:rPr>
      <w:rFonts w:ascii="Times New Roman" w:hAnsi="Times New Roman"/>
      <w:szCs w:val="20"/>
    </w:rPr>
  </w:style>
  <w:style w:type="paragraph" w:customStyle="1" w:styleId="Rational">
    <w:name w:val="Rational"/>
    <w:basedOn w:val="Normal"/>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pPr>
      <w:widowControl/>
      <w:autoSpaceDE/>
      <w:autoSpaceDN/>
      <w:adjustRightInd/>
    </w:pPr>
    <w:rPr>
      <w:rFonts w:ascii="Times New Roman" w:hAnsi="Times New Roman"/>
      <w:sz w:val="32"/>
      <w:szCs w:val="20"/>
    </w:rPr>
  </w:style>
  <w:style w:type="paragraph" w:styleId="TOC1">
    <w:name w:val="toc 1"/>
    <w:basedOn w:val="Normal"/>
    <w:next w:val="Normal"/>
    <w:autoRedefine/>
    <w:semiHidden/>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5">
    <w:name w:val="OmniPage #5"/>
    <w:basedOn w:val="Normal"/>
    <w:pPr>
      <w:widowControl/>
      <w:tabs>
        <w:tab w:val="right" w:pos="6071"/>
      </w:tabs>
      <w:autoSpaceDE/>
      <w:autoSpaceDN/>
      <w:adjustRightInd/>
    </w:pPr>
    <w:rPr>
      <w:noProof/>
      <w:szCs w:val="20"/>
    </w:rPr>
  </w:style>
  <w:style w:type="character" w:styleId="Strong">
    <w:name w:val="Strong"/>
    <w:qFormat/>
    <w:rPr>
      <w:b/>
      <w:bCs/>
    </w:rPr>
  </w:style>
  <w:style w:type="paragraph" w:customStyle="1" w:styleId="Quick">
    <w:name w:val="Quick _"/>
    <w:basedOn w:val="Normal"/>
    <w:pPr>
      <w:ind w:left="1080" w:hanging="360"/>
    </w:pPr>
    <w:rPr>
      <w:rFonts w:ascii="Times New Roman" w:hAnsi="Times New Roman"/>
      <w:sz w:val="24"/>
    </w:rPr>
  </w:style>
  <w:style w:type="paragraph" w:customStyle="1" w:styleId="Style0">
    <w:name w:val="Style0"/>
    <w:pPr>
      <w:autoSpaceDE w:val="0"/>
      <w:autoSpaceDN w:val="0"/>
      <w:adjustRightInd w:val="0"/>
    </w:pPr>
    <w:rPr>
      <w:rFonts w:ascii="Arial" w:hAnsi="Arial"/>
      <w:sz w:val="24"/>
      <w:szCs w:val="24"/>
    </w:rPr>
  </w:style>
  <w:style w:type="paragraph" w:customStyle="1" w:styleId="Default">
    <w:name w:val="Default"/>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Pr>
      <w:rFonts w:ascii="Times New Roman" w:eastAsia="Times New Roman" w:hAnsi="Times New Roman" w:cs="Times New Roman"/>
      <w:color w:val="auto"/>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oL11-9">
    <w:name w:val="Q No L1 1-9"/>
    <w:basedOn w:val="Normal"/>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pPr>
      <w:autoSpaceDE/>
      <w:autoSpaceDN/>
      <w:adjustRightInd/>
    </w:pPr>
    <w:rPr>
      <w:rFonts w:ascii="Times New Roman" w:hAnsi="Times New Roman"/>
      <w:b/>
      <w:szCs w:val="20"/>
    </w:rPr>
  </w:style>
  <w:style w:type="paragraph" w:customStyle="1" w:styleId="QNoL110">
    <w:name w:val="Q No L1 10+"/>
    <w:basedOn w:val="Normal"/>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customStyle="1" w:styleId="CharCharCharCharCharCharCharCharChar">
    <w:name w:val="Char Char Char Char Char Char Char Char Char"/>
    <w:basedOn w:val="Normal"/>
    <w:semiHidden/>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rsid w:val="002A0C6C"/>
    <w:rPr>
      <w:sz w:val="16"/>
      <w:szCs w:val="16"/>
    </w:rPr>
  </w:style>
  <w:style w:type="paragraph" w:styleId="CommentText">
    <w:name w:val="annotation text"/>
    <w:basedOn w:val="Normal"/>
    <w:link w:val="CommentTextChar"/>
    <w:rsid w:val="002A0C6C"/>
    <w:rPr>
      <w:szCs w:val="20"/>
    </w:rPr>
  </w:style>
  <w:style w:type="character" w:customStyle="1" w:styleId="CommentTextChar">
    <w:name w:val="Comment Text Char"/>
    <w:link w:val="CommentText"/>
    <w:rsid w:val="002A0C6C"/>
    <w:rPr>
      <w:rFonts w:ascii="Arial" w:hAnsi="Arial"/>
    </w:rPr>
  </w:style>
  <w:style w:type="paragraph" w:styleId="CommentSubject">
    <w:name w:val="annotation subject"/>
    <w:basedOn w:val="CommentText"/>
    <w:next w:val="CommentText"/>
    <w:link w:val="CommentSubjectChar"/>
    <w:rsid w:val="002A0C6C"/>
    <w:rPr>
      <w:b/>
      <w:bCs/>
    </w:rPr>
  </w:style>
  <w:style w:type="character" w:customStyle="1" w:styleId="CommentSubjectChar">
    <w:name w:val="Comment Subject Char"/>
    <w:link w:val="CommentSubject"/>
    <w:rsid w:val="002A0C6C"/>
    <w:rPr>
      <w:rFonts w:ascii="Arial" w:hAnsi="Arial"/>
      <w:b/>
      <w:bCs/>
    </w:rPr>
  </w:style>
  <w:style w:type="paragraph" w:customStyle="1" w:styleId="Style">
    <w:name w:val="Style"/>
    <w:rsid w:val="001C5B8A"/>
    <w:pPr>
      <w:widowControl w:val="0"/>
      <w:autoSpaceDE w:val="0"/>
      <w:autoSpaceDN w:val="0"/>
      <w:adjustRightInd w:val="0"/>
    </w:pPr>
    <w:rPr>
      <w:rFonts w:ascii="Arial" w:hAnsi="Arial" w:cs="Arial"/>
      <w:sz w:val="24"/>
      <w:szCs w:val="24"/>
    </w:rPr>
  </w:style>
  <w:style w:type="character" w:customStyle="1" w:styleId="style11">
    <w:name w:val="style11"/>
    <w:rsid w:val="001C5B8A"/>
    <w:rPr>
      <w:rFonts w:ascii="Arial" w:hAnsi="Arial" w:cs="Arial" w:hint="default"/>
      <w:color w:val="000000"/>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HHS memo on Focus Group - 10/17/2008</vt:lpstr>
    </vt:vector>
  </TitlesOfParts>
  <Company>NIH NICHD</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memo on Focus Group - 10/17/2008</dc:title>
  <dc:subject>HHS memo on Focus Group - 10/17/2008</dc:subject>
  <dc:creator>OD/USER</dc:creator>
  <cp:keywords>HHS memo on Focus Group - 10/17/2008</cp:keywords>
  <cp:lastModifiedBy>Currie, Mikia (NIH/OD) [E]</cp:lastModifiedBy>
  <cp:revision>7</cp:revision>
  <cp:lastPrinted>2014-02-28T16:40:00Z</cp:lastPrinted>
  <dcterms:created xsi:type="dcterms:W3CDTF">2014-09-23T15:30:00Z</dcterms:created>
  <dcterms:modified xsi:type="dcterms:W3CDTF">2014-11-17T18:41:00Z</dcterms:modified>
</cp:coreProperties>
</file>