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2D7" w:rsidRPr="001A7981" w:rsidRDefault="00DD62D7" w:rsidP="001A7981">
      <w:pPr>
        <w:spacing w:after="0"/>
        <w:rPr>
          <w:rFonts w:ascii="Times New Roman" w:hAnsi="Times New Roman"/>
          <w:b/>
          <w:bCs/>
        </w:rPr>
        <w:sectPr w:rsidR="00DD62D7" w:rsidRPr="001A7981" w:rsidSect="00DD62D7">
          <w:pgSz w:w="12240" w:h="15840"/>
          <w:pgMar w:top="1440" w:right="1440" w:bottom="1440" w:left="1440" w:header="720" w:footer="720" w:gutter="0"/>
          <w:pgNumType w:start="1"/>
          <w:cols w:space="720"/>
          <w:docGrid w:linePitch="360"/>
        </w:sectPr>
      </w:pPr>
      <w:r w:rsidRPr="001A7981">
        <w:rPr>
          <w:rFonts w:ascii="Times New Roman" w:hAnsi="Times New Roman"/>
          <w:b/>
          <w:bCs/>
          <w:sz w:val="32"/>
          <w:szCs w:val="32"/>
        </w:rPr>
        <w:t>Attachment 4</w:t>
      </w:r>
      <w:r w:rsidR="001A7981">
        <w:rPr>
          <w:rFonts w:ascii="Times New Roman" w:hAnsi="Times New Roman"/>
          <w:b/>
          <w:bCs/>
          <w:sz w:val="32"/>
          <w:szCs w:val="32"/>
        </w:rPr>
        <w:t>: SAMHSA Response to Original OMB Comments (3/3/2011)</w:t>
      </w:r>
    </w:p>
    <w:p w:rsidR="00A74905" w:rsidRDefault="00A74905" w:rsidP="00A743C0">
      <w:pPr>
        <w:spacing w:after="0"/>
        <w:jc w:val="center"/>
        <w:rPr>
          <w:b/>
          <w:bCs/>
        </w:rPr>
      </w:pPr>
      <w:r>
        <w:rPr>
          <w:b/>
          <w:bCs/>
        </w:rPr>
        <w:lastRenderedPageBreak/>
        <w:t>Evaluation</w:t>
      </w:r>
      <w:r w:rsidR="00273A25">
        <w:rPr>
          <w:b/>
          <w:bCs/>
        </w:rPr>
        <w:t xml:space="preserve"> of SAMHSA Homeless Programs</w:t>
      </w:r>
      <w:r>
        <w:rPr>
          <w:b/>
          <w:bCs/>
        </w:rPr>
        <w:t xml:space="preserve"> </w:t>
      </w:r>
    </w:p>
    <w:p w:rsidR="00A74905" w:rsidRDefault="00A74905" w:rsidP="00273A25">
      <w:pPr>
        <w:spacing w:after="0"/>
        <w:jc w:val="center"/>
        <w:rPr>
          <w:b/>
          <w:bCs/>
        </w:rPr>
      </w:pPr>
      <w:r>
        <w:rPr>
          <w:b/>
          <w:bCs/>
        </w:rPr>
        <w:t xml:space="preserve">Client </w:t>
      </w:r>
      <w:r w:rsidR="00273A25">
        <w:rPr>
          <w:b/>
          <w:bCs/>
        </w:rPr>
        <w:t>Interview</w:t>
      </w:r>
      <w:bookmarkStart w:id="0" w:name="_GoBack"/>
      <w:bookmarkEnd w:id="0"/>
      <w:r>
        <w:rPr>
          <w:b/>
          <w:bCs/>
        </w:rPr>
        <w:t xml:space="preserve"> and Stakeholder Survey </w:t>
      </w:r>
    </w:p>
    <w:p w:rsidR="008E497D" w:rsidRPr="00F25254" w:rsidRDefault="00AF4F26" w:rsidP="00A74905">
      <w:pPr>
        <w:spacing w:after="0"/>
        <w:jc w:val="center"/>
        <w:rPr>
          <w:b/>
          <w:bCs/>
        </w:rPr>
      </w:pPr>
      <w:r w:rsidRPr="00F25254">
        <w:rPr>
          <w:b/>
          <w:bCs/>
        </w:rPr>
        <w:t xml:space="preserve">Response to OMB </w:t>
      </w:r>
      <w:r w:rsidR="008E497D" w:rsidRPr="00F25254">
        <w:rPr>
          <w:b/>
          <w:bCs/>
        </w:rPr>
        <w:t xml:space="preserve">February </w:t>
      </w:r>
      <w:r w:rsidR="00A743C0">
        <w:rPr>
          <w:b/>
          <w:bCs/>
        </w:rPr>
        <w:t>22</w:t>
      </w:r>
      <w:r w:rsidR="008E497D" w:rsidRPr="00F25254">
        <w:rPr>
          <w:b/>
          <w:bCs/>
        </w:rPr>
        <w:t xml:space="preserve">, 2011 </w:t>
      </w:r>
      <w:r w:rsidR="00183B23">
        <w:rPr>
          <w:b/>
          <w:bCs/>
        </w:rPr>
        <w:t>Comments</w:t>
      </w:r>
      <w:r w:rsidR="00273A25">
        <w:rPr>
          <w:b/>
          <w:bCs/>
        </w:rPr>
        <w:t xml:space="preserve"> (Submitted March 3, 2011)</w:t>
      </w:r>
    </w:p>
    <w:p w:rsidR="00AF4F26" w:rsidRPr="00F25254" w:rsidRDefault="00AF4F26" w:rsidP="00AF4F26">
      <w:pPr>
        <w:spacing w:after="0"/>
        <w:jc w:val="center"/>
        <w:rPr>
          <w:b/>
          <w:bCs/>
        </w:rPr>
      </w:pPr>
    </w:p>
    <w:p w:rsidR="003D6CD9" w:rsidRPr="00F25254" w:rsidRDefault="003D6CD9" w:rsidP="003D6CD9">
      <w:pPr>
        <w:pStyle w:val="NoSpacing"/>
        <w:jc w:val="both"/>
        <w:rPr>
          <w:b/>
          <w:bCs/>
        </w:rPr>
      </w:pPr>
      <w:r w:rsidRPr="00F25254">
        <w:rPr>
          <w:b/>
          <w:bCs/>
        </w:rPr>
        <w:t>Summary Response</w:t>
      </w:r>
    </w:p>
    <w:p w:rsidR="003D6CD9" w:rsidRPr="00F25254" w:rsidRDefault="003D6CD9" w:rsidP="00183B23">
      <w:pPr>
        <w:pStyle w:val="NoSpacing"/>
        <w:jc w:val="both"/>
      </w:pPr>
      <w:r w:rsidRPr="00F25254">
        <w:t xml:space="preserve">The following is a response to OMB review comments received </w:t>
      </w:r>
      <w:r w:rsidRPr="00D86594">
        <w:t xml:space="preserve">on </w:t>
      </w:r>
      <w:r w:rsidR="00D86594">
        <w:t>February 22, 2011</w:t>
      </w:r>
      <w:r w:rsidRPr="00D86594">
        <w:t>,</w:t>
      </w:r>
      <w:r w:rsidRPr="00F25254">
        <w:t xml:space="preserve"> in response to the application for data collection for the Cross-Site Evaluation for the Grants to Benefit Homeless Individuals (GBHI) Program that was submitted </w:t>
      </w:r>
      <w:r w:rsidR="00D86594">
        <w:t>December 30, 2010</w:t>
      </w:r>
      <w:r w:rsidRPr="00D86594">
        <w:t>.</w:t>
      </w:r>
      <w:r w:rsidRPr="00F25254">
        <w:t xml:space="preserve"> We have listed each of the questions and comments </w:t>
      </w:r>
      <w:r w:rsidR="00836036">
        <w:t xml:space="preserve">in bold </w:t>
      </w:r>
      <w:r w:rsidRPr="00F25254">
        <w:t xml:space="preserve">and </w:t>
      </w:r>
      <w:r w:rsidR="004A7581" w:rsidRPr="00F25254">
        <w:t>provided</w:t>
      </w:r>
      <w:r w:rsidRPr="00F25254">
        <w:t xml:space="preserve"> our response. We also have attached</w:t>
      </w:r>
      <w:r w:rsidR="004A7581" w:rsidRPr="00F25254">
        <w:t>,</w:t>
      </w:r>
      <w:r w:rsidRPr="00F25254">
        <w:t xml:space="preserve"> in response to the reviewers’ requests</w:t>
      </w:r>
      <w:r w:rsidR="004A7581" w:rsidRPr="00F25254">
        <w:t xml:space="preserve">, </w:t>
      </w:r>
      <w:r w:rsidRPr="00F25254">
        <w:t xml:space="preserve">the baseline and 6-month client surveys amended to respond to reviewer comments and the IRB approvals for stakeholder, client and other data collection efforts.  </w:t>
      </w:r>
      <w:r w:rsidR="00183B23">
        <w:t>To aid in review of response, we begin with a brief summary response for each Comment.</w:t>
      </w:r>
    </w:p>
    <w:p w:rsidR="003D6CD9" w:rsidRPr="00F25254" w:rsidRDefault="003D6CD9" w:rsidP="003D6CD9">
      <w:pPr>
        <w:pStyle w:val="NoSpacing"/>
        <w:jc w:val="both"/>
      </w:pPr>
    </w:p>
    <w:p w:rsidR="003D6CD9" w:rsidRPr="00F25254" w:rsidRDefault="003D6CD9" w:rsidP="003D6CD9">
      <w:pPr>
        <w:pStyle w:val="NoSpacing"/>
        <w:jc w:val="both"/>
      </w:pPr>
    </w:p>
    <w:p w:rsidR="00183B23" w:rsidRDefault="003D6CD9" w:rsidP="00D86594">
      <w:pPr>
        <w:pStyle w:val="NoSpacing"/>
        <w:jc w:val="both"/>
      </w:pPr>
      <w:proofErr w:type="gramStart"/>
      <w:r w:rsidRPr="00F25254">
        <w:t xml:space="preserve">1. </w:t>
      </w:r>
      <w:r w:rsidRPr="00183B23">
        <w:rPr>
          <w:i/>
          <w:iCs/>
        </w:rPr>
        <w:t>SAMHSA GBHI program backgroun</w:t>
      </w:r>
      <w:r w:rsidR="00183B23">
        <w:rPr>
          <w:i/>
          <w:iCs/>
        </w:rPr>
        <w:t>d</w:t>
      </w:r>
      <w:r w:rsidRPr="00183B23">
        <w:rPr>
          <w:i/>
          <w:iCs/>
        </w:rPr>
        <w:t xml:space="preserve"> (Part A, Section 1)</w:t>
      </w:r>
      <w:r w:rsidRPr="00F25254">
        <w:t>.</w:t>
      </w:r>
      <w:proofErr w:type="gramEnd"/>
      <w:r w:rsidRPr="00F25254">
        <w:t xml:space="preserve"> We provide a background </w:t>
      </w:r>
      <w:r w:rsidR="00AB1D60" w:rsidRPr="00F25254">
        <w:t xml:space="preserve">of </w:t>
      </w:r>
      <w:r w:rsidRPr="00F25254">
        <w:t xml:space="preserve">the SAMHSA </w:t>
      </w:r>
      <w:r w:rsidR="00183B23">
        <w:t xml:space="preserve">GBHI </w:t>
      </w:r>
      <w:r w:rsidRPr="00F25254">
        <w:t xml:space="preserve">program. </w:t>
      </w:r>
    </w:p>
    <w:p w:rsidR="006F171C" w:rsidRDefault="006F171C" w:rsidP="00D86594">
      <w:pPr>
        <w:pStyle w:val="NoSpacing"/>
        <w:jc w:val="both"/>
      </w:pPr>
    </w:p>
    <w:p w:rsidR="006F171C" w:rsidRDefault="003D6CD9" w:rsidP="006F171C">
      <w:pPr>
        <w:pStyle w:val="NoSpacing"/>
        <w:jc w:val="both"/>
      </w:pPr>
      <w:proofErr w:type="gramStart"/>
      <w:r w:rsidRPr="00F25254">
        <w:t xml:space="preserve">2. </w:t>
      </w:r>
      <w:r w:rsidRPr="00183B23">
        <w:rPr>
          <w:i/>
          <w:iCs/>
        </w:rPr>
        <w:t>Evaluation design and “outcomes” (Part A, Section 2)</w:t>
      </w:r>
      <w:r w:rsidRPr="00F25254">
        <w:t>.</w:t>
      </w:r>
      <w:proofErr w:type="gramEnd"/>
      <w:r w:rsidRPr="00F25254">
        <w:t xml:space="preserve"> We describe the evaluation framework and SAMHSA’s intent for the evaluation to address SAMHSA’s questions in terms of this formative </w:t>
      </w:r>
      <w:r w:rsidR="003A1C4C" w:rsidRPr="00F25254">
        <w:t>evaluation</w:t>
      </w:r>
      <w:r w:rsidR="00183B23">
        <w:t>.</w:t>
      </w:r>
      <w:r w:rsidRPr="00F25254">
        <w:t xml:space="preserve"> </w:t>
      </w:r>
      <w:r w:rsidR="003A1C4C">
        <w:t>In brief, t</w:t>
      </w:r>
      <w:r w:rsidR="003A1C4C" w:rsidRPr="00F25254">
        <w:t xml:space="preserve">he purpose of the evaluation is formative with an intent to identify </w:t>
      </w:r>
      <w:r w:rsidR="003A1C4C">
        <w:t xml:space="preserve">and measure </w:t>
      </w:r>
      <w:r w:rsidR="003A1C4C" w:rsidRPr="00F25254">
        <w:t xml:space="preserve">post-program participation findings across the broad array of outcomes expected to be </w:t>
      </w:r>
      <w:r w:rsidR="003A1C4C">
        <w:t>influenced</w:t>
      </w:r>
      <w:r w:rsidR="003A1C4C" w:rsidRPr="00F25254">
        <w:t xml:space="preserve"> by the range of services provided by GBHI </w:t>
      </w:r>
      <w:r w:rsidR="00681837">
        <w:t>Grantees</w:t>
      </w:r>
      <w:r w:rsidR="003A1C4C" w:rsidRPr="00F25254">
        <w:t xml:space="preserve"> either directly or through referral. </w:t>
      </w:r>
      <w:r w:rsidR="00133049">
        <w:t xml:space="preserve">These are programmatic outcomes that are used to monitor the provision of services, understand the way services are tailored to clients with different needs and to better understand how the implemented service models match the models described in the efficacy and effectiveness literature. </w:t>
      </w:r>
    </w:p>
    <w:p w:rsidR="005D4CDC" w:rsidRDefault="005D4CDC" w:rsidP="006F171C">
      <w:pPr>
        <w:pStyle w:val="NoSpacing"/>
        <w:jc w:val="both"/>
      </w:pPr>
    </w:p>
    <w:p w:rsidR="003D6CD9" w:rsidRDefault="003D6CD9" w:rsidP="005D4CDC">
      <w:pPr>
        <w:pStyle w:val="NoSpacing"/>
        <w:jc w:val="both"/>
      </w:pPr>
      <w:r w:rsidRPr="00F25254">
        <w:t xml:space="preserve">3. </w:t>
      </w:r>
      <w:r w:rsidRPr="00183B23">
        <w:rPr>
          <w:i/>
          <w:iCs/>
        </w:rPr>
        <w:t>Web capabilities for stakeholder survey (</w:t>
      </w:r>
      <w:r w:rsidR="00AB1D60" w:rsidRPr="00183B23">
        <w:rPr>
          <w:i/>
          <w:iCs/>
        </w:rPr>
        <w:t xml:space="preserve">Part A, </w:t>
      </w:r>
      <w:r w:rsidRPr="00183B23">
        <w:rPr>
          <w:i/>
          <w:iCs/>
        </w:rPr>
        <w:t>Section 3</w:t>
      </w:r>
      <w:r w:rsidRPr="00F25254">
        <w:t xml:space="preserve">). We describe the extensive experience of the contractor in developing and administering similar </w:t>
      </w:r>
      <w:r w:rsidR="00183B23">
        <w:t xml:space="preserve">web </w:t>
      </w:r>
      <w:r w:rsidRPr="00F25254">
        <w:t>stakeholder surveys, past and potential response rates</w:t>
      </w:r>
      <w:r w:rsidR="00183B23">
        <w:t>, and grantee stakeholder feedback on</w:t>
      </w:r>
      <w:r w:rsidRPr="00F25254">
        <w:t xml:space="preserve"> the proposed stakeholder survey.</w:t>
      </w:r>
    </w:p>
    <w:p w:rsidR="006F171C" w:rsidRPr="00F25254" w:rsidRDefault="006F171C" w:rsidP="006F171C">
      <w:pPr>
        <w:pStyle w:val="NoSpacing"/>
        <w:jc w:val="both"/>
      </w:pPr>
    </w:p>
    <w:p w:rsidR="003D6CD9" w:rsidRDefault="003D6CD9" w:rsidP="003F2CAF">
      <w:pPr>
        <w:pStyle w:val="NoSpacing"/>
        <w:jc w:val="both"/>
      </w:pPr>
      <w:r w:rsidRPr="00F25254">
        <w:t xml:space="preserve">4. </w:t>
      </w:r>
      <w:r w:rsidRPr="00183B23">
        <w:rPr>
          <w:i/>
          <w:iCs/>
        </w:rPr>
        <w:t>Incentives</w:t>
      </w:r>
      <w:r w:rsidRPr="00F25254">
        <w:t xml:space="preserve"> (</w:t>
      </w:r>
      <w:r w:rsidR="00AB1D60" w:rsidRPr="00F25254">
        <w:rPr>
          <w:i/>
          <w:iCs/>
        </w:rPr>
        <w:t xml:space="preserve">Part A, </w:t>
      </w:r>
      <w:r w:rsidRPr="00F25254">
        <w:rPr>
          <w:i/>
          <w:iCs/>
        </w:rPr>
        <w:t>Section 9</w:t>
      </w:r>
      <w:r w:rsidRPr="00F25254">
        <w:t xml:space="preserve">). We </w:t>
      </w:r>
      <w:r w:rsidR="00AB1D60" w:rsidRPr="00F25254">
        <w:t xml:space="preserve">agree </w:t>
      </w:r>
      <w:r w:rsidRPr="00F25254">
        <w:t>that the incentives are cash-equivalent</w:t>
      </w:r>
      <w:r w:rsidR="0043617B">
        <w:t xml:space="preserve">. We note the language on the client interview consent of “non-cash </w:t>
      </w:r>
      <w:r w:rsidR="006B189A">
        <w:t>coupon</w:t>
      </w:r>
      <w:r w:rsidR="0043617B">
        <w:t>”</w:t>
      </w:r>
      <w:r w:rsidR="006B189A">
        <w:t xml:space="preserve"> (Supporting Statement Attachment 6) and</w:t>
      </w:r>
      <w:r w:rsidR="0043617B">
        <w:t xml:space="preserve"> note IRB’s request for this level of specificity</w:t>
      </w:r>
      <w:r w:rsidRPr="00F25254">
        <w:t xml:space="preserve"> </w:t>
      </w:r>
      <w:r w:rsidR="0043617B">
        <w:t xml:space="preserve">to not confuse clients </w:t>
      </w:r>
      <w:r w:rsidR="006B189A">
        <w:t xml:space="preserve">or create an expectation that they will be receiving cash from the GPRA interviewer. </w:t>
      </w:r>
      <w:r w:rsidR="00E2571F">
        <w:t>We are willing to use language that satisfies OMB’s recommendation for clarity</w:t>
      </w:r>
      <w:r w:rsidR="003F2CAF">
        <w:t>,</w:t>
      </w:r>
      <w:r w:rsidR="00E2571F">
        <w:t xml:space="preserve"> our IRB, </w:t>
      </w:r>
      <w:r w:rsidR="003F2CAF">
        <w:t xml:space="preserve">and </w:t>
      </w:r>
      <w:r w:rsidR="00E2571F">
        <w:t>SAMHSA policies</w:t>
      </w:r>
      <w:r w:rsidR="003F2CAF">
        <w:t>.</w:t>
      </w:r>
    </w:p>
    <w:p w:rsidR="00D7347B" w:rsidRPr="00F25254" w:rsidRDefault="00D7347B" w:rsidP="006B189A">
      <w:pPr>
        <w:pStyle w:val="NoSpacing"/>
        <w:jc w:val="both"/>
      </w:pPr>
    </w:p>
    <w:p w:rsidR="004B7376" w:rsidRDefault="003D6CD9" w:rsidP="005D4CDC">
      <w:pPr>
        <w:pStyle w:val="NoSpacing"/>
        <w:jc w:val="both"/>
      </w:pPr>
      <w:r w:rsidRPr="00F25254">
        <w:t xml:space="preserve">5. </w:t>
      </w:r>
      <w:r w:rsidRPr="0043617B">
        <w:rPr>
          <w:i/>
          <w:iCs/>
        </w:rPr>
        <w:t>Interviewers, Confidentiality, GBHI client survey and GPRA survey, IRB (</w:t>
      </w:r>
      <w:r w:rsidR="00AB1D60" w:rsidRPr="0043617B">
        <w:rPr>
          <w:i/>
          <w:iCs/>
        </w:rPr>
        <w:t xml:space="preserve">Part A, </w:t>
      </w:r>
      <w:r w:rsidRPr="0043617B">
        <w:rPr>
          <w:i/>
          <w:iCs/>
        </w:rPr>
        <w:t>Section 10)</w:t>
      </w:r>
      <w:r w:rsidRPr="00F25254">
        <w:t xml:space="preserve">. </w:t>
      </w:r>
      <w:r w:rsidRPr="00F25254">
        <w:rPr>
          <w:i/>
          <w:iCs/>
        </w:rPr>
        <w:t>Interviewers</w:t>
      </w:r>
      <w:r w:rsidRPr="00F25254">
        <w:t>: We provide the additional requested information on the interviewers</w:t>
      </w:r>
      <w:r w:rsidR="00E269EC">
        <w:t xml:space="preserve"> explaining th</w:t>
      </w:r>
      <w:r w:rsidR="00B13DDD">
        <w:t>at the G</w:t>
      </w:r>
      <w:r w:rsidR="00E269EC">
        <w:t xml:space="preserve">rantee interviewers are trained interviewers trained both by </w:t>
      </w:r>
      <w:r w:rsidR="00681837">
        <w:t>Grantees</w:t>
      </w:r>
      <w:r w:rsidR="00E269EC">
        <w:t xml:space="preserve"> and by SAMHSA for administration of the CSAT GPRA Client Outcome Measures and tracking</w:t>
      </w:r>
      <w:r w:rsidR="004B7376">
        <w:t xml:space="preserve">. </w:t>
      </w:r>
      <w:r w:rsidR="00E269EC">
        <w:t xml:space="preserve">We also </w:t>
      </w:r>
      <w:r w:rsidRPr="00F25254">
        <w:t xml:space="preserve">collected </w:t>
      </w:r>
      <w:r w:rsidR="00E269EC">
        <w:t xml:space="preserve">information </w:t>
      </w:r>
      <w:r w:rsidRPr="00F25254">
        <w:t xml:space="preserve">from each of the 25 GBHI </w:t>
      </w:r>
      <w:proofErr w:type="spellStart"/>
      <w:r w:rsidRPr="00F25254">
        <w:t>GBHI</w:t>
      </w:r>
      <w:proofErr w:type="spellEnd"/>
      <w:r w:rsidRPr="00F25254">
        <w:t xml:space="preserve"> sites regarding work performed, background, training, and feasibility of implementing the GBHI supplemental client survey along with the CSAT GPRA</w:t>
      </w:r>
      <w:r w:rsidR="00AB1D60" w:rsidRPr="00F25254">
        <w:t xml:space="preserve"> Client Outcome Measure </w:t>
      </w:r>
      <w:r w:rsidRPr="00F25254">
        <w:t>(OMB control number</w:t>
      </w:r>
      <w:r w:rsidR="00D86594">
        <w:t xml:space="preserve"> 0930-0208</w:t>
      </w:r>
      <w:r w:rsidRPr="00F25254">
        <w:t xml:space="preserve">). We describe how these interviewers, while employed by the Grantee, are trained interviewers who engage in GPRA interviewing and tracking of clients in accordance with </w:t>
      </w:r>
      <w:r w:rsidR="00E269EC">
        <w:t xml:space="preserve">SAMHSA’s procedures that were OMB approved. </w:t>
      </w:r>
      <w:r w:rsidRPr="00F25254">
        <w:t>We also provide the results of a two-site pilot test of the client survey</w:t>
      </w:r>
      <w:r w:rsidR="00E269EC">
        <w:t xml:space="preserve"> that </w:t>
      </w:r>
      <w:r w:rsidRPr="00F25254">
        <w:t>includ</w:t>
      </w:r>
      <w:r w:rsidR="00E269EC">
        <w:t>ed</w:t>
      </w:r>
      <w:r w:rsidRPr="00F25254">
        <w:t xml:space="preserve"> cognitive testing, with active clients per the request of </w:t>
      </w:r>
      <w:r w:rsidR="00E269EC">
        <w:t>OMB</w:t>
      </w:r>
      <w:r w:rsidRPr="00F25254">
        <w:t xml:space="preserve">. The pilot </w:t>
      </w:r>
      <w:r w:rsidRPr="00F25254">
        <w:lastRenderedPageBreak/>
        <w:t>test demonstrated the feasibility of the survey in terms of format, content, and administration procedures for both clients and the interview</w:t>
      </w:r>
      <w:r w:rsidR="00E269EC">
        <w:t>er</w:t>
      </w:r>
      <w:r w:rsidRPr="00F25254">
        <w:t xml:space="preserve">. </w:t>
      </w:r>
      <w:r w:rsidR="00E269EC">
        <w:t>Per OMB’s suggestion we have added ad</w:t>
      </w:r>
      <w:r w:rsidRPr="00F25254">
        <w:t>ditional instructions on the survey</w:t>
      </w:r>
      <w:r w:rsidR="005D4CDC">
        <w:t xml:space="preserve"> to remind interviewers to display “Show Cards”</w:t>
      </w:r>
      <w:r w:rsidRPr="00F25254">
        <w:t xml:space="preserve"> </w:t>
      </w:r>
      <w:r w:rsidR="00E269EC">
        <w:t xml:space="preserve">that are also </w:t>
      </w:r>
      <w:r w:rsidRPr="00F25254">
        <w:t>in training materials; we attach the GBHI client survey with those suggestions</w:t>
      </w:r>
      <w:r w:rsidR="00E269EC">
        <w:t xml:space="preserve"> within the bounds of </w:t>
      </w:r>
      <w:r w:rsidRPr="00F25254">
        <w:t>the directions from the standardized measures</w:t>
      </w:r>
      <w:r w:rsidR="00E269EC">
        <w:t>.</w:t>
      </w:r>
      <w:r w:rsidRPr="00F25254">
        <w:t xml:space="preserve">  </w:t>
      </w:r>
    </w:p>
    <w:p w:rsidR="00D7347B" w:rsidRDefault="003D6CD9" w:rsidP="005D4CDC">
      <w:pPr>
        <w:pStyle w:val="NoSpacing"/>
        <w:ind w:firstLine="720"/>
        <w:jc w:val="both"/>
      </w:pPr>
      <w:r w:rsidRPr="00F25254">
        <w:t>Confidentiality: We agree with the reviewers that the surveys are not anonymous and point to the Supporting Statement sections that emphasi</w:t>
      </w:r>
      <w:r w:rsidR="00D86594">
        <w:t>ze</w:t>
      </w:r>
      <w:r w:rsidRPr="00F25254">
        <w:t xml:space="preserve"> </w:t>
      </w:r>
      <w:r w:rsidR="005D4CDC">
        <w:t xml:space="preserve">the contractor’s procedures to ensure client privacy </w:t>
      </w:r>
      <w:r w:rsidR="00D7347B">
        <w:t>(</w:t>
      </w:r>
      <w:r w:rsidR="005D4CDC">
        <w:t>section A.10, pages 11-</w:t>
      </w:r>
      <w:proofErr w:type="gramStart"/>
      <w:r w:rsidR="005D4CDC">
        <w:t>13</w:t>
      </w:r>
      <w:r w:rsidR="00D7347B" w:rsidRPr="005D4CDC">
        <w:t xml:space="preserve"> )</w:t>
      </w:r>
      <w:proofErr w:type="gramEnd"/>
      <w:r w:rsidRPr="00F25254">
        <w:t xml:space="preserve">. </w:t>
      </w:r>
    </w:p>
    <w:p w:rsidR="004B7376" w:rsidRDefault="003D6CD9" w:rsidP="005D4CDC">
      <w:pPr>
        <w:pStyle w:val="NoSpacing"/>
        <w:ind w:firstLine="720"/>
        <w:jc w:val="both"/>
      </w:pPr>
      <w:r w:rsidRPr="00F25254">
        <w:t xml:space="preserve">GBHI survey: We provide the reviewers with the requested information regarding the CSAT </w:t>
      </w:r>
      <w:r w:rsidR="00D86594">
        <w:t xml:space="preserve">GPRA </w:t>
      </w:r>
      <w:r w:rsidRPr="00F25254">
        <w:t>Client Outcome Measure</w:t>
      </w:r>
      <w:r w:rsidR="00D7347B">
        <w:t>s</w:t>
      </w:r>
      <w:r w:rsidRPr="00F25254">
        <w:t xml:space="preserve"> (OMB control number</w:t>
      </w:r>
      <w:r w:rsidR="00D86594">
        <w:t xml:space="preserve"> 0930-0208</w:t>
      </w:r>
      <w:r w:rsidRPr="00F25254">
        <w:t>)</w:t>
      </w:r>
      <w:r w:rsidR="00D7347B">
        <w:t>,</w:t>
      </w:r>
      <w:r w:rsidRPr="00F25254">
        <w:t xml:space="preserve"> purpose as approved by OMB, and how the GBHI survey would be administered according to GPRA procedures</w:t>
      </w:r>
      <w:r w:rsidR="00D7347B">
        <w:t xml:space="preserve"> following the GPRA administration during </w:t>
      </w:r>
      <w:r w:rsidRPr="00F25254">
        <w:t>the same session</w:t>
      </w:r>
      <w:r w:rsidR="00D7347B">
        <w:t>. We also describe our positive</w:t>
      </w:r>
      <w:r w:rsidRPr="00F25254">
        <w:t xml:space="preserve"> results from our pilot </w:t>
      </w:r>
      <w:r w:rsidR="00D7347B">
        <w:t xml:space="preserve">study of the surveys, which found </w:t>
      </w:r>
      <w:r w:rsidRPr="00F25254">
        <w:t>that th</w:t>
      </w:r>
      <w:r w:rsidR="00D7347B">
        <w:t xml:space="preserve">e procedures proposed are </w:t>
      </w:r>
      <w:r w:rsidRPr="00F25254">
        <w:t>feasible regarding client and interviewer burden</w:t>
      </w:r>
      <w:r w:rsidR="00D7347B">
        <w:t>, response time,</w:t>
      </w:r>
      <w:r w:rsidRPr="00F25254">
        <w:t xml:space="preserve"> and response sets. </w:t>
      </w:r>
    </w:p>
    <w:p w:rsidR="003D6CD9" w:rsidRDefault="003D6CD9" w:rsidP="005D4CDC">
      <w:pPr>
        <w:pStyle w:val="NoSpacing"/>
        <w:ind w:firstLine="720"/>
        <w:jc w:val="both"/>
      </w:pPr>
      <w:r w:rsidRPr="00F25254">
        <w:t xml:space="preserve"> IRB: In response to reviewer request we have attached the human subjects approval per the contractor’s Internal Review Board (IRB). We also emphasi</w:t>
      </w:r>
      <w:r w:rsidR="00D86594">
        <w:t>ze</w:t>
      </w:r>
      <w:r w:rsidRPr="00F25254">
        <w:t xml:space="preserve"> the procedures that were undertaken, that there were no </w:t>
      </w:r>
      <w:r w:rsidR="00D7347B">
        <w:t xml:space="preserve">IRB </w:t>
      </w:r>
      <w:r w:rsidRPr="00F25254">
        <w:t>concerns noted, that the consent and procedures were viewed as protecting the client and agency</w:t>
      </w:r>
      <w:r w:rsidR="00D7347B">
        <w:t xml:space="preserve">. We also </w:t>
      </w:r>
      <w:r w:rsidRPr="00F25254">
        <w:t xml:space="preserve">point to the discussion of the IRB and findings </w:t>
      </w:r>
      <w:r w:rsidR="00D7347B">
        <w:t xml:space="preserve">that was included </w:t>
      </w:r>
      <w:r w:rsidRPr="00F25254">
        <w:t>in the Supporting Statement</w:t>
      </w:r>
      <w:r w:rsidR="00D7347B">
        <w:t xml:space="preserve"> (</w:t>
      </w:r>
      <w:r w:rsidR="005D4CDC">
        <w:t>section A.10, pages 13-14</w:t>
      </w:r>
      <w:r w:rsidR="00D7347B" w:rsidRPr="005D4CDC">
        <w:t>)</w:t>
      </w:r>
      <w:r w:rsidRPr="005D4CDC">
        <w:t>.</w:t>
      </w:r>
      <w:r w:rsidRPr="00F25254">
        <w:t xml:space="preserve"> </w:t>
      </w:r>
    </w:p>
    <w:p w:rsidR="00D7347B" w:rsidRPr="00F25254" w:rsidRDefault="00D7347B" w:rsidP="00D7347B">
      <w:pPr>
        <w:pStyle w:val="NoSpacing"/>
        <w:ind w:firstLine="720"/>
        <w:jc w:val="both"/>
      </w:pPr>
    </w:p>
    <w:p w:rsidR="008F2231" w:rsidRPr="00F25254" w:rsidRDefault="003D6CD9" w:rsidP="00A861E1">
      <w:pPr>
        <w:pStyle w:val="NoSpacing"/>
        <w:jc w:val="both"/>
      </w:pPr>
      <w:r w:rsidRPr="00F25254">
        <w:t xml:space="preserve">6. </w:t>
      </w:r>
      <w:r w:rsidRPr="00D7347B">
        <w:rPr>
          <w:i/>
          <w:iCs/>
        </w:rPr>
        <w:t>GBHI client survey burden and response rate (</w:t>
      </w:r>
      <w:r w:rsidR="008F2231">
        <w:rPr>
          <w:i/>
          <w:iCs/>
        </w:rPr>
        <w:t xml:space="preserve">Part A, </w:t>
      </w:r>
      <w:r w:rsidRPr="00D7347B">
        <w:rPr>
          <w:i/>
          <w:iCs/>
        </w:rPr>
        <w:t>Section 12</w:t>
      </w:r>
      <w:r w:rsidRPr="00F25254">
        <w:t xml:space="preserve">). Reviewers requested a pilot of the survey with active clients out of concern that those in recovery and who were employed as contractors would not be representative of those </w:t>
      </w:r>
      <w:r w:rsidR="00D7347B">
        <w:t>who may not be in recovery and</w:t>
      </w:r>
      <w:r w:rsidRPr="00F25254">
        <w:t xml:space="preserve"> in treatment. The pilot </w:t>
      </w:r>
      <w:r w:rsidR="00D7347B">
        <w:t xml:space="preserve">to test the </w:t>
      </w:r>
      <w:r w:rsidR="006F171C">
        <w:t xml:space="preserve">GBHI client </w:t>
      </w:r>
      <w:r w:rsidR="00D7347B">
        <w:t xml:space="preserve">survey content, procedures, burden and feedback (through cognitive testing) </w:t>
      </w:r>
      <w:r w:rsidR="006F171C">
        <w:t xml:space="preserve">was implemented in </w:t>
      </w:r>
      <w:r w:rsidRPr="00F25254">
        <w:t xml:space="preserve">two sites </w:t>
      </w:r>
      <w:r w:rsidR="006F171C">
        <w:t xml:space="preserve">with </w:t>
      </w:r>
      <w:r w:rsidRPr="00F25254">
        <w:t>active clients</w:t>
      </w:r>
      <w:r w:rsidR="006F171C">
        <w:t>. Findings of the pilot</w:t>
      </w:r>
      <w:r w:rsidRPr="00F25254">
        <w:t xml:space="preserve"> indicate</w:t>
      </w:r>
      <w:r w:rsidR="006F171C">
        <w:t>d</w:t>
      </w:r>
      <w:r w:rsidRPr="00F25254">
        <w:t xml:space="preserve"> that current GBHI clients responded within </w:t>
      </w:r>
      <w:r w:rsidR="006F171C">
        <w:t>the average time of that previously reported in the Supporting Statement (</w:t>
      </w:r>
      <w:r w:rsidR="00A861E1" w:rsidRPr="00A861E1">
        <w:t>section A.12, pages 14-15 and section B.4, pages 21-22</w:t>
      </w:r>
      <w:r w:rsidR="006F171C" w:rsidRPr="00A861E1">
        <w:t>)</w:t>
      </w:r>
      <w:r w:rsidRPr="00F25254">
        <w:t xml:space="preserve">; burden included consent, survey, self-administration, looking up of client information, </w:t>
      </w:r>
      <w:r w:rsidR="006F171C">
        <w:t xml:space="preserve">and </w:t>
      </w:r>
      <w:r w:rsidRPr="00F25254">
        <w:t xml:space="preserve">receipt of self-administered information. </w:t>
      </w:r>
      <w:r w:rsidR="006F171C">
        <w:t xml:space="preserve">OMB also </w:t>
      </w:r>
      <w:r w:rsidRPr="00F25254">
        <w:t>asked about response rates</w:t>
      </w:r>
      <w:r w:rsidR="006F171C">
        <w:t>. A</w:t>
      </w:r>
      <w:r w:rsidRPr="00F25254">
        <w:t xml:space="preserve">ll </w:t>
      </w:r>
      <w:r w:rsidR="006F171C">
        <w:t xml:space="preserve">clients </w:t>
      </w:r>
      <w:r w:rsidRPr="00F25254">
        <w:t>approached for the pilot study responded</w:t>
      </w:r>
      <w:r w:rsidR="006F171C">
        <w:t xml:space="preserve"> positively and agreed to enroll in the pilot</w:t>
      </w:r>
      <w:r w:rsidRPr="00F25254">
        <w:t xml:space="preserve">, however, we continue to propose that response rates over time will be </w:t>
      </w:r>
      <w:r w:rsidR="006F171C">
        <w:t xml:space="preserve">at least </w:t>
      </w:r>
      <w:r w:rsidRPr="00F25254">
        <w:t>80%</w:t>
      </w:r>
      <w:r w:rsidR="006F171C">
        <w:t xml:space="preserve"> for the GBHI survey given the current rates of GPRA consent at baseline and 6-month follow-up (87.6% for GBHI </w:t>
      </w:r>
      <w:r w:rsidR="00681837">
        <w:t>Grantees</w:t>
      </w:r>
      <w:r w:rsidR="006F171C">
        <w:t xml:space="preserve"> per SAIS 6-month follow-up data).</w:t>
      </w:r>
      <w:r w:rsidRPr="00F25254">
        <w:t xml:space="preserve"> As it is proposed to administer both the GPRA survey and GBHI</w:t>
      </w:r>
      <w:r w:rsidR="00A861E1">
        <w:t xml:space="preserve"> client survey</w:t>
      </w:r>
      <w:r w:rsidRPr="00F25254">
        <w:t xml:space="preserve"> in the same setting reducing burden and cost to clients and staff GPRA interviewers, </w:t>
      </w:r>
      <w:r w:rsidR="00501337">
        <w:t>we also piloted the survey with and without the GPRA</w:t>
      </w:r>
      <w:r w:rsidR="00A861E1">
        <w:t xml:space="preserve"> survey</w:t>
      </w:r>
      <w:r w:rsidR="00501337">
        <w:t xml:space="preserve"> in one setting. </w:t>
      </w:r>
      <w:r w:rsidR="00CC42BC">
        <w:t xml:space="preserve">Our findings were that data </w:t>
      </w:r>
      <w:r w:rsidRPr="00F25254">
        <w:t xml:space="preserve">quality </w:t>
      </w:r>
      <w:r w:rsidR="00CC42BC">
        <w:t xml:space="preserve">was not reduced, clients did not experience the surveys as </w:t>
      </w:r>
      <w:r w:rsidR="008F2231">
        <w:t>redundant</w:t>
      </w:r>
      <w:r w:rsidR="00CC42BC">
        <w:t xml:space="preserve"> and clients and interviewer did not experience an </w:t>
      </w:r>
      <w:r w:rsidR="00A861E1">
        <w:t xml:space="preserve">undue </w:t>
      </w:r>
      <w:r w:rsidR="00CC42BC">
        <w:t xml:space="preserve">burden. </w:t>
      </w:r>
      <w:r w:rsidR="008F2231">
        <w:t xml:space="preserve">The approach of combining the two survey administrations also has precedent in previous SAMHSA evaluations that were OMB-approved </w:t>
      </w:r>
      <w:r w:rsidR="008F2231" w:rsidRPr="00446277">
        <w:t>(Access to Recovery, OMB control number 0930-0299; Screening, Brief Intervention, Brief Treatment and Referral to Treatment Cross-site Evaluation, OMB control number 0930-0282</w:t>
      </w:r>
      <w:r w:rsidR="0062569D">
        <w:t xml:space="preserve">; Targeted Capacity Expansion Program for Substance Abuse Treatment and HIV/AIDS Services, </w:t>
      </w:r>
      <w:r w:rsidR="0062569D" w:rsidRPr="00FE3F5E">
        <w:t>OMB</w:t>
      </w:r>
      <w:r w:rsidR="0062569D">
        <w:t xml:space="preserve"> control number 0930-0317</w:t>
      </w:r>
      <w:r w:rsidR="008F2231" w:rsidRPr="00446277">
        <w:t>)</w:t>
      </w:r>
      <w:r w:rsidR="0062569D">
        <w:t>.</w:t>
      </w:r>
    </w:p>
    <w:p w:rsidR="00CC42BC" w:rsidRDefault="00CC42BC" w:rsidP="00CC42BC">
      <w:pPr>
        <w:pStyle w:val="NoSpacing"/>
        <w:jc w:val="both"/>
      </w:pPr>
    </w:p>
    <w:p w:rsidR="00D7347B" w:rsidRDefault="00B21D6D" w:rsidP="00A861E1">
      <w:pPr>
        <w:pStyle w:val="NoSpacing"/>
        <w:ind w:firstLine="720"/>
        <w:jc w:val="both"/>
      </w:pPr>
      <w:r>
        <w:t>OMB</w:t>
      </w:r>
      <w:r w:rsidR="00A861E1">
        <w:t xml:space="preserve"> </w:t>
      </w:r>
      <w:r w:rsidR="003D6CD9" w:rsidRPr="00F25254">
        <w:t>also requested a burden estimate for tracking</w:t>
      </w:r>
      <w:r w:rsidR="00CC42BC">
        <w:t>. G</w:t>
      </w:r>
      <w:r w:rsidR="003D6CD9" w:rsidRPr="00F25254">
        <w:t xml:space="preserve">iven that </w:t>
      </w:r>
      <w:r w:rsidR="00CC42BC">
        <w:t xml:space="preserve">the </w:t>
      </w:r>
      <w:r w:rsidR="003D6CD9" w:rsidRPr="00F25254">
        <w:t xml:space="preserve">majority of clients remain in the program over </w:t>
      </w:r>
      <w:r w:rsidR="00A861E1">
        <w:t xml:space="preserve">six </w:t>
      </w:r>
      <w:r w:rsidR="003D6CD9" w:rsidRPr="00F25254">
        <w:t>months, based on SAIS GPRA discharge data (OMB control number</w:t>
      </w:r>
      <w:r w:rsidR="00D86594">
        <w:t xml:space="preserve"> 0930-0208</w:t>
      </w:r>
      <w:r w:rsidR="003D6CD9" w:rsidRPr="00F25254">
        <w:t>) for the GBHI program, that programs remain in contact with clients post-program completion or drop out (based on discharge numbers and on site visit and telephone interviews with each of the 25 sites conducted in the fall and winter 2010 – 2011), and that the GPRA interviewers are required to attain at least 80% response rate for the 6-month</w:t>
      </w:r>
      <w:r w:rsidR="00CC42BC">
        <w:t xml:space="preserve"> (with current GBHI rates at 8</w:t>
      </w:r>
      <w:r w:rsidR="00A861E1">
        <w:t>7</w:t>
      </w:r>
      <w:r w:rsidR="00CC42BC">
        <w:t>.6%)</w:t>
      </w:r>
      <w:r w:rsidR="003D6CD9" w:rsidRPr="00F25254">
        <w:t xml:space="preserve">, the additional burden for </w:t>
      </w:r>
      <w:r w:rsidR="003D6CD9" w:rsidRPr="00F25254">
        <w:lastRenderedPageBreak/>
        <w:t xml:space="preserve">the GBHI survey would be negligible. This is also part of the rationale to administer both surveys at the same time, to minimize the burden of the cross-site evaluation on </w:t>
      </w:r>
      <w:r w:rsidR="00681837">
        <w:t>Grantees</w:t>
      </w:r>
      <w:r w:rsidR="003D6CD9" w:rsidRPr="00F25254">
        <w:t>, their staff and their clients.</w:t>
      </w:r>
    </w:p>
    <w:p w:rsidR="003D6CD9" w:rsidRPr="00F25254" w:rsidRDefault="003D6CD9" w:rsidP="00D7347B">
      <w:pPr>
        <w:pStyle w:val="NoSpacing"/>
        <w:jc w:val="both"/>
      </w:pPr>
      <w:r w:rsidRPr="00F25254">
        <w:t xml:space="preserve"> </w:t>
      </w:r>
    </w:p>
    <w:p w:rsidR="00A14536" w:rsidRPr="00F25254" w:rsidRDefault="003D6CD9" w:rsidP="00A861E1">
      <w:pPr>
        <w:pStyle w:val="NoSpacing"/>
        <w:jc w:val="both"/>
        <w:rPr>
          <w:bCs/>
          <w:u w:val="single"/>
        </w:rPr>
      </w:pPr>
      <w:r w:rsidRPr="00F25254">
        <w:t xml:space="preserve">7. </w:t>
      </w:r>
      <w:r w:rsidRPr="0018087A">
        <w:rPr>
          <w:i/>
          <w:iCs/>
        </w:rPr>
        <w:t xml:space="preserve">Analysis </w:t>
      </w:r>
      <w:proofErr w:type="gramStart"/>
      <w:r w:rsidRPr="0018087A">
        <w:rPr>
          <w:i/>
          <w:iCs/>
        </w:rPr>
        <w:t>plans,</w:t>
      </w:r>
      <w:proofErr w:type="gramEnd"/>
      <w:r w:rsidRPr="0018087A">
        <w:rPr>
          <w:i/>
          <w:iCs/>
        </w:rPr>
        <w:t xml:space="preserve"> duplication and non-response (Part A, Section 16</w:t>
      </w:r>
      <w:r w:rsidRPr="00F25254">
        <w:t xml:space="preserve">). Per the reviewers request we include a brief description of the analysis plans and </w:t>
      </w:r>
      <w:r w:rsidR="00A14536">
        <w:t xml:space="preserve">three </w:t>
      </w:r>
      <w:r w:rsidR="001B0C2B">
        <w:t xml:space="preserve">sample </w:t>
      </w:r>
      <w:r w:rsidRPr="00F25254">
        <w:t>data shell</w:t>
      </w:r>
      <w:r w:rsidR="00A14536">
        <w:t xml:space="preserve"> tables</w:t>
      </w:r>
      <w:r w:rsidRPr="00F25254">
        <w:t xml:space="preserve">. We </w:t>
      </w:r>
      <w:r w:rsidR="001B0C2B">
        <w:t xml:space="preserve">discuss how </w:t>
      </w:r>
      <w:r w:rsidR="00A14536">
        <w:t xml:space="preserve">the GBHI client (and stakeholder) </w:t>
      </w:r>
      <w:r w:rsidR="001B0C2B">
        <w:t>surveys were developed to not duplicate current SAMHSA performance collection requirements as also described in</w:t>
      </w:r>
      <w:r w:rsidRPr="00F25254">
        <w:t xml:space="preserve"> the Supporting Statement</w:t>
      </w:r>
      <w:r w:rsidR="00133049">
        <w:t xml:space="preserve"> (</w:t>
      </w:r>
      <w:r w:rsidR="00A861E1">
        <w:t>section A.4, page 8</w:t>
      </w:r>
      <w:r w:rsidR="00133049" w:rsidRPr="00A861E1">
        <w:t>)</w:t>
      </w:r>
      <w:r w:rsidR="001B0C2B">
        <w:t xml:space="preserve">. </w:t>
      </w:r>
      <w:r w:rsidR="00A14536">
        <w:t>We also address the non-response issues.</w:t>
      </w:r>
      <w:r w:rsidR="00A14536" w:rsidRPr="00A14536">
        <w:rPr>
          <w:bCs/>
        </w:rPr>
        <w:t xml:space="preserve"> </w:t>
      </w:r>
      <w:r w:rsidR="00A14536" w:rsidRPr="00A203F1">
        <w:rPr>
          <w:bCs/>
        </w:rPr>
        <w:t>Specifically, administration of baseline surveys will be continual as new clients enroll in the program each month.  Therefore, 6-month follow-up interviews will always follow the baseline date b</w:t>
      </w:r>
      <w:r w:rsidR="00A14536">
        <w:rPr>
          <w:bCs/>
        </w:rPr>
        <w:t>ut</w:t>
      </w:r>
      <w:r w:rsidR="00A14536" w:rsidRPr="00A203F1">
        <w:rPr>
          <w:bCs/>
        </w:rPr>
        <w:t xml:space="preserve"> no sooner than 180 days and no later than 210 days for an individual client (as is the OMB-approved </w:t>
      </w:r>
      <w:r w:rsidR="00A14536">
        <w:rPr>
          <w:bCs/>
        </w:rPr>
        <w:t xml:space="preserve">CSAT </w:t>
      </w:r>
      <w:r w:rsidR="00A14536" w:rsidRPr="00A203F1">
        <w:rPr>
          <w:bCs/>
        </w:rPr>
        <w:t>GPRA protocol with which we are coordinating</w:t>
      </w:r>
      <w:r w:rsidR="00A14536">
        <w:rPr>
          <w:bCs/>
        </w:rPr>
        <w:t>,</w:t>
      </w:r>
      <w:r w:rsidR="00A14536" w:rsidRPr="001B0C2B">
        <w:t xml:space="preserve"> </w:t>
      </w:r>
      <w:r w:rsidR="00A14536" w:rsidRPr="00F25254">
        <w:t>OMB control number</w:t>
      </w:r>
      <w:r w:rsidR="00A14536">
        <w:t xml:space="preserve"> 0930-0208</w:t>
      </w:r>
      <w:r w:rsidR="00A14536" w:rsidRPr="00A203F1">
        <w:rPr>
          <w:bCs/>
        </w:rPr>
        <w:t xml:space="preserve">). No interviews will be attempted outside of these windows and those clients who do not complete an interview will be considered ‘non-respondent’. Since baseline interviews will cease in </w:t>
      </w:r>
      <w:proofErr w:type="gramStart"/>
      <w:r w:rsidR="00A14536" w:rsidRPr="00A203F1">
        <w:rPr>
          <w:bCs/>
        </w:rPr>
        <w:t>Spring</w:t>
      </w:r>
      <w:proofErr w:type="gramEnd"/>
      <w:r w:rsidR="00A14536" w:rsidRPr="00A203F1">
        <w:rPr>
          <w:bCs/>
        </w:rPr>
        <w:t xml:space="preserve"> of 2014, no follow-up interviews will be conducted after Fall 2014.</w:t>
      </w:r>
    </w:p>
    <w:p w:rsidR="003D6CD9" w:rsidRPr="00F25254" w:rsidRDefault="003D6CD9" w:rsidP="001B0C2B">
      <w:pPr>
        <w:pStyle w:val="NoSpacing"/>
        <w:jc w:val="both"/>
      </w:pPr>
    </w:p>
    <w:p w:rsidR="00D7347B" w:rsidRDefault="00D7347B" w:rsidP="00133049">
      <w:pPr>
        <w:pStyle w:val="NoSpacing"/>
        <w:jc w:val="both"/>
      </w:pPr>
    </w:p>
    <w:p w:rsidR="003D6CD9" w:rsidRDefault="003D6CD9" w:rsidP="003F2CAF">
      <w:pPr>
        <w:pStyle w:val="NoSpacing"/>
        <w:jc w:val="both"/>
      </w:pPr>
      <w:r w:rsidRPr="00F25254">
        <w:t xml:space="preserve">8. </w:t>
      </w:r>
      <w:r w:rsidRPr="00A861E1">
        <w:rPr>
          <w:i/>
          <w:iCs/>
        </w:rPr>
        <w:t>Survey Frame and Sampling</w:t>
      </w:r>
      <w:r w:rsidRPr="0018087A">
        <w:rPr>
          <w:i/>
          <w:iCs/>
        </w:rPr>
        <w:t>. (Part B, Section 1)</w:t>
      </w:r>
      <w:r w:rsidRPr="00F25254">
        <w:t xml:space="preserve">. We address the question of why </w:t>
      </w:r>
      <w:r w:rsidR="0018087A">
        <w:t xml:space="preserve">we are conducting a </w:t>
      </w:r>
      <w:r w:rsidRPr="00F25254">
        <w:t xml:space="preserve">census rather than </w:t>
      </w:r>
      <w:r w:rsidR="0018087A">
        <w:t xml:space="preserve">employing </w:t>
      </w:r>
      <w:r w:rsidRPr="00F25254">
        <w:t>sampling methods</w:t>
      </w:r>
      <w:r w:rsidR="003F2CAF">
        <w:t xml:space="preserve">, based on sample sizes, the needs of our evaluation, power, and the possible negative impact of selecting a subset of clients who will be aware of the individuals </w:t>
      </w:r>
      <w:proofErr w:type="gramStart"/>
      <w:r w:rsidR="003F2CAF">
        <w:t>which</w:t>
      </w:r>
      <w:proofErr w:type="gramEnd"/>
      <w:r w:rsidR="003F2CAF">
        <w:t xml:space="preserve"> were selected.   </w:t>
      </w:r>
    </w:p>
    <w:p w:rsidR="006F171C" w:rsidRPr="00F25254" w:rsidRDefault="006F171C" w:rsidP="00133049">
      <w:pPr>
        <w:pStyle w:val="NoSpacing"/>
        <w:jc w:val="both"/>
      </w:pPr>
    </w:p>
    <w:p w:rsidR="003D6CD9" w:rsidRPr="00F25254" w:rsidRDefault="003D6CD9" w:rsidP="00A861E1">
      <w:pPr>
        <w:pStyle w:val="NoSpacing"/>
        <w:jc w:val="both"/>
      </w:pPr>
      <w:r w:rsidRPr="00F25254">
        <w:t xml:space="preserve">9. </w:t>
      </w:r>
      <w:r w:rsidRPr="003A1C4C">
        <w:rPr>
          <w:i/>
          <w:iCs/>
        </w:rPr>
        <w:t>GBHI client survey (Part B, Section 2</w:t>
      </w:r>
      <w:r w:rsidRPr="00F25254">
        <w:t xml:space="preserve">). </w:t>
      </w:r>
      <w:r w:rsidR="0091533A" w:rsidRPr="00F25254">
        <w:t>R</w:t>
      </w:r>
      <w:r w:rsidRPr="00F25254">
        <w:t xml:space="preserve">eviewers stated a set of concerns regarding the “complexity” of the survey for the population, given use of </w:t>
      </w:r>
      <w:proofErr w:type="spellStart"/>
      <w:r w:rsidR="0018087A">
        <w:t>L</w:t>
      </w:r>
      <w:r w:rsidRPr="00F25254">
        <w:t>ikert</w:t>
      </w:r>
      <w:proofErr w:type="spellEnd"/>
      <w:r w:rsidRPr="00F25254">
        <w:t xml:space="preserve"> scales and matrices</w:t>
      </w:r>
      <w:r w:rsidR="003A1C4C">
        <w:t xml:space="preserve"> and</w:t>
      </w:r>
      <w:r w:rsidRPr="00F25254">
        <w:t xml:space="preserve"> time-based questions</w:t>
      </w:r>
      <w:r w:rsidR="003A1C4C">
        <w:t>,</w:t>
      </w:r>
      <w:r w:rsidRPr="00F25254">
        <w:t xml:space="preserve"> and requested detailed information on the sources and use of these types of scales and formats with the population. In summary, we provided information that supports that the majority of scales developed for this population include </w:t>
      </w:r>
      <w:proofErr w:type="spellStart"/>
      <w:r w:rsidRPr="00F25254">
        <w:t>Likert</w:t>
      </w:r>
      <w:proofErr w:type="spellEnd"/>
      <w:r w:rsidRPr="00F25254">
        <w:t xml:space="preserve"> scales (E.g., Bernstein et al., 1994; </w:t>
      </w:r>
      <w:proofErr w:type="spellStart"/>
      <w:r w:rsidRPr="00F25254">
        <w:t>Bliese</w:t>
      </w:r>
      <w:proofErr w:type="spellEnd"/>
      <w:r w:rsidRPr="00F25254">
        <w:t xml:space="preserve"> et al., 2008</w:t>
      </w:r>
      <w:r w:rsidR="00D86594">
        <w:t xml:space="preserve">; </w:t>
      </w:r>
      <w:r w:rsidRPr="00F25254">
        <w:t xml:space="preserve">Broner et al., 2002; Conrad et al., 2001; Davis et al., 2009; </w:t>
      </w:r>
      <w:proofErr w:type="spellStart"/>
      <w:r w:rsidRPr="00F25254">
        <w:t>Derogatis</w:t>
      </w:r>
      <w:proofErr w:type="spellEnd"/>
      <w:r w:rsidRPr="00F25254">
        <w:t xml:space="preserve"> &amp; </w:t>
      </w:r>
      <w:proofErr w:type="spellStart"/>
      <w:r w:rsidRPr="00F25254">
        <w:t>Melisaratos</w:t>
      </w:r>
      <w:proofErr w:type="spellEnd"/>
      <w:r w:rsidRPr="00F25254">
        <w:t xml:space="preserve">, 1983; </w:t>
      </w:r>
      <w:proofErr w:type="spellStart"/>
      <w:r w:rsidRPr="00F25254">
        <w:t>Eisen</w:t>
      </w:r>
      <w:proofErr w:type="spellEnd"/>
      <w:r w:rsidRPr="00F25254">
        <w:t xml:space="preserve"> et al., 2000, 2004; Gardner et al., 1993; </w:t>
      </w:r>
      <w:proofErr w:type="spellStart"/>
      <w:r w:rsidR="00D86594" w:rsidRPr="00F25254">
        <w:t>G</w:t>
      </w:r>
      <w:r w:rsidR="00D86594">
        <w:t>u</w:t>
      </w:r>
      <w:r w:rsidR="00D86594" w:rsidRPr="00F25254">
        <w:t>lcur</w:t>
      </w:r>
      <w:proofErr w:type="spellEnd"/>
      <w:r w:rsidR="00D86594" w:rsidRPr="00F25254">
        <w:t xml:space="preserve"> </w:t>
      </w:r>
      <w:r w:rsidRPr="00F25254">
        <w:t>et al., 2007; Greenwood, Schaefer-</w:t>
      </w:r>
      <w:proofErr w:type="spellStart"/>
      <w:r w:rsidRPr="00F25254">
        <w:t>McDanile</w:t>
      </w:r>
      <w:proofErr w:type="spellEnd"/>
      <w:r w:rsidRPr="00F25254">
        <w:t xml:space="preserve">, </w:t>
      </w:r>
      <w:proofErr w:type="spellStart"/>
      <w:r w:rsidRPr="00F25254">
        <w:t>Winkel</w:t>
      </w:r>
      <w:proofErr w:type="spellEnd"/>
      <w:r w:rsidRPr="00F25254">
        <w:t>, &amp; Tsemberis, 2005; Kean</w:t>
      </w:r>
      <w:r w:rsidR="00FD697E">
        <w:t>e</w:t>
      </w:r>
      <w:r w:rsidRPr="00F25254">
        <w:t xml:space="preserve">, Newman, &amp; </w:t>
      </w:r>
      <w:proofErr w:type="spellStart"/>
      <w:r w:rsidRPr="00F25254">
        <w:t>Orsillo</w:t>
      </w:r>
      <w:proofErr w:type="spellEnd"/>
      <w:r w:rsidRPr="00F25254">
        <w:t xml:space="preserve">, 1997; Koenig et al.,1993; Lang &amp; Stein, 2005; Lehman, </w:t>
      </w:r>
      <w:r w:rsidR="00DD49D7" w:rsidRPr="00F25254">
        <w:t>19</w:t>
      </w:r>
      <w:r w:rsidR="00DD49D7">
        <w:t>8</w:t>
      </w:r>
      <w:r w:rsidR="00DD49D7" w:rsidRPr="00F25254">
        <w:t>8</w:t>
      </w:r>
      <w:r w:rsidRPr="00F25254">
        <w:t xml:space="preserve">; Lehman et al., 1991; </w:t>
      </w:r>
      <w:proofErr w:type="spellStart"/>
      <w:r w:rsidRPr="00F25254">
        <w:t>McEvoy</w:t>
      </w:r>
      <w:proofErr w:type="spellEnd"/>
      <w:r w:rsidRPr="00F25254">
        <w:t xml:space="preserve"> et al., 1989; Overall &amp; Gorham, 1988; Peters &amp; Wexler, 2005; Peters et al., 2008; Robbins et al., 2009; </w:t>
      </w:r>
      <w:proofErr w:type="spellStart"/>
      <w:r w:rsidRPr="00F25254">
        <w:t>Rollnick</w:t>
      </w:r>
      <w:proofErr w:type="spellEnd"/>
      <w:r w:rsidRPr="00F25254">
        <w:t xml:space="preserve"> et al., 1992;</w:t>
      </w:r>
      <w:r w:rsidR="00337F89">
        <w:t xml:space="preserve"> </w:t>
      </w:r>
      <w:r w:rsidR="00337F89" w:rsidRPr="00F25254">
        <w:t xml:space="preserve">Ruggiero, Del Ben, </w:t>
      </w:r>
      <w:proofErr w:type="spellStart"/>
      <w:r w:rsidR="00337F89" w:rsidRPr="00F25254">
        <w:t>Scotti</w:t>
      </w:r>
      <w:proofErr w:type="spellEnd"/>
      <w:r w:rsidR="00337F89" w:rsidRPr="00F25254">
        <w:t xml:space="preserve">, &amp; </w:t>
      </w:r>
      <w:proofErr w:type="spellStart"/>
      <w:r w:rsidR="00337F89" w:rsidRPr="00F25254">
        <w:t>Rabalais</w:t>
      </w:r>
      <w:proofErr w:type="spellEnd"/>
      <w:r w:rsidR="00337F89" w:rsidRPr="00F25254">
        <w:t>, 2003</w:t>
      </w:r>
      <w:r w:rsidR="00337F89">
        <w:t>;</w:t>
      </w:r>
      <w:r w:rsidRPr="00F25254">
        <w:t xml:space="preserve"> </w:t>
      </w:r>
      <w:proofErr w:type="spellStart"/>
      <w:r w:rsidR="00337F89" w:rsidRPr="00F25254">
        <w:t>Saltstone</w:t>
      </w:r>
      <w:proofErr w:type="spellEnd"/>
      <w:r w:rsidR="00337F89" w:rsidRPr="00F25254">
        <w:t xml:space="preserve">, </w:t>
      </w:r>
      <w:proofErr w:type="spellStart"/>
      <w:r w:rsidR="00337F89" w:rsidRPr="00F25254">
        <w:t>Halliwell</w:t>
      </w:r>
      <w:proofErr w:type="spellEnd"/>
      <w:r w:rsidR="00337F89" w:rsidRPr="00F25254">
        <w:t xml:space="preserve">, &amp; </w:t>
      </w:r>
      <w:proofErr w:type="spellStart"/>
      <w:r w:rsidR="00337F89" w:rsidRPr="00F25254">
        <w:t>Hayslip</w:t>
      </w:r>
      <w:proofErr w:type="spellEnd"/>
      <w:r w:rsidR="00337F89" w:rsidRPr="00F25254">
        <w:t>, 1994;</w:t>
      </w:r>
      <w:r w:rsidR="00337F89">
        <w:t xml:space="preserve"> </w:t>
      </w:r>
      <w:proofErr w:type="spellStart"/>
      <w:r w:rsidRPr="00F25254">
        <w:t>Shern</w:t>
      </w:r>
      <w:proofErr w:type="spellEnd"/>
      <w:r w:rsidRPr="00F25254">
        <w:t xml:space="preserve"> et al., 1994; </w:t>
      </w:r>
      <w:r w:rsidR="00337F89" w:rsidRPr="00F25254">
        <w:t xml:space="preserve">Skinner, 1982; Spies et al., 2007; </w:t>
      </w:r>
      <w:proofErr w:type="spellStart"/>
      <w:r w:rsidRPr="00F25254">
        <w:t>Srebnik</w:t>
      </w:r>
      <w:proofErr w:type="spellEnd"/>
      <w:r w:rsidRPr="00F25254">
        <w:t xml:space="preserve">, Livingston, Gordon, &amp; King, 1995; </w:t>
      </w:r>
      <w:proofErr w:type="spellStart"/>
      <w:r w:rsidRPr="00F25254">
        <w:t>Storgaard</w:t>
      </w:r>
      <w:proofErr w:type="spellEnd"/>
      <w:r w:rsidRPr="00F25254">
        <w:t xml:space="preserve">, Nielson, &amp; </w:t>
      </w:r>
      <w:proofErr w:type="spellStart"/>
      <w:r w:rsidRPr="00F25254">
        <w:t>Gluud</w:t>
      </w:r>
      <w:proofErr w:type="spellEnd"/>
      <w:r w:rsidRPr="00F25254">
        <w:t xml:space="preserve">, 1994; Tsemberis, Moran, Shinn, </w:t>
      </w:r>
      <w:proofErr w:type="spellStart"/>
      <w:r w:rsidRPr="00F25254">
        <w:t>Asmussen</w:t>
      </w:r>
      <w:proofErr w:type="spellEnd"/>
      <w:r w:rsidRPr="00F25254">
        <w:t xml:space="preserve">, &amp; </w:t>
      </w:r>
      <w:proofErr w:type="spellStart"/>
      <w:r w:rsidRPr="00F25254">
        <w:t>Shern</w:t>
      </w:r>
      <w:proofErr w:type="spellEnd"/>
      <w:r w:rsidRPr="00F25254">
        <w:t xml:space="preserve">, 2003; Weathers, </w:t>
      </w:r>
      <w:proofErr w:type="spellStart"/>
      <w:r w:rsidRPr="00F25254">
        <w:t>Litz</w:t>
      </w:r>
      <w:proofErr w:type="spellEnd"/>
      <w:r w:rsidRPr="00F25254">
        <w:t xml:space="preserve">, </w:t>
      </w:r>
      <w:proofErr w:type="spellStart"/>
      <w:r w:rsidRPr="00F25254">
        <w:t>Huska</w:t>
      </w:r>
      <w:proofErr w:type="spellEnd"/>
      <w:r w:rsidRPr="00F25254">
        <w:t>, &amp; Keane, 1994</w:t>
      </w:r>
      <w:r w:rsidR="00337F89">
        <w:t xml:space="preserve">; </w:t>
      </w:r>
      <w:proofErr w:type="spellStart"/>
      <w:r w:rsidR="00337F89" w:rsidRPr="00F25254">
        <w:t>Zung</w:t>
      </w:r>
      <w:proofErr w:type="spellEnd"/>
      <w:r w:rsidR="00337F89" w:rsidRPr="00F25254">
        <w:t>, 1979</w:t>
      </w:r>
      <w:r w:rsidRPr="00F25254">
        <w:t>)</w:t>
      </w:r>
      <w:r w:rsidR="003A1C4C">
        <w:t xml:space="preserve">. Similarly, </w:t>
      </w:r>
      <w:r w:rsidRPr="00F25254">
        <w:t>time-based questions</w:t>
      </w:r>
      <w:r w:rsidR="003A1C4C">
        <w:t xml:space="preserve"> are commonly used and have been demonstrated as reliable and cognitively appropriate for assessment with </w:t>
      </w:r>
      <w:r w:rsidRPr="00F25254">
        <w:t>psychiatric, substance abuse, criminal justice, veteran</w:t>
      </w:r>
      <w:r w:rsidR="003A1C4C">
        <w:t xml:space="preserve"> and </w:t>
      </w:r>
      <w:r w:rsidRPr="00F25254">
        <w:t>homeless populations</w:t>
      </w:r>
      <w:r w:rsidR="003A1C4C">
        <w:t xml:space="preserve"> (for example, </w:t>
      </w:r>
      <w:r w:rsidRPr="00F25254">
        <w:t xml:space="preserve">Banks, </w:t>
      </w:r>
      <w:proofErr w:type="spellStart"/>
      <w:r w:rsidRPr="00F25254">
        <w:t>McHugo</w:t>
      </w:r>
      <w:proofErr w:type="spellEnd"/>
      <w:r w:rsidRPr="00F25254">
        <w:t>, Williams, Drake, &amp; Shinn, 2002;  Broner et al., 2002; Broner et al., 2004; Brown et al.</w:t>
      </w:r>
      <w:r w:rsidR="00D86594">
        <w:t>,</w:t>
      </w:r>
      <w:r w:rsidRPr="00F25254">
        <w:t xml:space="preserve"> 199</w:t>
      </w:r>
      <w:r w:rsidR="00D86594">
        <w:t>3</w:t>
      </w:r>
      <w:r w:rsidRPr="00F25254">
        <w:t>; Burt, 2009;</w:t>
      </w:r>
      <w:r w:rsidR="00337F89" w:rsidRPr="00337F89">
        <w:t xml:space="preserve"> </w:t>
      </w:r>
      <w:r w:rsidR="00337F89" w:rsidRPr="00F25254">
        <w:t>Carey</w:t>
      </w:r>
      <w:r w:rsidR="00337F89">
        <w:t>,</w:t>
      </w:r>
      <w:r w:rsidR="00337F89" w:rsidRPr="00F25254">
        <w:t xml:space="preserve"> 1997; </w:t>
      </w:r>
      <w:r w:rsidRPr="00F25254">
        <w:t xml:space="preserve"> Clark &amp; Rich, 2003; Dartmouth Psychiatric Research Center, 1997; </w:t>
      </w:r>
      <w:proofErr w:type="spellStart"/>
      <w:r w:rsidRPr="00F25254">
        <w:t>Ehrman</w:t>
      </w:r>
      <w:proofErr w:type="spellEnd"/>
      <w:r w:rsidRPr="00F25254">
        <w:t xml:space="preserve"> &amp; Robbins</w:t>
      </w:r>
      <w:r w:rsidR="00DD49D7">
        <w:t>,</w:t>
      </w:r>
      <w:r w:rsidRPr="00F25254">
        <w:t xml:space="preserve"> 1994; Fischer, Shinn, </w:t>
      </w:r>
      <w:proofErr w:type="spellStart"/>
      <w:r w:rsidRPr="00F25254">
        <w:t>Shrout</w:t>
      </w:r>
      <w:proofErr w:type="spellEnd"/>
      <w:r w:rsidRPr="00F25254">
        <w:t xml:space="preserve"> &amp; Tsemberis, 2008; </w:t>
      </w:r>
      <w:proofErr w:type="spellStart"/>
      <w:r w:rsidRPr="00F25254">
        <w:t>Milby</w:t>
      </w:r>
      <w:proofErr w:type="spellEnd"/>
      <w:r w:rsidRPr="00F25254">
        <w:t xml:space="preserve">, Wallace, Ward, Schumacher, &amp; Michael, 2005; North, </w:t>
      </w:r>
      <w:proofErr w:type="spellStart"/>
      <w:r w:rsidRPr="00F25254">
        <w:t>Eyrich</w:t>
      </w:r>
      <w:proofErr w:type="spellEnd"/>
      <w:r w:rsidRPr="00F25254">
        <w:t xml:space="preserve">, </w:t>
      </w:r>
      <w:proofErr w:type="spellStart"/>
      <w:r w:rsidRPr="00F25254">
        <w:t>Pollio</w:t>
      </w:r>
      <w:proofErr w:type="spellEnd"/>
      <w:r w:rsidRPr="00F25254">
        <w:t xml:space="preserve">, &amp; </w:t>
      </w:r>
      <w:proofErr w:type="spellStart"/>
      <w:r w:rsidRPr="00F25254">
        <w:t>Spitznagel</w:t>
      </w:r>
      <w:proofErr w:type="spellEnd"/>
      <w:r w:rsidRPr="00F25254">
        <w:t xml:space="preserve">, 2004; Peters &amp; Wexler, 2005; Peters et al., 2008; Sacks, Drake, Williams, Banks &amp; </w:t>
      </w:r>
      <w:proofErr w:type="spellStart"/>
      <w:r w:rsidRPr="00F25254">
        <w:t>Herrell</w:t>
      </w:r>
      <w:proofErr w:type="spellEnd"/>
      <w:r w:rsidRPr="00F25254">
        <w:t xml:space="preserve">, 2003; Smith, North, &amp; </w:t>
      </w:r>
      <w:proofErr w:type="spellStart"/>
      <w:r w:rsidRPr="00F25254">
        <w:t>Spitznagel</w:t>
      </w:r>
      <w:proofErr w:type="spellEnd"/>
      <w:r w:rsidRPr="00F25254">
        <w:t>, 1992;  </w:t>
      </w:r>
      <w:proofErr w:type="spellStart"/>
      <w:r w:rsidRPr="00F25254">
        <w:t>Sobell</w:t>
      </w:r>
      <w:proofErr w:type="spellEnd"/>
      <w:r w:rsidRPr="00F25254">
        <w:t xml:space="preserve"> &amp; </w:t>
      </w:r>
      <w:proofErr w:type="spellStart"/>
      <w:r w:rsidRPr="00F25254">
        <w:t>Sobell</w:t>
      </w:r>
      <w:proofErr w:type="spellEnd"/>
      <w:r w:rsidRPr="00F25254">
        <w:t xml:space="preserve"> 1992; </w:t>
      </w:r>
      <w:proofErr w:type="spellStart"/>
      <w:r w:rsidRPr="00F25254">
        <w:t>Sobell</w:t>
      </w:r>
      <w:proofErr w:type="spellEnd"/>
      <w:r w:rsidRPr="00F25254">
        <w:t xml:space="preserve"> &amp; </w:t>
      </w:r>
      <w:proofErr w:type="spellStart"/>
      <w:r w:rsidRPr="00F25254">
        <w:t>Sobell</w:t>
      </w:r>
      <w:proofErr w:type="spellEnd"/>
      <w:r w:rsidRPr="00F25254">
        <w:t xml:space="preserve">, 1995; Spies et al., 2007; Tsemberis, </w:t>
      </w:r>
      <w:proofErr w:type="spellStart"/>
      <w:r w:rsidRPr="00F25254">
        <w:t>Gulcur</w:t>
      </w:r>
      <w:proofErr w:type="spellEnd"/>
      <w:r w:rsidRPr="00F25254">
        <w:t xml:space="preserve">, &amp; </w:t>
      </w:r>
      <w:proofErr w:type="spellStart"/>
      <w:r w:rsidRPr="00F25254">
        <w:t>Nakae</w:t>
      </w:r>
      <w:proofErr w:type="spellEnd"/>
      <w:r w:rsidRPr="00F25254">
        <w:t xml:space="preserve">, 2004; Tsemberis et al., 2007—many of which are also </w:t>
      </w:r>
      <w:proofErr w:type="spellStart"/>
      <w:r w:rsidRPr="00F25254">
        <w:t>likert</w:t>
      </w:r>
      <w:proofErr w:type="spellEnd"/>
      <w:r w:rsidRPr="00F25254">
        <w:t xml:space="preserve"> response scales). Time-based and </w:t>
      </w:r>
      <w:proofErr w:type="spellStart"/>
      <w:r w:rsidRPr="00F25254">
        <w:t>likert</w:t>
      </w:r>
      <w:proofErr w:type="spellEnd"/>
      <w:r w:rsidRPr="00F25254">
        <w:t xml:space="preserve"> scale (matrix) questions focused on housing satisfaction, psychiatric symptoms and functioning</w:t>
      </w:r>
      <w:r w:rsidR="003A1C4C">
        <w:t xml:space="preserve"> (including trauma)</w:t>
      </w:r>
      <w:r w:rsidRPr="00F25254">
        <w:t xml:space="preserve">, drug use and attitudes, service </w:t>
      </w:r>
      <w:r w:rsidR="003A1C4C">
        <w:t xml:space="preserve">choice, burden and </w:t>
      </w:r>
      <w:r w:rsidRPr="00F25254">
        <w:t xml:space="preserve">satisfaction, quality of life, social supports, homeless and residential history, </w:t>
      </w:r>
      <w:r w:rsidR="003A1C4C">
        <w:t xml:space="preserve">military history, education and employment, </w:t>
      </w:r>
      <w:r w:rsidRPr="00F25254">
        <w:t>and so forth</w:t>
      </w:r>
      <w:r w:rsidR="003A1C4C">
        <w:t>,</w:t>
      </w:r>
      <w:r w:rsidRPr="00F25254">
        <w:t xml:space="preserve"> have been included in current and prior OMB approved evaluations and SAMHSA-wide client-level program performance data collection (</w:t>
      </w:r>
      <w:r w:rsidR="00BC73CE">
        <w:t>For example,</w:t>
      </w:r>
      <w:r w:rsidRPr="00F25254">
        <w:t xml:space="preserve"> SAMHSA </w:t>
      </w:r>
      <w:r w:rsidR="00DD49D7">
        <w:lastRenderedPageBreak/>
        <w:t>Target</w:t>
      </w:r>
      <w:r w:rsidR="008B79E6">
        <w:t>ed</w:t>
      </w:r>
      <w:r w:rsidR="00DD49D7">
        <w:t xml:space="preserve"> Capacity Expansion Grants for Jail Diversion Programs</w:t>
      </w:r>
      <w:r w:rsidRPr="00F25254">
        <w:t>, OMB control number 0930-0277; SAMHSA Homeless Families, OMB control number 0</w:t>
      </w:r>
      <w:r w:rsidR="00DD49D7">
        <w:t>9</w:t>
      </w:r>
      <w:r w:rsidRPr="00F25254">
        <w:t>30-0223; HUD Life After Transitional Housing</w:t>
      </w:r>
      <w:r w:rsidR="008B79E6">
        <w:t>, OMB control number</w:t>
      </w:r>
      <w:r w:rsidRPr="00F25254">
        <w:t xml:space="preserve"> 2528-0239; </w:t>
      </w:r>
      <w:r w:rsidR="00BC73CE" w:rsidRPr="00BC73CE">
        <w:rPr>
          <w:rFonts w:cs="Arial"/>
          <w:color w:val="2E2E2E"/>
        </w:rPr>
        <w:t>National Outcomes Performance Assessment of the Collaborative Initiative to Help End Chronic Homelessness</w:t>
      </w:r>
      <w:r w:rsidRPr="00BC73CE">
        <w:t xml:space="preserve">  , OMB</w:t>
      </w:r>
      <w:r w:rsidRPr="00F25254">
        <w:t xml:space="preserve"> control number</w:t>
      </w:r>
      <w:r w:rsidR="00BC73CE">
        <w:t xml:space="preserve"> </w:t>
      </w:r>
      <w:r w:rsidR="00BC73CE" w:rsidRPr="00BC73CE">
        <w:rPr>
          <w:rFonts w:cs="Arial"/>
          <w:color w:val="2E2E2E"/>
        </w:rPr>
        <w:t>0930-0247</w:t>
      </w:r>
      <w:r w:rsidRPr="00BC73CE">
        <w:t>;</w:t>
      </w:r>
      <w:r w:rsidRPr="00F25254">
        <w:t xml:space="preserve"> </w:t>
      </w:r>
      <w:r w:rsidR="0091533A" w:rsidRPr="00F25254">
        <w:t xml:space="preserve">Access to Recovery, </w:t>
      </w:r>
      <w:r w:rsidR="00A861E1" w:rsidRPr="00F25254">
        <w:t>O</w:t>
      </w:r>
      <w:r w:rsidR="00A861E1">
        <w:t>MB</w:t>
      </w:r>
      <w:r w:rsidR="00A861E1" w:rsidRPr="00F25254">
        <w:t xml:space="preserve"> </w:t>
      </w:r>
      <w:r w:rsidR="0091533A" w:rsidRPr="00F25254">
        <w:t>control number</w:t>
      </w:r>
      <w:r w:rsidR="00253D8D" w:rsidRPr="00F25254">
        <w:t xml:space="preserve"> 0930-0299</w:t>
      </w:r>
      <w:r w:rsidRPr="00F25254">
        <w:t>;</w:t>
      </w:r>
      <w:r w:rsidR="00187AF1" w:rsidRPr="00F25254">
        <w:t xml:space="preserve"> Safe Dates, OMB control number 0920-0783; School Violence, OMB control number 1850-0814;</w:t>
      </w:r>
      <w:r w:rsidRPr="00F25254">
        <w:t xml:space="preserve"> SAMHSA CMHS NOMs Adult Consumer Outcome Measures for Discretionary Programs, OMB control number 0930-0285</w:t>
      </w:r>
      <w:r w:rsidR="00DD49D7">
        <w:t>;</w:t>
      </w:r>
      <w:r w:rsidRPr="00F25254">
        <w:t xml:space="preserve"> SAMHSA CSAP Participant Outcome Measures for Discretionary Programs, OMB </w:t>
      </w:r>
      <w:r w:rsidR="00DD49D7">
        <w:t>control number</w:t>
      </w:r>
      <w:r w:rsidRPr="00F25254">
        <w:t xml:space="preserve"> 0930-0208). </w:t>
      </w:r>
    </w:p>
    <w:p w:rsidR="003D6CD9" w:rsidRPr="00F25254" w:rsidRDefault="003D6CD9" w:rsidP="00A861E1">
      <w:pPr>
        <w:pStyle w:val="NoSpacing"/>
        <w:ind w:firstLine="720"/>
        <w:jc w:val="both"/>
      </w:pPr>
      <w:r w:rsidRPr="00F25254">
        <w:t>Per the request of the reviewers we cross-walk each survey question</w:t>
      </w:r>
      <w:r w:rsidR="0018087A">
        <w:t xml:space="preserve"> and identify the </w:t>
      </w:r>
      <w:r w:rsidRPr="00F25254">
        <w:t xml:space="preserve"> domain, justification, </w:t>
      </w:r>
      <w:r w:rsidR="0018087A">
        <w:t xml:space="preserve">some of the </w:t>
      </w:r>
      <w:r w:rsidRPr="00F25254">
        <w:t xml:space="preserve">literature </w:t>
      </w:r>
      <w:r w:rsidR="0018087A">
        <w:t xml:space="preserve">in which data from these measures is published, and  the OMB control number for those measures that have been previously included in a relevant OMB approved survey. </w:t>
      </w:r>
      <w:r w:rsidRPr="00F25254">
        <w:t xml:space="preserve"> We also highlight for reviewers that measurement choice was the result of an extensive literature review and expert panel meeting that included national researchers, consumers, policy makers, other advocates and government agencies as described in the Supporting Statement</w:t>
      </w:r>
      <w:r w:rsidR="0018087A">
        <w:t xml:space="preserve"> (</w:t>
      </w:r>
      <w:r w:rsidR="00A861E1">
        <w:t>section A.2, page 4 and section A.8, pages 9-11</w:t>
      </w:r>
      <w:r w:rsidR="0018087A" w:rsidRPr="00A861E1">
        <w:t>)</w:t>
      </w:r>
      <w:r w:rsidRPr="00A861E1">
        <w:t>.</w:t>
      </w:r>
      <w:r w:rsidRPr="00F25254">
        <w:t xml:space="preserve"> We add information based on our </w:t>
      </w:r>
      <w:r w:rsidR="0018087A">
        <w:t xml:space="preserve">site </w:t>
      </w:r>
      <w:r w:rsidRPr="00F25254">
        <w:t xml:space="preserve">visits and conversation with the 25 GBHI Grantee sites </w:t>
      </w:r>
      <w:r w:rsidR="0018087A">
        <w:t xml:space="preserve">subsequent to submission of the Supporting Statement </w:t>
      </w:r>
      <w:r w:rsidRPr="00F25254">
        <w:t>that provide support for this survey</w:t>
      </w:r>
      <w:r w:rsidR="0018087A">
        <w:t xml:space="preserve">. We also present </w:t>
      </w:r>
      <w:r w:rsidRPr="00F25254">
        <w:t xml:space="preserve">results of the cognitive testing and </w:t>
      </w:r>
      <w:r w:rsidR="0018087A">
        <w:t xml:space="preserve">burden estimates (consistent with the tables submitted in the Supporting Statement, </w:t>
      </w:r>
      <w:r w:rsidR="00A861E1">
        <w:t>section A.12, page 14-15</w:t>
      </w:r>
      <w:r w:rsidR="0018087A">
        <w:t xml:space="preserve">) </w:t>
      </w:r>
      <w:r w:rsidRPr="00F25254">
        <w:t>of the survey with current active clients in two sites</w:t>
      </w:r>
      <w:r w:rsidR="0018087A">
        <w:t xml:space="preserve"> responsive to the OMB request for a “full dry run” and cognitive testing with active clients. </w:t>
      </w:r>
      <w:r w:rsidRPr="00F25254">
        <w:t xml:space="preserve">  </w:t>
      </w:r>
    </w:p>
    <w:p w:rsidR="003D6CD9" w:rsidRPr="00F25254" w:rsidRDefault="003D6CD9" w:rsidP="003D6CD9">
      <w:pPr>
        <w:pStyle w:val="NoSpacing"/>
        <w:jc w:val="both"/>
      </w:pPr>
    </w:p>
    <w:p w:rsidR="003D6CD9" w:rsidRPr="00F25254" w:rsidRDefault="003D6CD9" w:rsidP="00913557">
      <w:pPr>
        <w:pStyle w:val="NoSpacing"/>
        <w:jc w:val="both"/>
      </w:pPr>
    </w:p>
    <w:p w:rsidR="003D6CD9" w:rsidRPr="00A74905" w:rsidRDefault="00A74905" w:rsidP="00A74905">
      <w:pPr>
        <w:pStyle w:val="NoSpacing"/>
        <w:jc w:val="center"/>
        <w:rPr>
          <w:b/>
          <w:bCs/>
        </w:rPr>
      </w:pPr>
      <w:r>
        <w:br w:type="page"/>
      </w:r>
      <w:r w:rsidRPr="00A74905">
        <w:rPr>
          <w:b/>
          <w:bCs/>
        </w:rPr>
        <w:lastRenderedPageBreak/>
        <w:t>GBHI Client Survey and Stakeholder Survey Response to OMB Questions</w:t>
      </w:r>
    </w:p>
    <w:p w:rsidR="002E6447" w:rsidRPr="00F25254" w:rsidRDefault="002E6447" w:rsidP="00DB7874">
      <w:pPr>
        <w:pStyle w:val="NoSpacing"/>
        <w:ind w:left="720" w:hanging="720"/>
        <w:jc w:val="both"/>
        <w:rPr>
          <w:b/>
        </w:rPr>
      </w:pPr>
      <w:r w:rsidRPr="00F25254">
        <w:rPr>
          <w:b/>
        </w:rPr>
        <w:t>Part A</w:t>
      </w:r>
    </w:p>
    <w:p w:rsidR="002E6447" w:rsidRPr="00F25254" w:rsidRDefault="002E6447" w:rsidP="00DB7874">
      <w:pPr>
        <w:pStyle w:val="NoSpacing"/>
        <w:jc w:val="both"/>
        <w:rPr>
          <w:b/>
        </w:rPr>
      </w:pPr>
      <w:r w:rsidRPr="00F25254">
        <w:rPr>
          <w:b/>
        </w:rPr>
        <w:t xml:space="preserve">Section 1: </w:t>
      </w:r>
    </w:p>
    <w:p w:rsidR="00DB7874" w:rsidRPr="007503C9" w:rsidRDefault="00DB7874" w:rsidP="00DB7874">
      <w:pPr>
        <w:pStyle w:val="NoSpacing"/>
        <w:jc w:val="both"/>
        <w:rPr>
          <w:b/>
          <w:bCs/>
        </w:rPr>
      </w:pPr>
      <w:r w:rsidRPr="007503C9">
        <w:rPr>
          <w:b/>
          <w:bCs/>
        </w:rPr>
        <w:t>We would like some additional background on how the program works and how a client gets involved in the program.  If SAMHSA can provide an already-written background document that answers all of these questions, then they do not need to be answered separately.</w:t>
      </w:r>
    </w:p>
    <w:p w:rsidR="009E3209" w:rsidRPr="00F25254" w:rsidRDefault="009E3209" w:rsidP="009E3209">
      <w:pPr>
        <w:pStyle w:val="NoSpacing"/>
        <w:jc w:val="both"/>
        <w:rPr>
          <w:highlight w:val="yellow"/>
          <w:u w:val="single"/>
        </w:rPr>
      </w:pPr>
    </w:p>
    <w:p w:rsidR="004A7581" w:rsidRPr="00F25254" w:rsidRDefault="009E3209" w:rsidP="0063035F">
      <w:pPr>
        <w:pStyle w:val="BodyText1"/>
        <w:spacing w:after="0"/>
        <w:ind w:firstLine="0"/>
        <w:jc w:val="both"/>
        <w:rPr>
          <w:rFonts w:ascii="Calibri" w:eastAsia="Calibri" w:hAnsi="Calibri"/>
          <w:szCs w:val="22"/>
        </w:rPr>
      </w:pPr>
      <w:r w:rsidRPr="00BC73CE">
        <w:rPr>
          <w:u w:val="single"/>
        </w:rPr>
        <w:t>R</w:t>
      </w:r>
      <w:r w:rsidRPr="00BC73CE">
        <w:rPr>
          <w:i/>
          <w:iCs/>
          <w:u w:val="single"/>
        </w:rPr>
        <w:t>esponse</w:t>
      </w:r>
      <w:r w:rsidRPr="00BC73CE">
        <w:rPr>
          <w:i/>
          <w:iCs/>
        </w:rPr>
        <w:t>:</w:t>
      </w:r>
      <w:r w:rsidRPr="00F25254">
        <w:t xml:space="preserve"> </w:t>
      </w:r>
      <w:r w:rsidR="004A7581" w:rsidRPr="00F25254">
        <w:rPr>
          <w:rFonts w:ascii="Calibri" w:eastAsia="Calibri" w:hAnsi="Calibri"/>
          <w:szCs w:val="22"/>
        </w:rPr>
        <w:t xml:space="preserve">The Center for Substance Abuse Treatment (CSAT) at the Substance Abuse and Mental Health Services Administration (SAMHSA) was funded by Congress to establish the Grants for the Benefit of Homeless Individuals (GBHI) program, sometimes also referred to as the Treatment for Homeless program. GBHI is a competitive, discretionary program initiated in 2001 </w:t>
      </w:r>
      <w:r w:rsidR="00710DE7">
        <w:rPr>
          <w:rFonts w:ascii="Calibri" w:eastAsia="Calibri" w:hAnsi="Calibri"/>
          <w:szCs w:val="22"/>
        </w:rPr>
        <w:t xml:space="preserve">to reduce homelessness </w:t>
      </w:r>
      <w:r w:rsidR="0063035F">
        <w:rPr>
          <w:rFonts w:ascii="Calibri" w:eastAsia="Calibri" w:hAnsi="Calibri"/>
          <w:szCs w:val="22"/>
        </w:rPr>
        <w:t>and</w:t>
      </w:r>
      <w:r w:rsidR="00710DE7">
        <w:rPr>
          <w:rFonts w:ascii="Calibri" w:eastAsia="Calibri" w:hAnsi="Calibri"/>
          <w:szCs w:val="22"/>
        </w:rPr>
        <w:t xml:space="preserve"> maintain housing through provision of treatment and other services to youth</w:t>
      </w:r>
      <w:r w:rsidR="0063035F">
        <w:rPr>
          <w:rFonts w:ascii="Calibri" w:eastAsia="Calibri" w:hAnsi="Calibri"/>
          <w:szCs w:val="22"/>
        </w:rPr>
        <w:t>, adults and families</w:t>
      </w:r>
      <w:r w:rsidR="00710DE7">
        <w:rPr>
          <w:rFonts w:ascii="Calibri" w:eastAsia="Calibri" w:hAnsi="Calibri"/>
          <w:szCs w:val="22"/>
        </w:rPr>
        <w:t xml:space="preserve"> with substance use and co-occurring mental disorders. The GBHI program includes general </w:t>
      </w:r>
      <w:r w:rsidR="00681837">
        <w:rPr>
          <w:rFonts w:ascii="Calibri" w:eastAsia="Calibri" w:hAnsi="Calibri"/>
          <w:szCs w:val="22"/>
        </w:rPr>
        <w:t>Grantees</w:t>
      </w:r>
      <w:r w:rsidR="00710DE7">
        <w:rPr>
          <w:rFonts w:ascii="Calibri" w:eastAsia="Calibri" w:hAnsi="Calibri"/>
          <w:szCs w:val="22"/>
        </w:rPr>
        <w:t xml:space="preserve"> focused on intervening in homelessness and services for supportive housing </w:t>
      </w:r>
      <w:r w:rsidR="0063035F">
        <w:rPr>
          <w:rFonts w:ascii="Calibri" w:eastAsia="Calibri" w:hAnsi="Calibri"/>
          <w:szCs w:val="22"/>
        </w:rPr>
        <w:t xml:space="preserve">(SSH) </w:t>
      </w:r>
      <w:r w:rsidR="00681837">
        <w:rPr>
          <w:rFonts w:ascii="Calibri" w:eastAsia="Calibri" w:hAnsi="Calibri"/>
          <w:szCs w:val="22"/>
        </w:rPr>
        <w:t>Grantees</w:t>
      </w:r>
      <w:r w:rsidR="00710DE7">
        <w:rPr>
          <w:rFonts w:ascii="Calibri" w:eastAsia="Calibri" w:hAnsi="Calibri"/>
          <w:szCs w:val="22"/>
        </w:rPr>
        <w:t xml:space="preserve"> who provide supports for those previously homeless to maintain their housing</w:t>
      </w:r>
      <w:r w:rsidR="0063035F">
        <w:rPr>
          <w:rFonts w:ascii="Calibri" w:eastAsia="Calibri" w:hAnsi="Calibri"/>
          <w:szCs w:val="22"/>
        </w:rPr>
        <w:t xml:space="preserve"> and sobriety</w:t>
      </w:r>
      <w:r w:rsidR="00710DE7">
        <w:rPr>
          <w:rFonts w:ascii="Calibri" w:eastAsia="Calibri" w:hAnsi="Calibri"/>
          <w:szCs w:val="22"/>
        </w:rPr>
        <w:t xml:space="preserve">. </w:t>
      </w:r>
      <w:r w:rsidR="004A7581" w:rsidRPr="00F25254">
        <w:rPr>
          <w:rFonts w:ascii="Calibri" w:eastAsia="Calibri" w:hAnsi="Calibri"/>
          <w:szCs w:val="22"/>
        </w:rPr>
        <w:t>The program’s goals are to (1) link substance use and mental health treatment services with housing programs and other services, (2) expand and strengthen treatment services for people who are homeless who also have substance use disorders, mental disorders, or co-occurring substance use and mental disorders; and (3) increase the number of homeless people who are placed in stable housing and who receive treatment services for alcohol, substance use, and co-occurring disorders.</w:t>
      </w:r>
      <w:r w:rsidR="00710DE7">
        <w:rPr>
          <w:rFonts w:ascii="Calibri" w:eastAsia="Calibri" w:hAnsi="Calibri"/>
          <w:szCs w:val="22"/>
        </w:rPr>
        <w:t xml:space="preserve"> </w:t>
      </w:r>
    </w:p>
    <w:p w:rsidR="005761F4" w:rsidRDefault="004A7581" w:rsidP="008B79E6">
      <w:pPr>
        <w:pStyle w:val="Default"/>
        <w:ind w:firstLine="720"/>
        <w:rPr>
          <w:rFonts w:ascii="Calibri" w:hAnsi="Calibri"/>
          <w:sz w:val="22"/>
          <w:szCs w:val="22"/>
        </w:rPr>
      </w:pPr>
      <w:r w:rsidRPr="00710DE7">
        <w:rPr>
          <w:rFonts w:ascii="Calibri" w:hAnsi="Calibri"/>
          <w:sz w:val="22"/>
          <w:szCs w:val="22"/>
        </w:rPr>
        <w:t xml:space="preserve">Between 2001 and 2008, GBHI awarded 169 grants to provide services to the target population. An additional 25 </w:t>
      </w:r>
      <w:r w:rsidR="00681837">
        <w:rPr>
          <w:rFonts w:ascii="Calibri" w:hAnsi="Calibri"/>
          <w:sz w:val="22"/>
          <w:szCs w:val="22"/>
        </w:rPr>
        <w:t>Grantees</w:t>
      </w:r>
      <w:r w:rsidRPr="00710DE7">
        <w:rPr>
          <w:rFonts w:ascii="Calibri" w:hAnsi="Calibri"/>
          <w:sz w:val="22"/>
          <w:szCs w:val="22"/>
        </w:rPr>
        <w:t xml:space="preserve"> were funded in 2009. Some </w:t>
      </w:r>
      <w:r w:rsidR="00681837">
        <w:rPr>
          <w:rFonts w:ascii="Calibri" w:hAnsi="Calibri"/>
          <w:sz w:val="22"/>
          <w:szCs w:val="22"/>
        </w:rPr>
        <w:t>Grantees</w:t>
      </w:r>
      <w:r w:rsidRPr="00710DE7">
        <w:rPr>
          <w:rFonts w:ascii="Calibri" w:hAnsi="Calibri"/>
          <w:sz w:val="22"/>
          <w:szCs w:val="22"/>
        </w:rPr>
        <w:t xml:space="preserve"> serve priority populations, including criminal justice populations, chronically homeless persons, returning veterans, and chronic public inebriates; others focus on serving families, women, native Alaskans, Native Americans/Indians, other minority populations, or youth. Although all are required to, at a minimum, provide outreach, case management, substance abuse or co-occurring disorders treatment (integrated, sequential, or parallel), and wraparound and recovery services, many augment these services by adopting or adapting additional evidence-based practices (EBPs) from one of the SAMHSA toolkits (e.g., </w:t>
      </w:r>
      <w:r w:rsidR="00710DE7">
        <w:rPr>
          <w:rFonts w:ascii="Calibri" w:hAnsi="Calibri"/>
          <w:sz w:val="22"/>
          <w:szCs w:val="22"/>
        </w:rPr>
        <w:t>Assertive Community Treatme</w:t>
      </w:r>
      <w:r w:rsidR="008B79E6">
        <w:rPr>
          <w:rFonts w:ascii="Calibri" w:hAnsi="Calibri"/>
          <w:sz w:val="22"/>
          <w:szCs w:val="22"/>
        </w:rPr>
        <w:t>n</w:t>
      </w:r>
      <w:r w:rsidR="00710DE7">
        <w:rPr>
          <w:rFonts w:ascii="Calibri" w:hAnsi="Calibri"/>
          <w:sz w:val="22"/>
          <w:szCs w:val="22"/>
        </w:rPr>
        <w:t>t (</w:t>
      </w:r>
      <w:r w:rsidRPr="00710DE7">
        <w:rPr>
          <w:rFonts w:ascii="Calibri" w:hAnsi="Calibri"/>
          <w:sz w:val="22"/>
          <w:szCs w:val="22"/>
        </w:rPr>
        <w:t>ACT</w:t>
      </w:r>
      <w:r w:rsidR="00710DE7">
        <w:rPr>
          <w:rFonts w:ascii="Calibri" w:hAnsi="Calibri"/>
          <w:sz w:val="22"/>
          <w:szCs w:val="22"/>
        </w:rPr>
        <w:t>)</w:t>
      </w:r>
      <w:r w:rsidRPr="00710DE7">
        <w:rPr>
          <w:rFonts w:ascii="Calibri" w:hAnsi="Calibri"/>
          <w:sz w:val="22"/>
          <w:szCs w:val="22"/>
        </w:rPr>
        <w:t xml:space="preserve">, Illness Management and Recovery, Supportive Employment), CSAT’s Treatment Improvement Protocols, or the National Registry of Evidence-Based Programs and Practices (NREPP). The models for service delivery vary and include primarily by referral, direct provision of treatment and other services, or a mix of direct service provision and referral to other community-based organizations. Service models are implemented in an array of settings, including on the street through outreach; in drop-in settings, shelters, and hospitals; at medical, substance abuse, or mental health clinics; in residential treatment communities; or in any of these settings or other </w:t>
      </w:r>
      <w:proofErr w:type="spellStart"/>
      <w:r w:rsidRPr="00710DE7">
        <w:rPr>
          <w:rFonts w:ascii="Calibri" w:hAnsi="Calibri"/>
          <w:sz w:val="22"/>
          <w:szCs w:val="22"/>
        </w:rPr>
        <w:t>nonoffice</w:t>
      </w:r>
      <w:proofErr w:type="spellEnd"/>
      <w:r w:rsidRPr="00710DE7">
        <w:rPr>
          <w:rFonts w:ascii="Calibri" w:hAnsi="Calibri"/>
          <w:sz w:val="22"/>
          <w:szCs w:val="22"/>
        </w:rPr>
        <w:t xml:space="preserve"> settings through mobile crisis units or ACT teams. </w:t>
      </w:r>
    </w:p>
    <w:p w:rsidR="004A7581" w:rsidRPr="0063035F" w:rsidRDefault="005761F4" w:rsidP="0063035F">
      <w:pPr>
        <w:pStyle w:val="Default"/>
        <w:ind w:firstLine="720"/>
        <w:rPr>
          <w:rFonts w:ascii="Calibri" w:hAnsi="Calibri"/>
          <w:sz w:val="22"/>
          <w:szCs w:val="22"/>
        </w:rPr>
      </w:pPr>
      <w:r>
        <w:rPr>
          <w:rFonts w:ascii="Calibri" w:hAnsi="Calibri"/>
          <w:sz w:val="22"/>
          <w:szCs w:val="22"/>
        </w:rPr>
        <w:t xml:space="preserve">As described below, all clients are assessed by Grantees at intake, 6-months follow-up to intake and at program discharge with the CSAT </w:t>
      </w:r>
      <w:r w:rsidR="00DD49D7">
        <w:rPr>
          <w:rFonts w:ascii="Calibri" w:hAnsi="Calibri"/>
          <w:sz w:val="22"/>
          <w:szCs w:val="22"/>
        </w:rPr>
        <w:t xml:space="preserve">GPRA </w:t>
      </w:r>
      <w:r>
        <w:rPr>
          <w:rFonts w:ascii="Calibri" w:hAnsi="Calibri"/>
          <w:sz w:val="22"/>
          <w:szCs w:val="22"/>
        </w:rPr>
        <w:t>Client Outcome Measures (OMB control number</w:t>
      </w:r>
      <w:r w:rsidR="00C76B0B">
        <w:rPr>
          <w:rFonts w:ascii="Calibri" w:hAnsi="Calibri"/>
          <w:sz w:val="22"/>
          <w:szCs w:val="22"/>
        </w:rPr>
        <w:t xml:space="preserve"> 0930-0208</w:t>
      </w:r>
      <w:r>
        <w:rPr>
          <w:rFonts w:ascii="Calibri" w:hAnsi="Calibri"/>
          <w:sz w:val="22"/>
          <w:szCs w:val="22"/>
        </w:rPr>
        <w:t xml:space="preserve">) which data is provided to SAMHSA via the web and stored in the Services Accountability </w:t>
      </w:r>
      <w:r w:rsidR="002A1651">
        <w:rPr>
          <w:rFonts w:ascii="Calibri" w:hAnsi="Calibri"/>
          <w:sz w:val="22"/>
          <w:szCs w:val="22"/>
        </w:rPr>
        <w:t xml:space="preserve">Improvement </w:t>
      </w:r>
      <w:r>
        <w:rPr>
          <w:rFonts w:ascii="Calibri" w:hAnsi="Calibri"/>
          <w:sz w:val="22"/>
          <w:szCs w:val="22"/>
        </w:rPr>
        <w:t xml:space="preserve">System (SAIS). </w:t>
      </w:r>
      <w:r w:rsidR="00BC73CE" w:rsidRPr="00710DE7">
        <w:rPr>
          <w:rFonts w:ascii="Calibri" w:hAnsi="Calibri" w:cs="Arial"/>
          <w:sz w:val="22"/>
          <w:szCs w:val="22"/>
        </w:rPr>
        <w:t>Since the inception of the GBHI program, CSAT homele</w:t>
      </w:r>
      <w:r w:rsidR="00BC73CE" w:rsidRPr="0063035F">
        <w:rPr>
          <w:rFonts w:ascii="Calibri" w:hAnsi="Calibri" w:cs="Arial"/>
          <w:sz w:val="22"/>
          <w:szCs w:val="22"/>
        </w:rPr>
        <w:t>ss grants have served 33,171 individuals</w:t>
      </w:r>
      <w:r w:rsidR="0004224E" w:rsidRPr="0063035F">
        <w:rPr>
          <w:rFonts w:ascii="Calibri" w:hAnsi="Calibri" w:cs="Arial"/>
          <w:sz w:val="22"/>
          <w:szCs w:val="22"/>
        </w:rPr>
        <w:t xml:space="preserve">, </w:t>
      </w:r>
      <w:proofErr w:type="gramStart"/>
      <w:r w:rsidR="0004224E" w:rsidRPr="0063035F">
        <w:rPr>
          <w:rFonts w:ascii="Calibri" w:hAnsi="Calibri" w:cs="Arial"/>
          <w:sz w:val="22"/>
          <w:szCs w:val="22"/>
        </w:rPr>
        <w:t>a majority minority men</w:t>
      </w:r>
      <w:proofErr w:type="gramEnd"/>
      <w:r w:rsidR="0004224E" w:rsidRPr="0063035F">
        <w:rPr>
          <w:rFonts w:ascii="Calibri" w:hAnsi="Calibri" w:cs="Arial"/>
          <w:sz w:val="22"/>
          <w:szCs w:val="22"/>
        </w:rPr>
        <w:t xml:space="preserve"> aged 18 to 54 (Le Fa</w:t>
      </w:r>
      <w:r w:rsidR="00C76B0B" w:rsidRPr="0063035F">
        <w:rPr>
          <w:rFonts w:ascii="Calibri" w:hAnsi="Calibri" w:cs="Arial"/>
          <w:sz w:val="22"/>
          <w:szCs w:val="22"/>
        </w:rPr>
        <w:t>u</w:t>
      </w:r>
      <w:r w:rsidR="0004224E" w:rsidRPr="0063035F">
        <w:rPr>
          <w:rFonts w:ascii="Calibri" w:hAnsi="Calibri" w:cs="Arial"/>
          <w:sz w:val="22"/>
          <w:szCs w:val="22"/>
        </w:rPr>
        <w:t>ve, 2009)</w:t>
      </w:r>
      <w:r w:rsidR="00BC73CE" w:rsidRPr="0063035F">
        <w:rPr>
          <w:rFonts w:ascii="Calibri" w:hAnsi="Calibri" w:cs="Arial"/>
          <w:sz w:val="22"/>
          <w:szCs w:val="22"/>
        </w:rPr>
        <w:t xml:space="preserve">. In 2010 the active portfolio has served over 22,000 individuals. </w:t>
      </w:r>
      <w:r w:rsidRPr="0063035F">
        <w:rPr>
          <w:rFonts w:ascii="Calibri" w:hAnsi="Calibri" w:cs="Arial"/>
          <w:sz w:val="22"/>
          <w:szCs w:val="22"/>
        </w:rPr>
        <w:t>Per the FY2010 President</w:t>
      </w:r>
      <w:r w:rsidR="0063035F" w:rsidRPr="0063035F">
        <w:rPr>
          <w:rFonts w:ascii="Calibri" w:hAnsi="Calibri" w:cs="Arial"/>
          <w:sz w:val="22"/>
          <w:szCs w:val="22"/>
        </w:rPr>
        <w:t xml:space="preserve"> Obama</w:t>
      </w:r>
      <w:r w:rsidRPr="0063035F">
        <w:rPr>
          <w:rFonts w:ascii="Calibri" w:hAnsi="Calibri" w:cs="Arial"/>
          <w:sz w:val="22"/>
          <w:szCs w:val="22"/>
        </w:rPr>
        <w:t>’s budget, o</w:t>
      </w:r>
      <w:r w:rsidR="00BC73CE" w:rsidRPr="0063035F">
        <w:rPr>
          <w:rFonts w:ascii="Calibri" w:hAnsi="Calibri" w:cs="Arial"/>
          <w:sz w:val="22"/>
          <w:szCs w:val="22"/>
        </w:rPr>
        <w:t xml:space="preserve">utcomes data available for a subset of clients served by the program through 91 active GBHI </w:t>
      </w:r>
      <w:r w:rsidR="00681837">
        <w:rPr>
          <w:rFonts w:ascii="Calibri" w:hAnsi="Calibri" w:cs="Arial"/>
          <w:sz w:val="22"/>
          <w:szCs w:val="22"/>
        </w:rPr>
        <w:t>Grantees</w:t>
      </w:r>
      <w:r w:rsidR="00BC73CE" w:rsidRPr="0063035F">
        <w:rPr>
          <w:rFonts w:ascii="Calibri" w:hAnsi="Calibri" w:cs="Arial"/>
          <w:sz w:val="22"/>
          <w:szCs w:val="22"/>
        </w:rPr>
        <w:t xml:space="preserve"> </w:t>
      </w:r>
      <w:r w:rsidR="0063035F" w:rsidRPr="0063035F">
        <w:rPr>
          <w:rFonts w:ascii="Calibri" w:hAnsi="Calibri" w:cs="Arial"/>
          <w:sz w:val="22"/>
          <w:szCs w:val="22"/>
        </w:rPr>
        <w:t xml:space="preserve">was cited indicating </w:t>
      </w:r>
      <w:r w:rsidR="00BC73CE" w:rsidRPr="0063035F">
        <w:rPr>
          <w:rFonts w:ascii="Calibri" w:hAnsi="Calibri" w:cs="Arial"/>
          <w:sz w:val="22"/>
          <w:szCs w:val="22"/>
        </w:rPr>
        <w:t xml:space="preserve">that individuals demonstrate: </w:t>
      </w:r>
      <w:r w:rsidR="0063035F" w:rsidRPr="0063035F">
        <w:rPr>
          <w:rFonts w:ascii="Calibri" w:hAnsi="Calibri" w:cs="Arial"/>
          <w:sz w:val="22"/>
          <w:szCs w:val="22"/>
        </w:rPr>
        <w:t xml:space="preserve">1) </w:t>
      </w:r>
      <w:r w:rsidR="00BC73CE" w:rsidRPr="0063035F">
        <w:rPr>
          <w:rFonts w:ascii="Calibri" w:hAnsi="Calibri" w:cs="Arial"/>
          <w:sz w:val="22"/>
          <w:szCs w:val="22"/>
        </w:rPr>
        <w:t>122</w:t>
      </w:r>
      <w:r w:rsidR="0063035F" w:rsidRPr="0063035F">
        <w:rPr>
          <w:rFonts w:ascii="Calibri" w:hAnsi="Calibri" w:cs="Arial"/>
          <w:sz w:val="22"/>
          <w:szCs w:val="22"/>
        </w:rPr>
        <w:t>%</w:t>
      </w:r>
      <w:r w:rsidR="00BC73CE" w:rsidRPr="0063035F">
        <w:rPr>
          <w:rFonts w:ascii="Calibri" w:hAnsi="Calibri" w:cs="Arial"/>
          <w:sz w:val="22"/>
          <w:szCs w:val="22"/>
        </w:rPr>
        <w:t xml:space="preserve"> increase in employment or engaging in productive activities; </w:t>
      </w:r>
      <w:r w:rsidR="0063035F" w:rsidRPr="0063035F">
        <w:rPr>
          <w:rFonts w:ascii="Calibri" w:hAnsi="Calibri" w:cs="Arial"/>
          <w:sz w:val="22"/>
          <w:szCs w:val="22"/>
        </w:rPr>
        <w:t xml:space="preserve">2) </w:t>
      </w:r>
      <w:r w:rsidR="00BC73CE" w:rsidRPr="0063035F">
        <w:rPr>
          <w:rFonts w:ascii="Calibri" w:hAnsi="Calibri" w:cs="Arial"/>
          <w:sz w:val="22"/>
          <w:szCs w:val="22"/>
        </w:rPr>
        <w:t>166</w:t>
      </w:r>
      <w:r w:rsidR="0063035F" w:rsidRPr="0063035F">
        <w:rPr>
          <w:rFonts w:ascii="Calibri" w:hAnsi="Calibri" w:cs="Arial"/>
          <w:sz w:val="22"/>
          <w:szCs w:val="22"/>
        </w:rPr>
        <w:t>%</w:t>
      </w:r>
      <w:r w:rsidR="00BC73CE" w:rsidRPr="0063035F">
        <w:rPr>
          <w:rFonts w:ascii="Calibri" w:hAnsi="Calibri" w:cs="Arial"/>
          <w:sz w:val="22"/>
          <w:szCs w:val="22"/>
        </w:rPr>
        <w:t xml:space="preserve"> increase in persons with a permanent place to live in the community; </w:t>
      </w:r>
      <w:r w:rsidR="0063035F" w:rsidRPr="0063035F">
        <w:rPr>
          <w:rFonts w:ascii="Calibri" w:hAnsi="Calibri" w:cs="Arial"/>
          <w:sz w:val="22"/>
          <w:szCs w:val="22"/>
        </w:rPr>
        <w:t xml:space="preserve">3) </w:t>
      </w:r>
      <w:r w:rsidR="00BC73CE" w:rsidRPr="0063035F">
        <w:rPr>
          <w:rFonts w:ascii="Calibri" w:hAnsi="Calibri" w:cs="Arial"/>
          <w:sz w:val="22"/>
          <w:szCs w:val="22"/>
        </w:rPr>
        <w:t>52</w:t>
      </w:r>
      <w:r w:rsidR="0063035F" w:rsidRPr="0063035F">
        <w:rPr>
          <w:rFonts w:ascii="Calibri" w:hAnsi="Calibri" w:cs="Arial"/>
          <w:sz w:val="22"/>
          <w:szCs w:val="22"/>
        </w:rPr>
        <w:t>%</w:t>
      </w:r>
      <w:r w:rsidR="00BC73CE" w:rsidRPr="0063035F">
        <w:rPr>
          <w:rFonts w:ascii="Calibri" w:hAnsi="Calibri" w:cs="Arial"/>
          <w:sz w:val="22"/>
          <w:szCs w:val="22"/>
        </w:rPr>
        <w:t xml:space="preserve"> increase </w:t>
      </w:r>
      <w:r w:rsidR="00BC73CE" w:rsidRPr="0063035F">
        <w:rPr>
          <w:rFonts w:ascii="Calibri" w:hAnsi="Calibri" w:cs="Arial"/>
          <w:sz w:val="22"/>
          <w:szCs w:val="22"/>
        </w:rPr>
        <w:lastRenderedPageBreak/>
        <w:t>in no past months substance use;</w:t>
      </w:r>
      <w:r w:rsidR="0063035F" w:rsidRPr="0063035F">
        <w:rPr>
          <w:rFonts w:ascii="Calibri" w:hAnsi="Calibri" w:cs="Arial"/>
          <w:sz w:val="22"/>
          <w:szCs w:val="22"/>
        </w:rPr>
        <w:t xml:space="preserve"> and 4) </w:t>
      </w:r>
      <w:r w:rsidR="00BC73CE" w:rsidRPr="0063035F">
        <w:rPr>
          <w:rFonts w:ascii="Calibri" w:hAnsi="Calibri" w:cs="Arial"/>
          <w:sz w:val="22"/>
          <w:szCs w:val="22"/>
        </w:rPr>
        <w:t>36</w:t>
      </w:r>
      <w:r w:rsidR="0063035F" w:rsidRPr="0063035F">
        <w:rPr>
          <w:rFonts w:ascii="Calibri" w:hAnsi="Calibri" w:cs="Arial"/>
          <w:sz w:val="22"/>
          <w:szCs w:val="22"/>
        </w:rPr>
        <w:t>%</w:t>
      </w:r>
      <w:r w:rsidR="00BC73CE" w:rsidRPr="0063035F">
        <w:rPr>
          <w:rFonts w:ascii="Calibri" w:hAnsi="Calibri" w:cs="Arial"/>
          <w:sz w:val="22"/>
          <w:szCs w:val="22"/>
        </w:rPr>
        <w:t xml:space="preserve"> improvement in no/reduced alcohol or illegal drug related health, behavioral or social consequences.</w:t>
      </w:r>
    </w:p>
    <w:p w:rsidR="009E3209" w:rsidRPr="00F25254" w:rsidRDefault="009E3209" w:rsidP="00DB7874">
      <w:pPr>
        <w:pStyle w:val="NoSpacing"/>
        <w:jc w:val="both"/>
      </w:pPr>
    </w:p>
    <w:p w:rsidR="00DB7874" w:rsidRPr="00836036" w:rsidRDefault="00DB7874" w:rsidP="00DB7874">
      <w:pPr>
        <w:pStyle w:val="NoSpacing"/>
        <w:numPr>
          <w:ilvl w:val="0"/>
          <w:numId w:val="2"/>
        </w:numPr>
        <w:jc w:val="both"/>
        <w:rPr>
          <w:b/>
          <w:bCs/>
        </w:rPr>
      </w:pPr>
      <w:r w:rsidRPr="00836036">
        <w:rPr>
          <w:b/>
          <w:bCs/>
        </w:rPr>
        <w:t xml:space="preserve">How likely are clients to remain in the program once they are admitted? </w:t>
      </w:r>
    </w:p>
    <w:p w:rsidR="00836036" w:rsidRDefault="009E3209" w:rsidP="00836036">
      <w:pPr>
        <w:pStyle w:val="NoSpacing"/>
        <w:jc w:val="both"/>
      </w:pPr>
      <w:r w:rsidRPr="00F25254">
        <w:rPr>
          <w:i/>
          <w:iCs/>
          <w:u w:val="single"/>
        </w:rPr>
        <w:t>Response</w:t>
      </w:r>
      <w:r w:rsidRPr="00836036">
        <w:t xml:space="preserve">: </w:t>
      </w:r>
      <w:r w:rsidR="00F81494">
        <w:rPr>
          <w:i/>
          <w:iCs/>
          <w:u w:val="single"/>
        </w:rPr>
        <w:t xml:space="preserve"> </w:t>
      </w:r>
      <w:r w:rsidR="00F81494">
        <w:t>Client retention is high among these programs</w:t>
      </w:r>
      <w:r w:rsidR="00A9070C">
        <w:t>.  This is</w:t>
      </w:r>
      <w:r w:rsidR="00F81494">
        <w:t xml:space="preserve"> due in </w:t>
      </w:r>
      <w:r w:rsidR="00A9070C">
        <w:t xml:space="preserve">large </w:t>
      </w:r>
      <w:r w:rsidR="00F81494">
        <w:t xml:space="preserve">part to the fact the programs are designed </w:t>
      </w:r>
      <w:r w:rsidR="00A9070C">
        <w:t xml:space="preserve">using evidence-based practices to intensively engage and retain an at-risk population that otherwise has limited resources.  </w:t>
      </w:r>
      <w:r w:rsidRPr="00F25254">
        <w:t xml:space="preserve">Among the 25 GBHI </w:t>
      </w:r>
      <w:r w:rsidR="004705D2" w:rsidRPr="00F25254">
        <w:t xml:space="preserve">program </w:t>
      </w:r>
      <w:r w:rsidR="00681837">
        <w:t>Grantees</w:t>
      </w:r>
      <w:r w:rsidRPr="00F25254">
        <w:t xml:space="preserve"> </w:t>
      </w:r>
      <w:r w:rsidR="004705D2" w:rsidRPr="00F25254">
        <w:t xml:space="preserve">that are the </w:t>
      </w:r>
      <w:r w:rsidRPr="00F25254">
        <w:t>focus</w:t>
      </w:r>
      <w:r w:rsidR="004705D2" w:rsidRPr="00F25254">
        <w:t xml:space="preserve"> of the cross-site evaluation</w:t>
      </w:r>
      <w:r w:rsidR="007F26BE" w:rsidRPr="00F25254">
        <w:t>,</w:t>
      </w:r>
      <w:r w:rsidR="004705D2" w:rsidRPr="00F25254">
        <w:t xml:space="preserve"> </w:t>
      </w:r>
      <w:r w:rsidR="00F81494">
        <w:t xml:space="preserve">typical </w:t>
      </w:r>
      <w:r w:rsidR="004705D2" w:rsidRPr="00F25254">
        <w:t>program participation</w:t>
      </w:r>
      <w:r w:rsidR="007F26BE" w:rsidRPr="00F25254">
        <w:t xml:space="preserve"> </w:t>
      </w:r>
      <w:r w:rsidR="004705D2" w:rsidRPr="00F25254">
        <w:t xml:space="preserve">varies from </w:t>
      </w:r>
      <w:r w:rsidR="00F81494">
        <w:t>6 months</w:t>
      </w:r>
      <w:r w:rsidR="00F81494" w:rsidRPr="00F25254">
        <w:t xml:space="preserve"> </w:t>
      </w:r>
      <w:r w:rsidR="004705D2" w:rsidRPr="00F25254">
        <w:t xml:space="preserve">to </w:t>
      </w:r>
      <w:r w:rsidR="00F81494">
        <w:t>24 months</w:t>
      </w:r>
      <w:r w:rsidR="004705D2" w:rsidRPr="00F25254">
        <w:t xml:space="preserve">, </w:t>
      </w:r>
      <w:r w:rsidR="007F26BE" w:rsidRPr="00F25254">
        <w:t xml:space="preserve">based on </w:t>
      </w:r>
      <w:r w:rsidR="004705D2" w:rsidRPr="00F25254">
        <w:t xml:space="preserve">grantee proposal reviews and </w:t>
      </w:r>
      <w:r w:rsidR="007F26BE" w:rsidRPr="00F25254">
        <w:t xml:space="preserve">telephone conversations </w:t>
      </w:r>
      <w:r w:rsidR="004705D2" w:rsidRPr="00F25254">
        <w:t xml:space="preserve">with program directors </w:t>
      </w:r>
      <w:r w:rsidR="007F26BE" w:rsidRPr="00F25254">
        <w:t xml:space="preserve">and site visits </w:t>
      </w:r>
      <w:r w:rsidR="004705D2" w:rsidRPr="00F25254">
        <w:t xml:space="preserve">conducted </w:t>
      </w:r>
      <w:r w:rsidR="007F26BE" w:rsidRPr="00F25254">
        <w:t>during the fall and winter 2010 -2011</w:t>
      </w:r>
      <w:r w:rsidR="004705D2" w:rsidRPr="00F25254">
        <w:t>.</w:t>
      </w:r>
      <w:r w:rsidRPr="00F25254">
        <w:t xml:space="preserve"> </w:t>
      </w:r>
      <w:r w:rsidR="00A42008" w:rsidRPr="00F25254">
        <w:t xml:space="preserve">The program </w:t>
      </w:r>
      <w:r w:rsidR="004705D2" w:rsidRPr="00F25254">
        <w:t xml:space="preserve">length </w:t>
      </w:r>
      <w:r w:rsidR="00A42008" w:rsidRPr="00F25254">
        <w:t xml:space="preserve">was designed by </w:t>
      </w:r>
      <w:r w:rsidR="004705D2" w:rsidRPr="00F25254">
        <w:t xml:space="preserve">each </w:t>
      </w:r>
      <w:r w:rsidR="00A42008" w:rsidRPr="00F25254">
        <w:t>grantee</w:t>
      </w:r>
      <w:r w:rsidR="004705D2" w:rsidRPr="00F25254">
        <w:t xml:space="preserve"> to address the needs of each grantee’s</w:t>
      </w:r>
      <w:r w:rsidR="00A42008" w:rsidRPr="00F25254">
        <w:t xml:space="preserve"> target population. A review of prior GBHI cohort </w:t>
      </w:r>
      <w:r w:rsidR="00C57BA9">
        <w:t xml:space="preserve">CSAT </w:t>
      </w:r>
      <w:r w:rsidR="00A42008" w:rsidRPr="00F25254">
        <w:t xml:space="preserve">GPRA </w:t>
      </w:r>
      <w:r w:rsidR="00C57BA9">
        <w:t xml:space="preserve">Client Outcome Measures </w:t>
      </w:r>
      <w:r w:rsidR="007F26BE" w:rsidRPr="00F25254">
        <w:t>data</w:t>
      </w:r>
      <w:r w:rsidR="00C57BA9">
        <w:t xml:space="preserve"> (OMB control number 0930-0208) </w:t>
      </w:r>
      <w:r w:rsidR="007F26BE" w:rsidRPr="00F25254">
        <w:t>submitted to SAMHSA via the</w:t>
      </w:r>
      <w:r w:rsidR="00C57BA9">
        <w:t xml:space="preserve"> Services Accountability Information System (</w:t>
      </w:r>
      <w:r w:rsidR="007F26BE" w:rsidRPr="00F25254">
        <w:t>SAIS</w:t>
      </w:r>
      <w:r w:rsidR="00C57BA9">
        <w:t>)</w:t>
      </w:r>
      <w:r w:rsidR="007F26BE" w:rsidRPr="00F25254">
        <w:t xml:space="preserve"> </w:t>
      </w:r>
      <w:r w:rsidR="00A42008" w:rsidRPr="00F25254">
        <w:t xml:space="preserve">indicates that clients </w:t>
      </w:r>
      <w:r w:rsidR="004705D2" w:rsidRPr="00F25254">
        <w:t xml:space="preserve">of these earlier grantee programs </w:t>
      </w:r>
      <w:r w:rsidR="00A42008" w:rsidRPr="00F25254">
        <w:t>remain</w:t>
      </w:r>
      <w:r w:rsidR="004705D2" w:rsidRPr="00F25254">
        <w:t>ed</w:t>
      </w:r>
      <w:r w:rsidR="00A42008" w:rsidRPr="00F25254">
        <w:t xml:space="preserve"> in the program</w:t>
      </w:r>
      <w:r w:rsidR="004705D2" w:rsidRPr="00F25254">
        <w:t>s</w:t>
      </w:r>
      <w:r w:rsidR="00A42008" w:rsidRPr="00F25254">
        <w:t xml:space="preserve"> </w:t>
      </w:r>
      <w:r w:rsidR="004705D2" w:rsidRPr="00F25254">
        <w:t xml:space="preserve">an average of </w:t>
      </w:r>
      <w:r w:rsidR="00A42008" w:rsidRPr="00F25254">
        <w:t>139 days</w:t>
      </w:r>
      <w:r w:rsidR="004705D2" w:rsidRPr="00F25254">
        <w:t>.</w:t>
      </w:r>
      <w:r w:rsidR="007F26BE" w:rsidRPr="00F25254">
        <w:t xml:space="preserve"> </w:t>
      </w:r>
      <w:r w:rsidR="00F81494">
        <w:t xml:space="preserve"> </w:t>
      </w:r>
      <w:r w:rsidR="000943D9">
        <w:t>These data also report high s</w:t>
      </w:r>
      <w:r w:rsidR="00A9070C">
        <w:t xml:space="preserve">ix month follow-up rates </w:t>
      </w:r>
      <w:r w:rsidR="000943D9">
        <w:t xml:space="preserve">for clients who begin the programs, </w:t>
      </w:r>
      <w:r w:rsidR="00A9070C">
        <w:t>87.6%</w:t>
      </w:r>
      <w:r w:rsidR="000943D9">
        <w:t xml:space="preserve"> as of February 28, 2011</w:t>
      </w:r>
      <w:r w:rsidR="00A9070C">
        <w:t>.</w:t>
      </w:r>
    </w:p>
    <w:p w:rsidR="00836036" w:rsidRDefault="00836036" w:rsidP="00836036">
      <w:pPr>
        <w:pStyle w:val="NoSpacing"/>
        <w:ind w:left="720"/>
        <w:jc w:val="both"/>
      </w:pPr>
    </w:p>
    <w:p w:rsidR="00DB7874" w:rsidRPr="00836036" w:rsidRDefault="00DB7874" w:rsidP="00DB7874">
      <w:pPr>
        <w:pStyle w:val="NoSpacing"/>
        <w:numPr>
          <w:ilvl w:val="0"/>
          <w:numId w:val="2"/>
        </w:numPr>
        <w:jc w:val="both"/>
        <w:rPr>
          <w:b/>
          <w:bCs/>
        </w:rPr>
      </w:pPr>
      <w:r w:rsidRPr="00836036">
        <w:rPr>
          <w:b/>
          <w:bCs/>
        </w:rPr>
        <w:t xml:space="preserve">Does someone follow-up with respondents if they leave the program early? </w:t>
      </w:r>
    </w:p>
    <w:p w:rsidR="009E3209" w:rsidRPr="00F25254" w:rsidRDefault="009E3209" w:rsidP="009E3209">
      <w:pPr>
        <w:pStyle w:val="NoSpacing"/>
        <w:jc w:val="both"/>
      </w:pPr>
    </w:p>
    <w:p w:rsidR="007F26BE" w:rsidRPr="00F25254" w:rsidRDefault="009E3209" w:rsidP="00A861E1">
      <w:pPr>
        <w:pStyle w:val="NoSpacing"/>
        <w:jc w:val="both"/>
      </w:pPr>
      <w:r w:rsidRPr="00F25254">
        <w:rPr>
          <w:i/>
          <w:iCs/>
          <w:u w:val="single"/>
        </w:rPr>
        <w:t>Response:</w:t>
      </w:r>
      <w:r w:rsidR="007F26BE" w:rsidRPr="00F25254">
        <w:t xml:space="preserve"> Yes. Grantees are required by SAMHSA to conduct a 6-month follow-up GPRA survey with at least 80% of their clients</w:t>
      </w:r>
      <w:r w:rsidR="004705D2" w:rsidRPr="00F25254">
        <w:t xml:space="preserve">.  </w:t>
      </w:r>
      <w:r w:rsidR="000943D9">
        <w:t>I</w:t>
      </w:r>
      <w:r w:rsidR="007F26BE" w:rsidRPr="00F25254">
        <w:t xml:space="preserve">f clients leave the program </w:t>
      </w:r>
      <w:r w:rsidR="006C201F" w:rsidRPr="00F25254">
        <w:t xml:space="preserve">prior to </w:t>
      </w:r>
      <w:r w:rsidR="00C57BA9">
        <w:t>si</w:t>
      </w:r>
      <w:r w:rsidR="00A861E1">
        <w:t>x</w:t>
      </w:r>
      <w:r w:rsidR="006C201F" w:rsidRPr="00F25254">
        <w:t xml:space="preserve"> months</w:t>
      </w:r>
      <w:r w:rsidR="007F26BE" w:rsidRPr="00F25254">
        <w:t xml:space="preserve">, the grantee </w:t>
      </w:r>
      <w:r w:rsidR="000943D9">
        <w:t xml:space="preserve">still </w:t>
      </w:r>
      <w:r w:rsidR="007F26BE" w:rsidRPr="00F25254">
        <w:t xml:space="preserve">has to follow-up with them. The current 6-month follow-up rate for all GBHI </w:t>
      </w:r>
      <w:r w:rsidR="00681837">
        <w:t>Grantees</w:t>
      </w:r>
      <w:r w:rsidR="007F26BE" w:rsidRPr="00F25254">
        <w:t xml:space="preserve"> is </w:t>
      </w:r>
      <w:r w:rsidR="000943D9" w:rsidRPr="00F25254">
        <w:t>8</w:t>
      </w:r>
      <w:r w:rsidR="000943D9">
        <w:t>7.6</w:t>
      </w:r>
      <w:r w:rsidR="007F26BE" w:rsidRPr="00F25254">
        <w:t xml:space="preserve">%. Grantees are trained in tracking and retention of clients to assist their efforts in following-up with clients </w:t>
      </w:r>
      <w:r w:rsidR="00C57BA9">
        <w:t xml:space="preserve">through </w:t>
      </w:r>
      <w:r w:rsidR="007F26BE" w:rsidRPr="00F25254">
        <w:t>face-to-face trainings provided quarterly</w:t>
      </w:r>
      <w:r w:rsidR="00C57BA9">
        <w:t xml:space="preserve"> and a series of on-line courses</w:t>
      </w:r>
      <w:r w:rsidR="006C201F" w:rsidRPr="00F25254">
        <w:t xml:space="preserve">. </w:t>
      </w:r>
      <w:r w:rsidR="007F26BE" w:rsidRPr="00F25254">
        <w:t xml:space="preserve">If </w:t>
      </w:r>
      <w:r w:rsidR="00C57BA9">
        <w:t xml:space="preserve">grantee interviewers </w:t>
      </w:r>
      <w:r w:rsidR="007F26BE" w:rsidRPr="00F25254">
        <w:t xml:space="preserve">require further assistance, they may also request </w:t>
      </w:r>
      <w:r w:rsidR="00C57BA9">
        <w:t xml:space="preserve">telephone or on-site </w:t>
      </w:r>
      <w:r w:rsidR="007F26BE" w:rsidRPr="00F25254">
        <w:t>technical assistance in client retention, tracking and follow-up techniques.</w:t>
      </w:r>
      <w:r w:rsidR="000943D9">
        <w:t xml:space="preserve">  Grantees also conduct a discharge interview when a client is discharged from or has left the program regardless of calendar time since enrollment. </w:t>
      </w:r>
    </w:p>
    <w:p w:rsidR="007F26BE" w:rsidRPr="00F25254" w:rsidRDefault="007F26BE" w:rsidP="009E3209">
      <w:pPr>
        <w:pStyle w:val="NoSpacing"/>
        <w:jc w:val="both"/>
      </w:pPr>
    </w:p>
    <w:p w:rsidR="00DB7874" w:rsidRPr="00836036" w:rsidRDefault="00DB7874" w:rsidP="00DB7874">
      <w:pPr>
        <w:pStyle w:val="NoSpacing"/>
        <w:numPr>
          <w:ilvl w:val="0"/>
          <w:numId w:val="2"/>
        </w:numPr>
        <w:jc w:val="both"/>
        <w:rPr>
          <w:b/>
          <w:bCs/>
        </w:rPr>
      </w:pPr>
      <w:r w:rsidRPr="00836036">
        <w:rPr>
          <w:b/>
          <w:bCs/>
        </w:rPr>
        <w:t xml:space="preserve">Does someone follow-up with clients after they complete the program? </w:t>
      </w:r>
    </w:p>
    <w:p w:rsidR="009E3209" w:rsidRPr="00F25254" w:rsidRDefault="009E3209" w:rsidP="009E3209">
      <w:pPr>
        <w:pStyle w:val="NoSpacing"/>
        <w:jc w:val="both"/>
      </w:pPr>
    </w:p>
    <w:p w:rsidR="000943D9" w:rsidRPr="00F25254" w:rsidRDefault="009E3209" w:rsidP="002E67D3">
      <w:pPr>
        <w:pStyle w:val="NoSpacing"/>
        <w:jc w:val="both"/>
      </w:pPr>
      <w:r w:rsidRPr="00F25254">
        <w:rPr>
          <w:i/>
          <w:iCs/>
          <w:u w:val="single"/>
        </w:rPr>
        <w:t>Response</w:t>
      </w:r>
      <w:r w:rsidRPr="00F25254">
        <w:t>:</w:t>
      </w:r>
      <w:r w:rsidR="00955DB4" w:rsidRPr="00F25254">
        <w:t xml:space="preserve"> </w:t>
      </w:r>
      <w:r w:rsidR="006C201F" w:rsidRPr="00F25254">
        <w:t>G</w:t>
      </w:r>
      <w:r w:rsidR="00955DB4" w:rsidRPr="00F25254">
        <w:t xml:space="preserve">rantees are required to complete a GPRA survey with at least 80% of their clients </w:t>
      </w:r>
      <w:r w:rsidR="002E67D3">
        <w:t xml:space="preserve">six </w:t>
      </w:r>
      <w:r w:rsidR="00955DB4" w:rsidRPr="00F25254">
        <w:t>months</w:t>
      </w:r>
      <w:r w:rsidR="006C201F" w:rsidRPr="00F25254">
        <w:t xml:space="preserve"> following the </w:t>
      </w:r>
      <w:r w:rsidR="00955DB4" w:rsidRPr="00F25254">
        <w:t>baseline</w:t>
      </w:r>
      <w:r w:rsidR="006C201F" w:rsidRPr="00F25254">
        <w:t xml:space="preserve"> interview. I</w:t>
      </w:r>
      <w:r w:rsidR="00955DB4" w:rsidRPr="00F25254">
        <w:t xml:space="preserve">f a client completes the program before the </w:t>
      </w:r>
      <w:r w:rsidR="006C201F" w:rsidRPr="00F25254">
        <w:t>6-</w:t>
      </w:r>
      <w:r w:rsidR="00955DB4" w:rsidRPr="00F25254">
        <w:t>month</w:t>
      </w:r>
      <w:r w:rsidR="006C201F" w:rsidRPr="00F25254">
        <w:t xml:space="preserve"> period ends</w:t>
      </w:r>
      <w:r w:rsidR="00955DB4" w:rsidRPr="00F25254">
        <w:t xml:space="preserve">, the grantee is required to </w:t>
      </w:r>
      <w:r w:rsidR="002E67D3">
        <w:t>attempt to contact them and complete the 6-month interview</w:t>
      </w:r>
      <w:r w:rsidR="00955DB4" w:rsidRPr="00F25254">
        <w:t xml:space="preserve">. The current 6-month follow-up rate for all GBHI </w:t>
      </w:r>
      <w:r w:rsidR="00681837">
        <w:t>Grantees</w:t>
      </w:r>
      <w:r w:rsidR="00955DB4" w:rsidRPr="00F25254">
        <w:t xml:space="preserve"> is </w:t>
      </w:r>
      <w:r w:rsidR="000943D9" w:rsidRPr="00F25254">
        <w:t>8</w:t>
      </w:r>
      <w:r w:rsidR="000943D9">
        <w:t>7.6</w:t>
      </w:r>
      <w:r w:rsidR="00955DB4" w:rsidRPr="00F25254">
        <w:t>%.</w:t>
      </w:r>
      <w:r w:rsidR="000943D9">
        <w:t xml:space="preserve">  Grantees also conduct a discharge interview when a client is discharged from or has left the program regardless of calendar time since enrollment. </w:t>
      </w:r>
    </w:p>
    <w:p w:rsidR="009E3209" w:rsidRPr="00F25254" w:rsidRDefault="009E3209" w:rsidP="009E3209">
      <w:pPr>
        <w:pStyle w:val="NoSpacing"/>
        <w:ind w:left="720"/>
        <w:jc w:val="both"/>
      </w:pPr>
    </w:p>
    <w:p w:rsidR="00DB7874" w:rsidRPr="00836036" w:rsidRDefault="00DB7874" w:rsidP="00DB7874">
      <w:pPr>
        <w:pStyle w:val="NoSpacing"/>
        <w:numPr>
          <w:ilvl w:val="0"/>
          <w:numId w:val="2"/>
        </w:numPr>
        <w:jc w:val="both"/>
        <w:rPr>
          <w:b/>
          <w:bCs/>
        </w:rPr>
      </w:pPr>
      <w:r w:rsidRPr="00836036">
        <w:rPr>
          <w:b/>
          <w:bCs/>
        </w:rPr>
        <w:t xml:space="preserve">Are you planning to follow any of the clients who drop out of the program during the survey period? </w:t>
      </w:r>
    </w:p>
    <w:p w:rsidR="009E3209" w:rsidRPr="00F25254" w:rsidRDefault="009E3209" w:rsidP="009E3209">
      <w:pPr>
        <w:pStyle w:val="NoSpacing"/>
        <w:jc w:val="both"/>
      </w:pPr>
    </w:p>
    <w:p w:rsidR="005F2D5D" w:rsidRPr="00F25254" w:rsidRDefault="009E3209" w:rsidP="008D1B7F">
      <w:pPr>
        <w:pStyle w:val="NoSpacing"/>
        <w:jc w:val="both"/>
      </w:pPr>
      <w:r w:rsidRPr="00F25254">
        <w:rPr>
          <w:i/>
          <w:iCs/>
          <w:u w:val="single"/>
        </w:rPr>
        <w:t>Response</w:t>
      </w:r>
      <w:r w:rsidRPr="00F25254">
        <w:t xml:space="preserve">: </w:t>
      </w:r>
      <w:r w:rsidR="000943D9">
        <w:t xml:space="preserve">Yes.  </w:t>
      </w:r>
      <w:r w:rsidR="007F26BE" w:rsidRPr="00F25254">
        <w:t>The GBHI</w:t>
      </w:r>
      <w:r w:rsidR="002E67D3">
        <w:t xml:space="preserve"> client</w:t>
      </w:r>
      <w:r w:rsidR="007F26BE" w:rsidRPr="00F25254">
        <w:t xml:space="preserve"> interview will </w:t>
      </w:r>
      <w:r w:rsidR="006C201F" w:rsidRPr="00F25254">
        <w:t xml:space="preserve">be administered by trained GPRA interviewers </w:t>
      </w:r>
      <w:r w:rsidR="008D1B7F">
        <w:t xml:space="preserve">following </w:t>
      </w:r>
      <w:r w:rsidR="006C201F" w:rsidRPr="00F25254">
        <w:t>the GPRA interview</w:t>
      </w:r>
      <w:r w:rsidR="008D1B7F">
        <w:t xml:space="preserve"> during the same meeting. The procedures for follow-up for the GBHI client interview mirror those </w:t>
      </w:r>
      <w:proofErr w:type="gramStart"/>
      <w:r w:rsidR="008D1B7F">
        <w:t>for  the</w:t>
      </w:r>
      <w:proofErr w:type="gramEnd"/>
      <w:r w:rsidR="008D1B7F">
        <w:t xml:space="preserve"> CSAT </w:t>
      </w:r>
      <w:r w:rsidR="007F26BE" w:rsidRPr="00F25254">
        <w:t>GPRA</w:t>
      </w:r>
      <w:r w:rsidR="008D1B7F">
        <w:t xml:space="preserve"> Client Outcome Measures</w:t>
      </w:r>
      <w:r w:rsidR="007F26BE" w:rsidRPr="00F25254">
        <w:t xml:space="preserve"> approved by OMB (control number</w:t>
      </w:r>
      <w:r w:rsidR="00C76B0B">
        <w:t xml:space="preserve"> 0930-0208</w:t>
      </w:r>
      <w:r w:rsidR="007F26BE" w:rsidRPr="00F25254">
        <w:t>)</w:t>
      </w:r>
      <w:r w:rsidR="006C201F" w:rsidRPr="00F25254">
        <w:t xml:space="preserve">. </w:t>
      </w:r>
      <w:r w:rsidR="00955DB4" w:rsidRPr="00F25254">
        <w:t>GBHI clients are required to be followed during this period whether or not they are still enrolled</w:t>
      </w:r>
      <w:r w:rsidR="006C201F" w:rsidRPr="00F25254">
        <w:t>.</w:t>
      </w:r>
      <w:r w:rsidR="00955DB4" w:rsidRPr="00F25254">
        <w:t xml:space="preserve"> </w:t>
      </w:r>
      <w:r w:rsidR="000943D9">
        <w:t xml:space="preserve">  We note again that these programs have a low drop-out rate.  </w:t>
      </w:r>
    </w:p>
    <w:p w:rsidR="009E3209" w:rsidRPr="00F25254" w:rsidRDefault="009E3209" w:rsidP="009E3209">
      <w:pPr>
        <w:pStyle w:val="NoSpacing"/>
        <w:jc w:val="both"/>
      </w:pPr>
    </w:p>
    <w:p w:rsidR="00DB7874" w:rsidRPr="00836036" w:rsidRDefault="00DB7874" w:rsidP="00DB7874">
      <w:pPr>
        <w:pStyle w:val="NoSpacing"/>
        <w:numPr>
          <w:ilvl w:val="0"/>
          <w:numId w:val="2"/>
        </w:numPr>
        <w:jc w:val="both"/>
        <w:rPr>
          <w:b/>
          <w:bCs/>
        </w:rPr>
      </w:pPr>
      <w:r w:rsidRPr="00836036">
        <w:rPr>
          <w:b/>
          <w:bCs/>
        </w:rPr>
        <w:t xml:space="preserve">Who are the stakeholders and what is their relationship to both the grantee and the client? </w:t>
      </w:r>
    </w:p>
    <w:p w:rsidR="009E3209" w:rsidRPr="00F25254" w:rsidRDefault="009E3209" w:rsidP="009E3209">
      <w:pPr>
        <w:pStyle w:val="NoSpacing"/>
        <w:ind w:left="720"/>
        <w:jc w:val="both"/>
      </w:pPr>
    </w:p>
    <w:p w:rsidR="000413E8" w:rsidRPr="00F25254" w:rsidRDefault="009E3209" w:rsidP="006C201F">
      <w:pPr>
        <w:pStyle w:val="NoSpacing"/>
        <w:jc w:val="both"/>
      </w:pPr>
      <w:r w:rsidRPr="008D1B7F">
        <w:rPr>
          <w:i/>
          <w:iCs/>
          <w:u w:val="single"/>
        </w:rPr>
        <w:lastRenderedPageBreak/>
        <w:t>Response</w:t>
      </w:r>
      <w:r w:rsidRPr="00F25254">
        <w:t>:</w:t>
      </w:r>
      <w:r w:rsidR="000413E8" w:rsidRPr="00F25254">
        <w:t xml:space="preserve"> </w:t>
      </w:r>
      <w:r w:rsidR="000943D9">
        <w:t xml:space="preserve">Stakeholders are individuals, groups of individuals or organizations who are affected by these programs, who have an interest in the impact of these programs and who may offer collaboration or support for these programs and their clients.  </w:t>
      </w:r>
      <w:r w:rsidR="000413E8" w:rsidRPr="00F25254">
        <w:t xml:space="preserve">Examples of current stakeholders include substance abuse treatment providers, mental health treatment providers, housing providers, vocational service providers, medical care providers, HIV/AIDS services organizations, housing authorities, veterans agencies, state/city/county policy makers, state-/county-/city-wide initiatives to end homelessness, advisory boards, consumer boards, and advocacy groups. These stakeholders may have a direct relationship with both the grantee and the clients as partners to the grantee who provide services to the clients. The relationship can also be direct only through the grantee. For instance, a housing authority that funds housing will have contact with the grantee and require reports from the grantee on a continual basis, but will not have direct contact with the clients themselves. </w:t>
      </w:r>
    </w:p>
    <w:p w:rsidR="009E3209" w:rsidRPr="00F25254" w:rsidRDefault="009E3209" w:rsidP="009E3209">
      <w:pPr>
        <w:pStyle w:val="NoSpacing"/>
        <w:jc w:val="both"/>
      </w:pPr>
    </w:p>
    <w:p w:rsidR="00DB7874" w:rsidRPr="00836036" w:rsidRDefault="00DB7874" w:rsidP="00DB7874">
      <w:pPr>
        <w:pStyle w:val="NoSpacing"/>
        <w:numPr>
          <w:ilvl w:val="0"/>
          <w:numId w:val="2"/>
        </w:numPr>
        <w:jc w:val="both"/>
        <w:rPr>
          <w:b/>
          <w:bCs/>
        </w:rPr>
      </w:pPr>
      <w:r w:rsidRPr="00836036">
        <w:rPr>
          <w:b/>
          <w:bCs/>
        </w:rPr>
        <w:t>Does the stakeholder know and i</w:t>
      </w:r>
      <w:r w:rsidR="00955DB4" w:rsidRPr="00836036">
        <w:rPr>
          <w:b/>
          <w:bCs/>
        </w:rPr>
        <w:t>nteract with the grantees?</w:t>
      </w:r>
    </w:p>
    <w:p w:rsidR="005F2D5D" w:rsidRPr="00F25254" w:rsidRDefault="005F2D5D" w:rsidP="005F2D5D">
      <w:pPr>
        <w:pStyle w:val="NoSpacing"/>
        <w:jc w:val="both"/>
      </w:pPr>
    </w:p>
    <w:p w:rsidR="009E3209" w:rsidRPr="00F25254" w:rsidRDefault="005F2D5D" w:rsidP="00A861E1">
      <w:pPr>
        <w:pStyle w:val="NoSpacing"/>
        <w:jc w:val="both"/>
      </w:pPr>
      <w:r w:rsidRPr="00F25254">
        <w:rPr>
          <w:i/>
          <w:iCs/>
          <w:u w:val="single"/>
        </w:rPr>
        <w:t>Response:</w:t>
      </w:r>
      <w:r w:rsidRPr="00F25254">
        <w:t xml:space="preserve"> The </w:t>
      </w:r>
      <w:r w:rsidR="00C92A17">
        <w:t xml:space="preserve">level of </w:t>
      </w:r>
      <w:r w:rsidRPr="00F25254">
        <w:t xml:space="preserve">interaction </w:t>
      </w:r>
      <w:r w:rsidR="00C92A17">
        <w:t>between</w:t>
      </w:r>
      <w:r w:rsidR="00C92A17" w:rsidRPr="00F25254">
        <w:t xml:space="preserve"> </w:t>
      </w:r>
      <w:r w:rsidRPr="00F25254">
        <w:t xml:space="preserve">stakeholders </w:t>
      </w:r>
      <w:r w:rsidR="00C92A17">
        <w:t>and</w:t>
      </w:r>
      <w:r w:rsidRPr="00F25254">
        <w:t xml:space="preserve"> grantee</w:t>
      </w:r>
      <w:r w:rsidR="00C92A17">
        <w:t>s</w:t>
      </w:r>
      <w:r w:rsidRPr="00F25254">
        <w:t xml:space="preserve"> varies based on information </w:t>
      </w:r>
      <w:r w:rsidR="006C201F" w:rsidRPr="00F25254">
        <w:t>collected during</w:t>
      </w:r>
      <w:r w:rsidRPr="00F25254">
        <w:t xml:space="preserve"> conference calls </w:t>
      </w:r>
      <w:r w:rsidR="006C201F" w:rsidRPr="00F25254">
        <w:t xml:space="preserve">with </w:t>
      </w:r>
      <w:r w:rsidRPr="00F25254">
        <w:t xml:space="preserve">and site visits to the 25 GBHI </w:t>
      </w:r>
      <w:r w:rsidR="00681837">
        <w:t>Grantees</w:t>
      </w:r>
      <w:r w:rsidRPr="00F25254">
        <w:t xml:space="preserve">. </w:t>
      </w:r>
      <w:r w:rsidR="000943D9">
        <w:t xml:space="preserve"> Stakeholders may have an active or passive relationship with the grantee programs.  Part of the rationale of collecting data from these stakeholders is to better understand how these programs </w:t>
      </w:r>
      <w:r w:rsidR="00C92A17">
        <w:t xml:space="preserve">interact with the stakeholders in their communities and more broadly in the system. </w:t>
      </w:r>
    </w:p>
    <w:p w:rsidR="005F2D5D" w:rsidRPr="00F25254" w:rsidRDefault="005F2D5D" w:rsidP="005F2D5D">
      <w:pPr>
        <w:pStyle w:val="NoSpacing"/>
        <w:jc w:val="both"/>
      </w:pPr>
    </w:p>
    <w:p w:rsidR="00DB7874" w:rsidRPr="00836036" w:rsidRDefault="00DB7874" w:rsidP="00DB7874">
      <w:pPr>
        <w:pStyle w:val="NoSpacing"/>
        <w:numPr>
          <w:ilvl w:val="0"/>
          <w:numId w:val="2"/>
        </w:numPr>
        <w:jc w:val="both"/>
        <w:rPr>
          <w:b/>
          <w:bCs/>
        </w:rPr>
      </w:pPr>
      <w:r w:rsidRPr="00836036">
        <w:rPr>
          <w:b/>
          <w:bCs/>
        </w:rPr>
        <w:t xml:space="preserve">What about with the clients? </w:t>
      </w:r>
    </w:p>
    <w:p w:rsidR="003D6CD9" w:rsidRPr="00F25254" w:rsidRDefault="003D6CD9" w:rsidP="003D6CD9">
      <w:pPr>
        <w:pStyle w:val="NoSpacing"/>
        <w:ind w:left="720"/>
        <w:jc w:val="both"/>
      </w:pPr>
    </w:p>
    <w:p w:rsidR="005F2D5D" w:rsidRPr="00F25254" w:rsidRDefault="005F2D5D" w:rsidP="0048794A">
      <w:pPr>
        <w:pStyle w:val="NoSpacing"/>
        <w:jc w:val="both"/>
      </w:pPr>
      <w:r w:rsidRPr="00F25254">
        <w:rPr>
          <w:i/>
          <w:iCs/>
          <w:u w:val="single"/>
        </w:rPr>
        <w:t>Response:</w:t>
      </w:r>
      <w:r w:rsidRPr="00F25254">
        <w:t xml:space="preserve"> The client knows </w:t>
      </w:r>
      <w:r w:rsidR="00654390" w:rsidRPr="00F25254">
        <w:t xml:space="preserve">and interacts with </w:t>
      </w:r>
      <w:r w:rsidRPr="00F25254">
        <w:t xml:space="preserve">the grantee staff, </w:t>
      </w:r>
      <w:r w:rsidR="00654390" w:rsidRPr="00F25254">
        <w:t xml:space="preserve">as well as with </w:t>
      </w:r>
      <w:r w:rsidRPr="00F25254">
        <w:t xml:space="preserve">contractors and other service provider staff from stakeholder agencies. The client </w:t>
      </w:r>
      <w:r w:rsidR="0048794A">
        <w:t>is</w:t>
      </w:r>
      <w:r w:rsidRPr="00F25254">
        <w:t xml:space="preserve"> unlikely to know the stakeholders per se but </w:t>
      </w:r>
      <w:r w:rsidR="00C92A17">
        <w:t>is usually</w:t>
      </w:r>
      <w:r w:rsidRPr="00F25254">
        <w:t xml:space="preserve"> aware of their agencies.  </w:t>
      </w:r>
    </w:p>
    <w:p w:rsidR="009E3209" w:rsidRPr="00F25254" w:rsidRDefault="009E3209" w:rsidP="009E3209">
      <w:pPr>
        <w:pStyle w:val="NoSpacing"/>
        <w:ind w:left="720"/>
        <w:jc w:val="both"/>
      </w:pPr>
    </w:p>
    <w:p w:rsidR="00DB7874" w:rsidRPr="00836036" w:rsidRDefault="00DB7874" w:rsidP="00DB7874">
      <w:pPr>
        <w:pStyle w:val="NoSpacing"/>
        <w:numPr>
          <w:ilvl w:val="0"/>
          <w:numId w:val="2"/>
        </w:numPr>
        <w:jc w:val="both"/>
        <w:rPr>
          <w:b/>
          <w:bCs/>
        </w:rPr>
      </w:pPr>
      <w:r w:rsidRPr="00836036">
        <w:rPr>
          <w:b/>
          <w:bCs/>
        </w:rPr>
        <w:t xml:space="preserve">Are the grantees known to the clients? </w:t>
      </w:r>
    </w:p>
    <w:p w:rsidR="008D79D4" w:rsidRPr="00F25254" w:rsidRDefault="008D79D4" w:rsidP="008D79D4">
      <w:pPr>
        <w:pStyle w:val="NoSpacing"/>
        <w:jc w:val="both"/>
        <w:rPr>
          <w:i/>
          <w:iCs/>
          <w:u w:val="single"/>
        </w:rPr>
      </w:pPr>
    </w:p>
    <w:p w:rsidR="008D79D4" w:rsidRPr="00F25254" w:rsidRDefault="000413E8" w:rsidP="00973B09">
      <w:pPr>
        <w:pStyle w:val="NoSpacing"/>
        <w:jc w:val="both"/>
      </w:pPr>
      <w:r w:rsidRPr="00F25254">
        <w:rPr>
          <w:i/>
          <w:iCs/>
          <w:u w:val="single"/>
        </w:rPr>
        <w:t>Response</w:t>
      </w:r>
      <w:r w:rsidRPr="00F25254">
        <w:t xml:space="preserve">: </w:t>
      </w:r>
      <w:r w:rsidR="008D79D4" w:rsidRPr="00F25254">
        <w:t xml:space="preserve">Yes, the </w:t>
      </w:r>
      <w:r w:rsidR="00681837">
        <w:t>Grantees</w:t>
      </w:r>
      <w:r w:rsidR="008D79D4" w:rsidRPr="00F25254">
        <w:t xml:space="preserve"> are the programs that serve the clients. They provide services to the clients, either through direct provision or through linkage to another organization. Grantees are required by SAMHSA</w:t>
      </w:r>
      <w:r w:rsidR="00654390" w:rsidRPr="00F25254">
        <w:t xml:space="preserve"> t</w:t>
      </w:r>
      <w:r w:rsidR="00C93AC7" w:rsidRPr="00F25254">
        <w:t>o</w:t>
      </w:r>
      <w:r w:rsidR="00654390" w:rsidRPr="00F25254">
        <w:t xml:space="preserve"> provide,</w:t>
      </w:r>
      <w:r w:rsidR="008D79D4" w:rsidRPr="00F25254">
        <w:t xml:space="preserve">  either directly or through referral</w:t>
      </w:r>
      <w:r w:rsidR="00654390" w:rsidRPr="00F25254">
        <w:t>,</w:t>
      </w:r>
      <w:r w:rsidR="008D79D4" w:rsidRPr="00F25254">
        <w:t xml:space="preserve"> direct treatment for substance abuse and mental health disorders (which includes screening, assessment, and active treatment), outreach, case management, and wraparound services (which can include, for example, relapse prevention, crisis care, education or vocational services, transportation, medical care, housing readiness training, benefits application, housing application, peer support services). All clients are screened and accepted by the grantee program. Only once they are accepted by the grantee are they a “GBHI client.”</w:t>
      </w:r>
      <w:r w:rsidR="0048794A">
        <w:t xml:space="preserve"> The Grantees employ interviewers to screen, assess, administer the CSAT GPRA Client Outcome Measures </w:t>
      </w:r>
      <w:r w:rsidR="0048794A" w:rsidRPr="00F25254">
        <w:t>(</w:t>
      </w:r>
      <w:r w:rsidR="0048794A">
        <w:t xml:space="preserve">OMB </w:t>
      </w:r>
      <w:r w:rsidR="0048794A" w:rsidRPr="00F25254">
        <w:t>control number</w:t>
      </w:r>
      <w:r w:rsidR="0048794A">
        <w:t xml:space="preserve"> 0930-0208</w:t>
      </w:r>
      <w:r w:rsidR="0048794A" w:rsidRPr="00F25254">
        <w:t>)</w:t>
      </w:r>
      <w:r w:rsidR="0048794A">
        <w:t xml:space="preserve"> at baseline and follow-up points and to track clients while active, following or if leave the program, as described above. </w:t>
      </w:r>
    </w:p>
    <w:p w:rsidR="009E3209" w:rsidRPr="00F25254" w:rsidRDefault="009E3209" w:rsidP="009E3209">
      <w:pPr>
        <w:pStyle w:val="NoSpacing"/>
        <w:ind w:left="720"/>
        <w:jc w:val="both"/>
      </w:pPr>
    </w:p>
    <w:p w:rsidR="00DB7874" w:rsidRPr="00836036" w:rsidRDefault="00DB7874" w:rsidP="00DB7874">
      <w:pPr>
        <w:pStyle w:val="NoSpacing"/>
        <w:numPr>
          <w:ilvl w:val="0"/>
          <w:numId w:val="2"/>
        </w:numPr>
        <w:jc w:val="both"/>
        <w:rPr>
          <w:b/>
          <w:bCs/>
        </w:rPr>
      </w:pPr>
      <w:r w:rsidRPr="00836036">
        <w:rPr>
          <w:b/>
          <w:bCs/>
        </w:rPr>
        <w:t xml:space="preserve">Do the grantees and the clients ever interact during the course of the program? </w:t>
      </w:r>
    </w:p>
    <w:p w:rsidR="00284F71" w:rsidRPr="00F25254" w:rsidRDefault="00284F71" w:rsidP="00284F71">
      <w:pPr>
        <w:pStyle w:val="NoSpacing"/>
        <w:jc w:val="both"/>
      </w:pPr>
    </w:p>
    <w:p w:rsidR="00792736" w:rsidRPr="00F25254" w:rsidRDefault="000413E8" w:rsidP="0048794A">
      <w:pPr>
        <w:pStyle w:val="NoSpacing"/>
        <w:jc w:val="both"/>
      </w:pPr>
      <w:r w:rsidRPr="00F25254">
        <w:rPr>
          <w:i/>
          <w:iCs/>
          <w:u w:val="single"/>
        </w:rPr>
        <w:t>Response</w:t>
      </w:r>
      <w:r w:rsidRPr="00F25254">
        <w:t xml:space="preserve">: </w:t>
      </w:r>
      <w:r w:rsidR="00C92A17">
        <w:t xml:space="preserve">Yes.  </w:t>
      </w:r>
      <w:r w:rsidRPr="00F25254">
        <w:t xml:space="preserve">Grantee </w:t>
      </w:r>
      <w:proofErr w:type="gramStart"/>
      <w:r w:rsidRPr="00F25254">
        <w:t>staff</w:t>
      </w:r>
      <w:r w:rsidR="00C92A17">
        <w:t xml:space="preserve"> </w:t>
      </w:r>
      <w:r w:rsidRPr="00F25254">
        <w:t>interact</w:t>
      </w:r>
      <w:proofErr w:type="gramEnd"/>
      <w:r w:rsidRPr="00F25254">
        <w:t xml:space="preserve"> with the clients during the course of the program</w:t>
      </w:r>
      <w:r w:rsidR="00C92A17">
        <w:t xml:space="preserve"> both providing direct services and helping the client to link to other community services</w:t>
      </w:r>
      <w:r w:rsidRPr="00F25254">
        <w:t xml:space="preserve">. Grantees also hire GPRA interviewers </w:t>
      </w:r>
      <w:r w:rsidR="0048794A">
        <w:t xml:space="preserve">to screen, assess and track clients </w:t>
      </w:r>
      <w:r w:rsidRPr="00F25254">
        <w:t>who will interact with the clients over the course of program involvement and likely beyond</w:t>
      </w:r>
      <w:r w:rsidR="0048794A">
        <w:t xml:space="preserve"> during aftercare, or if they have dropped out of the program</w:t>
      </w:r>
      <w:r w:rsidRPr="00F25254">
        <w:t xml:space="preserve">. </w:t>
      </w:r>
    </w:p>
    <w:p w:rsidR="000413E8" w:rsidRPr="00F25254" w:rsidRDefault="000413E8" w:rsidP="00284F71">
      <w:pPr>
        <w:pStyle w:val="NoSpacing"/>
        <w:jc w:val="both"/>
      </w:pPr>
    </w:p>
    <w:p w:rsidR="00D755F4" w:rsidRPr="00F25254" w:rsidRDefault="00D755F4" w:rsidP="00284F71">
      <w:pPr>
        <w:pStyle w:val="NoSpacing"/>
        <w:jc w:val="both"/>
        <w:rPr>
          <w:b/>
        </w:rPr>
      </w:pPr>
      <w:r w:rsidRPr="00F25254">
        <w:rPr>
          <w:b/>
        </w:rPr>
        <w:lastRenderedPageBreak/>
        <w:t>Section 2:</w:t>
      </w:r>
    </w:p>
    <w:p w:rsidR="004A6011" w:rsidRPr="00836036" w:rsidRDefault="00D755F4" w:rsidP="004A6011">
      <w:pPr>
        <w:pStyle w:val="NoSpacing"/>
        <w:numPr>
          <w:ilvl w:val="0"/>
          <w:numId w:val="16"/>
        </w:numPr>
        <w:jc w:val="both"/>
        <w:rPr>
          <w:b/>
          <w:bCs/>
        </w:rPr>
      </w:pPr>
      <w:r w:rsidRPr="00836036">
        <w:rPr>
          <w:b/>
          <w:bCs/>
        </w:rPr>
        <w:t xml:space="preserve">We are concerned </w:t>
      </w:r>
      <w:r w:rsidR="00627085" w:rsidRPr="00836036">
        <w:rPr>
          <w:b/>
          <w:bCs/>
        </w:rPr>
        <w:t xml:space="preserve">with the “outcome” portion of the </w:t>
      </w:r>
      <w:r w:rsidRPr="00836036">
        <w:rPr>
          <w:b/>
          <w:bCs/>
        </w:rPr>
        <w:t xml:space="preserve">evaluation.  </w:t>
      </w:r>
      <w:r w:rsidR="00627085" w:rsidRPr="00836036">
        <w:rPr>
          <w:b/>
          <w:bCs/>
        </w:rPr>
        <w:t xml:space="preserve">It </w:t>
      </w:r>
      <w:r w:rsidRPr="00836036">
        <w:rPr>
          <w:b/>
          <w:bCs/>
        </w:rPr>
        <w:t>lacks the rigor of a counterfactual or control group.  Therefore, it is inappropriate for SAMHSA to ascribe causality</w:t>
      </w:r>
      <w:r w:rsidR="00627085" w:rsidRPr="00836036">
        <w:rPr>
          <w:b/>
          <w:bCs/>
        </w:rPr>
        <w:t xml:space="preserve">, impact </w:t>
      </w:r>
      <w:r w:rsidRPr="00836036">
        <w:rPr>
          <w:b/>
          <w:bCs/>
        </w:rPr>
        <w:t xml:space="preserve">or </w:t>
      </w:r>
      <w:r w:rsidR="00627085" w:rsidRPr="00836036">
        <w:rPr>
          <w:b/>
          <w:bCs/>
        </w:rPr>
        <w:t xml:space="preserve">effect of </w:t>
      </w:r>
      <w:r w:rsidRPr="00836036">
        <w:rPr>
          <w:b/>
          <w:bCs/>
        </w:rPr>
        <w:t>the program, as it appears that SAMHSA may wish to do</w:t>
      </w:r>
      <w:r w:rsidR="00627085" w:rsidRPr="00836036">
        <w:rPr>
          <w:b/>
          <w:bCs/>
        </w:rPr>
        <w:t xml:space="preserve"> (e.g., page 3, “focus on the effects…on client outcomes”)</w:t>
      </w:r>
      <w:r w:rsidRPr="00836036">
        <w:rPr>
          <w:b/>
          <w:bCs/>
        </w:rPr>
        <w:t>.  For a formative evaluation, it can be appropriate to measure much more modestly than is proposed here a limited number of low burden client outcomes to see if the program shows promise</w:t>
      </w:r>
      <w:r w:rsidR="00627085" w:rsidRPr="00836036">
        <w:rPr>
          <w:b/>
          <w:bCs/>
        </w:rPr>
        <w:t xml:space="preserve"> (i.e., the absence of any positive outcomes would suggest a program with little or no promise)</w:t>
      </w:r>
      <w:r w:rsidRPr="00836036">
        <w:rPr>
          <w:b/>
          <w:bCs/>
        </w:rPr>
        <w:t>.  For simple grantee monitoring, it can be useful to determine grantee adherence to specified practices, which should have a very modest, if any, client component.  Please clarify which of these SAMHSA aspires to do.</w:t>
      </w:r>
    </w:p>
    <w:p w:rsidR="00792736" w:rsidRPr="00F25254" w:rsidRDefault="00792736" w:rsidP="004A6011">
      <w:pPr>
        <w:pStyle w:val="NoSpacing"/>
        <w:ind w:left="720"/>
        <w:jc w:val="both"/>
      </w:pPr>
    </w:p>
    <w:p w:rsidR="00792736" w:rsidRPr="00F25254" w:rsidRDefault="001D235D" w:rsidP="00FF0CED">
      <w:pPr>
        <w:pStyle w:val="NoSpacing"/>
        <w:jc w:val="both"/>
      </w:pPr>
      <w:r w:rsidRPr="00A66C67">
        <w:rPr>
          <w:i/>
          <w:iCs/>
          <w:u w:val="single"/>
        </w:rPr>
        <w:t>Response:</w:t>
      </w:r>
      <w:r w:rsidR="00C93AC7" w:rsidRPr="00F25254">
        <w:t xml:space="preserve"> The purpose of the evaluation is</w:t>
      </w:r>
      <w:r w:rsidR="002A448F" w:rsidRPr="00F25254">
        <w:t xml:space="preserve"> formative with an intent</w:t>
      </w:r>
      <w:r w:rsidR="00C93AC7" w:rsidRPr="00F25254">
        <w:t xml:space="preserve"> to identify </w:t>
      </w:r>
      <w:r w:rsidR="003A1C4C">
        <w:t xml:space="preserve">and measure </w:t>
      </w:r>
      <w:r w:rsidR="00C93AC7" w:rsidRPr="00F25254">
        <w:t xml:space="preserve">post-program participation findings across </w:t>
      </w:r>
      <w:r w:rsidR="002A448F" w:rsidRPr="00F25254">
        <w:t xml:space="preserve">the broad array of </w:t>
      </w:r>
      <w:r w:rsidR="00C93AC7" w:rsidRPr="00F25254">
        <w:t xml:space="preserve">outcomes expected to be </w:t>
      </w:r>
      <w:r w:rsidR="00C92A17">
        <w:t>influenced</w:t>
      </w:r>
      <w:r w:rsidR="00C92A17" w:rsidRPr="00F25254">
        <w:t xml:space="preserve"> </w:t>
      </w:r>
      <w:r w:rsidR="00C93AC7" w:rsidRPr="00F25254">
        <w:t xml:space="preserve">by the range of services provided by GBHI </w:t>
      </w:r>
      <w:r w:rsidR="00681837">
        <w:t>Grantees</w:t>
      </w:r>
      <w:r w:rsidR="00C93AC7" w:rsidRPr="00F25254">
        <w:t xml:space="preserve"> either directly or through referral. These services, which are provided following assessed need, include, as detailed above, treatment for substance abuse and mental health disorders (which includes screening, assessment, and active treatment), outreach, case management, and wraparound services (which can include, for example, relapse prevention, crisis care, education or vocational services, transportation, medical care, housing readiness training, benefits application, housing application, peer support services)</w:t>
      </w:r>
      <w:r w:rsidR="003A1C4C">
        <w:t xml:space="preserve"> and aftercare</w:t>
      </w:r>
      <w:r w:rsidR="00C93AC7" w:rsidRPr="00F25254">
        <w:t>.</w:t>
      </w:r>
      <w:r w:rsidR="00973B09" w:rsidRPr="00F25254">
        <w:t xml:space="preserve"> </w:t>
      </w:r>
      <w:r w:rsidR="00C92A17">
        <w:t xml:space="preserve">As much as possible the intent is for each of these services to be based on models and practices that have an evidence base in peer-reviewed literature.  </w:t>
      </w:r>
      <w:r w:rsidR="00973B09" w:rsidRPr="00F25254">
        <w:t xml:space="preserve">Thus, outcomes directly relevant to the GBHI program include those related to substance use, mental health, employment and education, as well as </w:t>
      </w:r>
      <w:r w:rsidR="002A448F" w:rsidRPr="00F25254">
        <w:t xml:space="preserve">to additional behavioral outcomes and </w:t>
      </w:r>
      <w:r w:rsidR="00973B09" w:rsidRPr="00F25254">
        <w:t>housing. As correctly noted by the reviewers, the evaluation does not intend to draw causal inferences with respect to the GBHI program participation and outcomes</w:t>
      </w:r>
      <w:r w:rsidR="00894451">
        <w:t>,</w:t>
      </w:r>
      <w:r w:rsidR="00973B09" w:rsidRPr="00F25254">
        <w:t xml:space="preserve"> but to measure </w:t>
      </w:r>
      <w:r w:rsidR="00C92A17">
        <w:t>(</w:t>
      </w:r>
      <w:r w:rsidR="00973B09" w:rsidRPr="00F25254">
        <w:t>more explicitly than the current GPRA measures allow</w:t>
      </w:r>
      <w:r w:rsidR="00C92A17">
        <w:t>)</w:t>
      </w:r>
      <w:r w:rsidR="00973B09" w:rsidRPr="00F25254">
        <w:t xml:space="preserve"> a variety of outcomes directly related to the specific services included in the GBHI programs.</w:t>
      </w:r>
      <w:r w:rsidR="00C93AC7" w:rsidRPr="00F25254">
        <w:t xml:space="preserve"> </w:t>
      </w:r>
      <w:r w:rsidR="00894451">
        <w:t xml:space="preserve">These are programmatic outcomes that are used to monitor the provision of services, understand the way services are tailored to clients with different needs and to better understand how the implemented service models match the models described in the efficacy and effectiveness literature.  </w:t>
      </w:r>
      <w:r w:rsidR="002A448F" w:rsidRPr="00F25254">
        <w:t xml:space="preserve">The additional questions place a time burden of </w:t>
      </w:r>
      <w:r w:rsidR="0004224E">
        <w:t>20</w:t>
      </w:r>
      <w:r w:rsidR="002A448F" w:rsidRPr="00F25254">
        <w:t xml:space="preserve"> minutes on respondents </w:t>
      </w:r>
      <w:r w:rsidR="00133049">
        <w:t xml:space="preserve">(as described in the Supporting Statement, </w:t>
      </w:r>
      <w:r w:rsidR="00FF0CED">
        <w:t>section A.12, pages 14-15 and section B.4, pages 21-22</w:t>
      </w:r>
      <w:r w:rsidR="00133049">
        <w:t xml:space="preserve"> and per survey testing with active clients in two sites subsequent to submission of the Supporting Statement) </w:t>
      </w:r>
      <w:r w:rsidR="002A448F" w:rsidRPr="00F25254">
        <w:t>and will provide invaluable information to guide future programming efforts to aid homeless individuals with substance use or mental health disorders.</w:t>
      </w:r>
    </w:p>
    <w:p w:rsidR="001D235D" w:rsidRPr="00F25254" w:rsidRDefault="001D235D" w:rsidP="001D235D">
      <w:pPr>
        <w:pStyle w:val="NoSpacing"/>
        <w:jc w:val="both"/>
      </w:pPr>
    </w:p>
    <w:p w:rsidR="004A6011" w:rsidRPr="00836036" w:rsidRDefault="004A6011" w:rsidP="004A6011">
      <w:pPr>
        <w:pStyle w:val="NoSpacing"/>
        <w:numPr>
          <w:ilvl w:val="0"/>
          <w:numId w:val="16"/>
        </w:numPr>
        <w:jc w:val="both"/>
        <w:rPr>
          <w:b/>
          <w:bCs/>
        </w:rPr>
      </w:pPr>
      <w:r w:rsidRPr="00836036">
        <w:rPr>
          <w:b/>
          <w:bCs/>
        </w:rPr>
        <w:t>Describe the use of the information gained by the comparison of the self administered Part II of the baseline survey that contains several overlapping questions with the baseline survey.  What quality indicators are in place for analysis of contradicting responses?</w:t>
      </w:r>
    </w:p>
    <w:p w:rsidR="008D79D4" w:rsidRPr="00F25254" w:rsidRDefault="008D79D4" w:rsidP="00284F71">
      <w:pPr>
        <w:pStyle w:val="NoSpacing"/>
        <w:jc w:val="both"/>
        <w:rPr>
          <w:i/>
          <w:iCs/>
          <w:u w:val="single"/>
        </w:rPr>
      </w:pPr>
    </w:p>
    <w:p w:rsidR="000A0A52" w:rsidRDefault="008D79D4" w:rsidP="000A0A52">
      <w:pPr>
        <w:pStyle w:val="NoSpacing"/>
        <w:jc w:val="both"/>
      </w:pPr>
      <w:r w:rsidRPr="00133049">
        <w:rPr>
          <w:i/>
          <w:iCs/>
          <w:u w:val="single"/>
        </w:rPr>
        <w:t>Response</w:t>
      </w:r>
      <w:r w:rsidRPr="00F25254">
        <w:t xml:space="preserve">: </w:t>
      </w:r>
      <w:r w:rsidR="00506827">
        <w:t xml:space="preserve">The SV portion module </w:t>
      </w:r>
      <w:r w:rsidR="00153779">
        <w:t xml:space="preserve">of Part I of the survey </w:t>
      </w:r>
      <w:r w:rsidR="00506827">
        <w:t>is not self administered and contains questions about service needs and then actual receipt of needed services. The PC and the TCC</w:t>
      </w:r>
      <w:r w:rsidR="00153779">
        <w:t xml:space="preserve"> (Part II)</w:t>
      </w:r>
      <w:r w:rsidR="00506827">
        <w:t xml:space="preserve"> are self-administered and are intended to measure clients’ perception of the grantee program and the services they received.  The PC produces a measure of overall client satisfaction</w:t>
      </w:r>
      <w:r w:rsidR="00153779">
        <w:t>,</w:t>
      </w:r>
      <w:r w:rsidR="00506827">
        <w:t xml:space="preserve"> as well as the program’s culture with respect to empathy and attentiveness to clients</w:t>
      </w:r>
      <w:r w:rsidR="00153779">
        <w:t xml:space="preserve"> and</w:t>
      </w:r>
      <w:r w:rsidR="00506827">
        <w:t xml:space="preserve"> client empowerment.  The </w:t>
      </w:r>
      <w:r w:rsidR="002B2A17">
        <w:t xml:space="preserve">goal of the </w:t>
      </w:r>
      <w:r w:rsidR="00506827">
        <w:t xml:space="preserve">TCC is </w:t>
      </w:r>
      <w:r w:rsidR="002B2A17">
        <w:t xml:space="preserve">not intended to gauge client satisfaction per se but is designed to capture the overall ‘philosophy’ or ‘style’ of the program model that is being implemented by the grantee.  Specifically, some models, particularly for housing a population like this, use approaches that are </w:t>
      </w:r>
      <w:r w:rsidR="00A15966">
        <w:t>p</w:t>
      </w:r>
      <w:r w:rsidR="00153779">
        <w:t>rescriptive</w:t>
      </w:r>
      <w:r w:rsidR="00A15966">
        <w:t xml:space="preserve"> or </w:t>
      </w:r>
      <w:r w:rsidR="002B2A17">
        <w:t>coercive</w:t>
      </w:r>
      <w:r w:rsidR="00A15966">
        <w:t xml:space="preserve"> or part of a mandate from the criminal justice system</w:t>
      </w:r>
      <w:r w:rsidR="002B2A17">
        <w:t xml:space="preserve">.  In order to assess where a grantee </w:t>
      </w:r>
      <w:r w:rsidR="00A15966">
        <w:t>model</w:t>
      </w:r>
      <w:r w:rsidR="002B2A17">
        <w:t xml:space="preserve"> fits in that </w:t>
      </w:r>
      <w:r w:rsidR="002B2A17">
        <w:lastRenderedPageBreak/>
        <w:t xml:space="preserve">dimension, the clients’ perceptions of how choice is presented and the requirements or stipulations surrounding other services are used to populate this scale.  </w:t>
      </w:r>
      <w:proofErr w:type="gramStart"/>
      <w:r w:rsidR="000A0A52">
        <w:t>These client</w:t>
      </w:r>
      <w:proofErr w:type="gramEnd"/>
      <w:r w:rsidR="000A0A52">
        <w:t xml:space="preserve"> provided data are a capstone to or are part of the triangulation process that uses multiple data sources to evaluate these models (e.g., qualitative data from grantee interviews and documents, other administrative data, etc.)</w:t>
      </w:r>
    </w:p>
    <w:p w:rsidR="000A0A52" w:rsidRDefault="000A0A52" w:rsidP="000A0A52">
      <w:pPr>
        <w:pStyle w:val="NoSpacing"/>
        <w:jc w:val="both"/>
      </w:pPr>
    </w:p>
    <w:p w:rsidR="00506827" w:rsidRDefault="000A0A52" w:rsidP="000A0A52">
      <w:pPr>
        <w:pStyle w:val="NoSpacing"/>
        <w:jc w:val="both"/>
      </w:pPr>
      <w:r>
        <w:t xml:space="preserve"> </w:t>
      </w:r>
      <w:r w:rsidR="002B2A17">
        <w:t>Although there appears to be some overlap between the PC and the TCC</w:t>
      </w:r>
      <w:r w:rsidR="00A15966">
        <w:t xml:space="preserve"> for some questions they are qualitatively different questions.  In the case of the PC, for example, the client is asked if they </w:t>
      </w:r>
      <w:r w:rsidR="00A15966" w:rsidRPr="00A15966">
        <w:rPr>
          <w:i/>
          <w:iCs/>
        </w:rPr>
        <w:t>would</w:t>
      </w:r>
      <w:r w:rsidR="00A15966">
        <w:t xml:space="preserve"> switch providers if other providers were available.  The similar question i</w:t>
      </w:r>
      <w:r w:rsidR="00153779">
        <w:t>n</w:t>
      </w:r>
      <w:r w:rsidR="00A15966">
        <w:t xml:space="preserve"> the TCC asks whether switching to another provider would be permitted for that client (e.g., court –ordered to a particular provider).  We believe we should maintain the integrity of the instruments and use them for their distinct goals.  A quality review of these data is an important exercise</w:t>
      </w:r>
      <w:r w:rsidR="006C692E">
        <w:t xml:space="preserve"> for surveys like these.  We intend to have </w:t>
      </w:r>
      <w:proofErr w:type="spellStart"/>
      <w:proofErr w:type="gramStart"/>
      <w:r w:rsidR="006C692E">
        <w:t>boolean</w:t>
      </w:r>
      <w:proofErr w:type="spellEnd"/>
      <w:proofErr w:type="gramEnd"/>
      <w:r w:rsidR="006C692E">
        <w:t xml:space="preserve"> cross-checking using SAS or STATA for all elements that might yield internal inconsistency and either use logical imputation when possible or suppress scale items for which there is no clear solution.  Fortunately, the properties of most scales are robust to a small number of missing items</w:t>
      </w:r>
      <w:r w:rsidR="003E4788">
        <w:t xml:space="preserve"> including for example the use of </w:t>
      </w:r>
      <w:proofErr w:type="spellStart"/>
      <w:r w:rsidR="003E4788">
        <w:t>Likert</w:t>
      </w:r>
      <w:proofErr w:type="spellEnd"/>
      <w:r w:rsidR="003E4788">
        <w:t xml:space="preserve"> matrix questions as part of a self-administered interview is consistent with other OMB approved studies such as Access to Recovery (OMB Control Number </w:t>
      </w:r>
      <w:r w:rsidR="003E4788" w:rsidRPr="00F25254">
        <w:t>0930-0299</w:t>
      </w:r>
      <w:r w:rsidR="003E4788">
        <w:t xml:space="preserve">. </w:t>
      </w:r>
    </w:p>
    <w:p w:rsidR="00506827" w:rsidRDefault="00506827" w:rsidP="008D79D4">
      <w:pPr>
        <w:pStyle w:val="NoSpacing"/>
        <w:jc w:val="both"/>
      </w:pPr>
    </w:p>
    <w:p w:rsidR="00506827" w:rsidRDefault="00506827" w:rsidP="008D79D4">
      <w:pPr>
        <w:pStyle w:val="NoSpacing"/>
        <w:jc w:val="both"/>
      </w:pPr>
    </w:p>
    <w:p w:rsidR="004A6011" w:rsidRPr="00F25254" w:rsidRDefault="00B201A1" w:rsidP="00284F71">
      <w:pPr>
        <w:pStyle w:val="NoSpacing"/>
        <w:jc w:val="both"/>
        <w:rPr>
          <w:b/>
        </w:rPr>
      </w:pPr>
      <w:r w:rsidRPr="00F25254">
        <w:rPr>
          <w:b/>
        </w:rPr>
        <w:t>Section 3:</w:t>
      </w:r>
    </w:p>
    <w:p w:rsidR="00B201A1" w:rsidRPr="00836036" w:rsidRDefault="00B201A1" w:rsidP="00B201A1">
      <w:pPr>
        <w:numPr>
          <w:ilvl w:val="0"/>
          <w:numId w:val="15"/>
        </w:numPr>
        <w:spacing w:after="0" w:line="240" w:lineRule="auto"/>
        <w:rPr>
          <w:b/>
          <w:bCs/>
        </w:rPr>
      </w:pPr>
      <w:r w:rsidRPr="00836036">
        <w:rPr>
          <w:b/>
          <w:bCs/>
        </w:rPr>
        <w:t xml:space="preserve">Have you tested the web capabilities and response rates for the stakeholder survey? </w:t>
      </w:r>
    </w:p>
    <w:p w:rsidR="00B201A1" w:rsidRPr="00F25254" w:rsidRDefault="00B201A1" w:rsidP="00284F71">
      <w:pPr>
        <w:pStyle w:val="NoSpacing"/>
        <w:jc w:val="both"/>
        <w:rPr>
          <w:b/>
        </w:rPr>
      </w:pPr>
    </w:p>
    <w:p w:rsidR="00C84716" w:rsidRDefault="001D235D" w:rsidP="00FF0CED">
      <w:pPr>
        <w:spacing w:after="0"/>
      </w:pPr>
      <w:r w:rsidRPr="00C84716">
        <w:rPr>
          <w:bCs/>
          <w:i/>
          <w:iCs/>
          <w:u w:val="single"/>
        </w:rPr>
        <w:t>Response</w:t>
      </w:r>
      <w:r w:rsidRPr="00C84716">
        <w:rPr>
          <w:bCs/>
        </w:rPr>
        <w:t>:</w:t>
      </w:r>
      <w:r w:rsidR="00B77981" w:rsidRPr="00F25254">
        <w:rPr>
          <w:bCs/>
        </w:rPr>
        <w:t xml:space="preserve"> </w:t>
      </w:r>
      <w:r w:rsidR="00C84716" w:rsidRPr="005A3289">
        <w:rPr>
          <w:bCs/>
        </w:rPr>
        <w:t xml:space="preserve">We have not </w:t>
      </w:r>
      <w:r w:rsidR="00C84716">
        <w:rPr>
          <w:bCs/>
        </w:rPr>
        <w:t>formally tested the web-based version and response rate</w:t>
      </w:r>
      <w:r w:rsidR="00C84716" w:rsidRPr="005A3289">
        <w:rPr>
          <w:bCs/>
        </w:rPr>
        <w:t xml:space="preserve"> for the stakeholder survey as it has not yet been approved and the cost of doing so would be prohibitive</w:t>
      </w:r>
      <w:r w:rsidR="004D2E91">
        <w:rPr>
          <w:bCs/>
        </w:rPr>
        <w:t xml:space="preserve"> prior to OMB approval</w:t>
      </w:r>
      <w:r w:rsidR="00C84716" w:rsidRPr="005A3289">
        <w:rPr>
          <w:bCs/>
        </w:rPr>
        <w:t xml:space="preserve">. However, as part of </w:t>
      </w:r>
      <w:r w:rsidR="00C84716">
        <w:rPr>
          <w:bCs/>
        </w:rPr>
        <w:t xml:space="preserve">the </w:t>
      </w:r>
      <w:r w:rsidR="00C84716" w:rsidRPr="005A3289">
        <w:rPr>
          <w:bCs/>
        </w:rPr>
        <w:t>site visits he</w:t>
      </w:r>
      <w:r w:rsidR="00C84716">
        <w:rPr>
          <w:bCs/>
        </w:rPr>
        <w:t xml:space="preserve">ld in the </w:t>
      </w:r>
      <w:r w:rsidR="00C84716" w:rsidRPr="005A3289">
        <w:rPr>
          <w:bCs/>
        </w:rPr>
        <w:t>fall and winter 2010-2011</w:t>
      </w:r>
      <w:r w:rsidR="00C84716">
        <w:rPr>
          <w:bCs/>
        </w:rPr>
        <w:t>members of the evaluation team have met</w:t>
      </w:r>
      <w:r w:rsidR="00C84716" w:rsidRPr="005A3289">
        <w:rPr>
          <w:bCs/>
        </w:rPr>
        <w:t xml:space="preserve"> with stakeholders </w:t>
      </w:r>
      <w:r w:rsidR="00C84716">
        <w:rPr>
          <w:bCs/>
        </w:rPr>
        <w:t>at</w:t>
      </w:r>
      <w:r w:rsidR="00C84716" w:rsidRPr="005A3289">
        <w:rPr>
          <w:bCs/>
        </w:rPr>
        <w:t xml:space="preserve"> each of the 25 GBHI Treatment for Homeless </w:t>
      </w:r>
      <w:r w:rsidR="00681837">
        <w:rPr>
          <w:bCs/>
        </w:rPr>
        <w:t>Grantees</w:t>
      </w:r>
      <w:r w:rsidR="00C84716">
        <w:rPr>
          <w:bCs/>
        </w:rPr>
        <w:t xml:space="preserve"> where we </w:t>
      </w:r>
      <w:r w:rsidR="00C84716" w:rsidRPr="005A3289">
        <w:rPr>
          <w:bCs/>
        </w:rPr>
        <w:t>review</w:t>
      </w:r>
      <w:r w:rsidR="00C84716">
        <w:rPr>
          <w:bCs/>
        </w:rPr>
        <w:t>ed</w:t>
      </w:r>
      <w:r w:rsidR="00C84716" w:rsidRPr="005A3289">
        <w:rPr>
          <w:bCs/>
        </w:rPr>
        <w:t xml:space="preserve"> and discuss</w:t>
      </w:r>
      <w:r w:rsidR="00C84716">
        <w:rPr>
          <w:bCs/>
        </w:rPr>
        <w:t>ed</w:t>
      </w:r>
      <w:r w:rsidR="00C84716" w:rsidRPr="005A3289">
        <w:rPr>
          <w:bCs/>
        </w:rPr>
        <w:t xml:space="preserve"> the </w:t>
      </w:r>
      <w:r w:rsidR="00C84716">
        <w:rPr>
          <w:bCs/>
        </w:rPr>
        <w:t xml:space="preserve">stakeholder </w:t>
      </w:r>
      <w:r w:rsidR="00C84716" w:rsidRPr="005A3289">
        <w:rPr>
          <w:bCs/>
        </w:rPr>
        <w:t xml:space="preserve">survey, </w:t>
      </w:r>
      <w:r w:rsidR="00C84716">
        <w:rPr>
          <w:bCs/>
        </w:rPr>
        <w:t>including the survey</w:t>
      </w:r>
      <w:r w:rsidR="00C84716" w:rsidRPr="005A3289">
        <w:rPr>
          <w:bCs/>
        </w:rPr>
        <w:t xml:space="preserve"> questions, </w:t>
      </w:r>
      <w:r w:rsidR="00C84716">
        <w:rPr>
          <w:bCs/>
        </w:rPr>
        <w:t xml:space="preserve">web-based </w:t>
      </w:r>
      <w:r w:rsidR="00C84716" w:rsidRPr="005A3289">
        <w:rPr>
          <w:bCs/>
        </w:rPr>
        <w:t>format, length</w:t>
      </w:r>
      <w:r w:rsidR="00C84716">
        <w:rPr>
          <w:bCs/>
        </w:rPr>
        <w:t xml:space="preserve"> of the survey</w:t>
      </w:r>
      <w:r w:rsidR="00C84716" w:rsidRPr="005A3289">
        <w:rPr>
          <w:bCs/>
        </w:rPr>
        <w:t>, and likeliho</w:t>
      </w:r>
      <w:r w:rsidR="00C84716">
        <w:rPr>
          <w:bCs/>
        </w:rPr>
        <w:t>od of response. The feedback we received was</w:t>
      </w:r>
      <w:r w:rsidR="00C84716" w:rsidRPr="005A3289">
        <w:rPr>
          <w:bCs/>
        </w:rPr>
        <w:t xml:space="preserve"> positiv</w:t>
      </w:r>
      <w:r w:rsidR="00C84716">
        <w:rPr>
          <w:bCs/>
        </w:rPr>
        <w:t>e without suggestions for modifying the</w:t>
      </w:r>
      <w:r w:rsidR="00C84716" w:rsidRPr="005A3289">
        <w:rPr>
          <w:bCs/>
        </w:rPr>
        <w:t xml:space="preserve"> content, layout or procedures</w:t>
      </w:r>
      <w:r w:rsidR="00C84716">
        <w:rPr>
          <w:bCs/>
        </w:rPr>
        <w:t>.  The</w:t>
      </w:r>
      <w:r w:rsidR="00C84716" w:rsidRPr="005A3289">
        <w:rPr>
          <w:bCs/>
        </w:rPr>
        <w:t xml:space="preserve"> length of time</w:t>
      </w:r>
      <w:r w:rsidR="00C84716">
        <w:rPr>
          <w:bCs/>
        </w:rPr>
        <w:t xml:space="preserve"> estimated to take the survey</w:t>
      </w:r>
      <w:r w:rsidR="004D2E91">
        <w:rPr>
          <w:bCs/>
        </w:rPr>
        <w:t xml:space="preserve">, 17 minutes (as described in the Supporting Statement, </w:t>
      </w:r>
      <w:r w:rsidR="00FF0CED">
        <w:rPr>
          <w:bCs/>
        </w:rPr>
        <w:t>section A.12, pages 14-15 and section B.4, page 22</w:t>
      </w:r>
      <w:r w:rsidR="00FF0CED" w:rsidRPr="00FF0CED">
        <w:rPr>
          <w:bCs/>
        </w:rPr>
        <w:t>)</w:t>
      </w:r>
      <w:r w:rsidR="00C84716">
        <w:rPr>
          <w:bCs/>
        </w:rPr>
        <w:t xml:space="preserve">was endorsed as non-burdensome.  Also, the stakeholders’ </w:t>
      </w:r>
      <w:r w:rsidR="00C84716" w:rsidRPr="005A3289">
        <w:rPr>
          <w:bCs/>
        </w:rPr>
        <w:t xml:space="preserve">familiarity with SAMHSA and the purpose of </w:t>
      </w:r>
      <w:r w:rsidR="00C84716">
        <w:rPr>
          <w:bCs/>
        </w:rPr>
        <w:t xml:space="preserve">the </w:t>
      </w:r>
      <w:r w:rsidR="00C84716" w:rsidRPr="005A3289">
        <w:rPr>
          <w:bCs/>
        </w:rPr>
        <w:t xml:space="preserve">types of programs it funds and interest in community services was viewed as </w:t>
      </w:r>
      <w:r w:rsidR="00C84716">
        <w:rPr>
          <w:bCs/>
        </w:rPr>
        <w:t xml:space="preserve">a positive to attaining a </w:t>
      </w:r>
      <w:r w:rsidR="00C84716" w:rsidRPr="005A3289">
        <w:rPr>
          <w:bCs/>
        </w:rPr>
        <w:t>high response rate within our anticipated</w:t>
      </w:r>
      <w:r w:rsidR="00C84716">
        <w:rPr>
          <w:bCs/>
        </w:rPr>
        <w:t xml:space="preserve"> response rate</w:t>
      </w:r>
      <w:r w:rsidR="00C84716" w:rsidRPr="005A3289">
        <w:rPr>
          <w:bCs/>
        </w:rPr>
        <w:t>.</w:t>
      </w:r>
      <w:r w:rsidR="00C84716">
        <w:rPr>
          <w:bCs/>
        </w:rPr>
        <w:t xml:space="preserve"> </w:t>
      </w:r>
      <w:r w:rsidR="00470869">
        <w:rPr>
          <w:bCs/>
        </w:rPr>
        <w:t xml:space="preserve">As described in </w:t>
      </w:r>
      <w:r w:rsidR="00470869">
        <w:t>the Supporting S</w:t>
      </w:r>
      <w:r w:rsidR="00836036">
        <w:t>tatement</w:t>
      </w:r>
      <w:r w:rsidR="00470869">
        <w:t xml:space="preserve"> (p. 17)</w:t>
      </w:r>
      <w:r w:rsidR="00836036">
        <w:t xml:space="preserve"> we </w:t>
      </w:r>
      <w:r w:rsidR="00470869">
        <w:t xml:space="preserve">conservatively </w:t>
      </w:r>
      <w:r w:rsidR="00836036">
        <w:t xml:space="preserve">estimated a 50% response rate for prior </w:t>
      </w:r>
      <w:r w:rsidR="00470869">
        <w:t>completed G</w:t>
      </w:r>
      <w:r w:rsidR="00836036">
        <w:t>rantee</w:t>
      </w:r>
      <w:r w:rsidR="00470869">
        <w:t xml:space="preserve"> Stakeholder</w:t>
      </w:r>
      <w:r w:rsidR="00836036">
        <w:t xml:space="preserve">s and an 80% response rate for current </w:t>
      </w:r>
      <w:r w:rsidR="00470869">
        <w:t>G</w:t>
      </w:r>
      <w:r w:rsidR="00836036">
        <w:t xml:space="preserve">rantees </w:t>
      </w:r>
      <w:r w:rsidR="00470869">
        <w:t xml:space="preserve">Stakeholders </w:t>
      </w:r>
      <w:r w:rsidR="00836036">
        <w:t>producing an average response rate of 65%</w:t>
      </w:r>
      <w:r w:rsidR="00470869">
        <w:t xml:space="preserve"> across all years of GBHI program funding</w:t>
      </w:r>
      <w:r w:rsidR="00836036">
        <w:t>.</w:t>
      </w:r>
      <w:r w:rsidR="00470869">
        <w:t xml:space="preserve"> </w:t>
      </w:r>
      <w:r w:rsidR="00C84716">
        <w:rPr>
          <w:bCs/>
        </w:rPr>
        <w:t xml:space="preserve">The contractor, </w:t>
      </w:r>
      <w:r w:rsidR="00C84716" w:rsidRPr="005A3289">
        <w:t>RTI International</w:t>
      </w:r>
      <w:r w:rsidR="00C84716">
        <w:t>,</w:t>
      </w:r>
      <w:r w:rsidR="00C84716" w:rsidRPr="005A3289">
        <w:t xml:space="preserve"> has extensive experience </w:t>
      </w:r>
      <w:r w:rsidR="00C84716">
        <w:t xml:space="preserve">in both </w:t>
      </w:r>
      <w:r w:rsidR="00C84716" w:rsidRPr="005A3289">
        <w:t>developing and</w:t>
      </w:r>
      <w:r w:rsidR="00C84716">
        <w:t xml:space="preserve"> administering web-based surveys and surveying stakeholders with program models similar to the </w:t>
      </w:r>
      <w:r w:rsidR="00C84716" w:rsidRPr="005A3289">
        <w:rPr>
          <w:bCs/>
        </w:rPr>
        <w:t>GBHI Treatment for Homeless</w:t>
      </w:r>
      <w:r w:rsidR="00C84716">
        <w:rPr>
          <w:bCs/>
        </w:rPr>
        <w:t xml:space="preserve"> program</w:t>
      </w:r>
      <w:r w:rsidR="00C84716">
        <w:t>.  The below table highlights a few of these studies and describes their applicability to the stakeholder survey for this evaluation.</w:t>
      </w:r>
    </w:p>
    <w:p w:rsidR="00C84716" w:rsidRDefault="00C84716" w:rsidP="00C84716">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5220"/>
        <w:gridCol w:w="1530"/>
      </w:tblGrid>
      <w:tr w:rsidR="00C84716" w:rsidTr="00836036">
        <w:tc>
          <w:tcPr>
            <w:tcW w:w="2628" w:type="dxa"/>
          </w:tcPr>
          <w:p w:rsidR="00C84716" w:rsidRPr="00504E08" w:rsidRDefault="00C84716" w:rsidP="00836036">
            <w:pPr>
              <w:spacing w:after="0" w:line="240" w:lineRule="auto"/>
              <w:rPr>
                <w:b/>
                <w:bCs/>
              </w:rPr>
            </w:pPr>
            <w:r w:rsidRPr="00504E08">
              <w:rPr>
                <w:b/>
                <w:bCs/>
              </w:rPr>
              <w:t>Study Name</w:t>
            </w:r>
          </w:p>
        </w:tc>
        <w:tc>
          <w:tcPr>
            <w:tcW w:w="5220" w:type="dxa"/>
          </w:tcPr>
          <w:p w:rsidR="00C84716" w:rsidRPr="00504E08" w:rsidRDefault="00C84716" w:rsidP="00836036">
            <w:pPr>
              <w:spacing w:after="0" w:line="240" w:lineRule="auto"/>
              <w:rPr>
                <w:b/>
                <w:bCs/>
              </w:rPr>
            </w:pPr>
            <w:r w:rsidRPr="00504E08">
              <w:rPr>
                <w:b/>
                <w:bCs/>
              </w:rPr>
              <w:t>Relevance/Experience</w:t>
            </w:r>
          </w:p>
        </w:tc>
        <w:tc>
          <w:tcPr>
            <w:tcW w:w="1530" w:type="dxa"/>
          </w:tcPr>
          <w:p w:rsidR="00C84716" w:rsidRPr="00504E08" w:rsidRDefault="00C84716" w:rsidP="00836036">
            <w:pPr>
              <w:spacing w:after="0" w:line="240" w:lineRule="auto"/>
              <w:rPr>
                <w:b/>
                <w:bCs/>
              </w:rPr>
            </w:pPr>
            <w:r w:rsidRPr="00504E08">
              <w:rPr>
                <w:b/>
                <w:bCs/>
              </w:rPr>
              <w:t>OMB Control Number</w:t>
            </w:r>
          </w:p>
        </w:tc>
      </w:tr>
      <w:tr w:rsidR="00C84716" w:rsidTr="00836036">
        <w:tc>
          <w:tcPr>
            <w:tcW w:w="2628" w:type="dxa"/>
          </w:tcPr>
          <w:p w:rsidR="00C84716" w:rsidRDefault="00C84716" w:rsidP="00836036">
            <w:pPr>
              <w:spacing w:after="0" w:line="240" w:lineRule="auto"/>
            </w:pPr>
            <w:r>
              <w:t xml:space="preserve">Evaluation of the National </w:t>
            </w:r>
            <w:r>
              <w:lastRenderedPageBreak/>
              <w:t>Weed and Seed Strategy</w:t>
            </w:r>
          </w:p>
        </w:tc>
        <w:tc>
          <w:tcPr>
            <w:tcW w:w="5220" w:type="dxa"/>
          </w:tcPr>
          <w:p w:rsidR="00C84716" w:rsidRDefault="00C84716" w:rsidP="00836036">
            <w:pPr>
              <w:spacing w:after="0" w:line="240" w:lineRule="auto"/>
            </w:pPr>
            <w:r>
              <w:lastRenderedPageBreak/>
              <w:t xml:space="preserve">Included a </w:t>
            </w:r>
            <w:r w:rsidRPr="00B431D0">
              <w:t xml:space="preserve">Web-based survey of stakeholders such as </w:t>
            </w:r>
            <w:r w:rsidRPr="00B431D0">
              <w:lastRenderedPageBreak/>
              <w:t>agency representatives or involved residents</w:t>
            </w:r>
            <w:r>
              <w:t xml:space="preserve"> in 169 sites (1,353 respondents) achieving a 59% response rate.  Please note that many of these 169 sites had already completed their funding cycle and thus had no direct mandate to participate in the evaluation unlike GBHI where we have ongoing relationships with all 25 sites and, as a part of their receiving funding, are required to participate in the cross-site evaluation.</w:t>
            </w:r>
          </w:p>
        </w:tc>
        <w:tc>
          <w:tcPr>
            <w:tcW w:w="1530" w:type="dxa"/>
          </w:tcPr>
          <w:p w:rsidR="00C84716" w:rsidRDefault="00C84716" w:rsidP="00836036">
            <w:pPr>
              <w:spacing w:after="0" w:line="240" w:lineRule="auto"/>
            </w:pPr>
            <w:r>
              <w:lastRenderedPageBreak/>
              <w:t>N/A</w:t>
            </w:r>
          </w:p>
        </w:tc>
      </w:tr>
      <w:tr w:rsidR="00C84716" w:rsidTr="00836036">
        <w:tc>
          <w:tcPr>
            <w:tcW w:w="2628" w:type="dxa"/>
          </w:tcPr>
          <w:p w:rsidR="00C84716" w:rsidRDefault="00C84716" w:rsidP="00836036">
            <w:pPr>
              <w:spacing w:after="0" w:line="240" w:lineRule="auto"/>
            </w:pPr>
            <w:r>
              <w:lastRenderedPageBreak/>
              <w:t>Law Enforcement Forensic Processing Study</w:t>
            </w:r>
          </w:p>
        </w:tc>
        <w:tc>
          <w:tcPr>
            <w:tcW w:w="5220" w:type="dxa"/>
          </w:tcPr>
          <w:p w:rsidR="00C84716" w:rsidRDefault="00C84716" w:rsidP="00836036">
            <w:pPr>
              <w:spacing w:after="0" w:line="240" w:lineRule="auto"/>
            </w:pPr>
            <w:r>
              <w:t>Multi-mode survey, including web-based, of 2,000 law enforcement agencies achieving a 73% response rate.</w:t>
            </w:r>
          </w:p>
        </w:tc>
        <w:tc>
          <w:tcPr>
            <w:tcW w:w="1530" w:type="dxa"/>
          </w:tcPr>
          <w:p w:rsidR="00C84716" w:rsidRPr="005A4284" w:rsidRDefault="00C84716" w:rsidP="00836036">
            <w:pPr>
              <w:spacing w:after="0" w:line="240" w:lineRule="auto"/>
            </w:pPr>
            <w:r w:rsidRPr="00504E08">
              <w:rPr>
                <w:color w:val="000000"/>
              </w:rPr>
              <w:t>1121-0320</w:t>
            </w:r>
          </w:p>
        </w:tc>
      </w:tr>
      <w:tr w:rsidR="00C84716" w:rsidTr="00836036">
        <w:tc>
          <w:tcPr>
            <w:tcW w:w="2628" w:type="dxa"/>
          </w:tcPr>
          <w:p w:rsidR="00C84716" w:rsidRDefault="00C84716" w:rsidP="00836036">
            <w:pPr>
              <w:spacing w:after="0" w:line="240" w:lineRule="auto"/>
            </w:pPr>
            <w:r>
              <w:t>Safe Schools/Healthy Students Cross-site Evaluation</w:t>
            </w:r>
          </w:p>
        </w:tc>
        <w:tc>
          <w:tcPr>
            <w:tcW w:w="5220" w:type="dxa"/>
          </w:tcPr>
          <w:p w:rsidR="00C84716" w:rsidRDefault="00C84716" w:rsidP="00836036">
            <w:pPr>
              <w:spacing w:after="0" w:line="240" w:lineRule="auto"/>
            </w:pPr>
            <w:r>
              <w:t>Included a survey of partnership members and key partners in 97 grantee sites.  During four waves of data collection the average response rate for these surveys was 65%.</w:t>
            </w:r>
          </w:p>
        </w:tc>
        <w:tc>
          <w:tcPr>
            <w:tcW w:w="1530" w:type="dxa"/>
          </w:tcPr>
          <w:p w:rsidR="00C84716" w:rsidRDefault="00C84716" w:rsidP="00836036">
            <w:pPr>
              <w:spacing w:after="0" w:line="240" w:lineRule="auto"/>
            </w:pPr>
            <w:r w:rsidRPr="00504E08">
              <w:rPr>
                <w:kern w:val="16"/>
              </w:rPr>
              <w:t>1121-0247</w:t>
            </w:r>
          </w:p>
        </w:tc>
      </w:tr>
    </w:tbl>
    <w:p w:rsidR="00C84716" w:rsidRDefault="00C84716" w:rsidP="00C84716">
      <w:pPr>
        <w:spacing w:after="0"/>
      </w:pPr>
    </w:p>
    <w:p w:rsidR="001D235D" w:rsidRPr="00F25254" w:rsidRDefault="004376C0" w:rsidP="00C84716">
      <w:pPr>
        <w:pStyle w:val="NoSpacing"/>
        <w:jc w:val="both"/>
        <w:rPr>
          <w:bCs/>
        </w:rPr>
      </w:pPr>
      <w:r w:rsidRPr="00F25254">
        <w:rPr>
          <w:bCs/>
        </w:rPr>
        <w:t xml:space="preserve">  </w:t>
      </w:r>
    </w:p>
    <w:p w:rsidR="00284F71" w:rsidRPr="00F25254" w:rsidRDefault="00284F71" w:rsidP="00284F71">
      <w:pPr>
        <w:pStyle w:val="NoSpacing"/>
        <w:jc w:val="both"/>
        <w:rPr>
          <w:b/>
        </w:rPr>
      </w:pPr>
      <w:r w:rsidRPr="00F25254">
        <w:rPr>
          <w:b/>
        </w:rPr>
        <w:t>Section 9:</w:t>
      </w:r>
    </w:p>
    <w:p w:rsidR="00284F71" w:rsidRPr="00F25254" w:rsidRDefault="00284F71" w:rsidP="00284F71">
      <w:pPr>
        <w:pStyle w:val="NoSpacing"/>
        <w:jc w:val="both"/>
      </w:pPr>
      <w:r w:rsidRPr="00F25254">
        <w:rPr>
          <w:b/>
        </w:rPr>
        <w:t>Incentives</w:t>
      </w:r>
      <w:r w:rsidRPr="00F25254">
        <w:t xml:space="preserve">: </w:t>
      </w:r>
    </w:p>
    <w:p w:rsidR="00284F71" w:rsidRPr="00470869" w:rsidRDefault="00284F71" w:rsidP="00284F71">
      <w:pPr>
        <w:pStyle w:val="NoSpacing"/>
        <w:numPr>
          <w:ilvl w:val="0"/>
          <w:numId w:val="5"/>
        </w:numPr>
        <w:jc w:val="both"/>
        <w:rPr>
          <w:b/>
          <w:bCs/>
        </w:rPr>
      </w:pPr>
      <w:r w:rsidRPr="00470869">
        <w:rPr>
          <w:b/>
          <w:bCs/>
        </w:rPr>
        <w:t xml:space="preserve">Grocery cards are a cash equivalent incentive. Please change the description in A9.  We only consider items that are not easily exchanged for money, like a ruler or a magnet, as non-cash incentives. A gift card to a grocery store could easily be exchanged for cash and therefore should be considered a cash incentive. </w:t>
      </w:r>
    </w:p>
    <w:p w:rsidR="00284F71" w:rsidRPr="00470869" w:rsidRDefault="00284F71" w:rsidP="00284F71">
      <w:pPr>
        <w:pStyle w:val="NoSpacing"/>
        <w:numPr>
          <w:ilvl w:val="0"/>
          <w:numId w:val="5"/>
        </w:numPr>
        <w:jc w:val="both"/>
        <w:rPr>
          <w:b/>
          <w:bCs/>
        </w:rPr>
      </w:pPr>
      <w:r w:rsidRPr="00470869">
        <w:rPr>
          <w:b/>
          <w:bCs/>
        </w:rPr>
        <w:t xml:space="preserve">Please clarify when the client receives the incentive. </w:t>
      </w:r>
    </w:p>
    <w:p w:rsidR="00284F71" w:rsidRPr="00F25254" w:rsidRDefault="00284F71" w:rsidP="00284F71">
      <w:pPr>
        <w:pStyle w:val="NoSpacing"/>
        <w:jc w:val="both"/>
        <w:rPr>
          <w:b/>
        </w:rPr>
      </w:pPr>
    </w:p>
    <w:p w:rsidR="001F57F4" w:rsidRDefault="001D235D" w:rsidP="00470869">
      <w:pPr>
        <w:pStyle w:val="NoSpacing"/>
        <w:jc w:val="both"/>
      </w:pPr>
      <w:r w:rsidRPr="00F25254">
        <w:rPr>
          <w:bCs/>
          <w:i/>
          <w:iCs/>
          <w:u w:val="single"/>
        </w:rPr>
        <w:t>Response</w:t>
      </w:r>
      <w:r w:rsidRPr="007503C9">
        <w:rPr>
          <w:bCs/>
        </w:rPr>
        <w:t>:</w:t>
      </w:r>
      <w:r w:rsidR="00205C49" w:rsidRPr="007503C9">
        <w:rPr>
          <w:bCs/>
        </w:rPr>
        <w:t xml:space="preserve"> </w:t>
      </w:r>
      <w:r w:rsidR="00474B25" w:rsidRPr="00470869">
        <w:rPr>
          <w:bCs/>
          <w:u w:val="single"/>
        </w:rPr>
        <w:t>Question 1</w:t>
      </w:r>
      <w:r w:rsidR="00470869">
        <w:rPr>
          <w:bCs/>
        </w:rPr>
        <w:t>. W</w:t>
      </w:r>
      <w:r w:rsidR="00474B25" w:rsidRPr="00F25254">
        <w:rPr>
          <w:bCs/>
        </w:rPr>
        <w:t xml:space="preserve">e agree we are proposing cash equivalent incentives. </w:t>
      </w:r>
      <w:r w:rsidRPr="00F25254">
        <w:rPr>
          <w:bCs/>
        </w:rPr>
        <w:t>A</w:t>
      </w:r>
      <w:r w:rsidR="00973B09" w:rsidRPr="00F25254">
        <w:rPr>
          <w:bCs/>
        </w:rPr>
        <w:t xml:space="preserve">ll </w:t>
      </w:r>
      <w:r w:rsidRPr="00F25254">
        <w:rPr>
          <w:bCs/>
        </w:rPr>
        <w:t>of the 25 Grantees requested cash equivalent incentives such as Target gift cards</w:t>
      </w:r>
      <w:r w:rsidR="002A448F" w:rsidRPr="00F25254">
        <w:rPr>
          <w:bCs/>
        </w:rPr>
        <w:t xml:space="preserve"> in discussions about the planned cross-site evaluation</w:t>
      </w:r>
      <w:r w:rsidR="00973B09" w:rsidRPr="00F25254">
        <w:rPr>
          <w:bCs/>
        </w:rPr>
        <w:t xml:space="preserve">.  The </w:t>
      </w:r>
      <w:r w:rsidR="00681837">
        <w:rPr>
          <w:bCs/>
        </w:rPr>
        <w:t>Grantees</w:t>
      </w:r>
      <w:r w:rsidR="002A448F" w:rsidRPr="00F25254">
        <w:rPr>
          <w:bCs/>
        </w:rPr>
        <w:t>’ rationale for cash-equivalent incentives was twofold.  First, all Grantees indicated that</w:t>
      </w:r>
      <w:r w:rsidR="00973B09" w:rsidRPr="00F25254">
        <w:rPr>
          <w:bCs/>
        </w:rPr>
        <w:t xml:space="preserve"> </w:t>
      </w:r>
      <w:r w:rsidR="00302F10" w:rsidRPr="00F25254">
        <w:rPr>
          <w:bCs/>
        </w:rPr>
        <w:t xml:space="preserve">these types of incentives </w:t>
      </w:r>
      <w:r w:rsidR="00973B09" w:rsidRPr="00F25254">
        <w:rPr>
          <w:bCs/>
        </w:rPr>
        <w:t xml:space="preserve">would be </w:t>
      </w:r>
      <w:r w:rsidR="00302F10" w:rsidRPr="00F25254">
        <w:rPr>
          <w:bCs/>
        </w:rPr>
        <w:t xml:space="preserve">administratively easier to receive and track </w:t>
      </w:r>
      <w:r w:rsidR="00973B09" w:rsidRPr="00F25254">
        <w:rPr>
          <w:bCs/>
        </w:rPr>
        <w:t xml:space="preserve">than other types of incentives.  </w:t>
      </w:r>
      <w:r w:rsidR="002A448F" w:rsidRPr="00F25254">
        <w:rPr>
          <w:bCs/>
        </w:rPr>
        <w:t>Second, t</w:t>
      </w:r>
      <w:r w:rsidR="00973B09" w:rsidRPr="00F25254">
        <w:rPr>
          <w:bCs/>
        </w:rPr>
        <w:t xml:space="preserve">he Grantees indicated that the </w:t>
      </w:r>
      <w:r w:rsidR="00302F10" w:rsidRPr="00F25254">
        <w:rPr>
          <w:bCs/>
        </w:rPr>
        <w:t xml:space="preserve">clients </w:t>
      </w:r>
      <w:r w:rsidR="00973B09" w:rsidRPr="00F25254">
        <w:rPr>
          <w:bCs/>
        </w:rPr>
        <w:t xml:space="preserve">would </w:t>
      </w:r>
      <w:r w:rsidR="00302F10" w:rsidRPr="00F25254">
        <w:rPr>
          <w:bCs/>
        </w:rPr>
        <w:t xml:space="preserve">prefer something that they could use toward food and housing items. As described in </w:t>
      </w:r>
      <w:r w:rsidR="00C76B0B">
        <w:rPr>
          <w:bCs/>
        </w:rPr>
        <w:t>s</w:t>
      </w:r>
      <w:r w:rsidR="00302F10" w:rsidRPr="00F25254">
        <w:rPr>
          <w:bCs/>
        </w:rPr>
        <w:t xml:space="preserve">ection </w:t>
      </w:r>
      <w:r w:rsidR="00C76B0B">
        <w:rPr>
          <w:bCs/>
        </w:rPr>
        <w:t>A.9</w:t>
      </w:r>
      <w:r w:rsidR="00302F10" w:rsidRPr="00C76B0B">
        <w:rPr>
          <w:bCs/>
        </w:rPr>
        <w:t xml:space="preserve"> </w:t>
      </w:r>
      <w:r w:rsidR="00C76B0B">
        <w:rPr>
          <w:bCs/>
        </w:rPr>
        <w:t xml:space="preserve">on page 11 of the </w:t>
      </w:r>
      <w:r w:rsidR="00FE3F5E">
        <w:rPr>
          <w:bCs/>
        </w:rPr>
        <w:t>S</w:t>
      </w:r>
      <w:r w:rsidR="00C76B0B">
        <w:rPr>
          <w:bCs/>
        </w:rPr>
        <w:t xml:space="preserve">upporting </w:t>
      </w:r>
      <w:r w:rsidR="00FE3F5E">
        <w:rPr>
          <w:bCs/>
        </w:rPr>
        <w:t>S</w:t>
      </w:r>
      <w:r w:rsidR="00C76B0B">
        <w:rPr>
          <w:bCs/>
        </w:rPr>
        <w:t>tatement</w:t>
      </w:r>
      <w:r w:rsidR="00302F10" w:rsidRPr="00C76B0B">
        <w:rPr>
          <w:bCs/>
        </w:rPr>
        <w:t>,</w:t>
      </w:r>
      <w:r w:rsidR="00302F10" w:rsidRPr="00F25254">
        <w:rPr>
          <w:bCs/>
        </w:rPr>
        <w:t xml:space="preserve"> incentives have been demonstrated to increase response rate</w:t>
      </w:r>
      <w:r w:rsidR="008D211D">
        <w:rPr>
          <w:bCs/>
        </w:rPr>
        <w:t>s and panel retention in surveys about sensitive behaviors without being overly coercive (</w:t>
      </w:r>
      <w:proofErr w:type="spellStart"/>
      <w:r w:rsidR="008D211D">
        <w:rPr>
          <w:bCs/>
        </w:rPr>
        <w:t>Cottler</w:t>
      </w:r>
      <w:proofErr w:type="spellEnd"/>
      <w:r w:rsidR="008D211D">
        <w:rPr>
          <w:bCs/>
        </w:rPr>
        <w:t xml:space="preserve"> et al., 1996</w:t>
      </w:r>
      <w:proofErr w:type="gramStart"/>
      <w:r w:rsidR="008D211D">
        <w:rPr>
          <w:bCs/>
        </w:rPr>
        <w:t xml:space="preserve">) </w:t>
      </w:r>
      <w:r w:rsidR="00B0284B">
        <w:rPr>
          <w:bCs/>
        </w:rPr>
        <w:t>.</w:t>
      </w:r>
      <w:proofErr w:type="gramEnd"/>
      <w:r w:rsidR="00B0284B">
        <w:rPr>
          <w:bCs/>
        </w:rPr>
        <w:t xml:space="preserve">  We are also comfortable that using gift cards does not alter either the response rate or increase the probability of increasing substance use</w:t>
      </w:r>
      <w:r w:rsidR="008D211D">
        <w:rPr>
          <w:bCs/>
        </w:rPr>
        <w:t xml:space="preserve"> (</w:t>
      </w:r>
      <w:proofErr w:type="spellStart"/>
      <w:r w:rsidR="008D211D">
        <w:rPr>
          <w:bCs/>
        </w:rPr>
        <w:t>Festinger</w:t>
      </w:r>
      <w:proofErr w:type="spellEnd"/>
      <w:r w:rsidR="008D211D">
        <w:rPr>
          <w:bCs/>
        </w:rPr>
        <w:t xml:space="preserve"> et al., 2008)</w:t>
      </w:r>
      <w:r w:rsidR="00B0284B">
        <w:rPr>
          <w:bCs/>
        </w:rPr>
        <w:t xml:space="preserve">.  </w:t>
      </w:r>
      <w:r w:rsidRPr="00FE3F5E">
        <w:rPr>
          <w:bCs/>
        </w:rPr>
        <w:t xml:space="preserve">The </w:t>
      </w:r>
      <w:r w:rsidR="00474B25" w:rsidRPr="00FE3F5E">
        <w:rPr>
          <w:bCs/>
        </w:rPr>
        <w:t xml:space="preserve">language on page </w:t>
      </w:r>
      <w:r w:rsidR="00FE3F5E" w:rsidRPr="00FE3F5E">
        <w:rPr>
          <w:bCs/>
        </w:rPr>
        <w:t xml:space="preserve">9 </w:t>
      </w:r>
      <w:r w:rsidR="00474B25" w:rsidRPr="00FE3F5E">
        <w:rPr>
          <w:bCs/>
        </w:rPr>
        <w:t xml:space="preserve">of the </w:t>
      </w:r>
      <w:r w:rsidR="001F57F4" w:rsidRPr="00FE3F5E">
        <w:rPr>
          <w:bCs/>
        </w:rPr>
        <w:t>S</w:t>
      </w:r>
      <w:r w:rsidR="00474B25" w:rsidRPr="00FE3F5E">
        <w:rPr>
          <w:bCs/>
        </w:rPr>
        <w:t xml:space="preserve">upporting </w:t>
      </w:r>
      <w:r w:rsidR="001F57F4" w:rsidRPr="00FE3F5E">
        <w:rPr>
          <w:bCs/>
        </w:rPr>
        <w:t>S</w:t>
      </w:r>
      <w:r w:rsidR="00474B25" w:rsidRPr="00FE3F5E">
        <w:rPr>
          <w:bCs/>
        </w:rPr>
        <w:t xml:space="preserve">tatement should </w:t>
      </w:r>
      <w:r w:rsidR="001F57F4" w:rsidRPr="00FE3F5E">
        <w:rPr>
          <w:bCs/>
        </w:rPr>
        <w:t xml:space="preserve">have </w:t>
      </w:r>
      <w:r w:rsidR="00474B25" w:rsidRPr="00FE3F5E">
        <w:rPr>
          <w:bCs/>
        </w:rPr>
        <w:t>re</w:t>
      </w:r>
      <w:r w:rsidR="00FF0CED">
        <w:rPr>
          <w:bCs/>
        </w:rPr>
        <w:t>a</w:t>
      </w:r>
      <w:r w:rsidR="00474B25" w:rsidRPr="00FE3F5E">
        <w:rPr>
          <w:bCs/>
        </w:rPr>
        <w:t>d:</w:t>
      </w:r>
      <w:r w:rsidR="00474B25" w:rsidRPr="00F25254">
        <w:t xml:space="preserve"> To increase response rates, all clients who agree to participate in the client interview at baseline will receive an incentive worth a $10 value (e.g., gift card). Participants who complete the baseline will be asked to complete a 6-month follow-up interview.  Clients who agree to participate in the 6-month follow-up will receive an incentive worth a $25 value.”</w:t>
      </w:r>
      <w:r w:rsidR="001F57F4">
        <w:t xml:space="preserve"> </w:t>
      </w:r>
    </w:p>
    <w:p w:rsidR="002E0728" w:rsidRDefault="006B189A" w:rsidP="00FF0CED">
      <w:pPr>
        <w:tabs>
          <w:tab w:val="right" w:pos="8640"/>
        </w:tabs>
        <w:spacing w:after="120"/>
      </w:pPr>
      <w:r>
        <w:rPr>
          <w:highlight w:val="yellow"/>
        </w:rPr>
        <w:tab/>
      </w:r>
      <w:r>
        <w:t xml:space="preserve">              </w:t>
      </w:r>
      <w:r w:rsidR="001F57F4" w:rsidRPr="006B189A">
        <w:t xml:space="preserve">The client consent form </w:t>
      </w:r>
      <w:r>
        <w:t xml:space="preserve">submitted on December 30, 2010 with the Supporting Statement (Attachment 6) </w:t>
      </w:r>
      <w:r w:rsidR="002E0728" w:rsidRPr="006B189A">
        <w:t xml:space="preserve">reads </w:t>
      </w:r>
      <w:r w:rsidR="002E0728">
        <w:t xml:space="preserve">“non-cash coupon worth $10.00 today; you will also receive a non-cash coupon worth $25.00 at the 6 month follow-up interview…”. Would OMB like this changed by deleting the words “non-cash” so </w:t>
      </w:r>
      <w:r>
        <w:t xml:space="preserve">the informed consent </w:t>
      </w:r>
      <w:r w:rsidR="002E0728">
        <w:t>reads “coupon worth…</w:t>
      </w:r>
      <w:proofErr w:type="gramStart"/>
      <w:r w:rsidR="002E0728">
        <w:t>”.</w:t>
      </w:r>
      <w:proofErr w:type="gramEnd"/>
      <w:r w:rsidR="002E0728">
        <w:t xml:space="preserve"> The downside is that it is perhaps misleading in that </w:t>
      </w:r>
      <w:r>
        <w:t>clients</w:t>
      </w:r>
      <w:r w:rsidR="002E0728">
        <w:t xml:space="preserve"> may expect a “cash” coupon then; this level of specificity</w:t>
      </w:r>
      <w:r>
        <w:t>, “non-cash coupon”,</w:t>
      </w:r>
      <w:r w:rsidR="002E0728">
        <w:t xml:space="preserve"> was encouraged by the IRB</w:t>
      </w:r>
      <w:r>
        <w:t xml:space="preserve">. </w:t>
      </w:r>
      <w:r w:rsidR="002E0728">
        <w:t xml:space="preserve"> </w:t>
      </w:r>
    </w:p>
    <w:p w:rsidR="00F826B2" w:rsidRPr="00F25254" w:rsidRDefault="00F826B2" w:rsidP="00470869">
      <w:pPr>
        <w:pStyle w:val="NoSpacing"/>
        <w:ind w:firstLine="720"/>
        <w:jc w:val="both"/>
        <w:rPr>
          <w:b/>
        </w:rPr>
      </w:pPr>
      <w:proofErr w:type="gramStart"/>
      <w:r w:rsidRPr="00470869">
        <w:rPr>
          <w:bCs/>
          <w:u w:val="single"/>
        </w:rPr>
        <w:lastRenderedPageBreak/>
        <w:t>Question 2</w:t>
      </w:r>
      <w:r w:rsidR="00470869">
        <w:rPr>
          <w:bCs/>
        </w:rPr>
        <w:t>.</w:t>
      </w:r>
      <w:proofErr w:type="gramEnd"/>
      <w:r w:rsidR="00470869">
        <w:rPr>
          <w:bCs/>
        </w:rPr>
        <w:t xml:space="preserve"> A</w:t>
      </w:r>
      <w:r w:rsidR="00E31263" w:rsidRPr="00F25254">
        <w:rPr>
          <w:bCs/>
        </w:rPr>
        <w:t xml:space="preserve">s noted in </w:t>
      </w:r>
      <w:r w:rsidR="001D235D" w:rsidRPr="00F25254">
        <w:rPr>
          <w:bCs/>
        </w:rPr>
        <w:t xml:space="preserve">the submitted informed consent submitted with the </w:t>
      </w:r>
      <w:r w:rsidR="001F57F4">
        <w:rPr>
          <w:bCs/>
        </w:rPr>
        <w:t xml:space="preserve">Supporting </w:t>
      </w:r>
      <w:r w:rsidR="001D235D" w:rsidRPr="00F25254">
        <w:rPr>
          <w:bCs/>
        </w:rPr>
        <w:t xml:space="preserve">Statement </w:t>
      </w:r>
      <w:r w:rsidR="001F57F4">
        <w:rPr>
          <w:bCs/>
        </w:rPr>
        <w:t>(</w:t>
      </w:r>
      <w:r w:rsidR="00FE3F5E" w:rsidRPr="00FE3F5E">
        <w:rPr>
          <w:bCs/>
        </w:rPr>
        <w:t>Attachment 6</w:t>
      </w:r>
      <w:r w:rsidR="001F57F4" w:rsidRPr="00FE3F5E">
        <w:rPr>
          <w:bCs/>
        </w:rPr>
        <w:t>)</w:t>
      </w:r>
      <w:r w:rsidR="001D235D" w:rsidRPr="00FE3F5E">
        <w:rPr>
          <w:bCs/>
        </w:rPr>
        <w:t>,</w:t>
      </w:r>
      <w:r w:rsidR="001D235D" w:rsidRPr="00F25254">
        <w:rPr>
          <w:bCs/>
        </w:rPr>
        <w:t xml:space="preserve"> </w:t>
      </w:r>
      <w:r w:rsidRPr="00F25254">
        <w:rPr>
          <w:bCs/>
        </w:rPr>
        <w:t xml:space="preserve">incentives will be provided </w:t>
      </w:r>
      <w:r w:rsidR="001D235D" w:rsidRPr="00F25254">
        <w:rPr>
          <w:bCs/>
        </w:rPr>
        <w:t xml:space="preserve">at the baseline administration of the GBHI Client Interview </w:t>
      </w:r>
      <w:r w:rsidRPr="00F25254">
        <w:rPr>
          <w:bCs/>
        </w:rPr>
        <w:t xml:space="preserve">and </w:t>
      </w:r>
      <w:r w:rsidR="001D235D" w:rsidRPr="00F25254">
        <w:rPr>
          <w:bCs/>
        </w:rPr>
        <w:t>at the administration of the 6-month follow-up interview</w:t>
      </w:r>
      <w:r w:rsidRPr="00F25254">
        <w:rPr>
          <w:bCs/>
        </w:rPr>
        <w:t xml:space="preserve">. </w:t>
      </w:r>
      <w:r w:rsidR="001D235D" w:rsidRPr="00F25254">
        <w:rPr>
          <w:bCs/>
        </w:rPr>
        <w:t xml:space="preserve"> </w:t>
      </w:r>
      <w:r w:rsidRPr="00F25254">
        <w:t>Clients will not be penalized for skipping items or terminating an interview before full completion. If a client wishes to stop the interview, he or she will still receive the incentive.</w:t>
      </w:r>
    </w:p>
    <w:p w:rsidR="003C6655" w:rsidRPr="00F25254" w:rsidRDefault="003C6655" w:rsidP="00F826B2">
      <w:pPr>
        <w:pStyle w:val="NoSpacing"/>
        <w:jc w:val="both"/>
        <w:rPr>
          <w:bCs/>
        </w:rPr>
      </w:pPr>
    </w:p>
    <w:p w:rsidR="002E6447" w:rsidRPr="00F25254" w:rsidRDefault="002E6447" w:rsidP="002E6447">
      <w:pPr>
        <w:pStyle w:val="NoSpacing"/>
        <w:jc w:val="both"/>
      </w:pPr>
      <w:r w:rsidRPr="00F25254">
        <w:rPr>
          <w:b/>
        </w:rPr>
        <w:t>Section 10</w:t>
      </w:r>
      <w:r w:rsidR="00D30B96" w:rsidRPr="00F25254">
        <w:t xml:space="preserve">: </w:t>
      </w:r>
    </w:p>
    <w:p w:rsidR="002E6447" w:rsidRPr="00F25254" w:rsidRDefault="00440528" w:rsidP="002E6447">
      <w:pPr>
        <w:pStyle w:val="NoSpacing"/>
        <w:jc w:val="both"/>
        <w:rPr>
          <w:b/>
        </w:rPr>
      </w:pPr>
      <w:r w:rsidRPr="00F25254">
        <w:rPr>
          <w:b/>
        </w:rPr>
        <w:t>Interviewers</w:t>
      </w:r>
      <w:r w:rsidR="002E6447" w:rsidRPr="00F25254">
        <w:rPr>
          <w:b/>
        </w:rPr>
        <w:t xml:space="preserve">: </w:t>
      </w:r>
    </w:p>
    <w:p w:rsidR="002E6447" w:rsidRPr="00470869" w:rsidRDefault="002E6447" w:rsidP="002E6447">
      <w:pPr>
        <w:pStyle w:val="NoSpacing"/>
        <w:jc w:val="both"/>
        <w:rPr>
          <w:b/>
          <w:bCs/>
        </w:rPr>
      </w:pPr>
      <w:r w:rsidRPr="00470869">
        <w:rPr>
          <w:b/>
          <w:bCs/>
        </w:rPr>
        <w:t xml:space="preserve">We are concerned that you are using grantees as interviewers for two reasons: </w:t>
      </w:r>
    </w:p>
    <w:p w:rsidR="002E6447" w:rsidRPr="00470869" w:rsidRDefault="00D30B96" w:rsidP="00D30B96">
      <w:pPr>
        <w:pStyle w:val="NoSpacing"/>
        <w:numPr>
          <w:ilvl w:val="0"/>
          <w:numId w:val="9"/>
        </w:numPr>
        <w:jc w:val="both"/>
        <w:rPr>
          <w:b/>
          <w:bCs/>
        </w:rPr>
      </w:pPr>
      <w:r w:rsidRPr="00470869">
        <w:rPr>
          <w:b/>
          <w:bCs/>
        </w:rPr>
        <w:t xml:space="preserve">While it may be useful to have the grantees administer the client surveys because they are familiar with the clients, there is also a conflict of interest since the client will be evaluating the program with a grantee present. </w:t>
      </w:r>
    </w:p>
    <w:p w:rsidR="002E6447" w:rsidRPr="00470869" w:rsidRDefault="002E6447" w:rsidP="00D30B96">
      <w:pPr>
        <w:pStyle w:val="NoSpacing"/>
        <w:numPr>
          <w:ilvl w:val="0"/>
          <w:numId w:val="9"/>
        </w:numPr>
        <w:jc w:val="both"/>
        <w:rPr>
          <w:b/>
          <w:bCs/>
        </w:rPr>
      </w:pPr>
      <w:r w:rsidRPr="00470869">
        <w:rPr>
          <w:b/>
          <w:bCs/>
        </w:rPr>
        <w:t xml:space="preserve">We are also concerned because </w:t>
      </w:r>
      <w:r w:rsidR="00D30B96" w:rsidRPr="00470869">
        <w:rPr>
          <w:b/>
          <w:bCs/>
        </w:rPr>
        <w:t xml:space="preserve">survey administration is not an easy task and while you will provide training to the grantees prior to the evaluation, they are not professional interviewers and they may not be as comfortable or skilled at collecting the required data. </w:t>
      </w:r>
    </w:p>
    <w:p w:rsidR="00302F10" w:rsidRPr="00F25254" w:rsidRDefault="00302F10" w:rsidP="00302F10">
      <w:pPr>
        <w:pStyle w:val="NoSpacing"/>
        <w:jc w:val="both"/>
      </w:pPr>
    </w:p>
    <w:p w:rsidR="00470869" w:rsidRDefault="004376C0" w:rsidP="00470869">
      <w:pPr>
        <w:pStyle w:val="NoSpacing"/>
        <w:jc w:val="both"/>
      </w:pPr>
      <w:r w:rsidRPr="00F25254">
        <w:rPr>
          <w:i/>
          <w:iCs/>
          <w:u w:val="single"/>
        </w:rPr>
        <w:t>Response:</w:t>
      </w:r>
      <w:r w:rsidRPr="00F25254">
        <w:t xml:space="preserve"> </w:t>
      </w:r>
    </w:p>
    <w:p w:rsidR="00470869" w:rsidRDefault="00470869" w:rsidP="00470869">
      <w:pPr>
        <w:pStyle w:val="NoSpacing"/>
        <w:jc w:val="both"/>
      </w:pPr>
      <w:proofErr w:type="gramStart"/>
      <w:r w:rsidRPr="00470869">
        <w:rPr>
          <w:u w:val="single"/>
        </w:rPr>
        <w:t>Question 1</w:t>
      </w:r>
      <w:r>
        <w:t>.</w:t>
      </w:r>
      <w:proofErr w:type="gramEnd"/>
      <w:r>
        <w:t xml:space="preserve"> </w:t>
      </w:r>
      <w:r w:rsidR="004376C0" w:rsidRPr="00F25254">
        <w:t>W</w:t>
      </w:r>
      <w:r w:rsidR="00EE22DF">
        <w:t xml:space="preserve">hile we </w:t>
      </w:r>
      <w:r w:rsidR="004376C0" w:rsidRPr="00F25254">
        <w:t xml:space="preserve">appreciate </w:t>
      </w:r>
      <w:r w:rsidR="00EE22DF">
        <w:t xml:space="preserve">the concern that </w:t>
      </w:r>
      <w:r w:rsidR="00E31263" w:rsidRPr="00F25254">
        <w:t xml:space="preserve">using Grantees as interviewers </w:t>
      </w:r>
      <w:r w:rsidR="004376C0" w:rsidRPr="00F25254">
        <w:t>run</w:t>
      </w:r>
      <w:r w:rsidR="00E31263" w:rsidRPr="00F25254">
        <w:t>s</w:t>
      </w:r>
      <w:r w:rsidR="004376C0" w:rsidRPr="00F25254">
        <w:t xml:space="preserve"> the risk of </w:t>
      </w:r>
      <w:r w:rsidR="00E31263" w:rsidRPr="00F25254">
        <w:t>a potential conflict of interest</w:t>
      </w:r>
      <w:r w:rsidR="00EE22DF">
        <w:t xml:space="preserve">, it is </w:t>
      </w:r>
      <w:r w:rsidR="004376C0" w:rsidRPr="00F25254">
        <w:t>one of the limitations of this type of performance assessmen</w:t>
      </w:r>
      <w:r w:rsidR="005825CA">
        <w:t>t</w:t>
      </w:r>
      <w:r w:rsidR="00EE22DF">
        <w:t xml:space="preserve">. </w:t>
      </w:r>
      <w:r w:rsidR="005825CA">
        <w:t xml:space="preserve">Grantees employ trained </w:t>
      </w:r>
      <w:r w:rsidR="00EE22DF">
        <w:t>inter</w:t>
      </w:r>
      <w:r w:rsidR="005825CA">
        <w:t xml:space="preserve">viewers </w:t>
      </w:r>
      <w:r w:rsidR="00EE22DF">
        <w:t xml:space="preserve">whose job it is to administer the CSAT GPRA Client Outcome Measures interviews, other program assessments, and track clients </w:t>
      </w:r>
      <w:r w:rsidR="005825CA">
        <w:t xml:space="preserve">that are </w:t>
      </w:r>
      <w:r w:rsidR="00EE22DF">
        <w:t xml:space="preserve">active and </w:t>
      </w:r>
      <w:r w:rsidR="005825CA">
        <w:t xml:space="preserve">those </w:t>
      </w:r>
      <w:r w:rsidR="00EE22DF">
        <w:t>who have dropped out of the program for 6-month and discharge interviews</w:t>
      </w:r>
      <w:r w:rsidR="005825CA">
        <w:t xml:space="preserve"> This method of grantee collected </w:t>
      </w:r>
      <w:r w:rsidR="00300166" w:rsidRPr="00F25254">
        <w:t xml:space="preserve">data is the </w:t>
      </w:r>
      <w:r w:rsidR="005825CA">
        <w:t xml:space="preserve">primary </w:t>
      </w:r>
      <w:r w:rsidR="00300166" w:rsidRPr="00F25254">
        <w:t xml:space="preserve">method that can generate data on a large number of subjects from all 25 grantee programs given the level of available resources. </w:t>
      </w:r>
      <w:r w:rsidR="005825CA">
        <w:t xml:space="preserve">Further as these data are used for clinical and performance assessment by Grantees, to collect them twice (once for grantee use in performance assessment and once for evaluation) would be duplicative and burdensome. OMB has approved multiple evaluations with grantee only or a mix of grantee and independent assessors depending on the grantee, for example: </w:t>
      </w:r>
      <w:r w:rsidR="00FE3F5E">
        <w:t>Target</w:t>
      </w:r>
      <w:r w:rsidR="008B79E6">
        <w:t>ed</w:t>
      </w:r>
      <w:r w:rsidR="00FE3F5E">
        <w:t xml:space="preserve"> Capacity Expansion Grants for Jail Diversion Programs</w:t>
      </w:r>
      <w:r w:rsidR="004376C0" w:rsidRPr="00F25254">
        <w:t xml:space="preserve"> (OMB </w:t>
      </w:r>
      <w:r w:rsidR="00503986" w:rsidRPr="00F25254">
        <w:t xml:space="preserve">control </w:t>
      </w:r>
      <w:r w:rsidR="004376C0" w:rsidRPr="00F25254">
        <w:t>number</w:t>
      </w:r>
      <w:r w:rsidR="00503986" w:rsidRPr="00F25254">
        <w:t xml:space="preserve"> 0930-0277), Homeless </w:t>
      </w:r>
      <w:r w:rsidR="004376C0" w:rsidRPr="00F25254">
        <w:t xml:space="preserve">Families (OMB </w:t>
      </w:r>
      <w:r w:rsidR="00503986" w:rsidRPr="00F25254">
        <w:t xml:space="preserve">control </w:t>
      </w:r>
      <w:r w:rsidR="004376C0" w:rsidRPr="00F25254">
        <w:t>number</w:t>
      </w:r>
      <w:r w:rsidR="00503986" w:rsidRPr="00F25254">
        <w:t xml:space="preserve"> </w:t>
      </w:r>
      <w:r w:rsidR="00FE3F5E" w:rsidRPr="00F25254">
        <w:rPr>
          <w:rFonts w:cs="Arial"/>
        </w:rPr>
        <w:t>0</w:t>
      </w:r>
      <w:r w:rsidR="00FE3F5E">
        <w:rPr>
          <w:rFonts w:cs="Arial"/>
        </w:rPr>
        <w:t>9</w:t>
      </w:r>
      <w:r w:rsidR="00FE3F5E" w:rsidRPr="00F25254">
        <w:rPr>
          <w:rFonts w:cs="Arial"/>
        </w:rPr>
        <w:t>30</w:t>
      </w:r>
      <w:r w:rsidR="00503986" w:rsidRPr="00F25254">
        <w:rPr>
          <w:rFonts w:cs="Arial"/>
        </w:rPr>
        <w:t>-0223</w:t>
      </w:r>
      <w:r w:rsidR="004376C0" w:rsidRPr="00F25254">
        <w:t xml:space="preserve">), </w:t>
      </w:r>
      <w:r w:rsidR="00EE22DF" w:rsidRPr="00BC73CE">
        <w:rPr>
          <w:rFonts w:cs="Arial"/>
          <w:color w:val="2E2E2E"/>
        </w:rPr>
        <w:t>National Outcomes Performance Assessment of the Collaborative Initiative to Help End Chronic Homelessness</w:t>
      </w:r>
      <w:r w:rsidR="00EE22DF" w:rsidRPr="00BC73CE">
        <w:t xml:space="preserve">, </w:t>
      </w:r>
      <w:r w:rsidR="00FE3F5E">
        <w:t>(</w:t>
      </w:r>
      <w:r w:rsidR="00EE22DF" w:rsidRPr="00BC73CE">
        <w:t>OMB</w:t>
      </w:r>
      <w:r w:rsidR="00EE22DF" w:rsidRPr="00F25254">
        <w:t xml:space="preserve"> control number</w:t>
      </w:r>
      <w:r w:rsidR="00EE22DF">
        <w:t xml:space="preserve"> </w:t>
      </w:r>
      <w:r w:rsidR="00EE22DF" w:rsidRPr="00BC73CE">
        <w:rPr>
          <w:rFonts w:cs="Arial"/>
          <w:color w:val="2E2E2E"/>
        </w:rPr>
        <w:t>0930-0247</w:t>
      </w:r>
      <w:r w:rsidR="00FE3F5E">
        <w:rPr>
          <w:rFonts w:cs="Arial"/>
          <w:color w:val="2E2E2E"/>
        </w:rPr>
        <w:t>)</w:t>
      </w:r>
      <w:r w:rsidR="00EE22DF">
        <w:rPr>
          <w:rFonts w:cs="Arial"/>
          <w:color w:val="2E2E2E"/>
        </w:rPr>
        <w:t xml:space="preserve">, </w:t>
      </w:r>
      <w:r w:rsidR="00980F92" w:rsidRPr="00FE3F5E">
        <w:rPr>
          <w:rFonts w:cs="Arial"/>
        </w:rPr>
        <w:t>;</w:t>
      </w:r>
      <w:r w:rsidR="00980F92" w:rsidRPr="00F25254">
        <w:t xml:space="preserve"> </w:t>
      </w:r>
      <w:r w:rsidR="00FE3F5E">
        <w:t>Targeted Capacity Expansion Program for Substance Abuse Treatment and HIV/AIDS Services</w:t>
      </w:r>
      <w:r w:rsidR="004376C0" w:rsidRPr="00FE3F5E">
        <w:t xml:space="preserve"> (OMB</w:t>
      </w:r>
      <w:r w:rsidR="00FE3F5E">
        <w:t xml:space="preserve"> control number 0930-0317</w:t>
      </w:r>
      <w:r w:rsidR="004376C0" w:rsidRPr="00FE3F5E">
        <w:t>)</w:t>
      </w:r>
      <w:r w:rsidR="00980F92" w:rsidRPr="00F25254">
        <w:t>.</w:t>
      </w:r>
      <w:r w:rsidR="005825CA">
        <w:t xml:space="preserve"> </w:t>
      </w:r>
      <w:r w:rsidR="002E0728">
        <w:t>The assessment of the program by clients is</w:t>
      </w:r>
      <w:r w:rsidR="00FE3F5E">
        <w:t>,</w:t>
      </w:r>
      <w:r w:rsidR="002E0728">
        <w:t xml:space="preserve"> however</w:t>
      </w:r>
      <w:r w:rsidR="00FE3F5E">
        <w:t>,</w:t>
      </w:r>
      <w:r w:rsidR="002E0728">
        <w:t xml:space="preserve"> client self-administered to reduce response bias </w:t>
      </w:r>
      <w:r w:rsidR="008F2231">
        <w:t xml:space="preserve">consistent with an approach taken by the OMB approved </w:t>
      </w:r>
      <w:r w:rsidR="002E0728">
        <w:t xml:space="preserve">Access to Recovery (OMB control number </w:t>
      </w:r>
      <w:r w:rsidR="00FE3F5E">
        <w:t>0930-0299</w:t>
      </w:r>
      <w:r w:rsidR="002E0728">
        <w:t>)</w:t>
      </w:r>
      <w:r w:rsidR="008F2231">
        <w:t xml:space="preserve"> cross-site evaluation survey</w:t>
      </w:r>
      <w:r w:rsidR="002E0728">
        <w:t xml:space="preserve"> </w:t>
      </w:r>
      <w:r w:rsidR="000334C6">
        <w:t xml:space="preserve">that includes </w:t>
      </w:r>
      <w:proofErr w:type="spellStart"/>
      <w:r w:rsidR="000334C6">
        <w:t>L</w:t>
      </w:r>
      <w:r w:rsidR="002E0728">
        <w:t>ikert</w:t>
      </w:r>
      <w:proofErr w:type="spellEnd"/>
      <w:r w:rsidR="002E0728">
        <w:t>-matrix client self-administered satisfaction and detailed program feedback</w:t>
      </w:r>
      <w:r w:rsidR="00186633">
        <w:t xml:space="preserve">. </w:t>
      </w:r>
      <w:r w:rsidR="002E0728">
        <w:t xml:space="preserve"> </w:t>
      </w:r>
    </w:p>
    <w:p w:rsidR="00470869" w:rsidRDefault="00470869" w:rsidP="00470869">
      <w:pPr>
        <w:pStyle w:val="NoSpacing"/>
        <w:jc w:val="both"/>
      </w:pPr>
    </w:p>
    <w:p w:rsidR="004376C0" w:rsidRPr="00F25254" w:rsidRDefault="00470869" w:rsidP="00470869">
      <w:pPr>
        <w:pStyle w:val="NoSpacing"/>
        <w:jc w:val="both"/>
      </w:pPr>
      <w:proofErr w:type="gramStart"/>
      <w:r w:rsidRPr="00470869">
        <w:rPr>
          <w:u w:val="single"/>
        </w:rPr>
        <w:t>Question 2</w:t>
      </w:r>
      <w:r>
        <w:t>.</w:t>
      </w:r>
      <w:proofErr w:type="gramEnd"/>
      <w:r>
        <w:t xml:space="preserve"> W</w:t>
      </w:r>
      <w:r w:rsidR="004376C0" w:rsidRPr="00F25254">
        <w:t xml:space="preserve">e did not sufficiently describe </w:t>
      </w:r>
      <w:r w:rsidR="00300166" w:rsidRPr="00F25254">
        <w:t xml:space="preserve">in our </w:t>
      </w:r>
      <w:r w:rsidR="000334C6">
        <w:t>S</w:t>
      </w:r>
      <w:r w:rsidR="00300166" w:rsidRPr="00F25254">
        <w:t xml:space="preserve">upporting </w:t>
      </w:r>
      <w:r w:rsidR="000334C6">
        <w:t>S</w:t>
      </w:r>
      <w:r w:rsidR="00300166" w:rsidRPr="00F25254">
        <w:t xml:space="preserve">tatement </w:t>
      </w:r>
      <w:r w:rsidR="004376C0" w:rsidRPr="00F25254">
        <w:t xml:space="preserve">the Grantee interviewers who </w:t>
      </w:r>
      <w:r w:rsidR="00300166" w:rsidRPr="00F25254">
        <w:t xml:space="preserve">will </w:t>
      </w:r>
      <w:r w:rsidR="004376C0" w:rsidRPr="00F25254">
        <w:t>conduct these interviews</w:t>
      </w:r>
      <w:r w:rsidR="00300166" w:rsidRPr="00F25254">
        <w:t>. Although t</w:t>
      </w:r>
      <w:r w:rsidR="00F826B2" w:rsidRPr="00F25254">
        <w:t>he interviewers wi</w:t>
      </w:r>
      <w:r w:rsidR="00300166" w:rsidRPr="00F25254">
        <w:t>ll</w:t>
      </w:r>
      <w:r w:rsidR="00F826B2" w:rsidRPr="00F25254">
        <w:t xml:space="preserve"> </w:t>
      </w:r>
      <w:r w:rsidR="00300166" w:rsidRPr="00F25254">
        <w:t xml:space="preserve">be </w:t>
      </w:r>
      <w:r w:rsidR="00F826B2" w:rsidRPr="00F25254">
        <w:t xml:space="preserve">Grantee staff, </w:t>
      </w:r>
      <w:r w:rsidR="00300166" w:rsidRPr="00F25254">
        <w:t xml:space="preserve">they </w:t>
      </w:r>
      <w:r w:rsidR="00F826B2" w:rsidRPr="00F25254">
        <w:t xml:space="preserve">are “professional interviewers” </w:t>
      </w:r>
      <w:r w:rsidR="00300166" w:rsidRPr="00F25254">
        <w:t xml:space="preserve">that </w:t>
      </w:r>
      <w:r w:rsidR="00F826B2" w:rsidRPr="00F25254">
        <w:t xml:space="preserve">have been trained in interviewing and tracking </w:t>
      </w:r>
      <w:r w:rsidR="00300166" w:rsidRPr="00F25254">
        <w:t xml:space="preserve">in conjunction with their role conducting </w:t>
      </w:r>
      <w:r w:rsidR="00F826B2" w:rsidRPr="00F25254">
        <w:t xml:space="preserve">the SAMHSA CSAT GPRA Client Outcome </w:t>
      </w:r>
      <w:r w:rsidR="00FE3F5E">
        <w:t>Measure</w:t>
      </w:r>
      <w:r w:rsidR="00681837">
        <w:t>s for Discretionary Programs</w:t>
      </w:r>
      <w:r w:rsidR="00FE3F5E" w:rsidRPr="00F25254">
        <w:t xml:space="preserve"> </w:t>
      </w:r>
      <w:r w:rsidR="00300166" w:rsidRPr="00F25254">
        <w:t>(OMB control number 0930-0208)</w:t>
      </w:r>
      <w:r w:rsidR="00681837">
        <w:t>, as well as through Grantee sponsored training</w:t>
      </w:r>
      <w:r w:rsidR="00F826B2" w:rsidRPr="00F25254">
        <w:t>. In preparation for</w:t>
      </w:r>
      <w:r w:rsidR="00300166" w:rsidRPr="00F25254">
        <w:t xml:space="preserve"> the proposed</w:t>
      </w:r>
      <w:r w:rsidR="00F826B2" w:rsidRPr="00F25254">
        <w:t xml:space="preserve"> data collection activities, </w:t>
      </w:r>
      <w:r w:rsidR="00300166" w:rsidRPr="00F25254">
        <w:t xml:space="preserve">we conducted telephone </w:t>
      </w:r>
      <w:r w:rsidR="00F826B2" w:rsidRPr="00F25254">
        <w:t xml:space="preserve">and face-to-face </w:t>
      </w:r>
      <w:r w:rsidR="00300166" w:rsidRPr="00F25254">
        <w:t xml:space="preserve">discussions </w:t>
      </w:r>
      <w:r w:rsidR="00F826B2" w:rsidRPr="00F25254">
        <w:t>during site visits with t</w:t>
      </w:r>
      <w:r w:rsidR="004376C0" w:rsidRPr="00F25254">
        <w:t>he</w:t>
      </w:r>
      <w:r w:rsidR="00F826B2" w:rsidRPr="00F25254">
        <w:t xml:space="preserve"> grantee</w:t>
      </w:r>
      <w:r w:rsidR="004376C0" w:rsidRPr="00F25254">
        <w:t xml:space="preserve"> GPRA interview staff</w:t>
      </w:r>
      <w:r w:rsidR="00F826B2" w:rsidRPr="00F25254">
        <w:t xml:space="preserve">, </w:t>
      </w:r>
      <w:r w:rsidR="008B4F38">
        <w:t xml:space="preserve">as well as with </w:t>
      </w:r>
      <w:r w:rsidR="00F826B2" w:rsidRPr="00F25254">
        <w:t>manage</w:t>
      </w:r>
      <w:r w:rsidR="008B4F38">
        <w:t>rs</w:t>
      </w:r>
      <w:r w:rsidR="00F826B2" w:rsidRPr="00F25254">
        <w:t>, supervisors</w:t>
      </w:r>
      <w:r w:rsidR="004376C0" w:rsidRPr="00F25254">
        <w:t xml:space="preserve"> and local evaluators</w:t>
      </w:r>
      <w:r w:rsidR="00300166" w:rsidRPr="00F25254">
        <w:t>.</w:t>
      </w:r>
      <w:r w:rsidR="00F826B2" w:rsidRPr="00F25254">
        <w:t xml:space="preserve"> </w:t>
      </w:r>
      <w:r w:rsidR="00300166" w:rsidRPr="00F25254">
        <w:t>W</w:t>
      </w:r>
      <w:r w:rsidR="004376C0" w:rsidRPr="00F25254">
        <w:t xml:space="preserve">e have confirmatory information following submission of the </w:t>
      </w:r>
      <w:r w:rsidR="00F826B2" w:rsidRPr="00F25254">
        <w:t>S</w:t>
      </w:r>
      <w:r w:rsidR="004376C0" w:rsidRPr="00F25254">
        <w:t>upport</w:t>
      </w:r>
      <w:r w:rsidR="00F826B2" w:rsidRPr="00F25254">
        <w:t>ing S</w:t>
      </w:r>
      <w:r w:rsidR="004376C0" w:rsidRPr="00F25254">
        <w:t>tatement about the level of the interviewers and the</w:t>
      </w:r>
      <w:r w:rsidR="00F826B2" w:rsidRPr="00F25254">
        <w:t xml:space="preserve"> interviewers</w:t>
      </w:r>
      <w:r w:rsidR="00300166" w:rsidRPr="00F25254">
        <w:t>’</w:t>
      </w:r>
      <w:r w:rsidR="00F826B2" w:rsidRPr="00F25254">
        <w:t xml:space="preserve"> </w:t>
      </w:r>
      <w:r w:rsidR="004376C0" w:rsidRPr="00F25254">
        <w:t xml:space="preserve">assessment of the proposed interviews and interview procedures.  Based on </w:t>
      </w:r>
      <w:r w:rsidR="00300166" w:rsidRPr="00F25254">
        <w:t>these discussions</w:t>
      </w:r>
      <w:r w:rsidR="004376C0" w:rsidRPr="00F25254">
        <w:t xml:space="preserve"> with each of the 25 CSAT GBHI Treatment for the Homeless </w:t>
      </w:r>
      <w:r w:rsidR="00681837">
        <w:t>Grantees</w:t>
      </w:r>
      <w:r w:rsidR="004376C0" w:rsidRPr="00F25254">
        <w:t>, each of the 25 sites has GPRA interviewers who have been trained by SAMHSA through face-to-face and on-</w:t>
      </w:r>
      <w:r w:rsidR="004376C0" w:rsidRPr="00F25254">
        <w:lastRenderedPageBreak/>
        <w:t xml:space="preserve">line courses on interviewing and tracking of clients for follow-up interviews. </w:t>
      </w:r>
      <w:r w:rsidR="008B4F38">
        <w:t xml:space="preserve">Each of these interviewers has also received additional training from the Grantees in administering screening and assessment surveys and in engaging and tracking clients. </w:t>
      </w:r>
      <w:r w:rsidR="004376C0" w:rsidRPr="00F25254">
        <w:t xml:space="preserve">These interviewers while employed by the Grantee are responsible for administrating </w:t>
      </w:r>
      <w:r w:rsidR="008B4F38">
        <w:t xml:space="preserve">the CSAT </w:t>
      </w:r>
      <w:r w:rsidR="004376C0" w:rsidRPr="00F25254">
        <w:t>GPRA and other interviews, assigning ID numbers for on-line submission to SAMHSA for client-level data collection, providing incentives if the Grantee provides incentives, and tracking and following up with clients during and following program completion or drop-out for client</w:t>
      </w:r>
      <w:r w:rsidR="008B4F38">
        <w:t xml:space="preserve">, per procedures approved by OMB (control number </w:t>
      </w:r>
      <w:r w:rsidR="008B4F38" w:rsidRPr="00F25254">
        <w:t>0930-0208</w:t>
      </w:r>
      <w:r w:rsidR="008B4F38">
        <w:t>).</w:t>
      </w:r>
      <w:r w:rsidR="004376C0" w:rsidRPr="00F25254">
        <w:t xml:space="preserve"> Grantees had prepared their staff for potential participation in client-level and other data collection prior to award, based on the </w:t>
      </w:r>
      <w:r w:rsidR="008B4F38">
        <w:t xml:space="preserve">SAMHSA GBHI Treatment for Homeless </w:t>
      </w:r>
      <w:r w:rsidR="002F58A2">
        <w:t>Request for Application (</w:t>
      </w:r>
      <w:r w:rsidR="004376C0" w:rsidRPr="00F25254">
        <w:t>RFA</w:t>
      </w:r>
      <w:r w:rsidR="002F58A2">
        <w:t>)</w:t>
      </w:r>
      <w:r w:rsidR="004376C0" w:rsidRPr="00F25254">
        <w:t xml:space="preserve"> language that if a cross-site evaluation was awarded </w:t>
      </w:r>
      <w:r w:rsidR="00681837">
        <w:t>Grantees</w:t>
      </w:r>
      <w:r w:rsidR="004376C0" w:rsidRPr="00F25254">
        <w:t xml:space="preserve"> </w:t>
      </w:r>
      <w:r w:rsidR="008B4F38">
        <w:t xml:space="preserve">have </w:t>
      </w:r>
      <w:r w:rsidR="004376C0" w:rsidRPr="00F25254">
        <w:t xml:space="preserve"> agree</w:t>
      </w:r>
      <w:r w:rsidR="008B4F38">
        <w:t>d</w:t>
      </w:r>
      <w:r w:rsidR="004376C0" w:rsidRPr="00F25254">
        <w:t xml:space="preserve"> to participate in the cross-site evaluation activities. </w:t>
      </w:r>
    </w:p>
    <w:p w:rsidR="004376C0" w:rsidRPr="00F25254" w:rsidRDefault="004376C0" w:rsidP="00B525A6">
      <w:pPr>
        <w:pStyle w:val="NoSpacing"/>
        <w:ind w:firstLine="360"/>
        <w:jc w:val="both"/>
      </w:pPr>
      <w:r w:rsidRPr="00F25254">
        <w:t xml:space="preserve"> </w:t>
      </w:r>
      <w:r w:rsidR="00300166" w:rsidRPr="00F25254">
        <w:t xml:space="preserve">The proposed GBHI </w:t>
      </w:r>
      <w:r w:rsidR="008B4F38">
        <w:t xml:space="preserve">client </w:t>
      </w:r>
      <w:r w:rsidR="00300166" w:rsidRPr="00F25254">
        <w:t>baseline and 6-month follow-up interviews were</w:t>
      </w:r>
      <w:r w:rsidRPr="00F25254">
        <w:t xml:space="preserve"> careful</w:t>
      </w:r>
      <w:r w:rsidR="00300166" w:rsidRPr="00F25254">
        <w:t>ly</w:t>
      </w:r>
      <w:r w:rsidRPr="00F25254">
        <w:t xml:space="preserve"> review</w:t>
      </w:r>
      <w:r w:rsidR="00300166" w:rsidRPr="00F25254">
        <w:t>ed</w:t>
      </w:r>
      <w:r w:rsidRPr="00F25254">
        <w:t xml:space="preserve"> by the </w:t>
      </w:r>
      <w:r w:rsidR="00300166" w:rsidRPr="00F25254">
        <w:t xml:space="preserve">cross-site evaluation </w:t>
      </w:r>
      <w:r w:rsidRPr="00F25254">
        <w:t xml:space="preserve">expert panel and SAMHSA staff (see </w:t>
      </w:r>
      <w:r w:rsidR="002F58A2">
        <w:t>S</w:t>
      </w:r>
      <w:r w:rsidRPr="00F25254">
        <w:t xml:space="preserve">upporting </w:t>
      </w:r>
      <w:r w:rsidR="002F58A2">
        <w:t>S</w:t>
      </w:r>
      <w:r w:rsidRPr="00F25254">
        <w:t>tatement</w:t>
      </w:r>
      <w:r w:rsidR="002F58A2">
        <w:t xml:space="preserve"> section A.8</w:t>
      </w:r>
      <w:r w:rsidR="00B06B9E">
        <w:t>,</w:t>
      </w:r>
      <w:r w:rsidR="002F58A2">
        <w:t xml:space="preserve"> page 9</w:t>
      </w:r>
      <w:r w:rsidRPr="002F58A2">
        <w:t>)</w:t>
      </w:r>
      <w:r w:rsidR="00300166" w:rsidRPr="002F58A2">
        <w:t>; include</w:t>
      </w:r>
      <w:r w:rsidRPr="00F25254">
        <w:t xml:space="preserve"> </w:t>
      </w:r>
      <w:r w:rsidR="00300166" w:rsidRPr="00F25254">
        <w:t xml:space="preserve">the </w:t>
      </w:r>
      <w:r w:rsidRPr="00F25254">
        <w:t>use of standardized instruments and measures previously approved by OMB for other cross-site evaluation</w:t>
      </w:r>
      <w:r w:rsidR="00300166" w:rsidRPr="00F25254">
        <w:t>s</w:t>
      </w:r>
      <w:r w:rsidRPr="00F25254">
        <w:t xml:space="preserve"> </w:t>
      </w:r>
      <w:r w:rsidR="00300166" w:rsidRPr="00F25254">
        <w:t xml:space="preserve">including </w:t>
      </w:r>
      <w:r w:rsidRPr="00F25254">
        <w:t>the population of focus for the GBHI cross-site evaluation (</w:t>
      </w:r>
      <w:r w:rsidRPr="00B06B9E">
        <w:t>see Supporting Statement</w:t>
      </w:r>
      <w:r w:rsidR="00B06B9E">
        <w:t xml:space="preserve"> section A.2, pages 4-</w:t>
      </w:r>
      <w:r w:rsidR="007B67A0">
        <w:t>7</w:t>
      </w:r>
      <w:r w:rsidR="008B4F38">
        <w:t xml:space="preserve"> and below</w:t>
      </w:r>
      <w:r w:rsidR="00300166" w:rsidRPr="00F25254">
        <w:t xml:space="preserve">); </w:t>
      </w:r>
      <w:r w:rsidR="0059372E" w:rsidRPr="00F25254">
        <w:t xml:space="preserve">and </w:t>
      </w:r>
      <w:r w:rsidRPr="00F25254">
        <w:t>were reviewed with GPRA interviewers</w:t>
      </w:r>
      <w:r w:rsidR="008B4F38">
        <w:t xml:space="preserve"> along with </w:t>
      </w:r>
      <w:r w:rsidRPr="00F25254">
        <w:t>supervisory, management and local evaluation staff</w:t>
      </w:r>
      <w:r w:rsidR="0059372E" w:rsidRPr="00F25254">
        <w:t xml:space="preserve"> from each of the 25 </w:t>
      </w:r>
      <w:r w:rsidR="008B4F38">
        <w:t xml:space="preserve">GBHI </w:t>
      </w:r>
      <w:r w:rsidR="0059372E" w:rsidRPr="00F25254">
        <w:t>sites</w:t>
      </w:r>
      <w:r w:rsidRPr="00F25254">
        <w:t xml:space="preserve">. </w:t>
      </w:r>
      <w:r w:rsidR="002A448F" w:rsidRPr="00F25254">
        <w:t xml:space="preserve">Following </w:t>
      </w:r>
      <w:r w:rsidRPr="00F25254">
        <w:t>a semi-structured site visit protocol, each question was reviewed, along with procedures</w:t>
      </w:r>
      <w:r w:rsidR="008B4F38">
        <w:t>. Q</w:t>
      </w:r>
      <w:r w:rsidRPr="00F25254">
        <w:t xml:space="preserve">uestions were asked regarding any potential redundancy with current GPRA questions, which questions or domains should be included or removed, and what </w:t>
      </w:r>
      <w:r w:rsidR="002A448F" w:rsidRPr="00F25254">
        <w:t>additional questions should be considered</w:t>
      </w:r>
      <w:r w:rsidRPr="00F25254">
        <w:t xml:space="preserve">. All 25 sites, consistent with the expert panel and prior SAMHSA review, </w:t>
      </w:r>
      <w:r w:rsidR="002A448F" w:rsidRPr="00F25254">
        <w:t xml:space="preserve">endorsed </w:t>
      </w:r>
      <w:r w:rsidRPr="00F25254">
        <w:t>all questions and associated domains as non</w:t>
      </w:r>
      <w:r w:rsidR="008B4F38">
        <w:t xml:space="preserve">-redundant; further grantee respondents thought the survey was </w:t>
      </w:r>
      <w:r w:rsidRPr="00F25254">
        <w:t>particularly additive for the Treatment for Homeless program in terms of describing the</w:t>
      </w:r>
      <w:r w:rsidR="0098562A">
        <w:t>ir</w:t>
      </w:r>
      <w:r w:rsidRPr="00F25254">
        <w:t xml:space="preserve"> clients</w:t>
      </w:r>
      <w:r w:rsidR="0098562A">
        <w:t xml:space="preserve">, the areas of focus for clients and services, activities for a sufficient period that would capture both Grantee services and client activities, beliefs and behaviors, </w:t>
      </w:r>
      <w:r w:rsidRPr="00F25254">
        <w:t xml:space="preserve"> and </w:t>
      </w:r>
      <w:r w:rsidR="0098562A">
        <w:t xml:space="preserve">that this would </w:t>
      </w:r>
      <w:r w:rsidRPr="00F25254">
        <w:t xml:space="preserve"> help </w:t>
      </w:r>
      <w:r w:rsidR="0098562A">
        <w:t xml:space="preserve">to </w:t>
      </w:r>
      <w:r w:rsidRPr="00F25254">
        <w:t xml:space="preserve">better describe </w:t>
      </w:r>
      <w:r w:rsidR="0098562A">
        <w:t xml:space="preserve">the individual grant programs and overall GBHI </w:t>
      </w:r>
      <w:r w:rsidRPr="00F25254">
        <w:t xml:space="preserve">program. While </w:t>
      </w:r>
      <w:r w:rsidR="00681837">
        <w:t>Grantees</w:t>
      </w:r>
      <w:r w:rsidRPr="00F25254">
        <w:t xml:space="preserve"> had suggestions for additional doma</w:t>
      </w:r>
      <w:r w:rsidR="00404F26" w:rsidRPr="00F25254">
        <w:t xml:space="preserve">ins, they </w:t>
      </w:r>
      <w:r w:rsidR="0059372E" w:rsidRPr="00F25254">
        <w:t xml:space="preserve">did </w:t>
      </w:r>
      <w:r w:rsidR="00404F26" w:rsidRPr="00F25254">
        <w:t>not recommend</w:t>
      </w:r>
      <w:r w:rsidRPr="00F25254">
        <w:t xml:space="preserve"> replacing the questions proposed</w:t>
      </w:r>
      <w:r w:rsidR="0059372E" w:rsidRPr="00F25254">
        <w:t>;</w:t>
      </w:r>
      <w:r w:rsidR="00404F26" w:rsidRPr="00F25254">
        <w:t xml:space="preserve"> adding more questions was viewed by the cross-site evaluation </w:t>
      </w:r>
      <w:r w:rsidR="008B4F38">
        <w:t xml:space="preserve">contractor </w:t>
      </w:r>
      <w:r w:rsidR="00404F26" w:rsidRPr="00F25254">
        <w:t>as burdensome</w:t>
      </w:r>
      <w:r w:rsidRPr="00F25254">
        <w:t>. Further, the</w:t>
      </w:r>
      <w:r w:rsidR="0059372E" w:rsidRPr="00F25254">
        <w:t xml:space="preserve"> </w:t>
      </w:r>
      <w:r w:rsidR="00681837">
        <w:t>Grantees</w:t>
      </w:r>
      <w:r w:rsidRPr="00F25254">
        <w:t xml:space="preserve"> felt that the format of the questions and type of questions were consistent with other questions clients answer without difficulty or confusion and </w:t>
      </w:r>
      <w:r w:rsidR="008B4F38">
        <w:t xml:space="preserve">believed </w:t>
      </w:r>
      <w:r w:rsidRPr="00F25254">
        <w:t>that accurate information would be obtained</w:t>
      </w:r>
      <w:r w:rsidR="0098562A">
        <w:t xml:space="preserve"> from time-based questions</w:t>
      </w:r>
      <w:r w:rsidRPr="00F25254">
        <w:t xml:space="preserve">. </w:t>
      </w:r>
      <w:r w:rsidRPr="00F707B2">
        <w:t xml:space="preserve">Finally, two sites </w:t>
      </w:r>
      <w:r w:rsidR="00F707B2" w:rsidRPr="00F707B2">
        <w:t xml:space="preserve">voluntarily </w:t>
      </w:r>
      <w:r w:rsidRPr="00F707B2">
        <w:t xml:space="preserve">pre-tested the interview with a </w:t>
      </w:r>
      <w:r w:rsidR="00F707B2" w:rsidRPr="00F707B2">
        <w:t xml:space="preserve">total of 4 </w:t>
      </w:r>
      <w:r w:rsidRPr="00F707B2">
        <w:t>clients during the original response period for comments/feedback and confirmed that there were no difficulties in overall administration</w:t>
      </w:r>
      <w:proofErr w:type="gramStart"/>
      <w:r w:rsidR="0098562A">
        <w:t xml:space="preserve">, </w:t>
      </w:r>
      <w:r w:rsidRPr="00F707B2">
        <w:t xml:space="preserve"> in</w:t>
      </w:r>
      <w:proofErr w:type="gramEnd"/>
      <w:r w:rsidRPr="00F707B2">
        <w:t xml:space="preserve"> response to individual questions</w:t>
      </w:r>
      <w:r w:rsidR="0098562A">
        <w:t xml:space="preserve">, in response to </w:t>
      </w:r>
      <w:proofErr w:type="spellStart"/>
      <w:r w:rsidR="0098562A">
        <w:t>Likert</w:t>
      </w:r>
      <w:proofErr w:type="spellEnd"/>
      <w:r w:rsidR="0098562A">
        <w:t xml:space="preserve"> matrices or time-based questions,</w:t>
      </w:r>
      <w:r w:rsidRPr="00F707B2">
        <w:t xml:space="preserve"> or completing self</w:t>
      </w:r>
      <w:r w:rsidR="0098562A">
        <w:t>-</w:t>
      </w:r>
      <w:r w:rsidR="0062569D">
        <w:t>administered sections</w:t>
      </w:r>
      <w:r w:rsidR="0098562A">
        <w:t xml:space="preserve">. Grantees noted that </w:t>
      </w:r>
      <w:r w:rsidRPr="00F707B2">
        <w:t xml:space="preserve">clients were used to </w:t>
      </w:r>
      <w:r w:rsidR="0098562A">
        <w:t xml:space="preserve">these types of interviews and to both </w:t>
      </w:r>
      <w:proofErr w:type="gramStart"/>
      <w:r w:rsidRPr="00F707B2">
        <w:t>interview</w:t>
      </w:r>
      <w:r w:rsidR="0098562A">
        <w:t>er</w:t>
      </w:r>
      <w:proofErr w:type="gramEnd"/>
      <w:r w:rsidRPr="00F707B2">
        <w:t xml:space="preserve"> administered and self-administered questionnaires.</w:t>
      </w:r>
      <w:r w:rsidR="0098562A">
        <w:t xml:space="preserve"> The findings of these two Grantees were consistent with our findings of the two-site pilot test of the client baseline and 6-month surveys and of with feedback from th</w:t>
      </w:r>
      <w:r w:rsidR="00B525A6">
        <w:t xml:space="preserve">e non-grantee interviewer who had conducted our pilot. </w:t>
      </w:r>
      <w:r w:rsidR="0098562A">
        <w:t xml:space="preserve"> </w:t>
      </w:r>
    </w:p>
    <w:p w:rsidR="004376C0" w:rsidRPr="00F25254" w:rsidRDefault="004376C0" w:rsidP="002E6447">
      <w:pPr>
        <w:pStyle w:val="NoSpacing"/>
        <w:ind w:left="360"/>
        <w:jc w:val="both"/>
      </w:pPr>
    </w:p>
    <w:p w:rsidR="004376C0" w:rsidRPr="00470869" w:rsidRDefault="004376C0" w:rsidP="002E6447">
      <w:pPr>
        <w:pStyle w:val="NoSpacing"/>
        <w:ind w:left="360"/>
        <w:jc w:val="both"/>
        <w:rPr>
          <w:b/>
          <w:bCs/>
        </w:rPr>
      </w:pPr>
    </w:p>
    <w:p w:rsidR="00D30B96" w:rsidRPr="00470869" w:rsidRDefault="00D30B96" w:rsidP="002E6447">
      <w:pPr>
        <w:pStyle w:val="NoSpacing"/>
        <w:ind w:left="360"/>
        <w:jc w:val="both"/>
        <w:rPr>
          <w:b/>
          <w:bCs/>
        </w:rPr>
      </w:pPr>
      <w:r w:rsidRPr="00470869">
        <w:rPr>
          <w:b/>
          <w:bCs/>
        </w:rPr>
        <w:t xml:space="preserve">We recommend using a neutral third party interviewer and full dry run of the survey protocol and administration with potential respondents. While complete interviewer materials and training is important with any survey, this survey requires special conditions and procedures and as little as possible should be left up to the </w:t>
      </w:r>
      <w:r w:rsidR="00681837" w:rsidRPr="00470869">
        <w:rPr>
          <w:b/>
          <w:bCs/>
        </w:rPr>
        <w:t>Grantees</w:t>
      </w:r>
      <w:r w:rsidRPr="00470869">
        <w:rPr>
          <w:b/>
          <w:bCs/>
        </w:rPr>
        <w:t xml:space="preserve"> to make up on the fly. This is true for professional interviewers, but is especially important since you are proposing to use non-professional interviewers for your evaluation.  A dry run of the evaluation with actual clients will help assure both the interviewers and the survey team that the evaluation protocol works and collects the desired information. </w:t>
      </w:r>
    </w:p>
    <w:p w:rsidR="00AF65BD" w:rsidRPr="00F25254" w:rsidRDefault="00AF65BD" w:rsidP="00DB7874">
      <w:pPr>
        <w:pStyle w:val="NoSpacing"/>
        <w:ind w:left="720" w:hanging="720"/>
        <w:jc w:val="both"/>
      </w:pPr>
    </w:p>
    <w:p w:rsidR="00302F10" w:rsidRPr="00F25254" w:rsidRDefault="00302F10" w:rsidP="00FF0CED">
      <w:pPr>
        <w:pStyle w:val="NoSpacing"/>
        <w:jc w:val="both"/>
      </w:pPr>
      <w:r w:rsidRPr="00F25254">
        <w:rPr>
          <w:i/>
          <w:iCs/>
          <w:u w:val="single"/>
        </w:rPr>
        <w:lastRenderedPageBreak/>
        <w:t>Response:</w:t>
      </w:r>
      <w:r w:rsidRPr="00F25254">
        <w:t xml:space="preserve"> In preparation for </w:t>
      </w:r>
      <w:r w:rsidR="003C55C1" w:rsidRPr="00F25254">
        <w:t xml:space="preserve">client-level data collection, if </w:t>
      </w:r>
      <w:r w:rsidR="009553A9" w:rsidRPr="00F25254">
        <w:t xml:space="preserve">approved by </w:t>
      </w:r>
      <w:r w:rsidR="003C55C1" w:rsidRPr="00F25254">
        <w:t>OMB</w:t>
      </w:r>
      <w:r w:rsidR="009553A9" w:rsidRPr="00F25254">
        <w:t>, we conducted a “full dry run of the survey protocol</w:t>
      </w:r>
      <w:r w:rsidR="00DC10E7" w:rsidRPr="00F25254">
        <w:t>”</w:t>
      </w:r>
      <w:r w:rsidR="009553A9" w:rsidRPr="00F25254">
        <w:t xml:space="preserve"> (both baseline and 6-month follow-up</w:t>
      </w:r>
      <w:r w:rsidR="00054128">
        <w:t xml:space="preserve"> client interviews</w:t>
      </w:r>
      <w:r w:rsidR="009553A9" w:rsidRPr="00F25254">
        <w:t xml:space="preserve">) and conducted cognitive testing with clients. </w:t>
      </w:r>
      <w:r w:rsidR="00F707B2">
        <w:t>W</w:t>
      </w:r>
      <w:r w:rsidR="009553A9" w:rsidRPr="00F25254">
        <w:t xml:space="preserve">e administered </w:t>
      </w:r>
      <w:r w:rsidR="00246814" w:rsidRPr="00F25254">
        <w:t xml:space="preserve">each of the client </w:t>
      </w:r>
      <w:r w:rsidR="009553A9" w:rsidRPr="00F25254">
        <w:t>protocol</w:t>
      </w:r>
      <w:r w:rsidR="0059372E" w:rsidRPr="00F25254">
        <w:t>s</w:t>
      </w:r>
      <w:r w:rsidR="009553A9" w:rsidRPr="00F25254">
        <w:t xml:space="preserve"> to 8 respondents for baseline and 6-month follow-up. We also tested whether receiving a pre-survey of GPRA questions would increase time, reduce responsiveness or change the quality of the responses</w:t>
      </w:r>
      <w:r w:rsidR="00DC10E7" w:rsidRPr="00F25254">
        <w:t>, varying whether the clients received the surveys alone on in conjunction with the GPRA survey</w:t>
      </w:r>
      <w:r w:rsidR="009553A9" w:rsidRPr="00F25254">
        <w:t xml:space="preserve">. </w:t>
      </w:r>
      <w:r w:rsidR="00F707B2">
        <w:t xml:space="preserve">The process also </w:t>
      </w:r>
      <w:r w:rsidR="00F707B2" w:rsidRPr="00F25254">
        <w:t xml:space="preserve">included full informed consent procedures, directions, Part </w:t>
      </w:r>
      <w:r w:rsidR="00FF0CED">
        <w:t>I</w:t>
      </w:r>
      <w:r w:rsidR="00FF0CED" w:rsidRPr="00F25254">
        <w:t xml:space="preserve"> </w:t>
      </w:r>
      <w:r w:rsidR="00F707B2" w:rsidRPr="00F25254">
        <w:t>and Part II questionnaires including clients sealing their responses in the envelop and returning them to the interviewer.</w:t>
      </w:r>
      <w:r w:rsidR="00F707B2">
        <w:t xml:space="preserve">  </w:t>
      </w:r>
      <w:r w:rsidR="009553A9" w:rsidRPr="00F25254">
        <w:t xml:space="preserve">The interviewer was a non-grantee interviewer trained on the GPRA interview. </w:t>
      </w:r>
      <w:r w:rsidR="00DC10E7" w:rsidRPr="00F25254">
        <w:t xml:space="preserve">The clients were active clients at two current SAMHSA sites. The time burden was consistent with that noted </w:t>
      </w:r>
      <w:r w:rsidR="00B06B9E" w:rsidRPr="00B06B9E">
        <w:t xml:space="preserve">in section A.12 on </w:t>
      </w:r>
      <w:r w:rsidR="00F707B2" w:rsidRPr="00B06B9E">
        <w:t>page</w:t>
      </w:r>
      <w:r w:rsidR="00B06B9E" w:rsidRPr="00B06B9E">
        <w:t>s</w:t>
      </w:r>
      <w:r w:rsidR="00F707B2" w:rsidRPr="00B06B9E">
        <w:t xml:space="preserve"> </w:t>
      </w:r>
      <w:r w:rsidR="00B06B9E" w:rsidRPr="00B06B9E">
        <w:t>14-15</w:t>
      </w:r>
      <w:r w:rsidR="00FF0CED">
        <w:t xml:space="preserve"> and section B.4 on pages 21-22</w:t>
      </w:r>
      <w:r w:rsidR="00F707B2" w:rsidRPr="00B06B9E">
        <w:t xml:space="preserve"> of the Supporting Statement</w:t>
      </w:r>
      <w:r w:rsidR="00470869">
        <w:t xml:space="preserve"> and will not result in a revision of the burden estimate table.</w:t>
      </w:r>
      <w:r w:rsidR="00DC10E7" w:rsidRPr="00F25254">
        <w:t xml:space="preserve"> </w:t>
      </w:r>
      <w:r w:rsidR="0059372E" w:rsidRPr="00F25254">
        <w:t xml:space="preserve">The </w:t>
      </w:r>
      <w:r w:rsidR="0059372E" w:rsidRPr="00B7374A">
        <w:t>results of this pilot showed a</w:t>
      </w:r>
      <w:r w:rsidR="00DC10E7" w:rsidRPr="00B7374A">
        <w:t xml:space="preserve">n average </w:t>
      </w:r>
      <w:r w:rsidR="002A448F" w:rsidRPr="00B7374A">
        <w:t xml:space="preserve">of </w:t>
      </w:r>
      <w:r w:rsidR="00DC10E7" w:rsidRPr="00B7374A">
        <w:t xml:space="preserve">4 minutes for </w:t>
      </w:r>
      <w:r w:rsidR="00470869">
        <w:t xml:space="preserve">reviewing client information and </w:t>
      </w:r>
      <w:r w:rsidR="002A448F" w:rsidRPr="00B7374A">
        <w:t xml:space="preserve">the </w:t>
      </w:r>
      <w:r w:rsidR="00DC10E7" w:rsidRPr="00B7374A">
        <w:t>consent</w:t>
      </w:r>
      <w:r w:rsidR="002A448F" w:rsidRPr="00B7374A">
        <w:t xml:space="preserve"> procedures</w:t>
      </w:r>
      <w:r w:rsidR="00DC10E7" w:rsidRPr="00B7374A">
        <w:t xml:space="preserve">, 14 minutes </w:t>
      </w:r>
      <w:r w:rsidR="0011317E" w:rsidRPr="00B7374A">
        <w:t xml:space="preserve">to administer </w:t>
      </w:r>
      <w:r w:rsidR="00DC10E7" w:rsidRPr="00B7374A">
        <w:t xml:space="preserve">Part I, </w:t>
      </w:r>
      <w:r w:rsidR="0011317E" w:rsidRPr="00B7374A">
        <w:t xml:space="preserve">and </w:t>
      </w:r>
      <w:r w:rsidR="00DC10E7" w:rsidRPr="00B7374A">
        <w:t xml:space="preserve">3 minutes for </w:t>
      </w:r>
      <w:r w:rsidR="00470869">
        <w:t xml:space="preserve">client self-administered </w:t>
      </w:r>
      <w:r w:rsidR="0011317E" w:rsidRPr="00B7374A">
        <w:t xml:space="preserve">completion of </w:t>
      </w:r>
      <w:r w:rsidR="00DC10E7" w:rsidRPr="00B7374A">
        <w:t>Part II</w:t>
      </w:r>
      <w:r w:rsidR="00B7374A" w:rsidRPr="00B7374A">
        <w:t xml:space="preserve"> </w:t>
      </w:r>
      <w:r w:rsidR="005139B7">
        <w:t>f</w:t>
      </w:r>
      <w:r w:rsidR="00B7374A" w:rsidRPr="00B7374A">
        <w:t xml:space="preserve">or both baseline and 6 month </w:t>
      </w:r>
      <w:proofErr w:type="spellStart"/>
      <w:r w:rsidR="00B7374A" w:rsidRPr="00B7374A">
        <w:t>followup</w:t>
      </w:r>
      <w:proofErr w:type="spellEnd"/>
      <w:r w:rsidR="00B7374A" w:rsidRPr="00B7374A">
        <w:t>.</w:t>
      </w:r>
      <w:r w:rsidR="00DC10E7" w:rsidRPr="00B7374A">
        <w:t xml:space="preserve"> No client had suggestions for removal of items or evidenced difficulty or slowness on particular items; all clients had positive comments on the survey indicating </w:t>
      </w:r>
      <w:r w:rsidR="00B7374A" w:rsidRPr="00B7374A">
        <w:t>satisfaction about being heard. A majority of the c</w:t>
      </w:r>
      <w:r w:rsidR="00FF7782" w:rsidRPr="00B7374A">
        <w:t xml:space="preserve">lients felt that </w:t>
      </w:r>
      <w:r w:rsidR="0059372E" w:rsidRPr="00B7374A">
        <w:t xml:space="preserve">by </w:t>
      </w:r>
      <w:r w:rsidR="00FF7782" w:rsidRPr="00B7374A">
        <w:t xml:space="preserve">responding to the questions </w:t>
      </w:r>
      <w:r w:rsidR="0059372E" w:rsidRPr="00B7374A">
        <w:t xml:space="preserve">that </w:t>
      </w:r>
      <w:r w:rsidR="0011317E" w:rsidRPr="00B7374A">
        <w:t xml:space="preserve">the </w:t>
      </w:r>
      <w:r w:rsidR="0059372E" w:rsidRPr="00B7374A">
        <w:t xml:space="preserve">grantee </w:t>
      </w:r>
      <w:r w:rsidR="00FF7782" w:rsidRPr="00B7374A">
        <w:t xml:space="preserve">programs would </w:t>
      </w:r>
      <w:r w:rsidR="0059372E" w:rsidRPr="00B7374A">
        <w:t xml:space="preserve">be </w:t>
      </w:r>
      <w:r w:rsidR="00FF7782" w:rsidRPr="00B7374A">
        <w:t xml:space="preserve">better </w:t>
      </w:r>
      <w:r w:rsidR="0059372E" w:rsidRPr="00B7374A">
        <w:t xml:space="preserve">informed </w:t>
      </w:r>
      <w:r w:rsidR="00FF7782" w:rsidRPr="00B7374A">
        <w:t xml:space="preserve">about </w:t>
      </w:r>
      <w:r w:rsidR="0059372E" w:rsidRPr="00B7374A">
        <w:t xml:space="preserve">the </w:t>
      </w:r>
      <w:r w:rsidR="00FF7782" w:rsidRPr="00B7374A">
        <w:t>services</w:t>
      </w:r>
      <w:r w:rsidR="0011317E" w:rsidRPr="00B7374A">
        <w:t xml:space="preserve"> clients</w:t>
      </w:r>
      <w:r w:rsidR="00FF7782" w:rsidRPr="00B7374A">
        <w:t xml:space="preserve"> needed and better able to describe </w:t>
      </w:r>
      <w:r w:rsidR="0059372E" w:rsidRPr="00B7374A">
        <w:t xml:space="preserve">client </w:t>
      </w:r>
      <w:r w:rsidR="00FF7782" w:rsidRPr="00B7374A">
        <w:t>gains.</w:t>
      </w:r>
    </w:p>
    <w:p w:rsidR="00250545" w:rsidRDefault="009553A9" w:rsidP="00250545">
      <w:pPr>
        <w:spacing w:after="0" w:line="240" w:lineRule="auto"/>
      </w:pPr>
      <w:r w:rsidRPr="00F25254">
        <w:t>These data</w:t>
      </w:r>
      <w:r w:rsidR="0011317E" w:rsidRPr="00F25254">
        <w:t>,</w:t>
      </w:r>
      <w:r w:rsidRPr="00F25254">
        <w:t xml:space="preserve"> along with the information from current GPRA interviewers who reviewed and pre-tested the interview</w:t>
      </w:r>
      <w:r w:rsidR="00250545">
        <w:t xml:space="preserve"> also in two sites, with four clients, during the response/comment period</w:t>
      </w:r>
      <w:r w:rsidR="00DC10E7" w:rsidRPr="00F25254">
        <w:t xml:space="preserve">, indicate that the survey </w:t>
      </w:r>
      <w:r w:rsidR="0011317E" w:rsidRPr="00F25254">
        <w:t>could be successfully administered</w:t>
      </w:r>
      <w:r w:rsidR="00DC10E7" w:rsidRPr="00F25254">
        <w:t xml:space="preserve">. </w:t>
      </w:r>
    </w:p>
    <w:p w:rsidR="009553A9" w:rsidRPr="00F25254" w:rsidRDefault="00B7374A" w:rsidP="00250545">
      <w:pPr>
        <w:spacing w:after="0" w:line="240" w:lineRule="auto"/>
        <w:ind w:firstLine="720"/>
      </w:pPr>
      <w:r>
        <w:t>Moreover,</w:t>
      </w:r>
      <w:r w:rsidR="00DC10E7" w:rsidRPr="00F25254">
        <w:t xml:space="preserve"> the survey is comprised primarily of standardized measures or measures</w:t>
      </w:r>
      <w:r w:rsidR="0011317E" w:rsidRPr="00F25254">
        <w:t xml:space="preserve"> that are or have been</w:t>
      </w:r>
      <w:r w:rsidR="00DC10E7" w:rsidRPr="00F25254">
        <w:t xml:space="preserve"> used f</w:t>
      </w:r>
      <w:r w:rsidR="001258A1" w:rsidRPr="00F25254">
        <w:t>or other SAHMS</w:t>
      </w:r>
      <w:r w:rsidR="00DC10E7" w:rsidRPr="00F25254">
        <w:t>A cross-site evaluations (OMB numbers</w:t>
      </w:r>
      <w:r w:rsidR="00B90623" w:rsidRPr="00F25254">
        <w:t xml:space="preserve"> </w:t>
      </w:r>
      <w:r w:rsidR="00B90623" w:rsidRPr="00F25254">
        <w:rPr>
          <w:rFonts w:cs="Arial"/>
        </w:rPr>
        <w:t xml:space="preserve">0930-0277, </w:t>
      </w:r>
      <w:r w:rsidR="005139B7" w:rsidRPr="00F25254">
        <w:rPr>
          <w:rFonts w:cs="Arial"/>
        </w:rPr>
        <w:t>0</w:t>
      </w:r>
      <w:r w:rsidR="005139B7">
        <w:rPr>
          <w:rFonts w:cs="Arial"/>
        </w:rPr>
        <w:t>9</w:t>
      </w:r>
      <w:r w:rsidR="005139B7" w:rsidRPr="00F25254">
        <w:rPr>
          <w:rFonts w:cs="Arial"/>
        </w:rPr>
        <w:t>30</w:t>
      </w:r>
      <w:r w:rsidR="00B90623" w:rsidRPr="00F25254">
        <w:rPr>
          <w:rFonts w:cs="Arial"/>
        </w:rPr>
        <w:t xml:space="preserve">-0223, 2528-0239, 0930-0285; </w:t>
      </w:r>
      <w:r w:rsidR="002E0728" w:rsidRPr="002E0728">
        <w:rPr>
          <w:rFonts w:cs="Arial"/>
          <w:color w:val="2E2E2E"/>
        </w:rPr>
        <w:t>0930-0247</w:t>
      </w:r>
      <w:r w:rsidR="001258A1" w:rsidRPr="002E0728">
        <w:t>;</w:t>
      </w:r>
      <w:r w:rsidR="001258A1" w:rsidRPr="00F25254">
        <w:t xml:space="preserve"> and see chart of measures below)</w:t>
      </w:r>
      <w:r w:rsidR="00DC10E7" w:rsidRPr="00F25254">
        <w:t xml:space="preserve"> and whose data has been published in peer reviewed </w:t>
      </w:r>
      <w:r w:rsidR="00DC10E7" w:rsidRPr="0011729D">
        <w:t>publications (</w:t>
      </w:r>
      <w:r w:rsidR="00054128" w:rsidRPr="0011729D">
        <w:t xml:space="preserve">for example, </w:t>
      </w:r>
      <w:r w:rsidR="0011729D" w:rsidRPr="0011729D">
        <w:rPr>
          <w:rFonts w:cs="Arial"/>
        </w:rPr>
        <w:t xml:space="preserve">Broner et al., 2009; Burt, 2009; Burt, 2010; Case et al., 2009; Davis et al., 2009; Naples et al., 2007; </w:t>
      </w:r>
      <w:proofErr w:type="spellStart"/>
      <w:r w:rsidR="0011729D" w:rsidRPr="0011729D">
        <w:rPr>
          <w:rFonts w:cs="Arial"/>
        </w:rPr>
        <w:t>Rog</w:t>
      </w:r>
      <w:proofErr w:type="spellEnd"/>
      <w:r w:rsidR="0011729D" w:rsidRPr="0011729D">
        <w:rPr>
          <w:rFonts w:cs="Arial"/>
        </w:rPr>
        <w:t xml:space="preserve"> et al., 1995; </w:t>
      </w:r>
      <w:proofErr w:type="spellStart"/>
      <w:r w:rsidR="0011729D" w:rsidRPr="0011729D">
        <w:rPr>
          <w:rFonts w:cs="Arial"/>
        </w:rPr>
        <w:t>Rog</w:t>
      </w:r>
      <w:proofErr w:type="spellEnd"/>
      <w:r w:rsidR="0011729D" w:rsidRPr="0011729D">
        <w:rPr>
          <w:rFonts w:cs="Arial"/>
        </w:rPr>
        <w:t xml:space="preserve"> &amp; Buckner, 2007; </w:t>
      </w:r>
      <w:proofErr w:type="spellStart"/>
      <w:r w:rsidR="0011729D" w:rsidRPr="0011729D">
        <w:rPr>
          <w:rFonts w:cs="Arial"/>
        </w:rPr>
        <w:t>Rog</w:t>
      </w:r>
      <w:proofErr w:type="spellEnd"/>
      <w:r w:rsidR="0011729D" w:rsidRPr="0011729D">
        <w:rPr>
          <w:rFonts w:cs="Arial"/>
        </w:rPr>
        <w:t xml:space="preserve"> et al.,  1995; Steadman &amp; Naples, 2005</w:t>
      </w:r>
      <w:r w:rsidR="00B90623" w:rsidRPr="0011729D">
        <w:t xml:space="preserve">). </w:t>
      </w:r>
      <w:r w:rsidRPr="0011729D">
        <w:t>W</w:t>
      </w:r>
      <w:r w:rsidR="0011317E" w:rsidRPr="0011729D">
        <w:t xml:space="preserve">e </w:t>
      </w:r>
      <w:r w:rsidRPr="0011729D">
        <w:t xml:space="preserve">do </w:t>
      </w:r>
      <w:r w:rsidR="00DC10E7" w:rsidRPr="0011729D">
        <w:t>agree with</w:t>
      </w:r>
      <w:r w:rsidR="00DC10E7" w:rsidRPr="00F25254">
        <w:t xml:space="preserve"> OMB </w:t>
      </w:r>
      <w:r w:rsidR="0059372E" w:rsidRPr="00F25254">
        <w:t xml:space="preserve">reviewers </w:t>
      </w:r>
      <w:r>
        <w:t xml:space="preserve">the inclusion of </w:t>
      </w:r>
      <w:r w:rsidR="00DC10E7" w:rsidRPr="00F25254">
        <w:t xml:space="preserve">instructions on the interview itself </w:t>
      </w:r>
      <w:r>
        <w:t xml:space="preserve">is </w:t>
      </w:r>
      <w:r w:rsidR="00FF76AE">
        <w:t>useful tool</w:t>
      </w:r>
      <w:r w:rsidR="00250545">
        <w:t xml:space="preserve">. For each standardized instrument, or previously OMB approved measure, we included the measures instructions to maintain the integrity of the measure (see Supporting Statement Appendix 6) in addition to emphasizing this in training materials for interviewers. We will add instructions to each of the </w:t>
      </w:r>
      <w:proofErr w:type="spellStart"/>
      <w:r w:rsidR="00250545">
        <w:t>Likert</w:t>
      </w:r>
      <w:proofErr w:type="spellEnd"/>
      <w:r w:rsidR="00250545">
        <w:t xml:space="preserve"> scale matrix questions for Part I, “present Show Card” as a reminder to the GPRA interviewer. </w:t>
      </w:r>
      <w:r>
        <w:t xml:space="preserve"> </w:t>
      </w:r>
    </w:p>
    <w:p w:rsidR="00302F10" w:rsidRPr="00F25254" w:rsidRDefault="00302F10" w:rsidP="00302F10">
      <w:pPr>
        <w:pStyle w:val="NoSpacing"/>
        <w:ind w:left="720" w:hanging="720"/>
        <w:jc w:val="both"/>
      </w:pPr>
    </w:p>
    <w:p w:rsidR="00440528" w:rsidRPr="00F25254" w:rsidRDefault="00440528" w:rsidP="00440528">
      <w:pPr>
        <w:pStyle w:val="NoSpacing"/>
        <w:jc w:val="both"/>
        <w:rPr>
          <w:b/>
        </w:rPr>
      </w:pPr>
      <w:r w:rsidRPr="00F25254">
        <w:rPr>
          <w:b/>
        </w:rPr>
        <w:t xml:space="preserve">Confidentiality: </w:t>
      </w:r>
    </w:p>
    <w:p w:rsidR="00440528" w:rsidRPr="00250545" w:rsidRDefault="00440528" w:rsidP="00440528">
      <w:pPr>
        <w:pStyle w:val="NoSpacing"/>
        <w:numPr>
          <w:ilvl w:val="0"/>
          <w:numId w:val="6"/>
        </w:numPr>
        <w:jc w:val="both"/>
        <w:rPr>
          <w:b/>
          <w:bCs/>
        </w:rPr>
      </w:pPr>
      <w:r w:rsidRPr="00250545">
        <w:rPr>
          <w:b/>
          <w:bCs/>
        </w:rPr>
        <w:t xml:space="preserve">The client survey is not anonymous because the survey requires identifying information on it, i.e., a GBHI client number. An anonymous survey is one that requires no identifying information on it and cannot link an individual in any manner back to this form. </w:t>
      </w:r>
    </w:p>
    <w:p w:rsidR="00440528" w:rsidRPr="00250545" w:rsidRDefault="00440528" w:rsidP="00440528">
      <w:pPr>
        <w:pStyle w:val="NoSpacing"/>
        <w:numPr>
          <w:ilvl w:val="0"/>
          <w:numId w:val="6"/>
        </w:numPr>
        <w:jc w:val="both"/>
        <w:rPr>
          <w:b/>
          <w:bCs/>
        </w:rPr>
      </w:pPr>
      <w:r w:rsidRPr="00250545">
        <w:rPr>
          <w:b/>
          <w:bCs/>
        </w:rPr>
        <w:t xml:space="preserve">How </w:t>
      </w:r>
      <w:proofErr w:type="gramStart"/>
      <w:r w:rsidRPr="00250545">
        <w:rPr>
          <w:b/>
          <w:bCs/>
        </w:rPr>
        <w:t>is this</w:t>
      </w:r>
      <w:proofErr w:type="gramEnd"/>
      <w:r w:rsidRPr="00250545">
        <w:rPr>
          <w:b/>
          <w:bCs/>
        </w:rPr>
        <w:t xml:space="preserve"> number assigned and is it something that the client would know or would it be looked up by the interviewer?</w:t>
      </w:r>
    </w:p>
    <w:p w:rsidR="00FF7782" w:rsidRPr="00F25254" w:rsidRDefault="00FF7782" w:rsidP="00FF7782">
      <w:pPr>
        <w:pStyle w:val="NoSpacing"/>
        <w:jc w:val="both"/>
        <w:rPr>
          <w:i/>
          <w:iCs/>
        </w:rPr>
      </w:pPr>
    </w:p>
    <w:p w:rsidR="00440528" w:rsidRPr="00F25254" w:rsidRDefault="00FF7782" w:rsidP="0062569D">
      <w:pPr>
        <w:pStyle w:val="NoSpacing"/>
        <w:jc w:val="both"/>
      </w:pPr>
      <w:r w:rsidRPr="00C459A7">
        <w:rPr>
          <w:i/>
          <w:iCs/>
          <w:u w:val="single"/>
        </w:rPr>
        <w:t>Response</w:t>
      </w:r>
      <w:r w:rsidRPr="00F25254">
        <w:rPr>
          <w:i/>
          <w:iCs/>
        </w:rPr>
        <w:t>:</w:t>
      </w:r>
      <w:r w:rsidRPr="00F25254">
        <w:t xml:space="preserve"> We agree with OMB that this survey is not anonymous. In a review of the submitted Supporting Statement and materials we could not find the use of the word </w:t>
      </w:r>
      <w:r w:rsidR="00FF76AE">
        <w:t>‘</w:t>
      </w:r>
      <w:r w:rsidRPr="00F25254">
        <w:t>anonymous</w:t>
      </w:r>
      <w:r w:rsidR="00FF76AE">
        <w:t>’</w:t>
      </w:r>
      <w:r w:rsidRPr="00F25254">
        <w:t>. The information provided to the cross-site evaluation is provided via an ID number assigned by the Grantee interviewer. The GPRA interviewer at each of the 25 sites assigns a number to accepted clients</w:t>
      </w:r>
      <w:r w:rsidR="0011317E" w:rsidRPr="00F25254">
        <w:t>. This “GPRA number”</w:t>
      </w:r>
      <w:r w:rsidRPr="00F25254">
        <w:t xml:space="preserve"> </w:t>
      </w:r>
      <w:r w:rsidR="0011317E" w:rsidRPr="00F25254">
        <w:t xml:space="preserve">is used for submission of the SAMHSA CSAT GPRA Outcomes </w:t>
      </w:r>
      <w:r w:rsidR="005139B7">
        <w:t>Measure</w:t>
      </w:r>
      <w:r w:rsidR="00C459A7">
        <w:t>s</w:t>
      </w:r>
      <w:r w:rsidR="005139B7" w:rsidRPr="00F25254">
        <w:t xml:space="preserve"> </w:t>
      </w:r>
      <w:r w:rsidR="0011317E" w:rsidRPr="00F25254">
        <w:t xml:space="preserve">(OMB control number is 0930-0208) via their on-line SAIS </w:t>
      </w:r>
      <w:r w:rsidR="00066AAA" w:rsidRPr="00F25254">
        <w:t>system</w:t>
      </w:r>
      <w:r w:rsidR="00066AAA" w:rsidRPr="00F25254" w:rsidDel="0011317E">
        <w:t xml:space="preserve"> </w:t>
      </w:r>
      <w:r w:rsidR="00066AAA" w:rsidRPr="00F25254">
        <w:t>and</w:t>
      </w:r>
      <w:r w:rsidR="0011317E" w:rsidRPr="00F25254">
        <w:t xml:space="preserve"> </w:t>
      </w:r>
      <w:r w:rsidRPr="00F25254">
        <w:t>is kept by the Grantee not the client</w:t>
      </w:r>
      <w:r w:rsidR="00066AAA" w:rsidRPr="00F25254">
        <w:t xml:space="preserve">. </w:t>
      </w:r>
      <w:r w:rsidRPr="00F25254">
        <w:t>This number would be placed on the supplemental client interview</w:t>
      </w:r>
      <w:r w:rsidR="004442C7" w:rsidRPr="00F25254">
        <w:t xml:space="preserve"> </w:t>
      </w:r>
      <w:r w:rsidR="00066AAA" w:rsidRPr="00F25254">
        <w:t xml:space="preserve">form </w:t>
      </w:r>
      <w:r w:rsidR="004442C7" w:rsidRPr="00F25254">
        <w:t>by the GPRA Interviewer</w:t>
      </w:r>
      <w:r w:rsidRPr="00F25254">
        <w:t>. The cross-site evaluation will then link this number to the GPRA data for each client</w:t>
      </w:r>
      <w:r w:rsidR="00066AAA" w:rsidRPr="00F25254">
        <w:t xml:space="preserve">.  Linking to the already </w:t>
      </w:r>
      <w:r w:rsidR="00066AAA" w:rsidRPr="00F25254">
        <w:lastRenderedPageBreak/>
        <w:t>collected GPRA data minimizes the need</w:t>
      </w:r>
      <w:r w:rsidRPr="00F25254">
        <w:t xml:space="preserve"> to avoid duplicat</w:t>
      </w:r>
      <w:r w:rsidR="00C459A7">
        <w:t xml:space="preserve">e </w:t>
      </w:r>
      <w:r w:rsidR="00066AAA" w:rsidRPr="00F25254">
        <w:t xml:space="preserve">collection </w:t>
      </w:r>
      <w:r w:rsidRPr="00F25254">
        <w:t>of information</w:t>
      </w:r>
      <w:r w:rsidR="00066AAA" w:rsidRPr="00F25254">
        <w:t>.  For example, demographic</w:t>
      </w:r>
      <w:r w:rsidRPr="00F25254">
        <w:t xml:space="preserve"> information</w:t>
      </w:r>
      <w:r w:rsidR="0011729D">
        <w:t xml:space="preserve">, substance use and attitudes, </w:t>
      </w:r>
      <w:r w:rsidR="0062569D">
        <w:t xml:space="preserve">general psychiatric symptoms (not-trauma), </w:t>
      </w:r>
      <w:r w:rsidR="0011729D">
        <w:t>physical health</w:t>
      </w:r>
      <w:r w:rsidR="0062569D">
        <w:t xml:space="preserve"> (including HIV)</w:t>
      </w:r>
      <w:r w:rsidR="0011729D">
        <w:t xml:space="preserve">, </w:t>
      </w:r>
      <w:r w:rsidR="0062569D">
        <w:t xml:space="preserve">sexual risk, </w:t>
      </w:r>
      <w:r w:rsidR="0011729D">
        <w:t>and family supports</w:t>
      </w:r>
      <w:r w:rsidRPr="00F25254">
        <w:t xml:space="preserve"> </w:t>
      </w:r>
      <w:r w:rsidR="004442C7" w:rsidRPr="00F25254">
        <w:t>is</w:t>
      </w:r>
      <w:r w:rsidRPr="00F25254">
        <w:t xml:space="preserve"> not collected on the supplemental baseline </w:t>
      </w:r>
      <w:r w:rsidR="00066AAA" w:rsidRPr="00F25254">
        <w:t xml:space="preserve">and </w:t>
      </w:r>
      <w:r w:rsidRPr="00F25254">
        <w:t>6-month survey</w:t>
      </w:r>
      <w:r w:rsidR="00066AAA" w:rsidRPr="00F25254">
        <w:t>s</w:t>
      </w:r>
      <w:r w:rsidRPr="00F25254">
        <w:t xml:space="preserve"> as </w:t>
      </w:r>
      <w:r w:rsidR="00066AAA" w:rsidRPr="00F25254">
        <w:t>these data are</w:t>
      </w:r>
      <w:r w:rsidRPr="00F25254">
        <w:t xml:space="preserve"> already collected </w:t>
      </w:r>
      <w:r w:rsidR="00066AAA" w:rsidRPr="00F25254">
        <w:t xml:space="preserve">via </w:t>
      </w:r>
      <w:r w:rsidRPr="00F25254">
        <w:t xml:space="preserve">the </w:t>
      </w:r>
      <w:r w:rsidR="0011729D">
        <w:t xml:space="preserve">CSAT </w:t>
      </w:r>
      <w:r w:rsidRPr="00F25254">
        <w:t>GPRA</w:t>
      </w:r>
      <w:r w:rsidR="0011729D">
        <w:t xml:space="preserve"> </w:t>
      </w:r>
      <w:r w:rsidR="00D13F66">
        <w:t>survey</w:t>
      </w:r>
      <w:r w:rsidRPr="00F25254">
        <w:t xml:space="preserve">. </w:t>
      </w:r>
    </w:p>
    <w:p w:rsidR="00C459A7" w:rsidRDefault="00C459A7" w:rsidP="00440528">
      <w:pPr>
        <w:pStyle w:val="NoSpacing"/>
        <w:jc w:val="both"/>
        <w:rPr>
          <w:b/>
        </w:rPr>
      </w:pPr>
    </w:p>
    <w:p w:rsidR="00440528" w:rsidRPr="00F25254" w:rsidRDefault="00440528" w:rsidP="00440528">
      <w:pPr>
        <w:pStyle w:val="NoSpacing"/>
        <w:jc w:val="both"/>
      </w:pPr>
      <w:r w:rsidRPr="00F25254">
        <w:rPr>
          <w:b/>
        </w:rPr>
        <w:t>GBHI survey</w:t>
      </w:r>
      <w:r w:rsidRPr="00F25254">
        <w:t>:</w:t>
      </w:r>
    </w:p>
    <w:p w:rsidR="00440528" w:rsidRPr="00250545" w:rsidRDefault="00440528" w:rsidP="00440528">
      <w:pPr>
        <w:pStyle w:val="NoSpacing"/>
        <w:numPr>
          <w:ilvl w:val="0"/>
          <w:numId w:val="12"/>
        </w:numPr>
        <w:jc w:val="both"/>
        <w:rPr>
          <w:b/>
          <w:bCs/>
        </w:rPr>
      </w:pPr>
      <w:r w:rsidRPr="00250545">
        <w:rPr>
          <w:b/>
          <w:bCs/>
        </w:rPr>
        <w:t xml:space="preserve">How does the </w:t>
      </w:r>
      <w:r w:rsidR="009079A9" w:rsidRPr="00250545">
        <w:rPr>
          <w:b/>
          <w:bCs/>
        </w:rPr>
        <w:t xml:space="preserve">GBHI </w:t>
      </w:r>
      <w:r w:rsidRPr="00250545">
        <w:rPr>
          <w:b/>
          <w:bCs/>
        </w:rPr>
        <w:t>survey fit with the GPRA survey</w:t>
      </w:r>
      <w:r w:rsidR="009079A9" w:rsidRPr="00250545">
        <w:rPr>
          <w:b/>
          <w:bCs/>
        </w:rPr>
        <w:t xml:space="preserve"> operations</w:t>
      </w:r>
      <w:r w:rsidRPr="00250545">
        <w:rPr>
          <w:b/>
          <w:bCs/>
        </w:rPr>
        <w:t>? While we can understand wanting to administer these two surveys together in order to simplify proced</w:t>
      </w:r>
      <w:r w:rsidR="009079A9" w:rsidRPr="00250545">
        <w:rPr>
          <w:b/>
          <w:bCs/>
        </w:rPr>
        <w:t xml:space="preserve">ures, we are concerned about this might affect the results in GBHI. </w:t>
      </w:r>
      <w:r w:rsidRPr="00250545">
        <w:rPr>
          <w:b/>
          <w:bCs/>
        </w:rPr>
        <w:t xml:space="preserve"> </w:t>
      </w:r>
    </w:p>
    <w:p w:rsidR="00440528" w:rsidRPr="00250545" w:rsidRDefault="00440528" w:rsidP="00440528">
      <w:pPr>
        <w:pStyle w:val="NoSpacing"/>
        <w:numPr>
          <w:ilvl w:val="0"/>
          <w:numId w:val="12"/>
        </w:numPr>
        <w:jc w:val="both"/>
        <w:rPr>
          <w:b/>
          <w:bCs/>
        </w:rPr>
      </w:pPr>
      <w:r w:rsidRPr="00250545">
        <w:rPr>
          <w:b/>
          <w:bCs/>
        </w:rPr>
        <w:t xml:space="preserve">What is the </w:t>
      </w:r>
      <w:r w:rsidR="004A6011" w:rsidRPr="00250545">
        <w:rPr>
          <w:b/>
          <w:bCs/>
        </w:rPr>
        <w:t xml:space="preserve">purpose of the </w:t>
      </w:r>
      <w:r w:rsidRPr="00250545">
        <w:rPr>
          <w:b/>
          <w:bCs/>
        </w:rPr>
        <w:t>GPRA survey and what kind of questions does it ask?</w:t>
      </w:r>
      <w:r w:rsidR="00BF5B74" w:rsidRPr="00250545">
        <w:rPr>
          <w:b/>
          <w:bCs/>
        </w:rPr>
        <w:t xml:space="preserve"> Can you also send us either the OMB control number and/ or a copy of the GPRA questionnaire? </w:t>
      </w:r>
      <w:r w:rsidRPr="00250545">
        <w:rPr>
          <w:b/>
          <w:bCs/>
        </w:rPr>
        <w:t xml:space="preserve"> </w:t>
      </w:r>
    </w:p>
    <w:p w:rsidR="00440528" w:rsidRPr="00250545" w:rsidRDefault="00440528" w:rsidP="00440528">
      <w:pPr>
        <w:pStyle w:val="NoSpacing"/>
        <w:numPr>
          <w:ilvl w:val="0"/>
          <w:numId w:val="12"/>
        </w:numPr>
        <w:jc w:val="both"/>
        <w:rPr>
          <w:b/>
          <w:bCs/>
        </w:rPr>
      </w:pPr>
      <w:r w:rsidRPr="00250545">
        <w:rPr>
          <w:b/>
          <w:bCs/>
        </w:rPr>
        <w:t xml:space="preserve">How long on average does it take to administer the GPRA survey? </w:t>
      </w:r>
    </w:p>
    <w:p w:rsidR="004A6011" w:rsidRPr="00250545" w:rsidRDefault="004A6011" w:rsidP="004A6011">
      <w:pPr>
        <w:pStyle w:val="NoSpacing"/>
        <w:numPr>
          <w:ilvl w:val="0"/>
          <w:numId w:val="12"/>
        </w:numPr>
        <w:jc w:val="both"/>
        <w:rPr>
          <w:b/>
          <w:bCs/>
        </w:rPr>
      </w:pPr>
      <w:r w:rsidRPr="00250545">
        <w:rPr>
          <w:b/>
          <w:bCs/>
        </w:rPr>
        <w:t xml:space="preserve">What incentives are provided by GPRA, if any? Are they provided at the same time as the incentive is provided for GBHI? </w:t>
      </w:r>
    </w:p>
    <w:p w:rsidR="0011729D" w:rsidRDefault="0011729D" w:rsidP="00446277">
      <w:pPr>
        <w:pStyle w:val="NoSpacing"/>
        <w:ind w:firstLine="360"/>
        <w:jc w:val="both"/>
        <w:rPr>
          <w:i/>
          <w:iCs/>
          <w:highlight w:val="yellow"/>
        </w:rPr>
      </w:pPr>
    </w:p>
    <w:p w:rsidR="00250545" w:rsidRDefault="00AF4F26" w:rsidP="00D13F66">
      <w:pPr>
        <w:pStyle w:val="NoSpacing"/>
        <w:jc w:val="both"/>
        <w:rPr>
          <w:i/>
          <w:iCs/>
        </w:rPr>
      </w:pPr>
      <w:r w:rsidRPr="0011729D">
        <w:rPr>
          <w:i/>
          <w:iCs/>
          <w:u w:val="single"/>
        </w:rPr>
        <w:t>Response</w:t>
      </w:r>
      <w:r w:rsidRPr="0011729D">
        <w:rPr>
          <w:i/>
          <w:iCs/>
        </w:rPr>
        <w:t>:</w:t>
      </w:r>
      <w:r w:rsidR="004442C7" w:rsidRPr="00F25254">
        <w:rPr>
          <w:i/>
          <w:iCs/>
        </w:rPr>
        <w:t xml:space="preserve"> </w:t>
      </w:r>
    </w:p>
    <w:p w:rsidR="004263DE" w:rsidRPr="00F25254" w:rsidRDefault="00204DDA" w:rsidP="00D13F66">
      <w:pPr>
        <w:pStyle w:val="NoSpacing"/>
        <w:jc w:val="both"/>
      </w:pPr>
      <w:proofErr w:type="gramStart"/>
      <w:r w:rsidRPr="00250545">
        <w:rPr>
          <w:u w:val="single"/>
        </w:rPr>
        <w:t>Question 1</w:t>
      </w:r>
      <w:r w:rsidRPr="00F25254">
        <w:t>.</w:t>
      </w:r>
      <w:proofErr w:type="gramEnd"/>
      <w:r w:rsidRPr="00F25254">
        <w:t xml:space="preserve"> </w:t>
      </w:r>
      <w:r w:rsidR="004442C7" w:rsidRPr="00F25254">
        <w:t xml:space="preserve">The GBHI </w:t>
      </w:r>
      <w:r w:rsidR="00D13F66">
        <w:t xml:space="preserve">client </w:t>
      </w:r>
      <w:r w:rsidR="004442C7" w:rsidRPr="00F25254">
        <w:t xml:space="preserve">survey as described </w:t>
      </w:r>
      <w:r w:rsidR="007B67A0">
        <w:t xml:space="preserve">in section A.2 on pages 4-7 </w:t>
      </w:r>
      <w:r w:rsidR="004442C7" w:rsidRPr="00F25254">
        <w:t>of the Supporting Statement would be administered following the GPRA survey</w:t>
      </w:r>
      <w:r w:rsidR="007B67A0">
        <w:t xml:space="preserve"> as described in section B.2 on pages 18-20 of the Supporting Statement</w:t>
      </w:r>
      <w:r w:rsidR="004442C7" w:rsidRPr="00F25254">
        <w:t xml:space="preserve">. </w:t>
      </w:r>
      <w:r w:rsidR="00066AAA" w:rsidRPr="00F25254">
        <w:t xml:space="preserve">The decision to conduct the GBHI </w:t>
      </w:r>
      <w:r w:rsidR="0011729D">
        <w:t xml:space="preserve">client </w:t>
      </w:r>
      <w:r w:rsidR="00066AAA" w:rsidRPr="00F25254">
        <w:t xml:space="preserve">interview in conjunction with the GPRA survey was based on </w:t>
      </w:r>
      <w:r w:rsidR="004442C7" w:rsidRPr="00F25254">
        <w:t>the recommendation of the 15-member expert panel</w:t>
      </w:r>
      <w:r w:rsidR="00066AAA" w:rsidRPr="00F25254">
        <w:t xml:space="preserve"> and </w:t>
      </w:r>
      <w:r w:rsidR="004442C7" w:rsidRPr="00F25254">
        <w:t>SAMHSA staff</w:t>
      </w:r>
      <w:r w:rsidR="00066AAA" w:rsidRPr="00F25254">
        <w:t>, as well as at the request</w:t>
      </w:r>
      <w:r w:rsidR="004442C7" w:rsidRPr="00F25254">
        <w:t xml:space="preserve"> of the 25 GBHI </w:t>
      </w:r>
      <w:r w:rsidR="00681837">
        <w:t>Grantees</w:t>
      </w:r>
      <w:r w:rsidR="004442C7" w:rsidRPr="00F25254">
        <w:t xml:space="preserve"> </w:t>
      </w:r>
      <w:r w:rsidR="00066AAA" w:rsidRPr="00F25254">
        <w:t>as</w:t>
      </w:r>
      <w:r w:rsidR="004442C7" w:rsidRPr="00F25254">
        <w:t xml:space="preserve"> confirmed during site visits held during the fall and winter 2010-2011. </w:t>
      </w:r>
      <w:r w:rsidR="00066AAA" w:rsidRPr="00F25254">
        <w:t>D</w:t>
      </w:r>
      <w:r w:rsidRPr="00F25254">
        <w:t>uring</w:t>
      </w:r>
      <w:r w:rsidR="004442C7" w:rsidRPr="00F25254">
        <w:t xml:space="preserve"> the piloting of the baseline and 6-month </w:t>
      </w:r>
      <w:r w:rsidR="008F2231">
        <w:t xml:space="preserve">GBHI </w:t>
      </w:r>
      <w:r w:rsidR="004442C7" w:rsidRPr="00F25254">
        <w:t>client interviews</w:t>
      </w:r>
      <w:r w:rsidRPr="00F25254">
        <w:t xml:space="preserve"> in two sites with active clients</w:t>
      </w:r>
      <w:r w:rsidR="004442C7" w:rsidRPr="00F25254">
        <w:t>, we varied the survey administ</w:t>
      </w:r>
      <w:r w:rsidRPr="00F25254">
        <w:t xml:space="preserve">ration, administering it alone </w:t>
      </w:r>
      <w:r w:rsidR="004442C7" w:rsidRPr="00F25254">
        <w:t>and with the GPRA and found no differences in response rates, response times</w:t>
      </w:r>
      <w:r w:rsidR="00066AAA" w:rsidRPr="00F25254">
        <w:t xml:space="preserve">, </w:t>
      </w:r>
      <w:r w:rsidR="008F2231">
        <w:t xml:space="preserve">or </w:t>
      </w:r>
      <w:r w:rsidR="004442C7" w:rsidRPr="00F25254">
        <w:t>consistency of responses</w:t>
      </w:r>
      <w:r w:rsidR="00066AAA" w:rsidRPr="00F25254">
        <w:t xml:space="preserve">.  The different procedures also </w:t>
      </w:r>
      <w:r w:rsidRPr="00F25254">
        <w:t xml:space="preserve">did </w:t>
      </w:r>
      <w:r w:rsidR="00066AAA" w:rsidRPr="00F25254">
        <w:t>no</w:t>
      </w:r>
      <w:r w:rsidRPr="00F25254">
        <w:t xml:space="preserve">t </w:t>
      </w:r>
      <w:r w:rsidR="00066AAA" w:rsidRPr="00F25254">
        <w:t xml:space="preserve">affect </w:t>
      </w:r>
      <w:r w:rsidRPr="00F25254">
        <w:t>the consisten</w:t>
      </w:r>
      <w:r w:rsidR="00066AAA" w:rsidRPr="00F25254">
        <w:t>tl</w:t>
      </w:r>
      <w:r w:rsidRPr="00F25254">
        <w:t xml:space="preserve">y positive response to </w:t>
      </w:r>
      <w:r w:rsidR="00066AAA" w:rsidRPr="00F25254">
        <w:t xml:space="preserve">the </w:t>
      </w:r>
      <w:r w:rsidRPr="00F25254">
        <w:t>GBHI survey</w:t>
      </w:r>
      <w:r w:rsidR="008266A0" w:rsidRPr="00F25254">
        <w:t xml:space="preserve"> or to the GPRA by the clients</w:t>
      </w:r>
      <w:r w:rsidR="004442C7" w:rsidRPr="00F25254">
        <w:t>.</w:t>
      </w:r>
      <w:r w:rsidR="00250545">
        <w:t xml:space="preserve"> </w:t>
      </w:r>
      <w:r w:rsidR="00FD38D4">
        <w:t xml:space="preserve">Moreover, the approach of combining the two survey administrations has precedent in previous SAMHSA evaluations that were OMB-approved </w:t>
      </w:r>
      <w:r w:rsidR="00FD38D4" w:rsidRPr="00446277">
        <w:t>(</w:t>
      </w:r>
      <w:r w:rsidR="007B67A0" w:rsidRPr="00446277">
        <w:t>Access to Recovery</w:t>
      </w:r>
      <w:r w:rsidR="00446277" w:rsidRPr="00446277">
        <w:t>,</w:t>
      </w:r>
      <w:r w:rsidR="007B67A0" w:rsidRPr="00446277">
        <w:t xml:space="preserve"> OMB control number 0930-0299;</w:t>
      </w:r>
      <w:r w:rsidR="00FD38D4" w:rsidRPr="00446277">
        <w:t xml:space="preserve"> </w:t>
      </w:r>
      <w:r w:rsidR="00586E34" w:rsidRPr="00446277">
        <w:t xml:space="preserve">Screening, Brief Intervention, Brief Treatment and Referral to Treatment </w:t>
      </w:r>
      <w:r w:rsidR="00446277" w:rsidRPr="00446277">
        <w:t>Cross-site Evaluation, OMB control number 0930-0282</w:t>
      </w:r>
      <w:r w:rsidR="00D13F66">
        <w:t>;</w:t>
      </w:r>
      <w:r w:rsidR="00D13F66" w:rsidRPr="00D13F66">
        <w:t xml:space="preserve"> </w:t>
      </w:r>
      <w:r w:rsidR="00D13F66">
        <w:t xml:space="preserve">Targeted Capacity Expansion Program for Substance Abuse Treatment and HIV/AIDS Services, </w:t>
      </w:r>
      <w:r w:rsidR="00D13F66" w:rsidRPr="00FE3F5E">
        <w:t>OMB</w:t>
      </w:r>
      <w:r w:rsidR="00D13F66">
        <w:t xml:space="preserve"> control number 0930-0317</w:t>
      </w:r>
      <w:r w:rsidR="00FD38D4" w:rsidRPr="00446277">
        <w:t>)</w:t>
      </w:r>
    </w:p>
    <w:p w:rsidR="00250545" w:rsidRDefault="00250545" w:rsidP="00250545">
      <w:pPr>
        <w:pStyle w:val="NoSpacing"/>
        <w:jc w:val="both"/>
        <w:rPr>
          <w:u w:val="single"/>
        </w:rPr>
      </w:pPr>
    </w:p>
    <w:p w:rsidR="004263DE" w:rsidRPr="00F25254" w:rsidRDefault="004263DE" w:rsidP="00250545">
      <w:pPr>
        <w:pStyle w:val="NoSpacing"/>
        <w:jc w:val="both"/>
      </w:pPr>
      <w:proofErr w:type="gramStart"/>
      <w:r w:rsidRPr="00F25254">
        <w:rPr>
          <w:u w:val="single"/>
        </w:rPr>
        <w:t>Question 2</w:t>
      </w:r>
      <w:r w:rsidR="00066AAA" w:rsidRPr="00F25254">
        <w:t>.</w:t>
      </w:r>
      <w:proofErr w:type="gramEnd"/>
      <w:r w:rsidR="00066AAA" w:rsidRPr="00F25254">
        <w:t xml:space="preserve"> T</w:t>
      </w:r>
      <w:r w:rsidRPr="00F25254">
        <w:t xml:space="preserve">he </w:t>
      </w:r>
      <w:r w:rsidR="00D13F66">
        <w:t xml:space="preserve">CSAT </w:t>
      </w:r>
      <w:r w:rsidRPr="00F25254">
        <w:t xml:space="preserve">GPRA </w:t>
      </w:r>
      <w:r w:rsidR="00D13F66">
        <w:t xml:space="preserve">Client Outcome Measures </w:t>
      </w:r>
      <w:r w:rsidRPr="00F25254">
        <w:t xml:space="preserve">survey was OMB approved and reauthorized in 2009 (control </w:t>
      </w:r>
      <w:proofErr w:type="gramStart"/>
      <w:r w:rsidRPr="00F25254">
        <w:t>number  0930</w:t>
      </w:r>
      <w:proofErr w:type="gramEnd"/>
      <w:r w:rsidRPr="00F25254">
        <w:t xml:space="preserve">-0208). </w:t>
      </w:r>
      <w:r w:rsidR="007B67A0" w:rsidRPr="00250545">
        <w:t>The GPRA survey was developed and is used by SAMHSA to comply with the Government Performance and Results Act (GPRA) of 1993 which requires all federal departments to develop strategic plans, set performance targets related to their strategic plan on an annual basis, report annually the degree to which they met these goals, conduct regular evaluations of their programs and use the results to explain successes and failures on the basis of performance monitoring data. The GPRA survey serves as a performance measure for all of SAMHSA’s discretionary services grants.</w:t>
      </w:r>
      <w:r w:rsidR="007B67A0">
        <w:rPr>
          <w:color w:val="FF0000"/>
        </w:rPr>
        <w:t xml:space="preserve"> </w:t>
      </w:r>
      <w:r w:rsidR="00066AAA" w:rsidRPr="00F25254">
        <w:t xml:space="preserve">The </w:t>
      </w:r>
      <w:r w:rsidR="00D13F66">
        <w:t xml:space="preserve">CSAT </w:t>
      </w:r>
      <w:r w:rsidR="00066AAA" w:rsidRPr="00F25254">
        <w:t xml:space="preserve">GPRA survey collects information </w:t>
      </w:r>
      <w:r w:rsidR="002D3901" w:rsidRPr="00F25254">
        <w:t xml:space="preserve">at baseline, 6-month and discharge </w:t>
      </w:r>
      <w:r w:rsidR="00066AAA" w:rsidRPr="00F25254">
        <w:t>on</w:t>
      </w:r>
      <w:r w:rsidRPr="00F25254">
        <w:t xml:space="preserve"> client demographic characteristics and drug (by type of drug and overall) and alcohol use, education, employment, criminal justice activity, HIV, sexual risk behavior, current housing, social connection, </w:t>
      </w:r>
      <w:r w:rsidR="002D3901" w:rsidRPr="00F25254">
        <w:t xml:space="preserve">and </w:t>
      </w:r>
      <w:r w:rsidRPr="00F25254">
        <w:t>general (not trauma) psychiatric symptoms</w:t>
      </w:r>
      <w:r w:rsidR="002D3901" w:rsidRPr="00F25254">
        <w:t xml:space="preserve"> for the 30 days prior to interview administration</w:t>
      </w:r>
      <w:r w:rsidRPr="00F25254">
        <w:t xml:space="preserve">. As noted </w:t>
      </w:r>
      <w:r w:rsidR="00586E34">
        <w:t>in section A.4 on page 8</w:t>
      </w:r>
      <w:r w:rsidRPr="00F25254">
        <w:t xml:space="preserve"> of the </w:t>
      </w:r>
      <w:r w:rsidR="006A4171" w:rsidRPr="00F25254">
        <w:t>Supporting</w:t>
      </w:r>
      <w:r w:rsidRPr="00F25254">
        <w:t xml:space="preserve"> Statement the GBHI </w:t>
      </w:r>
      <w:r w:rsidR="00D13F66">
        <w:t xml:space="preserve">client </w:t>
      </w:r>
      <w:r w:rsidRPr="00F25254">
        <w:t xml:space="preserve">survey was constructed to complement and not be </w:t>
      </w:r>
      <w:r w:rsidR="006A4171" w:rsidRPr="00F25254">
        <w:t>redundant</w:t>
      </w:r>
      <w:r w:rsidRPr="00F25254">
        <w:t xml:space="preserve"> </w:t>
      </w:r>
      <w:r w:rsidR="002D3901" w:rsidRPr="00F25254">
        <w:t xml:space="preserve">with </w:t>
      </w:r>
      <w:r w:rsidRPr="00F25254">
        <w:t>the CSAT GPRA</w:t>
      </w:r>
      <w:r w:rsidR="002D3901" w:rsidRPr="00F25254">
        <w:t>. The additional</w:t>
      </w:r>
      <w:r w:rsidRPr="00F25254">
        <w:t xml:space="preserve"> information </w:t>
      </w:r>
      <w:r w:rsidR="002D3901" w:rsidRPr="00F25254">
        <w:t xml:space="preserve">proposed for the GBHI supplemental survey is </w:t>
      </w:r>
      <w:r w:rsidRPr="00F25254">
        <w:t xml:space="preserve">specifically relevant to Treatment for Homeless </w:t>
      </w:r>
      <w:r w:rsidR="00681837">
        <w:t>Grantees</w:t>
      </w:r>
      <w:r w:rsidRPr="00F25254">
        <w:t xml:space="preserve"> to </w:t>
      </w:r>
      <w:r w:rsidR="002D3901" w:rsidRPr="00F25254">
        <w:t xml:space="preserve">describe </w:t>
      </w:r>
      <w:r w:rsidRPr="00F25254">
        <w:t>these programs and their clients at baseline</w:t>
      </w:r>
      <w:r w:rsidR="002D3901" w:rsidRPr="00F25254">
        <w:t xml:space="preserve"> and</w:t>
      </w:r>
      <w:r w:rsidRPr="00F25254">
        <w:t xml:space="preserve"> 6-month follow-up. </w:t>
      </w:r>
    </w:p>
    <w:p w:rsidR="00440528" w:rsidRPr="00F25254" w:rsidRDefault="00204DDA" w:rsidP="00250545">
      <w:pPr>
        <w:pStyle w:val="NoSpacing"/>
        <w:jc w:val="both"/>
      </w:pPr>
      <w:proofErr w:type="gramStart"/>
      <w:r w:rsidRPr="00F25254">
        <w:rPr>
          <w:u w:val="single"/>
        </w:rPr>
        <w:lastRenderedPageBreak/>
        <w:t xml:space="preserve">Question </w:t>
      </w:r>
      <w:r w:rsidR="004263DE" w:rsidRPr="00F25254">
        <w:rPr>
          <w:u w:val="single"/>
        </w:rPr>
        <w:t>3</w:t>
      </w:r>
      <w:r w:rsidR="002D3901" w:rsidRPr="00F25254">
        <w:t>.</w:t>
      </w:r>
      <w:proofErr w:type="gramEnd"/>
      <w:r w:rsidRPr="00F25254">
        <w:t xml:space="preserve"> </w:t>
      </w:r>
      <w:r w:rsidR="002D3901" w:rsidRPr="00F25254">
        <w:t>T</w:t>
      </w:r>
      <w:r w:rsidRPr="00F25254">
        <w:t>he GPRA survey was OMB approved and reauthorized in 2009 (control number 0930-0208</w:t>
      </w:r>
      <w:r w:rsidR="002D3901" w:rsidRPr="00F25254">
        <w:t>). T</w:t>
      </w:r>
      <w:r w:rsidRPr="00F25254">
        <w:t xml:space="preserve">he total estimated burden for administering the </w:t>
      </w:r>
      <w:r w:rsidR="004263DE" w:rsidRPr="00F25254">
        <w:t xml:space="preserve">CSAT </w:t>
      </w:r>
      <w:r w:rsidRPr="00F25254">
        <w:t>GPRA</w:t>
      </w:r>
      <w:r w:rsidR="004263DE" w:rsidRPr="00F25254">
        <w:t xml:space="preserve"> </w:t>
      </w:r>
      <w:r w:rsidR="009E3209" w:rsidRPr="00F25254">
        <w:t>Client Outcome</w:t>
      </w:r>
      <w:r w:rsidR="004263DE" w:rsidRPr="00F25254">
        <w:t xml:space="preserve"> Measures i</w:t>
      </w:r>
      <w:r w:rsidRPr="00F25254">
        <w:t>s</w:t>
      </w:r>
      <w:r w:rsidR="008266A0" w:rsidRPr="00F25254">
        <w:t xml:space="preserve"> 21</w:t>
      </w:r>
      <w:r w:rsidRPr="00F25254">
        <w:t xml:space="preserve"> minutes including instructions, review of documents and client information prior to interviewing</w:t>
      </w:r>
      <w:r w:rsidR="002D3901" w:rsidRPr="00F25254">
        <w:t>,</w:t>
      </w:r>
      <w:r w:rsidRPr="00F25254">
        <w:t xml:space="preserve"> and so forth. The </w:t>
      </w:r>
      <w:r w:rsidR="002D3901" w:rsidRPr="00F25254">
        <w:t xml:space="preserve">average </w:t>
      </w:r>
      <w:r w:rsidRPr="00F25254">
        <w:t>time for</w:t>
      </w:r>
      <w:r w:rsidR="00557473">
        <w:t xml:space="preserve"> the CSAT GPRA</w:t>
      </w:r>
      <w:r w:rsidRPr="00F25254">
        <w:t xml:space="preserve"> </w:t>
      </w:r>
      <w:r w:rsidR="002D3901" w:rsidRPr="00F25254">
        <w:t xml:space="preserve">survey </w:t>
      </w:r>
      <w:r w:rsidRPr="00F25254">
        <w:t xml:space="preserve">administration is approximately 10 minutes.  </w:t>
      </w:r>
    </w:p>
    <w:p w:rsidR="00250545" w:rsidRDefault="00250545" w:rsidP="00250545">
      <w:pPr>
        <w:pStyle w:val="NoSpacing"/>
        <w:jc w:val="both"/>
      </w:pPr>
    </w:p>
    <w:p w:rsidR="006A4171" w:rsidRPr="00250545" w:rsidRDefault="002D3901" w:rsidP="00EA332E">
      <w:pPr>
        <w:pStyle w:val="NoSpacing"/>
        <w:jc w:val="both"/>
      </w:pPr>
      <w:proofErr w:type="gramStart"/>
      <w:r w:rsidRPr="00250545">
        <w:rPr>
          <w:u w:val="single"/>
        </w:rPr>
        <w:t>Question</w:t>
      </w:r>
      <w:r w:rsidR="006A4171" w:rsidRPr="00250545">
        <w:rPr>
          <w:u w:val="single"/>
        </w:rPr>
        <w:t xml:space="preserve"> 4</w:t>
      </w:r>
      <w:r w:rsidRPr="00F25254">
        <w:rPr>
          <w:u w:val="single"/>
        </w:rPr>
        <w:t>.</w:t>
      </w:r>
      <w:proofErr w:type="gramEnd"/>
      <w:r w:rsidR="006A4171" w:rsidRPr="00F25254">
        <w:t xml:space="preserve"> </w:t>
      </w:r>
      <w:r w:rsidRPr="00F25254">
        <w:t>The</w:t>
      </w:r>
      <w:r w:rsidR="006A4171" w:rsidRPr="00F25254">
        <w:t xml:space="preserve"> GPRA allows for </w:t>
      </w:r>
      <w:r w:rsidRPr="00F25254">
        <w:t xml:space="preserve">payment of </w:t>
      </w:r>
      <w:r w:rsidR="006A4171" w:rsidRPr="00F25254">
        <w:t>$20.00</w:t>
      </w:r>
      <w:r w:rsidRPr="00F25254">
        <w:t xml:space="preserve"> incentives</w:t>
      </w:r>
      <w:r w:rsidR="006A4171" w:rsidRPr="00F25254">
        <w:t xml:space="preserve"> for follow-up interviews.</w:t>
      </w:r>
      <w:r w:rsidR="00EA332E">
        <w:t xml:space="preserve"> Grantees may </w:t>
      </w:r>
      <w:r w:rsidR="00586E34" w:rsidRPr="00250545">
        <w:t xml:space="preserve">choose to provide an incentive up to a $20 value for completion of the 6-month follow-up GPRA survey only, though it is not a requirement. Examples of incentives that clients may receive include gift cards, coupons, toiletries, movie tickets, transportation vouchers, etc. If the grantee has chosen to provide the client with an incentive for completing the GPRA survey, then yes they would receive the incentive at the same time as the incentive provided for the 6-month follow-up GBHI survey. However, based on discussion with the 25 </w:t>
      </w:r>
      <w:r w:rsidR="00681837" w:rsidRPr="00250545">
        <w:t>Grantees</w:t>
      </w:r>
      <w:r w:rsidR="00586E34" w:rsidRPr="00250545">
        <w:t xml:space="preserve"> during site visits, </w:t>
      </w:r>
      <w:r w:rsidR="00250545">
        <w:t xml:space="preserve">clients will not receive double incentives, for the baseline and 6-month interviews. </w:t>
      </w:r>
    </w:p>
    <w:p w:rsidR="00AF4F26" w:rsidRPr="00F25254" w:rsidRDefault="00AF4F26" w:rsidP="00DB7874">
      <w:pPr>
        <w:pStyle w:val="NoSpacing"/>
        <w:ind w:left="720" w:hanging="720"/>
        <w:jc w:val="both"/>
        <w:rPr>
          <w:i/>
          <w:iCs/>
        </w:rPr>
      </w:pPr>
    </w:p>
    <w:p w:rsidR="002E6447" w:rsidRPr="00F25254" w:rsidRDefault="002E6447" w:rsidP="002E6447">
      <w:pPr>
        <w:pStyle w:val="NoSpacing"/>
        <w:jc w:val="both"/>
        <w:rPr>
          <w:b/>
        </w:rPr>
      </w:pPr>
      <w:r w:rsidRPr="00F25254">
        <w:rPr>
          <w:b/>
        </w:rPr>
        <w:t>IRB review:</w:t>
      </w:r>
    </w:p>
    <w:p w:rsidR="002E6447" w:rsidRPr="00EA332E" w:rsidRDefault="002E6447" w:rsidP="002E6447">
      <w:pPr>
        <w:pStyle w:val="NoSpacing"/>
        <w:numPr>
          <w:ilvl w:val="0"/>
          <w:numId w:val="3"/>
        </w:numPr>
        <w:jc w:val="both"/>
        <w:rPr>
          <w:b/>
          <w:bCs/>
        </w:rPr>
      </w:pPr>
      <w:r w:rsidRPr="00EA332E">
        <w:rPr>
          <w:b/>
          <w:bCs/>
        </w:rPr>
        <w:t>Was this collection reviewed by an IRB?</w:t>
      </w:r>
    </w:p>
    <w:p w:rsidR="002E6447" w:rsidRPr="00EA332E" w:rsidRDefault="002E6447" w:rsidP="002E6447">
      <w:pPr>
        <w:pStyle w:val="NoSpacing"/>
        <w:numPr>
          <w:ilvl w:val="0"/>
          <w:numId w:val="3"/>
        </w:numPr>
        <w:jc w:val="both"/>
        <w:rPr>
          <w:b/>
          <w:bCs/>
        </w:rPr>
      </w:pPr>
      <w:r w:rsidRPr="00EA332E">
        <w:rPr>
          <w:b/>
          <w:bCs/>
        </w:rPr>
        <w:t xml:space="preserve">If so, provide the certificate of approval plus information about their findings and recommendations. Specifically, we are interested </w:t>
      </w:r>
      <w:r w:rsidR="002D3901" w:rsidRPr="00EA332E">
        <w:rPr>
          <w:b/>
          <w:bCs/>
        </w:rPr>
        <w:t xml:space="preserve">in </w:t>
      </w:r>
      <w:r w:rsidRPr="00EA332E">
        <w:rPr>
          <w:b/>
          <w:bCs/>
        </w:rPr>
        <w:t xml:space="preserve">knowing if they felt the consent form provided enough protection both for the clients and for the agency and if they had any additional concerns about gaining consent from this population. </w:t>
      </w:r>
    </w:p>
    <w:p w:rsidR="00AF65BD" w:rsidRPr="00F25254" w:rsidRDefault="00AF65BD" w:rsidP="00DB7874">
      <w:pPr>
        <w:pStyle w:val="NoSpacing"/>
        <w:ind w:left="720" w:hanging="720"/>
        <w:jc w:val="both"/>
      </w:pPr>
    </w:p>
    <w:p w:rsidR="00AF4F26" w:rsidRPr="00F25254" w:rsidRDefault="00AF4F26" w:rsidP="00FF0CED">
      <w:pPr>
        <w:pStyle w:val="NoSpacing"/>
        <w:jc w:val="both"/>
        <w:rPr>
          <w:bCs/>
        </w:rPr>
      </w:pPr>
      <w:r w:rsidRPr="00F25254">
        <w:rPr>
          <w:bCs/>
          <w:i/>
          <w:iCs/>
          <w:u w:val="single"/>
        </w:rPr>
        <w:t>Response:</w:t>
      </w:r>
      <w:r w:rsidRPr="00F25254">
        <w:rPr>
          <w:bCs/>
        </w:rPr>
        <w:t xml:space="preserve"> </w:t>
      </w:r>
      <w:r w:rsidR="00A14536" w:rsidRPr="00EA332E">
        <w:rPr>
          <w:bCs/>
          <w:u w:val="single"/>
        </w:rPr>
        <w:t>Questions 1 and 2</w:t>
      </w:r>
      <w:r w:rsidR="00A14536">
        <w:rPr>
          <w:bCs/>
        </w:rPr>
        <w:t xml:space="preserve">. </w:t>
      </w:r>
      <w:r w:rsidR="00C9204B" w:rsidRPr="00F25254">
        <w:rPr>
          <w:bCs/>
        </w:rPr>
        <w:t>Th</w:t>
      </w:r>
      <w:r w:rsidRPr="00F25254">
        <w:rPr>
          <w:bCs/>
        </w:rPr>
        <w:t xml:space="preserve">e </w:t>
      </w:r>
      <w:r w:rsidR="00C9204B" w:rsidRPr="00F25254">
        <w:rPr>
          <w:bCs/>
        </w:rPr>
        <w:t xml:space="preserve">data </w:t>
      </w:r>
      <w:r w:rsidRPr="00F25254">
        <w:rPr>
          <w:bCs/>
        </w:rPr>
        <w:t>collection</w:t>
      </w:r>
      <w:r w:rsidR="00C9204B" w:rsidRPr="00F25254">
        <w:rPr>
          <w:bCs/>
        </w:rPr>
        <w:t xml:space="preserve"> plan, procedures, surveys, consents and scripts</w:t>
      </w:r>
      <w:r w:rsidRPr="00F25254">
        <w:rPr>
          <w:bCs/>
        </w:rPr>
        <w:t xml:space="preserve"> w</w:t>
      </w:r>
      <w:r w:rsidR="00C9204B" w:rsidRPr="00F25254">
        <w:rPr>
          <w:bCs/>
        </w:rPr>
        <w:t>ere</w:t>
      </w:r>
      <w:r w:rsidRPr="00F25254">
        <w:rPr>
          <w:bCs/>
        </w:rPr>
        <w:t xml:space="preserve"> reviewed </w:t>
      </w:r>
      <w:r w:rsidR="00C9204B" w:rsidRPr="00F25254">
        <w:rPr>
          <w:bCs/>
        </w:rPr>
        <w:t xml:space="preserve">and approved </w:t>
      </w:r>
      <w:r w:rsidRPr="00F25254">
        <w:rPr>
          <w:bCs/>
        </w:rPr>
        <w:t>by RTI International’s IRB</w:t>
      </w:r>
      <w:r w:rsidR="00C9204B" w:rsidRPr="00F25254">
        <w:rPr>
          <w:bCs/>
        </w:rPr>
        <w:t>, a federally assured IRB (Federal Wide Assurance Number 3331)</w:t>
      </w:r>
      <w:r w:rsidR="00926994" w:rsidRPr="00F25254">
        <w:rPr>
          <w:bCs/>
        </w:rPr>
        <w:t xml:space="preserve">. The </w:t>
      </w:r>
      <w:r w:rsidR="00C9204B" w:rsidRPr="00F25254">
        <w:rPr>
          <w:bCs/>
        </w:rPr>
        <w:t xml:space="preserve">consent forms </w:t>
      </w:r>
      <w:r w:rsidR="00EA332E">
        <w:rPr>
          <w:bCs/>
        </w:rPr>
        <w:t xml:space="preserve">for the client and stakeholder surveys </w:t>
      </w:r>
      <w:r w:rsidR="00C9204B" w:rsidRPr="00F25254">
        <w:rPr>
          <w:bCs/>
        </w:rPr>
        <w:t xml:space="preserve">submitted with </w:t>
      </w:r>
      <w:r w:rsidR="00926994" w:rsidRPr="00F25254">
        <w:rPr>
          <w:bCs/>
        </w:rPr>
        <w:t xml:space="preserve">the </w:t>
      </w:r>
      <w:r w:rsidR="00C9204B" w:rsidRPr="00F25254">
        <w:rPr>
          <w:bCs/>
        </w:rPr>
        <w:t xml:space="preserve">Supporting Statement </w:t>
      </w:r>
      <w:r w:rsidR="00557473">
        <w:rPr>
          <w:bCs/>
        </w:rPr>
        <w:t xml:space="preserve">(see Appendices </w:t>
      </w:r>
      <w:r w:rsidR="00FF0CED">
        <w:rPr>
          <w:bCs/>
        </w:rPr>
        <w:t>6 &amp; 7</w:t>
      </w:r>
      <w:r w:rsidR="00557473" w:rsidRPr="00FF0CED">
        <w:rPr>
          <w:bCs/>
        </w:rPr>
        <w:t>)</w:t>
      </w:r>
      <w:r w:rsidR="00557473">
        <w:rPr>
          <w:bCs/>
        </w:rPr>
        <w:t xml:space="preserve"> </w:t>
      </w:r>
      <w:r w:rsidR="00926994" w:rsidRPr="00F25254">
        <w:rPr>
          <w:bCs/>
        </w:rPr>
        <w:t xml:space="preserve">includes the RTI </w:t>
      </w:r>
      <w:r w:rsidR="00C9204B" w:rsidRPr="00F25254">
        <w:rPr>
          <w:bCs/>
        </w:rPr>
        <w:t xml:space="preserve">IRB approval. The surveys and accompanying materials, procedures and </w:t>
      </w:r>
      <w:r w:rsidR="004442C7" w:rsidRPr="00F25254">
        <w:rPr>
          <w:bCs/>
        </w:rPr>
        <w:t>design</w:t>
      </w:r>
      <w:r w:rsidR="00C9204B" w:rsidRPr="00F25254">
        <w:rPr>
          <w:bCs/>
        </w:rPr>
        <w:t xml:space="preserve"> were</w:t>
      </w:r>
      <w:r w:rsidRPr="00F25254">
        <w:rPr>
          <w:bCs/>
        </w:rPr>
        <w:t xml:space="preserve"> approved</w:t>
      </w:r>
      <w:r w:rsidR="00926994" w:rsidRPr="00F25254">
        <w:rPr>
          <w:bCs/>
        </w:rPr>
        <w:t xml:space="preserve"> by the IRB. N</w:t>
      </w:r>
      <w:r w:rsidR="00C9204B" w:rsidRPr="00F25254">
        <w:rPr>
          <w:bCs/>
        </w:rPr>
        <w:t xml:space="preserve">o concerns were </w:t>
      </w:r>
      <w:r w:rsidR="00926994" w:rsidRPr="00F25254">
        <w:rPr>
          <w:bCs/>
        </w:rPr>
        <w:t>identified. T</w:t>
      </w:r>
      <w:r w:rsidR="00C9204B" w:rsidRPr="00F25254">
        <w:rPr>
          <w:bCs/>
        </w:rPr>
        <w:t xml:space="preserve">he IRB approved the </w:t>
      </w:r>
      <w:r w:rsidRPr="00F25254">
        <w:rPr>
          <w:bCs/>
        </w:rPr>
        <w:t>consent form</w:t>
      </w:r>
      <w:r w:rsidR="00557473">
        <w:rPr>
          <w:bCs/>
        </w:rPr>
        <w:t>s</w:t>
      </w:r>
      <w:r w:rsidRPr="00F25254">
        <w:rPr>
          <w:bCs/>
        </w:rPr>
        <w:t xml:space="preserve"> </w:t>
      </w:r>
      <w:r w:rsidR="00C9204B" w:rsidRPr="00F25254">
        <w:rPr>
          <w:bCs/>
        </w:rPr>
        <w:t xml:space="preserve">as </w:t>
      </w:r>
      <w:r w:rsidRPr="00F25254">
        <w:rPr>
          <w:bCs/>
        </w:rPr>
        <w:t>provid</w:t>
      </w:r>
      <w:r w:rsidR="00C9204B" w:rsidRPr="00F25254">
        <w:rPr>
          <w:bCs/>
        </w:rPr>
        <w:t>ing</w:t>
      </w:r>
      <w:r w:rsidRPr="00F25254">
        <w:rPr>
          <w:bCs/>
        </w:rPr>
        <w:t xml:space="preserve"> sufficient information for protection of clients</w:t>
      </w:r>
      <w:r w:rsidR="00557473">
        <w:rPr>
          <w:bCs/>
        </w:rPr>
        <w:t>, stakeholders</w:t>
      </w:r>
      <w:r w:rsidRPr="00F25254">
        <w:rPr>
          <w:bCs/>
        </w:rPr>
        <w:t xml:space="preserve"> and agency. </w:t>
      </w:r>
      <w:r w:rsidR="00926994" w:rsidRPr="00F25254">
        <w:rPr>
          <w:bCs/>
        </w:rPr>
        <w:t xml:space="preserve"> In response to reviewer </w:t>
      </w:r>
      <w:r w:rsidR="00C9204B" w:rsidRPr="00F25254">
        <w:rPr>
          <w:bCs/>
        </w:rPr>
        <w:t>request</w:t>
      </w:r>
      <w:r w:rsidR="00926994" w:rsidRPr="00F25254">
        <w:rPr>
          <w:bCs/>
        </w:rPr>
        <w:t>,</w:t>
      </w:r>
      <w:r w:rsidR="00C9204B" w:rsidRPr="00F25254">
        <w:rPr>
          <w:bCs/>
        </w:rPr>
        <w:t xml:space="preserve"> we have attached the approvals relevant to the </w:t>
      </w:r>
      <w:r w:rsidR="00557473">
        <w:rPr>
          <w:bCs/>
        </w:rPr>
        <w:t>s</w:t>
      </w:r>
      <w:r w:rsidR="00C9204B" w:rsidRPr="00F25254">
        <w:rPr>
          <w:bCs/>
        </w:rPr>
        <w:t xml:space="preserve">takeholder survey and to the client surveys. This information </w:t>
      </w:r>
      <w:r w:rsidR="00FD38D4">
        <w:rPr>
          <w:bCs/>
        </w:rPr>
        <w:t xml:space="preserve">is </w:t>
      </w:r>
      <w:r w:rsidR="00C9204B" w:rsidRPr="00F25254">
        <w:rPr>
          <w:bCs/>
        </w:rPr>
        <w:t xml:space="preserve">also </w:t>
      </w:r>
      <w:r w:rsidR="00FD38D4">
        <w:rPr>
          <w:bCs/>
        </w:rPr>
        <w:t>available</w:t>
      </w:r>
      <w:r w:rsidR="00C9204B" w:rsidRPr="00F25254">
        <w:rPr>
          <w:bCs/>
        </w:rPr>
        <w:t xml:space="preserve"> in the </w:t>
      </w:r>
      <w:r w:rsidR="00FD38D4">
        <w:rPr>
          <w:bCs/>
        </w:rPr>
        <w:t xml:space="preserve">original </w:t>
      </w:r>
      <w:r w:rsidR="00C9204B" w:rsidRPr="00F25254">
        <w:rPr>
          <w:bCs/>
        </w:rPr>
        <w:t xml:space="preserve">Supporting Statement; please see the Supporting Statement, </w:t>
      </w:r>
      <w:r w:rsidR="00586E34">
        <w:rPr>
          <w:bCs/>
        </w:rPr>
        <w:t>section A.10, pages 13-14</w:t>
      </w:r>
      <w:r w:rsidR="00C9204B" w:rsidRPr="00F25254">
        <w:rPr>
          <w:bCs/>
        </w:rPr>
        <w:t xml:space="preserve"> and excerpted below: </w:t>
      </w:r>
    </w:p>
    <w:p w:rsidR="00C9204B" w:rsidRPr="00F25254" w:rsidRDefault="00C9204B" w:rsidP="00DB7874">
      <w:pPr>
        <w:pStyle w:val="NoSpacing"/>
        <w:ind w:left="720" w:hanging="720"/>
        <w:jc w:val="both"/>
        <w:rPr>
          <w:bCs/>
        </w:rPr>
      </w:pPr>
    </w:p>
    <w:p w:rsidR="00C9204B" w:rsidRPr="00F25254" w:rsidRDefault="00C9204B" w:rsidP="00FD38D4">
      <w:pPr>
        <w:ind w:left="720"/>
      </w:pPr>
      <w:r w:rsidRPr="00F25254">
        <w:t xml:space="preserve"> “In addition, the three interviews, all informed consents and the client interview script have been reviewed and approved by the contractor’s Institutional Review Board (IRB) (Federal Wide Assurance Number 3331), </w:t>
      </w:r>
      <w:r w:rsidR="00FD38D4">
        <w:t>review</w:t>
      </w:r>
      <w:r w:rsidR="00FD38D4" w:rsidRPr="00F25254">
        <w:t xml:space="preserve"> </w:t>
      </w:r>
      <w:r w:rsidRPr="00F25254">
        <w:t>#12612. In keeping with 45 CFR 46, Protection of Human Subjects, the CSAT GBHI procedures for data collection, consent, and data maintenance are formulated to protect respondents’ rights and the privacy of information collected. Strict procedures will be followed for protecting the privacy of respondents’ information and for obtaining their informed consent. The IRB-approved model informed consents meet all Federal requirements for informed consent documentation. This template will be customized by each grantee to obtain informed consent for participation in the study. Any necessary changes to the surveys will be reviewed by the contractor’s IRB.</w:t>
      </w:r>
    </w:p>
    <w:p w:rsidR="003C6655" w:rsidRPr="00F25254" w:rsidRDefault="00C9204B" w:rsidP="00446277">
      <w:pPr>
        <w:pStyle w:val="NoSpacing"/>
        <w:ind w:left="720"/>
        <w:jc w:val="both"/>
        <w:rPr>
          <w:b/>
        </w:rPr>
      </w:pPr>
      <w:r w:rsidRPr="00F25254">
        <w:t xml:space="preserve">Data from the CSAT GBHI client interviews will be safeguarded in compliance with the Privacy Act of 1974 (5 U.S.C. 552a). The privacy of data records will be explained to all respondents </w:t>
      </w:r>
      <w:r w:rsidRPr="00F25254">
        <w:lastRenderedPageBreak/>
        <w:t xml:space="preserve">during the consent process and in the consent forms.” </w:t>
      </w:r>
      <w:r w:rsidRPr="00446277">
        <w:t xml:space="preserve">(P. </w:t>
      </w:r>
      <w:r w:rsidR="00586E34" w:rsidRPr="00446277">
        <w:t xml:space="preserve">13-14, </w:t>
      </w:r>
      <w:r w:rsidRPr="00446277">
        <w:t xml:space="preserve">Lines </w:t>
      </w:r>
      <w:r w:rsidR="00446277" w:rsidRPr="00446277">
        <w:t xml:space="preserve">510-523, </w:t>
      </w:r>
      <w:r w:rsidRPr="00446277">
        <w:t>Supporting Statement)</w:t>
      </w:r>
    </w:p>
    <w:p w:rsidR="003C6655" w:rsidRPr="00F25254" w:rsidRDefault="003C6655" w:rsidP="00DB7874">
      <w:pPr>
        <w:pStyle w:val="NoSpacing"/>
        <w:ind w:left="720" w:hanging="720"/>
        <w:jc w:val="both"/>
        <w:rPr>
          <w:b/>
        </w:rPr>
      </w:pPr>
    </w:p>
    <w:p w:rsidR="00BF5B74" w:rsidRPr="00F25254" w:rsidRDefault="00BF5B74" w:rsidP="00DB7874">
      <w:pPr>
        <w:pStyle w:val="NoSpacing"/>
        <w:ind w:left="720" w:hanging="720"/>
        <w:jc w:val="both"/>
        <w:rPr>
          <w:b/>
        </w:rPr>
      </w:pPr>
      <w:r w:rsidRPr="00F25254">
        <w:rPr>
          <w:b/>
        </w:rPr>
        <w:t>Section 12:</w:t>
      </w:r>
    </w:p>
    <w:p w:rsidR="00BF5B74" w:rsidRPr="00EA332E" w:rsidRDefault="00BF5B74" w:rsidP="00BF5B74">
      <w:pPr>
        <w:pStyle w:val="NoSpacing"/>
        <w:numPr>
          <w:ilvl w:val="0"/>
          <w:numId w:val="13"/>
        </w:numPr>
        <w:jc w:val="both"/>
        <w:rPr>
          <w:b/>
          <w:bCs/>
        </w:rPr>
      </w:pPr>
      <w:r w:rsidRPr="00EA332E">
        <w:rPr>
          <w:b/>
          <w:bCs/>
        </w:rPr>
        <w:t xml:space="preserve">Can you provide us with background information on why you expect an 80% response rate for both administrations of the client survey? </w:t>
      </w:r>
    </w:p>
    <w:p w:rsidR="00BF5B74" w:rsidRPr="00EA332E" w:rsidRDefault="00BF5B74" w:rsidP="00BF5B74">
      <w:pPr>
        <w:pStyle w:val="NoSpacing"/>
        <w:numPr>
          <w:ilvl w:val="0"/>
          <w:numId w:val="13"/>
        </w:numPr>
        <w:jc w:val="both"/>
        <w:rPr>
          <w:b/>
          <w:bCs/>
        </w:rPr>
      </w:pPr>
      <w:r w:rsidRPr="00EA332E">
        <w:rPr>
          <w:b/>
          <w:bCs/>
        </w:rPr>
        <w:t xml:space="preserve">We would also like to see additional support for the 20 minute total estimated completion time, especially with respondents who currently represent the target population, instead of individuals who in the past represented these individuals. We are concerned that contractors, even those whom were formerly homeless, may not serve as a good proxy for your target population. </w:t>
      </w:r>
    </w:p>
    <w:p w:rsidR="00FC6500" w:rsidRPr="00EA332E" w:rsidRDefault="00FC6500" w:rsidP="00BF5B74">
      <w:pPr>
        <w:pStyle w:val="NoSpacing"/>
        <w:numPr>
          <w:ilvl w:val="0"/>
          <w:numId w:val="13"/>
        </w:numPr>
        <w:jc w:val="both"/>
        <w:rPr>
          <w:b/>
          <w:bCs/>
        </w:rPr>
      </w:pPr>
      <w:r w:rsidRPr="00EA332E">
        <w:rPr>
          <w:b/>
          <w:bCs/>
        </w:rPr>
        <w:t>Can you provide information to support estimated burden in follow up time needed for non-respondents.</w:t>
      </w:r>
    </w:p>
    <w:p w:rsidR="004442C7" w:rsidRPr="00F25254" w:rsidRDefault="004442C7" w:rsidP="004442C7">
      <w:pPr>
        <w:pStyle w:val="NoSpacing"/>
        <w:ind w:left="720"/>
        <w:jc w:val="both"/>
      </w:pPr>
    </w:p>
    <w:p w:rsidR="00A14536" w:rsidRDefault="004442C7" w:rsidP="00A14536">
      <w:pPr>
        <w:pStyle w:val="NoSpacing"/>
        <w:ind w:left="720" w:hanging="720"/>
        <w:jc w:val="both"/>
      </w:pPr>
      <w:r w:rsidRPr="00EA332E">
        <w:rPr>
          <w:bCs/>
          <w:i/>
          <w:iCs/>
          <w:u w:val="single"/>
        </w:rPr>
        <w:t>Response:</w:t>
      </w:r>
      <w:r w:rsidR="0062569D" w:rsidRPr="0062569D">
        <w:t xml:space="preserve"> </w:t>
      </w:r>
    </w:p>
    <w:p w:rsidR="003C5CD3" w:rsidRDefault="00A14536" w:rsidP="00FF0CED">
      <w:pPr>
        <w:pStyle w:val="NoSpacing"/>
        <w:spacing w:before="240"/>
        <w:jc w:val="both"/>
      </w:pPr>
      <w:proofErr w:type="gramStart"/>
      <w:r w:rsidRPr="003C5CD3">
        <w:rPr>
          <w:u w:val="single"/>
        </w:rPr>
        <w:t>Question 1</w:t>
      </w:r>
      <w:r>
        <w:t>.</w:t>
      </w:r>
      <w:proofErr w:type="gramEnd"/>
      <w:r w:rsidR="003C5CD3" w:rsidRPr="003C5CD3">
        <w:t xml:space="preserve"> </w:t>
      </w:r>
      <w:r w:rsidR="00151F38">
        <w:t xml:space="preserve">All clients who are enrolled in the GBHI program complete the GPRA survey. Client retention is also high among these programs.  This is due in large part to the fact the programs are designed using evidence-based practices to intensively engage and retain an at-risk population that otherwise has limited resources.  </w:t>
      </w:r>
      <w:r w:rsidR="00B13DDD">
        <w:t xml:space="preserve">This is also due to Grantees having dedicated </w:t>
      </w:r>
      <w:r w:rsidR="00E074C1">
        <w:t xml:space="preserve">trained interview staff </w:t>
      </w:r>
      <w:r w:rsidR="00B13DDD">
        <w:t>to conduct interviews and track clients as described previously.</w:t>
      </w:r>
      <w:r w:rsidR="00B13DDD" w:rsidRPr="00B13DDD">
        <w:t xml:space="preserve"> </w:t>
      </w:r>
      <w:r w:rsidR="00B13DDD" w:rsidRPr="00F25254">
        <w:t xml:space="preserve">Grantees are required to complete a GPRA survey with at least 80% of their clients </w:t>
      </w:r>
      <w:r w:rsidR="00B13DDD">
        <w:t xml:space="preserve">six </w:t>
      </w:r>
      <w:r w:rsidR="00B13DDD" w:rsidRPr="00F25254">
        <w:t xml:space="preserve">months following the baseline interview. If a client completes the program before the 6-month period ends, the grantee is required to </w:t>
      </w:r>
      <w:r w:rsidR="00B13DDD">
        <w:t>attempt to contact them and complete the 6-month interview per the OMB approved GPRA procedures protocol (</w:t>
      </w:r>
      <w:r w:rsidR="006561A6">
        <w:t xml:space="preserve">0930-0208). </w:t>
      </w:r>
      <w:r w:rsidR="00B13DDD" w:rsidRPr="00F25254">
        <w:t xml:space="preserve"> </w:t>
      </w:r>
      <w:r w:rsidR="00B13DDD">
        <w:t xml:space="preserve">Grantees also conduct a discharge interview when a client is discharged from or has left the program regardless of calendar time since enrollment.   </w:t>
      </w:r>
      <w:r w:rsidR="00151F38" w:rsidRPr="00F25254">
        <w:t xml:space="preserve">Among the 25 GBHI program </w:t>
      </w:r>
      <w:r w:rsidR="00151F38">
        <w:t>Grantees</w:t>
      </w:r>
      <w:r w:rsidR="00151F38" w:rsidRPr="00F25254">
        <w:t xml:space="preserve"> that are the focus of the cross-site evaluation, </w:t>
      </w:r>
      <w:r w:rsidR="00151F38">
        <w:t xml:space="preserve">typical </w:t>
      </w:r>
      <w:r w:rsidR="00151F38" w:rsidRPr="00F25254">
        <w:t xml:space="preserve">program participation varies from </w:t>
      </w:r>
      <w:r w:rsidR="00151F38">
        <w:t>6 months</w:t>
      </w:r>
      <w:r w:rsidR="00151F38" w:rsidRPr="00F25254">
        <w:t xml:space="preserve"> to </w:t>
      </w:r>
      <w:r w:rsidR="00151F38">
        <w:t>24 months</w:t>
      </w:r>
      <w:r w:rsidR="00151F38" w:rsidRPr="00F25254">
        <w:t xml:space="preserve">, based on grantee proposal reviews and telephone conversations with program directors and site visits conducted during the fall and winter 2010 -2011. The program length was designed by each grantee to address the needs of each grantee’s target population. A review of prior GBHI cohort </w:t>
      </w:r>
      <w:r w:rsidR="00151F38">
        <w:t xml:space="preserve">CSAT </w:t>
      </w:r>
      <w:r w:rsidR="00151F38" w:rsidRPr="00F25254">
        <w:t xml:space="preserve">GPRA </w:t>
      </w:r>
      <w:r w:rsidR="00151F38">
        <w:t xml:space="preserve">Client Outcome Measures </w:t>
      </w:r>
      <w:r w:rsidR="00151F38" w:rsidRPr="00F25254">
        <w:t>data</w:t>
      </w:r>
      <w:r w:rsidR="00151F38">
        <w:t xml:space="preserve"> (OMB control number 0930-0208) </w:t>
      </w:r>
      <w:r w:rsidR="00151F38" w:rsidRPr="00F25254">
        <w:t xml:space="preserve">submitted to SAMHSA via </w:t>
      </w:r>
      <w:r w:rsidR="00151F38">
        <w:t>S</w:t>
      </w:r>
      <w:r w:rsidR="00151F38" w:rsidRPr="00F25254">
        <w:t xml:space="preserve">AIS indicates that clients of these earlier grantee programs remained in the programs an average of 139 days. </w:t>
      </w:r>
      <w:r w:rsidR="00151F38">
        <w:t xml:space="preserve"> These data also report high six month follow-up rates for clients who begin the programs, 87.6% as of February 28, 2011. All clients approached for the pilot study responded positively and agreed to enroll in the pilot. We believe that our estimates of at minimum 80% enrollment and retention remains accurate as a projection over the course of the project and is consistent with the description in the Supporting Statement </w:t>
      </w:r>
      <w:r w:rsidR="00151F38" w:rsidRPr="00FF0CED">
        <w:t>(</w:t>
      </w:r>
      <w:r w:rsidR="00FF0CED">
        <w:t>section A.12, pages 14-15 and section B.3, pages 20-21</w:t>
      </w:r>
      <w:r w:rsidR="00151F38" w:rsidRPr="00FF0CED">
        <w:t>).</w:t>
      </w:r>
      <w:r w:rsidR="00151F38">
        <w:t xml:space="preserve"> </w:t>
      </w:r>
    </w:p>
    <w:p w:rsidR="00151F38" w:rsidRDefault="00151F38" w:rsidP="003C5CD3">
      <w:pPr>
        <w:pStyle w:val="NoSpacing"/>
        <w:jc w:val="both"/>
        <w:rPr>
          <w:u w:val="single"/>
        </w:rPr>
      </w:pPr>
    </w:p>
    <w:p w:rsidR="00A46195" w:rsidRPr="00F25254" w:rsidRDefault="00A14536" w:rsidP="00F220B5">
      <w:pPr>
        <w:pStyle w:val="NoSpacing"/>
        <w:jc w:val="both"/>
        <w:rPr>
          <w:bCs/>
          <w:i/>
          <w:iCs/>
          <w:u w:val="single"/>
        </w:rPr>
      </w:pPr>
      <w:proofErr w:type="gramStart"/>
      <w:r w:rsidRPr="003C5CD3">
        <w:rPr>
          <w:u w:val="single"/>
        </w:rPr>
        <w:t>Question 2</w:t>
      </w:r>
      <w:r>
        <w:t>.</w:t>
      </w:r>
      <w:proofErr w:type="gramEnd"/>
      <w:r>
        <w:t xml:space="preserve"> </w:t>
      </w:r>
      <w:r w:rsidR="006561A6" w:rsidRPr="00F25254">
        <w:t>In preparation for client-level data collection, if approved by OMB, we conducted a “full dry run of the survey protocol” (both baseline and 6-month follow-up</w:t>
      </w:r>
      <w:r w:rsidR="006561A6">
        <w:t xml:space="preserve"> client interviews</w:t>
      </w:r>
      <w:r w:rsidR="006561A6" w:rsidRPr="00F25254">
        <w:t xml:space="preserve">) and conducted cognitive testing with clients. </w:t>
      </w:r>
      <w:r w:rsidR="006561A6">
        <w:t>W</w:t>
      </w:r>
      <w:r w:rsidR="006561A6" w:rsidRPr="00F25254">
        <w:t xml:space="preserve">e administered each of the client protocols to 8 respondents for baseline and 6-month follow-up. We also tested whether receiving a pre-survey of GPRA questions would increase time, reduce responsiveness or change the quality of the responses, varying whether the clients received the surveys alone on in conjunction with the GPRA survey. </w:t>
      </w:r>
      <w:r w:rsidR="006561A6">
        <w:t xml:space="preserve">The process </w:t>
      </w:r>
      <w:r w:rsidR="006561A6" w:rsidRPr="00F25254">
        <w:t>included full informed consent procedures, directions, Part 1 and Part II questionnaires including clients sealing their responses in the envelop and returning them to the interviewer.</w:t>
      </w:r>
      <w:r w:rsidR="006561A6">
        <w:t xml:space="preserve">  </w:t>
      </w:r>
      <w:r w:rsidR="006561A6" w:rsidRPr="00F25254">
        <w:t xml:space="preserve">The interviewer was a non-grantee interviewer trained on the GPRA </w:t>
      </w:r>
      <w:r w:rsidR="006561A6">
        <w:t>survey</w:t>
      </w:r>
      <w:r w:rsidR="006561A6" w:rsidRPr="00F25254">
        <w:t xml:space="preserve">. The clients were active clients at two current SAMHSA sites. The time </w:t>
      </w:r>
      <w:r w:rsidR="006561A6" w:rsidRPr="00F25254">
        <w:lastRenderedPageBreak/>
        <w:t xml:space="preserve">burden was consistent with that noted </w:t>
      </w:r>
      <w:r w:rsidR="006561A6" w:rsidRPr="00B06B9E">
        <w:t>in section A.12 on pages 14-15</w:t>
      </w:r>
      <w:r w:rsidR="00FF0CED">
        <w:t xml:space="preserve"> and section B.4 on pages 21-22</w:t>
      </w:r>
      <w:r w:rsidR="006561A6" w:rsidRPr="00B06B9E">
        <w:t xml:space="preserve"> of the Supporting Statement</w:t>
      </w:r>
      <w:r w:rsidR="006561A6" w:rsidRPr="00F25254">
        <w:t xml:space="preserve"> The </w:t>
      </w:r>
      <w:r w:rsidR="006561A6" w:rsidRPr="00B7374A">
        <w:t xml:space="preserve">results of this pilot showed an average of 4 minutes for the consent procedures, 14 minutes to administer Part I, and 3 minutes for completion of Part II </w:t>
      </w:r>
      <w:r w:rsidR="006561A6">
        <w:t>f</w:t>
      </w:r>
      <w:r w:rsidR="006561A6" w:rsidRPr="00B7374A">
        <w:t xml:space="preserve">or both baseline and 6 month </w:t>
      </w:r>
      <w:proofErr w:type="spellStart"/>
      <w:r w:rsidR="006561A6" w:rsidRPr="00B7374A">
        <w:t>followup</w:t>
      </w:r>
      <w:proofErr w:type="spellEnd"/>
      <w:r w:rsidR="006561A6" w:rsidRPr="00B7374A">
        <w:t>. No client had suggestions for removal of items or evidenced difficulty or slowness on particular items; all clients had positive comments on the survey indicating satisfaction about being heard. A majority of the clients felt that by responding to the questions that the grantee programs would be better informed about the services clients needed and better able to describe client gains.</w:t>
      </w:r>
      <w:r w:rsidR="006561A6">
        <w:t xml:space="preserve"> </w:t>
      </w:r>
      <w:r w:rsidR="003C5CD3">
        <w:t xml:space="preserve">As described previously, two GBHI Grantees also administered the surveys to four clients during the </w:t>
      </w:r>
      <w:r w:rsidR="006561A6">
        <w:t>feedback/</w:t>
      </w:r>
      <w:r w:rsidR="003C5CD3">
        <w:t>comment period, and found similarly that the survey performed well, within the allotted time, and engendered positive responses from c</w:t>
      </w:r>
      <w:r w:rsidR="006561A6">
        <w:t>lients about the types of questions asked</w:t>
      </w:r>
      <w:r w:rsidR="003C5CD3">
        <w:t xml:space="preserve">. </w:t>
      </w:r>
      <w:r w:rsidR="0062569D" w:rsidRPr="00F25254">
        <w:t xml:space="preserve">As it is proposed to administer both the GPRA survey and GBHI in the same setting reducing burden and cost to clients and staff GPRA interviewers, </w:t>
      </w:r>
      <w:r w:rsidR="0062569D">
        <w:t xml:space="preserve">we also piloted the survey with and without the GPRA in one setting. Our findings were that data </w:t>
      </w:r>
      <w:r w:rsidR="0062569D" w:rsidRPr="00F25254">
        <w:t xml:space="preserve">quality </w:t>
      </w:r>
      <w:r w:rsidR="0062569D">
        <w:t xml:space="preserve">was not reduced, clients did not experience the surveys as redundant and clients and interviewer did not experience an </w:t>
      </w:r>
      <w:r w:rsidR="00F220B5">
        <w:t xml:space="preserve">undue </w:t>
      </w:r>
      <w:r w:rsidR="0062569D">
        <w:t xml:space="preserve">burden. The approach of combining the two survey administrations also has precedent in previous SAMHSA evaluations that were OMB-approved </w:t>
      </w:r>
      <w:r w:rsidR="0062569D" w:rsidRPr="00446277">
        <w:t>(Access to Recovery, OMB control number 0930-0299; Screening, Brief Intervention, Brief Treatment and Referral to Treatment Cross-site Evaluation, OMB control number 0930-0282</w:t>
      </w:r>
      <w:r w:rsidR="0062569D">
        <w:t xml:space="preserve">; Targeted Capacity Expansion Program for Substance Abuse Treatment and HIV/AIDS Services, </w:t>
      </w:r>
      <w:r w:rsidR="0062569D" w:rsidRPr="00FE3F5E">
        <w:t>OMB</w:t>
      </w:r>
      <w:r w:rsidR="0062569D">
        <w:t xml:space="preserve"> control number 0930-0317</w:t>
      </w:r>
      <w:r w:rsidR="0062569D" w:rsidRPr="00446277">
        <w:t>)</w:t>
      </w:r>
      <w:r w:rsidR="0062569D">
        <w:t>.</w:t>
      </w:r>
    </w:p>
    <w:p w:rsidR="003C5CD3" w:rsidRDefault="003C5CD3" w:rsidP="00DB7874">
      <w:pPr>
        <w:pStyle w:val="NoSpacing"/>
        <w:ind w:left="720" w:hanging="720"/>
        <w:jc w:val="both"/>
        <w:rPr>
          <w:bCs/>
        </w:rPr>
      </w:pPr>
    </w:p>
    <w:p w:rsidR="004442C7" w:rsidRPr="003C5CD3" w:rsidRDefault="003C5CD3" w:rsidP="00E53A5C">
      <w:pPr>
        <w:pStyle w:val="NoSpacing"/>
        <w:jc w:val="both"/>
        <w:rPr>
          <w:bCs/>
        </w:rPr>
      </w:pPr>
      <w:proofErr w:type="gramStart"/>
      <w:r w:rsidRPr="00EA332E">
        <w:rPr>
          <w:bCs/>
          <w:u w:val="single"/>
        </w:rPr>
        <w:t>Question 3</w:t>
      </w:r>
      <w:r w:rsidRPr="003C5CD3">
        <w:rPr>
          <w:bCs/>
        </w:rPr>
        <w:t>.</w:t>
      </w:r>
      <w:proofErr w:type="gramEnd"/>
      <w:r w:rsidRPr="003C5CD3">
        <w:rPr>
          <w:bCs/>
        </w:rPr>
        <w:t xml:space="preserve"> </w:t>
      </w:r>
      <w:r w:rsidR="00E074C1">
        <w:rPr>
          <w:bCs/>
        </w:rPr>
        <w:t>As the GBHI client survey will not require additional follow-up or tracking over and above the GPRA, which follow-up burden is included in the approved measure (</w:t>
      </w:r>
      <w:r w:rsidR="00E074C1">
        <w:t>0930-0208) and as the Grantee is required to maintain 80% retention as a condition of funding, tracking burden would be negligible. Purposefully, to reduce Grantee and client burden and be cost effective we proposed that the GBHI client interview be supplemented to the GPRA interview session and as noted above, is the procedure for several OMB approved SAMHSA evaluation</w:t>
      </w:r>
      <w:r w:rsidR="00EA332E">
        <w:t>s</w:t>
      </w:r>
      <w:r w:rsidR="00E074C1">
        <w:t xml:space="preserve"> (</w:t>
      </w:r>
      <w:r w:rsidR="00E53A5C">
        <w:t xml:space="preserve">control numbers: </w:t>
      </w:r>
      <w:r w:rsidR="00E074C1" w:rsidRPr="00446277">
        <w:t>0930-0299; 0930-0282</w:t>
      </w:r>
      <w:r w:rsidR="00E074C1">
        <w:t>; 0930-0317</w:t>
      </w:r>
      <w:r w:rsidR="00E074C1" w:rsidRPr="00446277">
        <w:t>)</w:t>
      </w:r>
      <w:r w:rsidR="00E074C1">
        <w:t>.</w:t>
      </w:r>
    </w:p>
    <w:p w:rsidR="003C5CD3" w:rsidRPr="00F25254" w:rsidRDefault="003C5CD3" w:rsidP="00DB7874">
      <w:pPr>
        <w:pStyle w:val="NoSpacing"/>
        <w:ind w:left="720" w:hanging="720"/>
        <w:jc w:val="both"/>
        <w:rPr>
          <w:b/>
        </w:rPr>
      </w:pPr>
    </w:p>
    <w:p w:rsidR="00AF65BD" w:rsidRPr="00F25254" w:rsidRDefault="00E01C33" w:rsidP="00DB7874">
      <w:pPr>
        <w:pStyle w:val="NoSpacing"/>
        <w:ind w:left="720" w:hanging="720"/>
        <w:jc w:val="both"/>
        <w:rPr>
          <w:b/>
        </w:rPr>
      </w:pPr>
      <w:r w:rsidRPr="00F25254">
        <w:rPr>
          <w:b/>
        </w:rPr>
        <w:t>Section 16:</w:t>
      </w:r>
    </w:p>
    <w:p w:rsidR="009737AE" w:rsidRPr="00EA332E" w:rsidRDefault="009737AE" w:rsidP="009737AE">
      <w:pPr>
        <w:pStyle w:val="NoSpacing"/>
        <w:numPr>
          <w:ilvl w:val="0"/>
          <w:numId w:val="10"/>
        </w:numPr>
        <w:jc w:val="both"/>
        <w:rPr>
          <w:b/>
          <w:bCs/>
        </w:rPr>
      </w:pPr>
      <w:r w:rsidRPr="00EA332E">
        <w:rPr>
          <w:b/>
          <w:bCs/>
        </w:rPr>
        <w:t>What kind of statistics and reports are planning to use this data for once it is collected? These uses can be both internal to the GBHI program, internal to SAMHSA, and external to the public or other interested parties.</w:t>
      </w:r>
      <w:r w:rsidR="00FC6500" w:rsidRPr="00EA332E">
        <w:rPr>
          <w:b/>
          <w:bCs/>
        </w:rPr>
        <w:t xml:space="preserve"> Include a detail discussion of your analysis plan and table shells of your expected analysis. </w:t>
      </w:r>
    </w:p>
    <w:p w:rsidR="009737AE" w:rsidRPr="00EA332E" w:rsidRDefault="009737AE" w:rsidP="009737AE">
      <w:pPr>
        <w:pStyle w:val="NoSpacing"/>
        <w:numPr>
          <w:ilvl w:val="0"/>
          <w:numId w:val="10"/>
        </w:numPr>
        <w:jc w:val="both"/>
        <w:rPr>
          <w:b/>
          <w:bCs/>
        </w:rPr>
      </w:pPr>
      <w:r w:rsidRPr="00EA332E">
        <w:rPr>
          <w:b/>
          <w:bCs/>
        </w:rPr>
        <w:t>Would this information be collected even if SAMHSA was not conducting this evaluation and other ways this data might be us</w:t>
      </w:r>
      <w:r w:rsidR="00FC6500" w:rsidRPr="00EA332E">
        <w:rPr>
          <w:b/>
          <w:bCs/>
        </w:rPr>
        <w:t>ed outside of the GBHI program?</w:t>
      </w:r>
    </w:p>
    <w:p w:rsidR="00FC6500" w:rsidRPr="00EA332E" w:rsidRDefault="00FC6500" w:rsidP="00FC6500">
      <w:pPr>
        <w:numPr>
          <w:ilvl w:val="0"/>
          <w:numId w:val="10"/>
        </w:numPr>
        <w:spacing w:after="0" w:line="240" w:lineRule="auto"/>
        <w:rPr>
          <w:b/>
          <w:bCs/>
        </w:rPr>
      </w:pPr>
      <w:r w:rsidRPr="00EA332E">
        <w:rPr>
          <w:b/>
          <w:bCs/>
        </w:rPr>
        <w:t xml:space="preserve">Can you add dates for the nonresponse follow-up to the schedule? </w:t>
      </w:r>
    </w:p>
    <w:p w:rsidR="00FC6500" w:rsidRPr="00F25254" w:rsidRDefault="00FC6500" w:rsidP="00107600">
      <w:pPr>
        <w:pStyle w:val="NoSpacing"/>
        <w:jc w:val="both"/>
        <w:rPr>
          <w:b/>
        </w:rPr>
      </w:pPr>
    </w:p>
    <w:p w:rsidR="008C5880" w:rsidRPr="00F25254" w:rsidRDefault="00926994" w:rsidP="001F6082">
      <w:pPr>
        <w:pStyle w:val="NoSpacing"/>
        <w:jc w:val="both"/>
        <w:rPr>
          <w:bCs/>
        </w:rPr>
      </w:pPr>
      <w:r w:rsidRPr="00F25254">
        <w:rPr>
          <w:bCs/>
          <w:i/>
          <w:iCs/>
          <w:u w:val="single"/>
        </w:rPr>
        <w:t>Response:</w:t>
      </w:r>
      <w:r w:rsidRPr="00F25254">
        <w:rPr>
          <w:bCs/>
        </w:rPr>
        <w:t xml:space="preserve"> </w:t>
      </w:r>
    </w:p>
    <w:p w:rsidR="008906C2" w:rsidRPr="00F25254" w:rsidRDefault="008906C2" w:rsidP="00FC6218">
      <w:pPr>
        <w:pStyle w:val="NoSpacing"/>
        <w:jc w:val="both"/>
      </w:pPr>
      <w:proofErr w:type="gramStart"/>
      <w:r w:rsidRPr="00F25254">
        <w:rPr>
          <w:bCs/>
          <w:u w:val="single"/>
        </w:rPr>
        <w:t>Question 1</w:t>
      </w:r>
      <w:r w:rsidRPr="00F25254">
        <w:rPr>
          <w:bCs/>
        </w:rPr>
        <w:t>.</w:t>
      </w:r>
      <w:proofErr w:type="gramEnd"/>
      <w:r w:rsidRPr="00F25254">
        <w:rPr>
          <w:bCs/>
        </w:rPr>
        <w:t xml:space="preserve"> The GBHI </w:t>
      </w:r>
      <w:r w:rsidR="00613B42">
        <w:rPr>
          <w:bCs/>
        </w:rPr>
        <w:t xml:space="preserve">cross-site </w:t>
      </w:r>
      <w:r w:rsidRPr="00F25254">
        <w:rPr>
          <w:bCs/>
        </w:rPr>
        <w:t xml:space="preserve">evaluation supplemental data will be combined with data from the </w:t>
      </w:r>
      <w:r w:rsidR="00613B42">
        <w:rPr>
          <w:bCs/>
        </w:rPr>
        <w:t xml:space="preserve">CSAT </w:t>
      </w:r>
      <w:r w:rsidRPr="00F25254">
        <w:rPr>
          <w:bCs/>
        </w:rPr>
        <w:t xml:space="preserve">GPRA </w:t>
      </w:r>
      <w:r w:rsidR="00613B42">
        <w:rPr>
          <w:bCs/>
        </w:rPr>
        <w:t>Client Outcome Measures</w:t>
      </w:r>
      <w:r w:rsidRPr="00F25254">
        <w:rPr>
          <w:bCs/>
        </w:rPr>
        <w:t>, information gathered from the Grantees describing their program components, and data from secondary sources such as SAIS GPRA and T</w:t>
      </w:r>
      <w:r>
        <w:rPr>
          <w:bCs/>
        </w:rPr>
        <w:t xml:space="preserve">echnical </w:t>
      </w:r>
      <w:r w:rsidRPr="00F25254">
        <w:rPr>
          <w:bCs/>
        </w:rPr>
        <w:t>A</w:t>
      </w:r>
      <w:r>
        <w:rPr>
          <w:bCs/>
        </w:rPr>
        <w:t>ssistance</w:t>
      </w:r>
      <w:r w:rsidRPr="00F25254">
        <w:rPr>
          <w:bCs/>
        </w:rPr>
        <w:t xml:space="preserve"> data, the National Survey of Substance Abuse Treatment Services (N-SSATS) and the Treatment Episode Data Set (TEDS) to develop a comprehensive portrait of the GBHI client populations, the needs of these populations, the services provided to address those needs, and the outcomes across a multitude of domain areas for those participating in GBHI programs. The</w:t>
      </w:r>
      <w:r>
        <w:rPr>
          <w:bCs/>
        </w:rPr>
        <w:t>se</w:t>
      </w:r>
      <w:r w:rsidRPr="00F25254">
        <w:rPr>
          <w:bCs/>
        </w:rPr>
        <w:t xml:space="preserve"> supplemental data will provide mediating and moderating variables, as well as information on </w:t>
      </w:r>
      <w:r>
        <w:rPr>
          <w:bCs/>
        </w:rPr>
        <w:t>client characteristics</w:t>
      </w:r>
      <w:r w:rsidRPr="00F25254">
        <w:rPr>
          <w:bCs/>
        </w:rPr>
        <w:t xml:space="preserve"> not covered by the </w:t>
      </w:r>
      <w:r w:rsidR="00613B42">
        <w:rPr>
          <w:bCs/>
        </w:rPr>
        <w:t xml:space="preserve">CSAT </w:t>
      </w:r>
      <w:r w:rsidRPr="00F25254">
        <w:rPr>
          <w:bCs/>
        </w:rPr>
        <w:t>GPRA</w:t>
      </w:r>
      <w:r w:rsidR="00613B42">
        <w:rPr>
          <w:bCs/>
        </w:rPr>
        <w:t xml:space="preserve"> survey</w:t>
      </w:r>
      <w:r w:rsidRPr="00F25254">
        <w:rPr>
          <w:bCs/>
        </w:rPr>
        <w:t xml:space="preserve">. </w:t>
      </w:r>
      <w:r w:rsidRPr="00F25254">
        <w:t xml:space="preserve">The areas addressed by the supplemental data collection include service need, burden, satisfaction/perception of care, </w:t>
      </w:r>
      <w:r>
        <w:t xml:space="preserve">the form of care or individually tailored care, model adaption, </w:t>
      </w:r>
      <w:r w:rsidRPr="00F25254">
        <w:lastRenderedPageBreak/>
        <w:t>homelessness, housing (placement/safety/perceived choice/perceived value), readiness for change, and co-occurring mental disorders. Three additional domains (services, trauma and veteran’s service era and combat information) were added in response to the recommendations of the expert panel</w:t>
      </w:r>
      <w:r w:rsidR="00FC6218">
        <w:t xml:space="preserve"> and SAMHSA and confirmed with the GBHI Grantees</w:t>
      </w:r>
      <w:r w:rsidRPr="00F25254">
        <w:t xml:space="preserve">. The additional services data will improve our ability to </w:t>
      </w:r>
      <w:r w:rsidR="00A203F1">
        <w:t xml:space="preserve">describe </w:t>
      </w:r>
      <w:r w:rsidR="00A203F1" w:rsidRPr="00F25254">
        <w:t>the</w:t>
      </w:r>
      <w:r>
        <w:t xml:space="preserve"> relationships between </w:t>
      </w:r>
      <w:r w:rsidRPr="00F25254">
        <w:t xml:space="preserve">treatment </w:t>
      </w:r>
      <w:r>
        <w:t>plans and</w:t>
      </w:r>
      <w:r w:rsidRPr="00F25254">
        <w:t xml:space="preserve"> abstinence and housing stability</w:t>
      </w:r>
      <w:r>
        <w:t xml:space="preserve"> including measuring the extent to which models of matching services to needs are being used and the appropriate dosage of services as described in the literature for these models</w:t>
      </w:r>
      <w:r w:rsidRPr="00F25254">
        <w:t xml:space="preserve">. As </w:t>
      </w:r>
      <w:r w:rsidR="00FC6218">
        <w:t xml:space="preserve">CSAT </w:t>
      </w:r>
      <w:r w:rsidRPr="00F25254">
        <w:t>GPRA data include</w:t>
      </w:r>
      <w:r w:rsidR="00FC6218">
        <w:t>s</w:t>
      </w:r>
      <w:r w:rsidRPr="00F25254">
        <w:t xml:space="preserve"> administrative data on services received only at discharge, it impossible to assess whether and how service receipt changes over time</w:t>
      </w:r>
      <w:r>
        <w:t xml:space="preserve"> using only GPRA data alone</w:t>
      </w:r>
      <w:r w:rsidRPr="00F25254">
        <w:t xml:space="preserve">. </w:t>
      </w:r>
      <w:r w:rsidR="00FC6218">
        <w:t xml:space="preserve">The GPRA data does not collect this information from the client or address perceived need and service matching. </w:t>
      </w:r>
      <w:r w:rsidRPr="00F25254">
        <w:t xml:space="preserve">The supplemental data will address this limitation. Additionally, the panelists recommended measuring trauma symptoms given that trauma is prevalent in the homeless population (e.g., Browne &amp; </w:t>
      </w:r>
      <w:proofErr w:type="spellStart"/>
      <w:r w:rsidRPr="00F25254">
        <w:t>Bassuk</w:t>
      </w:r>
      <w:proofErr w:type="spellEnd"/>
      <w:r w:rsidRPr="00F25254">
        <w:t xml:space="preserve">, 1997; Goodman, 1991; </w:t>
      </w:r>
      <w:proofErr w:type="spellStart"/>
      <w:r w:rsidRPr="00F25254">
        <w:t>Bassuk</w:t>
      </w:r>
      <w:proofErr w:type="spellEnd"/>
      <w:r w:rsidRPr="00F25254">
        <w:t xml:space="preserve"> et al., 1996</w:t>
      </w:r>
      <w:r w:rsidRPr="00F25254">
        <w:rPr>
          <w:i/>
          <w:iCs/>
        </w:rPr>
        <w:t xml:space="preserve">; </w:t>
      </w:r>
      <w:r w:rsidRPr="00F25254">
        <w:t>Burt et al., 1999; HUD, 2009; Shelton et al., 2009) and without intervention consistently predicts negative substance abuse, employment, housing and criminal justice outcomes. Finally, given the high prevalence of homelessness among returning veterans and differentially by service era (Kline et al., 2009</w:t>
      </w:r>
      <w:r w:rsidRPr="00F25254">
        <w:fldChar w:fldCharType="begin"/>
      </w:r>
      <w:r w:rsidRPr="00F25254">
        <w:instrText xml:space="preserve"> XE "Kline et al., 2009" </w:instrText>
      </w:r>
      <w:r w:rsidRPr="00F25254">
        <w:fldChar w:fldCharType="end"/>
      </w:r>
      <w:r w:rsidRPr="00F25254">
        <w:t xml:space="preserve">), </w:t>
      </w:r>
      <w:r w:rsidR="00FC6218">
        <w:t xml:space="preserve">along with there being several Grantee programs focused solely on </w:t>
      </w:r>
      <w:proofErr w:type="gramStart"/>
      <w:r w:rsidR="00FC6218">
        <w:t>veterans,</w:t>
      </w:r>
      <w:proofErr w:type="gramEnd"/>
      <w:r w:rsidR="00FC6218">
        <w:t xml:space="preserve"> </w:t>
      </w:r>
      <w:r w:rsidRPr="00F25254">
        <w:t>baseline collection of veteran service era was recommended.</w:t>
      </w:r>
    </w:p>
    <w:p w:rsidR="008906C2" w:rsidRPr="00F25254" w:rsidRDefault="008906C2" w:rsidP="008906C2">
      <w:pPr>
        <w:pStyle w:val="NoSpacing"/>
        <w:jc w:val="both"/>
        <w:rPr>
          <w:b/>
        </w:rPr>
      </w:pPr>
    </w:p>
    <w:p w:rsidR="008906C2" w:rsidRPr="00F25254" w:rsidRDefault="008906C2" w:rsidP="008906C2">
      <w:pPr>
        <w:pStyle w:val="BodyText1"/>
        <w:ind w:firstLine="0"/>
        <w:jc w:val="both"/>
        <w:rPr>
          <w:rFonts w:ascii="Calibri" w:eastAsia="Calibri" w:hAnsi="Calibri"/>
          <w:szCs w:val="22"/>
        </w:rPr>
      </w:pPr>
      <w:r w:rsidRPr="00F25254">
        <w:rPr>
          <w:rFonts w:ascii="Calibri" w:eastAsia="Calibri" w:hAnsi="Calibri"/>
          <w:szCs w:val="22"/>
        </w:rPr>
        <w:t xml:space="preserve">We conducted a literature review that helped advance our thinking about likely influences on client-, grantee-, and system-level </w:t>
      </w:r>
      <w:r>
        <w:rPr>
          <w:rFonts w:ascii="Calibri" w:eastAsia="Calibri" w:hAnsi="Calibri"/>
          <w:szCs w:val="22"/>
        </w:rPr>
        <w:t>outcomes</w:t>
      </w:r>
      <w:r w:rsidR="00FC6218">
        <w:rPr>
          <w:rFonts w:ascii="Calibri" w:eastAsia="Calibri" w:hAnsi="Calibri"/>
          <w:szCs w:val="22"/>
        </w:rPr>
        <w:t xml:space="preserve"> (Broner et al., 2010)</w:t>
      </w:r>
      <w:r w:rsidRPr="00F25254">
        <w:rPr>
          <w:rFonts w:ascii="Calibri" w:eastAsia="Calibri" w:hAnsi="Calibri"/>
          <w:szCs w:val="22"/>
        </w:rPr>
        <w:t xml:space="preserve">. As we developed our data collection and analysis plans, we used information from the review to strengthen the evaluation’s ability to provide insightful findings on what works for whom, under what approaches, and in what systems and contexts.  At the client level, demographic characteristics (sex, age, race or ethnicity), parental status, educational attainment, veteran status (for recent cohorts), disability, social supports, and involvement with the criminal justice system can be important with respect to understanding the </w:t>
      </w:r>
      <w:r>
        <w:rPr>
          <w:rFonts w:ascii="Calibri" w:eastAsia="Calibri" w:hAnsi="Calibri"/>
          <w:szCs w:val="22"/>
        </w:rPr>
        <w:t>appropriateness and expected effectiveness of</w:t>
      </w:r>
      <w:r w:rsidRPr="00F25254">
        <w:rPr>
          <w:rFonts w:ascii="Calibri" w:eastAsia="Calibri" w:hAnsi="Calibri"/>
          <w:szCs w:val="22"/>
        </w:rPr>
        <w:t xml:space="preserve"> specific approaches. Client differences in substance abuse, mental illness, and co-morbidity are of central importance to GBHI. Our data collection and analyses will allow us to describe how client populations differ on these factors across study sites and test whether these factors are associated with differential program </w:t>
      </w:r>
      <w:r>
        <w:rPr>
          <w:rFonts w:ascii="Calibri" w:eastAsia="Calibri" w:hAnsi="Calibri"/>
          <w:szCs w:val="22"/>
        </w:rPr>
        <w:t>choices, components and successful provision of services, including housing the clients</w:t>
      </w:r>
      <w:r w:rsidRPr="00F25254">
        <w:rPr>
          <w:rFonts w:ascii="Calibri" w:eastAsia="Calibri" w:hAnsi="Calibri"/>
          <w:szCs w:val="22"/>
        </w:rPr>
        <w:t xml:space="preserve">. For example, by collecting gender at the client level, we will assess whether </w:t>
      </w:r>
      <w:r>
        <w:rPr>
          <w:rFonts w:ascii="Calibri" w:eastAsia="Calibri" w:hAnsi="Calibri"/>
          <w:szCs w:val="22"/>
        </w:rPr>
        <w:t xml:space="preserve">programs are better able to provide appropriate </w:t>
      </w:r>
      <w:r w:rsidR="00A203F1">
        <w:rPr>
          <w:rFonts w:ascii="Calibri" w:eastAsia="Calibri" w:hAnsi="Calibri"/>
          <w:szCs w:val="22"/>
        </w:rPr>
        <w:t xml:space="preserve">services </w:t>
      </w:r>
      <w:r w:rsidR="00FC6218">
        <w:rPr>
          <w:rFonts w:ascii="Calibri" w:eastAsia="Calibri" w:hAnsi="Calibri"/>
          <w:szCs w:val="22"/>
        </w:rPr>
        <w:t xml:space="preserve">for </w:t>
      </w:r>
      <w:r w:rsidR="00A203F1" w:rsidRPr="00F25254">
        <w:rPr>
          <w:rFonts w:ascii="Calibri" w:eastAsia="Calibri" w:hAnsi="Calibri"/>
          <w:szCs w:val="22"/>
        </w:rPr>
        <w:t>female</w:t>
      </w:r>
      <w:r w:rsidRPr="00F25254">
        <w:rPr>
          <w:rFonts w:ascii="Calibri" w:eastAsia="Calibri" w:hAnsi="Calibri"/>
          <w:szCs w:val="22"/>
        </w:rPr>
        <w:t xml:space="preserve"> clients than for male clients. Clients will also differ in their levels of participation, program completion, and treatment compliance. Information from the supplemental data collection will enhance the </w:t>
      </w:r>
      <w:r w:rsidR="00FC6218">
        <w:rPr>
          <w:rFonts w:ascii="Calibri" w:eastAsia="Calibri" w:hAnsi="Calibri"/>
          <w:szCs w:val="22"/>
        </w:rPr>
        <w:t xml:space="preserve">CSAT </w:t>
      </w:r>
      <w:r w:rsidRPr="00F25254">
        <w:rPr>
          <w:rFonts w:ascii="Calibri" w:eastAsia="Calibri" w:hAnsi="Calibri"/>
          <w:szCs w:val="22"/>
        </w:rPr>
        <w:t xml:space="preserve">GPRA information from the SAIS discharge data to allow us to </w:t>
      </w:r>
      <w:r>
        <w:rPr>
          <w:rFonts w:ascii="Calibri" w:eastAsia="Calibri" w:hAnsi="Calibri"/>
          <w:szCs w:val="22"/>
        </w:rPr>
        <w:t xml:space="preserve">estimate what client characteristics are significantly associated with </w:t>
      </w:r>
      <w:r w:rsidRPr="00F25254">
        <w:rPr>
          <w:rFonts w:ascii="Calibri" w:eastAsia="Calibri" w:hAnsi="Calibri"/>
          <w:szCs w:val="22"/>
        </w:rPr>
        <w:t xml:space="preserve">participation at 6 month follow-up and to test whether participation mediates </w:t>
      </w:r>
      <w:r>
        <w:rPr>
          <w:rFonts w:ascii="Calibri" w:eastAsia="Calibri" w:hAnsi="Calibri"/>
          <w:szCs w:val="22"/>
        </w:rPr>
        <w:t xml:space="preserve">the </w:t>
      </w:r>
      <w:r w:rsidRPr="00F25254">
        <w:rPr>
          <w:rFonts w:ascii="Calibri" w:eastAsia="Calibri" w:hAnsi="Calibri"/>
          <w:szCs w:val="22"/>
        </w:rPr>
        <w:t>program</w:t>
      </w:r>
      <w:r>
        <w:rPr>
          <w:rFonts w:ascii="Calibri" w:eastAsia="Calibri" w:hAnsi="Calibri"/>
          <w:szCs w:val="22"/>
        </w:rPr>
        <w:t>s’</w:t>
      </w:r>
      <w:r w:rsidRPr="00F25254">
        <w:rPr>
          <w:rFonts w:ascii="Calibri" w:eastAsia="Calibri" w:hAnsi="Calibri"/>
          <w:szCs w:val="22"/>
        </w:rPr>
        <w:t xml:space="preserve"> </w:t>
      </w:r>
      <w:r>
        <w:rPr>
          <w:rFonts w:ascii="Calibri" w:eastAsia="Calibri" w:hAnsi="Calibri"/>
          <w:szCs w:val="22"/>
        </w:rPr>
        <w:t>ability to carry out full services objectives</w:t>
      </w:r>
      <w:r w:rsidRPr="00F25254">
        <w:rPr>
          <w:rFonts w:ascii="Calibri" w:eastAsia="Calibri" w:hAnsi="Calibri"/>
          <w:szCs w:val="22"/>
        </w:rPr>
        <w:t xml:space="preserve">. </w:t>
      </w:r>
    </w:p>
    <w:p w:rsidR="00A203F1" w:rsidRDefault="008906C2" w:rsidP="00FC6218">
      <w:pPr>
        <w:pStyle w:val="BodyText1"/>
        <w:ind w:firstLine="0"/>
        <w:jc w:val="both"/>
        <w:rPr>
          <w:rFonts w:ascii="Calibri" w:eastAsia="Calibri" w:hAnsi="Calibri"/>
          <w:szCs w:val="22"/>
        </w:rPr>
      </w:pPr>
      <w:r w:rsidRPr="00F25254">
        <w:rPr>
          <w:rFonts w:ascii="Calibri" w:eastAsia="Calibri" w:hAnsi="Calibri"/>
          <w:szCs w:val="22"/>
        </w:rPr>
        <w:t xml:space="preserve">The outcome evaluation component focuses on addressing the “utility” element of the evaluation’s Objective 1, which </w:t>
      </w:r>
      <w:r w:rsidR="00FC6218">
        <w:rPr>
          <w:rFonts w:ascii="Calibri" w:eastAsia="Calibri" w:hAnsi="Calibri"/>
          <w:szCs w:val="22"/>
        </w:rPr>
        <w:t>per SAMHSA’s RFA was is</w:t>
      </w:r>
      <w:r w:rsidRPr="00F25254">
        <w:rPr>
          <w:rFonts w:ascii="Calibri" w:eastAsia="Calibri" w:hAnsi="Calibri"/>
          <w:szCs w:val="22"/>
        </w:rPr>
        <w:t xml:space="preserve"> to “examine the feasibility, utility, and sustainability of future Treatment of Homeless cohorts through the review of planned and actual outcomes.” The outcome evaluation will focus on the </w:t>
      </w:r>
      <w:r>
        <w:rPr>
          <w:rFonts w:ascii="Calibri" w:eastAsia="Calibri" w:hAnsi="Calibri"/>
          <w:szCs w:val="22"/>
        </w:rPr>
        <w:t xml:space="preserve">changes in </w:t>
      </w:r>
      <w:r w:rsidRPr="00F25254">
        <w:rPr>
          <w:rFonts w:ascii="Calibri" w:eastAsia="Calibri" w:hAnsi="Calibri"/>
          <w:szCs w:val="22"/>
        </w:rPr>
        <w:t>client outcomes</w:t>
      </w:r>
      <w:r>
        <w:rPr>
          <w:rFonts w:ascii="Calibri" w:eastAsia="Calibri" w:hAnsi="Calibri"/>
          <w:szCs w:val="22"/>
        </w:rPr>
        <w:t xml:space="preserve"> that are associated with differences in grantee models.  </w:t>
      </w:r>
      <w:r w:rsidRPr="00F25254">
        <w:rPr>
          <w:rFonts w:ascii="Calibri" w:eastAsia="Calibri" w:hAnsi="Calibri"/>
          <w:szCs w:val="22"/>
        </w:rPr>
        <w:t xml:space="preserve"> The findings will be framed in a pre-post quasi-experimental design that will allow us to examine the relationship of </w:t>
      </w:r>
      <w:r>
        <w:rPr>
          <w:rFonts w:ascii="Calibri" w:eastAsia="Calibri" w:hAnsi="Calibri"/>
          <w:szCs w:val="22"/>
        </w:rPr>
        <w:t xml:space="preserve">both intent-to-treat and </w:t>
      </w:r>
      <w:r w:rsidRPr="00F25254">
        <w:rPr>
          <w:rFonts w:ascii="Calibri" w:eastAsia="Calibri" w:hAnsi="Calibri"/>
          <w:szCs w:val="22"/>
        </w:rPr>
        <w:t xml:space="preserve">service receipt </w:t>
      </w:r>
      <w:r>
        <w:rPr>
          <w:rFonts w:ascii="Calibri" w:eastAsia="Calibri" w:hAnsi="Calibri"/>
          <w:szCs w:val="22"/>
        </w:rPr>
        <w:t xml:space="preserve">from </w:t>
      </w:r>
      <w:r w:rsidRPr="00F25254">
        <w:rPr>
          <w:rFonts w:ascii="Calibri" w:eastAsia="Calibri" w:hAnsi="Calibri"/>
          <w:szCs w:val="22"/>
        </w:rPr>
        <w:t xml:space="preserve">to outcomes. HLM will be used to estimate the mean change in client-level outcomes between baseline and follow-up. HLM is </w:t>
      </w:r>
      <w:r w:rsidRPr="00F25254">
        <w:rPr>
          <w:rFonts w:ascii="Calibri" w:eastAsia="Calibri" w:hAnsi="Calibri"/>
          <w:szCs w:val="22"/>
        </w:rPr>
        <w:lastRenderedPageBreak/>
        <w:t>appropriate for these analyses because this modeling approach allows us to control for the clustering of clients within grantee. Within the HLM framework, we will adjust for client characteristics</w:t>
      </w:r>
      <w:r>
        <w:rPr>
          <w:rFonts w:ascii="Calibri" w:eastAsia="Calibri" w:hAnsi="Calibri"/>
          <w:szCs w:val="22"/>
        </w:rPr>
        <w:t xml:space="preserve"> and other contextual factors</w:t>
      </w:r>
      <w:r w:rsidRPr="00F25254">
        <w:rPr>
          <w:rFonts w:ascii="Calibri" w:eastAsia="Calibri" w:hAnsi="Calibri"/>
          <w:szCs w:val="22"/>
        </w:rPr>
        <w:t>. These adjusted mean changes will provide easy-to-understand</w:t>
      </w:r>
      <w:r>
        <w:rPr>
          <w:rFonts w:ascii="Calibri" w:eastAsia="Calibri" w:hAnsi="Calibri"/>
          <w:szCs w:val="22"/>
        </w:rPr>
        <w:t xml:space="preserve"> estimate</w:t>
      </w:r>
      <w:r w:rsidR="00C34C06">
        <w:rPr>
          <w:rFonts w:ascii="Calibri" w:eastAsia="Calibri" w:hAnsi="Calibri"/>
          <w:szCs w:val="22"/>
        </w:rPr>
        <w:t>s</w:t>
      </w:r>
      <w:r>
        <w:rPr>
          <w:rFonts w:ascii="Calibri" w:eastAsia="Calibri" w:hAnsi="Calibri"/>
          <w:szCs w:val="22"/>
        </w:rPr>
        <w:t xml:space="preserve"> of possible</w:t>
      </w:r>
      <w:r w:rsidRPr="00F25254">
        <w:rPr>
          <w:rFonts w:ascii="Calibri" w:eastAsia="Calibri" w:hAnsi="Calibri"/>
          <w:szCs w:val="22"/>
        </w:rPr>
        <w:t xml:space="preserve"> program impact. </w:t>
      </w:r>
      <w:r>
        <w:rPr>
          <w:rFonts w:ascii="Calibri" w:eastAsia="Calibri" w:hAnsi="Calibri"/>
          <w:szCs w:val="22"/>
        </w:rPr>
        <w:t xml:space="preserve">Although these estimates are not intended to be causally interpreted, we do intend to compare them to estimates for similar models and populations in the scientific literature to confirm that they are within ranges that we would expect, conditional on the level of adherence to the models that we observe for each grantee.  These estimates form a baseline for exploring how program decisions and characteristics alter service delivery and outcomes. In this way, variation among the 25 </w:t>
      </w:r>
      <w:r w:rsidR="00681837">
        <w:rPr>
          <w:rFonts w:ascii="Calibri" w:eastAsia="Calibri" w:hAnsi="Calibri"/>
          <w:szCs w:val="22"/>
        </w:rPr>
        <w:t>Grantees</w:t>
      </w:r>
      <w:r>
        <w:rPr>
          <w:rFonts w:ascii="Calibri" w:eastAsia="Calibri" w:hAnsi="Calibri"/>
          <w:szCs w:val="22"/>
        </w:rPr>
        <w:t xml:space="preserve"> will serve as experimental variation for analyzing ‘key ingredients’ of models for achieving different outcomes, such as linking clients to certain types of housing.  </w:t>
      </w:r>
      <w:r w:rsidRPr="00F25254">
        <w:rPr>
          <w:rFonts w:ascii="Calibri" w:eastAsia="Calibri" w:hAnsi="Calibri"/>
          <w:szCs w:val="22"/>
        </w:rPr>
        <w:t>As appropriate, subgroup analyses will be conducted in which the data will be stratified by program type or client type to assess whether outcomes differ among the different types of programs or for different types of client (e.g., veterans or women).</w:t>
      </w:r>
    </w:p>
    <w:p w:rsidR="0063520E" w:rsidRPr="00F25254" w:rsidRDefault="004A0424" w:rsidP="00FA363A">
      <w:pPr>
        <w:pStyle w:val="BodyText1"/>
        <w:ind w:firstLine="0"/>
        <w:jc w:val="both"/>
        <w:rPr>
          <w:rFonts w:ascii="Calibri" w:eastAsia="Calibri" w:hAnsi="Calibri"/>
          <w:szCs w:val="22"/>
        </w:rPr>
      </w:pPr>
      <w:r w:rsidRPr="00F25254">
        <w:rPr>
          <w:rFonts w:ascii="Calibri" w:eastAsia="Calibri" w:hAnsi="Calibri"/>
          <w:szCs w:val="22"/>
        </w:rPr>
        <w:t>Example table shells are provided below.</w:t>
      </w:r>
    </w:p>
    <w:p w:rsidR="00FF0CED" w:rsidRPr="00F25254" w:rsidRDefault="00A203F1" w:rsidP="00FF0CED">
      <w:pPr>
        <w:pStyle w:val="BodyText1"/>
        <w:ind w:firstLine="0"/>
        <w:jc w:val="both"/>
        <w:rPr>
          <w:rFonts w:ascii="Calibri" w:eastAsia="Calibri" w:hAnsi="Calibri"/>
          <w:szCs w:val="22"/>
        </w:rPr>
      </w:pPr>
      <w:r>
        <w:rPr>
          <w:rFonts w:ascii="Calibri" w:eastAsia="Calibri" w:hAnsi="Calibri"/>
          <w:szCs w:val="22"/>
        </w:rPr>
        <w:t xml:space="preserve">The first table shell describes patient transportation needs and receipts by several different grantee strata and for a given set of services.  Specifically, we calculate proportions of patients answering affirmatively to questions SV11a and SV11b on the client survey for each relevant cell.  Cells are constructed by the kind of service the client might need to receive, whether a grantee or grantee collaborator are providing the service, the geographic scenario for the client with respect to the service, and the type of transportation offered as part of the program.  </w:t>
      </w:r>
    </w:p>
    <w:p w:rsidR="00A203F1" w:rsidRPr="00F25254" w:rsidRDefault="00A203F1" w:rsidP="00C34C06">
      <w:pPr>
        <w:pStyle w:val="BodyText1"/>
        <w:ind w:firstLine="0"/>
        <w:jc w:val="both"/>
        <w:rPr>
          <w:rFonts w:ascii="Calibri" w:eastAsia="Calibri" w:hAnsi="Calibri"/>
          <w:szCs w:val="22"/>
        </w:rPr>
      </w:pPr>
    </w:p>
    <w:p w:rsidR="00982F4F" w:rsidRDefault="00982F4F" w:rsidP="00A203F1">
      <w:pPr>
        <w:pStyle w:val="NoSpacing"/>
        <w:jc w:val="both"/>
        <w:rPr>
          <w:bCs/>
          <w:u w:val="single"/>
        </w:rPr>
      </w:pPr>
    </w:p>
    <w:p w:rsidR="00982F4F" w:rsidRDefault="00982F4F" w:rsidP="00A203F1">
      <w:pPr>
        <w:pStyle w:val="NoSpacing"/>
        <w:jc w:val="both"/>
        <w:rPr>
          <w:bCs/>
          <w:u w:val="single"/>
        </w:rPr>
      </w:pPr>
    </w:p>
    <w:p w:rsidR="00982F4F" w:rsidRDefault="00982F4F" w:rsidP="00A203F1">
      <w:pPr>
        <w:pStyle w:val="NoSpacing"/>
        <w:jc w:val="both"/>
        <w:rPr>
          <w:bCs/>
          <w:u w:val="single"/>
        </w:rPr>
      </w:pPr>
    </w:p>
    <w:p w:rsidR="00982F4F" w:rsidRDefault="00982F4F" w:rsidP="00A203F1">
      <w:pPr>
        <w:pStyle w:val="NoSpacing"/>
        <w:jc w:val="both"/>
        <w:rPr>
          <w:bCs/>
          <w:u w:val="single"/>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956"/>
        <w:gridCol w:w="949"/>
        <w:gridCol w:w="705"/>
        <w:gridCol w:w="597"/>
        <w:gridCol w:w="698"/>
        <w:gridCol w:w="711"/>
        <w:gridCol w:w="811"/>
        <w:gridCol w:w="144"/>
        <w:gridCol w:w="666"/>
        <w:gridCol w:w="683"/>
        <w:gridCol w:w="698"/>
        <w:gridCol w:w="711"/>
        <w:gridCol w:w="811"/>
      </w:tblGrid>
      <w:tr w:rsidR="00FF0CED" w:rsidRPr="00FF0CED" w:rsidTr="00FF0CED">
        <w:tc>
          <w:tcPr>
            <w:tcW w:w="9030" w:type="dxa"/>
            <w:gridSpan w:val="13"/>
            <w:tcBorders>
              <w:top w:val="nil"/>
              <w:left w:val="nil"/>
              <w:right w:val="nil"/>
            </w:tcBorders>
            <w:vAlign w:val="bottom"/>
          </w:tcPr>
          <w:p w:rsidR="00FF0CED" w:rsidRPr="00FF0CED" w:rsidRDefault="00FF0CED" w:rsidP="00802453">
            <w:pPr>
              <w:keepNext/>
              <w:jc w:val="center"/>
              <w:rPr>
                <w:sz w:val="14"/>
                <w:szCs w:val="14"/>
              </w:rPr>
            </w:pPr>
            <w:r w:rsidRPr="00FF0CED">
              <w:rPr>
                <w:sz w:val="14"/>
                <w:szCs w:val="14"/>
              </w:rPr>
              <w:lastRenderedPageBreak/>
              <w:t xml:space="preserve">Table </w:t>
            </w:r>
            <w:r>
              <w:rPr>
                <w:sz w:val="14"/>
                <w:szCs w:val="14"/>
              </w:rPr>
              <w:t>1</w:t>
            </w:r>
            <w:r w:rsidRPr="00FF0CED">
              <w:rPr>
                <w:sz w:val="14"/>
                <w:szCs w:val="14"/>
              </w:rPr>
              <w:t xml:space="preserve">. </w:t>
            </w:r>
            <w:r w:rsidRPr="00FF0CED">
              <w:rPr>
                <w:i/>
                <w:iCs/>
                <w:sz w:val="14"/>
                <w:szCs w:val="14"/>
              </w:rPr>
              <w:t xml:space="preserve">(Sample Table) </w:t>
            </w:r>
            <w:r w:rsidRPr="00FF0CED">
              <w:rPr>
                <w:sz w:val="14"/>
                <w:szCs w:val="14"/>
              </w:rPr>
              <w:t>Proportions (</w:t>
            </w:r>
            <w:proofErr w:type="spellStart"/>
            <w:r w:rsidRPr="00FF0CED">
              <w:rPr>
                <w:sz w:val="14"/>
                <w:szCs w:val="14"/>
              </w:rPr>
              <w:t>st.</w:t>
            </w:r>
            <w:proofErr w:type="spellEnd"/>
            <w:r w:rsidRPr="00FF0CED">
              <w:rPr>
                <w:sz w:val="14"/>
                <w:szCs w:val="14"/>
              </w:rPr>
              <w:t xml:space="preserve"> dev) of Clients Reporting Transportation Needs and Receipt (SV11a and SV11b): Stratified by Combinations of Transportation Options for Primary Services and Grantee Organizational Characteristics</w:t>
            </w:r>
          </w:p>
        </w:tc>
      </w:tr>
      <w:tr w:rsidR="00FF0CED" w:rsidRPr="00FF0CED" w:rsidTr="00FF0CED">
        <w:trPr>
          <w:trHeight w:val="288"/>
        </w:trPr>
        <w:tc>
          <w:tcPr>
            <w:tcW w:w="956" w:type="dxa"/>
            <w:tcBorders>
              <w:bottom w:val="nil"/>
              <w:right w:val="nil"/>
            </w:tcBorders>
          </w:tcPr>
          <w:p w:rsidR="00FF0CED" w:rsidRPr="00FF0CED" w:rsidRDefault="00FF0CED" w:rsidP="00802453">
            <w:pPr>
              <w:keepNext/>
              <w:spacing w:after="0"/>
              <w:rPr>
                <w:sz w:val="14"/>
                <w:szCs w:val="14"/>
              </w:rPr>
            </w:pPr>
          </w:p>
        </w:tc>
        <w:tc>
          <w:tcPr>
            <w:tcW w:w="949" w:type="dxa"/>
            <w:tcBorders>
              <w:left w:val="nil"/>
              <w:bottom w:val="nil"/>
            </w:tcBorders>
          </w:tcPr>
          <w:p w:rsidR="00FF0CED" w:rsidRPr="00FF0CED" w:rsidRDefault="00FF0CED" w:rsidP="00802453">
            <w:pPr>
              <w:keepNext/>
              <w:spacing w:after="0"/>
              <w:rPr>
                <w:sz w:val="14"/>
                <w:szCs w:val="14"/>
              </w:rPr>
            </w:pPr>
          </w:p>
        </w:tc>
        <w:tc>
          <w:tcPr>
            <w:tcW w:w="7125" w:type="dxa"/>
            <w:gridSpan w:val="11"/>
            <w:tcBorders>
              <w:bottom w:val="single" w:sz="4" w:space="0" w:color="auto"/>
            </w:tcBorders>
            <w:vAlign w:val="bottom"/>
          </w:tcPr>
          <w:p w:rsidR="00FF0CED" w:rsidRPr="00FF0CED" w:rsidRDefault="00FF0CED" w:rsidP="00802453">
            <w:pPr>
              <w:keepNext/>
              <w:jc w:val="center"/>
              <w:rPr>
                <w:sz w:val="14"/>
                <w:szCs w:val="14"/>
              </w:rPr>
            </w:pPr>
            <w:r w:rsidRPr="00FF0CED">
              <w:rPr>
                <w:sz w:val="14"/>
                <w:szCs w:val="14"/>
              </w:rPr>
              <w:t>In-person Services</w:t>
            </w:r>
          </w:p>
        </w:tc>
      </w:tr>
      <w:tr w:rsidR="00FF0CED" w:rsidRPr="00FF0CED" w:rsidTr="00FF0CED">
        <w:tc>
          <w:tcPr>
            <w:tcW w:w="956" w:type="dxa"/>
            <w:tcBorders>
              <w:top w:val="nil"/>
              <w:bottom w:val="single" w:sz="4" w:space="0" w:color="auto"/>
              <w:right w:val="nil"/>
            </w:tcBorders>
          </w:tcPr>
          <w:p w:rsidR="00FF0CED" w:rsidRPr="00FF0CED" w:rsidRDefault="00FF0CED" w:rsidP="00802453">
            <w:pPr>
              <w:keepNext/>
              <w:rPr>
                <w:sz w:val="14"/>
                <w:szCs w:val="14"/>
              </w:rPr>
            </w:pPr>
          </w:p>
        </w:tc>
        <w:tc>
          <w:tcPr>
            <w:tcW w:w="949" w:type="dxa"/>
            <w:tcBorders>
              <w:top w:val="nil"/>
              <w:left w:val="nil"/>
              <w:bottom w:val="single" w:sz="4" w:space="0" w:color="auto"/>
            </w:tcBorders>
          </w:tcPr>
          <w:p w:rsidR="00FF0CED" w:rsidRPr="00FF0CED" w:rsidRDefault="00FF0CED" w:rsidP="00802453">
            <w:pPr>
              <w:keepNext/>
              <w:rPr>
                <w:sz w:val="14"/>
                <w:szCs w:val="14"/>
              </w:rPr>
            </w:pPr>
          </w:p>
        </w:tc>
        <w:tc>
          <w:tcPr>
            <w:tcW w:w="3438" w:type="dxa"/>
            <w:gridSpan w:val="5"/>
            <w:tcBorders>
              <w:bottom w:val="single" w:sz="4" w:space="0" w:color="auto"/>
              <w:right w:val="nil"/>
            </w:tcBorders>
            <w:vAlign w:val="bottom"/>
          </w:tcPr>
          <w:p w:rsidR="00FF0CED" w:rsidRPr="00FF0CED" w:rsidRDefault="00FF0CED" w:rsidP="00802453">
            <w:pPr>
              <w:keepNext/>
              <w:jc w:val="center"/>
              <w:rPr>
                <w:sz w:val="14"/>
                <w:szCs w:val="14"/>
              </w:rPr>
            </w:pPr>
            <w:r w:rsidRPr="00FF0CED">
              <w:rPr>
                <w:sz w:val="14"/>
                <w:szCs w:val="14"/>
              </w:rPr>
              <w:t>Provided by Grantee Organization</w:t>
            </w:r>
          </w:p>
        </w:tc>
        <w:tc>
          <w:tcPr>
            <w:tcW w:w="144" w:type="dxa"/>
            <w:tcBorders>
              <w:left w:val="nil"/>
              <w:bottom w:val="nil"/>
              <w:right w:val="nil"/>
            </w:tcBorders>
          </w:tcPr>
          <w:p w:rsidR="00FF0CED" w:rsidRPr="00FF0CED" w:rsidRDefault="00FF0CED" w:rsidP="00802453">
            <w:pPr>
              <w:keepNext/>
              <w:rPr>
                <w:sz w:val="14"/>
                <w:szCs w:val="14"/>
              </w:rPr>
            </w:pPr>
          </w:p>
        </w:tc>
        <w:tc>
          <w:tcPr>
            <w:tcW w:w="3543" w:type="dxa"/>
            <w:gridSpan w:val="5"/>
            <w:tcBorders>
              <w:left w:val="nil"/>
              <w:bottom w:val="single" w:sz="4" w:space="0" w:color="auto"/>
            </w:tcBorders>
            <w:vAlign w:val="bottom"/>
          </w:tcPr>
          <w:p w:rsidR="00FF0CED" w:rsidRPr="00FF0CED" w:rsidRDefault="00FF0CED" w:rsidP="00802453">
            <w:pPr>
              <w:keepNext/>
              <w:jc w:val="center"/>
              <w:rPr>
                <w:sz w:val="14"/>
                <w:szCs w:val="14"/>
              </w:rPr>
            </w:pPr>
            <w:r w:rsidRPr="00FF0CED">
              <w:rPr>
                <w:sz w:val="14"/>
                <w:szCs w:val="14"/>
              </w:rPr>
              <w:t>Provided by non-Grantee Organization (e.g., local clinic, unemployment office, DMV)</w:t>
            </w:r>
          </w:p>
        </w:tc>
      </w:tr>
      <w:tr w:rsidR="00FF0CED" w:rsidRPr="00FF0CED" w:rsidTr="00FF0CED">
        <w:tc>
          <w:tcPr>
            <w:tcW w:w="956" w:type="dxa"/>
            <w:tcBorders>
              <w:bottom w:val="single" w:sz="4" w:space="0" w:color="auto"/>
              <w:right w:val="nil"/>
            </w:tcBorders>
            <w:vAlign w:val="bottom"/>
          </w:tcPr>
          <w:p w:rsidR="00FF0CED" w:rsidRPr="00FF0CED" w:rsidRDefault="00FF0CED" w:rsidP="00802453">
            <w:pPr>
              <w:keepNext/>
              <w:jc w:val="center"/>
              <w:rPr>
                <w:sz w:val="14"/>
                <w:szCs w:val="14"/>
              </w:rPr>
            </w:pPr>
            <w:r w:rsidRPr="00FF0CED">
              <w:rPr>
                <w:sz w:val="14"/>
                <w:szCs w:val="14"/>
              </w:rPr>
              <w:t>Primary Transportation for Logistics for Service Provision</w:t>
            </w:r>
          </w:p>
        </w:tc>
        <w:tc>
          <w:tcPr>
            <w:tcW w:w="949" w:type="dxa"/>
            <w:tcBorders>
              <w:left w:val="nil"/>
              <w:bottom w:val="single" w:sz="4" w:space="0" w:color="auto"/>
            </w:tcBorders>
            <w:vAlign w:val="bottom"/>
          </w:tcPr>
          <w:p w:rsidR="00FF0CED" w:rsidRPr="00FF0CED" w:rsidRDefault="00FF0CED" w:rsidP="00802453">
            <w:pPr>
              <w:keepNext/>
              <w:jc w:val="center"/>
              <w:rPr>
                <w:sz w:val="14"/>
                <w:szCs w:val="14"/>
              </w:rPr>
            </w:pPr>
            <w:r w:rsidRPr="00FF0CED">
              <w:rPr>
                <w:sz w:val="14"/>
                <w:szCs w:val="14"/>
              </w:rPr>
              <w:t>Typical Residence of Consumers at main stage of Continuum of Care</w:t>
            </w:r>
          </w:p>
        </w:tc>
        <w:tc>
          <w:tcPr>
            <w:tcW w:w="647" w:type="dxa"/>
            <w:tcBorders>
              <w:bottom w:val="single" w:sz="4" w:space="0" w:color="auto"/>
              <w:right w:val="nil"/>
            </w:tcBorders>
            <w:vAlign w:val="bottom"/>
          </w:tcPr>
          <w:p w:rsidR="00FF0CED" w:rsidRPr="00FF0CED" w:rsidRDefault="00FF0CED" w:rsidP="00802453">
            <w:pPr>
              <w:keepNext/>
              <w:jc w:val="center"/>
              <w:rPr>
                <w:sz w:val="14"/>
                <w:szCs w:val="14"/>
              </w:rPr>
            </w:pPr>
            <w:r w:rsidRPr="00FF0CED">
              <w:rPr>
                <w:sz w:val="14"/>
                <w:szCs w:val="14"/>
              </w:rPr>
              <w:t>SATX OP</w:t>
            </w:r>
          </w:p>
        </w:tc>
        <w:tc>
          <w:tcPr>
            <w:tcW w:w="597" w:type="dxa"/>
            <w:tcBorders>
              <w:left w:val="nil"/>
              <w:bottom w:val="single" w:sz="4" w:space="0" w:color="auto"/>
              <w:right w:val="nil"/>
            </w:tcBorders>
            <w:vAlign w:val="bottom"/>
          </w:tcPr>
          <w:p w:rsidR="00FF0CED" w:rsidRPr="00FF0CED" w:rsidRDefault="00FF0CED" w:rsidP="00802453">
            <w:pPr>
              <w:keepNext/>
              <w:jc w:val="center"/>
              <w:rPr>
                <w:sz w:val="14"/>
                <w:szCs w:val="14"/>
              </w:rPr>
            </w:pPr>
            <w:r w:rsidRPr="00FF0CED">
              <w:rPr>
                <w:sz w:val="14"/>
                <w:szCs w:val="14"/>
              </w:rPr>
              <w:t>MHTX OP</w:t>
            </w:r>
          </w:p>
        </w:tc>
        <w:tc>
          <w:tcPr>
            <w:tcW w:w="698" w:type="dxa"/>
            <w:tcBorders>
              <w:left w:val="nil"/>
              <w:bottom w:val="single" w:sz="4" w:space="0" w:color="auto"/>
              <w:right w:val="nil"/>
            </w:tcBorders>
            <w:vAlign w:val="bottom"/>
          </w:tcPr>
          <w:p w:rsidR="00FF0CED" w:rsidRPr="00FF0CED" w:rsidRDefault="00FF0CED" w:rsidP="00802453">
            <w:pPr>
              <w:keepNext/>
              <w:jc w:val="center"/>
              <w:rPr>
                <w:sz w:val="14"/>
                <w:szCs w:val="14"/>
              </w:rPr>
            </w:pPr>
            <w:r w:rsidRPr="00FF0CED">
              <w:rPr>
                <w:sz w:val="14"/>
                <w:szCs w:val="14"/>
              </w:rPr>
              <w:t>Clinical CM</w:t>
            </w:r>
          </w:p>
        </w:tc>
        <w:tc>
          <w:tcPr>
            <w:tcW w:w="711" w:type="dxa"/>
            <w:tcBorders>
              <w:left w:val="nil"/>
              <w:bottom w:val="single" w:sz="4" w:space="0" w:color="auto"/>
              <w:right w:val="nil"/>
            </w:tcBorders>
            <w:vAlign w:val="bottom"/>
          </w:tcPr>
          <w:p w:rsidR="00FF0CED" w:rsidRPr="00FF0CED" w:rsidRDefault="00FF0CED" w:rsidP="00802453">
            <w:pPr>
              <w:keepNext/>
              <w:jc w:val="center"/>
              <w:rPr>
                <w:sz w:val="14"/>
                <w:szCs w:val="14"/>
              </w:rPr>
            </w:pPr>
            <w:r w:rsidRPr="00FF0CED">
              <w:rPr>
                <w:sz w:val="14"/>
                <w:szCs w:val="14"/>
              </w:rPr>
              <w:t>Medical TX</w:t>
            </w:r>
          </w:p>
        </w:tc>
        <w:tc>
          <w:tcPr>
            <w:tcW w:w="785" w:type="dxa"/>
            <w:tcBorders>
              <w:left w:val="nil"/>
              <w:bottom w:val="single" w:sz="4" w:space="0" w:color="auto"/>
              <w:right w:val="nil"/>
            </w:tcBorders>
            <w:vAlign w:val="bottom"/>
          </w:tcPr>
          <w:p w:rsidR="00FF0CED" w:rsidRPr="00FF0CED" w:rsidRDefault="00FF0CED" w:rsidP="00802453">
            <w:pPr>
              <w:keepNext/>
              <w:jc w:val="center"/>
              <w:rPr>
                <w:sz w:val="14"/>
                <w:szCs w:val="14"/>
              </w:rPr>
            </w:pPr>
            <w:r w:rsidRPr="00FF0CED">
              <w:rPr>
                <w:sz w:val="14"/>
                <w:szCs w:val="14"/>
              </w:rPr>
              <w:t>Housing or other Wraparound CM</w:t>
            </w:r>
          </w:p>
        </w:tc>
        <w:tc>
          <w:tcPr>
            <w:tcW w:w="144" w:type="dxa"/>
            <w:tcBorders>
              <w:top w:val="nil"/>
              <w:left w:val="nil"/>
              <w:bottom w:val="nil"/>
              <w:right w:val="nil"/>
            </w:tcBorders>
          </w:tcPr>
          <w:p w:rsidR="00FF0CED" w:rsidRPr="00FF0CED" w:rsidRDefault="00FF0CED" w:rsidP="00802453">
            <w:pPr>
              <w:keepNext/>
              <w:jc w:val="center"/>
              <w:rPr>
                <w:sz w:val="14"/>
                <w:szCs w:val="14"/>
              </w:rPr>
            </w:pPr>
          </w:p>
        </w:tc>
        <w:tc>
          <w:tcPr>
            <w:tcW w:w="666" w:type="dxa"/>
            <w:tcBorders>
              <w:left w:val="nil"/>
              <w:bottom w:val="single" w:sz="4" w:space="0" w:color="auto"/>
              <w:right w:val="nil"/>
            </w:tcBorders>
            <w:vAlign w:val="bottom"/>
          </w:tcPr>
          <w:p w:rsidR="00FF0CED" w:rsidRPr="00FF0CED" w:rsidRDefault="00FF0CED" w:rsidP="00802453">
            <w:pPr>
              <w:keepNext/>
              <w:jc w:val="center"/>
              <w:rPr>
                <w:sz w:val="14"/>
                <w:szCs w:val="14"/>
              </w:rPr>
            </w:pPr>
            <w:r w:rsidRPr="00FF0CED">
              <w:rPr>
                <w:sz w:val="14"/>
                <w:szCs w:val="14"/>
              </w:rPr>
              <w:t>SATX OP</w:t>
            </w:r>
          </w:p>
        </w:tc>
        <w:tc>
          <w:tcPr>
            <w:tcW w:w="683" w:type="dxa"/>
            <w:tcBorders>
              <w:left w:val="nil"/>
              <w:bottom w:val="single" w:sz="4" w:space="0" w:color="auto"/>
              <w:right w:val="nil"/>
            </w:tcBorders>
            <w:vAlign w:val="bottom"/>
          </w:tcPr>
          <w:p w:rsidR="00FF0CED" w:rsidRPr="00FF0CED" w:rsidRDefault="00FF0CED" w:rsidP="00802453">
            <w:pPr>
              <w:keepNext/>
              <w:jc w:val="center"/>
              <w:rPr>
                <w:sz w:val="14"/>
                <w:szCs w:val="14"/>
              </w:rPr>
            </w:pPr>
            <w:r w:rsidRPr="00FF0CED">
              <w:rPr>
                <w:sz w:val="14"/>
                <w:szCs w:val="14"/>
              </w:rPr>
              <w:t>MHTX OP</w:t>
            </w:r>
          </w:p>
        </w:tc>
        <w:tc>
          <w:tcPr>
            <w:tcW w:w="698" w:type="dxa"/>
            <w:tcBorders>
              <w:left w:val="nil"/>
              <w:bottom w:val="single" w:sz="4" w:space="0" w:color="auto"/>
              <w:right w:val="nil"/>
            </w:tcBorders>
            <w:vAlign w:val="bottom"/>
          </w:tcPr>
          <w:p w:rsidR="00FF0CED" w:rsidRPr="00FF0CED" w:rsidRDefault="00FF0CED" w:rsidP="00802453">
            <w:pPr>
              <w:keepNext/>
              <w:jc w:val="center"/>
              <w:rPr>
                <w:sz w:val="14"/>
                <w:szCs w:val="14"/>
              </w:rPr>
            </w:pPr>
            <w:r w:rsidRPr="00FF0CED">
              <w:rPr>
                <w:sz w:val="14"/>
                <w:szCs w:val="14"/>
              </w:rPr>
              <w:t>Clinical CM</w:t>
            </w:r>
          </w:p>
        </w:tc>
        <w:tc>
          <w:tcPr>
            <w:tcW w:w="711" w:type="dxa"/>
            <w:tcBorders>
              <w:left w:val="nil"/>
              <w:bottom w:val="single" w:sz="4" w:space="0" w:color="auto"/>
              <w:right w:val="nil"/>
            </w:tcBorders>
            <w:vAlign w:val="bottom"/>
          </w:tcPr>
          <w:p w:rsidR="00FF0CED" w:rsidRPr="00FF0CED" w:rsidRDefault="00FF0CED" w:rsidP="00802453">
            <w:pPr>
              <w:keepNext/>
              <w:jc w:val="center"/>
              <w:rPr>
                <w:sz w:val="14"/>
                <w:szCs w:val="14"/>
              </w:rPr>
            </w:pPr>
            <w:r w:rsidRPr="00FF0CED">
              <w:rPr>
                <w:sz w:val="14"/>
                <w:szCs w:val="14"/>
              </w:rPr>
              <w:t>Medical TX</w:t>
            </w:r>
          </w:p>
        </w:tc>
        <w:tc>
          <w:tcPr>
            <w:tcW w:w="785" w:type="dxa"/>
            <w:tcBorders>
              <w:left w:val="nil"/>
              <w:bottom w:val="single" w:sz="4" w:space="0" w:color="auto"/>
            </w:tcBorders>
            <w:vAlign w:val="bottom"/>
          </w:tcPr>
          <w:p w:rsidR="00FF0CED" w:rsidRPr="00FF0CED" w:rsidRDefault="00FF0CED" w:rsidP="00802453">
            <w:pPr>
              <w:keepNext/>
              <w:jc w:val="center"/>
              <w:rPr>
                <w:sz w:val="14"/>
                <w:szCs w:val="14"/>
              </w:rPr>
            </w:pPr>
            <w:r w:rsidRPr="00FF0CED">
              <w:rPr>
                <w:sz w:val="14"/>
                <w:szCs w:val="14"/>
              </w:rPr>
              <w:t>Housing or other Wraparound CM</w:t>
            </w:r>
          </w:p>
        </w:tc>
      </w:tr>
      <w:tr w:rsidR="00FF0CED" w:rsidRPr="00FF0CED" w:rsidTr="00FF0CED">
        <w:tc>
          <w:tcPr>
            <w:tcW w:w="956" w:type="dxa"/>
            <w:tcBorders>
              <w:bottom w:val="nil"/>
              <w:right w:val="nil"/>
            </w:tcBorders>
          </w:tcPr>
          <w:p w:rsidR="00FF0CED" w:rsidRPr="00FF0CED" w:rsidRDefault="00FF0CED" w:rsidP="00802453">
            <w:pPr>
              <w:keepNext/>
              <w:rPr>
                <w:sz w:val="14"/>
                <w:szCs w:val="14"/>
              </w:rPr>
            </w:pPr>
          </w:p>
        </w:tc>
        <w:tc>
          <w:tcPr>
            <w:tcW w:w="949" w:type="dxa"/>
            <w:tcBorders>
              <w:left w:val="nil"/>
              <w:bottom w:val="nil"/>
            </w:tcBorders>
          </w:tcPr>
          <w:p w:rsidR="00FF0CED" w:rsidRPr="00FF0CED" w:rsidRDefault="00FF0CED" w:rsidP="00802453">
            <w:pPr>
              <w:keepNext/>
              <w:rPr>
                <w:sz w:val="14"/>
                <w:szCs w:val="14"/>
              </w:rPr>
            </w:pPr>
          </w:p>
        </w:tc>
        <w:tc>
          <w:tcPr>
            <w:tcW w:w="647" w:type="dxa"/>
            <w:tcBorders>
              <w:bottom w:val="nil"/>
              <w:right w:val="nil"/>
            </w:tcBorders>
          </w:tcPr>
          <w:p w:rsidR="00FF0CED" w:rsidRPr="00FF0CED" w:rsidRDefault="00FF0CED" w:rsidP="00802453">
            <w:pPr>
              <w:keepNext/>
              <w:rPr>
                <w:sz w:val="14"/>
                <w:szCs w:val="14"/>
              </w:rPr>
            </w:pPr>
          </w:p>
        </w:tc>
        <w:tc>
          <w:tcPr>
            <w:tcW w:w="597" w:type="dxa"/>
            <w:tcBorders>
              <w:top w:val="nil"/>
              <w:left w:val="nil"/>
              <w:bottom w:val="nil"/>
              <w:right w:val="nil"/>
            </w:tcBorders>
          </w:tcPr>
          <w:p w:rsidR="00FF0CED" w:rsidRPr="00FF0CED" w:rsidRDefault="00FF0CED" w:rsidP="00802453">
            <w:pPr>
              <w:keepNext/>
              <w:rPr>
                <w:sz w:val="14"/>
                <w:szCs w:val="14"/>
              </w:rPr>
            </w:pPr>
          </w:p>
        </w:tc>
        <w:tc>
          <w:tcPr>
            <w:tcW w:w="698" w:type="dxa"/>
            <w:tcBorders>
              <w:top w:val="nil"/>
              <w:left w:val="nil"/>
              <w:bottom w:val="nil"/>
              <w:right w:val="nil"/>
            </w:tcBorders>
          </w:tcPr>
          <w:p w:rsidR="00FF0CED" w:rsidRPr="00FF0CED" w:rsidRDefault="00FF0CED" w:rsidP="00802453">
            <w:pPr>
              <w:keepNext/>
              <w:rPr>
                <w:sz w:val="14"/>
                <w:szCs w:val="14"/>
              </w:rPr>
            </w:pPr>
          </w:p>
        </w:tc>
        <w:tc>
          <w:tcPr>
            <w:tcW w:w="711" w:type="dxa"/>
            <w:tcBorders>
              <w:top w:val="nil"/>
              <w:left w:val="nil"/>
              <w:bottom w:val="nil"/>
              <w:right w:val="nil"/>
            </w:tcBorders>
          </w:tcPr>
          <w:p w:rsidR="00FF0CED" w:rsidRPr="00FF0CED" w:rsidRDefault="00FF0CED" w:rsidP="00802453">
            <w:pPr>
              <w:keepNext/>
              <w:rPr>
                <w:sz w:val="14"/>
                <w:szCs w:val="14"/>
              </w:rPr>
            </w:pPr>
          </w:p>
        </w:tc>
        <w:tc>
          <w:tcPr>
            <w:tcW w:w="785" w:type="dxa"/>
            <w:tcBorders>
              <w:top w:val="nil"/>
              <w:left w:val="nil"/>
              <w:bottom w:val="nil"/>
              <w:right w:val="nil"/>
            </w:tcBorders>
          </w:tcPr>
          <w:p w:rsidR="00FF0CED" w:rsidRPr="00FF0CED" w:rsidRDefault="00FF0CED" w:rsidP="00802453">
            <w:pPr>
              <w:keepNext/>
              <w:rPr>
                <w:sz w:val="14"/>
                <w:szCs w:val="14"/>
              </w:rPr>
            </w:pPr>
          </w:p>
        </w:tc>
        <w:tc>
          <w:tcPr>
            <w:tcW w:w="144" w:type="dxa"/>
            <w:tcBorders>
              <w:top w:val="nil"/>
              <w:left w:val="nil"/>
              <w:bottom w:val="nil"/>
              <w:right w:val="nil"/>
            </w:tcBorders>
          </w:tcPr>
          <w:p w:rsidR="00FF0CED" w:rsidRPr="00FF0CED" w:rsidRDefault="00FF0CED" w:rsidP="00802453">
            <w:pPr>
              <w:keepNext/>
              <w:rPr>
                <w:sz w:val="14"/>
                <w:szCs w:val="14"/>
              </w:rPr>
            </w:pPr>
          </w:p>
        </w:tc>
        <w:tc>
          <w:tcPr>
            <w:tcW w:w="666" w:type="dxa"/>
            <w:tcBorders>
              <w:left w:val="nil"/>
              <w:bottom w:val="nil"/>
              <w:right w:val="nil"/>
            </w:tcBorders>
          </w:tcPr>
          <w:p w:rsidR="00FF0CED" w:rsidRPr="00FF0CED" w:rsidRDefault="00FF0CED" w:rsidP="00802453">
            <w:pPr>
              <w:keepNext/>
              <w:rPr>
                <w:sz w:val="14"/>
                <w:szCs w:val="14"/>
              </w:rPr>
            </w:pPr>
          </w:p>
        </w:tc>
        <w:tc>
          <w:tcPr>
            <w:tcW w:w="683" w:type="dxa"/>
            <w:tcBorders>
              <w:left w:val="nil"/>
              <w:bottom w:val="nil"/>
              <w:right w:val="nil"/>
            </w:tcBorders>
          </w:tcPr>
          <w:p w:rsidR="00FF0CED" w:rsidRPr="00FF0CED" w:rsidRDefault="00FF0CED" w:rsidP="00802453">
            <w:pPr>
              <w:keepNext/>
              <w:rPr>
                <w:sz w:val="14"/>
                <w:szCs w:val="14"/>
              </w:rPr>
            </w:pPr>
          </w:p>
        </w:tc>
        <w:tc>
          <w:tcPr>
            <w:tcW w:w="698" w:type="dxa"/>
            <w:tcBorders>
              <w:left w:val="nil"/>
              <w:bottom w:val="nil"/>
              <w:right w:val="nil"/>
            </w:tcBorders>
          </w:tcPr>
          <w:p w:rsidR="00FF0CED" w:rsidRPr="00FF0CED" w:rsidRDefault="00FF0CED" w:rsidP="00802453">
            <w:pPr>
              <w:keepNext/>
              <w:rPr>
                <w:sz w:val="14"/>
                <w:szCs w:val="14"/>
              </w:rPr>
            </w:pPr>
          </w:p>
        </w:tc>
        <w:tc>
          <w:tcPr>
            <w:tcW w:w="711" w:type="dxa"/>
            <w:tcBorders>
              <w:left w:val="nil"/>
              <w:bottom w:val="nil"/>
              <w:right w:val="nil"/>
            </w:tcBorders>
          </w:tcPr>
          <w:p w:rsidR="00FF0CED" w:rsidRPr="00FF0CED" w:rsidRDefault="00FF0CED" w:rsidP="00802453">
            <w:pPr>
              <w:keepNext/>
              <w:rPr>
                <w:sz w:val="14"/>
                <w:szCs w:val="14"/>
              </w:rPr>
            </w:pPr>
          </w:p>
        </w:tc>
        <w:tc>
          <w:tcPr>
            <w:tcW w:w="785" w:type="dxa"/>
            <w:tcBorders>
              <w:left w:val="nil"/>
              <w:bottom w:val="nil"/>
            </w:tcBorders>
          </w:tcPr>
          <w:p w:rsidR="00FF0CED" w:rsidRPr="00FF0CED" w:rsidRDefault="00FF0CED" w:rsidP="00802453">
            <w:pPr>
              <w:keepNext/>
              <w:rPr>
                <w:sz w:val="14"/>
                <w:szCs w:val="14"/>
              </w:rPr>
            </w:pPr>
          </w:p>
        </w:tc>
      </w:tr>
      <w:tr w:rsidR="00FF0CED" w:rsidRPr="00FF0CED" w:rsidTr="00FF0CED">
        <w:tc>
          <w:tcPr>
            <w:tcW w:w="956" w:type="dxa"/>
            <w:vMerge w:val="restart"/>
            <w:tcBorders>
              <w:top w:val="nil"/>
              <w:bottom w:val="nil"/>
              <w:right w:val="nil"/>
            </w:tcBorders>
            <w:vAlign w:val="center"/>
          </w:tcPr>
          <w:p w:rsidR="00FF0CED" w:rsidRPr="00FF0CED" w:rsidRDefault="00FF0CED" w:rsidP="00802453">
            <w:pPr>
              <w:keepNext/>
              <w:jc w:val="center"/>
              <w:rPr>
                <w:sz w:val="14"/>
                <w:szCs w:val="14"/>
              </w:rPr>
            </w:pPr>
            <w:r w:rsidRPr="00FF0CED">
              <w:rPr>
                <w:sz w:val="14"/>
                <w:szCs w:val="14"/>
              </w:rPr>
              <w:t>Direct Provision of Transportation to Central Location</w:t>
            </w:r>
          </w:p>
        </w:tc>
        <w:tc>
          <w:tcPr>
            <w:tcW w:w="949" w:type="dxa"/>
            <w:tcBorders>
              <w:top w:val="nil"/>
              <w:left w:val="nil"/>
              <w:bottom w:val="nil"/>
            </w:tcBorders>
          </w:tcPr>
          <w:p w:rsidR="00FF0CED" w:rsidRPr="00FF0CED" w:rsidRDefault="00FF0CED" w:rsidP="00802453">
            <w:pPr>
              <w:keepNext/>
              <w:rPr>
                <w:sz w:val="14"/>
                <w:szCs w:val="14"/>
              </w:rPr>
            </w:pPr>
            <w:r w:rsidRPr="00FF0CED">
              <w:rPr>
                <w:sz w:val="14"/>
                <w:szCs w:val="14"/>
              </w:rPr>
              <w:t>On-site Central Location</w:t>
            </w:r>
          </w:p>
        </w:tc>
        <w:tc>
          <w:tcPr>
            <w:tcW w:w="647" w:type="dxa"/>
            <w:tcBorders>
              <w:top w:val="nil"/>
              <w:bottom w:val="nil"/>
              <w:right w:val="nil"/>
            </w:tcBorders>
            <w:vAlign w:val="center"/>
          </w:tcPr>
          <w:p w:rsidR="00FF0CED" w:rsidRPr="00FF0CED" w:rsidRDefault="00FF0CED" w:rsidP="00802453">
            <w:pPr>
              <w:keepNext/>
              <w:jc w:val="center"/>
              <w:rPr>
                <w:sz w:val="14"/>
                <w:szCs w:val="14"/>
              </w:rPr>
            </w:pPr>
            <w:r w:rsidRPr="00FF0CED">
              <w:rPr>
                <w:sz w:val="14"/>
                <w:szCs w:val="14"/>
              </w:rPr>
              <w:t>proportion (</w:t>
            </w:r>
            <w:proofErr w:type="spellStart"/>
            <w:r w:rsidRPr="00FF0CED">
              <w:rPr>
                <w:sz w:val="14"/>
                <w:szCs w:val="14"/>
              </w:rPr>
              <w:t>st.</w:t>
            </w:r>
            <w:proofErr w:type="spellEnd"/>
            <w:r w:rsidRPr="00FF0CED">
              <w:rPr>
                <w:sz w:val="14"/>
                <w:szCs w:val="14"/>
              </w:rPr>
              <w:t xml:space="preserve"> dev)</w:t>
            </w:r>
          </w:p>
        </w:tc>
        <w:tc>
          <w:tcPr>
            <w:tcW w:w="597" w:type="dxa"/>
            <w:tcBorders>
              <w:top w:val="nil"/>
              <w:left w:val="nil"/>
              <w:bottom w:val="nil"/>
              <w:right w:val="nil"/>
            </w:tcBorders>
          </w:tcPr>
          <w:p w:rsidR="00FF0CED" w:rsidRPr="00FF0CED" w:rsidRDefault="00FF0CED" w:rsidP="00802453">
            <w:pPr>
              <w:keepNext/>
              <w:rPr>
                <w:sz w:val="14"/>
                <w:szCs w:val="14"/>
              </w:rPr>
            </w:pPr>
          </w:p>
        </w:tc>
        <w:tc>
          <w:tcPr>
            <w:tcW w:w="698" w:type="dxa"/>
            <w:tcBorders>
              <w:top w:val="nil"/>
              <w:left w:val="nil"/>
              <w:bottom w:val="nil"/>
              <w:right w:val="nil"/>
            </w:tcBorders>
          </w:tcPr>
          <w:p w:rsidR="00FF0CED" w:rsidRPr="00FF0CED" w:rsidRDefault="00FF0CED" w:rsidP="00802453">
            <w:pPr>
              <w:keepNext/>
              <w:rPr>
                <w:sz w:val="14"/>
                <w:szCs w:val="14"/>
              </w:rPr>
            </w:pPr>
          </w:p>
        </w:tc>
        <w:tc>
          <w:tcPr>
            <w:tcW w:w="711" w:type="dxa"/>
            <w:tcBorders>
              <w:top w:val="nil"/>
              <w:left w:val="nil"/>
              <w:bottom w:val="nil"/>
              <w:right w:val="nil"/>
            </w:tcBorders>
          </w:tcPr>
          <w:p w:rsidR="00FF0CED" w:rsidRPr="00FF0CED" w:rsidRDefault="00FF0CED" w:rsidP="00802453">
            <w:pPr>
              <w:keepNext/>
              <w:rPr>
                <w:sz w:val="14"/>
                <w:szCs w:val="14"/>
              </w:rPr>
            </w:pPr>
          </w:p>
        </w:tc>
        <w:tc>
          <w:tcPr>
            <w:tcW w:w="785" w:type="dxa"/>
            <w:tcBorders>
              <w:top w:val="nil"/>
              <w:left w:val="nil"/>
              <w:bottom w:val="nil"/>
              <w:right w:val="nil"/>
            </w:tcBorders>
          </w:tcPr>
          <w:p w:rsidR="00FF0CED" w:rsidRPr="00FF0CED" w:rsidRDefault="00FF0CED" w:rsidP="00802453">
            <w:pPr>
              <w:keepNext/>
              <w:rPr>
                <w:sz w:val="14"/>
                <w:szCs w:val="14"/>
              </w:rPr>
            </w:pPr>
          </w:p>
        </w:tc>
        <w:tc>
          <w:tcPr>
            <w:tcW w:w="144" w:type="dxa"/>
            <w:tcBorders>
              <w:top w:val="nil"/>
              <w:left w:val="nil"/>
              <w:bottom w:val="nil"/>
              <w:right w:val="nil"/>
            </w:tcBorders>
          </w:tcPr>
          <w:p w:rsidR="00FF0CED" w:rsidRPr="00FF0CED" w:rsidRDefault="00FF0CED" w:rsidP="00802453">
            <w:pPr>
              <w:keepNext/>
              <w:rPr>
                <w:sz w:val="14"/>
                <w:szCs w:val="14"/>
              </w:rPr>
            </w:pPr>
          </w:p>
        </w:tc>
        <w:tc>
          <w:tcPr>
            <w:tcW w:w="666" w:type="dxa"/>
            <w:tcBorders>
              <w:top w:val="nil"/>
              <w:left w:val="nil"/>
              <w:bottom w:val="nil"/>
              <w:right w:val="nil"/>
            </w:tcBorders>
          </w:tcPr>
          <w:p w:rsidR="00FF0CED" w:rsidRPr="00FF0CED" w:rsidRDefault="00FF0CED" w:rsidP="00802453">
            <w:pPr>
              <w:keepNext/>
              <w:rPr>
                <w:sz w:val="14"/>
                <w:szCs w:val="14"/>
              </w:rPr>
            </w:pPr>
          </w:p>
        </w:tc>
        <w:tc>
          <w:tcPr>
            <w:tcW w:w="683" w:type="dxa"/>
            <w:tcBorders>
              <w:top w:val="nil"/>
              <w:left w:val="nil"/>
              <w:bottom w:val="nil"/>
              <w:right w:val="nil"/>
            </w:tcBorders>
          </w:tcPr>
          <w:p w:rsidR="00FF0CED" w:rsidRPr="00FF0CED" w:rsidRDefault="00FF0CED" w:rsidP="00802453">
            <w:pPr>
              <w:keepNext/>
              <w:rPr>
                <w:sz w:val="14"/>
                <w:szCs w:val="14"/>
              </w:rPr>
            </w:pPr>
          </w:p>
        </w:tc>
        <w:tc>
          <w:tcPr>
            <w:tcW w:w="698" w:type="dxa"/>
            <w:tcBorders>
              <w:top w:val="nil"/>
              <w:left w:val="nil"/>
              <w:bottom w:val="nil"/>
              <w:right w:val="nil"/>
            </w:tcBorders>
          </w:tcPr>
          <w:p w:rsidR="00FF0CED" w:rsidRPr="00FF0CED" w:rsidRDefault="00FF0CED" w:rsidP="00802453">
            <w:pPr>
              <w:keepNext/>
              <w:rPr>
                <w:sz w:val="14"/>
                <w:szCs w:val="14"/>
              </w:rPr>
            </w:pPr>
          </w:p>
        </w:tc>
        <w:tc>
          <w:tcPr>
            <w:tcW w:w="711" w:type="dxa"/>
            <w:tcBorders>
              <w:top w:val="nil"/>
              <w:left w:val="nil"/>
              <w:bottom w:val="nil"/>
              <w:right w:val="nil"/>
            </w:tcBorders>
          </w:tcPr>
          <w:p w:rsidR="00FF0CED" w:rsidRPr="00FF0CED" w:rsidRDefault="00FF0CED" w:rsidP="00802453">
            <w:pPr>
              <w:keepNext/>
              <w:rPr>
                <w:sz w:val="14"/>
                <w:szCs w:val="14"/>
              </w:rPr>
            </w:pPr>
          </w:p>
        </w:tc>
        <w:tc>
          <w:tcPr>
            <w:tcW w:w="785" w:type="dxa"/>
            <w:tcBorders>
              <w:top w:val="nil"/>
              <w:left w:val="nil"/>
              <w:bottom w:val="nil"/>
            </w:tcBorders>
          </w:tcPr>
          <w:p w:rsidR="00FF0CED" w:rsidRPr="00FF0CED" w:rsidRDefault="00FF0CED" w:rsidP="00802453">
            <w:pPr>
              <w:keepNext/>
              <w:rPr>
                <w:sz w:val="14"/>
                <w:szCs w:val="14"/>
              </w:rPr>
            </w:pPr>
          </w:p>
        </w:tc>
      </w:tr>
      <w:tr w:rsidR="00FF0CED" w:rsidRPr="00FF0CED" w:rsidTr="00FF0CED">
        <w:tc>
          <w:tcPr>
            <w:tcW w:w="956" w:type="dxa"/>
            <w:vMerge/>
            <w:tcBorders>
              <w:top w:val="nil"/>
              <w:bottom w:val="nil"/>
              <w:right w:val="nil"/>
            </w:tcBorders>
          </w:tcPr>
          <w:p w:rsidR="00FF0CED" w:rsidRPr="00FF0CED" w:rsidRDefault="00FF0CED" w:rsidP="00802453">
            <w:pPr>
              <w:keepNext/>
              <w:rPr>
                <w:sz w:val="14"/>
                <w:szCs w:val="14"/>
              </w:rPr>
            </w:pPr>
          </w:p>
        </w:tc>
        <w:tc>
          <w:tcPr>
            <w:tcW w:w="949" w:type="dxa"/>
            <w:tcBorders>
              <w:top w:val="nil"/>
              <w:left w:val="nil"/>
              <w:bottom w:val="nil"/>
            </w:tcBorders>
          </w:tcPr>
          <w:p w:rsidR="00FF0CED" w:rsidRPr="00FF0CED" w:rsidRDefault="00FF0CED" w:rsidP="00802453">
            <w:pPr>
              <w:keepNext/>
              <w:rPr>
                <w:sz w:val="14"/>
                <w:szCs w:val="14"/>
              </w:rPr>
            </w:pPr>
            <w:r w:rsidRPr="00FF0CED">
              <w:rPr>
                <w:sz w:val="14"/>
                <w:szCs w:val="14"/>
              </w:rPr>
              <w:t>Off-site Cluster</w:t>
            </w:r>
          </w:p>
        </w:tc>
        <w:tc>
          <w:tcPr>
            <w:tcW w:w="647" w:type="dxa"/>
            <w:tcBorders>
              <w:top w:val="nil"/>
              <w:bottom w:val="nil"/>
              <w:right w:val="nil"/>
            </w:tcBorders>
          </w:tcPr>
          <w:p w:rsidR="00FF0CED" w:rsidRPr="00FF0CED" w:rsidRDefault="00FF0CED" w:rsidP="00802453">
            <w:pPr>
              <w:keepNext/>
              <w:rPr>
                <w:sz w:val="14"/>
                <w:szCs w:val="14"/>
              </w:rPr>
            </w:pPr>
          </w:p>
        </w:tc>
        <w:tc>
          <w:tcPr>
            <w:tcW w:w="597" w:type="dxa"/>
            <w:tcBorders>
              <w:top w:val="nil"/>
              <w:left w:val="nil"/>
              <w:bottom w:val="nil"/>
              <w:right w:val="nil"/>
            </w:tcBorders>
          </w:tcPr>
          <w:p w:rsidR="00FF0CED" w:rsidRPr="00FF0CED" w:rsidRDefault="00FF0CED" w:rsidP="00802453">
            <w:pPr>
              <w:keepNext/>
              <w:rPr>
                <w:sz w:val="14"/>
                <w:szCs w:val="14"/>
              </w:rPr>
            </w:pPr>
          </w:p>
        </w:tc>
        <w:tc>
          <w:tcPr>
            <w:tcW w:w="698" w:type="dxa"/>
            <w:tcBorders>
              <w:top w:val="nil"/>
              <w:left w:val="nil"/>
              <w:bottom w:val="nil"/>
              <w:right w:val="nil"/>
            </w:tcBorders>
          </w:tcPr>
          <w:p w:rsidR="00FF0CED" w:rsidRPr="00FF0CED" w:rsidRDefault="00FF0CED" w:rsidP="00802453">
            <w:pPr>
              <w:keepNext/>
              <w:rPr>
                <w:sz w:val="14"/>
                <w:szCs w:val="14"/>
              </w:rPr>
            </w:pPr>
          </w:p>
        </w:tc>
        <w:tc>
          <w:tcPr>
            <w:tcW w:w="711" w:type="dxa"/>
            <w:tcBorders>
              <w:top w:val="nil"/>
              <w:left w:val="nil"/>
              <w:bottom w:val="nil"/>
              <w:right w:val="nil"/>
            </w:tcBorders>
          </w:tcPr>
          <w:p w:rsidR="00FF0CED" w:rsidRPr="00FF0CED" w:rsidRDefault="00FF0CED" w:rsidP="00802453">
            <w:pPr>
              <w:keepNext/>
              <w:rPr>
                <w:sz w:val="14"/>
                <w:szCs w:val="14"/>
              </w:rPr>
            </w:pPr>
          </w:p>
        </w:tc>
        <w:tc>
          <w:tcPr>
            <w:tcW w:w="785" w:type="dxa"/>
            <w:tcBorders>
              <w:top w:val="nil"/>
              <w:left w:val="nil"/>
              <w:bottom w:val="nil"/>
              <w:right w:val="nil"/>
            </w:tcBorders>
          </w:tcPr>
          <w:p w:rsidR="00FF0CED" w:rsidRPr="00FF0CED" w:rsidRDefault="00FF0CED" w:rsidP="00802453">
            <w:pPr>
              <w:keepNext/>
              <w:rPr>
                <w:sz w:val="14"/>
                <w:szCs w:val="14"/>
              </w:rPr>
            </w:pPr>
          </w:p>
        </w:tc>
        <w:tc>
          <w:tcPr>
            <w:tcW w:w="144" w:type="dxa"/>
            <w:tcBorders>
              <w:top w:val="nil"/>
              <w:left w:val="nil"/>
              <w:bottom w:val="nil"/>
              <w:right w:val="nil"/>
            </w:tcBorders>
          </w:tcPr>
          <w:p w:rsidR="00FF0CED" w:rsidRPr="00FF0CED" w:rsidRDefault="00FF0CED" w:rsidP="00802453">
            <w:pPr>
              <w:keepNext/>
              <w:rPr>
                <w:sz w:val="14"/>
                <w:szCs w:val="14"/>
              </w:rPr>
            </w:pPr>
          </w:p>
        </w:tc>
        <w:tc>
          <w:tcPr>
            <w:tcW w:w="666" w:type="dxa"/>
            <w:tcBorders>
              <w:top w:val="nil"/>
              <w:left w:val="nil"/>
              <w:bottom w:val="nil"/>
              <w:right w:val="nil"/>
            </w:tcBorders>
          </w:tcPr>
          <w:p w:rsidR="00FF0CED" w:rsidRPr="00FF0CED" w:rsidRDefault="00FF0CED" w:rsidP="00802453">
            <w:pPr>
              <w:keepNext/>
              <w:rPr>
                <w:sz w:val="14"/>
                <w:szCs w:val="14"/>
              </w:rPr>
            </w:pPr>
          </w:p>
        </w:tc>
        <w:tc>
          <w:tcPr>
            <w:tcW w:w="683" w:type="dxa"/>
            <w:tcBorders>
              <w:top w:val="nil"/>
              <w:left w:val="nil"/>
              <w:bottom w:val="nil"/>
              <w:right w:val="nil"/>
            </w:tcBorders>
          </w:tcPr>
          <w:p w:rsidR="00FF0CED" w:rsidRPr="00FF0CED" w:rsidRDefault="00FF0CED" w:rsidP="00802453">
            <w:pPr>
              <w:keepNext/>
              <w:rPr>
                <w:sz w:val="14"/>
                <w:szCs w:val="14"/>
              </w:rPr>
            </w:pPr>
          </w:p>
        </w:tc>
        <w:tc>
          <w:tcPr>
            <w:tcW w:w="698" w:type="dxa"/>
            <w:tcBorders>
              <w:top w:val="nil"/>
              <w:left w:val="nil"/>
              <w:bottom w:val="nil"/>
              <w:right w:val="nil"/>
            </w:tcBorders>
          </w:tcPr>
          <w:p w:rsidR="00FF0CED" w:rsidRPr="00FF0CED" w:rsidRDefault="00FF0CED" w:rsidP="00802453">
            <w:pPr>
              <w:keepNext/>
              <w:rPr>
                <w:sz w:val="14"/>
                <w:szCs w:val="14"/>
              </w:rPr>
            </w:pPr>
          </w:p>
        </w:tc>
        <w:tc>
          <w:tcPr>
            <w:tcW w:w="711" w:type="dxa"/>
            <w:tcBorders>
              <w:top w:val="nil"/>
              <w:left w:val="nil"/>
              <w:bottom w:val="nil"/>
              <w:right w:val="nil"/>
            </w:tcBorders>
          </w:tcPr>
          <w:p w:rsidR="00FF0CED" w:rsidRPr="00FF0CED" w:rsidRDefault="00FF0CED" w:rsidP="00802453">
            <w:pPr>
              <w:keepNext/>
              <w:rPr>
                <w:sz w:val="14"/>
                <w:szCs w:val="14"/>
              </w:rPr>
            </w:pPr>
          </w:p>
        </w:tc>
        <w:tc>
          <w:tcPr>
            <w:tcW w:w="785" w:type="dxa"/>
            <w:tcBorders>
              <w:top w:val="nil"/>
              <w:left w:val="nil"/>
              <w:bottom w:val="nil"/>
            </w:tcBorders>
          </w:tcPr>
          <w:p w:rsidR="00FF0CED" w:rsidRPr="00FF0CED" w:rsidRDefault="00FF0CED" w:rsidP="00802453">
            <w:pPr>
              <w:keepNext/>
              <w:rPr>
                <w:sz w:val="14"/>
                <w:szCs w:val="14"/>
              </w:rPr>
            </w:pPr>
          </w:p>
        </w:tc>
      </w:tr>
      <w:tr w:rsidR="00FF0CED" w:rsidRPr="00FF0CED" w:rsidTr="00FF0CED">
        <w:tc>
          <w:tcPr>
            <w:tcW w:w="956" w:type="dxa"/>
            <w:vMerge/>
            <w:tcBorders>
              <w:top w:val="nil"/>
              <w:bottom w:val="nil"/>
              <w:right w:val="nil"/>
            </w:tcBorders>
          </w:tcPr>
          <w:p w:rsidR="00FF0CED" w:rsidRPr="00FF0CED" w:rsidRDefault="00FF0CED" w:rsidP="00802453">
            <w:pPr>
              <w:keepNext/>
              <w:rPr>
                <w:sz w:val="14"/>
                <w:szCs w:val="14"/>
              </w:rPr>
            </w:pPr>
          </w:p>
        </w:tc>
        <w:tc>
          <w:tcPr>
            <w:tcW w:w="949" w:type="dxa"/>
            <w:tcBorders>
              <w:top w:val="nil"/>
              <w:left w:val="nil"/>
              <w:bottom w:val="nil"/>
            </w:tcBorders>
          </w:tcPr>
          <w:p w:rsidR="00FF0CED" w:rsidRPr="00FF0CED" w:rsidRDefault="00FF0CED" w:rsidP="00802453">
            <w:pPr>
              <w:keepNext/>
              <w:rPr>
                <w:sz w:val="14"/>
                <w:szCs w:val="14"/>
              </w:rPr>
            </w:pPr>
            <w:r w:rsidRPr="00FF0CED">
              <w:rPr>
                <w:sz w:val="14"/>
                <w:szCs w:val="14"/>
              </w:rPr>
              <w:t>Scatter-site</w:t>
            </w:r>
          </w:p>
        </w:tc>
        <w:tc>
          <w:tcPr>
            <w:tcW w:w="647" w:type="dxa"/>
            <w:tcBorders>
              <w:top w:val="nil"/>
              <w:bottom w:val="nil"/>
              <w:right w:val="nil"/>
            </w:tcBorders>
          </w:tcPr>
          <w:p w:rsidR="00FF0CED" w:rsidRPr="00FF0CED" w:rsidRDefault="00FF0CED" w:rsidP="00802453">
            <w:pPr>
              <w:keepNext/>
              <w:rPr>
                <w:sz w:val="14"/>
                <w:szCs w:val="14"/>
              </w:rPr>
            </w:pPr>
          </w:p>
        </w:tc>
        <w:tc>
          <w:tcPr>
            <w:tcW w:w="597" w:type="dxa"/>
            <w:tcBorders>
              <w:top w:val="nil"/>
              <w:left w:val="nil"/>
              <w:bottom w:val="nil"/>
              <w:right w:val="nil"/>
            </w:tcBorders>
          </w:tcPr>
          <w:p w:rsidR="00FF0CED" w:rsidRPr="00FF0CED" w:rsidRDefault="00FF0CED" w:rsidP="00802453">
            <w:pPr>
              <w:keepNext/>
              <w:rPr>
                <w:sz w:val="14"/>
                <w:szCs w:val="14"/>
              </w:rPr>
            </w:pPr>
          </w:p>
        </w:tc>
        <w:tc>
          <w:tcPr>
            <w:tcW w:w="698" w:type="dxa"/>
            <w:tcBorders>
              <w:top w:val="nil"/>
              <w:left w:val="nil"/>
              <w:bottom w:val="nil"/>
              <w:right w:val="nil"/>
            </w:tcBorders>
          </w:tcPr>
          <w:p w:rsidR="00FF0CED" w:rsidRPr="00FF0CED" w:rsidRDefault="00FF0CED" w:rsidP="00802453">
            <w:pPr>
              <w:keepNext/>
              <w:rPr>
                <w:sz w:val="14"/>
                <w:szCs w:val="14"/>
              </w:rPr>
            </w:pPr>
          </w:p>
        </w:tc>
        <w:tc>
          <w:tcPr>
            <w:tcW w:w="711" w:type="dxa"/>
            <w:tcBorders>
              <w:top w:val="nil"/>
              <w:left w:val="nil"/>
              <w:bottom w:val="nil"/>
              <w:right w:val="nil"/>
            </w:tcBorders>
          </w:tcPr>
          <w:p w:rsidR="00FF0CED" w:rsidRPr="00FF0CED" w:rsidRDefault="00FF0CED" w:rsidP="00802453">
            <w:pPr>
              <w:keepNext/>
              <w:rPr>
                <w:sz w:val="14"/>
                <w:szCs w:val="14"/>
              </w:rPr>
            </w:pPr>
          </w:p>
        </w:tc>
        <w:tc>
          <w:tcPr>
            <w:tcW w:w="785" w:type="dxa"/>
            <w:tcBorders>
              <w:top w:val="nil"/>
              <w:left w:val="nil"/>
              <w:bottom w:val="nil"/>
              <w:right w:val="nil"/>
            </w:tcBorders>
          </w:tcPr>
          <w:p w:rsidR="00FF0CED" w:rsidRPr="00FF0CED" w:rsidRDefault="00FF0CED" w:rsidP="00802453">
            <w:pPr>
              <w:keepNext/>
              <w:rPr>
                <w:sz w:val="14"/>
                <w:szCs w:val="14"/>
              </w:rPr>
            </w:pPr>
          </w:p>
        </w:tc>
        <w:tc>
          <w:tcPr>
            <w:tcW w:w="144" w:type="dxa"/>
            <w:tcBorders>
              <w:top w:val="nil"/>
              <w:left w:val="nil"/>
              <w:bottom w:val="nil"/>
              <w:right w:val="nil"/>
            </w:tcBorders>
          </w:tcPr>
          <w:p w:rsidR="00FF0CED" w:rsidRPr="00FF0CED" w:rsidRDefault="00FF0CED" w:rsidP="00802453">
            <w:pPr>
              <w:keepNext/>
              <w:rPr>
                <w:sz w:val="14"/>
                <w:szCs w:val="14"/>
              </w:rPr>
            </w:pPr>
          </w:p>
        </w:tc>
        <w:tc>
          <w:tcPr>
            <w:tcW w:w="666" w:type="dxa"/>
            <w:tcBorders>
              <w:top w:val="nil"/>
              <w:left w:val="nil"/>
              <w:bottom w:val="nil"/>
              <w:right w:val="nil"/>
            </w:tcBorders>
          </w:tcPr>
          <w:p w:rsidR="00FF0CED" w:rsidRPr="00FF0CED" w:rsidRDefault="00FF0CED" w:rsidP="00802453">
            <w:pPr>
              <w:keepNext/>
              <w:rPr>
                <w:sz w:val="14"/>
                <w:szCs w:val="14"/>
              </w:rPr>
            </w:pPr>
          </w:p>
        </w:tc>
        <w:tc>
          <w:tcPr>
            <w:tcW w:w="683" w:type="dxa"/>
            <w:tcBorders>
              <w:top w:val="nil"/>
              <w:left w:val="nil"/>
              <w:bottom w:val="nil"/>
              <w:right w:val="nil"/>
            </w:tcBorders>
          </w:tcPr>
          <w:p w:rsidR="00FF0CED" w:rsidRPr="00FF0CED" w:rsidRDefault="00FF0CED" w:rsidP="00802453">
            <w:pPr>
              <w:keepNext/>
              <w:rPr>
                <w:sz w:val="14"/>
                <w:szCs w:val="14"/>
              </w:rPr>
            </w:pPr>
          </w:p>
        </w:tc>
        <w:tc>
          <w:tcPr>
            <w:tcW w:w="698" w:type="dxa"/>
            <w:tcBorders>
              <w:top w:val="nil"/>
              <w:left w:val="nil"/>
              <w:bottom w:val="nil"/>
              <w:right w:val="nil"/>
            </w:tcBorders>
          </w:tcPr>
          <w:p w:rsidR="00FF0CED" w:rsidRPr="00FF0CED" w:rsidRDefault="00FF0CED" w:rsidP="00802453">
            <w:pPr>
              <w:keepNext/>
              <w:rPr>
                <w:sz w:val="14"/>
                <w:szCs w:val="14"/>
              </w:rPr>
            </w:pPr>
          </w:p>
        </w:tc>
        <w:tc>
          <w:tcPr>
            <w:tcW w:w="711" w:type="dxa"/>
            <w:tcBorders>
              <w:top w:val="nil"/>
              <w:left w:val="nil"/>
              <w:bottom w:val="nil"/>
              <w:right w:val="nil"/>
            </w:tcBorders>
          </w:tcPr>
          <w:p w:rsidR="00FF0CED" w:rsidRPr="00FF0CED" w:rsidRDefault="00FF0CED" w:rsidP="00802453">
            <w:pPr>
              <w:keepNext/>
              <w:rPr>
                <w:sz w:val="14"/>
                <w:szCs w:val="14"/>
              </w:rPr>
            </w:pPr>
          </w:p>
        </w:tc>
        <w:tc>
          <w:tcPr>
            <w:tcW w:w="785" w:type="dxa"/>
            <w:tcBorders>
              <w:top w:val="nil"/>
              <w:left w:val="nil"/>
              <w:bottom w:val="nil"/>
            </w:tcBorders>
          </w:tcPr>
          <w:p w:rsidR="00FF0CED" w:rsidRPr="00FF0CED" w:rsidRDefault="00FF0CED" w:rsidP="00802453">
            <w:pPr>
              <w:keepNext/>
              <w:rPr>
                <w:sz w:val="14"/>
                <w:szCs w:val="14"/>
              </w:rPr>
            </w:pPr>
          </w:p>
        </w:tc>
      </w:tr>
      <w:tr w:rsidR="00FF0CED" w:rsidRPr="00FF0CED" w:rsidTr="00FF0CED">
        <w:tc>
          <w:tcPr>
            <w:tcW w:w="956" w:type="dxa"/>
            <w:tcBorders>
              <w:top w:val="nil"/>
              <w:bottom w:val="nil"/>
              <w:right w:val="nil"/>
            </w:tcBorders>
          </w:tcPr>
          <w:p w:rsidR="00FF0CED" w:rsidRPr="00FF0CED" w:rsidRDefault="00FF0CED" w:rsidP="00802453">
            <w:pPr>
              <w:keepNext/>
              <w:rPr>
                <w:sz w:val="14"/>
                <w:szCs w:val="14"/>
              </w:rPr>
            </w:pPr>
          </w:p>
        </w:tc>
        <w:tc>
          <w:tcPr>
            <w:tcW w:w="949" w:type="dxa"/>
            <w:tcBorders>
              <w:top w:val="nil"/>
              <w:left w:val="nil"/>
              <w:bottom w:val="nil"/>
            </w:tcBorders>
          </w:tcPr>
          <w:p w:rsidR="00FF0CED" w:rsidRPr="00FF0CED" w:rsidRDefault="00FF0CED" w:rsidP="00802453">
            <w:pPr>
              <w:keepNext/>
              <w:rPr>
                <w:sz w:val="14"/>
                <w:szCs w:val="14"/>
              </w:rPr>
            </w:pPr>
          </w:p>
        </w:tc>
        <w:tc>
          <w:tcPr>
            <w:tcW w:w="647" w:type="dxa"/>
            <w:tcBorders>
              <w:top w:val="nil"/>
              <w:bottom w:val="nil"/>
              <w:right w:val="nil"/>
            </w:tcBorders>
          </w:tcPr>
          <w:p w:rsidR="00FF0CED" w:rsidRPr="00FF0CED" w:rsidRDefault="00FF0CED" w:rsidP="00802453">
            <w:pPr>
              <w:keepNext/>
              <w:rPr>
                <w:sz w:val="14"/>
                <w:szCs w:val="14"/>
              </w:rPr>
            </w:pPr>
          </w:p>
        </w:tc>
        <w:tc>
          <w:tcPr>
            <w:tcW w:w="597" w:type="dxa"/>
            <w:tcBorders>
              <w:top w:val="nil"/>
              <w:left w:val="nil"/>
              <w:bottom w:val="nil"/>
              <w:right w:val="nil"/>
            </w:tcBorders>
          </w:tcPr>
          <w:p w:rsidR="00FF0CED" w:rsidRPr="00FF0CED" w:rsidRDefault="00FF0CED" w:rsidP="00802453">
            <w:pPr>
              <w:keepNext/>
              <w:rPr>
                <w:sz w:val="14"/>
                <w:szCs w:val="14"/>
              </w:rPr>
            </w:pPr>
          </w:p>
        </w:tc>
        <w:tc>
          <w:tcPr>
            <w:tcW w:w="698" w:type="dxa"/>
            <w:tcBorders>
              <w:top w:val="nil"/>
              <w:left w:val="nil"/>
              <w:bottom w:val="nil"/>
              <w:right w:val="nil"/>
            </w:tcBorders>
          </w:tcPr>
          <w:p w:rsidR="00FF0CED" w:rsidRPr="00FF0CED" w:rsidRDefault="00FF0CED" w:rsidP="00802453">
            <w:pPr>
              <w:keepNext/>
              <w:rPr>
                <w:sz w:val="14"/>
                <w:szCs w:val="14"/>
              </w:rPr>
            </w:pPr>
          </w:p>
        </w:tc>
        <w:tc>
          <w:tcPr>
            <w:tcW w:w="711" w:type="dxa"/>
            <w:tcBorders>
              <w:top w:val="nil"/>
              <w:left w:val="nil"/>
              <w:bottom w:val="nil"/>
              <w:right w:val="nil"/>
            </w:tcBorders>
          </w:tcPr>
          <w:p w:rsidR="00FF0CED" w:rsidRPr="00FF0CED" w:rsidRDefault="00FF0CED" w:rsidP="00802453">
            <w:pPr>
              <w:keepNext/>
              <w:rPr>
                <w:sz w:val="14"/>
                <w:szCs w:val="14"/>
              </w:rPr>
            </w:pPr>
          </w:p>
        </w:tc>
        <w:tc>
          <w:tcPr>
            <w:tcW w:w="785" w:type="dxa"/>
            <w:tcBorders>
              <w:top w:val="nil"/>
              <w:left w:val="nil"/>
              <w:bottom w:val="nil"/>
              <w:right w:val="nil"/>
            </w:tcBorders>
          </w:tcPr>
          <w:p w:rsidR="00FF0CED" w:rsidRPr="00FF0CED" w:rsidRDefault="00FF0CED" w:rsidP="00802453">
            <w:pPr>
              <w:keepNext/>
              <w:rPr>
                <w:sz w:val="14"/>
                <w:szCs w:val="14"/>
              </w:rPr>
            </w:pPr>
          </w:p>
        </w:tc>
        <w:tc>
          <w:tcPr>
            <w:tcW w:w="144" w:type="dxa"/>
            <w:tcBorders>
              <w:top w:val="nil"/>
              <w:left w:val="nil"/>
              <w:bottom w:val="nil"/>
              <w:right w:val="nil"/>
            </w:tcBorders>
          </w:tcPr>
          <w:p w:rsidR="00FF0CED" w:rsidRPr="00FF0CED" w:rsidRDefault="00FF0CED" w:rsidP="00802453">
            <w:pPr>
              <w:keepNext/>
              <w:rPr>
                <w:sz w:val="14"/>
                <w:szCs w:val="14"/>
              </w:rPr>
            </w:pPr>
          </w:p>
        </w:tc>
        <w:tc>
          <w:tcPr>
            <w:tcW w:w="666" w:type="dxa"/>
            <w:tcBorders>
              <w:top w:val="nil"/>
              <w:left w:val="nil"/>
              <w:bottom w:val="nil"/>
              <w:right w:val="nil"/>
            </w:tcBorders>
          </w:tcPr>
          <w:p w:rsidR="00FF0CED" w:rsidRPr="00FF0CED" w:rsidRDefault="00FF0CED" w:rsidP="00802453">
            <w:pPr>
              <w:keepNext/>
              <w:rPr>
                <w:sz w:val="14"/>
                <w:szCs w:val="14"/>
              </w:rPr>
            </w:pPr>
          </w:p>
        </w:tc>
        <w:tc>
          <w:tcPr>
            <w:tcW w:w="683" w:type="dxa"/>
            <w:tcBorders>
              <w:top w:val="nil"/>
              <w:left w:val="nil"/>
              <w:bottom w:val="nil"/>
              <w:right w:val="nil"/>
            </w:tcBorders>
          </w:tcPr>
          <w:p w:rsidR="00FF0CED" w:rsidRPr="00FF0CED" w:rsidRDefault="00FF0CED" w:rsidP="00802453">
            <w:pPr>
              <w:keepNext/>
              <w:rPr>
                <w:sz w:val="14"/>
                <w:szCs w:val="14"/>
              </w:rPr>
            </w:pPr>
          </w:p>
        </w:tc>
        <w:tc>
          <w:tcPr>
            <w:tcW w:w="698" w:type="dxa"/>
            <w:tcBorders>
              <w:top w:val="nil"/>
              <w:left w:val="nil"/>
              <w:bottom w:val="nil"/>
              <w:right w:val="nil"/>
            </w:tcBorders>
          </w:tcPr>
          <w:p w:rsidR="00FF0CED" w:rsidRPr="00FF0CED" w:rsidRDefault="00FF0CED" w:rsidP="00802453">
            <w:pPr>
              <w:keepNext/>
              <w:rPr>
                <w:sz w:val="14"/>
                <w:szCs w:val="14"/>
              </w:rPr>
            </w:pPr>
          </w:p>
        </w:tc>
        <w:tc>
          <w:tcPr>
            <w:tcW w:w="711" w:type="dxa"/>
            <w:tcBorders>
              <w:top w:val="nil"/>
              <w:left w:val="nil"/>
              <w:bottom w:val="nil"/>
              <w:right w:val="nil"/>
            </w:tcBorders>
          </w:tcPr>
          <w:p w:rsidR="00FF0CED" w:rsidRPr="00FF0CED" w:rsidRDefault="00FF0CED" w:rsidP="00802453">
            <w:pPr>
              <w:keepNext/>
              <w:rPr>
                <w:sz w:val="14"/>
                <w:szCs w:val="14"/>
              </w:rPr>
            </w:pPr>
          </w:p>
        </w:tc>
        <w:tc>
          <w:tcPr>
            <w:tcW w:w="785" w:type="dxa"/>
            <w:tcBorders>
              <w:top w:val="nil"/>
              <w:left w:val="nil"/>
              <w:bottom w:val="nil"/>
            </w:tcBorders>
          </w:tcPr>
          <w:p w:rsidR="00FF0CED" w:rsidRPr="00FF0CED" w:rsidRDefault="00FF0CED" w:rsidP="00802453">
            <w:pPr>
              <w:keepNext/>
              <w:rPr>
                <w:sz w:val="14"/>
                <w:szCs w:val="14"/>
              </w:rPr>
            </w:pPr>
          </w:p>
        </w:tc>
      </w:tr>
      <w:tr w:rsidR="00FF0CED" w:rsidRPr="00FF0CED" w:rsidTr="00FF0CED">
        <w:tc>
          <w:tcPr>
            <w:tcW w:w="956" w:type="dxa"/>
            <w:vMerge w:val="restart"/>
            <w:tcBorders>
              <w:top w:val="nil"/>
              <w:bottom w:val="nil"/>
              <w:right w:val="nil"/>
            </w:tcBorders>
            <w:vAlign w:val="center"/>
          </w:tcPr>
          <w:p w:rsidR="00FF0CED" w:rsidRPr="00FF0CED" w:rsidRDefault="00FF0CED" w:rsidP="00802453">
            <w:pPr>
              <w:keepNext/>
              <w:jc w:val="center"/>
              <w:rPr>
                <w:sz w:val="14"/>
                <w:szCs w:val="14"/>
              </w:rPr>
            </w:pPr>
            <w:r w:rsidRPr="00FF0CED">
              <w:rPr>
                <w:sz w:val="14"/>
                <w:szCs w:val="14"/>
              </w:rPr>
              <w:t>Subsidized Transportation to Central Location</w:t>
            </w:r>
          </w:p>
        </w:tc>
        <w:tc>
          <w:tcPr>
            <w:tcW w:w="949" w:type="dxa"/>
            <w:tcBorders>
              <w:top w:val="nil"/>
              <w:left w:val="nil"/>
              <w:bottom w:val="nil"/>
            </w:tcBorders>
          </w:tcPr>
          <w:p w:rsidR="00FF0CED" w:rsidRPr="00FF0CED" w:rsidRDefault="00FF0CED" w:rsidP="00802453">
            <w:pPr>
              <w:keepNext/>
              <w:rPr>
                <w:sz w:val="14"/>
                <w:szCs w:val="14"/>
              </w:rPr>
            </w:pPr>
            <w:r w:rsidRPr="00FF0CED">
              <w:rPr>
                <w:sz w:val="14"/>
                <w:szCs w:val="14"/>
              </w:rPr>
              <w:t>On-site Central Location</w:t>
            </w:r>
          </w:p>
        </w:tc>
        <w:tc>
          <w:tcPr>
            <w:tcW w:w="647" w:type="dxa"/>
            <w:tcBorders>
              <w:top w:val="nil"/>
              <w:bottom w:val="nil"/>
              <w:right w:val="nil"/>
            </w:tcBorders>
          </w:tcPr>
          <w:p w:rsidR="00FF0CED" w:rsidRPr="00FF0CED" w:rsidRDefault="00FF0CED" w:rsidP="00802453">
            <w:pPr>
              <w:keepNext/>
              <w:rPr>
                <w:sz w:val="14"/>
                <w:szCs w:val="14"/>
              </w:rPr>
            </w:pPr>
          </w:p>
        </w:tc>
        <w:tc>
          <w:tcPr>
            <w:tcW w:w="597" w:type="dxa"/>
            <w:tcBorders>
              <w:top w:val="nil"/>
              <w:left w:val="nil"/>
              <w:bottom w:val="nil"/>
              <w:right w:val="nil"/>
            </w:tcBorders>
          </w:tcPr>
          <w:p w:rsidR="00FF0CED" w:rsidRPr="00FF0CED" w:rsidRDefault="00FF0CED" w:rsidP="00802453">
            <w:pPr>
              <w:keepNext/>
              <w:rPr>
                <w:sz w:val="14"/>
                <w:szCs w:val="14"/>
              </w:rPr>
            </w:pPr>
          </w:p>
        </w:tc>
        <w:tc>
          <w:tcPr>
            <w:tcW w:w="698" w:type="dxa"/>
            <w:tcBorders>
              <w:top w:val="nil"/>
              <w:left w:val="nil"/>
              <w:bottom w:val="nil"/>
              <w:right w:val="nil"/>
            </w:tcBorders>
          </w:tcPr>
          <w:p w:rsidR="00FF0CED" w:rsidRPr="00FF0CED" w:rsidRDefault="00FF0CED" w:rsidP="00802453">
            <w:pPr>
              <w:keepNext/>
              <w:rPr>
                <w:sz w:val="14"/>
                <w:szCs w:val="14"/>
              </w:rPr>
            </w:pPr>
          </w:p>
        </w:tc>
        <w:tc>
          <w:tcPr>
            <w:tcW w:w="711" w:type="dxa"/>
            <w:tcBorders>
              <w:top w:val="nil"/>
              <w:left w:val="nil"/>
              <w:bottom w:val="nil"/>
              <w:right w:val="nil"/>
            </w:tcBorders>
          </w:tcPr>
          <w:p w:rsidR="00FF0CED" w:rsidRPr="00FF0CED" w:rsidRDefault="00FF0CED" w:rsidP="00802453">
            <w:pPr>
              <w:keepNext/>
              <w:rPr>
                <w:sz w:val="14"/>
                <w:szCs w:val="14"/>
              </w:rPr>
            </w:pPr>
          </w:p>
        </w:tc>
        <w:tc>
          <w:tcPr>
            <w:tcW w:w="785" w:type="dxa"/>
            <w:tcBorders>
              <w:top w:val="nil"/>
              <w:left w:val="nil"/>
              <w:bottom w:val="nil"/>
              <w:right w:val="nil"/>
            </w:tcBorders>
          </w:tcPr>
          <w:p w:rsidR="00FF0CED" w:rsidRPr="00FF0CED" w:rsidRDefault="00FF0CED" w:rsidP="00802453">
            <w:pPr>
              <w:keepNext/>
              <w:rPr>
                <w:sz w:val="14"/>
                <w:szCs w:val="14"/>
              </w:rPr>
            </w:pPr>
          </w:p>
        </w:tc>
        <w:tc>
          <w:tcPr>
            <w:tcW w:w="144" w:type="dxa"/>
            <w:tcBorders>
              <w:top w:val="nil"/>
              <w:left w:val="nil"/>
              <w:bottom w:val="nil"/>
              <w:right w:val="nil"/>
            </w:tcBorders>
          </w:tcPr>
          <w:p w:rsidR="00FF0CED" w:rsidRPr="00FF0CED" w:rsidRDefault="00FF0CED" w:rsidP="00802453">
            <w:pPr>
              <w:keepNext/>
              <w:rPr>
                <w:sz w:val="14"/>
                <w:szCs w:val="14"/>
              </w:rPr>
            </w:pPr>
          </w:p>
        </w:tc>
        <w:tc>
          <w:tcPr>
            <w:tcW w:w="666" w:type="dxa"/>
            <w:tcBorders>
              <w:top w:val="nil"/>
              <w:left w:val="nil"/>
              <w:bottom w:val="nil"/>
              <w:right w:val="nil"/>
            </w:tcBorders>
          </w:tcPr>
          <w:p w:rsidR="00FF0CED" w:rsidRPr="00FF0CED" w:rsidRDefault="00FF0CED" w:rsidP="00802453">
            <w:pPr>
              <w:keepNext/>
              <w:rPr>
                <w:sz w:val="14"/>
                <w:szCs w:val="14"/>
              </w:rPr>
            </w:pPr>
          </w:p>
        </w:tc>
        <w:tc>
          <w:tcPr>
            <w:tcW w:w="683" w:type="dxa"/>
            <w:tcBorders>
              <w:top w:val="nil"/>
              <w:left w:val="nil"/>
              <w:bottom w:val="nil"/>
              <w:right w:val="nil"/>
            </w:tcBorders>
          </w:tcPr>
          <w:p w:rsidR="00FF0CED" w:rsidRPr="00FF0CED" w:rsidRDefault="00FF0CED" w:rsidP="00802453">
            <w:pPr>
              <w:keepNext/>
              <w:rPr>
                <w:sz w:val="14"/>
                <w:szCs w:val="14"/>
              </w:rPr>
            </w:pPr>
          </w:p>
        </w:tc>
        <w:tc>
          <w:tcPr>
            <w:tcW w:w="698" w:type="dxa"/>
            <w:tcBorders>
              <w:top w:val="nil"/>
              <w:left w:val="nil"/>
              <w:bottom w:val="nil"/>
              <w:right w:val="nil"/>
            </w:tcBorders>
          </w:tcPr>
          <w:p w:rsidR="00FF0CED" w:rsidRPr="00FF0CED" w:rsidRDefault="00FF0CED" w:rsidP="00802453">
            <w:pPr>
              <w:keepNext/>
              <w:rPr>
                <w:sz w:val="14"/>
                <w:szCs w:val="14"/>
              </w:rPr>
            </w:pPr>
          </w:p>
        </w:tc>
        <w:tc>
          <w:tcPr>
            <w:tcW w:w="711" w:type="dxa"/>
            <w:tcBorders>
              <w:top w:val="nil"/>
              <w:left w:val="nil"/>
              <w:bottom w:val="nil"/>
              <w:right w:val="nil"/>
            </w:tcBorders>
          </w:tcPr>
          <w:p w:rsidR="00FF0CED" w:rsidRPr="00FF0CED" w:rsidRDefault="00FF0CED" w:rsidP="00802453">
            <w:pPr>
              <w:keepNext/>
              <w:rPr>
                <w:sz w:val="14"/>
                <w:szCs w:val="14"/>
              </w:rPr>
            </w:pPr>
          </w:p>
        </w:tc>
        <w:tc>
          <w:tcPr>
            <w:tcW w:w="785" w:type="dxa"/>
            <w:tcBorders>
              <w:top w:val="nil"/>
              <w:left w:val="nil"/>
              <w:bottom w:val="nil"/>
            </w:tcBorders>
          </w:tcPr>
          <w:p w:rsidR="00FF0CED" w:rsidRPr="00FF0CED" w:rsidRDefault="00FF0CED" w:rsidP="00802453">
            <w:pPr>
              <w:keepNext/>
              <w:rPr>
                <w:sz w:val="14"/>
                <w:szCs w:val="14"/>
              </w:rPr>
            </w:pPr>
          </w:p>
        </w:tc>
      </w:tr>
      <w:tr w:rsidR="00FF0CED" w:rsidRPr="00FF0CED" w:rsidTr="00FF0CED">
        <w:tc>
          <w:tcPr>
            <w:tcW w:w="956" w:type="dxa"/>
            <w:vMerge/>
            <w:tcBorders>
              <w:top w:val="nil"/>
              <w:bottom w:val="nil"/>
              <w:right w:val="nil"/>
            </w:tcBorders>
          </w:tcPr>
          <w:p w:rsidR="00FF0CED" w:rsidRPr="00FF0CED" w:rsidRDefault="00FF0CED" w:rsidP="00802453">
            <w:pPr>
              <w:keepNext/>
              <w:rPr>
                <w:sz w:val="14"/>
                <w:szCs w:val="14"/>
              </w:rPr>
            </w:pPr>
          </w:p>
        </w:tc>
        <w:tc>
          <w:tcPr>
            <w:tcW w:w="949" w:type="dxa"/>
            <w:tcBorders>
              <w:top w:val="nil"/>
              <w:left w:val="nil"/>
              <w:bottom w:val="nil"/>
            </w:tcBorders>
          </w:tcPr>
          <w:p w:rsidR="00FF0CED" w:rsidRPr="00FF0CED" w:rsidRDefault="00FF0CED" w:rsidP="00802453">
            <w:pPr>
              <w:keepNext/>
              <w:rPr>
                <w:sz w:val="14"/>
                <w:szCs w:val="14"/>
              </w:rPr>
            </w:pPr>
            <w:r w:rsidRPr="00FF0CED">
              <w:rPr>
                <w:sz w:val="14"/>
                <w:szCs w:val="14"/>
              </w:rPr>
              <w:t>Off-site Cluster</w:t>
            </w:r>
          </w:p>
        </w:tc>
        <w:tc>
          <w:tcPr>
            <w:tcW w:w="647" w:type="dxa"/>
            <w:tcBorders>
              <w:top w:val="nil"/>
              <w:bottom w:val="nil"/>
              <w:right w:val="nil"/>
            </w:tcBorders>
          </w:tcPr>
          <w:p w:rsidR="00FF0CED" w:rsidRPr="00FF0CED" w:rsidRDefault="00FF0CED" w:rsidP="00802453">
            <w:pPr>
              <w:keepNext/>
              <w:rPr>
                <w:sz w:val="14"/>
                <w:szCs w:val="14"/>
              </w:rPr>
            </w:pPr>
          </w:p>
        </w:tc>
        <w:tc>
          <w:tcPr>
            <w:tcW w:w="597" w:type="dxa"/>
            <w:tcBorders>
              <w:top w:val="nil"/>
              <w:left w:val="nil"/>
              <w:bottom w:val="nil"/>
              <w:right w:val="nil"/>
            </w:tcBorders>
          </w:tcPr>
          <w:p w:rsidR="00FF0CED" w:rsidRPr="00FF0CED" w:rsidRDefault="00FF0CED" w:rsidP="00802453">
            <w:pPr>
              <w:keepNext/>
              <w:rPr>
                <w:sz w:val="14"/>
                <w:szCs w:val="14"/>
              </w:rPr>
            </w:pPr>
          </w:p>
        </w:tc>
        <w:tc>
          <w:tcPr>
            <w:tcW w:w="698" w:type="dxa"/>
            <w:tcBorders>
              <w:top w:val="nil"/>
              <w:left w:val="nil"/>
              <w:bottom w:val="nil"/>
              <w:right w:val="nil"/>
            </w:tcBorders>
          </w:tcPr>
          <w:p w:rsidR="00FF0CED" w:rsidRPr="00FF0CED" w:rsidRDefault="00FF0CED" w:rsidP="00802453">
            <w:pPr>
              <w:keepNext/>
              <w:rPr>
                <w:sz w:val="14"/>
                <w:szCs w:val="14"/>
              </w:rPr>
            </w:pPr>
          </w:p>
        </w:tc>
        <w:tc>
          <w:tcPr>
            <w:tcW w:w="711" w:type="dxa"/>
            <w:tcBorders>
              <w:top w:val="nil"/>
              <w:left w:val="nil"/>
              <w:bottom w:val="nil"/>
              <w:right w:val="nil"/>
            </w:tcBorders>
          </w:tcPr>
          <w:p w:rsidR="00FF0CED" w:rsidRPr="00FF0CED" w:rsidRDefault="00FF0CED" w:rsidP="00802453">
            <w:pPr>
              <w:keepNext/>
              <w:rPr>
                <w:sz w:val="14"/>
                <w:szCs w:val="14"/>
              </w:rPr>
            </w:pPr>
          </w:p>
        </w:tc>
        <w:tc>
          <w:tcPr>
            <w:tcW w:w="785" w:type="dxa"/>
            <w:tcBorders>
              <w:top w:val="nil"/>
              <w:left w:val="nil"/>
              <w:bottom w:val="nil"/>
              <w:right w:val="nil"/>
            </w:tcBorders>
          </w:tcPr>
          <w:p w:rsidR="00FF0CED" w:rsidRPr="00FF0CED" w:rsidRDefault="00FF0CED" w:rsidP="00802453">
            <w:pPr>
              <w:keepNext/>
              <w:rPr>
                <w:sz w:val="14"/>
                <w:szCs w:val="14"/>
              </w:rPr>
            </w:pPr>
          </w:p>
        </w:tc>
        <w:tc>
          <w:tcPr>
            <w:tcW w:w="144" w:type="dxa"/>
            <w:tcBorders>
              <w:top w:val="nil"/>
              <w:left w:val="nil"/>
              <w:bottom w:val="nil"/>
              <w:right w:val="nil"/>
            </w:tcBorders>
          </w:tcPr>
          <w:p w:rsidR="00FF0CED" w:rsidRPr="00FF0CED" w:rsidRDefault="00FF0CED" w:rsidP="00802453">
            <w:pPr>
              <w:keepNext/>
              <w:rPr>
                <w:sz w:val="14"/>
                <w:szCs w:val="14"/>
              </w:rPr>
            </w:pPr>
          </w:p>
        </w:tc>
        <w:tc>
          <w:tcPr>
            <w:tcW w:w="666" w:type="dxa"/>
            <w:tcBorders>
              <w:top w:val="nil"/>
              <w:left w:val="nil"/>
              <w:bottom w:val="nil"/>
              <w:right w:val="nil"/>
            </w:tcBorders>
          </w:tcPr>
          <w:p w:rsidR="00FF0CED" w:rsidRPr="00FF0CED" w:rsidRDefault="00FF0CED" w:rsidP="00802453">
            <w:pPr>
              <w:keepNext/>
              <w:rPr>
                <w:sz w:val="14"/>
                <w:szCs w:val="14"/>
              </w:rPr>
            </w:pPr>
          </w:p>
        </w:tc>
        <w:tc>
          <w:tcPr>
            <w:tcW w:w="683" w:type="dxa"/>
            <w:tcBorders>
              <w:top w:val="nil"/>
              <w:left w:val="nil"/>
              <w:bottom w:val="nil"/>
              <w:right w:val="nil"/>
            </w:tcBorders>
          </w:tcPr>
          <w:p w:rsidR="00FF0CED" w:rsidRPr="00FF0CED" w:rsidRDefault="00FF0CED" w:rsidP="00802453">
            <w:pPr>
              <w:keepNext/>
              <w:rPr>
                <w:sz w:val="14"/>
                <w:szCs w:val="14"/>
              </w:rPr>
            </w:pPr>
          </w:p>
        </w:tc>
        <w:tc>
          <w:tcPr>
            <w:tcW w:w="698" w:type="dxa"/>
            <w:tcBorders>
              <w:top w:val="nil"/>
              <w:left w:val="nil"/>
              <w:bottom w:val="nil"/>
              <w:right w:val="nil"/>
            </w:tcBorders>
          </w:tcPr>
          <w:p w:rsidR="00FF0CED" w:rsidRPr="00FF0CED" w:rsidRDefault="00FF0CED" w:rsidP="00802453">
            <w:pPr>
              <w:keepNext/>
              <w:rPr>
                <w:sz w:val="14"/>
                <w:szCs w:val="14"/>
              </w:rPr>
            </w:pPr>
          </w:p>
        </w:tc>
        <w:tc>
          <w:tcPr>
            <w:tcW w:w="711" w:type="dxa"/>
            <w:tcBorders>
              <w:top w:val="nil"/>
              <w:left w:val="nil"/>
              <w:bottom w:val="nil"/>
              <w:right w:val="nil"/>
            </w:tcBorders>
          </w:tcPr>
          <w:p w:rsidR="00FF0CED" w:rsidRPr="00FF0CED" w:rsidRDefault="00FF0CED" w:rsidP="00802453">
            <w:pPr>
              <w:keepNext/>
              <w:rPr>
                <w:sz w:val="14"/>
                <w:szCs w:val="14"/>
              </w:rPr>
            </w:pPr>
          </w:p>
        </w:tc>
        <w:tc>
          <w:tcPr>
            <w:tcW w:w="785" w:type="dxa"/>
            <w:tcBorders>
              <w:top w:val="nil"/>
              <w:left w:val="nil"/>
              <w:bottom w:val="nil"/>
            </w:tcBorders>
          </w:tcPr>
          <w:p w:rsidR="00FF0CED" w:rsidRPr="00FF0CED" w:rsidRDefault="00FF0CED" w:rsidP="00802453">
            <w:pPr>
              <w:keepNext/>
              <w:rPr>
                <w:sz w:val="14"/>
                <w:szCs w:val="14"/>
              </w:rPr>
            </w:pPr>
          </w:p>
        </w:tc>
      </w:tr>
      <w:tr w:rsidR="00FF0CED" w:rsidRPr="00FF0CED" w:rsidTr="00FF0CED">
        <w:tc>
          <w:tcPr>
            <w:tcW w:w="956" w:type="dxa"/>
            <w:vMerge/>
            <w:tcBorders>
              <w:top w:val="nil"/>
              <w:bottom w:val="nil"/>
              <w:right w:val="nil"/>
            </w:tcBorders>
          </w:tcPr>
          <w:p w:rsidR="00FF0CED" w:rsidRPr="00FF0CED" w:rsidRDefault="00FF0CED" w:rsidP="00802453">
            <w:pPr>
              <w:keepNext/>
              <w:rPr>
                <w:sz w:val="14"/>
                <w:szCs w:val="14"/>
              </w:rPr>
            </w:pPr>
          </w:p>
        </w:tc>
        <w:tc>
          <w:tcPr>
            <w:tcW w:w="949" w:type="dxa"/>
            <w:tcBorders>
              <w:top w:val="nil"/>
              <w:left w:val="nil"/>
              <w:bottom w:val="nil"/>
            </w:tcBorders>
          </w:tcPr>
          <w:p w:rsidR="00FF0CED" w:rsidRPr="00FF0CED" w:rsidRDefault="00FF0CED" w:rsidP="00802453">
            <w:pPr>
              <w:keepNext/>
              <w:rPr>
                <w:sz w:val="14"/>
                <w:szCs w:val="14"/>
              </w:rPr>
            </w:pPr>
            <w:r w:rsidRPr="00FF0CED">
              <w:rPr>
                <w:sz w:val="14"/>
                <w:szCs w:val="14"/>
              </w:rPr>
              <w:t>Scatter-site</w:t>
            </w:r>
          </w:p>
        </w:tc>
        <w:tc>
          <w:tcPr>
            <w:tcW w:w="647" w:type="dxa"/>
            <w:tcBorders>
              <w:top w:val="nil"/>
              <w:bottom w:val="nil"/>
              <w:right w:val="nil"/>
            </w:tcBorders>
          </w:tcPr>
          <w:p w:rsidR="00FF0CED" w:rsidRPr="00FF0CED" w:rsidRDefault="00FF0CED" w:rsidP="00802453">
            <w:pPr>
              <w:keepNext/>
              <w:rPr>
                <w:sz w:val="14"/>
                <w:szCs w:val="14"/>
              </w:rPr>
            </w:pPr>
          </w:p>
        </w:tc>
        <w:tc>
          <w:tcPr>
            <w:tcW w:w="597" w:type="dxa"/>
            <w:tcBorders>
              <w:top w:val="nil"/>
              <w:left w:val="nil"/>
              <w:bottom w:val="nil"/>
              <w:right w:val="nil"/>
            </w:tcBorders>
          </w:tcPr>
          <w:p w:rsidR="00FF0CED" w:rsidRPr="00FF0CED" w:rsidRDefault="00FF0CED" w:rsidP="00802453">
            <w:pPr>
              <w:keepNext/>
              <w:rPr>
                <w:sz w:val="14"/>
                <w:szCs w:val="14"/>
              </w:rPr>
            </w:pPr>
          </w:p>
        </w:tc>
        <w:tc>
          <w:tcPr>
            <w:tcW w:w="698" w:type="dxa"/>
            <w:tcBorders>
              <w:top w:val="nil"/>
              <w:left w:val="nil"/>
              <w:bottom w:val="nil"/>
              <w:right w:val="nil"/>
            </w:tcBorders>
          </w:tcPr>
          <w:p w:rsidR="00FF0CED" w:rsidRPr="00FF0CED" w:rsidRDefault="00FF0CED" w:rsidP="00802453">
            <w:pPr>
              <w:keepNext/>
              <w:rPr>
                <w:sz w:val="14"/>
                <w:szCs w:val="14"/>
              </w:rPr>
            </w:pPr>
          </w:p>
        </w:tc>
        <w:tc>
          <w:tcPr>
            <w:tcW w:w="711" w:type="dxa"/>
            <w:tcBorders>
              <w:top w:val="nil"/>
              <w:left w:val="nil"/>
              <w:bottom w:val="nil"/>
              <w:right w:val="nil"/>
            </w:tcBorders>
          </w:tcPr>
          <w:p w:rsidR="00FF0CED" w:rsidRPr="00FF0CED" w:rsidRDefault="00FF0CED" w:rsidP="00802453">
            <w:pPr>
              <w:keepNext/>
              <w:rPr>
                <w:sz w:val="14"/>
                <w:szCs w:val="14"/>
              </w:rPr>
            </w:pPr>
          </w:p>
        </w:tc>
        <w:tc>
          <w:tcPr>
            <w:tcW w:w="785" w:type="dxa"/>
            <w:tcBorders>
              <w:top w:val="nil"/>
              <w:left w:val="nil"/>
              <w:bottom w:val="nil"/>
              <w:right w:val="nil"/>
            </w:tcBorders>
          </w:tcPr>
          <w:p w:rsidR="00FF0CED" w:rsidRPr="00FF0CED" w:rsidRDefault="00FF0CED" w:rsidP="00802453">
            <w:pPr>
              <w:keepNext/>
              <w:rPr>
                <w:sz w:val="14"/>
                <w:szCs w:val="14"/>
              </w:rPr>
            </w:pPr>
          </w:p>
        </w:tc>
        <w:tc>
          <w:tcPr>
            <w:tcW w:w="144" w:type="dxa"/>
            <w:tcBorders>
              <w:top w:val="nil"/>
              <w:left w:val="nil"/>
              <w:bottom w:val="nil"/>
              <w:right w:val="nil"/>
            </w:tcBorders>
          </w:tcPr>
          <w:p w:rsidR="00FF0CED" w:rsidRPr="00FF0CED" w:rsidRDefault="00FF0CED" w:rsidP="00802453">
            <w:pPr>
              <w:keepNext/>
              <w:rPr>
                <w:sz w:val="14"/>
                <w:szCs w:val="14"/>
              </w:rPr>
            </w:pPr>
          </w:p>
        </w:tc>
        <w:tc>
          <w:tcPr>
            <w:tcW w:w="666" w:type="dxa"/>
            <w:tcBorders>
              <w:top w:val="nil"/>
              <w:left w:val="nil"/>
              <w:bottom w:val="nil"/>
              <w:right w:val="nil"/>
            </w:tcBorders>
          </w:tcPr>
          <w:p w:rsidR="00FF0CED" w:rsidRPr="00FF0CED" w:rsidRDefault="00FF0CED" w:rsidP="00802453">
            <w:pPr>
              <w:keepNext/>
              <w:rPr>
                <w:sz w:val="14"/>
                <w:szCs w:val="14"/>
              </w:rPr>
            </w:pPr>
          </w:p>
        </w:tc>
        <w:tc>
          <w:tcPr>
            <w:tcW w:w="683" w:type="dxa"/>
            <w:tcBorders>
              <w:top w:val="nil"/>
              <w:left w:val="nil"/>
              <w:bottom w:val="nil"/>
              <w:right w:val="nil"/>
            </w:tcBorders>
          </w:tcPr>
          <w:p w:rsidR="00FF0CED" w:rsidRPr="00FF0CED" w:rsidRDefault="00FF0CED" w:rsidP="00802453">
            <w:pPr>
              <w:keepNext/>
              <w:rPr>
                <w:sz w:val="14"/>
                <w:szCs w:val="14"/>
              </w:rPr>
            </w:pPr>
          </w:p>
        </w:tc>
        <w:tc>
          <w:tcPr>
            <w:tcW w:w="698" w:type="dxa"/>
            <w:tcBorders>
              <w:top w:val="nil"/>
              <w:left w:val="nil"/>
              <w:bottom w:val="nil"/>
              <w:right w:val="nil"/>
            </w:tcBorders>
          </w:tcPr>
          <w:p w:rsidR="00FF0CED" w:rsidRPr="00FF0CED" w:rsidRDefault="00FF0CED" w:rsidP="00802453">
            <w:pPr>
              <w:keepNext/>
              <w:rPr>
                <w:sz w:val="14"/>
                <w:szCs w:val="14"/>
              </w:rPr>
            </w:pPr>
          </w:p>
        </w:tc>
        <w:tc>
          <w:tcPr>
            <w:tcW w:w="711" w:type="dxa"/>
            <w:tcBorders>
              <w:top w:val="nil"/>
              <w:left w:val="nil"/>
              <w:bottom w:val="nil"/>
              <w:right w:val="nil"/>
            </w:tcBorders>
          </w:tcPr>
          <w:p w:rsidR="00FF0CED" w:rsidRPr="00FF0CED" w:rsidRDefault="00FF0CED" w:rsidP="00802453">
            <w:pPr>
              <w:keepNext/>
              <w:rPr>
                <w:sz w:val="14"/>
                <w:szCs w:val="14"/>
              </w:rPr>
            </w:pPr>
          </w:p>
        </w:tc>
        <w:tc>
          <w:tcPr>
            <w:tcW w:w="785" w:type="dxa"/>
            <w:tcBorders>
              <w:top w:val="nil"/>
              <w:left w:val="nil"/>
              <w:bottom w:val="nil"/>
            </w:tcBorders>
          </w:tcPr>
          <w:p w:rsidR="00FF0CED" w:rsidRPr="00FF0CED" w:rsidRDefault="00FF0CED" w:rsidP="00802453">
            <w:pPr>
              <w:keepNext/>
              <w:rPr>
                <w:sz w:val="14"/>
                <w:szCs w:val="14"/>
              </w:rPr>
            </w:pPr>
          </w:p>
        </w:tc>
      </w:tr>
      <w:tr w:rsidR="00FF0CED" w:rsidRPr="00FF0CED" w:rsidTr="00FF0CED">
        <w:tc>
          <w:tcPr>
            <w:tcW w:w="956" w:type="dxa"/>
            <w:tcBorders>
              <w:top w:val="nil"/>
              <w:bottom w:val="nil"/>
              <w:right w:val="nil"/>
            </w:tcBorders>
          </w:tcPr>
          <w:p w:rsidR="00FF0CED" w:rsidRPr="00FF0CED" w:rsidRDefault="00FF0CED" w:rsidP="00802453">
            <w:pPr>
              <w:keepNext/>
              <w:rPr>
                <w:sz w:val="14"/>
                <w:szCs w:val="14"/>
              </w:rPr>
            </w:pPr>
          </w:p>
        </w:tc>
        <w:tc>
          <w:tcPr>
            <w:tcW w:w="949" w:type="dxa"/>
            <w:tcBorders>
              <w:top w:val="nil"/>
              <w:left w:val="nil"/>
              <w:bottom w:val="nil"/>
            </w:tcBorders>
          </w:tcPr>
          <w:p w:rsidR="00FF0CED" w:rsidRPr="00FF0CED" w:rsidRDefault="00FF0CED" w:rsidP="00802453">
            <w:pPr>
              <w:keepNext/>
              <w:rPr>
                <w:sz w:val="14"/>
                <w:szCs w:val="14"/>
              </w:rPr>
            </w:pPr>
          </w:p>
        </w:tc>
        <w:tc>
          <w:tcPr>
            <w:tcW w:w="647" w:type="dxa"/>
            <w:tcBorders>
              <w:top w:val="nil"/>
              <w:bottom w:val="nil"/>
              <w:right w:val="nil"/>
            </w:tcBorders>
          </w:tcPr>
          <w:p w:rsidR="00FF0CED" w:rsidRPr="00FF0CED" w:rsidRDefault="00FF0CED" w:rsidP="00802453">
            <w:pPr>
              <w:keepNext/>
              <w:rPr>
                <w:sz w:val="14"/>
                <w:szCs w:val="14"/>
              </w:rPr>
            </w:pPr>
          </w:p>
        </w:tc>
        <w:tc>
          <w:tcPr>
            <w:tcW w:w="597" w:type="dxa"/>
            <w:tcBorders>
              <w:top w:val="nil"/>
              <w:left w:val="nil"/>
              <w:bottom w:val="nil"/>
              <w:right w:val="nil"/>
            </w:tcBorders>
          </w:tcPr>
          <w:p w:rsidR="00FF0CED" w:rsidRPr="00FF0CED" w:rsidRDefault="00FF0CED" w:rsidP="00802453">
            <w:pPr>
              <w:keepNext/>
              <w:rPr>
                <w:sz w:val="14"/>
                <w:szCs w:val="14"/>
              </w:rPr>
            </w:pPr>
          </w:p>
        </w:tc>
        <w:tc>
          <w:tcPr>
            <w:tcW w:w="698" w:type="dxa"/>
            <w:tcBorders>
              <w:top w:val="nil"/>
              <w:left w:val="nil"/>
              <w:bottom w:val="nil"/>
              <w:right w:val="nil"/>
            </w:tcBorders>
          </w:tcPr>
          <w:p w:rsidR="00FF0CED" w:rsidRPr="00FF0CED" w:rsidRDefault="00FF0CED" w:rsidP="00802453">
            <w:pPr>
              <w:keepNext/>
              <w:rPr>
                <w:sz w:val="14"/>
                <w:szCs w:val="14"/>
              </w:rPr>
            </w:pPr>
          </w:p>
        </w:tc>
        <w:tc>
          <w:tcPr>
            <w:tcW w:w="711" w:type="dxa"/>
            <w:tcBorders>
              <w:top w:val="nil"/>
              <w:left w:val="nil"/>
              <w:bottom w:val="nil"/>
              <w:right w:val="nil"/>
            </w:tcBorders>
          </w:tcPr>
          <w:p w:rsidR="00FF0CED" w:rsidRPr="00FF0CED" w:rsidRDefault="00FF0CED" w:rsidP="00802453">
            <w:pPr>
              <w:keepNext/>
              <w:rPr>
                <w:sz w:val="14"/>
                <w:szCs w:val="14"/>
              </w:rPr>
            </w:pPr>
          </w:p>
        </w:tc>
        <w:tc>
          <w:tcPr>
            <w:tcW w:w="785" w:type="dxa"/>
            <w:tcBorders>
              <w:top w:val="nil"/>
              <w:left w:val="nil"/>
              <w:bottom w:val="nil"/>
              <w:right w:val="nil"/>
            </w:tcBorders>
          </w:tcPr>
          <w:p w:rsidR="00FF0CED" w:rsidRPr="00FF0CED" w:rsidRDefault="00FF0CED" w:rsidP="00802453">
            <w:pPr>
              <w:keepNext/>
              <w:rPr>
                <w:sz w:val="14"/>
                <w:szCs w:val="14"/>
              </w:rPr>
            </w:pPr>
          </w:p>
        </w:tc>
        <w:tc>
          <w:tcPr>
            <w:tcW w:w="144" w:type="dxa"/>
            <w:tcBorders>
              <w:top w:val="nil"/>
              <w:left w:val="nil"/>
              <w:bottom w:val="nil"/>
              <w:right w:val="nil"/>
            </w:tcBorders>
          </w:tcPr>
          <w:p w:rsidR="00FF0CED" w:rsidRPr="00FF0CED" w:rsidRDefault="00FF0CED" w:rsidP="00802453">
            <w:pPr>
              <w:keepNext/>
              <w:rPr>
                <w:sz w:val="14"/>
                <w:szCs w:val="14"/>
              </w:rPr>
            </w:pPr>
          </w:p>
        </w:tc>
        <w:tc>
          <w:tcPr>
            <w:tcW w:w="666" w:type="dxa"/>
            <w:tcBorders>
              <w:top w:val="nil"/>
              <w:left w:val="nil"/>
              <w:bottom w:val="nil"/>
              <w:right w:val="nil"/>
            </w:tcBorders>
          </w:tcPr>
          <w:p w:rsidR="00FF0CED" w:rsidRPr="00FF0CED" w:rsidRDefault="00FF0CED" w:rsidP="00802453">
            <w:pPr>
              <w:keepNext/>
              <w:rPr>
                <w:sz w:val="14"/>
                <w:szCs w:val="14"/>
              </w:rPr>
            </w:pPr>
          </w:p>
        </w:tc>
        <w:tc>
          <w:tcPr>
            <w:tcW w:w="683" w:type="dxa"/>
            <w:tcBorders>
              <w:top w:val="nil"/>
              <w:left w:val="nil"/>
              <w:bottom w:val="nil"/>
              <w:right w:val="nil"/>
            </w:tcBorders>
          </w:tcPr>
          <w:p w:rsidR="00FF0CED" w:rsidRPr="00FF0CED" w:rsidRDefault="00FF0CED" w:rsidP="00802453">
            <w:pPr>
              <w:keepNext/>
              <w:rPr>
                <w:sz w:val="14"/>
                <w:szCs w:val="14"/>
              </w:rPr>
            </w:pPr>
          </w:p>
        </w:tc>
        <w:tc>
          <w:tcPr>
            <w:tcW w:w="698" w:type="dxa"/>
            <w:tcBorders>
              <w:top w:val="nil"/>
              <w:left w:val="nil"/>
              <w:bottom w:val="nil"/>
              <w:right w:val="nil"/>
            </w:tcBorders>
          </w:tcPr>
          <w:p w:rsidR="00FF0CED" w:rsidRPr="00FF0CED" w:rsidRDefault="00FF0CED" w:rsidP="00802453">
            <w:pPr>
              <w:keepNext/>
              <w:rPr>
                <w:sz w:val="14"/>
                <w:szCs w:val="14"/>
              </w:rPr>
            </w:pPr>
          </w:p>
        </w:tc>
        <w:tc>
          <w:tcPr>
            <w:tcW w:w="711" w:type="dxa"/>
            <w:tcBorders>
              <w:top w:val="nil"/>
              <w:left w:val="nil"/>
              <w:bottom w:val="nil"/>
              <w:right w:val="nil"/>
            </w:tcBorders>
          </w:tcPr>
          <w:p w:rsidR="00FF0CED" w:rsidRPr="00FF0CED" w:rsidRDefault="00FF0CED" w:rsidP="00802453">
            <w:pPr>
              <w:keepNext/>
              <w:rPr>
                <w:sz w:val="14"/>
                <w:szCs w:val="14"/>
              </w:rPr>
            </w:pPr>
          </w:p>
        </w:tc>
        <w:tc>
          <w:tcPr>
            <w:tcW w:w="785" w:type="dxa"/>
            <w:tcBorders>
              <w:top w:val="nil"/>
              <w:left w:val="nil"/>
              <w:bottom w:val="nil"/>
            </w:tcBorders>
          </w:tcPr>
          <w:p w:rsidR="00FF0CED" w:rsidRPr="00FF0CED" w:rsidRDefault="00FF0CED" w:rsidP="00802453">
            <w:pPr>
              <w:keepNext/>
              <w:rPr>
                <w:sz w:val="14"/>
                <w:szCs w:val="14"/>
              </w:rPr>
            </w:pPr>
          </w:p>
        </w:tc>
      </w:tr>
      <w:tr w:rsidR="00FF0CED" w:rsidRPr="00FF0CED" w:rsidTr="00FF0CED">
        <w:tc>
          <w:tcPr>
            <w:tcW w:w="956" w:type="dxa"/>
            <w:vMerge w:val="restart"/>
            <w:tcBorders>
              <w:top w:val="nil"/>
              <w:bottom w:val="nil"/>
              <w:right w:val="nil"/>
            </w:tcBorders>
            <w:vAlign w:val="center"/>
          </w:tcPr>
          <w:p w:rsidR="00FF0CED" w:rsidRPr="00FF0CED" w:rsidRDefault="00FF0CED" w:rsidP="00802453">
            <w:pPr>
              <w:keepNext/>
              <w:jc w:val="center"/>
              <w:rPr>
                <w:sz w:val="14"/>
                <w:szCs w:val="14"/>
              </w:rPr>
            </w:pPr>
            <w:r w:rsidRPr="00FF0CED">
              <w:rPr>
                <w:sz w:val="14"/>
                <w:szCs w:val="14"/>
              </w:rPr>
              <w:t>Service Provided at Residence</w:t>
            </w:r>
          </w:p>
        </w:tc>
        <w:tc>
          <w:tcPr>
            <w:tcW w:w="949" w:type="dxa"/>
            <w:tcBorders>
              <w:top w:val="nil"/>
              <w:left w:val="nil"/>
              <w:bottom w:val="nil"/>
            </w:tcBorders>
          </w:tcPr>
          <w:p w:rsidR="00FF0CED" w:rsidRPr="00FF0CED" w:rsidRDefault="00FF0CED" w:rsidP="00802453">
            <w:pPr>
              <w:keepNext/>
              <w:rPr>
                <w:sz w:val="14"/>
                <w:szCs w:val="14"/>
              </w:rPr>
            </w:pPr>
            <w:r w:rsidRPr="00FF0CED">
              <w:rPr>
                <w:sz w:val="14"/>
                <w:szCs w:val="14"/>
              </w:rPr>
              <w:t>On-site Central Location</w:t>
            </w:r>
          </w:p>
        </w:tc>
        <w:tc>
          <w:tcPr>
            <w:tcW w:w="647" w:type="dxa"/>
            <w:tcBorders>
              <w:top w:val="nil"/>
              <w:bottom w:val="nil"/>
              <w:right w:val="nil"/>
            </w:tcBorders>
          </w:tcPr>
          <w:p w:rsidR="00FF0CED" w:rsidRPr="00FF0CED" w:rsidRDefault="00FF0CED" w:rsidP="00802453">
            <w:pPr>
              <w:keepNext/>
              <w:rPr>
                <w:sz w:val="14"/>
                <w:szCs w:val="14"/>
              </w:rPr>
            </w:pPr>
          </w:p>
        </w:tc>
        <w:tc>
          <w:tcPr>
            <w:tcW w:w="597" w:type="dxa"/>
            <w:tcBorders>
              <w:top w:val="nil"/>
              <w:left w:val="nil"/>
              <w:bottom w:val="nil"/>
              <w:right w:val="nil"/>
            </w:tcBorders>
          </w:tcPr>
          <w:p w:rsidR="00FF0CED" w:rsidRPr="00FF0CED" w:rsidRDefault="00FF0CED" w:rsidP="00802453">
            <w:pPr>
              <w:keepNext/>
              <w:rPr>
                <w:sz w:val="14"/>
                <w:szCs w:val="14"/>
              </w:rPr>
            </w:pPr>
          </w:p>
        </w:tc>
        <w:tc>
          <w:tcPr>
            <w:tcW w:w="698" w:type="dxa"/>
            <w:tcBorders>
              <w:top w:val="nil"/>
              <w:left w:val="nil"/>
              <w:bottom w:val="nil"/>
              <w:right w:val="nil"/>
            </w:tcBorders>
          </w:tcPr>
          <w:p w:rsidR="00FF0CED" w:rsidRPr="00FF0CED" w:rsidRDefault="00FF0CED" w:rsidP="00802453">
            <w:pPr>
              <w:keepNext/>
              <w:rPr>
                <w:sz w:val="14"/>
                <w:szCs w:val="14"/>
              </w:rPr>
            </w:pPr>
          </w:p>
        </w:tc>
        <w:tc>
          <w:tcPr>
            <w:tcW w:w="711" w:type="dxa"/>
            <w:tcBorders>
              <w:top w:val="nil"/>
              <w:left w:val="nil"/>
              <w:bottom w:val="nil"/>
              <w:right w:val="nil"/>
            </w:tcBorders>
          </w:tcPr>
          <w:p w:rsidR="00FF0CED" w:rsidRPr="00FF0CED" w:rsidRDefault="00FF0CED" w:rsidP="00802453">
            <w:pPr>
              <w:keepNext/>
              <w:rPr>
                <w:sz w:val="14"/>
                <w:szCs w:val="14"/>
              </w:rPr>
            </w:pPr>
          </w:p>
        </w:tc>
        <w:tc>
          <w:tcPr>
            <w:tcW w:w="785" w:type="dxa"/>
            <w:tcBorders>
              <w:top w:val="nil"/>
              <w:left w:val="nil"/>
              <w:bottom w:val="nil"/>
              <w:right w:val="nil"/>
            </w:tcBorders>
          </w:tcPr>
          <w:p w:rsidR="00FF0CED" w:rsidRPr="00FF0CED" w:rsidRDefault="00FF0CED" w:rsidP="00802453">
            <w:pPr>
              <w:keepNext/>
              <w:rPr>
                <w:sz w:val="14"/>
                <w:szCs w:val="14"/>
              </w:rPr>
            </w:pPr>
          </w:p>
        </w:tc>
        <w:tc>
          <w:tcPr>
            <w:tcW w:w="144" w:type="dxa"/>
            <w:tcBorders>
              <w:top w:val="nil"/>
              <w:left w:val="nil"/>
              <w:bottom w:val="nil"/>
              <w:right w:val="nil"/>
            </w:tcBorders>
          </w:tcPr>
          <w:p w:rsidR="00FF0CED" w:rsidRPr="00FF0CED" w:rsidRDefault="00FF0CED" w:rsidP="00802453">
            <w:pPr>
              <w:keepNext/>
              <w:rPr>
                <w:sz w:val="14"/>
                <w:szCs w:val="14"/>
              </w:rPr>
            </w:pPr>
          </w:p>
        </w:tc>
        <w:tc>
          <w:tcPr>
            <w:tcW w:w="666" w:type="dxa"/>
            <w:tcBorders>
              <w:top w:val="nil"/>
              <w:left w:val="nil"/>
              <w:bottom w:val="nil"/>
              <w:right w:val="nil"/>
            </w:tcBorders>
          </w:tcPr>
          <w:p w:rsidR="00FF0CED" w:rsidRPr="00FF0CED" w:rsidRDefault="00FF0CED" w:rsidP="00802453">
            <w:pPr>
              <w:keepNext/>
              <w:rPr>
                <w:sz w:val="14"/>
                <w:szCs w:val="14"/>
              </w:rPr>
            </w:pPr>
          </w:p>
        </w:tc>
        <w:tc>
          <w:tcPr>
            <w:tcW w:w="683" w:type="dxa"/>
            <w:tcBorders>
              <w:top w:val="nil"/>
              <w:left w:val="nil"/>
              <w:bottom w:val="nil"/>
              <w:right w:val="nil"/>
            </w:tcBorders>
          </w:tcPr>
          <w:p w:rsidR="00FF0CED" w:rsidRPr="00FF0CED" w:rsidRDefault="00FF0CED" w:rsidP="00802453">
            <w:pPr>
              <w:keepNext/>
              <w:rPr>
                <w:sz w:val="14"/>
                <w:szCs w:val="14"/>
              </w:rPr>
            </w:pPr>
          </w:p>
        </w:tc>
        <w:tc>
          <w:tcPr>
            <w:tcW w:w="698" w:type="dxa"/>
            <w:tcBorders>
              <w:top w:val="nil"/>
              <w:left w:val="nil"/>
              <w:bottom w:val="nil"/>
              <w:right w:val="nil"/>
            </w:tcBorders>
          </w:tcPr>
          <w:p w:rsidR="00FF0CED" w:rsidRPr="00FF0CED" w:rsidRDefault="00FF0CED" w:rsidP="00802453">
            <w:pPr>
              <w:keepNext/>
              <w:rPr>
                <w:sz w:val="14"/>
                <w:szCs w:val="14"/>
              </w:rPr>
            </w:pPr>
          </w:p>
        </w:tc>
        <w:tc>
          <w:tcPr>
            <w:tcW w:w="711" w:type="dxa"/>
            <w:tcBorders>
              <w:top w:val="nil"/>
              <w:left w:val="nil"/>
              <w:bottom w:val="nil"/>
              <w:right w:val="nil"/>
            </w:tcBorders>
          </w:tcPr>
          <w:p w:rsidR="00FF0CED" w:rsidRPr="00FF0CED" w:rsidRDefault="00FF0CED" w:rsidP="00802453">
            <w:pPr>
              <w:keepNext/>
              <w:rPr>
                <w:sz w:val="14"/>
                <w:szCs w:val="14"/>
              </w:rPr>
            </w:pPr>
          </w:p>
        </w:tc>
        <w:tc>
          <w:tcPr>
            <w:tcW w:w="785" w:type="dxa"/>
            <w:tcBorders>
              <w:top w:val="nil"/>
              <w:left w:val="nil"/>
              <w:bottom w:val="nil"/>
            </w:tcBorders>
          </w:tcPr>
          <w:p w:rsidR="00FF0CED" w:rsidRPr="00FF0CED" w:rsidRDefault="00FF0CED" w:rsidP="00802453">
            <w:pPr>
              <w:keepNext/>
              <w:rPr>
                <w:sz w:val="14"/>
                <w:szCs w:val="14"/>
              </w:rPr>
            </w:pPr>
          </w:p>
        </w:tc>
      </w:tr>
      <w:tr w:rsidR="00FF0CED" w:rsidRPr="00FF0CED" w:rsidTr="00FF0CED">
        <w:tc>
          <w:tcPr>
            <w:tcW w:w="956" w:type="dxa"/>
            <w:vMerge/>
            <w:tcBorders>
              <w:top w:val="nil"/>
              <w:bottom w:val="nil"/>
              <w:right w:val="nil"/>
            </w:tcBorders>
          </w:tcPr>
          <w:p w:rsidR="00FF0CED" w:rsidRPr="00FF0CED" w:rsidRDefault="00FF0CED" w:rsidP="00802453">
            <w:pPr>
              <w:keepNext/>
              <w:rPr>
                <w:sz w:val="14"/>
                <w:szCs w:val="14"/>
              </w:rPr>
            </w:pPr>
          </w:p>
        </w:tc>
        <w:tc>
          <w:tcPr>
            <w:tcW w:w="949" w:type="dxa"/>
            <w:tcBorders>
              <w:top w:val="nil"/>
              <w:left w:val="nil"/>
              <w:bottom w:val="nil"/>
            </w:tcBorders>
          </w:tcPr>
          <w:p w:rsidR="00FF0CED" w:rsidRPr="00FF0CED" w:rsidRDefault="00FF0CED" w:rsidP="00802453">
            <w:pPr>
              <w:keepNext/>
              <w:rPr>
                <w:sz w:val="14"/>
                <w:szCs w:val="14"/>
              </w:rPr>
            </w:pPr>
            <w:r w:rsidRPr="00FF0CED">
              <w:rPr>
                <w:sz w:val="14"/>
                <w:szCs w:val="14"/>
              </w:rPr>
              <w:t>Off-site Cluster</w:t>
            </w:r>
          </w:p>
        </w:tc>
        <w:tc>
          <w:tcPr>
            <w:tcW w:w="647" w:type="dxa"/>
            <w:tcBorders>
              <w:top w:val="nil"/>
              <w:bottom w:val="nil"/>
              <w:right w:val="nil"/>
            </w:tcBorders>
          </w:tcPr>
          <w:p w:rsidR="00FF0CED" w:rsidRPr="00FF0CED" w:rsidRDefault="00FF0CED" w:rsidP="00802453">
            <w:pPr>
              <w:keepNext/>
              <w:rPr>
                <w:sz w:val="14"/>
                <w:szCs w:val="14"/>
              </w:rPr>
            </w:pPr>
          </w:p>
        </w:tc>
        <w:tc>
          <w:tcPr>
            <w:tcW w:w="597" w:type="dxa"/>
            <w:tcBorders>
              <w:top w:val="nil"/>
              <w:left w:val="nil"/>
              <w:bottom w:val="nil"/>
              <w:right w:val="nil"/>
            </w:tcBorders>
          </w:tcPr>
          <w:p w:rsidR="00FF0CED" w:rsidRPr="00FF0CED" w:rsidRDefault="00FF0CED" w:rsidP="00802453">
            <w:pPr>
              <w:keepNext/>
              <w:rPr>
                <w:sz w:val="14"/>
                <w:szCs w:val="14"/>
              </w:rPr>
            </w:pPr>
          </w:p>
        </w:tc>
        <w:tc>
          <w:tcPr>
            <w:tcW w:w="698" w:type="dxa"/>
            <w:tcBorders>
              <w:top w:val="nil"/>
              <w:left w:val="nil"/>
              <w:bottom w:val="nil"/>
              <w:right w:val="nil"/>
            </w:tcBorders>
          </w:tcPr>
          <w:p w:rsidR="00FF0CED" w:rsidRPr="00FF0CED" w:rsidRDefault="00FF0CED" w:rsidP="00802453">
            <w:pPr>
              <w:keepNext/>
              <w:rPr>
                <w:sz w:val="14"/>
                <w:szCs w:val="14"/>
              </w:rPr>
            </w:pPr>
          </w:p>
        </w:tc>
        <w:tc>
          <w:tcPr>
            <w:tcW w:w="711" w:type="dxa"/>
            <w:tcBorders>
              <w:top w:val="nil"/>
              <w:left w:val="nil"/>
              <w:bottom w:val="nil"/>
              <w:right w:val="nil"/>
            </w:tcBorders>
          </w:tcPr>
          <w:p w:rsidR="00FF0CED" w:rsidRPr="00FF0CED" w:rsidRDefault="00FF0CED" w:rsidP="00802453">
            <w:pPr>
              <w:keepNext/>
              <w:rPr>
                <w:sz w:val="14"/>
                <w:szCs w:val="14"/>
              </w:rPr>
            </w:pPr>
          </w:p>
        </w:tc>
        <w:tc>
          <w:tcPr>
            <w:tcW w:w="785" w:type="dxa"/>
            <w:tcBorders>
              <w:top w:val="nil"/>
              <w:left w:val="nil"/>
              <w:bottom w:val="nil"/>
              <w:right w:val="nil"/>
            </w:tcBorders>
          </w:tcPr>
          <w:p w:rsidR="00FF0CED" w:rsidRPr="00FF0CED" w:rsidRDefault="00FF0CED" w:rsidP="00802453">
            <w:pPr>
              <w:keepNext/>
              <w:rPr>
                <w:sz w:val="14"/>
                <w:szCs w:val="14"/>
              </w:rPr>
            </w:pPr>
          </w:p>
        </w:tc>
        <w:tc>
          <w:tcPr>
            <w:tcW w:w="144" w:type="dxa"/>
            <w:tcBorders>
              <w:top w:val="nil"/>
              <w:left w:val="nil"/>
              <w:bottom w:val="nil"/>
              <w:right w:val="nil"/>
            </w:tcBorders>
          </w:tcPr>
          <w:p w:rsidR="00FF0CED" w:rsidRPr="00FF0CED" w:rsidRDefault="00FF0CED" w:rsidP="00802453">
            <w:pPr>
              <w:keepNext/>
              <w:rPr>
                <w:sz w:val="14"/>
                <w:szCs w:val="14"/>
              </w:rPr>
            </w:pPr>
          </w:p>
        </w:tc>
        <w:tc>
          <w:tcPr>
            <w:tcW w:w="666" w:type="dxa"/>
            <w:tcBorders>
              <w:top w:val="nil"/>
              <w:left w:val="nil"/>
              <w:bottom w:val="nil"/>
              <w:right w:val="nil"/>
            </w:tcBorders>
          </w:tcPr>
          <w:p w:rsidR="00FF0CED" w:rsidRPr="00FF0CED" w:rsidRDefault="00FF0CED" w:rsidP="00802453">
            <w:pPr>
              <w:keepNext/>
              <w:rPr>
                <w:sz w:val="14"/>
                <w:szCs w:val="14"/>
              </w:rPr>
            </w:pPr>
          </w:p>
        </w:tc>
        <w:tc>
          <w:tcPr>
            <w:tcW w:w="683" w:type="dxa"/>
            <w:tcBorders>
              <w:top w:val="nil"/>
              <w:left w:val="nil"/>
              <w:bottom w:val="nil"/>
              <w:right w:val="nil"/>
            </w:tcBorders>
          </w:tcPr>
          <w:p w:rsidR="00FF0CED" w:rsidRPr="00FF0CED" w:rsidRDefault="00FF0CED" w:rsidP="00802453">
            <w:pPr>
              <w:keepNext/>
              <w:rPr>
                <w:sz w:val="14"/>
                <w:szCs w:val="14"/>
              </w:rPr>
            </w:pPr>
          </w:p>
        </w:tc>
        <w:tc>
          <w:tcPr>
            <w:tcW w:w="698" w:type="dxa"/>
            <w:tcBorders>
              <w:top w:val="nil"/>
              <w:left w:val="nil"/>
              <w:bottom w:val="nil"/>
              <w:right w:val="nil"/>
            </w:tcBorders>
          </w:tcPr>
          <w:p w:rsidR="00FF0CED" w:rsidRPr="00FF0CED" w:rsidRDefault="00FF0CED" w:rsidP="00802453">
            <w:pPr>
              <w:keepNext/>
              <w:rPr>
                <w:sz w:val="14"/>
                <w:szCs w:val="14"/>
              </w:rPr>
            </w:pPr>
          </w:p>
        </w:tc>
        <w:tc>
          <w:tcPr>
            <w:tcW w:w="711" w:type="dxa"/>
            <w:tcBorders>
              <w:top w:val="nil"/>
              <w:left w:val="nil"/>
              <w:bottom w:val="nil"/>
              <w:right w:val="nil"/>
            </w:tcBorders>
          </w:tcPr>
          <w:p w:rsidR="00FF0CED" w:rsidRPr="00FF0CED" w:rsidRDefault="00FF0CED" w:rsidP="00802453">
            <w:pPr>
              <w:keepNext/>
              <w:rPr>
                <w:sz w:val="14"/>
                <w:szCs w:val="14"/>
              </w:rPr>
            </w:pPr>
          </w:p>
        </w:tc>
        <w:tc>
          <w:tcPr>
            <w:tcW w:w="785" w:type="dxa"/>
            <w:tcBorders>
              <w:top w:val="nil"/>
              <w:left w:val="nil"/>
              <w:bottom w:val="nil"/>
            </w:tcBorders>
          </w:tcPr>
          <w:p w:rsidR="00FF0CED" w:rsidRPr="00FF0CED" w:rsidRDefault="00FF0CED" w:rsidP="00802453">
            <w:pPr>
              <w:keepNext/>
              <w:rPr>
                <w:sz w:val="14"/>
                <w:szCs w:val="14"/>
              </w:rPr>
            </w:pPr>
          </w:p>
        </w:tc>
      </w:tr>
      <w:tr w:rsidR="00FF0CED" w:rsidRPr="00FF0CED" w:rsidTr="00FF0CED">
        <w:tc>
          <w:tcPr>
            <w:tcW w:w="956" w:type="dxa"/>
            <w:vMerge/>
            <w:tcBorders>
              <w:top w:val="nil"/>
              <w:bottom w:val="nil"/>
              <w:right w:val="nil"/>
            </w:tcBorders>
          </w:tcPr>
          <w:p w:rsidR="00FF0CED" w:rsidRPr="00FF0CED" w:rsidRDefault="00FF0CED" w:rsidP="00802453">
            <w:pPr>
              <w:keepNext/>
              <w:rPr>
                <w:sz w:val="14"/>
                <w:szCs w:val="14"/>
              </w:rPr>
            </w:pPr>
          </w:p>
        </w:tc>
        <w:tc>
          <w:tcPr>
            <w:tcW w:w="949" w:type="dxa"/>
            <w:tcBorders>
              <w:top w:val="nil"/>
              <w:left w:val="nil"/>
              <w:bottom w:val="nil"/>
            </w:tcBorders>
          </w:tcPr>
          <w:p w:rsidR="00FF0CED" w:rsidRPr="00FF0CED" w:rsidRDefault="00FF0CED" w:rsidP="00802453">
            <w:pPr>
              <w:keepNext/>
              <w:rPr>
                <w:sz w:val="14"/>
                <w:szCs w:val="14"/>
              </w:rPr>
            </w:pPr>
            <w:r w:rsidRPr="00FF0CED">
              <w:rPr>
                <w:sz w:val="14"/>
                <w:szCs w:val="14"/>
              </w:rPr>
              <w:t>Scatter-site</w:t>
            </w:r>
          </w:p>
        </w:tc>
        <w:tc>
          <w:tcPr>
            <w:tcW w:w="647" w:type="dxa"/>
            <w:tcBorders>
              <w:top w:val="nil"/>
              <w:bottom w:val="nil"/>
              <w:right w:val="nil"/>
            </w:tcBorders>
          </w:tcPr>
          <w:p w:rsidR="00FF0CED" w:rsidRPr="00FF0CED" w:rsidRDefault="00FF0CED" w:rsidP="00802453">
            <w:pPr>
              <w:keepNext/>
              <w:rPr>
                <w:sz w:val="14"/>
                <w:szCs w:val="14"/>
              </w:rPr>
            </w:pPr>
          </w:p>
        </w:tc>
        <w:tc>
          <w:tcPr>
            <w:tcW w:w="597" w:type="dxa"/>
            <w:tcBorders>
              <w:top w:val="nil"/>
              <w:left w:val="nil"/>
              <w:bottom w:val="nil"/>
              <w:right w:val="nil"/>
            </w:tcBorders>
          </w:tcPr>
          <w:p w:rsidR="00FF0CED" w:rsidRPr="00FF0CED" w:rsidRDefault="00FF0CED" w:rsidP="00802453">
            <w:pPr>
              <w:keepNext/>
              <w:rPr>
                <w:sz w:val="14"/>
                <w:szCs w:val="14"/>
              </w:rPr>
            </w:pPr>
          </w:p>
        </w:tc>
        <w:tc>
          <w:tcPr>
            <w:tcW w:w="698" w:type="dxa"/>
            <w:tcBorders>
              <w:top w:val="nil"/>
              <w:left w:val="nil"/>
              <w:bottom w:val="nil"/>
              <w:right w:val="nil"/>
            </w:tcBorders>
          </w:tcPr>
          <w:p w:rsidR="00FF0CED" w:rsidRPr="00FF0CED" w:rsidRDefault="00FF0CED" w:rsidP="00802453">
            <w:pPr>
              <w:keepNext/>
              <w:rPr>
                <w:sz w:val="14"/>
                <w:szCs w:val="14"/>
              </w:rPr>
            </w:pPr>
          </w:p>
        </w:tc>
        <w:tc>
          <w:tcPr>
            <w:tcW w:w="711" w:type="dxa"/>
            <w:tcBorders>
              <w:top w:val="nil"/>
              <w:left w:val="nil"/>
              <w:bottom w:val="nil"/>
              <w:right w:val="nil"/>
            </w:tcBorders>
          </w:tcPr>
          <w:p w:rsidR="00FF0CED" w:rsidRPr="00FF0CED" w:rsidRDefault="00FF0CED" w:rsidP="00802453">
            <w:pPr>
              <w:keepNext/>
              <w:rPr>
                <w:sz w:val="14"/>
                <w:szCs w:val="14"/>
              </w:rPr>
            </w:pPr>
          </w:p>
        </w:tc>
        <w:tc>
          <w:tcPr>
            <w:tcW w:w="785" w:type="dxa"/>
            <w:tcBorders>
              <w:top w:val="nil"/>
              <w:left w:val="nil"/>
              <w:bottom w:val="nil"/>
              <w:right w:val="nil"/>
            </w:tcBorders>
          </w:tcPr>
          <w:p w:rsidR="00FF0CED" w:rsidRPr="00FF0CED" w:rsidRDefault="00FF0CED" w:rsidP="00802453">
            <w:pPr>
              <w:keepNext/>
              <w:rPr>
                <w:sz w:val="14"/>
                <w:szCs w:val="14"/>
              </w:rPr>
            </w:pPr>
          </w:p>
        </w:tc>
        <w:tc>
          <w:tcPr>
            <w:tcW w:w="144" w:type="dxa"/>
            <w:tcBorders>
              <w:top w:val="nil"/>
              <w:left w:val="nil"/>
              <w:bottom w:val="nil"/>
              <w:right w:val="nil"/>
            </w:tcBorders>
          </w:tcPr>
          <w:p w:rsidR="00FF0CED" w:rsidRPr="00FF0CED" w:rsidRDefault="00FF0CED" w:rsidP="00802453">
            <w:pPr>
              <w:keepNext/>
              <w:rPr>
                <w:sz w:val="14"/>
                <w:szCs w:val="14"/>
              </w:rPr>
            </w:pPr>
          </w:p>
        </w:tc>
        <w:tc>
          <w:tcPr>
            <w:tcW w:w="666" w:type="dxa"/>
            <w:tcBorders>
              <w:top w:val="nil"/>
              <w:left w:val="nil"/>
              <w:bottom w:val="nil"/>
              <w:right w:val="nil"/>
            </w:tcBorders>
          </w:tcPr>
          <w:p w:rsidR="00FF0CED" w:rsidRPr="00FF0CED" w:rsidRDefault="00FF0CED" w:rsidP="00802453">
            <w:pPr>
              <w:keepNext/>
              <w:rPr>
                <w:sz w:val="14"/>
                <w:szCs w:val="14"/>
              </w:rPr>
            </w:pPr>
          </w:p>
        </w:tc>
        <w:tc>
          <w:tcPr>
            <w:tcW w:w="683" w:type="dxa"/>
            <w:tcBorders>
              <w:top w:val="nil"/>
              <w:left w:val="nil"/>
              <w:bottom w:val="nil"/>
              <w:right w:val="nil"/>
            </w:tcBorders>
          </w:tcPr>
          <w:p w:rsidR="00FF0CED" w:rsidRPr="00FF0CED" w:rsidRDefault="00FF0CED" w:rsidP="00802453">
            <w:pPr>
              <w:keepNext/>
              <w:rPr>
                <w:sz w:val="14"/>
                <w:szCs w:val="14"/>
              </w:rPr>
            </w:pPr>
          </w:p>
        </w:tc>
        <w:tc>
          <w:tcPr>
            <w:tcW w:w="698" w:type="dxa"/>
            <w:tcBorders>
              <w:top w:val="nil"/>
              <w:left w:val="nil"/>
              <w:bottom w:val="nil"/>
              <w:right w:val="nil"/>
            </w:tcBorders>
          </w:tcPr>
          <w:p w:rsidR="00FF0CED" w:rsidRPr="00FF0CED" w:rsidRDefault="00FF0CED" w:rsidP="00802453">
            <w:pPr>
              <w:keepNext/>
              <w:rPr>
                <w:sz w:val="14"/>
                <w:szCs w:val="14"/>
              </w:rPr>
            </w:pPr>
          </w:p>
        </w:tc>
        <w:tc>
          <w:tcPr>
            <w:tcW w:w="711" w:type="dxa"/>
            <w:tcBorders>
              <w:top w:val="nil"/>
              <w:left w:val="nil"/>
              <w:bottom w:val="nil"/>
              <w:right w:val="nil"/>
            </w:tcBorders>
          </w:tcPr>
          <w:p w:rsidR="00FF0CED" w:rsidRPr="00FF0CED" w:rsidRDefault="00FF0CED" w:rsidP="00802453">
            <w:pPr>
              <w:keepNext/>
              <w:rPr>
                <w:sz w:val="14"/>
                <w:szCs w:val="14"/>
              </w:rPr>
            </w:pPr>
          </w:p>
        </w:tc>
        <w:tc>
          <w:tcPr>
            <w:tcW w:w="785" w:type="dxa"/>
            <w:tcBorders>
              <w:top w:val="nil"/>
              <w:left w:val="nil"/>
              <w:bottom w:val="nil"/>
            </w:tcBorders>
          </w:tcPr>
          <w:p w:rsidR="00FF0CED" w:rsidRPr="00FF0CED" w:rsidRDefault="00FF0CED" w:rsidP="00802453">
            <w:pPr>
              <w:keepNext/>
              <w:rPr>
                <w:sz w:val="14"/>
                <w:szCs w:val="14"/>
              </w:rPr>
            </w:pPr>
          </w:p>
        </w:tc>
      </w:tr>
      <w:tr w:rsidR="00FF0CED" w:rsidRPr="00FF0CED" w:rsidTr="00FF0CED">
        <w:tc>
          <w:tcPr>
            <w:tcW w:w="956" w:type="dxa"/>
            <w:tcBorders>
              <w:top w:val="nil"/>
              <w:bottom w:val="nil"/>
              <w:right w:val="nil"/>
            </w:tcBorders>
          </w:tcPr>
          <w:p w:rsidR="00FF0CED" w:rsidRPr="00FF0CED" w:rsidRDefault="00FF0CED" w:rsidP="00802453">
            <w:pPr>
              <w:keepNext/>
              <w:rPr>
                <w:sz w:val="14"/>
                <w:szCs w:val="14"/>
              </w:rPr>
            </w:pPr>
          </w:p>
        </w:tc>
        <w:tc>
          <w:tcPr>
            <w:tcW w:w="949" w:type="dxa"/>
            <w:tcBorders>
              <w:top w:val="nil"/>
              <w:left w:val="nil"/>
              <w:bottom w:val="nil"/>
            </w:tcBorders>
          </w:tcPr>
          <w:p w:rsidR="00FF0CED" w:rsidRPr="00FF0CED" w:rsidRDefault="00FF0CED" w:rsidP="00802453">
            <w:pPr>
              <w:keepNext/>
              <w:rPr>
                <w:sz w:val="14"/>
                <w:szCs w:val="14"/>
              </w:rPr>
            </w:pPr>
          </w:p>
        </w:tc>
        <w:tc>
          <w:tcPr>
            <w:tcW w:w="647" w:type="dxa"/>
            <w:tcBorders>
              <w:top w:val="nil"/>
              <w:bottom w:val="nil"/>
              <w:right w:val="nil"/>
            </w:tcBorders>
          </w:tcPr>
          <w:p w:rsidR="00FF0CED" w:rsidRPr="00FF0CED" w:rsidRDefault="00FF0CED" w:rsidP="00802453">
            <w:pPr>
              <w:keepNext/>
              <w:rPr>
                <w:sz w:val="14"/>
                <w:szCs w:val="14"/>
              </w:rPr>
            </w:pPr>
          </w:p>
        </w:tc>
        <w:tc>
          <w:tcPr>
            <w:tcW w:w="597" w:type="dxa"/>
            <w:tcBorders>
              <w:top w:val="nil"/>
              <w:left w:val="nil"/>
              <w:bottom w:val="nil"/>
              <w:right w:val="nil"/>
            </w:tcBorders>
          </w:tcPr>
          <w:p w:rsidR="00FF0CED" w:rsidRPr="00FF0CED" w:rsidRDefault="00FF0CED" w:rsidP="00802453">
            <w:pPr>
              <w:keepNext/>
              <w:rPr>
                <w:sz w:val="14"/>
                <w:szCs w:val="14"/>
              </w:rPr>
            </w:pPr>
          </w:p>
        </w:tc>
        <w:tc>
          <w:tcPr>
            <w:tcW w:w="698" w:type="dxa"/>
            <w:tcBorders>
              <w:top w:val="nil"/>
              <w:left w:val="nil"/>
              <w:bottom w:val="nil"/>
              <w:right w:val="nil"/>
            </w:tcBorders>
          </w:tcPr>
          <w:p w:rsidR="00FF0CED" w:rsidRPr="00FF0CED" w:rsidRDefault="00FF0CED" w:rsidP="00802453">
            <w:pPr>
              <w:keepNext/>
              <w:rPr>
                <w:sz w:val="14"/>
                <w:szCs w:val="14"/>
              </w:rPr>
            </w:pPr>
          </w:p>
        </w:tc>
        <w:tc>
          <w:tcPr>
            <w:tcW w:w="711" w:type="dxa"/>
            <w:tcBorders>
              <w:top w:val="nil"/>
              <w:left w:val="nil"/>
              <w:bottom w:val="nil"/>
              <w:right w:val="nil"/>
            </w:tcBorders>
          </w:tcPr>
          <w:p w:rsidR="00FF0CED" w:rsidRPr="00FF0CED" w:rsidRDefault="00FF0CED" w:rsidP="00802453">
            <w:pPr>
              <w:keepNext/>
              <w:rPr>
                <w:sz w:val="14"/>
                <w:szCs w:val="14"/>
              </w:rPr>
            </w:pPr>
          </w:p>
        </w:tc>
        <w:tc>
          <w:tcPr>
            <w:tcW w:w="785" w:type="dxa"/>
            <w:tcBorders>
              <w:top w:val="nil"/>
              <w:left w:val="nil"/>
              <w:bottom w:val="nil"/>
              <w:right w:val="nil"/>
            </w:tcBorders>
          </w:tcPr>
          <w:p w:rsidR="00FF0CED" w:rsidRPr="00FF0CED" w:rsidRDefault="00FF0CED" w:rsidP="00802453">
            <w:pPr>
              <w:keepNext/>
              <w:rPr>
                <w:sz w:val="14"/>
                <w:szCs w:val="14"/>
              </w:rPr>
            </w:pPr>
          </w:p>
        </w:tc>
        <w:tc>
          <w:tcPr>
            <w:tcW w:w="144" w:type="dxa"/>
            <w:tcBorders>
              <w:top w:val="nil"/>
              <w:left w:val="nil"/>
              <w:bottom w:val="nil"/>
              <w:right w:val="nil"/>
            </w:tcBorders>
          </w:tcPr>
          <w:p w:rsidR="00FF0CED" w:rsidRPr="00FF0CED" w:rsidRDefault="00FF0CED" w:rsidP="00802453">
            <w:pPr>
              <w:keepNext/>
              <w:rPr>
                <w:sz w:val="14"/>
                <w:szCs w:val="14"/>
              </w:rPr>
            </w:pPr>
          </w:p>
        </w:tc>
        <w:tc>
          <w:tcPr>
            <w:tcW w:w="666" w:type="dxa"/>
            <w:tcBorders>
              <w:top w:val="nil"/>
              <w:left w:val="nil"/>
              <w:bottom w:val="nil"/>
              <w:right w:val="nil"/>
            </w:tcBorders>
          </w:tcPr>
          <w:p w:rsidR="00FF0CED" w:rsidRPr="00FF0CED" w:rsidRDefault="00FF0CED" w:rsidP="00802453">
            <w:pPr>
              <w:keepNext/>
              <w:rPr>
                <w:sz w:val="14"/>
                <w:szCs w:val="14"/>
              </w:rPr>
            </w:pPr>
          </w:p>
        </w:tc>
        <w:tc>
          <w:tcPr>
            <w:tcW w:w="683" w:type="dxa"/>
            <w:tcBorders>
              <w:top w:val="nil"/>
              <w:left w:val="nil"/>
              <w:bottom w:val="nil"/>
              <w:right w:val="nil"/>
            </w:tcBorders>
          </w:tcPr>
          <w:p w:rsidR="00FF0CED" w:rsidRPr="00FF0CED" w:rsidRDefault="00FF0CED" w:rsidP="00802453">
            <w:pPr>
              <w:keepNext/>
              <w:rPr>
                <w:sz w:val="14"/>
                <w:szCs w:val="14"/>
              </w:rPr>
            </w:pPr>
          </w:p>
        </w:tc>
        <w:tc>
          <w:tcPr>
            <w:tcW w:w="698" w:type="dxa"/>
            <w:tcBorders>
              <w:top w:val="nil"/>
              <w:left w:val="nil"/>
              <w:bottom w:val="nil"/>
              <w:right w:val="nil"/>
            </w:tcBorders>
          </w:tcPr>
          <w:p w:rsidR="00FF0CED" w:rsidRPr="00FF0CED" w:rsidRDefault="00FF0CED" w:rsidP="00802453">
            <w:pPr>
              <w:keepNext/>
              <w:rPr>
                <w:sz w:val="14"/>
                <w:szCs w:val="14"/>
              </w:rPr>
            </w:pPr>
          </w:p>
        </w:tc>
        <w:tc>
          <w:tcPr>
            <w:tcW w:w="711" w:type="dxa"/>
            <w:tcBorders>
              <w:top w:val="nil"/>
              <w:left w:val="nil"/>
              <w:bottom w:val="nil"/>
              <w:right w:val="nil"/>
            </w:tcBorders>
          </w:tcPr>
          <w:p w:rsidR="00FF0CED" w:rsidRPr="00FF0CED" w:rsidRDefault="00FF0CED" w:rsidP="00802453">
            <w:pPr>
              <w:keepNext/>
              <w:rPr>
                <w:sz w:val="14"/>
                <w:szCs w:val="14"/>
              </w:rPr>
            </w:pPr>
          </w:p>
        </w:tc>
        <w:tc>
          <w:tcPr>
            <w:tcW w:w="785" w:type="dxa"/>
            <w:tcBorders>
              <w:top w:val="nil"/>
              <w:left w:val="nil"/>
              <w:bottom w:val="nil"/>
            </w:tcBorders>
          </w:tcPr>
          <w:p w:rsidR="00FF0CED" w:rsidRPr="00FF0CED" w:rsidRDefault="00FF0CED" w:rsidP="00802453">
            <w:pPr>
              <w:keepNext/>
              <w:rPr>
                <w:sz w:val="14"/>
                <w:szCs w:val="14"/>
              </w:rPr>
            </w:pPr>
          </w:p>
        </w:tc>
      </w:tr>
      <w:tr w:rsidR="00FF0CED" w:rsidRPr="00FF0CED" w:rsidTr="00FF0CED">
        <w:tc>
          <w:tcPr>
            <w:tcW w:w="956" w:type="dxa"/>
            <w:vMerge w:val="restart"/>
            <w:tcBorders>
              <w:top w:val="nil"/>
              <w:bottom w:val="nil"/>
              <w:right w:val="nil"/>
            </w:tcBorders>
            <w:vAlign w:val="center"/>
          </w:tcPr>
          <w:p w:rsidR="00FF0CED" w:rsidRPr="00FF0CED" w:rsidRDefault="00FF0CED" w:rsidP="00802453">
            <w:pPr>
              <w:keepNext/>
              <w:jc w:val="center"/>
              <w:rPr>
                <w:sz w:val="14"/>
                <w:szCs w:val="14"/>
              </w:rPr>
            </w:pPr>
            <w:r w:rsidRPr="00FF0CED">
              <w:rPr>
                <w:sz w:val="14"/>
                <w:szCs w:val="14"/>
              </w:rPr>
              <w:t>Service Provided at Central – No Transportation Support</w:t>
            </w:r>
          </w:p>
        </w:tc>
        <w:tc>
          <w:tcPr>
            <w:tcW w:w="949" w:type="dxa"/>
            <w:tcBorders>
              <w:top w:val="nil"/>
              <w:left w:val="nil"/>
              <w:bottom w:val="nil"/>
            </w:tcBorders>
          </w:tcPr>
          <w:p w:rsidR="00FF0CED" w:rsidRPr="00FF0CED" w:rsidRDefault="00FF0CED" w:rsidP="00802453">
            <w:pPr>
              <w:keepNext/>
              <w:rPr>
                <w:sz w:val="14"/>
                <w:szCs w:val="14"/>
              </w:rPr>
            </w:pPr>
            <w:r w:rsidRPr="00FF0CED">
              <w:rPr>
                <w:sz w:val="14"/>
                <w:szCs w:val="14"/>
              </w:rPr>
              <w:t>On-site Central Location</w:t>
            </w:r>
          </w:p>
        </w:tc>
        <w:tc>
          <w:tcPr>
            <w:tcW w:w="647" w:type="dxa"/>
            <w:tcBorders>
              <w:top w:val="nil"/>
              <w:bottom w:val="nil"/>
              <w:right w:val="nil"/>
            </w:tcBorders>
          </w:tcPr>
          <w:p w:rsidR="00FF0CED" w:rsidRPr="00FF0CED" w:rsidRDefault="00FF0CED" w:rsidP="00802453">
            <w:pPr>
              <w:keepNext/>
              <w:rPr>
                <w:sz w:val="14"/>
                <w:szCs w:val="14"/>
              </w:rPr>
            </w:pPr>
          </w:p>
        </w:tc>
        <w:tc>
          <w:tcPr>
            <w:tcW w:w="597" w:type="dxa"/>
            <w:tcBorders>
              <w:top w:val="nil"/>
              <w:left w:val="nil"/>
              <w:bottom w:val="nil"/>
              <w:right w:val="nil"/>
            </w:tcBorders>
          </w:tcPr>
          <w:p w:rsidR="00FF0CED" w:rsidRPr="00FF0CED" w:rsidRDefault="00FF0CED" w:rsidP="00802453">
            <w:pPr>
              <w:keepNext/>
              <w:rPr>
                <w:sz w:val="14"/>
                <w:szCs w:val="14"/>
              </w:rPr>
            </w:pPr>
          </w:p>
        </w:tc>
        <w:tc>
          <w:tcPr>
            <w:tcW w:w="698" w:type="dxa"/>
            <w:tcBorders>
              <w:top w:val="nil"/>
              <w:left w:val="nil"/>
              <w:bottom w:val="nil"/>
              <w:right w:val="nil"/>
            </w:tcBorders>
          </w:tcPr>
          <w:p w:rsidR="00FF0CED" w:rsidRPr="00FF0CED" w:rsidRDefault="00FF0CED" w:rsidP="00802453">
            <w:pPr>
              <w:keepNext/>
              <w:rPr>
                <w:sz w:val="14"/>
                <w:szCs w:val="14"/>
              </w:rPr>
            </w:pPr>
          </w:p>
        </w:tc>
        <w:tc>
          <w:tcPr>
            <w:tcW w:w="711" w:type="dxa"/>
            <w:tcBorders>
              <w:top w:val="nil"/>
              <w:left w:val="nil"/>
              <w:bottom w:val="nil"/>
              <w:right w:val="nil"/>
            </w:tcBorders>
          </w:tcPr>
          <w:p w:rsidR="00FF0CED" w:rsidRPr="00FF0CED" w:rsidRDefault="00FF0CED" w:rsidP="00802453">
            <w:pPr>
              <w:keepNext/>
              <w:rPr>
                <w:sz w:val="14"/>
                <w:szCs w:val="14"/>
              </w:rPr>
            </w:pPr>
          </w:p>
        </w:tc>
        <w:tc>
          <w:tcPr>
            <w:tcW w:w="785" w:type="dxa"/>
            <w:tcBorders>
              <w:top w:val="nil"/>
              <w:left w:val="nil"/>
              <w:bottom w:val="nil"/>
              <w:right w:val="nil"/>
            </w:tcBorders>
          </w:tcPr>
          <w:p w:rsidR="00FF0CED" w:rsidRPr="00FF0CED" w:rsidRDefault="00FF0CED" w:rsidP="00802453">
            <w:pPr>
              <w:keepNext/>
              <w:rPr>
                <w:sz w:val="14"/>
                <w:szCs w:val="14"/>
              </w:rPr>
            </w:pPr>
          </w:p>
        </w:tc>
        <w:tc>
          <w:tcPr>
            <w:tcW w:w="144" w:type="dxa"/>
            <w:tcBorders>
              <w:top w:val="nil"/>
              <w:left w:val="nil"/>
              <w:bottom w:val="nil"/>
              <w:right w:val="nil"/>
            </w:tcBorders>
          </w:tcPr>
          <w:p w:rsidR="00FF0CED" w:rsidRPr="00FF0CED" w:rsidRDefault="00FF0CED" w:rsidP="00802453">
            <w:pPr>
              <w:keepNext/>
              <w:rPr>
                <w:sz w:val="14"/>
                <w:szCs w:val="14"/>
              </w:rPr>
            </w:pPr>
          </w:p>
        </w:tc>
        <w:tc>
          <w:tcPr>
            <w:tcW w:w="666" w:type="dxa"/>
            <w:tcBorders>
              <w:top w:val="nil"/>
              <w:left w:val="nil"/>
              <w:bottom w:val="nil"/>
              <w:right w:val="nil"/>
            </w:tcBorders>
          </w:tcPr>
          <w:p w:rsidR="00FF0CED" w:rsidRPr="00FF0CED" w:rsidRDefault="00FF0CED" w:rsidP="00802453">
            <w:pPr>
              <w:keepNext/>
              <w:rPr>
                <w:sz w:val="14"/>
                <w:szCs w:val="14"/>
              </w:rPr>
            </w:pPr>
          </w:p>
        </w:tc>
        <w:tc>
          <w:tcPr>
            <w:tcW w:w="683" w:type="dxa"/>
            <w:tcBorders>
              <w:top w:val="nil"/>
              <w:left w:val="nil"/>
              <w:bottom w:val="nil"/>
              <w:right w:val="nil"/>
            </w:tcBorders>
          </w:tcPr>
          <w:p w:rsidR="00FF0CED" w:rsidRPr="00FF0CED" w:rsidRDefault="00FF0CED" w:rsidP="00802453">
            <w:pPr>
              <w:keepNext/>
              <w:rPr>
                <w:sz w:val="14"/>
                <w:szCs w:val="14"/>
              </w:rPr>
            </w:pPr>
          </w:p>
        </w:tc>
        <w:tc>
          <w:tcPr>
            <w:tcW w:w="698" w:type="dxa"/>
            <w:tcBorders>
              <w:top w:val="nil"/>
              <w:left w:val="nil"/>
              <w:bottom w:val="nil"/>
              <w:right w:val="nil"/>
            </w:tcBorders>
          </w:tcPr>
          <w:p w:rsidR="00FF0CED" w:rsidRPr="00FF0CED" w:rsidRDefault="00FF0CED" w:rsidP="00802453">
            <w:pPr>
              <w:keepNext/>
              <w:rPr>
                <w:sz w:val="14"/>
                <w:szCs w:val="14"/>
              </w:rPr>
            </w:pPr>
          </w:p>
        </w:tc>
        <w:tc>
          <w:tcPr>
            <w:tcW w:w="711" w:type="dxa"/>
            <w:tcBorders>
              <w:top w:val="nil"/>
              <w:left w:val="nil"/>
              <w:bottom w:val="nil"/>
              <w:right w:val="nil"/>
            </w:tcBorders>
          </w:tcPr>
          <w:p w:rsidR="00FF0CED" w:rsidRPr="00FF0CED" w:rsidRDefault="00FF0CED" w:rsidP="00802453">
            <w:pPr>
              <w:keepNext/>
              <w:rPr>
                <w:sz w:val="14"/>
                <w:szCs w:val="14"/>
              </w:rPr>
            </w:pPr>
          </w:p>
        </w:tc>
        <w:tc>
          <w:tcPr>
            <w:tcW w:w="785" w:type="dxa"/>
            <w:tcBorders>
              <w:top w:val="nil"/>
              <w:left w:val="nil"/>
              <w:bottom w:val="nil"/>
            </w:tcBorders>
          </w:tcPr>
          <w:p w:rsidR="00FF0CED" w:rsidRPr="00FF0CED" w:rsidRDefault="00FF0CED" w:rsidP="00802453">
            <w:pPr>
              <w:keepNext/>
              <w:rPr>
                <w:sz w:val="14"/>
                <w:szCs w:val="14"/>
              </w:rPr>
            </w:pPr>
          </w:p>
        </w:tc>
      </w:tr>
      <w:tr w:rsidR="00FF0CED" w:rsidRPr="00FF0CED" w:rsidTr="00FF0CED">
        <w:tc>
          <w:tcPr>
            <w:tcW w:w="956" w:type="dxa"/>
            <w:vMerge/>
            <w:tcBorders>
              <w:top w:val="nil"/>
              <w:bottom w:val="nil"/>
              <w:right w:val="nil"/>
            </w:tcBorders>
          </w:tcPr>
          <w:p w:rsidR="00FF0CED" w:rsidRPr="00FF0CED" w:rsidRDefault="00FF0CED" w:rsidP="00802453">
            <w:pPr>
              <w:keepNext/>
              <w:rPr>
                <w:sz w:val="14"/>
                <w:szCs w:val="14"/>
              </w:rPr>
            </w:pPr>
          </w:p>
        </w:tc>
        <w:tc>
          <w:tcPr>
            <w:tcW w:w="949" w:type="dxa"/>
            <w:tcBorders>
              <w:top w:val="nil"/>
              <w:left w:val="nil"/>
              <w:bottom w:val="nil"/>
            </w:tcBorders>
          </w:tcPr>
          <w:p w:rsidR="00FF0CED" w:rsidRPr="00FF0CED" w:rsidRDefault="00FF0CED" w:rsidP="00802453">
            <w:pPr>
              <w:keepNext/>
              <w:rPr>
                <w:sz w:val="14"/>
                <w:szCs w:val="14"/>
              </w:rPr>
            </w:pPr>
            <w:r w:rsidRPr="00FF0CED">
              <w:rPr>
                <w:sz w:val="14"/>
                <w:szCs w:val="14"/>
              </w:rPr>
              <w:t>Off-site Cluster</w:t>
            </w:r>
          </w:p>
        </w:tc>
        <w:tc>
          <w:tcPr>
            <w:tcW w:w="647" w:type="dxa"/>
            <w:tcBorders>
              <w:top w:val="nil"/>
              <w:bottom w:val="nil"/>
              <w:right w:val="nil"/>
            </w:tcBorders>
          </w:tcPr>
          <w:p w:rsidR="00FF0CED" w:rsidRPr="00FF0CED" w:rsidRDefault="00FF0CED" w:rsidP="00802453">
            <w:pPr>
              <w:keepNext/>
              <w:rPr>
                <w:sz w:val="14"/>
                <w:szCs w:val="14"/>
              </w:rPr>
            </w:pPr>
          </w:p>
        </w:tc>
        <w:tc>
          <w:tcPr>
            <w:tcW w:w="597" w:type="dxa"/>
            <w:tcBorders>
              <w:top w:val="nil"/>
              <w:left w:val="nil"/>
              <w:bottom w:val="nil"/>
              <w:right w:val="nil"/>
            </w:tcBorders>
          </w:tcPr>
          <w:p w:rsidR="00FF0CED" w:rsidRPr="00FF0CED" w:rsidRDefault="00FF0CED" w:rsidP="00802453">
            <w:pPr>
              <w:keepNext/>
              <w:rPr>
                <w:sz w:val="14"/>
                <w:szCs w:val="14"/>
              </w:rPr>
            </w:pPr>
          </w:p>
        </w:tc>
        <w:tc>
          <w:tcPr>
            <w:tcW w:w="698" w:type="dxa"/>
            <w:tcBorders>
              <w:top w:val="nil"/>
              <w:left w:val="nil"/>
              <w:bottom w:val="nil"/>
              <w:right w:val="nil"/>
            </w:tcBorders>
          </w:tcPr>
          <w:p w:rsidR="00FF0CED" w:rsidRPr="00FF0CED" w:rsidRDefault="00FF0CED" w:rsidP="00802453">
            <w:pPr>
              <w:keepNext/>
              <w:rPr>
                <w:sz w:val="14"/>
                <w:szCs w:val="14"/>
              </w:rPr>
            </w:pPr>
          </w:p>
        </w:tc>
        <w:tc>
          <w:tcPr>
            <w:tcW w:w="711" w:type="dxa"/>
            <w:tcBorders>
              <w:top w:val="nil"/>
              <w:left w:val="nil"/>
              <w:bottom w:val="nil"/>
              <w:right w:val="nil"/>
            </w:tcBorders>
          </w:tcPr>
          <w:p w:rsidR="00FF0CED" w:rsidRPr="00FF0CED" w:rsidRDefault="00FF0CED" w:rsidP="00802453">
            <w:pPr>
              <w:keepNext/>
              <w:rPr>
                <w:sz w:val="14"/>
                <w:szCs w:val="14"/>
              </w:rPr>
            </w:pPr>
          </w:p>
        </w:tc>
        <w:tc>
          <w:tcPr>
            <w:tcW w:w="785" w:type="dxa"/>
            <w:tcBorders>
              <w:top w:val="nil"/>
              <w:left w:val="nil"/>
              <w:bottom w:val="nil"/>
              <w:right w:val="nil"/>
            </w:tcBorders>
          </w:tcPr>
          <w:p w:rsidR="00FF0CED" w:rsidRPr="00FF0CED" w:rsidRDefault="00FF0CED" w:rsidP="00802453">
            <w:pPr>
              <w:keepNext/>
              <w:rPr>
                <w:sz w:val="14"/>
                <w:szCs w:val="14"/>
              </w:rPr>
            </w:pPr>
          </w:p>
        </w:tc>
        <w:tc>
          <w:tcPr>
            <w:tcW w:w="144" w:type="dxa"/>
            <w:tcBorders>
              <w:top w:val="nil"/>
              <w:left w:val="nil"/>
              <w:bottom w:val="nil"/>
              <w:right w:val="nil"/>
            </w:tcBorders>
          </w:tcPr>
          <w:p w:rsidR="00FF0CED" w:rsidRPr="00FF0CED" w:rsidRDefault="00FF0CED" w:rsidP="00802453">
            <w:pPr>
              <w:keepNext/>
              <w:rPr>
                <w:sz w:val="14"/>
                <w:szCs w:val="14"/>
              </w:rPr>
            </w:pPr>
          </w:p>
        </w:tc>
        <w:tc>
          <w:tcPr>
            <w:tcW w:w="666" w:type="dxa"/>
            <w:tcBorders>
              <w:top w:val="nil"/>
              <w:left w:val="nil"/>
              <w:bottom w:val="nil"/>
              <w:right w:val="nil"/>
            </w:tcBorders>
          </w:tcPr>
          <w:p w:rsidR="00FF0CED" w:rsidRPr="00FF0CED" w:rsidRDefault="00FF0CED" w:rsidP="00802453">
            <w:pPr>
              <w:keepNext/>
              <w:rPr>
                <w:sz w:val="14"/>
                <w:szCs w:val="14"/>
              </w:rPr>
            </w:pPr>
          </w:p>
        </w:tc>
        <w:tc>
          <w:tcPr>
            <w:tcW w:w="683" w:type="dxa"/>
            <w:tcBorders>
              <w:top w:val="nil"/>
              <w:left w:val="nil"/>
              <w:bottom w:val="nil"/>
              <w:right w:val="nil"/>
            </w:tcBorders>
          </w:tcPr>
          <w:p w:rsidR="00FF0CED" w:rsidRPr="00FF0CED" w:rsidRDefault="00FF0CED" w:rsidP="00802453">
            <w:pPr>
              <w:keepNext/>
              <w:rPr>
                <w:sz w:val="14"/>
                <w:szCs w:val="14"/>
              </w:rPr>
            </w:pPr>
          </w:p>
        </w:tc>
        <w:tc>
          <w:tcPr>
            <w:tcW w:w="698" w:type="dxa"/>
            <w:tcBorders>
              <w:top w:val="nil"/>
              <w:left w:val="nil"/>
              <w:bottom w:val="nil"/>
              <w:right w:val="nil"/>
            </w:tcBorders>
          </w:tcPr>
          <w:p w:rsidR="00FF0CED" w:rsidRPr="00FF0CED" w:rsidRDefault="00FF0CED" w:rsidP="00802453">
            <w:pPr>
              <w:keepNext/>
              <w:rPr>
                <w:sz w:val="14"/>
                <w:szCs w:val="14"/>
              </w:rPr>
            </w:pPr>
          </w:p>
        </w:tc>
        <w:tc>
          <w:tcPr>
            <w:tcW w:w="711" w:type="dxa"/>
            <w:tcBorders>
              <w:top w:val="nil"/>
              <w:left w:val="nil"/>
              <w:bottom w:val="nil"/>
              <w:right w:val="nil"/>
            </w:tcBorders>
          </w:tcPr>
          <w:p w:rsidR="00FF0CED" w:rsidRPr="00FF0CED" w:rsidRDefault="00FF0CED" w:rsidP="00802453">
            <w:pPr>
              <w:keepNext/>
              <w:rPr>
                <w:sz w:val="14"/>
                <w:szCs w:val="14"/>
              </w:rPr>
            </w:pPr>
          </w:p>
        </w:tc>
        <w:tc>
          <w:tcPr>
            <w:tcW w:w="785" w:type="dxa"/>
            <w:tcBorders>
              <w:top w:val="nil"/>
              <w:left w:val="nil"/>
              <w:bottom w:val="nil"/>
            </w:tcBorders>
          </w:tcPr>
          <w:p w:rsidR="00FF0CED" w:rsidRPr="00FF0CED" w:rsidRDefault="00FF0CED" w:rsidP="00802453">
            <w:pPr>
              <w:keepNext/>
              <w:rPr>
                <w:sz w:val="14"/>
                <w:szCs w:val="14"/>
              </w:rPr>
            </w:pPr>
          </w:p>
        </w:tc>
      </w:tr>
      <w:tr w:rsidR="00FF0CED" w:rsidRPr="00FF0CED" w:rsidTr="00FF0CED">
        <w:tc>
          <w:tcPr>
            <w:tcW w:w="956" w:type="dxa"/>
            <w:vMerge/>
            <w:tcBorders>
              <w:top w:val="nil"/>
              <w:bottom w:val="single" w:sz="4" w:space="0" w:color="auto"/>
              <w:right w:val="nil"/>
            </w:tcBorders>
          </w:tcPr>
          <w:p w:rsidR="00FF0CED" w:rsidRPr="00FF0CED" w:rsidRDefault="00FF0CED" w:rsidP="00802453">
            <w:pPr>
              <w:keepNext/>
              <w:rPr>
                <w:sz w:val="14"/>
                <w:szCs w:val="14"/>
              </w:rPr>
            </w:pPr>
          </w:p>
        </w:tc>
        <w:tc>
          <w:tcPr>
            <w:tcW w:w="949" w:type="dxa"/>
            <w:tcBorders>
              <w:top w:val="nil"/>
              <w:left w:val="nil"/>
              <w:bottom w:val="single" w:sz="4" w:space="0" w:color="auto"/>
            </w:tcBorders>
          </w:tcPr>
          <w:p w:rsidR="00FF0CED" w:rsidRPr="00FF0CED" w:rsidRDefault="00FF0CED" w:rsidP="00802453">
            <w:pPr>
              <w:keepNext/>
              <w:rPr>
                <w:sz w:val="14"/>
                <w:szCs w:val="14"/>
              </w:rPr>
            </w:pPr>
            <w:r w:rsidRPr="00FF0CED">
              <w:rPr>
                <w:sz w:val="14"/>
                <w:szCs w:val="14"/>
              </w:rPr>
              <w:t>Scatter-site</w:t>
            </w:r>
          </w:p>
        </w:tc>
        <w:tc>
          <w:tcPr>
            <w:tcW w:w="647" w:type="dxa"/>
            <w:tcBorders>
              <w:top w:val="nil"/>
              <w:bottom w:val="single" w:sz="4" w:space="0" w:color="auto"/>
              <w:right w:val="nil"/>
            </w:tcBorders>
          </w:tcPr>
          <w:p w:rsidR="00FF0CED" w:rsidRPr="00FF0CED" w:rsidRDefault="00FF0CED" w:rsidP="00802453">
            <w:pPr>
              <w:keepNext/>
              <w:rPr>
                <w:sz w:val="14"/>
                <w:szCs w:val="14"/>
              </w:rPr>
            </w:pPr>
          </w:p>
        </w:tc>
        <w:tc>
          <w:tcPr>
            <w:tcW w:w="597" w:type="dxa"/>
            <w:tcBorders>
              <w:top w:val="nil"/>
              <w:left w:val="nil"/>
              <w:bottom w:val="single" w:sz="4" w:space="0" w:color="auto"/>
              <w:right w:val="nil"/>
            </w:tcBorders>
          </w:tcPr>
          <w:p w:rsidR="00FF0CED" w:rsidRPr="00FF0CED" w:rsidRDefault="00FF0CED" w:rsidP="00802453">
            <w:pPr>
              <w:keepNext/>
              <w:rPr>
                <w:sz w:val="14"/>
                <w:szCs w:val="14"/>
              </w:rPr>
            </w:pPr>
          </w:p>
        </w:tc>
        <w:tc>
          <w:tcPr>
            <w:tcW w:w="698" w:type="dxa"/>
            <w:tcBorders>
              <w:top w:val="nil"/>
              <w:left w:val="nil"/>
              <w:bottom w:val="single" w:sz="4" w:space="0" w:color="auto"/>
              <w:right w:val="nil"/>
            </w:tcBorders>
          </w:tcPr>
          <w:p w:rsidR="00FF0CED" w:rsidRPr="00FF0CED" w:rsidRDefault="00FF0CED" w:rsidP="00802453">
            <w:pPr>
              <w:keepNext/>
              <w:rPr>
                <w:sz w:val="14"/>
                <w:szCs w:val="14"/>
              </w:rPr>
            </w:pPr>
          </w:p>
        </w:tc>
        <w:tc>
          <w:tcPr>
            <w:tcW w:w="711" w:type="dxa"/>
            <w:tcBorders>
              <w:top w:val="nil"/>
              <w:left w:val="nil"/>
              <w:bottom w:val="single" w:sz="4" w:space="0" w:color="auto"/>
              <w:right w:val="nil"/>
            </w:tcBorders>
          </w:tcPr>
          <w:p w:rsidR="00FF0CED" w:rsidRPr="00FF0CED" w:rsidRDefault="00FF0CED" w:rsidP="00802453">
            <w:pPr>
              <w:keepNext/>
              <w:rPr>
                <w:sz w:val="14"/>
                <w:szCs w:val="14"/>
              </w:rPr>
            </w:pPr>
          </w:p>
        </w:tc>
        <w:tc>
          <w:tcPr>
            <w:tcW w:w="785" w:type="dxa"/>
            <w:tcBorders>
              <w:top w:val="nil"/>
              <w:left w:val="nil"/>
              <w:bottom w:val="single" w:sz="4" w:space="0" w:color="auto"/>
              <w:right w:val="nil"/>
            </w:tcBorders>
          </w:tcPr>
          <w:p w:rsidR="00FF0CED" w:rsidRPr="00FF0CED" w:rsidRDefault="00FF0CED" w:rsidP="00802453">
            <w:pPr>
              <w:keepNext/>
              <w:rPr>
                <w:sz w:val="14"/>
                <w:szCs w:val="14"/>
              </w:rPr>
            </w:pPr>
          </w:p>
        </w:tc>
        <w:tc>
          <w:tcPr>
            <w:tcW w:w="144" w:type="dxa"/>
            <w:tcBorders>
              <w:top w:val="nil"/>
              <w:left w:val="nil"/>
              <w:bottom w:val="single" w:sz="4" w:space="0" w:color="auto"/>
              <w:right w:val="nil"/>
            </w:tcBorders>
          </w:tcPr>
          <w:p w:rsidR="00FF0CED" w:rsidRPr="00FF0CED" w:rsidRDefault="00FF0CED" w:rsidP="00802453">
            <w:pPr>
              <w:keepNext/>
              <w:rPr>
                <w:sz w:val="14"/>
                <w:szCs w:val="14"/>
              </w:rPr>
            </w:pPr>
          </w:p>
        </w:tc>
        <w:tc>
          <w:tcPr>
            <w:tcW w:w="666" w:type="dxa"/>
            <w:tcBorders>
              <w:top w:val="nil"/>
              <w:left w:val="nil"/>
              <w:bottom w:val="single" w:sz="4" w:space="0" w:color="auto"/>
              <w:right w:val="nil"/>
            </w:tcBorders>
          </w:tcPr>
          <w:p w:rsidR="00FF0CED" w:rsidRPr="00FF0CED" w:rsidRDefault="00FF0CED" w:rsidP="00802453">
            <w:pPr>
              <w:keepNext/>
              <w:rPr>
                <w:sz w:val="14"/>
                <w:szCs w:val="14"/>
              </w:rPr>
            </w:pPr>
          </w:p>
        </w:tc>
        <w:tc>
          <w:tcPr>
            <w:tcW w:w="683" w:type="dxa"/>
            <w:tcBorders>
              <w:top w:val="nil"/>
              <w:left w:val="nil"/>
              <w:bottom w:val="single" w:sz="4" w:space="0" w:color="auto"/>
              <w:right w:val="nil"/>
            </w:tcBorders>
          </w:tcPr>
          <w:p w:rsidR="00FF0CED" w:rsidRPr="00FF0CED" w:rsidRDefault="00FF0CED" w:rsidP="00802453">
            <w:pPr>
              <w:keepNext/>
              <w:rPr>
                <w:sz w:val="14"/>
                <w:szCs w:val="14"/>
              </w:rPr>
            </w:pPr>
          </w:p>
        </w:tc>
        <w:tc>
          <w:tcPr>
            <w:tcW w:w="698" w:type="dxa"/>
            <w:tcBorders>
              <w:top w:val="nil"/>
              <w:left w:val="nil"/>
              <w:bottom w:val="single" w:sz="4" w:space="0" w:color="auto"/>
              <w:right w:val="nil"/>
            </w:tcBorders>
          </w:tcPr>
          <w:p w:rsidR="00FF0CED" w:rsidRPr="00FF0CED" w:rsidRDefault="00FF0CED" w:rsidP="00802453">
            <w:pPr>
              <w:keepNext/>
              <w:rPr>
                <w:sz w:val="14"/>
                <w:szCs w:val="14"/>
              </w:rPr>
            </w:pPr>
          </w:p>
        </w:tc>
        <w:tc>
          <w:tcPr>
            <w:tcW w:w="711" w:type="dxa"/>
            <w:tcBorders>
              <w:top w:val="nil"/>
              <w:left w:val="nil"/>
              <w:bottom w:val="single" w:sz="4" w:space="0" w:color="auto"/>
              <w:right w:val="nil"/>
            </w:tcBorders>
          </w:tcPr>
          <w:p w:rsidR="00FF0CED" w:rsidRPr="00FF0CED" w:rsidRDefault="00FF0CED" w:rsidP="00802453">
            <w:pPr>
              <w:keepNext/>
              <w:rPr>
                <w:sz w:val="14"/>
                <w:szCs w:val="14"/>
              </w:rPr>
            </w:pPr>
          </w:p>
        </w:tc>
        <w:tc>
          <w:tcPr>
            <w:tcW w:w="785" w:type="dxa"/>
            <w:tcBorders>
              <w:top w:val="nil"/>
              <w:left w:val="nil"/>
              <w:bottom w:val="single" w:sz="4" w:space="0" w:color="auto"/>
            </w:tcBorders>
          </w:tcPr>
          <w:p w:rsidR="00FF0CED" w:rsidRPr="00FF0CED" w:rsidRDefault="00FF0CED" w:rsidP="00802453">
            <w:pPr>
              <w:keepNext/>
              <w:rPr>
                <w:sz w:val="14"/>
                <w:szCs w:val="14"/>
              </w:rPr>
            </w:pPr>
          </w:p>
        </w:tc>
      </w:tr>
      <w:tr w:rsidR="00FF0CED" w:rsidRPr="00FF0CED" w:rsidTr="00FF0CED">
        <w:trPr>
          <w:trHeight w:val="288"/>
        </w:trPr>
        <w:tc>
          <w:tcPr>
            <w:tcW w:w="9030" w:type="dxa"/>
            <w:gridSpan w:val="13"/>
            <w:tcBorders>
              <w:left w:val="nil"/>
              <w:bottom w:val="nil"/>
              <w:right w:val="nil"/>
            </w:tcBorders>
          </w:tcPr>
          <w:p w:rsidR="00FF0CED" w:rsidRPr="00FF0CED" w:rsidRDefault="00FF0CED" w:rsidP="00802453">
            <w:pPr>
              <w:keepNext/>
              <w:spacing w:after="0"/>
              <w:rPr>
                <w:sz w:val="14"/>
                <w:szCs w:val="14"/>
              </w:rPr>
            </w:pPr>
            <w:r w:rsidRPr="00FF0CED">
              <w:rPr>
                <w:sz w:val="14"/>
                <w:szCs w:val="14"/>
              </w:rPr>
              <w:t>Note: Data are based on client survey responses at 6-month follow-up</w:t>
            </w:r>
          </w:p>
        </w:tc>
      </w:tr>
    </w:tbl>
    <w:p w:rsidR="00982F4F" w:rsidRDefault="00982F4F" w:rsidP="00A203F1">
      <w:pPr>
        <w:pStyle w:val="NoSpacing"/>
        <w:jc w:val="both"/>
        <w:rPr>
          <w:noProof/>
        </w:rPr>
      </w:pPr>
    </w:p>
    <w:p w:rsidR="00FF0CED" w:rsidRDefault="00FF0CED" w:rsidP="00FF0CED">
      <w:pPr>
        <w:pStyle w:val="BodyText1"/>
        <w:ind w:firstLine="0"/>
        <w:jc w:val="both"/>
        <w:rPr>
          <w:noProof/>
        </w:rPr>
      </w:pPr>
      <w:r>
        <w:rPr>
          <w:rFonts w:ascii="Calibri" w:eastAsia="Calibri" w:hAnsi="Calibri"/>
          <w:szCs w:val="22"/>
        </w:rPr>
        <w:lastRenderedPageBreak/>
        <w:t xml:space="preserve">The second table is an example of a model of what characteristics are associated with a client’s housing status at both baseline and follow-up.  In addition to client characteristics, we plan to include yet </w:t>
      </w:r>
      <w:proofErr w:type="spellStart"/>
      <w:r>
        <w:rPr>
          <w:rFonts w:ascii="Calibri" w:eastAsia="Calibri" w:hAnsi="Calibri"/>
          <w:szCs w:val="22"/>
        </w:rPr>
        <w:t>tobe</w:t>
      </w:r>
      <w:proofErr w:type="spellEnd"/>
      <w:r>
        <w:rPr>
          <w:rFonts w:ascii="Calibri" w:eastAsia="Calibri" w:hAnsi="Calibri"/>
          <w:szCs w:val="22"/>
        </w:rPr>
        <w:t xml:space="preserve"> determined independent variables that capture the grantee’s program.  Although not causal, the estimate for the indicator of 6-month follow-up provides a benchmark for comparing how well these models may have performed compared with published estimates from rigorous effectiveness studies.  </w:t>
      </w:r>
    </w:p>
    <w:p w:rsidR="00982F4F" w:rsidRDefault="00982F4F" w:rsidP="00FF0CED">
      <w:pPr>
        <w:pStyle w:val="NoSpacing"/>
        <w:jc w:val="both"/>
        <w:rPr>
          <w:noProof/>
        </w:rPr>
      </w:pPr>
    </w:p>
    <w:p w:rsidR="00982F4F" w:rsidRDefault="00982F4F" w:rsidP="00A203F1">
      <w:pPr>
        <w:pStyle w:val="NoSpacing"/>
        <w:jc w:val="both"/>
        <w:rPr>
          <w:rFonts w:ascii="Arial" w:hAnsi="Arial" w:cs="Arial"/>
          <w:b/>
          <w:color w:val="000000"/>
          <w:sz w:val="18"/>
          <w:szCs w:val="18"/>
        </w:rPr>
      </w:pPr>
    </w:p>
    <w:p w:rsidR="00982F4F" w:rsidRPr="00982F4F" w:rsidRDefault="00982F4F" w:rsidP="00A203F1">
      <w:pPr>
        <w:pStyle w:val="NoSpacing"/>
        <w:jc w:val="both"/>
        <w:rPr>
          <w:b/>
          <w:noProof/>
        </w:rPr>
      </w:pPr>
      <w:proofErr w:type="gramStart"/>
      <w:r w:rsidRPr="00982F4F">
        <w:rPr>
          <w:rFonts w:ascii="Arial" w:hAnsi="Arial" w:cs="Arial"/>
          <w:b/>
          <w:color w:val="000000"/>
          <w:sz w:val="18"/>
          <w:szCs w:val="18"/>
        </w:rPr>
        <w:t>Table Shell</w:t>
      </w:r>
      <w:r w:rsidR="00802453">
        <w:rPr>
          <w:rFonts w:ascii="Arial" w:hAnsi="Arial" w:cs="Arial"/>
          <w:b/>
          <w:color w:val="000000"/>
          <w:sz w:val="18"/>
          <w:szCs w:val="18"/>
        </w:rPr>
        <w:t xml:space="preserve"> 2</w:t>
      </w:r>
      <w:r w:rsidRPr="00982F4F">
        <w:rPr>
          <w:rFonts w:ascii="Arial" w:hAnsi="Arial" w:cs="Arial"/>
          <w:b/>
          <w:color w:val="000000"/>
          <w:sz w:val="18"/>
          <w:szCs w:val="18"/>
        </w:rPr>
        <w:t>.</w:t>
      </w:r>
      <w:proofErr w:type="gramEnd"/>
      <w:r w:rsidRPr="00982F4F">
        <w:rPr>
          <w:rFonts w:ascii="Arial" w:hAnsi="Arial" w:cs="Arial"/>
          <w:b/>
          <w:color w:val="000000"/>
          <w:sz w:val="18"/>
          <w:szCs w:val="18"/>
        </w:rPr>
        <w:t xml:space="preserve"> Multinomial </w:t>
      </w:r>
      <w:proofErr w:type="spellStart"/>
      <w:r w:rsidRPr="00982F4F">
        <w:rPr>
          <w:rFonts w:ascii="Arial" w:hAnsi="Arial" w:cs="Arial"/>
          <w:b/>
          <w:color w:val="000000"/>
          <w:sz w:val="18"/>
          <w:szCs w:val="18"/>
        </w:rPr>
        <w:t>Logit</w:t>
      </w:r>
      <w:proofErr w:type="spellEnd"/>
      <w:r w:rsidRPr="00982F4F">
        <w:rPr>
          <w:rFonts w:ascii="Arial" w:hAnsi="Arial" w:cs="Arial"/>
          <w:b/>
          <w:color w:val="000000"/>
          <w:sz w:val="18"/>
          <w:szCs w:val="18"/>
        </w:rPr>
        <w:t xml:space="preserve"> Estimates of the of Housing Status</w:t>
      </w:r>
    </w:p>
    <w:tbl>
      <w:tblPr>
        <w:tblW w:w="7960" w:type="dxa"/>
        <w:tblInd w:w="108" w:type="dxa"/>
        <w:tblLook w:val="04A0" w:firstRow="1" w:lastRow="0" w:firstColumn="1" w:lastColumn="0" w:noHBand="0" w:noVBand="1"/>
      </w:tblPr>
      <w:tblGrid>
        <w:gridCol w:w="2280"/>
        <w:gridCol w:w="1420"/>
        <w:gridCol w:w="1430"/>
        <w:gridCol w:w="1410"/>
        <w:gridCol w:w="1420"/>
      </w:tblGrid>
      <w:tr w:rsidR="00982F4F" w:rsidRPr="00802453" w:rsidTr="00982F4F">
        <w:trPr>
          <w:trHeight w:val="300"/>
        </w:trPr>
        <w:tc>
          <w:tcPr>
            <w:tcW w:w="2280" w:type="dxa"/>
            <w:tcBorders>
              <w:top w:val="single" w:sz="8" w:space="0" w:color="4F81BD"/>
              <w:left w:val="single" w:sz="8" w:space="0" w:color="4F81BD"/>
              <w:bottom w:val="nil"/>
              <w:right w:val="single" w:sz="8" w:space="0" w:color="4F81BD"/>
            </w:tcBorders>
            <w:shd w:val="clear" w:color="000000" w:fill="1F497D"/>
            <w:vAlign w:val="bottom"/>
            <w:hideMark/>
          </w:tcPr>
          <w:p w:rsidR="00982F4F" w:rsidRPr="00802453" w:rsidRDefault="00982F4F" w:rsidP="00457768">
            <w:pPr>
              <w:rPr>
                <w:rFonts w:ascii="Arial" w:hAnsi="Arial" w:cs="Arial"/>
                <w:color w:val="000000"/>
                <w:sz w:val="16"/>
                <w:szCs w:val="16"/>
              </w:rPr>
            </w:pPr>
          </w:p>
          <w:p w:rsidR="00982F4F" w:rsidRPr="00802453" w:rsidRDefault="00982F4F" w:rsidP="00457768">
            <w:pPr>
              <w:rPr>
                <w:rFonts w:ascii="Arial" w:hAnsi="Arial" w:cs="Arial"/>
                <w:color w:val="000000"/>
                <w:sz w:val="16"/>
                <w:szCs w:val="16"/>
              </w:rPr>
            </w:pPr>
          </w:p>
        </w:tc>
        <w:tc>
          <w:tcPr>
            <w:tcW w:w="1420" w:type="dxa"/>
            <w:tcBorders>
              <w:top w:val="single" w:sz="8" w:space="0" w:color="4F81BD"/>
              <w:left w:val="nil"/>
              <w:bottom w:val="nil"/>
              <w:right w:val="nil"/>
            </w:tcBorders>
            <w:shd w:val="clear" w:color="000000" w:fill="1F497D"/>
            <w:vAlign w:val="bottom"/>
            <w:hideMark/>
          </w:tcPr>
          <w:p w:rsidR="00982F4F" w:rsidRPr="00802453" w:rsidRDefault="00982F4F" w:rsidP="00457768">
            <w:pPr>
              <w:jc w:val="center"/>
              <w:rPr>
                <w:rFonts w:ascii="Arial" w:hAnsi="Arial" w:cs="Arial"/>
                <w:b/>
                <w:bCs/>
                <w:color w:val="FFFFFF"/>
                <w:sz w:val="16"/>
                <w:szCs w:val="16"/>
              </w:rPr>
            </w:pPr>
            <w:r w:rsidRPr="00802453">
              <w:rPr>
                <w:rFonts w:ascii="Arial" w:hAnsi="Arial" w:cs="Arial"/>
                <w:b/>
                <w:bCs/>
                <w:color w:val="FFFFFF"/>
                <w:sz w:val="16"/>
                <w:szCs w:val="16"/>
              </w:rPr>
              <w:t>Shelter</w:t>
            </w:r>
          </w:p>
        </w:tc>
        <w:tc>
          <w:tcPr>
            <w:tcW w:w="1430" w:type="dxa"/>
            <w:tcBorders>
              <w:top w:val="single" w:sz="8" w:space="0" w:color="4F81BD"/>
              <w:left w:val="single" w:sz="8" w:space="0" w:color="4F81BD"/>
              <w:bottom w:val="nil"/>
              <w:right w:val="nil"/>
            </w:tcBorders>
            <w:shd w:val="clear" w:color="000000" w:fill="1F497D"/>
            <w:vAlign w:val="bottom"/>
            <w:hideMark/>
          </w:tcPr>
          <w:p w:rsidR="00982F4F" w:rsidRPr="00802453" w:rsidRDefault="00982F4F" w:rsidP="00457768">
            <w:pPr>
              <w:jc w:val="center"/>
              <w:rPr>
                <w:sz w:val="16"/>
                <w:szCs w:val="16"/>
              </w:rPr>
            </w:pPr>
            <w:r w:rsidRPr="00802453">
              <w:rPr>
                <w:rFonts w:ascii="Arial" w:hAnsi="Arial" w:cs="Arial"/>
                <w:b/>
                <w:bCs/>
                <w:color w:val="FFFFFF"/>
                <w:sz w:val="16"/>
                <w:szCs w:val="16"/>
              </w:rPr>
              <w:t>Residential SA Treatment</w:t>
            </w:r>
          </w:p>
        </w:tc>
        <w:tc>
          <w:tcPr>
            <w:tcW w:w="1410" w:type="dxa"/>
            <w:tcBorders>
              <w:top w:val="single" w:sz="8" w:space="0" w:color="4F81BD"/>
              <w:left w:val="single" w:sz="8" w:space="0" w:color="4F81BD"/>
              <w:bottom w:val="nil"/>
              <w:right w:val="nil"/>
            </w:tcBorders>
            <w:shd w:val="clear" w:color="000000" w:fill="1F497D"/>
            <w:vAlign w:val="bottom"/>
            <w:hideMark/>
          </w:tcPr>
          <w:p w:rsidR="00982F4F" w:rsidRPr="00802453" w:rsidRDefault="00982F4F" w:rsidP="00457768">
            <w:pPr>
              <w:jc w:val="center"/>
              <w:rPr>
                <w:rFonts w:ascii="Arial" w:hAnsi="Arial" w:cs="Arial"/>
                <w:b/>
                <w:bCs/>
                <w:color w:val="FFFFFF"/>
                <w:sz w:val="16"/>
                <w:szCs w:val="16"/>
              </w:rPr>
            </w:pPr>
            <w:r w:rsidRPr="00802453">
              <w:rPr>
                <w:rFonts w:ascii="Arial" w:hAnsi="Arial" w:cs="Arial"/>
                <w:b/>
                <w:bCs/>
                <w:color w:val="FFFFFF"/>
                <w:sz w:val="16"/>
                <w:szCs w:val="16"/>
              </w:rPr>
              <w:t>Transitional Housing</w:t>
            </w:r>
          </w:p>
        </w:tc>
        <w:tc>
          <w:tcPr>
            <w:tcW w:w="1420" w:type="dxa"/>
            <w:tcBorders>
              <w:top w:val="single" w:sz="8" w:space="0" w:color="4F81BD"/>
              <w:left w:val="single" w:sz="8" w:space="0" w:color="4F81BD"/>
              <w:bottom w:val="nil"/>
              <w:right w:val="nil"/>
            </w:tcBorders>
            <w:shd w:val="clear" w:color="000000" w:fill="1F497D"/>
            <w:vAlign w:val="bottom"/>
            <w:hideMark/>
          </w:tcPr>
          <w:p w:rsidR="00982F4F" w:rsidRPr="00802453" w:rsidRDefault="00982F4F" w:rsidP="00457768">
            <w:pPr>
              <w:jc w:val="center"/>
              <w:rPr>
                <w:rFonts w:ascii="Arial" w:hAnsi="Arial" w:cs="Arial"/>
                <w:b/>
                <w:bCs/>
                <w:color w:val="FFFFFF"/>
                <w:sz w:val="16"/>
                <w:szCs w:val="16"/>
              </w:rPr>
            </w:pPr>
            <w:r w:rsidRPr="00802453">
              <w:rPr>
                <w:rFonts w:ascii="Arial" w:hAnsi="Arial" w:cs="Arial"/>
                <w:b/>
                <w:bCs/>
                <w:color w:val="FFFFFF"/>
                <w:sz w:val="16"/>
                <w:szCs w:val="16"/>
              </w:rPr>
              <w:t>Permanent, Independent Housing</w:t>
            </w:r>
          </w:p>
        </w:tc>
      </w:tr>
      <w:tr w:rsidR="00982F4F" w:rsidRPr="00802453" w:rsidTr="00457768">
        <w:trPr>
          <w:trHeight w:val="300"/>
        </w:trPr>
        <w:tc>
          <w:tcPr>
            <w:tcW w:w="2280" w:type="dxa"/>
            <w:vMerge w:val="restart"/>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rPr>
                <w:rFonts w:ascii="Arial" w:hAnsi="Arial" w:cs="Arial"/>
                <w:color w:val="000000"/>
                <w:sz w:val="16"/>
                <w:szCs w:val="16"/>
              </w:rPr>
            </w:pPr>
            <w:r w:rsidRPr="00802453">
              <w:rPr>
                <w:rFonts w:ascii="Arial" w:hAnsi="Arial" w:cs="Arial"/>
                <w:color w:val="000000"/>
                <w:sz w:val="16"/>
                <w:szCs w:val="16"/>
              </w:rPr>
              <w:t>Follow-Up Indicator</w:t>
            </w:r>
          </w:p>
        </w:tc>
        <w:tc>
          <w:tcPr>
            <w:tcW w:w="1420" w:type="dxa"/>
            <w:tcBorders>
              <w:top w:val="nil"/>
              <w:left w:val="single" w:sz="8" w:space="0" w:color="4F81BD"/>
              <w:bottom w:val="nil"/>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tcBorders>
              <w:top w:val="nil"/>
              <w:left w:val="single" w:sz="8" w:space="0" w:color="4F81BD"/>
              <w:bottom w:val="single" w:sz="8" w:space="0" w:color="4F81BD"/>
              <w:right w:val="nil"/>
            </w:tcBorders>
            <w:vAlign w:val="center"/>
            <w:hideMark/>
          </w:tcPr>
          <w:p w:rsidR="00982F4F" w:rsidRPr="00802453" w:rsidRDefault="00982F4F" w:rsidP="00457768">
            <w:pPr>
              <w:rPr>
                <w:rFonts w:ascii="Arial" w:hAnsi="Arial" w:cs="Arial"/>
                <w:color w:val="000000"/>
                <w:sz w:val="16"/>
                <w:szCs w:val="16"/>
              </w:rPr>
            </w:pPr>
          </w:p>
        </w:tc>
        <w:tc>
          <w:tcPr>
            <w:tcW w:w="1420" w:type="dxa"/>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val="restart"/>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rPr>
                <w:rFonts w:ascii="Arial" w:hAnsi="Arial" w:cs="Arial"/>
                <w:color w:val="000000"/>
                <w:sz w:val="16"/>
                <w:szCs w:val="16"/>
              </w:rPr>
            </w:pPr>
            <w:r w:rsidRPr="00802453">
              <w:rPr>
                <w:rFonts w:ascii="Arial" w:hAnsi="Arial" w:cs="Arial"/>
                <w:color w:val="000000"/>
                <w:sz w:val="16"/>
                <w:szCs w:val="16"/>
              </w:rPr>
              <w:t>Female</w:t>
            </w:r>
          </w:p>
        </w:tc>
        <w:tc>
          <w:tcPr>
            <w:tcW w:w="1420" w:type="dxa"/>
            <w:tcBorders>
              <w:top w:val="nil"/>
              <w:left w:val="single" w:sz="8" w:space="0" w:color="4F81BD"/>
              <w:bottom w:val="nil"/>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tcBorders>
              <w:top w:val="nil"/>
              <w:left w:val="single" w:sz="8" w:space="0" w:color="4F81BD"/>
              <w:bottom w:val="single" w:sz="8" w:space="0" w:color="4F81BD"/>
              <w:right w:val="nil"/>
            </w:tcBorders>
            <w:vAlign w:val="center"/>
            <w:hideMark/>
          </w:tcPr>
          <w:p w:rsidR="00982F4F" w:rsidRPr="00802453" w:rsidRDefault="00982F4F" w:rsidP="00457768">
            <w:pPr>
              <w:rPr>
                <w:rFonts w:ascii="Arial" w:hAnsi="Arial" w:cs="Arial"/>
                <w:color w:val="000000"/>
                <w:sz w:val="16"/>
                <w:szCs w:val="16"/>
              </w:rPr>
            </w:pPr>
          </w:p>
        </w:tc>
        <w:tc>
          <w:tcPr>
            <w:tcW w:w="1420" w:type="dxa"/>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val="restart"/>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rPr>
                <w:rFonts w:ascii="Arial" w:hAnsi="Arial" w:cs="Arial"/>
                <w:color w:val="000000"/>
                <w:sz w:val="16"/>
                <w:szCs w:val="16"/>
              </w:rPr>
            </w:pPr>
            <w:r w:rsidRPr="00802453">
              <w:rPr>
                <w:rFonts w:ascii="Arial" w:hAnsi="Arial" w:cs="Arial"/>
                <w:color w:val="000000"/>
                <w:sz w:val="16"/>
                <w:szCs w:val="16"/>
              </w:rPr>
              <w:t>Hispanic</w:t>
            </w:r>
          </w:p>
        </w:tc>
        <w:tc>
          <w:tcPr>
            <w:tcW w:w="1420" w:type="dxa"/>
            <w:tcBorders>
              <w:top w:val="nil"/>
              <w:left w:val="single" w:sz="8" w:space="0" w:color="4F81BD"/>
              <w:bottom w:val="nil"/>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tcBorders>
              <w:top w:val="nil"/>
              <w:left w:val="single" w:sz="8" w:space="0" w:color="4F81BD"/>
              <w:bottom w:val="single" w:sz="8" w:space="0" w:color="4F81BD"/>
              <w:right w:val="nil"/>
            </w:tcBorders>
            <w:vAlign w:val="center"/>
            <w:hideMark/>
          </w:tcPr>
          <w:p w:rsidR="00982F4F" w:rsidRPr="00802453" w:rsidRDefault="00982F4F" w:rsidP="00457768">
            <w:pPr>
              <w:rPr>
                <w:rFonts w:ascii="Arial" w:hAnsi="Arial" w:cs="Arial"/>
                <w:color w:val="000000"/>
                <w:sz w:val="16"/>
                <w:szCs w:val="16"/>
              </w:rPr>
            </w:pPr>
          </w:p>
        </w:tc>
        <w:tc>
          <w:tcPr>
            <w:tcW w:w="1420" w:type="dxa"/>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val="restart"/>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rPr>
                <w:rFonts w:ascii="Arial" w:hAnsi="Arial" w:cs="Arial"/>
                <w:color w:val="000000"/>
                <w:sz w:val="16"/>
                <w:szCs w:val="16"/>
              </w:rPr>
            </w:pPr>
            <w:r w:rsidRPr="00802453">
              <w:rPr>
                <w:rFonts w:ascii="Arial" w:hAnsi="Arial" w:cs="Arial"/>
                <w:color w:val="000000"/>
                <w:sz w:val="16"/>
                <w:szCs w:val="16"/>
              </w:rPr>
              <w:t>Black</w:t>
            </w:r>
          </w:p>
        </w:tc>
        <w:tc>
          <w:tcPr>
            <w:tcW w:w="1420" w:type="dxa"/>
            <w:tcBorders>
              <w:top w:val="nil"/>
              <w:left w:val="single" w:sz="8" w:space="0" w:color="4F81BD"/>
              <w:bottom w:val="nil"/>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tcBorders>
              <w:top w:val="nil"/>
              <w:left w:val="single" w:sz="8" w:space="0" w:color="4F81BD"/>
              <w:bottom w:val="single" w:sz="8" w:space="0" w:color="4F81BD"/>
              <w:right w:val="nil"/>
            </w:tcBorders>
            <w:vAlign w:val="center"/>
            <w:hideMark/>
          </w:tcPr>
          <w:p w:rsidR="00982F4F" w:rsidRPr="00802453" w:rsidRDefault="00982F4F" w:rsidP="00457768">
            <w:pPr>
              <w:rPr>
                <w:rFonts w:ascii="Arial" w:hAnsi="Arial" w:cs="Arial"/>
                <w:color w:val="000000"/>
                <w:sz w:val="16"/>
                <w:szCs w:val="16"/>
              </w:rPr>
            </w:pPr>
          </w:p>
        </w:tc>
        <w:tc>
          <w:tcPr>
            <w:tcW w:w="1420" w:type="dxa"/>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val="restart"/>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rPr>
                <w:rFonts w:ascii="Arial" w:hAnsi="Arial" w:cs="Arial"/>
                <w:color w:val="000000"/>
                <w:sz w:val="16"/>
                <w:szCs w:val="16"/>
              </w:rPr>
            </w:pPr>
            <w:r w:rsidRPr="00802453">
              <w:rPr>
                <w:rFonts w:ascii="Arial" w:hAnsi="Arial" w:cs="Arial"/>
                <w:color w:val="000000"/>
                <w:sz w:val="16"/>
                <w:szCs w:val="16"/>
              </w:rPr>
              <w:t>Asian</w:t>
            </w:r>
          </w:p>
        </w:tc>
        <w:tc>
          <w:tcPr>
            <w:tcW w:w="1420" w:type="dxa"/>
            <w:tcBorders>
              <w:top w:val="nil"/>
              <w:left w:val="single" w:sz="8" w:space="0" w:color="4F81BD"/>
              <w:bottom w:val="nil"/>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982F4F">
        <w:trPr>
          <w:trHeight w:val="300"/>
        </w:trPr>
        <w:tc>
          <w:tcPr>
            <w:tcW w:w="2280" w:type="dxa"/>
            <w:vMerge/>
            <w:tcBorders>
              <w:top w:val="nil"/>
              <w:left w:val="single" w:sz="8" w:space="0" w:color="4F81BD"/>
              <w:bottom w:val="single" w:sz="8" w:space="0" w:color="4F81BD"/>
              <w:right w:val="nil"/>
            </w:tcBorders>
            <w:vAlign w:val="center"/>
            <w:hideMark/>
          </w:tcPr>
          <w:p w:rsidR="00982F4F" w:rsidRPr="00802453" w:rsidRDefault="00982F4F" w:rsidP="00457768">
            <w:pPr>
              <w:rPr>
                <w:rFonts w:ascii="Arial" w:hAnsi="Arial" w:cs="Arial"/>
                <w:color w:val="000000"/>
                <w:sz w:val="16"/>
                <w:szCs w:val="16"/>
              </w:rPr>
            </w:pPr>
          </w:p>
        </w:tc>
        <w:tc>
          <w:tcPr>
            <w:tcW w:w="1420" w:type="dxa"/>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982F4F">
        <w:trPr>
          <w:trHeight w:val="300"/>
        </w:trPr>
        <w:tc>
          <w:tcPr>
            <w:tcW w:w="2280" w:type="dxa"/>
            <w:vMerge w:val="restart"/>
            <w:tcBorders>
              <w:top w:val="single" w:sz="8" w:space="0" w:color="4F81BD"/>
              <w:left w:val="single" w:sz="8" w:space="0" w:color="4F81BD"/>
              <w:bottom w:val="single" w:sz="8" w:space="0" w:color="4F81BD"/>
              <w:right w:val="nil"/>
            </w:tcBorders>
            <w:shd w:val="clear" w:color="auto" w:fill="auto"/>
            <w:vAlign w:val="bottom"/>
            <w:hideMark/>
          </w:tcPr>
          <w:p w:rsidR="00982F4F" w:rsidRPr="00802453" w:rsidRDefault="00982F4F" w:rsidP="00982F4F">
            <w:pPr>
              <w:keepNext/>
              <w:rPr>
                <w:rFonts w:ascii="Arial" w:hAnsi="Arial" w:cs="Arial"/>
                <w:color w:val="000000"/>
                <w:sz w:val="16"/>
                <w:szCs w:val="16"/>
              </w:rPr>
            </w:pPr>
            <w:r w:rsidRPr="00802453">
              <w:rPr>
                <w:rFonts w:ascii="Arial" w:hAnsi="Arial" w:cs="Arial"/>
                <w:color w:val="000000"/>
                <w:sz w:val="16"/>
                <w:szCs w:val="16"/>
              </w:rPr>
              <w:t>American Indian</w:t>
            </w:r>
          </w:p>
        </w:tc>
        <w:tc>
          <w:tcPr>
            <w:tcW w:w="1420" w:type="dxa"/>
            <w:tcBorders>
              <w:top w:val="single" w:sz="8" w:space="0" w:color="4F81BD"/>
              <w:left w:val="single" w:sz="8" w:space="0" w:color="4F81BD"/>
              <w:right w:val="nil"/>
            </w:tcBorders>
            <w:shd w:val="clear" w:color="auto" w:fill="auto"/>
            <w:vAlign w:val="bottom"/>
            <w:hideMark/>
          </w:tcPr>
          <w:p w:rsidR="00982F4F" w:rsidRPr="00802453" w:rsidRDefault="00982F4F" w:rsidP="00982F4F">
            <w:pPr>
              <w:keepNext/>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single" w:sz="8" w:space="0" w:color="4F81BD"/>
              <w:left w:val="single" w:sz="8" w:space="0" w:color="4F81BD"/>
              <w:right w:val="single" w:sz="8" w:space="0" w:color="4F81BD"/>
            </w:tcBorders>
            <w:shd w:val="clear" w:color="auto" w:fill="auto"/>
            <w:vAlign w:val="bottom"/>
            <w:hideMark/>
          </w:tcPr>
          <w:p w:rsidR="00982F4F" w:rsidRPr="00802453" w:rsidRDefault="00982F4F" w:rsidP="00982F4F">
            <w:pPr>
              <w:keepNext/>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single" w:sz="8" w:space="0" w:color="4F81BD"/>
              <w:left w:val="nil"/>
              <w:right w:val="single" w:sz="8" w:space="0" w:color="4F81BD"/>
            </w:tcBorders>
            <w:shd w:val="clear" w:color="auto" w:fill="auto"/>
            <w:vAlign w:val="bottom"/>
            <w:hideMark/>
          </w:tcPr>
          <w:p w:rsidR="00982F4F" w:rsidRPr="00802453" w:rsidRDefault="00982F4F" w:rsidP="00982F4F">
            <w:pPr>
              <w:keepNext/>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single" w:sz="8" w:space="0" w:color="4F81BD"/>
              <w:left w:val="nil"/>
              <w:right w:val="single" w:sz="8" w:space="0" w:color="4F81BD"/>
            </w:tcBorders>
            <w:shd w:val="clear" w:color="auto" w:fill="auto"/>
            <w:vAlign w:val="bottom"/>
            <w:hideMark/>
          </w:tcPr>
          <w:p w:rsidR="00982F4F" w:rsidRPr="00802453" w:rsidRDefault="00982F4F" w:rsidP="00982F4F">
            <w:pPr>
              <w:keepNext/>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982F4F">
        <w:trPr>
          <w:trHeight w:val="300"/>
        </w:trPr>
        <w:tc>
          <w:tcPr>
            <w:tcW w:w="2280" w:type="dxa"/>
            <w:vMerge/>
            <w:tcBorders>
              <w:top w:val="single" w:sz="8" w:space="0" w:color="4F81BD"/>
              <w:left w:val="single" w:sz="8" w:space="0" w:color="4F81BD"/>
              <w:bottom w:val="single" w:sz="8" w:space="0" w:color="4F81BD"/>
              <w:right w:val="nil"/>
            </w:tcBorders>
            <w:vAlign w:val="center"/>
            <w:hideMark/>
          </w:tcPr>
          <w:p w:rsidR="00982F4F" w:rsidRPr="00802453" w:rsidRDefault="00982F4F" w:rsidP="00982F4F">
            <w:pPr>
              <w:keepNext/>
              <w:rPr>
                <w:rFonts w:ascii="Arial" w:hAnsi="Arial" w:cs="Arial"/>
                <w:color w:val="000000"/>
                <w:sz w:val="16"/>
                <w:szCs w:val="16"/>
              </w:rPr>
            </w:pPr>
          </w:p>
        </w:tc>
        <w:tc>
          <w:tcPr>
            <w:tcW w:w="1420" w:type="dxa"/>
            <w:tcBorders>
              <w:left w:val="single" w:sz="8" w:space="0" w:color="4F81BD"/>
              <w:bottom w:val="single" w:sz="8" w:space="0" w:color="4F81BD"/>
              <w:right w:val="nil"/>
            </w:tcBorders>
            <w:shd w:val="clear" w:color="auto" w:fill="auto"/>
            <w:vAlign w:val="bottom"/>
            <w:hideMark/>
          </w:tcPr>
          <w:p w:rsidR="00982F4F" w:rsidRPr="00802453" w:rsidRDefault="00982F4F" w:rsidP="00982F4F">
            <w:pPr>
              <w:keepNext/>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982F4F">
            <w:pPr>
              <w:keepNext/>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left w:val="nil"/>
              <w:bottom w:val="single" w:sz="8" w:space="0" w:color="4F81BD"/>
              <w:right w:val="single" w:sz="8" w:space="0" w:color="4F81BD"/>
            </w:tcBorders>
            <w:shd w:val="clear" w:color="auto" w:fill="auto"/>
            <w:vAlign w:val="bottom"/>
            <w:hideMark/>
          </w:tcPr>
          <w:p w:rsidR="00982F4F" w:rsidRPr="00802453" w:rsidRDefault="00982F4F" w:rsidP="00982F4F">
            <w:pPr>
              <w:keepNext/>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left w:val="nil"/>
              <w:bottom w:val="single" w:sz="8" w:space="0" w:color="4F81BD"/>
              <w:right w:val="single" w:sz="8" w:space="0" w:color="4F81BD"/>
            </w:tcBorders>
            <w:shd w:val="clear" w:color="auto" w:fill="auto"/>
            <w:vAlign w:val="bottom"/>
            <w:hideMark/>
          </w:tcPr>
          <w:p w:rsidR="00982F4F" w:rsidRPr="00802453" w:rsidRDefault="00982F4F" w:rsidP="00982F4F">
            <w:pPr>
              <w:keepNext/>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val="restart"/>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rPr>
                <w:rFonts w:ascii="Arial" w:hAnsi="Arial" w:cs="Arial"/>
                <w:color w:val="000000"/>
                <w:sz w:val="16"/>
                <w:szCs w:val="16"/>
              </w:rPr>
            </w:pPr>
            <w:r w:rsidRPr="00802453">
              <w:rPr>
                <w:rFonts w:ascii="Arial" w:hAnsi="Arial" w:cs="Arial"/>
                <w:color w:val="000000"/>
                <w:sz w:val="16"/>
                <w:szCs w:val="16"/>
              </w:rPr>
              <w:t>Native Hawaiian/ Pacific Islander</w:t>
            </w:r>
          </w:p>
        </w:tc>
        <w:tc>
          <w:tcPr>
            <w:tcW w:w="1420" w:type="dxa"/>
            <w:tcBorders>
              <w:top w:val="nil"/>
              <w:left w:val="single" w:sz="8" w:space="0" w:color="4F81BD"/>
              <w:bottom w:val="nil"/>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tcBorders>
              <w:top w:val="nil"/>
              <w:left w:val="single" w:sz="8" w:space="0" w:color="4F81BD"/>
              <w:bottom w:val="single" w:sz="8" w:space="0" w:color="4F81BD"/>
              <w:right w:val="nil"/>
            </w:tcBorders>
            <w:vAlign w:val="center"/>
            <w:hideMark/>
          </w:tcPr>
          <w:p w:rsidR="00982F4F" w:rsidRPr="00802453" w:rsidRDefault="00982F4F" w:rsidP="00457768">
            <w:pPr>
              <w:rPr>
                <w:rFonts w:ascii="Arial" w:hAnsi="Arial" w:cs="Arial"/>
                <w:color w:val="000000"/>
                <w:sz w:val="16"/>
                <w:szCs w:val="16"/>
              </w:rPr>
            </w:pPr>
          </w:p>
        </w:tc>
        <w:tc>
          <w:tcPr>
            <w:tcW w:w="1420" w:type="dxa"/>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val="restart"/>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rPr>
                <w:rFonts w:ascii="Arial" w:hAnsi="Arial" w:cs="Arial"/>
                <w:color w:val="000000"/>
                <w:sz w:val="16"/>
                <w:szCs w:val="16"/>
              </w:rPr>
            </w:pPr>
            <w:r w:rsidRPr="00802453">
              <w:rPr>
                <w:rFonts w:ascii="Arial" w:hAnsi="Arial" w:cs="Arial"/>
                <w:color w:val="000000"/>
                <w:sz w:val="16"/>
                <w:szCs w:val="16"/>
              </w:rPr>
              <w:t>Alaska Native</w:t>
            </w:r>
          </w:p>
        </w:tc>
        <w:tc>
          <w:tcPr>
            <w:tcW w:w="1420" w:type="dxa"/>
            <w:tcBorders>
              <w:top w:val="nil"/>
              <w:left w:val="single" w:sz="8" w:space="0" w:color="4F81BD"/>
              <w:bottom w:val="nil"/>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tcBorders>
              <w:top w:val="nil"/>
              <w:left w:val="single" w:sz="8" w:space="0" w:color="4F81BD"/>
              <w:bottom w:val="single" w:sz="8" w:space="0" w:color="4F81BD"/>
              <w:right w:val="nil"/>
            </w:tcBorders>
            <w:vAlign w:val="center"/>
            <w:hideMark/>
          </w:tcPr>
          <w:p w:rsidR="00982F4F" w:rsidRPr="00802453" w:rsidRDefault="00982F4F" w:rsidP="00457768">
            <w:pPr>
              <w:rPr>
                <w:rFonts w:ascii="Arial" w:hAnsi="Arial" w:cs="Arial"/>
                <w:color w:val="000000"/>
                <w:sz w:val="16"/>
                <w:szCs w:val="16"/>
              </w:rPr>
            </w:pPr>
          </w:p>
        </w:tc>
        <w:tc>
          <w:tcPr>
            <w:tcW w:w="1420" w:type="dxa"/>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val="restart"/>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rPr>
                <w:rFonts w:ascii="Arial" w:hAnsi="Arial" w:cs="Arial"/>
                <w:color w:val="000000"/>
                <w:sz w:val="16"/>
                <w:szCs w:val="16"/>
              </w:rPr>
            </w:pPr>
            <w:r w:rsidRPr="00802453">
              <w:rPr>
                <w:rFonts w:ascii="Arial" w:hAnsi="Arial" w:cs="Arial"/>
                <w:color w:val="000000"/>
                <w:sz w:val="16"/>
                <w:szCs w:val="16"/>
              </w:rPr>
              <w:t>Other Race/Ethnicity</w:t>
            </w:r>
          </w:p>
        </w:tc>
        <w:tc>
          <w:tcPr>
            <w:tcW w:w="1420" w:type="dxa"/>
            <w:tcBorders>
              <w:top w:val="nil"/>
              <w:left w:val="single" w:sz="8" w:space="0" w:color="4F81BD"/>
              <w:bottom w:val="nil"/>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tcBorders>
              <w:top w:val="nil"/>
              <w:left w:val="single" w:sz="8" w:space="0" w:color="4F81BD"/>
              <w:bottom w:val="single" w:sz="8" w:space="0" w:color="4F81BD"/>
              <w:right w:val="nil"/>
            </w:tcBorders>
            <w:vAlign w:val="center"/>
            <w:hideMark/>
          </w:tcPr>
          <w:p w:rsidR="00982F4F" w:rsidRPr="00802453" w:rsidRDefault="00982F4F" w:rsidP="00457768">
            <w:pPr>
              <w:rPr>
                <w:rFonts w:ascii="Arial" w:hAnsi="Arial" w:cs="Arial"/>
                <w:color w:val="000000"/>
                <w:sz w:val="16"/>
                <w:szCs w:val="16"/>
              </w:rPr>
            </w:pPr>
          </w:p>
        </w:tc>
        <w:tc>
          <w:tcPr>
            <w:tcW w:w="1420" w:type="dxa"/>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val="restart"/>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rPr>
                <w:rFonts w:ascii="Arial" w:hAnsi="Arial" w:cs="Arial"/>
                <w:color w:val="000000"/>
                <w:sz w:val="16"/>
                <w:szCs w:val="16"/>
              </w:rPr>
            </w:pPr>
            <w:r w:rsidRPr="00802453">
              <w:rPr>
                <w:rFonts w:ascii="Arial" w:hAnsi="Arial" w:cs="Arial"/>
                <w:color w:val="000000"/>
                <w:sz w:val="16"/>
                <w:szCs w:val="16"/>
              </w:rPr>
              <w:t>Age</w:t>
            </w:r>
          </w:p>
        </w:tc>
        <w:tc>
          <w:tcPr>
            <w:tcW w:w="1420" w:type="dxa"/>
            <w:tcBorders>
              <w:top w:val="nil"/>
              <w:left w:val="single" w:sz="8" w:space="0" w:color="4F81BD"/>
              <w:bottom w:val="nil"/>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tcBorders>
              <w:top w:val="nil"/>
              <w:left w:val="single" w:sz="8" w:space="0" w:color="4F81BD"/>
              <w:bottom w:val="single" w:sz="8" w:space="0" w:color="4F81BD"/>
              <w:right w:val="nil"/>
            </w:tcBorders>
            <w:vAlign w:val="center"/>
            <w:hideMark/>
          </w:tcPr>
          <w:p w:rsidR="00982F4F" w:rsidRPr="00802453" w:rsidRDefault="00982F4F" w:rsidP="00457768">
            <w:pPr>
              <w:rPr>
                <w:rFonts w:ascii="Arial" w:hAnsi="Arial" w:cs="Arial"/>
                <w:color w:val="000000"/>
                <w:sz w:val="16"/>
                <w:szCs w:val="16"/>
              </w:rPr>
            </w:pPr>
          </w:p>
        </w:tc>
        <w:tc>
          <w:tcPr>
            <w:tcW w:w="1420" w:type="dxa"/>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val="restart"/>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rPr>
                <w:rFonts w:ascii="Arial" w:hAnsi="Arial" w:cs="Arial"/>
                <w:color w:val="000000"/>
                <w:sz w:val="16"/>
                <w:szCs w:val="16"/>
              </w:rPr>
            </w:pPr>
            <w:r w:rsidRPr="00802453">
              <w:rPr>
                <w:rFonts w:ascii="Arial" w:hAnsi="Arial" w:cs="Arial"/>
                <w:color w:val="000000"/>
                <w:sz w:val="16"/>
                <w:szCs w:val="16"/>
              </w:rPr>
              <w:t>Illicit Substance Use (Days)</w:t>
            </w:r>
          </w:p>
        </w:tc>
        <w:tc>
          <w:tcPr>
            <w:tcW w:w="1420" w:type="dxa"/>
            <w:tcBorders>
              <w:top w:val="nil"/>
              <w:left w:val="single" w:sz="8" w:space="0" w:color="4F81BD"/>
              <w:bottom w:val="nil"/>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tcBorders>
              <w:top w:val="nil"/>
              <w:left w:val="single" w:sz="8" w:space="0" w:color="4F81BD"/>
              <w:bottom w:val="single" w:sz="8" w:space="0" w:color="4F81BD"/>
              <w:right w:val="nil"/>
            </w:tcBorders>
            <w:vAlign w:val="center"/>
            <w:hideMark/>
          </w:tcPr>
          <w:p w:rsidR="00982F4F" w:rsidRPr="00802453" w:rsidRDefault="00982F4F" w:rsidP="00457768">
            <w:pPr>
              <w:rPr>
                <w:rFonts w:ascii="Arial" w:hAnsi="Arial" w:cs="Arial"/>
                <w:color w:val="000000"/>
                <w:sz w:val="16"/>
                <w:szCs w:val="16"/>
              </w:rPr>
            </w:pPr>
          </w:p>
        </w:tc>
        <w:tc>
          <w:tcPr>
            <w:tcW w:w="1420" w:type="dxa"/>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525"/>
        </w:trPr>
        <w:tc>
          <w:tcPr>
            <w:tcW w:w="2280" w:type="dxa"/>
            <w:vMerge w:val="restart"/>
            <w:tcBorders>
              <w:top w:val="single" w:sz="8" w:space="0" w:color="4F81BD"/>
              <w:left w:val="single" w:sz="8" w:space="0" w:color="4F81BD"/>
              <w:bottom w:val="single" w:sz="8" w:space="0" w:color="4F81BD"/>
              <w:right w:val="nil"/>
            </w:tcBorders>
            <w:shd w:val="clear" w:color="auto" w:fill="auto"/>
            <w:vAlign w:val="bottom"/>
            <w:hideMark/>
          </w:tcPr>
          <w:p w:rsidR="00982F4F" w:rsidRPr="00802453" w:rsidRDefault="00982F4F" w:rsidP="00457768">
            <w:pPr>
              <w:rPr>
                <w:rFonts w:ascii="Arial" w:hAnsi="Arial" w:cs="Arial"/>
                <w:color w:val="000000"/>
                <w:sz w:val="16"/>
                <w:szCs w:val="16"/>
              </w:rPr>
            </w:pPr>
            <w:r w:rsidRPr="00802453">
              <w:rPr>
                <w:rFonts w:ascii="Arial" w:hAnsi="Arial" w:cs="Arial"/>
                <w:color w:val="000000"/>
                <w:sz w:val="16"/>
                <w:szCs w:val="16"/>
              </w:rPr>
              <w:t>Mental Illness (Scale)</w:t>
            </w:r>
          </w:p>
        </w:tc>
        <w:tc>
          <w:tcPr>
            <w:tcW w:w="1420" w:type="dxa"/>
            <w:tcBorders>
              <w:top w:val="single" w:sz="8" w:space="0" w:color="4F81BD"/>
              <w:left w:val="single" w:sz="8" w:space="0" w:color="4F81BD"/>
              <w:bottom w:val="nil"/>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single" w:sz="8" w:space="0" w:color="4F81BD"/>
              <w:left w:val="single" w:sz="8" w:space="0" w:color="4F81BD"/>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single" w:sz="8" w:space="0" w:color="4F81BD"/>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single" w:sz="8" w:space="0" w:color="4F81BD"/>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48"/>
        </w:trPr>
        <w:tc>
          <w:tcPr>
            <w:tcW w:w="2280" w:type="dxa"/>
            <w:vMerge/>
            <w:tcBorders>
              <w:top w:val="nil"/>
              <w:left w:val="single" w:sz="8" w:space="0" w:color="4F81BD"/>
              <w:bottom w:val="single" w:sz="8" w:space="0" w:color="4F81BD"/>
              <w:right w:val="nil"/>
            </w:tcBorders>
            <w:vAlign w:val="center"/>
            <w:hideMark/>
          </w:tcPr>
          <w:p w:rsidR="00982F4F" w:rsidRPr="00802453" w:rsidRDefault="00982F4F" w:rsidP="00457768">
            <w:pPr>
              <w:rPr>
                <w:rFonts w:ascii="Arial" w:hAnsi="Arial" w:cs="Arial"/>
                <w:color w:val="000000"/>
                <w:sz w:val="16"/>
                <w:szCs w:val="16"/>
              </w:rPr>
            </w:pPr>
          </w:p>
        </w:tc>
        <w:tc>
          <w:tcPr>
            <w:tcW w:w="1420" w:type="dxa"/>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48"/>
        </w:trPr>
        <w:tc>
          <w:tcPr>
            <w:tcW w:w="2280" w:type="dxa"/>
            <w:tcBorders>
              <w:top w:val="single" w:sz="8" w:space="0" w:color="4F81BD"/>
              <w:left w:val="single" w:sz="8" w:space="0" w:color="4F81BD"/>
              <w:bottom w:val="nil"/>
              <w:right w:val="nil"/>
            </w:tcBorders>
            <w:vAlign w:val="center"/>
            <w:hideMark/>
          </w:tcPr>
          <w:p w:rsidR="00982F4F" w:rsidRPr="00802453" w:rsidRDefault="00982F4F" w:rsidP="00457768">
            <w:pPr>
              <w:rPr>
                <w:rFonts w:ascii="Arial" w:hAnsi="Arial" w:cs="Arial"/>
                <w:color w:val="000000"/>
                <w:sz w:val="16"/>
                <w:szCs w:val="16"/>
              </w:rPr>
            </w:pPr>
          </w:p>
        </w:tc>
        <w:tc>
          <w:tcPr>
            <w:tcW w:w="1420" w:type="dxa"/>
            <w:tcBorders>
              <w:top w:val="single" w:sz="8" w:space="0" w:color="4F81BD"/>
              <w:left w:val="single" w:sz="8" w:space="0" w:color="4F81BD"/>
              <w:bottom w:val="nil"/>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p>
        </w:tc>
        <w:tc>
          <w:tcPr>
            <w:tcW w:w="1430" w:type="dxa"/>
            <w:tcBorders>
              <w:top w:val="single" w:sz="8" w:space="0" w:color="4F81BD"/>
              <w:left w:val="single" w:sz="8" w:space="0" w:color="4F81BD"/>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p>
        </w:tc>
        <w:tc>
          <w:tcPr>
            <w:tcW w:w="1410" w:type="dxa"/>
            <w:tcBorders>
              <w:top w:val="single" w:sz="8" w:space="0" w:color="4F81BD"/>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p>
        </w:tc>
        <w:tc>
          <w:tcPr>
            <w:tcW w:w="1420" w:type="dxa"/>
            <w:tcBorders>
              <w:top w:val="single" w:sz="8" w:space="0" w:color="4F81BD"/>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p>
        </w:tc>
      </w:tr>
      <w:tr w:rsidR="00982F4F" w:rsidRPr="00802453" w:rsidTr="00457768">
        <w:trPr>
          <w:trHeight w:val="48"/>
        </w:trPr>
        <w:tc>
          <w:tcPr>
            <w:tcW w:w="2280" w:type="dxa"/>
            <w:tcBorders>
              <w:top w:val="nil"/>
              <w:left w:val="single" w:sz="8" w:space="0" w:color="4F81BD"/>
              <w:bottom w:val="nil"/>
              <w:right w:val="nil"/>
            </w:tcBorders>
            <w:vAlign w:val="center"/>
            <w:hideMark/>
          </w:tcPr>
          <w:p w:rsidR="00982F4F" w:rsidRPr="00802453" w:rsidRDefault="00982F4F" w:rsidP="00457768">
            <w:pPr>
              <w:rPr>
                <w:rFonts w:ascii="Arial" w:hAnsi="Arial" w:cs="Arial"/>
                <w:color w:val="000000"/>
                <w:sz w:val="16"/>
                <w:szCs w:val="16"/>
              </w:rPr>
            </w:pPr>
          </w:p>
        </w:tc>
        <w:tc>
          <w:tcPr>
            <w:tcW w:w="1420" w:type="dxa"/>
            <w:tcBorders>
              <w:top w:val="nil"/>
              <w:left w:val="single" w:sz="8" w:space="0" w:color="4F81BD"/>
              <w:bottom w:val="nil"/>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p>
        </w:tc>
        <w:tc>
          <w:tcPr>
            <w:tcW w:w="1430" w:type="dxa"/>
            <w:tcBorders>
              <w:top w:val="nil"/>
              <w:left w:val="single" w:sz="8" w:space="0" w:color="4F81BD"/>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p>
        </w:tc>
        <w:tc>
          <w:tcPr>
            <w:tcW w:w="141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p>
        </w:tc>
        <w:tc>
          <w:tcPr>
            <w:tcW w:w="142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p>
        </w:tc>
      </w:tr>
      <w:tr w:rsidR="00982F4F" w:rsidRPr="00802453" w:rsidTr="00457768">
        <w:trPr>
          <w:trHeight w:val="153"/>
        </w:trPr>
        <w:tc>
          <w:tcPr>
            <w:tcW w:w="2280" w:type="dxa"/>
            <w:tcBorders>
              <w:top w:val="nil"/>
              <w:left w:val="single" w:sz="8" w:space="0" w:color="4F81BD"/>
              <w:bottom w:val="nil"/>
              <w:right w:val="nil"/>
            </w:tcBorders>
            <w:vAlign w:val="bottom"/>
            <w:hideMark/>
          </w:tcPr>
          <w:p w:rsidR="00982F4F" w:rsidRPr="00802453" w:rsidRDefault="00982F4F" w:rsidP="00457768">
            <w:pPr>
              <w:rPr>
                <w:rFonts w:ascii="Arial" w:hAnsi="Arial" w:cs="Arial"/>
                <w:color w:val="000000"/>
                <w:sz w:val="16"/>
                <w:szCs w:val="16"/>
              </w:rPr>
            </w:pPr>
            <w:r w:rsidRPr="00802453">
              <w:rPr>
                <w:rFonts w:ascii="Arial" w:hAnsi="Arial" w:cs="Arial"/>
                <w:color w:val="000000"/>
                <w:sz w:val="16"/>
                <w:szCs w:val="16"/>
              </w:rPr>
              <w:t>Indicator of Client Reporting Transportation Needs</w:t>
            </w:r>
          </w:p>
        </w:tc>
        <w:tc>
          <w:tcPr>
            <w:tcW w:w="1420" w:type="dxa"/>
            <w:tcBorders>
              <w:top w:val="nil"/>
              <w:left w:val="single" w:sz="8" w:space="0" w:color="4F81BD"/>
              <w:bottom w:val="nil"/>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48"/>
        </w:trPr>
        <w:tc>
          <w:tcPr>
            <w:tcW w:w="2280" w:type="dxa"/>
            <w:tcBorders>
              <w:top w:val="nil"/>
              <w:left w:val="single" w:sz="8" w:space="0" w:color="4F81BD"/>
              <w:bottom w:val="nil"/>
              <w:right w:val="nil"/>
            </w:tcBorders>
            <w:vAlign w:val="center"/>
            <w:hideMark/>
          </w:tcPr>
          <w:p w:rsidR="00982F4F" w:rsidRPr="00802453" w:rsidRDefault="00982F4F" w:rsidP="00457768">
            <w:pPr>
              <w:rPr>
                <w:rFonts w:ascii="Arial" w:hAnsi="Arial" w:cs="Arial"/>
                <w:color w:val="000000"/>
                <w:sz w:val="16"/>
                <w:szCs w:val="16"/>
              </w:rPr>
            </w:pPr>
          </w:p>
        </w:tc>
        <w:tc>
          <w:tcPr>
            <w:tcW w:w="1420" w:type="dxa"/>
            <w:tcBorders>
              <w:top w:val="nil"/>
              <w:left w:val="single" w:sz="8" w:space="0" w:color="4F81BD"/>
              <w:bottom w:val="nil"/>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68"/>
        </w:trPr>
        <w:tc>
          <w:tcPr>
            <w:tcW w:w="2280" w:type="dxa"/>
            <w:tcBorders>
              <w:top w:val="nil"/>
              <w:left w:val="single" w:sz="8" w:space="0" w:color="4F81BD"/>
              <w:bottom w:val="single" w:sz="8" w:space="0" w:color="4F81BD"/>
              <w:right w:val="nil"/>
            </w:tcBorders>
            <w:vAlign w:val="center"/>
            <w:hideMark/>
          </w:tcPr>
          <w:p w:rsidR="00982F4F" w:rsidRPr="00802453" w:rsidRDefault="00982F4F" w:rsidP="00457768">
            <w:pPr>
              <w:rPr>
                <w:rFonts w:ascii="Arial" w:hAnsi="Arial" w:cs="Arial"/>
                <w:color w:val="000000"/>
                <w:sz w:val="16"/>
                <w:szCs w:val="16"/>
              </w:rPr>
            </w:pPr>
          </w:p>
        </w:tc>
        <w:tc>
          <w:tcPr>
            <w:tcW w:w="1420" w:type="dxa"/>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p>
        </w:tc>
        <w:tc>
          <w:tcPr>
            <w:tcW w:w="143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p>
        </w:tc>
        <w:tc>
          <w:tcPr>
            <w:tcW w:w="141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p>
        </w:tc>
        <w:tc>
          <w:tcPr>
            <w:tcW w:w="142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p>
        </w:tc>
      </w:tr>
      <w:tr w:rsidR="00982F4F" w:rsidRPr="00802453" w:rsidTr="00457768">
        <w:trPr>
          <w:trHeight w:val="979"/>
        </w:trPr>
        <w:tc>
          <w:tcPr>
            <w:tcW w:w="2280" w:type="dxa"/>
            <w:tcBorders>
              <w:top w:val="single" w:sz="8" w:space="0" w:color="4F81BD"/>
              <w:left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Vector of Grantee Model Characteristics</w:t>
            </w:r>
          </w:p>
        </w:tc>
        <w:tc>
          <w:tcPr>
            <w:tcW w:w="1420" w:type="dxa"/>
            <w:tcBorders>
              <w:top w:val="single" w:sz="8" w:space="0" w:color="4F81BD"/>
              <w:left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single" w:sz="8" w:space="0" w:color="4F81BD"/>
              <w:left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single" w:sz="8" w:space="0" w:color="4F81BD"/>
              <w:left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single" w:sz="8" w:space="0" w:color="4F81BD"/>
              <w:left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68"/>
        </w:trPr>
        <w:tc>
          <w:tcPr>
            <w:tcW w:w="2280" w:type="dxa"/>
            <w:tcBorders>
              <w:top w:val="nil"/>
              <w:left w:val="single" w:sz="8" w:space="0" w:color="4F81BD"/>
              <w:bottom w:val="single" w:sz="8" w:space="0" w:color="4F81BD"/>
              <w:right w:val="single" w:sz="8" w:space="0" w:color="4F81BD"/>
            </w:tcBorders>
            <w:vAlign w:val="bottom"/>
            <w:hideMark/>
          </w:tcPr>
          <w:p w:rsidR="00982F4F" w:rsidRPr="00802453" w:rsidRDefault="00982F4F" w:rsidP="00457768">
            <w:pPr>
              <w:rPr>
                <w:rFonts w:ascii="Arial" w:hAnsi="Arial" w:cs="Arial"/>
                <w:color w:val="000000"/>
                <w:sz w:val="16"/>
                <w:szCs w:val="16"/>
              </w:rPr>
            </w:pPr>
          </w:p>
        </w:tc>
        <w:tc>
          <w:tcPr>
            <w:tcW w:w="142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bl>
    <w:p w:rsidR="00982F4F" w:rsidRPr="000F1CB9" w:rsidRDefault="00982F4F" w:rsidP="00982F4F">
      <w:pPr>
        <w:rPr>
          <w:rFonts w:ascii="Arial" w:hAnsi="Arial" w:cs="Arial"/>
          <w:sz w:val="18"/>
          <w:szCs w:val="18"/>
        </w:rPr>
      </w:pPr>
      <w:r w:rsidRPr="000F1CB9">
        <w:rPr>
          <w:rFonts w:ascii="Arial" w:hAnsi="Arial" w:cs="Arial"/>
          <w:i/>
          <w:iCs/>
          <w:color w:val="000000"/>
          <w:sz w:val="18"/>
          <w:szCs w:val="18"/>
        </w:rPr>
        <w:t xml:space="preserve">Notes: [MODEL INFORMATION]. </w:t>
      </w:r>
      <w:r>
        <w:rPr>
          <w:rFonts w:ascii="Arial" w:hAnsi="Arial" w:cs="Arial"/>
          <w:i/>
          <w:iCs/>
          <w:color w:val="000000"/>
          <w:sz w:val="18"/>
          <w:szCs w:val="18"/>
        </w:rPr>
        <w:t xml:space="preserve">N = # clients in rectangular analysis sample. </w:t>
      </w:r>
      <w:r w:rsidRPr="000F1CB9">
        <w:rPr>
          <w:rFonts w:ascii="Arial" w:hAnsi="Arial" w:cs="Arial"/>
          <w:i/>
          <w:iCs/>
          <w:color w:val="000000"/>
          <w:sz w:val="18"/>
          <w:szCs w:val="18"/>
        </w:rPr>
        <w:t xml:space="preserve">P-values are given in parentheses below coefficient estimates. </w:t>
      </w:r>
      <w:r>
        <w:rPr>
          <w:rFonts w:ascii="Arial" w:hAnsi="Arial" w:cs="Arial"/>
          <w:i/>
          <w:iCs/>
          <w:color w:val="000000"/>
          <w:sz w:val="18"/>
          <w:szCs w:val="18"/>
        </w:rPr>
        <w:t xml:space="preserve">Reference category for dependent variable is “No Housing”.  Male and White are reference categories for gender and race indicators.  Random effects for clients nested within grantee random effects are used if a </w:t>
      </w:r>
      <w:proofErr w:type="spellStart"/>
      <w:r>
        <w:rPr>
          <w:rFonts w:ascii="Arial" w:hAnsi="Arial" w:cs="Arial"/>
          <w:i/>
          <w:iCs/>
          <w:color w:val="000000"/>
          <w:sz w:val="18"/>
          <w:szCs w:val="18"/>
        </w:rPr>
        <w:t>Hausman</w:t>
      </w:r>
      <w:proofErr w:type="spellEnd"/>
      <w:r>
        <w:rPr>
          <w:rFonts w:ascii="Arial" w:hAnsi="Arial" w:cs="Arial"/>
          <w:i/>
          <w:iCs/>
          <w:color w:val="000000"/>
          <w:sz w:val="18"/>
          <w:szCs w:val="18"/>
        </w:rPr>
        <w:t xml:space="preserve"> Specification Test does not preclude a random effects specification.  </w:t>
      </w:r>
    </w:p>
    <w:p w:rsidR="00802453" w:rsidRDefault="00802453" w:rsidP="00FF0CED">
      <w:pPr>
        <w:pStyle w:val="BodyText1"/>
        <w:ind w:firstLine="0"/>
        <w:jc w:val="both"/>
        <w:rPr>
          <w:rFonts w:ascii="Calibri" w:eastAsia="Calibri" w:hAnsi="Calibri"/>
          <w:szCs w:val="22"/>
        </w:rPr>
      </w:pPr>
    </w:p>
    <w:p w:rsidR="00FF0CED" w:rsidRDefault="00FF0CED" w:rsidP="00FF0CED">
      <w:pPr>
        <w:pStyle w:val="BodyText1"/>
        <w:ind w:firstLine="0"/>
        <w:jc w:val="both"/>
        <w:rPr>
          <w:rFonts w:ascii="Calibri" w:eastAsia="Calibri" w:hAnsi="Calibri"/>
          <w:szCs w:val="22"/>
        </w:rPr>
      </w:pPr>
      <w:r>
        <w:rPr>
          <w:rFonts w:ascii="Calibri" w:eastAsia="Calibri" w:hAnsi="Calibri"/>
          <w:szCs w:val="22"/>
        </w:rPr>
        <w:t xml:space="preserve">The second table also provides context for the third table in which an additional grantee characteristic, transportation efficacy, is included in a moderator analysis of housing status after six additional months in the program. </w:t>
      </w:r>
    </w:p>
    <w:p w:rsidR="00982F4F" w:rsidRPr="00967BD2" w:rsidRDefault="00982F4F" w:rsidP="00982F4F">
      <w:pPr>
        <w:pStyle w:val="SBIRTTables"/>
        <w:keepNext/>
        <w:jc w:val="left"/>
        <w:rPr>
          <w:rFonts w:cs="Arial"/>
          <w:bCs/>
          <w:sz w:val="18"/>
          <w:szCs w:val="18"/>
        </w:rPr>
      </w:pPr>
      <w:proofErr w:type="gramStart"/>
      <w:r w:rsidRPr="000F1CB9">
        <w:rPr>
          <w:rFonts w:cs="Arial"/>
          <w:bCs/>
          <w:color w:val="000000"/>
          <w:sz w:val="18"/>
          <w:szCs w:val="18"/>
        </w:rPr>
        <w:t>Table Shell</w:t>
      </w:r>
      <w:r w:rsidR="00802453">
        <w:rPr>
          <w:rFonts w:cs="Arial"/>
          <w:bCs/>
          <w:color w:val="000000"/>
          <w:sz w:val="18"/>
          <w:szCs w:val="18"/>
        </w:rPr>
        <w:t xml:space="preserve"> 3</w:t>
      </w:r>
      <w:r w:rsidRPr="00967BD2">
        <w:rPr>
          <w:rFonts w:cs="Arial"/>
          <w:bCs/>
          <w:color w:val="000000"/>
          <w:sz w:val="18"/>
          <w:szCs w:val="18"/>
        </w:rPr>
        <w:t>.</w:t>
      </w:r>
      <w:proofErr w:type="gramEnd"/>
      <w:r w:rsidRPr="00967BD2">
        <w:rPr>
          <w:rFonts w:cs="Arial"/>
          <w:bCs/>
          <w:color w:val="000000"/>
          <w:sz w:val="18"/>
          <w:szCs w:val="18"/>
        </w:rPr>
        <w:t xml:space="preserve"> </w:t>
      </w:r>
      <w:r>
        <w:rPr>
          <w:rFonts w:cs="Arial"/>
          <w:bCs/>
          <w:color w:val="000000"/>
          <w:sz w:val="18"/>
          <w:szCs w:val="18"/>
        </w:rPr>
        <w:t>Moderating I</w:t>
      </w:r>
      <w:r w:rsidRPr="00967BD2">
        <w:rPr>
          <w:rFonts w:cs="Arial"/>
          <w:bCs/>
          <w:color w:val="000000"/>
          <w:sz w:val="18"/>
          <w:szCs w:val="18"/>
        </w:rPr>
        <w:t xml:space="preserve">nfluence of a </w:t>
      </w:r>
      <w:r>
        <w:rPr>
          <w:rFonts w:cs="Arial"/>
          <w:bCs/>
          <w:color w:val="000000"/>
          <w:sz w:val="18"/>
          <w:szCs w:val="18"/>
        </w:rPr>
        <w:t>P</w:t>
      </w:r>
      <w:r w:rsidRPr="00967BD2">
        <w:rPr>
          <w:rFonts w:cs="Arial"/>
          <w:bCs/>
          <w:color w:val="000000"/>
          <w:sz w:val="18"/>
          <w:szCs w:val="18"/>
        </w:rPr>
        <w:t xml:space="preserve">rogram’s </w:t>
      </w:r>
      <w:r>
        <w:rPr>
          <w:rFonts w:cs="Arial"/>
          <w:bCs/>
          <w:color w:val="000000"/>
          <w:sz w:val="18"/>
          <w:szCs w:val="18"/>
        </w:rPr>
        <w:t>T</w:t>
      </w:r>
      <w:r w:rsidRPr="00967BD2">
        <w:rPr>
          <w:rFonts w:cs="Arial"/>
          <w:bCs/>
          <w:color w:val="000000"/>
          <w:sz w:val="18"/>
          <w:szCs w:val="18"/>
        </w:rPr>
        <w:t xml:space="preserve">ransportation </w:t>
      </w:r>
      <w:r>
        <w:rPr>
          <w:rFonts w:cs="Arial"/>
          <w:bCs/>
          <w:color w:val="000000"/>
          <w:sz w:val="18"/>
          <w:szCs w:val="18"/>
        </w:rPr>
        <w:t>Strength</w:t>
      </w:r>
      <w:r w:rsidRPr="00967BD2">
        <w:rPr>
          <w:rFonts w:cs="Arial"/>
          <w:bCs/>
          <w:color w:val="000000"/>
          <w:sz w:val="18"/>
          <w:szCs w:val="18"/>
        </w:rPr>
        <w:t xml:space="preserve"> on its </w:t>
      </w:r>
      <w:r>
        <w:rPr>
          <w:rFonts w:cs="Arial"/>
          <w:bCs/>
          <w:color w:val="000000"/>
          <w:sz w:val="18"/>
          <w:szCs w:val="18"/>
        </w:rPr>
        <w:t>A</w:t>
      </w:r>
      <w:r w:rsidRPr="00967BD2">
        <w:rPr>
          <w:rFonts w:cs="Arial"/>
          <w:bCs/>
          <w:color w:val="000000"/>
          <w:sz w:val="18"/>
          <w:szCs w:val="18"/>
        </w:rPr>
        <w:t xml:space="preserve">bility to </w:t>
      </w:r>
      <w:r>
        <w:rPr>
          <w:rFonts w:cs="Arial"/>
          <w:bCs/>
          <w:color w:val="000000"/>
          <w:sz w:val="18"/>
          <w:szCs w:val="18"/>
        </w:rPr>
        <w:t>Link Clients to H</w:t>
      </w:r>
      <w:r w:rsidRPr="00967BD2">
        <w:rPr>
          <w:rFonts w:cs="Arial"/>
          <w:bCs/>
          <w:color w:val="000000"/>
          <w:sz w:val="18"/>
          <w:szCs w:val="18"/>
        </w:rPr>
        <w:t>ousing</w:t>
      </w:r>
      <w:r>
        <w:rPr>
          <w:rFonts w:cs="Arial"/>
          <w:bCs/>
          <w:color w:val="000000"/>
          <w:sz w:val="18"/>
          <w:szCs w:val="18"/>
        </w:rPr>
        <w:t>, Estimates from a</w:t>
      </w:r>
      <w:r w:rsidRPr="00967BD2">
        <w:rPr>
          <w:rFonts w:cs="Arial"/>
          <w:bCs/>
          <w:color w:val="000000"/>
          <w:sz w:val="18"/>
          <w:szCs w:val="18"/>
        </w:rPr>
        <w:t xml:space="preserve"> Multinomial </w:t>
      </w:r>
      <w:proofErr w:type="spellStart"/>
      <w:r w:rsidRPr="00967BD2">
        <w:rPr>
          <w:rFonts w:cs="Arial"/>
          <w:bCs/>
          <w:color w:val="000000"/>
          <w:sz w:val="18"/>
          <w:szCs w:val="18"/>
        </w:rPr>
        <w:t>Logit</w:t>
      </w:r>
      <w:proofErr w:type="spellEnd"/>
      <w:r w:rsidRPr="00967BD2">
        <w:rPr>
          <w:rFonts w:cs="Arial"/>
          <w:bCs/>
          <w:color w:val="000000"/>
          <w:sz w:val="18"/>
          <w:szCs w:val="18"/>
        </w:rPr>
        <w:t xml:space="preserve"> </w:t>
      </w:r>
      <w:r>
        <w:rPr>
          <w:rFonts w:cs="Arial"/>
          <w:bCs/>
          <w:color w:val="000000"/>
          <w:sz w:val="18"/>
          <w:szCs w:val="18"/>
        </w:rPr>
        <w:t>Model</w:t>
      </w:r>
      <w:r w:rsidRPr="00967BD2">
        <w:rPr>
          <w:rFonts w:cs="Arial"/>
          <w:bCs/>
          <w:color w:val="000000"/>
          <w:sz w:val="18"/>
          <w:szCs w:val="18"/>
        </w:rPr>
        <w:t xml:space="preserve"> of Housing Status</w:t>
      </w:r>
    </w:p>
    <w:tbl>
      <w:tblPr>
        <w:tblW w:w="7960" w:type="dxa"/>
        <w:tblInd w:w="108" w:type="dxa"/>
        <w:tblLook w:val="04A0" w:firstRow="1" w:lastRow="0" w:firstColumn="1" w:lastColumn="0" w:noHBand="0" w:noVBand="1"/>
      </w:tblPr>
      <w:tblGrid>
        <w:gridCol w:w="2280"/>
        <w:gridCol w:w="1420"/>
        <w:gridCol w:w="1430"/>
        <w:gridCol w:w="1410"/>
        <w:gridCol w:w="1420"/>
      </w:tblGrid>
      <w:tr w:rsidR="00982F4F" w:rsidRPr="00802453" w:rsidTr="00457768">
        <w:trPr>
          <w:trHeight w:val="300"/>
        </w:trPr>
        <w:tc>
          <w:tcPr>
            <w:tcW w:w="2280" w:type="dxa"/>
            <w:tcBorders>
              <w:top w:val="nil"/>
              <w:left w:val="single" w:sz="8" w:space="0" w:color="4F81BD"/>
              <w:bottom w:val="nil"/>
              <w:right w:val="single" w:sz="8" w:space="0" w:color="4F81BD"/>
            </w:tcBorders>
            <w:shd w:val="clear" w:color="000000" w:fill="1F497D"/>
            <w:vAlign w:val="bottom"/>
            <w:hideMark/>
          </w:tcPr>
          <w:p w:rsidR="00982F4F" w:rsidRPr="00802453" w:rsidRDefault="00982F4F" w:rsidP="00982F4F">
            <w:pPr>
              <w:keepNext/>
              <w:rPr>
                <w:rFonts w:ascii="Arial" w:hAnsi="Arial" w:cs="Arial"/>
                <w:color w:val="000000"/>
                <w:sz w:val="16"/>
                <w:szCs w:val="16"/>
              </w:rPr>
            </w:pPr>
          </w:p>
          <w:p w:rsidR="00982F4F" w:rsidRPr="00802453" w:rsidRDefault="00982F4F" w:rsidP="00982F4F">
            <w:pPr>
              <w:keepNext/>
              <w:rPr>
                <w:rFonts w:ascii="Arial" w:hAnsi="Arial" w:cs="Arial"/>
                <w:color w:val="000000"/>
                <w:sz w:val="16"/>
                <w:szCs w:val="16"/>
              </w:rPr>
            </w:pPr>
          </w:p>
        </w:tc>
        <w:tc>
          <w:tcPr>
            <w:tcW w:w="1420" w:type="dxa"/>
            <w:tcBorders>
              <w:top w:val="nil"/>
              <w:left w:val="nil"/>
              <w:bottom w:val="single" w:sz="8" w:space="0" w:color="4F81BD"/>
              <w:right w:val="nil"/>
            </w:tcBorders>
            <w:shd w:val="clear" w:color="000000" w:fill="1F497D"/>
            <w:vAlign w:val="bottom"/>
            <w:hideMark/>
          </w:tcPr>
          <w:p w:rsidR="00982F4F" w:rsidRPr="00802453" w:rsidRDefault="00982F4F" w:rsidP="00982F4F">
            <w:pPr>
              <w:keepNext/>
              <w:jc w:val="center"/>
              <w:rPr>
                <w:rFonts w:ascii="Arial" w:hAnsi="Arial" w:cs="Arial"/>
                <w:b/>
                <w:bCs/>
                <w:color w:val="FFFFFF"/>
                <w:sz w:val="16"/>
                <w:szCs w:val="16"/>
              </w:rPr>
            </w:pPr>
            <w:r w:rsidRPr="00802453">
              <w:rPr>
                <w:rFonts w:ascii="Arial" w:hAnsi="Arial" w:cs="Arial"/>
                <w:b/>
                <w:bCs/>
                <w:color w:val="FFFFFF"/>
                <w:sz w:val="16"/>
                <w:szCs w:val="16"/>
              </w:rPr>
              <w:t>Shelter</w:t>
            </w:r>
          </w:p>
        </w:tc>
        <w:tc>
          <w:tcPr>
            <w:tcW w:w="1430" w:type="dxa"/>
            <w:tcBorders>
              <w:top w:val="nil"/>
              <w:left w:val="single" w:sz="8" w:space="0" w:color="4F81BD"/>
              <w:bottom w:val="single" w:sz="8" w:space="0" w:color="4F81BD"/>
              <w:right w:val="nil"/>
            </w:tcBorders>
            <w:shd w:val="clear" w:color="000000" w:fill="1F497D"/>
            <w:vAlign w:val="bottom"/>
            <w:hideMark/>
          </w:tcPr>
          <w:p w:rsidR="00982F4F" w:rsidRPr="00802453" w:rsidRDefault="00982F4F" w:rsidP="00982F4F">
            <w:pPr>
              <w:keepNext/>
              <w:jc w:val="center"/>
              <w:rPr>
                <w:sz w:val="16"/>
                <w:szCs w:val="16"/>
              </w:rPr>
            </w:pPr>
            <w:r w:rsidRPr="00802453">
              <w:rPr>
                <w:rFonts w:ascii="Arial" w:hAnsi="Arial" w:cs="Arial"/>
                <w:b/>
                <w:bCs/>
                <w:color w:val="FFFFFF"/>
                <w:sz w:val="16"/>
                <w:szCs w:val="16"/>
              </w:rPr>
              <w:t>Residential SA Treatment</w:t>
            </w:r>
          </w:p>
        </w:tc>
        <w:tc>
          <w:tcPr>
            <w:tcW w:w="1410" w:type="dxa"/>
            <w:tcBorders>
              <w:top w:val="nil"/>
              <w:left w:val="single" w:sz="8" w:space="0" w:color="4F81BD"/>
              <w:bottom w:val="single" w:sz="8" w:space="0" w:color="4F81BD"/>
              <w:right w:val="nil"/>
            </w:tcBorders>
            <w:shd w:val="clear" w:color="000000" w:fill="1F497D"/>
            <w:vAlign w:val="bottom"/>
            <w:hideMark/>
          </w:tcPr>
          <w:p w:rsidR="00982F4F" w:rsidRPr="00802453" w:rsidRDefault="00982F4F" w:rsidP="00982F4F">
            <w:pPr>
              <w:keepNext/>
              <w:jc w:val="center"/>
              <w:rPr>
                <w:rFonts w:ascii="Arial" w:hAnsi="Arial" w:cs="Arial"/>
                <w:b/>
                <w:bCs/>
                <w:color w:val="FFFFFF"/>
                <w:sz w:val="16"/>
                <w:szCs w:val="16"/>
              </w:rPr>
            </w:pPr>
            <w:r w:rsidRPr="00802453">
              <w:rPr>
                <w:rFonts w:ascii="Arial" w:hAnsi="Arial" w:cs="Arial"/>
                <w:b/>
                <w:bCs/>
                <w:color w:val="FFFFFF"/>
                <w:sz w:val="16"/>
                <w:szCs w:val="16"/>
              </w:rPr>
              <w:t>Transitional Housing</w:t>
            </w:r>
          </w:p>
        </w:tc>
        <w:tc>
          <w:tcPr>
            <w:tcW w:w="1420" w:type="dxa"/>
            <w:tcBorders>
              <w:top w:val="nil"/>
              <w:left w:val="single" w:sz="8" w:space="0" w:color="4F81BD"/>
              <w:bottom w:val="single" w:sz="8" w:space="0" w:color="4F81BD"/>
              <w:right w:val="nil"/>
            </w:tcBorders>
            <w:shd w:val="clear" w:color="000000" w:fill="1F497D"/>
            <w:vAlign w:val="bottom"/>
            <w:hideMark/>
          </w:tcPr>
          <w:p w:rsidR="00982F4F" w:rsidRPr="00802453" w:rsidRDefault="00982F4F" w:rsidP="00982F4F">
            <w:pPr>
              <w:keepNext/>
              <w:jc w:val="center"/>
              <w:rPr>
                <w:rFonts w:ascii="Arial" w:hAnsi="Arial" w:cs="Arial"/>
                <w:b/>
                <w:bCs/>
                <w:color w:val="FFFFFF"/>
                <w:sz w:val="16"/>
                <w:szCs w:val="16"/>
              </w:rPr>
            </w:pPr>
            <w:r w:rsidRPr="00802453">
              <w:rPr>
                <w:rFonts w:ascii="Arial" w:hAnsi="Arial" w:cs="Arial"/>
                <w:b/>
                <w:bCs/>
                <w:color w:val="FFFFFF"/>
                <w:sz w:val="16"/>
                <w:szCs w:val="16"/>
              </w:rPr>
              <w:t>Permanent, Independent Housing</w:t>
            </w:r>
          </w:p>
        </w:tc>
      </w:tr>
      <w:tr w:rsidR="00982F4F" w:rsidRPr="00802453" w:rsidTr="00457768">
        <w:trPr>
          <w:trHeight w:val="300"/>
        </w:trPr>
        <w:tc>
          <w:tcPr>
            <w:tcW w:w="2280" w:type="dxa"/>
            <w:vMerge w:val="restart"/>
            <w:tcBorders>
              <w:top w:val="nil"/>
              <w:left w:val="single" w:sz="8" w:space="0" w:color="4F81BD"/>
              <w:right w:val="nil"/>
            </w:tcBorders>
            <w:shd w:val="clear" w:color="auto" w:fill="auto"/>
            <w:vAlign w:val="bottom"/>
            <w:hideMark/>
          </w:tcPr>
          <w:p w:rsidR="00982F4F" w:rsidRPr="00802453" w:rsidRDefault="00982F4F" w:rsidP="00982F4F">
            <w:pPr>
              <w:keepNext/>
              <w:rPr>
                <w:rFonts w:ascii="Arial" w:hAnsi="Arial" w:cs="Arial"/>
                <w:color w:val="000000"/>
                <w:sz w:val="16"/>
                <w:szCs w:val="16"/>
              </w:rPr>
            </w:pPr>
            <w:r w:rsidRPr="00802453">
              <w:rPr>
                <w:rFonts w:ascii="Arial" w:hAnsi="Arial" w:cs="Arial"/>
                <w:color w:val="000000"/>
                <w:sz w:val="16"/>
                <w:szCs w:val="16"/>
              </w:rPr>
              <w:t>Transportation Efficacy (Scale)</w:t>
            </w:r>
            <w:r w:rsidRPr="00802453">
              <w:rPr>
                <w:rFonts w:ascii="Arial" w:hAnsi="Arial" w:cs="Arial"/>
                <w:i/>
                <w:iCs/>
                <w:color w:val="000000"/>
                <w:sz w:val="16"/>
                <w:szCs w:val="16"/>
              </w:rPr>
              <w:t xml:space="preserve">* </w:t>
            </w:r>
            <w:r w:rsidRPr="00802453">
              <w:rPr>
                <w:rFonts w:ascii="Arial" w:hAnsi="Arial" w:cs="Arial"/>
                <w:color w:val="000000"/>
                <w:sz w:val="16"/>
                <w:szCs w:val="16"/>
              </w:rPr>
              <w:t>Follow-Up Indicator</w:t>
            </w:r>
          </w:p>
        </w:tc>
        <w:tc>
          <w:tcPr>
            <w:tcW w:w="1420" w:type="dxa"/>
            <w:tcBorders>
              <w:top w:val="single" w:sz="8" w:space="0" w:color="4F81BD"/>
              <w:left w:val="single" w:sz="8" w:space="0" w:color="4F81BD"/>
              <w:bottom w:val="nil"/>
              <w:right w:val="nil"/>
            </w:tcBorders>
            <w:shd w:val="clear" w:color="auto" w:fill="auto"/>
            <w:vAlign w:val="bottom"/>
            <w:hideMark/>
          </w:tcPr>
          <w:p w:rsidR="00982F4F" w:rsidRPr="00802453" w:rsidRDefault="00982F4F" w:rsidP="00982F4F">
            <w:pPr>
              <w:keepNext/>
              <w:jc w:val="center"/>
              <w:rPr>
                <w:rFonts w:ascii="Arial" w:hAnsi="Arial" w:cs="Arial"/>
                <w:color w:val="000000"/>
                <w:sz w:val="16"/>
                <w:szCs w:val="16"/>
              </w:rPr>
            </w:pPr>
            <w:r w:rsidRPr="00802453">
              <w:rPr>
                <w:rFonts w:ascii="Arial" w:hAnsi="Arial" w:cs="Arial"/>
                <w:color w:val="000000"/>
                <w:sz w:val="16"/>
                <w:szCs w:val="16"/>
              </w:rPr>
              <w:t>0.000</w:t>
            </w:r>
          </w:p>
        </w:tc>
        <w:tc>
          <w:tcPr>
            <w:tcW w:w="1430" w:type="dxa"/>
            <w:tcBorders>
              <w:top w:val="single" w:sz="8" w:space="0" w:color="4F81BD"/>
              <w:left w:val="single" w:sz="8" w:space="0" w:color="4F81BD"/>
              <w:bottom w:val="nil"/>
              <w:right w:val="single" w:sz="8" w:space="0" w:color="4F81BD"/>
            </w:tcBorders>
            <w:shd w:val="clear" w:color="auto" w:fill="auto"/>
            <w:vAlign w:val="bottom"/>
            <w:hideMark/>
          </w:tcPr>
          <w:p w:rsidR="00982F4F" w:rsidRPr="00802453" w:rsidRDefault="00982F4F" w:rsidP="00982F4F">
            <w:pPr>
              <w:keepNext/>
              <w:jc w:val="center"/>
              <w:rPr>
                <w:rFonts w:ascii="Arial" w:hAnsi="Arial" w:cs="Arial"/>
                <w:color w:val="000000"/>
                <w:sz w:val="16"/>
                <w:szCs w:val="16"/>
              </w:rPr>
            </w:pPr>
            <w:r w:rsidRPr="00802453">
              <w:rPr>
                <w:rFonts w:ascii="Arial" w:hAnsi="Arial" w:cs="Arial"/>
                <w:color w:val="000000"/>
                <w:sz w:val="16"/>
                <w:szCs w:val="16"/>
              </w:rPr>
              <w:t>0.000</w:t>
            </w:r>
          </w:p>
        </w:tc>
        <w:tc>
          <w:tcPr>
            <w:tcW w:w="1410" w:type="dxa"/>
            <w:tcBorders>
              <w:top w:val="single" w:sz="8" w:space="0" w:color="4F81BD"/>
              <w:left w:val="nil"/>
              <w:bottom w:val="nil"/>
              <w:right w:val="single" w:sz="8" w:space="0" w:color="4F81BD"/>
            </w:tcBorders>
            <w:shd w:val="clear" w:color="auto" w:fill="auto"/>
            <w:vAlign w:val="bottom"/>
            <w:hideMark/>
          </w:tcPr>
          <w:p w:rsidR="00982F4F" w:rsidRPr="00802453" w:rsidRDefault="00982F4F" w:rsidP="00982F4F">
            <w:pPr>
              <w:keepNext/>
              <w:jc w:val="center"/>
              <w:rPr>
                <w:rFonts w:ascii="Arial" w:hAnsi="Arial" w:cs="Arial"/>
                <w:color w:val="000000"/>
                <w:sz w:val="16"/>
                <w:szCs w:val="16"/>
              </w:rPr>
            </w:pPr>
            <w:r w:rsidRPr="00802453">
              <w:rPr>
                <w:rFonts w:ascii="Arial" w:hAnsi="Arial" w:cs="Arial"/>
                <w:color w:val="000000"/>
                <w:sz w:val="16"/>
                <w:szCs w:val="16"/>
              </w:rPr>
              <w:t>0.000</w:t>
            </w:r>
          </w:p>
        </w:tc>
        <w:tc>
          <w:tcPr>
            <w:tcW w:w="1420" w:type="dxa"/>
            <w:tcBorders>
              <w:top w:val="single" w:sz="8" w:space="0" w:color="4F81BD"/>
              <w:left w:val="nil"/>
              <w:bottom w:val="nil"/>
              <w:right w:val="single" w:sz="8" w:space="0" w:color="4F81BD"/>
            </w:tcBorders>
            <w:shd w:val="clear" w:color="auto" w:fill="auto"/>
            <w:vAlign w:val="bottom"/>
            <w:hideMark/>
          </w:tcPr>
          <w:p w:rsidR="00982F4F" w:rsidRPr="00802453" w:rsidRDefault="00982F4F" w:rsidP="00982F4F">
            <w:pPr>
              <w:keepNext/>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tcBorders>
              <w:left w:val="single" w:sz="8" w:space="0" w:color="4F81BD"/>
              <w:bottom w:val="single" w:sz="8" w:space="0" w:color="4F81BD"/>
              <w:right w:val="nil"/>
            </w:tcBorders>
            <w:shd w:val="clear" w:color="auto" w:fill="auto"/>
            <w:vAlign w:val="center"/>
            <w:hideMark/>
          </w:tcPr>
          <w:p w:rsidR="00982F4F" w:rsidRPr="00802453" w:rsidRDefault="00982F4F" w:rsidP="00982F4F">
            <w:pPr>
              <w:keepNext/>
              <w:rPr>
                <w:rFonts w:ascii="Arial" w:hAnsi="Arial" w:cs="Arial"/>
                <w:color w:val="000000"/>
                <w:sz w:val="16"/>
                <w:szCs w:val="16"/>
              </w:rPr>
            </w:pPr>
          </w:p>
        </w:tc>
        <w:tc>
          <w:tcPr>
            <w:tcW w:w="1420" w:type="dxa"/>
            <w:tcBorders>
              <w:top w:val="nil"/>
              <w:left w:val="single" w:sz="8" w:space="0" w:color="4F81BD"/>
              <w:bottom w:val="single" w:sz="8" w:space="0" w:color="4F81BD"/>
              <w:right w:val="nil"/>
            </w:tcBorders>
            <w:shd w:val="clear" w:color="auto" w:fill="auto"/>
            <w:vAlign w:val="bottom"/>
            <w:hideMark/>
          </w:tcPr>
          <w:p w:rsidR="00982F4F" w:rsidRPr="00802453" w:rsidRDefault="00982F4F" w:rsidP="00982F4F">
            <w:pPr>
              <w:keepNext/>
              <w:jc w:val="center"/>
              <w:rPr>
                <w:rFonts w:ascii="Arial" w:hAnsi="Arial" w:cs="Arial"/>
                <w:color w:val="000000"/>
                <w:sz w:val="16"/>
                <w:szCs w:val="16"/>
              </w:rPr>
            </w:pPr>
            <w:r w:rsidRPr="00802453">
              <w:rPr>
                <w:rFonts w:ascii="Arial" w:hAnsi="Arial" w:cs="Arial"/>
                <w:color w:val="000000"/>
                <w:sz w:val="16"/>
                <w:szCs w:val="16"/>
              </w:rPr>
              <w:t>(0.000)</w:t>
            </w:r>
          </w:p>
        </w:tc>
        <w:tc>
          <w:tcPr>
            <w:tcW w:w="143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982F4F">
            <w:pPr>
              <w:keepNext/>
              <w:jc w:val="center"/>
              <w:rPr>
                <w:rFonts w:ascii="Arial" w:hAnsi="Arial" w:cs="Arial"/>
                <w:color w:val="000000"/>
                <w:sz w:val="16"/>
                <w:szCs w:val="16"/>
              </w:rPr>
            </w:pPr>
            <w:r w:rsidRPr="00802453">
              <w:rPr>
                <w:rFonts w:ascii="Arial" w:hAnsi="Arial" w:cs="Arial"/>
                <w:color w:val="000000"/>
                <w:sz w:val="16"/>
                <w:szCs w:val="16"/>
              </w:rPr>
              <w:t>(0.000)</w:t>
            </w:r>
          </w:p>
        </w:tc>
        <w:tc>
          <w:tcPr>
            <w:tcW w:w="141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982F4F">
            <w:pPr>
              <w:keepNext/>
              <w:jc w:val="center"/>
              <w:rPr>
                <w:rFonts w:ascii="Arial" w:hAnsi="Arial" w:cs="Arial"/>
                <w:color w:val="000000"/>
                <w:sz w:val="16"/>
                <w:szCs w:val="16"/>
              </w:rPr>
            </w:pPr>
            <w:r w:rsidRPr="00802453">
              <w:rPr>
                <w:rFonts w:ascii="Arial" w:hAnsi="Arial" w:cs="Arial"/>
                <w:color w:val="000000"/>
                <w:sz w:val="16"/>
                <w:szCs w:val="16"/>
              </w:rPr>
              <w:t>(0.000)</w:t>
            </w:r>
          </w:p>
        </w:tc>
        <w:tc>
          <w:tcPr>
            <w:tcW w:w="142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982F4F">
            <w:pPr>
              <w:keepNext/>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val="restart"/>
            <w:tcBorders>
              <w:top w:val="nil"/>
              <w:left w:val="single" w:sz="8" w:space="0" w:color="4F81BD"/>
              <w:right w:val="nil"/>
            </w:tcBorders>
            <w:shd w:val="clear" w:color="auto" w:fill="auto"/>
            <w:vAlign w:val="bottom"/>
            <w:hideMark/>
          </w:tcPr>
          <w:p w:rsidR="00982F4F" w:rsidRPr="00802453" w:rsidRDefault="00982F4F" w:rsidP="00982F4F">
            <w:pPr>
              <w:keepNext/>
              <w:rPr>
                <w:rFonts w:ascii="Arial" w:hAnsi="Arial" w:cs="Arial"/>
                <w:i/>
                <w:iCs/>
                <w:color w:val="000000"/>
                <w:sz w:val="16"/>
                <w:szCs w:val="16"/>
              </w:rPr>
            </w:pPr>
            <w:r w:rsidRPr="00802453">
              <w:rPr>
                <w:rFonts w:ascii="Arial" w:hAnsi="Arial" w:cs="Arial"/>
                <w:color w:val="000000"/>
                <w:sz w:val="16"/>
                <w:szCs w:val="16"/>
              </w:rPr>
              <w:t>Transportation Efficacy (Scale)</w:t>
            </w:r>
          </w:p>
        </w:tc>
        <w:tc>
          <w:tcPr>
            <w:tcW w:w="1420" w:type="dxa"/>
            <w:tcBorders>
              <w:top w:val="single" w:sz="8" w:space="0" w:color="4F81BD"/>
              <w:left w:val="single" w:sz="8" w:space="0" w:color="4F81BD"/>
              <w:bottom w:val="nil"/>
              <w:right w:val="nil"/>
            </w:tcBorders>
            <w:shd w:val="clear" w:color="auto" w:fill="auto"/>
            <w:vAlign w:val="bottom"/>
            <w:hideMark/>
          </w:tcPr>
          <w:p w:rsidR="00982F4F" w:rsidRPr="00802453" w:rsidRDefault="00982F4F" w:rsidP="00982F4F">
            <w:pPr>
              <w:keepNext/>
              <w:jc w:val="center"/>
              <w:rPr>
                <w:rFonts w:ascii="Arial" w:hAnsi="Arial" w:cs="Arial"/>
                <w:color w:val="000000"/>
                <w:sz w:val="16"/>
                <w:szCs w:val="16"/>
              </w:rPr>
            </w:pPr>
            <w:r w:rsidRPr="00802453">
              <w:rPr>
                <w:rFonts w:ascii="Arial" w:hAnsi="Arial" w:cs="Arial"/>
                <w:color w:val="000000"/>
                <w:sz w:val="16"/>
                <w:szCs w:val="16"/>
              </w:rPr>
              <w:t>0.000</w:t>
            </w:r>
          </w:p>
        </w:tc>
        <w:tc>
          <w:tcPr>
            <w:tcW w:w="1430" w:type="dxa"/>
            <w:tcBorders>
              <w:top w:val="single" w:sz="8" w:space="0" w:color="4F81BD"/>
              <w:left w:val="single" w:sz="8" w:space="0" w:color="4F81BD"/>
              <w:bottom w:val="nil"/>
              <w:right w:val="single" w:sz="8" w:space="0" w:color="4F81BD"/>
            </w:tcBorders>
            <w:shd w:val="clear" w:color="auto" w:fill="auto"/>
            <w:vAlign w:val="bottom"/>
            <w:hideMark/>
          </w:tcPr>
          <w:p w:rsidR="00982F4F" w:rsidRPr="00802453" w:rsidRDefault="00982F4F" w:rsidP="00982F4F">
            <w:pPr>
              <w:keepNext/>
              <w:jc w:val="center"/>
              <w:rPr>
                <w:rFonts w:ascii="Arial" w:hAnsi="Arial" w:cs="Arial"/>
                <w:color w:val="000000"/>
                <w:sz w:val="16"/>
                <w:szCs w:val="16"/>
              </w:rPr>
            </w:pPr>
            <w:r w:rsidRPr="00802453">
              <w:rPr>
                <w:rFonts w:ascii="Arial" w:hAnsi="Arial" w:cs="Arial"/>
                <w:color w:val="000000"/>
                <w:sz w:val="16"/>
                <w:szCs w:val="16"/>
              </w:rPr>
              <w:t>0.000</w:t>
            </w:r>
          </w:p>
        </w:tc>
        <w:tc>
          <w:tcPr>
            <w:tcW w:w="1410" w:type="dxa"/>
            <w:tcBorders>
              <w:top w:val="single" w:sz="8" w:space="0" w:color="4F81BD"/>
              <w:left w:val="nil"/>
              <w:bottom w:val="nil"/>
              <w:right w:val="single" w:sz="8" w:space="0" w:color="4F81BD"/>
            </w:tcBorders>
            <w:shd w:val="clear" w:color="auto" w:fill="auto"/>
            <w:vAlign w:val="bottom"/>
            <w:hideMark/>
          </w:tcPr>
          <w:p w:rsidR="00982F4F" w:rsidRPr="00802453" w:rsidRDefault="00982F4F" w:rsidP="00982F4F">
            <w:pPr>
              <w:keepNext/>
              <w:jc w:val="center"/>
              <w:rPr>
                <w:rFonts w:ascii="Arial" w:hAnsi="Arial" w:cs="Arial"/>
                <w:color w:val="000000"/>
                <w:sz w:val="16"/>
                <w:szCs w:val="16"/>
              </w:rPr>
            </w:pPr>
            <w:r w:rsidRPr="00802453">
              <w:rPr>
                <w:rFonts w:ascii="Arial" w:hAnsi="Arial" w:cs="Arial"/>
                <w:color w:val="000000"/>
                <w:sz w:val="16"/>
                <w:szCs w:val="16"/>
              </w:rPr>
              <w:t>0.000</w:t>
            </w:r>
          </w:p>
        </w:tc>
        <w:tc>
          <w:tcPr>
            <w:tcW w:w="1420" w:type="dxa"/>
            <w:tcBorders>
              <w:top w:val="single" w:sz="8" w:space="0" w:color="4F81BD"/>
              <w:left w:val="nil"/>
              <w:bottom w:val="nil"/>
              <w:right w:val="single" w:sz="8" w:space="0" w:color="4F81BD"/>
            </w:tcBorders>
            <w:shd w:val="clear" w:color="auto" w:fill="auto"/>
            <w:vAlign w:val="bottom"/>
            <w:hideMark/>
          </w:tcPr>
          <w:p w:rsidR="00982F4F" w:rsidRPr="00802453" w:rsidRDefault="00982F4F" w:rsidP="00982F4F">
            <w:pPr>
              <w:keepNext/>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tcBorders>
              <w:left w:val="single" w:sz="8" w:space="0" w:color="4F81BD"/>
              <w:bottom w:val="single" w:sz="8" w:space="0" w:color="4F81BD"/>
              <w:right w:val="nil"/>
            </w:tcBorders>
            <w:shd w:val="clear" w:color="auto" w:fill="auto"/>
            <w:vAlign w:val="center"/>
            <w:hideMark/>
          </w:tcPr>
          <w:p w:rsidR="00982F4F" w:rsidRPr="00802453" w:rsidRDefault="00982F4F" w:rsidP="00457768">
            <w:pPr>
              <w:rPr>
                <w:rFonts w:ascii="Arial" w:hAnsi="Arial" w:cs="Arial"/>
                <w:i/>
                <w:iCs/>
                <w:color w:val="000000"/>
                <w:sz w:val="16"/>
                <w:szCs w:val="16"/>
              </w:rPr>
            </w:pPr>
          </w:p>
        </w:tc>
        <w:tc>
          <w:tcPr>
            <w:tcW w:w="1420" w:type="dxa"/>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(0.000)</w:t>
            </w:r>
          </w:p>
        </w:tc>
        <w:tc>
          <w:tcPr>
            <w:tcW w:w="143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(0.000)</w:t>
            </w:r>
          </w:p>
        </w:tc>
        <w:tc>
          <w:tcPr>
            <w:tcW w:w="141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(0.000)</w:t>
            </w:r>
          </w:p>
        </w:tc>
        <w:tc>
          <w:tcPr>
            <w:tcW w:w="142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val="restart"/>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rPr>
                <w:rFonts w:ascii="Arial" w:hAnsi="Arial" w:cs="Arial"/>
                <w:color w:val="000000"/>
                <w:sz w:val="16"/>
                <w:szCs w:val="16"/>
              </w:rPr>
            </w:pPr>
            <w:r w:rsidRPr="00802453">
              <w:rPr>
                <w:rFonts w:ascii="Arial" w:hAnsi="Arial" w:cs="Arial"/>
                <w:color w:val="000000"/>
                <w:sz w:val="16"/>
                <w:szCs w:val="16"/>
              </w:rPr>
              <w:t>Follow-Up Indicator</w:t>
            </w:r>
          </w:p>
        </w:tc>
        <w:tc>
          <w:tcPr>
            <w:tcW w:w="1420" w:type="dxa"/>
            <w:tcBorders>
              <w:top w:val="single" w:sz="8" w:space="0" w:color="4F81BD"/>
              <w:left w:val="single" w:sz="8" w:space="0" w:color="4F81BD"/>
              <w:bottom w:val="nil"/>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single" w:sz="8" w:space="0" w:color="4F81BD"/>
              <w:left w:val="single" w:sz="8" w:space="0" w:color="4F81BD"/>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single" w:sz="8" w:space="0" w:color="4F81BD"/>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single" w:sz="8" w:space="0" w:color="4F81BD"/>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tcBorders>
              <w:top w:val="nil"/>
              <w:left w:val="single" w:sz="8" w:space="0" w:color="4F81BD"/>
              <w:bottom w:val="single" w:sz="8" w:space="0" w:color="4F81BD"/>
              <w:right w:val="nil"/>
            </w:tcBorders>
            <w:vAlign w:val="center"/>
            <w:hideMark/>
          </w:tcPr>
          <w:p w:rsidR="00982F4F" w:rsidRPr="00802453" w:rsidRDefault="00982F4F" w:rsidP="00457768">
            <w:pPr>
              <w:rPr>
                <w:rFonts w:ascii="Arial" w:hAnsi="Arial" w:cs="Arial"/>
                <w:color w:val="000000"/>
                <w:sz w:val="16"/>
                <w:szCs w:val="16"/>
              </w:rPr>
            </w:pPr>
          </w:p>
        </w:tc>
        <w:tc>
          <w:tcPr>
            <w:tcW w:w="1420" w:type="dxa"/>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val="restart"/>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rPr>
                <w:rFonts w:ascii="Arial" w:hAnsi="Arial" w:cs="Arial"/>
                <w:color w:val="000000"/>
                <w:sz w:val="16"/>
                <w:szCs w:val="16"/>
              </w:rPr>
            </w:pPr>
            <w:r w:rsidRPr="00802453">
              <w:rPr>
                <w:rFonts w:ascii="Arial" w:hAnsi="Arial" w:cs="Arial"/>
                <w:color w:val="000000"/>
                <w:sz w:val="16"/>
                <w:szCs w:val="16"/>
              </w:rPr>
              <w:t>Female</w:t>
            </w:r>
          </w:p>
        </w:tc>
        <w:tc>
          <w:tcPr>
            <w:tcW w:w="1420" w:type="dxa"/>
            <w:tcBorders>
              <w:top w:val="nil"/>
              <w:left w:val="single" w:sz="8" w:space="0" w:color="4F81BD"/>
              <w:bottom w:val="nil"/>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tcBorders>
              <w:top w:val="nil"/>
              <w:left w:val="single" w:sz="8" w:space="0" w:color="4F81BD"/>
              <w:bottom w:val="single" w:sz="8" w:space="0" w:color="4F81BD"/>
              <w:right w:val="nil"/>
            </w:tcBorders>
            <w:vAlign w:val="center"/>
            <w:hideMark/>
          </w:tcPr>
          <w:p w:rsidR="00982F4F" w:rsidRPr="00802453" w:rsidRDefault="00982F4F" w:rsidP="00457768">
            <w:pPr>
              <w:rPr>
                <w:rFonts w:ascii="Arial" w:hAnsi="Arial" w:cs="Arial"/>
                <w:color w:val="000000"/>
                <w:sz w:val="16"/>
                <w:szCs w:val="16"/>
              </w:rPr>
            </w:pPr>
          </w:p>
        </w:tc>
        <w:tc>
          <w:tcPr>
            <w:tcW w:w="1420" w:type="dxa"/>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val="restart"/>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rPr>
                <w:rFonts w:ascii="Arial" w:hAnsi="Arial" w:cs="Arial"/>
                <w:color w:val="000000"/>
                <w:sz w:val="16"/>
                <w:szCs w:val="16"/>
              </w:rPr>
            </w:pPr>
            <w:r w:rsidRPr="00802453">
              <w:rPr>
                <w:rFonts w:ascii="Arial" w:hAnsi="Arial" w:cs="Arial"/>
                <w:color w:val="000000"/>
                <w:sz w:val="16"/>
                <w:szCs w:val="16"/>
              </w:rPr>
              <w:t>Hispanic</w:t>
            </w:r>
          </w:p>
        </w:tc>
        <w:tc>
          <w:tcPr>
            <w:tcW w:w="1420" w:type="dxa"/>
            <w:tcBorders>
              <w:top w:val="nil"/>
              <w:left w:val="single" w:sz="8" w:space="0" w:color="4F81BD"/>
              <w:bottom w:val="nil"/>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tcBorders>
              <w:top w:val="nil"/>
              <w:left w:val="single" w:sz="8" w:space="0" w:color="4F81BD"/>
              <w:bottom w:val="single" w:sz="8" w:space="0" w:color="4F81BD"/>
              <w:right w:val="nil"/>
            </w:tcBorders>
            <w:vAlign w:val="center"/>
            <w:hideMark/>
          </w:tcPr>
          <w:p w:rsidR="00982F4F" w:rsidRPr="00802453" w:rsidRDefault="00982F4F" w:rsidP="00457768">
            <w:pPr>
              <w:rPr>
                <w:rFonts w:ascii="Arial" w:hAnsi="Arial" w:cs="Arial"/>
                <w:color w:val="000000"/>
                <w:sz w:val="16"/>
                <w:szCs w:val="16"/>
              </w:rPr>
            </w:pPr>
          </w:p>
        </w:tc>
        <w:tc>
          <w:tcPr>
            <w:tcW w:w="1420" w:type="dxa"/>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val="restart"/>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rPr>
                <w:rFonts w:ascii="Arial" w:hAnsi="Arial" w:cs="Arial"/>
                <w:color w:val="000000"/>
                <w:sz w:val="16"/>
                <w:szCs w:val="16"/>
              </w:rPr>
            </w:pPr>
            <w:r w:rsidRPr="00802453">
              <w:rPr>
                <w:rFonts w:ascii="Arial" w:hAnsi="Arial" w:cs="Arial"/>
                <w:color w:val="000000"/>
                <w:sz w:val="16"/>
                <w:szCs w:val="16"/>
              </w:rPr>
              <w:lastRenderedPageBreak/>
              <w:t>Black</w:t>
            </w:r>
          </w:p>
        </w:tc>
        <w:tc>
          <w:tcPr>
            <w:tcW w:w="1420" w:type="dxa"/>
            <w:tcBorders>
              <w:top w:val="nil"/>
              <w:left w:val="single" w:sz="8" w:space="0" w:color="4F81BD"/>
              <w:bottom w:val="nil"/>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tcBorders>
              <w:top w:val="nil"/>
              <w:left w:val="single" w:sz="8" w:space="0" w:color="4F81BD"/>
              <w:bottom w:val="single" w:sz="8" w:space="0" w:color="4F81BD"/>
              <w:right w:val="nil"/>
            </w:tcBorders>
            <w:vAlign w:val="center"/>
            <w:hideMark/>
          </w:tcPr>
          <w:p w:rsidR="00982F4F" w:rsidRPr="00802453" w:rsidRDefault="00982F4F" w:rsidP="00457768">
            <w:pPr>
              <w:rPr>
                <w:rFonts w:ascii="Arial" w:hAnsi="Arial" w:cs="Arial"/>
                <w:color w:val="000000"/>
                <w:sz w:val="16"/>
                <w:szCs w:val="16"/>
              </w:rPr>
            </w:pPr>
          </w:p>
        </w:tc>
        <w:tc>
          <w:tcPr>
            <w:tcW w:w="1420" w:type="dxa"/>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val="restart"/>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rPr>
                <w:rFonts w:ascii="Arial" w:hAnsi="Arial" w:cs="Arial"/>
                <w:color w:val="000000"/>
                <w:sz w:val="16"/>
                <w:szCs w:val="16"/>
              </w:rPr>
            </w:pPr>
            <w:r w:rsidRPr="00802453">
              <w:rPr>
                <w:rFonts w:ascii="Arial" w:hAnsi="Arial" w:cs="Arial"/>
                <w:color w:val="000000"/>
                <w:sz w:val="16"/>
                <w:szCs w:val="16"/>
              </w:rPr>
              <w:t>Asian</w:t>
            </w:r>
          </w:p>
        </w:tc>
        <w:tc>
          <w:tcPr>
            <w:tcW w:w="1420" w:type="dxa"/>
            <w:tcBorders>
              <w:top w:val="nil"/>
              <w:left w:val="single" w:sz="8" w:space="0" w:color="4F81BD"/>
              <w:bottom w:val="nil"/>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tcBorders>
              <w:top w:val="nil"/>
              <w:left w:val="single" w:sz="8" w:space="0" w:color="4F81BD"/>
              <w:bottom w:val="single" w:sz="8" w:space="0" w:color="4F81BD"/>
              <w:right w:val="nil"/>
            </w:tcBorders>
            <w:vAlign w:val="center"/>
            <w:hideMark/>
          </w:tcPr>
          <w:p w:rsidR="00982F4F" w:rsidRPr="00802453" w:rsidRDefault="00982F4F" w:rsidP="00457768">
            <w:pPr>
              <w:rPr>
                <w:rFonts w:ascii="Arial" w:hAnsi="Arial" w:cs="Arial"/>
                <w:color w:val="000000"/>
                <w:sz w:val="16"/>
                <w:szCs w:val="16"/>
              </w:rPr>
            </w:pPr>
          </w:p>
        </w:tc>
        <w:tc>
          <w:tcPr>
            <w:tcW w:w="1420" w:type="dxa"/>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val="restart"/>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rPr>
                <w:rFonts w:ascii="Arial" w:hAnsi="Arial" w:cs="Arial"/>
                <w:color w:val="000000"/>
                <w:sz w:val="16"/>
                <w:szCs w:val="16"/>
              </w:rPr>
            </w:pPr>
            <w:r w:rsidRPr="00802453">
              <w:rPr>
                <w:rFonts w:ascii="Arial" w:hAnsi="Arial" w:cs="Arial"/>
                <w:color w:val="000000"/>
                <w:sz w:val="16"/>
                <w:szCs w:val="16"/>
              </w:rPr>
              <w:t>American Indian</w:t>
            </w:r>
          </w:p>
        </w:tc>
        <w:tc>
          <w:tcPr>
            <w:tcW w:w="1420" w:type="dxa"/>
            <w:tcBorders>
              <w:top w:val="nil"/>
              <w:left w:val="single" w:sz="8" w:space="0" w:color="4F81BD"/>
              <w:bottom w:val="nil"/>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tcBorders>
              <w:top w:val="nil"/>
              <w:left w:val="single" w:sz="8" w:space="0" w:color="4F81BD"/>
              <w:bottom w:val="single" w:sz="8" w:space="0" w:color="4F81BD"/>
              <w:right w:val="nil"/>
            </w:tcBorders>
            <w:vAlign w:val="center"/>
            <w:hideMark/>
          </w:tcPr>
          <w:p w:rsidR="00982F4F" w:rsidRPr="00802453" w:rsidRDefault="00982F4F" w:rsidP="00457768">
            <w:pPr>
              <w:rPr>
                <w:rFonts w:ascii="Arial" w:hAnsi="Arial" w:cs="Arial"/>
                <w:color w:val="000000"/>
                <w:sz w:val="16"/>
                <w:szCs w:val="16"/>
              </w:rPr>
            </w:pPr>
          </w:p>
        </w:tc>
        <w:tc>
          <w:tcPr>
            <w:tcW w:w="1420" w:type="dxa"/>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val="restart"/>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rPr>
                <w:rFonts w:ascii="Arial" w:hAnsi="Arial" w:cs="Arial"/>
                <w:color w:val="000000"/>
                <w:sz w:val="16"/>
                <w:szCs w:val="16"/>
              </w:rPr>
            </w:pPr>
            <w:r w:rsidRPr="00802453">
              <w:rPr>
                <w:rFonts w:ascii="Arial" w:hAnsi="Arial" w:cs="Arial"/>
                <w:color w:val="000000"/>
                <w:sz w:val="16"/>
                <w:szCs w:val="16"/>
              </w:rPr>
              <w:t>Native Hawaiian/ Pacific Islander</w:t>
            </w:r>
          </w:p>
        </w:tc>
        <w:tc>
          <w:tcPr>
            <w:tcW w:w="1420" w:type="dxa"/>
            <w:tcBorders>
              <w:top w:val="nil"/>
              <w:left w:val="single" w:sz="8" w:space="0" w:color="4F81BD"/>
              <w:bottom w:val="nil"/>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tcBorders>
              <w:top w:val="nil"/>
              <w:left w:val="single" w:sz="8" w:space="0" w:color="4F81BD"/>
              <w:bottom w:val="single" w:sz="8" w:space="0" w:color="4F81BD"/>
              <w:right w:val="nil"/>
            </w:tcBorders>
            <w:vAlign w:val="center"/>
            <w:hideMark/>
          </w:tcPr>
          <w:p w:rsidR="00982F4F" w:rsidRPr="00802453" w:rsidRDefault="00982F4F" w:rsidP="00457768">
            <w:pPr>
              <w:rPr>
                <w:rFonts w:ascii="Arial" w:hAnsi="Arial" w:cs="Arial"/>
                <w:color w:val="000000"/>
                <w:sz w:val="16"/>
                <w:szCs w:val="16"/>
              </w:rPr>
            </w:pPr>
          </w:p>
        </w:tc>
        <w:tc>
          <w:tcPr>
            <w:tcW w:w="1420" w:type="dxa"/>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val="restart"/>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rPr>
                <w:rFonts w:ascii="Arial" w:hAnsi="Arial" w:cs="Arial"/>
                <w:color w:val="000000"/>
                <w:sz w:val="16"/>
                <w:szCs w:val="16"/>
              </w:rPr>
            </w:pPr>
            <w:r w:rsidRPr="00802453">
              <w:rPr>
                <w:rFonts w:ascii="Arial" w:hAnsi="Arial" w:cs="Arial"/>
                <w:color w:val="000000"/>
                <w:sz w:val="16"/>
                <w:szCs w:val="16"/>
              </w:rPr>
              <w:t>Alaska Native</w:t>
            </w:r>
          </w:p>
        </w:tc>
        <w:tc>
          <w:tcPr>
            <w:tcW w:w="1420" w:type="dxa"/>
            <w:tcBorders>
              <w:top w:val="nil"/>
              <w:left w:val="single" w:sz="8" w:space="0" w:color="4F81BD"/>
              <w:bottom w:val="nil"/>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tcBorders>
              <w:top w:val="nil"/>
              <w:left w:val="single" w:sz="8" w:space="0" w:color="4F81BD"/>
              <w:bottom w:val="single" w:sz="8" w:space="0" w:color="4F81BD"/>
              <w:right w:val="nil"/>
            </w:tcBorders>
            <w:vAlign w:val="center"/>
            <w:hideMark/>
          </w:tcPr>
          <w:p w:rsidR="00982F4F" w:rsidRPr="00802453" w:rsidRDefault="00982F4F" w:rsidP="00457768">
            <w:pPr>
              <w:rPr>
                <w:rFonts w:ascii="Arial" w:hAnsi="Arial" w:cs="Arial"/>
                <w:color w:val="000000"/>
                <w:sz w:val="16"/>
                <w:szCs w:val="16"/>
              </w:rPr>
            </w:pPr>
          </w:p>
        </w:tc>
        <w:tc>
          <w:tcPr>
            <w:tcW w:w="1420" w:type="dxa"/>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val="restart"/>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rPr>
                <w:rFonts w:ascii="Arial" w:hAnsi="Arial" w:cs="Arial"/>
                <w:color w:val="000000"/>
                <w:sz w:val="16"/>
                <w:szCs w:val="16"/>
              </w:rPr>
            </w:pPr>
            <w:r w:rsidRPr="00802453">
              <w:rPr>
                <w:rFonts w:ascii="Arial" w:hAnsi="Arial" w:cs="Arial"/>
                <w:color w:val="000000"/>
                <w:sz w:val="16"/>
                <w:szCs w:val="16"/>
              </w:rPr>
              <w:t>Other Race/Ethnicity</w:t>
            </w:r>
          </w:p>
        </w:tc>
        <w:tc>
          <w:tcPr>
            <w:tcW w:w="1420" w:type="dxa"/>
            <w:tcBorders>
              <w:top w:val="nil"/>
              <w:left w:val="single" w:sz="8" w:space="0" w:color="4F81BD"/>
              <w:bottom w:val="nil"/>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tcBorders>
              <w:top w:val="nil"/>
              <w:left w:val="single" w:sz="8" w:space="0" w:color="4F81BD"/>
              <w:bottom w:val="single" w:sz="8" w:space="0" w:color="4F81BD"/>
              <w:right w:val="nil"/>
            </w:tcBorders>
            <w:vAlign w:val="center"/>
            <w:hideMark/>
          </w:tcPr>
          <w:p w:rsidR="00982F4F" w:rsidRPr="00802453" w:rsidRDefault="00982F4F" w:rsidP="00457768">
            <w:pPr>
              <w:rPr>
                <w:rFonts w:ascii="Arial" w:hAnsi="Arial" w:cs="Arial"/>
                <w:color w:val="000000"/>
                <w:sz w:val="16"/>
                <w:szCs w:val="16"/>
              </w:rPr>
            </w:pPr>
          </w:p>
        </w:tc>
        <w:tc>
          <w:tcPr>
            <w:tcW w:w="1420" w:type="dxa"/>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val="restart"/>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rPr>
                <w:rFonts w:ascii="Arial" w:hAnsi="Arial" w:cs="Arial"/>
                <w:color w:val="000000"/>
                <w:sz w:val="16"/>
                <w:szCs w:val="16"/>
              </w:rPr>
            </w:pPr>
            <w:r w:rsidRPr="00802453">
              <w:rPr>
                <w:rFonts w:ascii="Arial" w:hAnsi="Arial" w:cs="Arial"/>
                <w:color w:val="000000"/>
                <w:sz w:val="16"/>
                <w:szCs w:val="16"/>
              </w:rPr>
              <w:t>Age</w:t>
            </w:r>
          </w:p>
        </w:tc>
        <w:tc>
          <w:tcPr>
            <w:tcW w:w="1420" w:type="dxa"/>
            <w:tcBorders>
              <w:top w:val="nil"/>
              <w:left w:val="single" w:sz="8" w:space="0" w:color="4F81BD"/>
              <w:bottom w:val="nil"/>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tcBorders>
              <w:top w:val="nil"/>
              <w:left w:val="single" w:sz="8" w:space="0" w:color="4F81BD"/>
              <w:bottom w:val="single" w:sz="8" w:space="0" w:color="4F81BD"/>
              <w:right w:val="nil"/>
            </w:tcBorders>
            <w:vAlign w:val="center"/>
            <w:hideMark/>
          </w:tcPr>
          <w:p w:rsidR="00982F4F" w:rsidRPr="00802453" w:rsidRDefault="00982F4F" w:rsidP="00457768">
            <w:pPr>
              <w:rPr>
                <w:rFonts w:ascii="Arial" w:hAnsi="Arial" w:cs="Arial"/>
                <w:color w:val="000000"/>
                <w:sz w:val="16"/>
                <w:szCs w:val="16"/>
              </w:rPr>
            </w:pPr>
          </w:p>
        </w:tc>
        <w:tc>
          <w:tcPr>
            <w:tcW w:w="1420" w:type="dxa"/>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val="restart"/>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rPr>
                <w:rFonts w:ascii="Arial" w:hAnsi="Arial" w:cs="Arial"/>
                <w:color w:val="000000"/>
                <w:sz w:val="16"/>
                <w:szCs w:val="16"/>
              </w:rPr>
            </w:pPr>
            <w:r w:rsidRPr="00802453">
              <w:rPr>
                <w:rFonts w:ascii="Arial" w:hAnsi="Arial" w:cs="Arial"/>
                <w:color w:val="000000"/>
                <w:sz w:val="16"/>
                <w:szCs w:val="16"/>
              </w:rPr>
              <w:t>Illicit Substance Use (Days)</w:t>
            </w:r>
          </w:p>
        </w:tc>
        <w:tc>
          <w:tcPr>
            <w:tcW w:w="1420" w:type="dxa"/>
            <w:tcBorders>
              <w:top w:val="nil"/>
              <w:left w:val="single" w:sz="8" w:space="0" w:color="4F81BD"/>
              <w:bottom w:val="nil"/>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300"/>
        </w:trPr>
        <w:tc>
          <w:tcPr>
            <w:tcW w:w="2280" w:type="dxa"/>
            <w:vMerge/>
            <w:tcBorders>
              <w:top w:val="nil"/>
              <w:left w:val="single" w:sz="8" w:space="0" w:color="4F81BD"/>
              <w:bottom w:val="single" w:sz="8" w:space="0" w:color="4F81BD"/>
              <w:right w:val="nil"/>
            </w:tcBorders>
            <w:vAlign w:val="center"/>
            <w:hideMark/>
          </w:tcPr>
          <w:p w:rsidR="00982F4F" w:rsidRPr="00802453" w:rsidRDefault="00982F4F" w:rsidP="00457768">
            <w:pPr>
              <w:rPr>
                <w:rFonts w:ascii="Arial" w:hAnsi="Arial" w:cs="Arial"/>
                <w:color w:val="000000"/>
                <w:sz w:val="16"/>
                <w:szCs w:val="16"/>
              </w:rPr>
            </w:pPr>
          </w:p>
        </w:tc>
        <w:tc>
          <w:tcPr>
            <w:tcW w:w="1420" w:type="dxa"/>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525"/>
        </w:trPr>
        <w:tc>
          <w:tcPr>
            <w:tcW w:w="2280" w:type="dxa"/>
            <w:vMerge w:val="restart"/>
            <w:tcBorders>
              <w:top w:val="single" w:sz="8" w:space="0" w:color="4F81BD"/>
              <w:left w:val="single" w:sz="8" w:space="0" w:color="4F81BD"/>
              <w:bottom w:val="single" w:sz="8" w:space="0" w:color="4F81BD"/>
              <w:right w:val="nil"/>
            </w:tcBorders>
            <w:shd w:val="clear" w:color="auto" w:fill="auto"/>
            <w:vAlign w:val="bottom"/>
            <w:hideMark/>
          </w:tcPr>
          <w:p w:rsidR="00982F4F" w:rsidRPr="00802453" w:rsidRDefault="00982F4F" w:rsidP="00457768">
            <w:pPr>
              <w:rPr>
                <w:rFonts w:ascii="Arial" w:hAnsi="Arial" w:cs="Arial"/>
                <w:color w:val="000000"/>
                <w:sz w:val="16"/>
                <w:szCs w:val="16"/>
              </w:rPr>
            </w:pPr>
            <w:r w:rsidRPr="00802453">
              <w:rPr>
                <w:rFonts w:ascii="Arial" w:hAnsi="Arial" w:cs="Arial"/>
                <w:color w:val="000000"/>
                <w:sz w:val="16"/>
                <w:szCs w:val="16"/>
              </w:rPr>
              <w:t>Mental Illness (Scale)</w:t>
            </w:r>
          </w:p>
        </w:tc>
        <w:tc>
          <w:tcPr>
            <w:tcW w:w="1420" w:type="dxa"/>
            <w:tcBorders>
              <w:top w:val="single" w:sz="8" w:space="0" w:color="4F81BD"/>
              <w:left w:val="single" w:sz="8" w:space="0" w:color="4F81BD"/>
              <w:bottom w:val="nil"/>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single" w:sz="8" w:space="0" w:color="4F81BD"/>
              <w:left w:val="single" w:sz="8" w:space="0" w:color="4F81BD"/>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single" w:sz="8" w:space="0" w:color="4F81BD"/>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single" w:sz="8" w:space="0" w:color="4F81BD"/>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48"/>
        </w:trPr>
        <w:tc>
          <w:tcPr>
            <w:tcW w:w="2280" w:type="dxa"/>
            <w:vMerge/>
            <w:tcBorders>
              <w:top w:val="nil"/>
              <w:left w:val="single" w:sz="8" w:space="0" w:color="4F81BD"/>
              <w:bottom w:val="single" w:sz="8" w:space="0" w:color="4F81BD"/>
              <w:right w:val="nil"/>
            </w:tcBorders>
            <w:vAlign w:val="center"/>
            <w:hideMark/>
          </w:tcPr>
          <w:p w:rsidR="00982F4F" w:rsidRPr="00802453" w:rsidRDefault="00982F4F" w:rsidP="00457768">
            <w:pPr>
              <w:rPr>
                <w:rFonts w:ascii="Arial" w:hAnsi="Arial" w:cs="Arial"/>
                <w:color w:val="000000"/>
                <w:sz w:val="16"/>
                <w:szCs w:val="16"/>
              </w:rPr>
            </w:pPr>
          </w:p>
        </w:tc>
        <w:tc>
          <w:tcPr>
            <w:tcW w:w="1420" w:type="dxa"/>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48"/>
        </w:trPr>
        <w:tc>
          <w:tcPr>
            <w:tcW w:w="2280" w:type="dxa"/>
            <w:tcBorders>
              <w:top w:val="single" w:sz="8" w:space="0" w:color="4F81BD"/>
              <w:left w:val="single" w:sz="8" w:space="0" w:color="4F81BD"/>
              <w:bottom w:val="nil"/>
              <w:right w:val="nil"/>
            </w:tcBorders>
            <w:vAlign w:val="center"/>
            <w:hideMark/>
          </w:tcPr>
          <w:p w:rsidR="00982F4F" w:rsidRPr="00802453" w:rsidRDefault="00982F4F" w:rsidP="00457768">
            <w:pPr>
              <w:rPr>
                <w:rFonts w:ascii="Arial" w:hAnsi="Arial" w:cs="Arial"/>
                <w:color w:val="000000"/>
                <w:sz w:val="16"/>
                <w:szCs w:val="16"/>
              </w:rPr>
            </w:pPr>
          </w:p>
        </w:tc>
        <w:tc>
          <w:tcPr>
            <w:tcW w:w="1420" w:type="dxa"/>
            <w:tcBorders>
              <w:top w:val="single" w:sz="8" w:space="0" w:color="4F81BD"/>
              <w:left w:val="single" w:sz="8" w:space="0" w:color="4F81BD"/>
              <w:bottom w:val="nil"/>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p>
        </w:tc>
        <w:tc>
          <w:tcPr>
            <w:tcW w:w="1430" w:type="dxa"/>
            <w:tcBorders>
              <w:top w:val="single" w:sz="8" w:space="0" w:color="4F81BD"/>
              <w:left w:val="single" w:sz="8" w:space="0" w:color="4F81BD"/>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p>
        </w:tc>
        <w:tc>
          <w:tcPr>
            <w:tcW w:w="1410" w:type="dxa"/>
            <w:tcBorders>
              <w:top w:val="single" w:sz="8" w:space="0" w:color="4F81BD"/>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p>
        </w:tc>
        <w:tc>
          <w:tcPr>
            <w:tcW w:w="1420" w:type="dxa"/>
            <w:tcBorders>
              <w:top w:val="single" w:sz="8" w:space="0" w:color="4F81BD"/>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p>
        </w:tc>
      </w:tr>
      <w:tr w:rsidR="00982F4F" w:rsidRPr="00802453" w:rsidTr="00457768">
        <w:trPr>
          <w:trHeight w:val="48"/>
        </w:trPr>
        <w:tc>
          <w:tcPr>
            <w:tcW w:w="2280" w:type="dxa"/>
            <w:tcBorders>
              <w:top w:val="nil"/>
              <w:left w:val="single" w:sz="8" w:space="0" w:color="4F81BD"/>
              <w:bottom w:val="nil"/>
              <w:right w:val="nil"/>
            </w:tcBorders>
            <w:vAlign w:val="center"/>
            <w:hideMark/>
          </w:tcPr>
          <w:p w:rsidR="00982F4F" w:rsidRPr="00802453" w:rsidRDefault="00982F4F" w:rsidP="00457768">
            <w:pPr>
              <w:rPr>
                <w:rFonts w:ascii="Arial" w:hAnsi="Arial" w:cs="Arial"/>
                <w:color w:val="000000"/>
                <w:sz w:val="16"/>
                <w:szCs w:val="16"/>
              </w:rPr>
            </w:pPr>
          </w:p>
        </w:tc>
        <w:tc>
          <w:tcPr>
            <w:tcW w:w="1420" w:type="dxa"/>
            <w:tcBorders>
              <w:top w:val="nil"/>
              <w:left w:val="single" w:sz="8" w:space="0" w:color="4F81BD"/>
              <w:bottom w:val="nil"/>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p>
        </w:tc>
        <w:tc>
          <w:tcPr>
            <w:tcW w:w="1430" w:type="dxa"/>
            <w:tcBorders>
              <w:top w:val="nil"/>
              <w:left w:val="single" w:sz="8" w:space="0" w:color="4F81BD"/>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p>
        </w:tc>
        <w:tc>
          <w:tcPr>
            <w:tcW w:w="141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p>
        </w:tc>
        <w:tc>
          <w:tcPr>
            <w:tcW w:w="142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p>
        </w:tc>
      </w:tr>
      <w:tr w:rsidR="00982F4F" w:rsidRPr="00802453" w:rsidTr="00457768">
        <w:trPr>
          <w:trHeight w:val="153"/>
        </w:trPr>
        <w:tc>
          <w:tcPr>
            <w:tcW w:w="2280" w:type="dxa"/>
            <w:tcBorders>
              <w:top w:val="nil"/>
              <w:left w:val="single" w:sz="8" w:space="0" w:color="4F81BD"/>
              <w:bottom w:val="nil"/>
              <w:right w:val="nil"/>
            </w:tcBorders>
            <w:vAlign w:val="bottom"/>
            <w:hideMark/>
          </w:tcPr>
          <w:p w:rsidR="00982F4F" w:rsidRPr="00802453" w:rsidRDefault="00982F4F" w:rsidP="00457768">
            <w:pPr>
              <w:rPr>
                <w:rFonts w:ascii="Arial" w:hAnsi="Arial" w:cs="Arial"/>
                <w:color w:val="000000"/>
                <w:sz w:val="16"/>
                <w:szCs w:val="16"/>
              </w:rPr>
            </w:pPr>
            <w:r w:rsidRPr="00802453">
              <w:rPr>
                <w:rFonts w:ascii="Arial" w:hAnsi="Arial" w:cs="Arial"/>
                <w:color w:val="000000"/>
                <w:sz w:val="16"/>
                <w:szCs w:val="16"/>
              </w:rPr>
              <w:t>Indicator of Client Reporting Transportation Needs</w:t>
            </w:r>
          </w:p>
        </w:tc>
        <w:tc>
          <w:tcPr>
            <w:tcW w:w="1420" w:type="dxa"/>
            <w:tcBorders>
              <w:top w:val="nil"/>
              <w:left w:val="single" w:sz="8" w:space="0" w:color="4F81BD"/>
              <w:bottom w:val="nil"/>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48"/>
        </w:trPr>
        <w:tc>
          <w:tcPr>
            <w:tcW w:w="2280" w:type="dxa"/>
            <w:tcBorders>
              <w:top w:val="nil"/>
              <w:left w:val="single" w:sz="8" w:space="0" w:color="4F81BD"/>
              <w:bottom w:val="nil"/>
              <w:right w:val="nil"/>
            </w:tcBorders>
            <w:vAlign w:val="center"/>
            <w:hideMark/>
          </w:tcPr>
          <w:p w:rsidR="00982F4F" w:rsidRPr="00802453" w:rsidRDefault="00982F4F" w:rsidP="00457768">
            <w:pPr>
              <w:rPr>
                <w:rFonts w:ascii="Arial" w:hAnsi="Arial" w:cs="Arial"/>
                <w:color w:val="000000"/>
                <w:sz w:val="16"/>
                <w:szCs w:val="16"/>
              </w:rPr>
            </w:pPr>
          </w:p>
        </w:tc>
        <w:tc>
          <w:tcPr>
            <w:tcW w:w="1420" w:type="dxa"/>
            <w:tcBorders>
              <w:top w:val="nil"/>
              <w:left w:val="single" w:sz="8" w:space="0" w:color="4F81BD"/>
              <w:bottom w:val="nil"/>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nil"/>
              <w:bottom w:val="nil"/>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68"/>
        </w:trPr>
        <w:tc>
          <w:tcPr>
            <w:tcW w:w="2280" w:type="dxa"/>
            <w:tcBorders>
              <w:top w:val="nil"/>
              <w:left w:val="single" w:sz="8" w:space="0" w:color="4F81BD"/>
              <w:bottom w:val="single" w:sz="8" w:space="0" w:color="4F81BD"/>
              <w:right w:val="nil"/>
            </w:tcBorders>
            <w:vAlign w:val="center"/>
            <w:hideMark/>
          </w:tcPr>
          <w:p w:rsidR="00982F4F" w:rsidRPr="00802453" w:rsidRDefault="00982F4F" w:rsidP="00457768">
            <w:pPr>
              <w:rPr>
                <w:rFonts w:ascii="Arial" w:hAnsi="Arial" w:cs="Arial"/>
                <w:color w:val="000000"/>
                <w:sz w:val="16"/>
                <w:szCs w:val="16"/>
              </w:rPr>
            </w:pPr>
          </w:p>
        </w:tc>
        <w:tc>
          <w:tcPr>
            <w:tcW w:w="1420" w:type="dxa"/>
            <w:tcBorders>
              <w:top w:val="nil"/>
              <w:left w:val="single" w:sz="8" w:space="0" w:color="4F81BD"/>
              <w:bottom w:val="single" w:sz="8" w:space="0" w:color="4F81BD"/>
              <w:right w:val="nil"/>
            </w:tcBorders>
            <w:shd w:val="clear" w:color="auto" w:fill="auto"/>
            <w:vAlign w:val="bottom"/>
            <w:hideMark/>
          </w:tcPr>
          <w:p w:rsidR="00982F4F" w:rsidRPr="00802453" w:rsidRDefault="00982F4F" w:rsidP="00457768">
            <w:pPr>
              <w:jc w:val="center"/>
              <w:rPr>
                <w:rFonts w:ascii="Arial" w:hAnsi="Arial" w:cs="Arial"/>
                <w:color w:val="000000"/>
                <w:sz w:val="16"/>
                <w:szCs w:val="16"/>
              </w:rPr>
            </w:pPr>
          </w:p>
        </w:tc>
        <w:tc>
          <w:tcPr>
            <w:tcW w:w="143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p>
        </w:tc>
        <w:tc>
          <w:tcPr>
            <w:tcW w:w="141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p>
        </w:tc>
        <w:tc>
          <w:tcPr>
            <w:tcW w:w="1420" w:type="dxa"/>
            <w:tcBorders>
              <w:top w:val="nil"/>
              <w:left w:val="nil"/>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p>
        </w:tc>
      </w:tr>
      <w:tr w:rsidR="00982F4F" w:rsidRPr="00802453" w:rsidTr="00457768">
        <w:trPr>
          <w:trHeight w:val="979"/>
        </w:trPr>
        <w:tc>
          <w:tcPr>
            <w:tcW w:w="2280" w:type="dxa"/>
            <w:tcBorders>
              <w:top w:val="single" w:sz="8" w:space="0" w:color="4F81BD"/>
              <w:left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Vector of Grantee Model Characteristics</w:t>
            </w:r>
          </w:p>
        </w:tc>
        <w:tc>
          <w:tcPr>
            <w:tcW w:w="1420" w:type="dxa"/>
            <w:tcBorders>
              <w:top w:val="single" w:sz="8" w:space="0" w:color="4F81BD"/>
              <w:left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single" w:sz="8" w:space="0" w:color="4F81BD"/>
              <w:left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single" w:sz="8" w:space="0" w:color="4F81BD"/>
              <w:left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single" w:sz="8" w:space="0" w:color="4F81BD"/>
              <w:left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r w:rsidR="00982F4F" w:rsidRPr="00802453" w:rsidTr="00457768">
        <w:trPr>
          <w:trHeight w:val="68"/>
        </w:trPr>
        <w:tc>
          <w:tcPr>
            <w:tcW w:w="2280" w:type="dxa"/>
            <w:tcBorders>
              <w:top w:val="nil"/>
              <w:left w:val="single" w:sz="8" w:space="0" w:color="4F81BD"/>
              <w:bottom w:val="single" w:sz="8" w:space="0" w:color="4F81BD"/>
              <w:right w:val="single" w:sz="8" w:space="0" w:color="4F81BD"/>
            </w:tcBorders>
            <w:vAlign w:val="bottom"/>
            <w:hideMark/>
          </w:tcPr>
          <w:p w:rsidR="00982F4F" w:rsidRPr="00802453" w:rsidRDefault="00982F4F" w:rsidP="00457768">
            <w:pPr>
              <w:rPr>
                <w:rFonts w:ascii="Arial" w:hAnsi="Arial" w:cs="Arial"/>
                <w:color w:val="000000"/>
                <w:sz w:val="16"/>
                <w:szCs w:val="16"/>
              </w:rPr>
            </w:pPr>
          </w:p>
        </w:tc>
        <w:tc>
          <w:tcPr>
            <w:tcW w:w="142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3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1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c>
          <w:tcPr>
            <w:tcW w:w="1420" w:type="dxa"/>
            <w:tcBorders>
              <w:top w:val="nil"/>
              <w:left w:val="single" w:sz="8" w:space="0" w:color="4F81BD"/>
              <w:bottom w:val="single" w:sz="8" w:space="0" w:color="4F81BD"/>
              <w:right w:val="single" w:sz="8" w:space="0" w:color="4F81BD"/>
            </w:tcBorders>
            <w:shd w:val="clear" w:color="auto" w:fill="auto"/>
            <w:vAlign w:val="bottom"/>
            <w:hideMark/>
          </w:tcPr>
          <w:p w:rsidR="00982F4F" w:rsidRPr="00802453" w:rsidRDefault="00982F4F" w:rsidP="00457768">
            <w:pPr>
              <w:jc w:val="center"/>
              <w:rPr>
                <w:rFonts w:ascii="Arial" w:hAnsi="Arial" w:cs="Arial"/>
                <w:color w:val="000000"/>
                <w:sz w:val="16"/>
                <w:szCs w:val="16"/>
              </w:rPr>
            </w:pPr>
            <w:r w:rsidRPr="00802453">
              <w:rPr>
                <w:rFonts w:ascii="Arial" w:hAnsi="Arial" w:cs="Arial"/>
                <w:color w:val="000000"/>
                <w:sz w:val="16"/>
                <w:szCs w:val="16"/>
              </w:rPr>
              <w:t>(0.00)</w:t>
            </w:r>
          </w:p>
        </w:tc>
      </w:tr>
    </w:tbl>
    <w:p w:rsidR="00982F4F" w:rsidRPr="000F1CB9" w:rsidRDefault="00982F4F" w:rsidP="00982F4F">
      <w:pPr>
        <w:rPr>
          <w:rFonts w:ascii="Arial" w:hAnsi="Arial" w:cs="Arial"/>
          <w:sz w:val="18"/>
          <w:szCs w:val="18"/>
        </w:rPr>
      </w:pPr>
      <w:r w:rsidRPr="00802453">
        <w:rPr>
          <w:rFonts w:ascii="Arial" w:hAnsi="Arial" w:cs="Arial"/>
          <w:i/>
          <w:iCs/>
          <w:color w:val="000000"/>
          <w:sz w:val="18"/>
          <w:szCs w:val="18"/>
        </w:rPr>
        <w:t xml:space="preserve">Notes: [MODEL INFORMATION]. N = # clients in rectangular analysis sample. P-values are given in parentheses below coefficient estimates. Reference category for dependent variable is “No Housing”.  Male and White are reference categories for gender and race indicators.  Random effects for clients nested within grantee random effects are used if a </w:t>
      </w:r>
      <w:proofErr w:type="spellStart"/>
      <w:r w:rsidRPr="00802453">
        <w:rPr>
          <w:rFonts w:ascii="Arial" w:hAnsi="Arial" w:cs="Arial"/>
          <w:i/>
          <w:iCs/>
          <w:color w:val="000000"/>
          <w:sz w:val="18"/>
          <w:szCs w:val="18"/>
        </w:rPr>
        <w:t>Hausman</w:t>
      </w:r>
      <w:proofErr w:type="spellEnd"/>
      <w:r w:rsidRPr="00802453">
        <w:rPr>
          <w:rFonts w:ascii="Arial" w:hAnsi="Arial" w:cs="Arial"/>
          <w:i/>
          <w:iCs/>
          <w:color w:val="000000"/>
          <w:sz w:val="18"/>
          <w:szCs w:val="18"/>
        </w:rPr>
        <w:t xml:space="preserve"> Specification Test does not preclude a random effects specification.  Transportation Efficacy is a continuous scale derived from qualitative data analyses.  The interaction term in the first row represents the moderating influence of a program’s transportation characteristics on its ability to link clients to housing.  </w:t>
      </w:r>
    </w:p>
    <w:p w:rsidR="00802453" w:rsidRPr="00802453" w:rsidRDefault="00802453" w:rsidP="00802453">
      <w:pPr>
        <w:pStyle w:val="SBIRTTables"/>
        <w:keepNext/>
        <w:jc w:val="left"/>
        <w:rPr>
          <w:rFonts w:cs="Arial"/>
          <w:b w:val="0"/>
          <w:bCs/>
          <w:color w:val="000000"/>
          <w:sz w:val="18"/>
          <w:szCs w:val="18"/>
        </w:rPr>
      </w:pPr>
      <w:r w:rsidRPr="00802453">
        <w:rPr>
          <w:rFonts w:ascii="Calibri" w:hAnsi="Calibri"/>
          <w:b w:val="0"/>
          <w:bCs/>
          <w:szCs w:val="22"/>
        </w:rPr>
        <w:lastRenderedPageBreak/>
        <w:t>The findings will be used by the GBHI program to refine the program parameters for funding opportunities (e.g., by providing additional details on the types of services appear to improve outcomes for specific types of populations).  The findings will be used by SAMHSA to inform the Homeless portfolios in CSAT and CMHS, to assure that the best evidence is incorporated into the funding decisions. The results will be of importance to the GBHI Grantees and other providers of services for homeless individuals with substance use or mental disorders in terms of providing guidance for future directions. The results may also be of importance to consumer and consumer advocacy programs in providing information about these types of programs, areas of improvement and by the types of clients served.</w:t>
      </w:r>
    </w:p>
    <w:p w:rsidR="00982F4F" w:rsidRDefault="00982F4F" w:rsidP="00A203F1">
      <w:pPr>
        <w:pStyle w:val="NoSpacing"/>
        <w:jc w:val="both"/>
        <w:rPr>
          <w:bCs/>
          <w:u w:val="single"/>
        </w:rPr>
      </w:pPr>
    </w:p>
    <w:p w:rsidR="00802453" w:rsidRDefault="00802453" w:rsidP="00A203F1">
      <w:pPr>
        <w:pStyle w:val="NoSpacing"/>
        <w:jc w:val="both"/>
        <w:rPr>
          <w:bCs/>
          <w:u w:val="single"/>
        </w:rPr>
      </w:pPr>
    </w:p>
    <w:p w:rsidR="00A203F1" w:rsidRPr="00A203F1" w:rsidRDefault="00A203F1" w:rsidP="00A203F1">
      <w:pPr>
        <w:pStyle w:val="NoSpacing"/>
        <w:jc w:val="both"/>
      </w:pPr>
      <w:proofErr w:type="gramStart"/>
      <w:r w:rsidRPr="00EA332E">
        <w:rPr>
          <w:bCs/>
        </w:rPr>
        <w:t>Question 2</w:t>
      </w:r>
      <w:r w:rsidRPr="00A203F1">
        <w:rPr>
          <w:bCs/>
        </w:rPr>
        <w:t>.</w:t>
      </w:r>
      <w:proofErr w:type="gramEnd"/>
      <w:r w:rsidRPr="00A203F1">
        <w:rPr>
          <w:bCs/>
        </w:rPr>
        <w:t xml:space="preserve"> This information would not be collected if SAMHSA were not conducting this evaluation. As noted above, the findings have the potential to inform program development for all programs providing services to </w:t>
      </w:r>
      <w:r w:rsidRPr="00A203F1">
        <w:t>homeless individuals with substance use or mental disorders and not simply programs supported with SAMHSA funds.</w:t>
      </w:r>
    </w:p>
    <w:p w:rsidR="00A203F1" w:rsidRPr="00F25254" w:rsidRDefault="00A203F1" w:rsidP="00A203F1">
      <w:pPr>
        <w:pStyle w:val="NoSpacing"/>
        <w:jc w:val="both"/>
      </w:pPr>
    </w:p>
    <w:p w:rsidR="004A0424" w:rsidRPr="00F25254" w:rsidRDefault="00A203F1" w:rsidP="001B0C2B">
      <w:pPr>
        <w:pStyle w:val="NoSpacing"/>
        <w:jc w:val="both"/>
        <w:rPr>
          <w:bCs/>
          <w:u w:val="single"/>
        </w:rPr>
      </w:pPr>
      <w:proofErr w:type="gramStart"/>
      <w:r w:rsidRPr="00A203F1">
        <w:rPr>
          <w:u w:val="single"/>
        </w:rPr>
        <w:t>Question 3</w:t>
      </w:r>
      <w:r w:rsidRPr="00EA332E">
        <w:t>.</w:t>
      </w:r>
      <w:proofErr w:type="gramEnd"/>
      <w:r w:rsidRPr="00EA332E">
        <w:t xml:space="preserve"> </w:t>
      </w:r>
      <w:r w:rsidRPr="00A203F1">
        <w:rPr>
          <w:bCs/>
        </w:rPr>
        <w:t>Yes.  Specifically, administration of baseline surveys will be continual as new clients enroll in the program each month.  Therefore, 6-month follow-up interviews will always follow the baseline date b</w:t>
      </w:r>
      <w:r w:rsidR="00C34C06">
        <w:rPr>
          <w:bCs/>
        </w:rPr>
        <w:t>ut</w:t>
      </w:r>
      <w:r w:rsidRPr="00A203F1">
        <w:rPr>
          <w:bCs/>
        </w:rPr>
        <w:t xml:space="preserve"> no sooner than 180 days and no later than 210 days for an individual client (as is the OMB-approved </w:t>
      </w:r>
      <w:r w:rsidR="001B0C2B">
        <w:rPr>
          <w:bCs/>
        </w:rPr>
        <w:t xml:space="preserve">CSAT </w:t>
      </w:r>
      <w:r w:rsidRPr="00A203F1">
        <w:rPr>
          <w:bCs/>
        </w:rPr>
        <w:t>GPRA protocol with which we are coordinating</w:t>
      </w:r>
      <w:r w:rsidR="001B0C2B">
        <w:rPr>
          <w:bCs/>
        </w:rPr>
        <w:t>,</w:t>
      </w:r>
      <w:r w:rsidR="001B0C2B" w:rsidRPr="001B0C2B">
        <w:t xml:space="preserve"> </w:t>
      </w:r>
      <w:r w:rsidR="001B0C2B" w:rsidRPr="00F25254">
        <w:t>OMB control number</w:t>
      </w:r>
      <w:r w:rsidR="001B0C2B">
        <w:t xml:space="preserve"> 0930-0208</w:t>
      </w:r>
      <w:r w:rsidRPr="00A203F1">
        <w:rPr>
          <w:bCs/>
        </w:rPr>
        <w:t xml:space="preserve">). No interviews will be attempted outside of these windows and those clients who do not complete an interview will be considered ‘non-respondent’. Since baseline interviews will cease in </w:t>
      </w:r>
      <w:proofErr w:type="gramStart"/>
      <w:r w:rsidRPr="00A203F1">
        <w:rPr>
          <w:bCs/>
        </w:rPr>
        <w:t>Spring</w:t>
      </w:r>
      <w:proofErr w:type="gramEnd"/>
      <w:r w:rsidRPr="00A203F1">
        <w:rPr>
          <w:bCs/>
        </w:rPr>
        <w:t xml:space="preserve"> of 2014, no follow-up interviews will be conducted after Fall 2014.</w:t>
      </w:r>
    </w:p>
    <w:p w:rsidR="004A0424" w:rsidRPr="00F25254" w:rsidRDefault="004A0424" w:rsidP="00FA363A">
      <w:pPr>
        <w:pStyle w:val="NoSpacing"/>
        <w:jc w:val="both"/>
        <w:rPr>
          <w:bCs/>
          <w:u w:val="single"/>
        </w:rPr>
      </w:pPr>
    </w:p>
    <w:p w:rsidR="002E6447" w:rsidRPr="00F25254" w:rsidRDefault="002E6447" w:rsidP="00107600">
      <w:pPr>
        <w:pStyle w:val="NoSpacing"/>
        <w:jc w:val="both"/>
        <w:rPr>
          <w:b/>
        </w:rPr>
      </w:pPr>
      <w:r w:rsidRPr="00F25254">
        <w:rPr>
          <w:b/>
        </w:rPr>
        <w:t>Part B</w:t>
      </w:r>
    </w:p>
    <w:p w:rsidR="00962F62" w:rsidRPr="00F25254" w:rsidRDefault="002E6447" w:rsidP="00962F62">
      <w:pPr>
        <w:pStyle w:val="NoSpacing"/>
        <w:jc w:val="both"/>
        <w:rPr>
          <w:b/>
        </w:rPr>
      </w:pPr>
      <w:r w:rsidRPr="00F25254">
        <w:rPr>
          <w:b/>
        </w:rPr>
        <w:t>Section 1:</w:t>
      </w:r>
    </w:p>
    <w:p w:rsidR="001A37B9" w:rsidRPr="00F25254" w:rsidRDefault="001A37B9" w:rsidP="00414B82">
      <w:pPr>
        <w:pStyle w:val="NoSpacing"/>
        <w:jc w:val="both"/>
        <w:rPr>
          <w:b/>
        </w:rPr>
      </w:pPr>
      <w:r w:rsidRPr="00F25254">
        <w:rPr>
          <w:b/>
        </w:rPr>
        <w:t xml:space="preserve">Survey frame and sampling procedures: </w:t>
      </w:r>
    </w:p>
    <w:p w:rsidR="001A37B9" w:rsidRPr="00EA332E" w:rsidRDefault="001A37B9" w:rsidP="001A37B9">
      <w:pPr>
        <w:pStyle w:val="NoSpacing"/>
        <w:numPr>
          <w:ilvl w:val="0"/>
          <w:numId w:val="4"/>
        </w:numPr>
        <w:jc w:val="both"/>
        <w:rPr>
          <w:b/>
          <w:bCs/>
        </w:rPr>
      </w:pPr>
      <w:r w:rsidRPr="00EA332E">
        <w:rPr>
          <w:b/>
          <w:bCs/>
        </w:rPr>
        <w:t>H</w:t>
      </w:r>
      <w:r w:rsidR="008B27D4" w:rsidRPr="00EA332E">
        <w:rPr>
          <w:b/>
          <w:bCs/>
        </w:rPr>
        <w:t xml:space="preserve">ow </w:t>
      </w:r>
      <w:r w:rsidRPr="00EA332E">
        <w:rPr>
          <w:b/>
          <w:bCs/>
        </w:rPr>
        <w:t xml:space="preserve">are </w:t>
      </w:r>
      <w:r w:rsidR="008B27D4" w:rsidRPr="00EA332E">
        <w:rPr>
          <w:b/>
          <w:bCs/>
        </w:rPr>
        <w:t>cl</w:t>
      </w:r>
      <w:r w:rsidR="00414B82" w:rsidRPr="00EA332E">
        <w:rPr>
          <w:b/>
          <w:bCs/>
        </w:rPr>
        <w:t xml:space="preserve">ients selected to be a part of the evaluation, assuming that clients are accepted </w:t>
      </w:r>
      <w:r w:rsidR="008B27D4" w:rsidRPr="00EA332E">
        <w:rPr>
          <w:b/>
          <w:bCs/>
        </w:rPr>
        <w:t xml:space="preserve">into the program </w:t>
      </w:r>
      <w:r w:rsidR="00414B82" w:rsidRPr="00EA332E">
        <w:rPr>
          <w:b/>
          <w:bCs/>
        </w:rPr>
        <w:t>on a rolling basis</w:t>
      </w:r>
      <w:r w:rsidRPr="00EA332E">
        <w:rPr>
          <w:b/>
          <w:bCs/>
        </w:rPr>
        <w:t>?</w:t>
      </w:r>
      <w:r w:rsidR="00414B82" w:rsidRPr="00EA332E">
        <w:rPr>
          <w:b/>
          <w:bCs/>
        </w:rPr>
        <w:t xml:space="preserve"> </w:t>
      </w:r>
    </w:p>
    <w:p w:rsidR="00414B82" w:rsidRPr="00EA332E" w:rsidRDefault="001A37B9" w:rsidP="001A37B9">
      <w:pPr>
        <w:pStyle w:val="NoSpacing"/>
        <w:numPr>
          <w:ilvl w:val="0"/>
          <w:numId w:val="4"/>
        </w:numPr>
        <w:jc w:val="both"/>
        <w:rPr>
          <w:b/>
          <w:bCs/>
        </w:rPr>
      </w:pPr>
      <w:r w:rsidRPr="00EA332E">
        <w:rPr>
          <w:b/>
          <w:bCs/>
        </w:rPr>
        <w:t xml:space="preserve">Please justify statistically </w:t>
      </w:r>
      <w:r w:rsidR="008B27D4" w:rsidRPr="00EA332E">
        <w:rPr>
          <w:b/>
          <w:bCs/>
        </w:rPr>
        <w:t>why you decided</w:t>
      </w:r>
      <w:r w:rsidR="00414B82" w:rsidRPr="00EA332E">
        <w:rPr>
          <w:b/>
          <w:bCs/>
        </w:rPr>
        <w:t xml:space="preserve"> to conduct a census of all clients inst</w:t>
      </w:r>
      <w:r w:rsidR="008B27D4" w:rsidRPr="00EA332E">
        <w:rPr>
          <w:b/>
          <w:bCs/>
        </w:rPr>
        <w:t>ead of a sample. This information</w:t>
      </w:r>
      <w:r w:rsidR="00414B82" w:rsidRPr="00EA332E">
        <w:rPr>
          <w:b/>
          <w:bCs/>
        </w:rPr>
        <w:t xml:space="preserve"> should be framed within a</w:t>
      </w:r>
      <w:r w:rsidR="008B27D4" w:rsidRPr="00EA332E">
        <w:rPr>
          <w:b/>
          <w:bCs/>
        </w:rPr>
        <w:t xml:space="preserve"> discussion of the</w:t>
      </w:r>
      <w:r w:rsidR="00414B82" w:rsidRPr="00EA332E">
        <w:rPr>
          <w:b/>
          <w:bCs/>
        </w:rPr>
        <w:t xml:space="preserve"> level of precision you are hoping to achieve in your analysis</w:t>
      </w:r>
      <w:r w:rsidRPr="00EA332E">
        <w:rPr>
          <w:b/>
          <w:bCs/>
        </w:rPr>
        <w:t xml:space="preserve"> for key estimates (which you should specifically identify)</w:t>
      </w:r>
      <w:r w:rsidR="00414B82" w:rsidRPr="00EA332E">
        <w:rPr>
          <w:b/>
          <w:bCs/>
        </w:rPr>
        <w:t xml:space="preserve">. </w:t>
      </w:r>
    </w:p>
    <w:p w:rsidR="004A0424" w:rsidRDefault="004A0424" w:rsidP="004A0424">
      <w:pPr>
        <w:pStyle w:val="NoSpacing"/>
        <w:ind w:left="720"/>
        <w:jc w:val="both"/>
      </w:pPr>
    </w:p>
    <w:p w:rsidR="00B00B95" w:rsidRDefault="00B00B95" w:rsidP="004A0424">
      <w:pPr>
        <w:pStyle w:val="NoSpacing"/>
        <w:ind w:left="720"/>
        <w:jc w:val="both"/>
      </w:pPr>
    </w:p>
    <w:p w:rsidR="00B00B95" w:rsidRPr="00F25254" w:rsidRDefault="00B00B95" w:rsidP="004A0424">
      <w:pPr>
        <w:pStyle w:val="NoSpacing"/>
        <w:ind w:left="720"/>
        <w:jc w:val="both"/>
      </w:pPr>
    </w:p>
    <w:p w:rsidR="004A0424" w:rsidRPr="0024349F" w:rsidRDefault="004A0424" w:rsidP="004A0424">
      <w:pPr>
        <w:pStyle w:val="NoSpacing"/>
        <w:jc w:val="both"/>
        <w:rPr>
          <w:bCs/>
        </w:rPr>
      </w:pPr>
      <w:r w:rsidRPr="0024349F">
        <w:rPr>
          <w:bCs/>
          <w:i/>
          <w:iCs/>
          <w:u w:val="single"/>
        </w:rPr>
        <w:t>Response:</w:t>
      </w:r>
      <w:r w:rsidRPr="0024349F">
        <w:rPr>
          <w:bCs/>
        </w:rPr>
        <w:t xml:space="preserve"> </w:t>
      </w:r>
    </w:p>
    <w:p w:rsidR="00E74236" w:rsidRPr="0024349F" w:rsidRDefault="00E74236" w:rsidP="00E74236">
      <w:pPr>
        <w:pStyle w:val="NoSpacing"/>
        <w:jc w:val="both"/>
        <w:rPr>
          <w:bCs/>
        </w:rPr>
      </w:pPr>
      <w:proofErr w:type="gramStart"/>
      <w:r w:rsidRPr="0024349F">
        <w:rPr>
          <w:bCs/>
          <w:u w:val="single"/>
        </w:rPr>
        <w:t>Question 1</w:t>
      </w:r>
      <w:r w:rsidRPr="0024349F">
        <w:rPr>
          <w:bCs/>
        </w:rPr>
        <w:t>.</w:t>
      </w:r>
      <w:proofErr w:type="gramEnd"/>
      <w:r w:rsidRPr="0024349F">
        <w:rPr>
          <w:bCs/>
        </w:rPr>
        <w:t xml:space="preserve"> All clients accepted into the 25 GBHI programs during the baseline enrollment period will be included in the evaluation.  </w:t>
      </w:r>
    </w:p>
    <w:p w:rsidR="00E74236" w:rsidRPr="0024349F" w:rsidRDefault="00E74236" w:rsidP="00E74236">
      <w:pPr>
        <w:pStyle w:val="NoSpacing"/>
        <w:jc w:val="both"/>
        <w:rPr>
          <w:bCs/>
        </w:rPr>
      </w:pPr>
    </w:p>
    <w:p w:rsidR="00E74236" w:rsidRPr="0024349F" w:rsidRDefault="00E74236" w:rsidP="0024349F">
      <w:pPr>
        <w:pStyle w:val="NoSpacing"/>
        <w:jc w:val="both"/>
      </w:pPr>
      <w:proofErr w:type="gramStart"/>
      <w:r w:rsidRPr="0024349F">
        <w:rPr>
          <w:bCs/>
          <w:u w:val="single"/>
        </w:rPr>
        <w:t>Question 2</w:t>
      </w:r>
      <w:r w:rsidRPr="0024349F">
        <w:rPr>
          <w:bCs/>
        </w:rPr>
        <w:t>.</w:t>
      </w:r>
      <w:proofErr w:type="gramEnd"/>
      <w:r w:rsidR="0024349F" w:rsidRPr="0024349F">
        <w:rPr>
          <w:bCs/>
        </w:rPr>
        <w:t xml:space="preserve"> </w:t>
      </w:r>
      <w:r w:rsidRPr="0024349F">
        <w:t xml:space="preserve">We are attempting to collect data from all new enrollments in the programs, i.e., a census of the programs’ clients during the latter 3.5 years of program operations and during the period in which they have fully implemented their programs.  Because this is a formative evaluation, our focus is on analyzing these programs and better understanding their processes and degree of implementation in order to inform future SAMHSA initiatives and in order to determine the feasibility of different approaches whose effectiveness has been studied in previous literature.  Our first reason for choosing a census rather than sampling is the small number of total clients we are expecting for each of the 25 grantees (&lt;125).  Any sampling of this universe rather than a census unnecessarily creates a framework </w:t>
      </w:r>
      <w:r w:rsidRPr="0024349F">
        <w:lastRenderedPageBreak/>
        <w:t xml:space="preserve">of ‘inference’ that is arbitrary.  In other words, we are evaluating these programs per se.   Other than ‘non-response’, any statistics we calculate to describe the programs will be </w:t>
      </w:r>
      <w:r w:rsidRPr="0024349F">
        <w:rPr>
          <w:i/>
          <w:iCs/>
        </w:rPr>
        <w:t>actual</w:t>
      </w:r>
      <w:r w:rsidRPr="0024349F">
        <w:t xml:space="preserve"> population parameters describing what occurred rather than </w:t>
      </w:r>
      <w:r w:rsidRPr="0024349F">
        <w:rPr>
          <w:i/>
          <w:iCs/>
        </w:rPr>
        <w:t>sampling</w:t>
      </w:r>
      <w:r w:rsidRPr="0024349F">
        <w:t xml:space="preserve"> statistics in which we could make only inference about what actually happened.  This is a common evaluation approach and has precedent in the OMB approved patient and client surveys of SBIRT and ATR, respectively (</w:t>
      </w:r>
      <w:r w:rsidR="00802453" w:rsidRPr="0024349F">
        <w:t>Access to Recovery, OMB control number 0930-0299; Screening, Brief Intervention, Brief Treatment and Referral to Treatment Cross-site Evaluation, OMB control number 0930-0282</w:t>
      </w:r>
      <w:r w:rsidRPr="0024349F">
        <w:t xml:space="preserve">).  A second reason for the census is the consideration that each program provides many different combinations of services to clients who also vary substantially in their characteristics and needs.  We wish to obtain the most comprehensive data possible describing these program outputs.  Third, in any given month, these programs are often enrolling less than 10 new clients.  These programs are intensive in nature having a great deal of contact with clients at central program locations.  Moreover, clients are often housed in the same facilities and group counseling sessions that can include all the current clients.  In other words, clients are often very familiar with each other and share information about the programs.  Sampling out of these small, close groups leads to two risks we wish to avoid.  The risk of linking a respondent to their responses increases when everyone knows who the small number of respondents were in a given time period.  Moreover, grantees have noted that clients are very sensitive to fairness and could respond negatively to the programs or fellow clients when they are not randomly selected for the survey and the incentive.  </w:t>
      </w:r>
    </w:p>
    <w:p w:rsidR="00E74236" w:rsidRPr="0024349F" w:rsidRDefault="00E74236" w:rsidP="00E74236">
      <w:pPr>
        <w:pStyle w:val="NoSpacing"/>
        <w:jc w:val="both"/>
      </w:pPr>
    </w:p>
    <w:p w:rsidR="00E74236" w:rsidRPr="0024349F" w:rsidRDefault="00E74236" w:rsidP="00E74236">
      <w:pPr>
        <w:pStyle w:val="NoSpacing"/>
        <w:jc w:val="both"/>
      </w:pPr>
      <w:r w:rsidRPr="0024349F">
        <w:t xml:space="preserve">We do note that for a conservative expected population size (2750), we have greater than .8 power to detect differences in dichotomous variables at the .05 significance level that are 2.5 percentage points or larger.  These calculations assumed a null proportion of .50 (assuming the largest variance possible for a dichotomous variable), alternative hypotheses of &lt;.475 or &gt; .525 and </w:t>
      </w:r>
      <w:proofErr w:type="spellStart"/>
      <w:r w:rsidRPr="0024349F">
        <w:t>intracluster</w:t>
      </w:r>
      <w:proofErr w:type="spellEnd"/>
      <w:r w:rsidRPr="0024349F">
        <w:t xml:space="preserve"> correlation of .4.  </w:t>
      </w:r>
    </w:p>
    <w:p w:rsidR="00254C28" w:rsidRPr="00F25254" w:rsidRDefault="00254C28" w:rsidP="00913557">
      <w:pPr>
        <w:pStyle w:val="NoSpacing"/>
        <w:jc w:val="both"/>
      </w:pPr>
    </w:p>
    <w:p w:rsidR="00A46195" w:rsidRPr="00F25254" w:rsidRDefault="00A46195" w:rsidP="00913557">
      <w:pPr>
        <w:pStyle w:val="NoSpacing"/>
        <w:jc w:val="both"/>
        <w:rPr>
          <w:b/>
        </w:rPr>
      </w:pPr>
      <w:r w:rsidRPr="00F25254">
        <w:rPr>
          <w:b/>
        </w:rPr>
        <w:t>Section 2:</w:t>
      </w:r>
    </w:p>
    <w:p w:rsidR="00FF1196" w:rsidRPr="00EA332E" w:rsidRDefault="00A46195" w:rsidP="00A46195">
      <w:pPr>
        <w:pStyle w:val="NoSpacing"/>
        <w:numPr>
          <w:ilvl w:val="0"/>
          <w:numId w:val="14"/>
        </w:numPr>
        <w:jc w:val="both"/>
        <w:rPr>
          <w:b/>
          <w:bCs/>
        </w:rPr>
      </w:pPr>
      <w:r w:rsidRPr="00EA332E">
        <w:rPr>
          <w:b/>
          <w:bCs/>
        </w:rPr>
        <w:t>Overall, we are concerned with the complexity of the client survey</w:t>
      </w:r>
      <w:r w:rsidR="00FF1196" w:rsidRPr="00EA332E">
        <w:rPr>
          <w:b/>
          <w:bCs/>
        </w:rPr>
        <w:t xml:space="preserve">, especially considering the varying cognitive ability and literacy level of the clients. </w:t>
      </w:r>
      <w:r w:rsidRPr="00EA332E">
        <w:rPr>
          <w:b/>
          <w:bCs/>
        </w:rPr>
        <w:t xml:space="preserve">While </w:t>
      </w:r>
      <w:r w:rsidR="00FF1196" w:rsidRPr="00EA332E">
        <w:rPr>
          <w:b/>
          <w:bCs/>
        </w:rPr>
        <w:t xml:space="preserve">using matrix question with </w:t>
      </w:r>
      <w:proofErr w:type="spellStart"/>
      <w:r w:rsidR="00FF1196" w:rsidRPr="00EA332E">
        <w:rPr>
          <w:b/>
          <w:bCs/>
        </w:rPr>
        <w:t>Likert</w:t>
      </w:r>
      <w:proofErr w:type="spellEnd"/>
      <w:r w:rsidR="00FF1196" w:rsidRPr="00EA332E">
        <w:rPr>
          <w:b/>
          <w:bCs/>
        </w:rPr>
        <w:t xml:space="preserve"> scales </w:t>
      </w:r>
      <w:r w:rsidRPr="00EA332E">
        <w:rPr>
          <w:b/>
          <w:bCs/>
        </w:rPr>
        <w:t xml:space="preserve">saves space on the form itself, the use of matrix formatting and </w:t>
      </w:r>
      <w:proofErr w:type="spellStart"/>
      <w:r w:rsidRPr="00EA332E">
        <w:rPr>
          <w:b/>
          <w:bCs/>
        </w:rPr>
        <w:t>Likert</w:t>
      </w:r>
      <w:proofErr w:type="spellEnd"/>
      <w:r w:rsidRPr="00EA332E">
        <w:rPr>
          <w:b/>
          <w:bCs/>
        </w:rPr>
        <w:t xml:space="preserve"> scale are cognitively difficult for short term memory processing and require a significant amount of learning and experience before they can be understood, processed, and answered correctly. This concern is especially high with the self administered form where the grantee is only able to minimally help a client that is experiencing difficulty</w:t>
      </w:r>
    </w:p>
    <w:p w:rsidR="00FF1196" w:rsidRPr="00EA332E" w:rsidRDefault="00FF1196" w:rsidP="00A46195">
      <w:pPr>
        <w:pStyle w:val="NoSpacing"/>
        <w:numPr>
          <w:ilvl w:val="0"/>
          <w:numId w:val="14"/>
        </w:numPr>
        <w:jc w:val="both"/>
        <w:rPr>
          <w:b/>
          <w:bCs/>
        </w:rPr>
      </w:pPr>
      <w:r w:rsidRPr="00EA332E">
        <w:rPr>
          <w:b/>
          <w:bCs/>
        </w:rPr>
        <w:t xml:space="preserve">We are also concerned about your use of </w:t>
      </w:r>
      <w:proofErr w:type="spellStart"/>
      <w:r w:rsidRPr="00EA332E">
        <w:rPr>
          <w:b/>
          <w:bCs/>
        </w:rPr>
        <w:t>Scantron</w:t>
      </w:r>
      <w:proofErr w:type="spellEnd"/>
      <w:r w:rsidRPr="00EA332E">
        <w:rPr>
          <w:b/>
          <w:bCs/>
        </w:rPr>
        <w:t xml:space="preserve"> forms. </w:t>
      </w:r>
      <w:proofErr w:type="spellStart"/>
      <w:r w:rsidRPr="00EA332E">
        <w:rPr>
          <w:b/>
          <w:bCs/>
        </w:rPr>
        <w:t>S</w:t>
      </w:r>
      <w:r w:rsidR="00A46195" w:rsidRPr="00EA332E">
        <w:rPr>
          <w:b/>
          <w:bCs/>
        </w:rPr>
        <w:t>cantron</w:t>
      </w:r>
      <w:proofErr w:type="spellEnd"/>
      <w:r w:rsidR="00A46195" w:rsidRPr="00EA332E">
        <w:rPr>
          <w:b/>
          <w:bCs/>
        </w:rPr>
        <w:t xml:space="preserve"> </w:t>
      </w:r>
      <w:r w:rsidRPr="00EA332E">
        <w:rPr>
          <w:b/>
          <w:bCs/>
        </w:rPr>
        <w:t>f</w:t>
      </w:r>
      <w:r w:rsidR="00A46195" w:rsidRPr="00EA332E">
        <w:rPr>
          <w:b/>
          <w:bCs/>
        </w:rPr>
        <w:t xml:space="preserve">orm is a format that a typical respondent maybe able to use with little instruction or learning, however it may confuse or frustrate the respondents in this evaluation and may not yield the desired result. While using a </w:t>
      </w:r>
      <w:proofErr w:type="spellStart"/>
      <w:r w:rsidR="00A46195" w:rsidRPr="00EA332E">
        <w:rPr>
          <w:b/>
          <w:bCs/>
        </w:rPr>
        <w:t>scantron</w:t>
      </w:r>
      <w:proofErr w:type="spellEnd"/>
      <w:r w:rsidR="00A46195" w:rsidRPr="00EA332E">
        <w:rPr>
          <w:b/>
          <w:bCs/>
        </w:rPr>
        <w:t xml:space="preserve"> form will expedite the processing time for the evaluation, it will most likely increase the burden of form administration which will compromise the collected data. </w:t>
      </w:r>
    </w:p>
    <w:p w:rsidR="00FF1196" w:rsidRPr="00F25254" w:rsidRDefault="00FF1196" w:rsidP="00FF1196">
      <w:pPr>
        <w:pStyle w:val="NoSpacing"/>
        <w:jc w:val="both"/>
      </w:pPr>
    </w:p>
    <w:p w:rsidR="00FF1196" w:rsidRPr="00F25254" w:rsidRDefault="00FF1196" w:rsidP="00913557">
      <w:pPr>
        <w:pStyle w:val="NoSpacing"/>
        <w:jc w:val="both"/>
      </w:pPr>
      <w:r w:rsidRPr="00F25254">
        <w:t>W</w:t>
      </w:r>
      <w:r w:rsidR="00A46195" w:rsidRPr="00F25254">
        <w:t xml:space="preserve">e recommend simplifying the survey, eliminating complex matrix and </w:t>
      </w:r>
      <w:proofErr w:type="spellStart"/>
      <w:r w:rsidR="00A46195" w:rsidRPr="00F25254">
        <w:t>Likert</w:t>
      </w:r>
      <w:proofErr w:type="spellEnd"/>
      <w:r w:rsidR="00A46195" w:rsidRPr="00F25254">
        <w:t xml:space="preserve"> scales, and placing answers on the form itself and then transferring this information onto the </w:t>
      </w:r>
      <w:proofErr w:type="spellStart"/>
      <w:r w:rsidR="00A46195" w:rsidRPr="00F25254">
        <w:t>scantron</w:t>
      </w:r>
      <w:proofErr w:type="spellEnd"/>
      <w:r w:rsidR="00A46195" w:rsidRPr="00F25254">
        <w:t xml:space="preserve"> for processing. This removes the burden off the clients and the </w:t>
      </w:r>
      <w:r w:rsidR="00681837">
        <w:t>Grantees</w:t>
      </w:r>
      <w:r w:rsidR="00A46195" w:rsidRPr="00F25254">
        <w:t xml:space="preserve"> during the evaluation administration and onto the survey team during processing. A cognitive test of the evaluation with actual clients will help identify some areas for change and adjustment.</w:t>
      </w:r>
    </w:p>
    <w:p w:rsidR="00627085" w:rsidRPr="00F25254" w:rsidRDefault="00627085" w:rsidP="00913557">
      <w:pPr>
        <w:pStyle w:val="NoSpacing"/>
        <w:jc w:val="both"/>
      </w:pPr>
    </w:p>
    <w:p w:rsidR="00565501" w:rsidRPr="00F25254" w:rsidRDefault="003C0205" w:rsidP="008B79E6">
      <w:pPr>
        <w:spacing w:after="0"/>
      </w:pPr>
      <w:r w:rsidRPr="00C94236">
        <w:rPr>
          <w:i/>
          <w:iCs/>
          <w:u w:val="single"/>
        </w:rPr>
        <w:t>Response</w:t>
      </w:r>
      <w:r w:rsidRPr="00F25254">
        <w:rPr>
          <w:i/>
          <w:iCs/>
        </w:rPr>
        <w:t>:</w:t>
      </w:r>
      <w:r w:rsidRPr="00F25254">
        <w:t xml:space="preserve"> </w:t>
      </w:r>
    </w:p>
    <w:p w:rsidR="0074023E" w:rsidRPr="00F25254" w:rsidRDefault="00565501" w:rsidP="00E53A5C">
      <w:pPr>
        <w:pStyle w:val="NoSpacing"/>
        <w:jc w:val="both"/>
      </w:pPr>
      <w:proofErr w:type="gramStart"/>
      <w:r w:rsidRPr="000925C5">
        <w:rPr>
          <w:u w:val="single"/>
        </w:rPr>
        <w:lastRenderedPageBreak/>
        <w:t>Question 1</w:t>
      </w:r>
      <w:r w:rsidRPr="00F25254">
        <w:t>.</w:t>
      </w:r>
      <w:proofErr w:type="gramEnd"/>
      <w:r w:rsidRPr="00F25254">
        <w:t xml:space="preserve"> </w:t>
      </w:r>
      <w:r w:rsidR="003C0205" w:rsidRPr="00F25254">
        <w:t xml:space="preserve">The choice of </w:t>
      </w:r>
      <w:proofErr w:type="spellStart"/>
      <w:r w:rsidR="003C0205" w:rsidRPr="00F25254">
        <w:t>Likert</w:t>
      </w:r>
      <w:proofErr w:type="spellEnd"/>
      <w:r w:rsidR="003C0205" w:rsidRPr="00F25254">
        <w:t xml:space="preserve"> scales, time</w:t>
      </w:r>
      <w:r w:rsidRPr="00F25254">
        <w:t>-</w:t>
      </w:r>
      <w:r w:rsidR="003C0205" w:rsidRPr="00F25254">
        <w:t xml:space="preserve">based questions and areas of focus </w:t>
      </w:r>
      <w:r w:rsidRPr="00F25254">
        <w:t xml:space="preserve">were </w:t>
      </w:r>
      <w:r w:rsidR="003C0205" w:rsidRPr="00F25254">
        <w:t xml:space="preserve">based on 1) an extensive literature review </w:t>
      </w:r>
      <w:r w:rsidR="003C0205" w:rsidRPr="002E049C">
        <w:t>(Broner et al., 2010)</w:t>
      </w:r>
      <w:r w:rsidR="003C0205" w:rsidRPr="00F25254">
        <w:t xml:space="preserve"> that indicated </w:t>
      </w:r>
      <w:r w:rsidRPr="00F25254">
        <w:t xml:space="preserve">that </w:t>
      </w:r>
      <w:r w:rsidR="003C0205" w:rsidRPr="00F25254">
        <w:t xml:space="preserve">these scales </w:t>
      </w:r>
      <w:r w:rsidRPr="00F25254">
        <w:t>have been determined to be</w:t>
      </w:r>
      <w:r w:rsidR="003C0205" w:rsidRPr="00F25254">
        <w:t xml:space="preserve"> useful, sensitive, </w:t>
      </w:r>
      <w:r w:rsidRPr="00F25254">
        <w:t xml:space="preserve">and </w:t>
      </w:r>
      <w:r w:rsidR="003C0205" w:rsidRPr="00F25254">
        <w:t>appropriate for the population</w:t>
      </w:r>
      <w:r w:rsidRPr="00F25254">
        <w:t xml:space="preserve"> of interest here;</w:t>
      </w:r>
      <w:r w:rsidR="003C0205" w:rsidRPr="00F25254">
        <w:t xml:space="preserve"> </w:t>
      </w:r>
      <w:r w:rsidRPr="00F25254">
        <w:t xml:space="preserve"> and to </w:t>
      </w:r>
      <w:r w:rsidR="003C0205" w:rsidRPr="00F25254">
        <w:t xml:space="preserve">yield accurate data in comparison with collateral information; 2) </w:t>
      </w:r>
      <w:r w:rsidRPr="00F25254">
        <w:t xml:space="preserve">consultation with </w:t>
      </w:r>
      <w:r w:rsidR="003C0205" w:rsidRPr="00F25254">
        <w:t xml:space="preserve">a panel of national experts that </w:t>
      </w:r>
      <w:r w:rsidRPr="00F25254">
        <w:t xml:space="preserve">included </w:t>
      </w:r>
      <w:r w:rsidR="003C0205" w:rsidRPr="00F25254">
        <w:t xml:space="preserve">leading homeless researchers, consumers, advocates, policy makers, Grantees, </w:t>
      </w:r>
      <w:r w:rsidRPr="00F25254">
        <w:t xml:space="preserve">and </w:t>
      </w:r>
      <w:r w:rsidR="003C0205" w:rsidRPr="00F25254">
        <w:t>government (e.g., VA, HUD, SAMHSA)</w:t>
      </w:r>
      <w:r w:rsidRPr="00F25254">
        <w:t xml:space="preserve"> representatives;</w:t>
      </w:r>
      <w:r w:rsidR="003C0205" w:rsidRPr="00F25254">
        <w:t xml:space="preserve"> 3) a review of the surveys with Grantees and GPRA interviewers</w:t>
      </w:r>
      <w:r w:rsidRPr="00F25254">
        <w:t xml:space="preserve">; </w:t>
      </w:r>
      <w:r w:rsidR="003C0205" w:rsidRPr="00F25254">
        <w:t xml:space="preserve">4) a </w:t>
      </w:r>
      <w:r w:rsidRPr="00F25254">
        <w:t xml:space="preserve">successful </w:t>
      </w:r>
      <w:r w:rsidR="003C0205" w:rsidRPr="00F25254">
        <w:t>pilot by a “neutral interview</w:t>
      </w:r>
      <w:r w:rsidR="0074023E" w:rsidRPr="00F25254">
        <w:t>er</w:t>
      </w:r>
      <w:r w:rsidR="003C0205" w:rsidRPr="00F25254">
        <w:t>” in two sites of the baseline and 6-month interviews with active clients</w:t>
      </w:r>
      <w:r w:rsidRPr="00F25254">
        <w:t xml:space="preserve">; </w:t>
      </w:r>
      <w:r w:rsidR="003C0205" w:rsidRPr="00F25254">
        <w:t xml:space="preserve">5) </w:t>
      </w:r>
      <w:r w:rsidR="00CD0E6B" w:rsidRPr="00F25254">
        <w:t xml:space="preserve">review by two Grantees </w:t>
      </w:r>
      <w:r w:rsidR="0074023E" w:rsidRPr="00F25254">
        <w:t xml:space="preserve">who collected information from </w:t>
      </w:r>
      <w:r w:rsidR="00C94236">
        <w:t xml:space="preserve">an additional four </w:t>
      </w:r>
      <w:r w:rsidR="0074023E" w:rsidRPr="00F25254">
        <w:t xml:space="preserve">GBHI </w:t>
      </w:r>
      <w:r w:rsidR="00CD0E6B" w:rsidRPr="00F25254">
        <w:t>clients</w:t>
      </w:r>
      <w:r w:rsidR="00C94236">
        <w:t xml:space="preserve"> </w:t>
      </w:r>
      <w:r w:rsidR="00CD0E6B" w:rsidRPr="00F25254">
        <w:t>on the base</w:t>
      </w:r>
      <w:r w:rsidR="0074023E" w:rsidRPr="00F25254">
        <w:t>line</w:t>
      </w:r>
      <w:r w:rsidR="00CD0E6B" w:rsidRPr="00F25254">
        <w:t xml:space="preserve"> and 6-month interviews</w:t>
      </w:r>
      <w:r w:rsidR="00C94236">
        <w:t xml:space="preserve"> </w:t>
      </w:r>
      <w:r w:rsidR="00E53A5C">
        <w:t>during the feedback/comment response period</w:t>
      </w:r>
      <w:r w:rsidRPr="00F25254">
        <w:t xml:space="preserve">; </w:t>
      </w:r>
      <w:r w:rsidR="0074023E" w:rsidRPr="00F25254">
        <w:t xml:space="preserve">and </w:t>
      </w:r>
      <w:r w:rsidR="00CD0E6B" w:rsidRPr="00F25254">
        <w:t>6</w:t>
      </w:r>
      <w:r w:rsidR="003C0205" w:rsidRPr="00F25254">
        <w:t xml:space="preserve">) A cognitive test of the evaluation with actual clients </w:t>
      </w:r>
      <w:r w:rsidR="0074023E" w:rsidRPr="00F25254">
        <w:t xml:space="preserve">that </w:t>
      </w:r>
      <w:r w:rsidR="003C0205" w:rsidRPr="00F25254">
        <w:t xml:space="preserve">indicated that these measures were </w:t>
      </w:r>
      <w:r w:rsidR="00E53A5C">
        <w:t xml:space="preserve">acceptable, easily responded to with an interviewer and self-administered without more than hearing or reading the directions and that the questions were viewed as helpful. </w:t>
      </w:r>
      <w:r w:rsidR="003C0205" w:rsidRPr="00F25254">
        <w:t>“Th</w:t>
      </w:r>
      <w:r w:rsidR="0074023E" w:rsidRPr="00F25254">
        <w:t xml:space="preserve">e responses were equally positive for </w:t>
      </w:r>
      <w:proofErr w:type="spellStart"/>
      <w:r w:rsidR="003C0205" w:rsidRPr="00F25254">
        <w:t>Likert</w:t>
      </w:r>
      <w:proofErr w:type="spellEnd"/>
      <w:r w:rsidR="003C0205" w:rsidRPr="00F25254">
        <w:t xml:space="preserve"> questions</w:t>
      </w:r>
      <w:r w:rsidR="00CD0E6B" w:rsidRPr="00F25254">
        <w:t xml:space="preserve"> and</w:t>
      </w:r>
      <w:r w:rsidR="003C0205" w:rsidRPr="00F25254">
        <w:t xml:space="preserve"> </w:t>
      </w:r>
      <w:r w:rsidR="00CD0E6B" w:rsidRPr="00F25254">
        <w:t>time-based questions</w:t>
      </w:r>
      <w:r w:rsidR="0074023E" w:rsidRPr="00F25254">
        <w:t xml:space="preserve"> as </w:t>
      </w:r>
      <w:r w:rsidRPr="00F25254">
        <w:t xml:space="preserve">they were </w:t>
      </w:r>
      <w:r w:rsidR="0074023E" w:rsidRPr="00F25254">
        <w:t>for</w:t>
      </w:r>
      <w:r w:rsidRPr="00F25254">
        <w:t xml:space="preserve"> simpler</w:t>
      </w:r>
      <w:r w:rsidR="0074023E" w:rsidRPr="00F25254">
        <w:t xml:space="preserve"> yes/no categorical questions</w:t>
      </w:r>
      <w:r w:rsidR="00CD0E6B" w:rsidRPr="00F25254">
        <w:t xml:space="preserve">. </w:t>
      </w:r>
    </w:p>
    <w:p w:rsidR="00F52AAB" w:rsidRPr="00F25254" w:rsidRDefault="00F52AAB" w:rsidP="00C94236">
      <w:pPr>
        <w:pStyle w:val="NoSpacing"/>
        <w:ind w:firstLine="720"/>
        <w:jc w:val="both"/>
      </w:pPr>
      <w:r w:rsidRPr="00F25254">
        <w:t>There is an extensive literature on the ability of mentally ill and substance abusing populations—including criminal justice, veterans, family, and youth subpopulations--to accurately respond to time-based questions without the recall bias assumed for this population (</w:t>
      </w:r>
      <w:r w:rsidR="00C94236">
        <w:t xml:space="preserve">for example, </w:t>
      </w:r>
      <w:r w:rsidRPr="00F25254">
        <w:t>,</w:t>
      </w:r>
      <w:r w:rsidRPr="00F25254">
        <w:rPr>
          <w:iCs/>
        </w:rPr>
        <w:t xml:space="preserve"> Banks, </w:t>
      </w:r>
      <w:proofErr w:type="spellStart"/>
      <w:r w:rsidRPr="00F25254">
        <w:rPr>
          <w:iCs/>
        </w:rPr>
        <w:t>McHugo</w:t>
      </w:r>
      <w:proofErr w:type="spellEnd"/>
      <w:r w:rsidRPr="00F25254">
        <w:rPr>
          <w:iCs/>
        </w:rPr>
        <w:t>, Williams, Drake, &amp; Shinn, 2002;</w:t>
      </w:r>
      <w:r w:rsidRPr="00F25254">
        <w:rPr>
          <w:sz w:val="24"/>
          <w:szCs w:val="24"/>
        </w:rPr>
        <w:t xml:space="preserve"> </w:t>
      </w:r>
      <w:r w:rsidRPr="00F25254">
        <w:t>Broner et al., 2004;</w:t>
      </w:r>
      <w:r w:rsidRPr="00F25254">
        <w:rPr>
          <w:rFonts w:cs="AdvPTimes"/>
        </w:rPr>
        <w:t xml:space="preserve"> Brown et al.</w:t>
      </w:r>
      <w:r w:rsidR="00FD697E">
        <w:rPr>
          <w:rFonts w:cs="AdvPTimes"/>
        </w:rPr>
        <w:t>,</w:t>
      </w:r>
      <w:r w:rsidRPr="00F25254">
        <w:rPr>
          <w:rFonts w:cs="AdvPTimes"/>
        </w:rPr>
        <w:t xml:space="preserve"> </w:t>
      </w:r>
      <w:r w:rsidR="00FD697E" w:rsidRPr="00F25254">
        <w:rPr>
          <w:rFonts w:cs="AdvPTimes"/>
        </w:rPr>
        <w:t>199</w:t>
      </w:r>
      <w:r w:rsidR="00FD697E">
        <w:rPr>
          <w:rFonts w:cs="AdvPTimes"/>
        </w:rPr>
        <w:t>3</w:t>
      </w:r>
      <w:r w:rsidRPr="00F25254">
        <w:rPr>
          <w:rFonts w:cs="AdvPTimes"/>
        </w:rPr>
        <w:t xml:space="preserve">; Burt, 2009; </w:t>
      </w:r>
      <w:r w:rsidRPr="00F25254">
        <w:t>Carey</w:t>
      </w:r>
      <w:r w:rsidR="00FD697E">
        <w:t>,</w:t>
      </w:r>
      <w:r w:rsidRPr="00F25254">
        <w:t xml:space="preserve"> 1997;</w:t>
      </w:r>
      <w:r w:rsidRPr="00F25254">
        <w:rPr>
          <w:rFonts w:cs="AdvP4493B6"/>
        </w:rPr>
        <w:t xml:space="preserve"> Clark &amp; Rich, 2003; Dartmouth Psychiatric Research Center, 1997</w:t>
      </w:r>
      <w:r w:rsidRPr="00F25254">
        <w:t>;</w:t>
      </w:r>
      <w:r w:rsidRPr="00F25254">
        <w:rPr>
          <w:rFonts w:cs="AdvPTimes"/>
        </w:rPr>
        <w:t xml:space="preserve"> </w:t>
      </w:r>
      <w:proofErr w:type="spellStart"/>
      <w:r w:rsidRPr="00F25254">
        <w:rPr>
          <w:rFonts w:cs="AdvPTimes"/>
        </w:rPr>
        <w:t>Ehrman</w:t>
      </w:r>
      <w:proofErr w:type="spellEnd"/>
      <w:r w:rsidRPr="00F25254">
        <w:rPr>
          <w:rFonts w:cs="AdvPTimes"/>
        </w:rPr>
        <w:t xml:space="preserve"> &amp; Robbins</w:t>
      </w:r>
      <w:r w:rsidR="00FD697E">
        <w:rPr>
          <w:rFonts w:cs="AdvPTimes"/>
        </w:rPr>
        <w:t>,</w:t>
      </w:r>
      <w:r w:rsidRPr="00F25254">
        <w:rPr>
          <w:rFonts w:cs="AdvPTimes"/>
        </w:rPr>
        <w:t xml:space="preserve"> 1994;</w:t>
      </w:r>
      <w:r w:rsidRPr="00F25254">
        <w:t xml:space="preserve"> Fischer, Shinn, </w:t>
      </w:r>
      <w:proofErr w:type="spellStart"/>
      <w:r w:rsidRPr="00F25254">
        <w:t>Shrout</w:t>
      </w:r>
      <w:proofErr w:type="spellEnd"/>
      <w:r w:rsidRPr="00F25254">
        <w:t xml:space="preserve"> &amp; Tsemberis, 2008; Peters &amp; Wexler, 2005; Peters et al., 2008; </w:t>
      </w:r>
      <w:proofErr w:type="spellStart"/>
      <w:r w:rsidRPr="00F25254">
        <w:rPr>
          <w:iCs/>
        </w:rPr>
        <w:t>Milby</w:t>
      </w:r>
      <w:proofErr w:type="spellEnd"/>
      <w:r w:rsidRPr="00F25254">
        <w:rPr>
          <w:iCs/>
        </w:rPr>
        <w:t xml:space="preserve">, Wallace, Ward, Schumacher, &amp; Michael, 2005; North, </w:t>
      </w:r>
      <w:proofErr w:type="spellStart"/>
      <w:r w:rsidRPr="00F25254">
        <w:rPr>
          <w:iCs/>
        </w:rPr>
        <w:t>Eyrich</w:t>
      </w:r>
      <w:proofErr w:type="spellEnd"/>
      <w:r w:rsidRPr="00F25254">
        <w:rPr>
          <w:iCs/>
        </w:rPr>
        <w:t xml:space="preserve">, </w:t>
      </w:r>
      <w:proofErr w:type="spellStart"/>
      <w:r w:rsidRPr="00F25254">
        <w:rPr>
          <w:iCs/>
        </w:rPr>
        <w:t>Pollio</w:t>
      </w:r>
      <w:proofErr w:type="spellEnd"/>
      <w:r w:rsidRPr="00F25254">
        <w:rPr>
          <w:iCs/>
        </w:rPr>
        <w:t xml:space="preserve">, &amp; </w:t>
      </w:r>
      <w:proofErr w:type="spellStart"/>
      <w:r w:rsidRPr="00F25254">
        <w:rPr>
          <w:iCs/>
        </w:rPr>
        <w:t>Spitznagel</w:t>
      </w:r>
      <w:proofErr w:type="spellEnd"/>
      <w:r w:rsidRPr="00F25254">
        <w:rPr>
          <w:iCs/>
        </w:rPr>
        <w:t xml:space="preserve">, 2004; </w:t>
      </w:r>
      <w:r w:rsidRPr="00F25254">
        <w:t xml:space="preserve">Sacks, Drake, Williams, Banks &amp; </w:t>
      </w:r>
      <w:proofErr w:type="spellStart"/>
      <w:r w:rsidRPr="00F25254">
        <w:t>Herrell</w:t>
      </w:r>
      <w:proofErr w:type="spellEnd"/>
      <w:r w:rsidRPr="00F25254">
        <w:t>, 2003;</w:t>
      </w:r>
      <w:r w:rsidRPr="00F25254">
        <w:rPr>
          <w:rFonts w:cs="AdvPTimes"/>
        </w:rPr>
        <w:t xml:space="preserve"> </w:t>
      </w:r>
      <w:r w:rsidRPr="00F25254">
        <w:rPr>
          <w:iCs/>
        </w:rPr>
        <w:t xml:space="preserve">Smith, North, &amp; </w:t>
      </w:r>
      <w:proofErr w:type="spellStart"/>
      <w:r w:rsidRPr="00F25254">
        <w:rPr>
          <w:iCs/>
        </w:rPr>
        <w:t>Spitznagel</w:t>
      </w:r>
      <w:proofErr w:type="spellEnd"/>
      <w:r w:rsidRPr="00F25254">
        <w:rPr>
          <w:iCs/>
        </w:rPr>
        <w:t xml:space="preserve">, 1992; </w:t>
      </w:r>
      <w:proofErr w:type="spellStart"/>
      <w:r w:rsidRPr="00F25254">
        <w:rPr>
          <w:rFonts w:cs="AdvPTimes"/>
        </w:rPr>
        <w:t>Sobell</w:t>
      </w:r>
      <w:proofErr w:type="spellEnd"/>
      <w:r w:rsidRPr="00F25254">
        <w:rPr>
          <w:rFonts w:cs="AdvPTimes"/>
        </w:rPr>
        <w:t xml:space="preserve"> &amp; </w:t>
      </w:r>
      <w:proofErr w:type="spellStart"/>
      <w:r w:rsidRPr="00F25254">
        <w:rPr>
          <w:rFonts w:cs="AdvPTimes"/>
        </w:rPr>
        <w:t>Sobell</w:t>
      </w:r>
      <w:proofErr w:type="spellEnd"/>
      <w:r w:rsidRPr="00F25254">
        <w:rPr>
          <w:rFonts w:cs="AdvPTimes"/>
        </w:rPr>
        <w:t xml:space="preserve"> 1992;</w:t>
      </w:r>
      <w:r w:rsidRPr="00F25254">
        <w:rPr>
          <w:sz w:val="20"/>
          <w:szCs w:val="20"/>
        </w:rPr>
        <w:t xml:space="preserve"> </w:t>
      </w:r>
      <w:proofErr w:type="spellStart"/>
      <w:r w:rsidRPr="00F25254">
        <w:t>Sobell</w:t>
      </w:r>
      <w:proofErr w:type="spellEnd"/>
      <w:r w:rsidRPr="00F25254">
        <w:t xml:space="preserve"> &amp; </w:t>
      </w:r>
      <w:proofErr w:type="spellStart"/>
      <w:r w:rsidRPr="00F25254">
        <w:t>Sobell</w:t>
      </w:r>
      <w:proofErr w:type="spellEnd"/>
      <w:r w:rsidRPr="00F25254">
        <w:t>, 1995; Tse</w:t>
      </w:r>
      <w:r w:rsidRPr="00F25254">
        <w:rPr>
          <w:iCs/>
        </w:rPr>
        <w:t xml:space="preserve">mberis, </w:t>
      </w:r>
      <w:proofErr w:type="spellStart"/>
      <w:r w:rsidRPr="00F25254">
        <w:rPr>
          <w:iCs/>
        </w:rPr>
        <w:t>Gulcur</w:t>
      </w:r>
      <w:proofErr w:type="spellEnd"/>
      <w:r w:rsidRPr="00F25254">
        <w:rPr>
          <w:iCs/>
        </w:rPr>
        <w:t xml:space="preserve">, &amp; </w:t>
      </w:r>
      <w:proofErr w:type="spellStart"/>
      <w:r w:rsidRPr="00F25254">
        <w:rPr>
          <w:iCs/>
        </w:rPr>
        <w:t>Nakae</w:t>
      </w:r>
      <w:proofErr w:type="spellEnd"/>
      <w:r w:rsidRPr="00F25254">
        <w:rPr>
          <w:iCs/>
        </w:rPr>
        <w:t>, 2004;</w:t>
      </w:r>
      <w:r w:rsidRPr="00F25254">
        <w:t xml:space="preserve"> </w:t>
      </w:r>
      <w:r w:rsidRPr="00F25254">
        <w:rPr>
          <w:rFonts w:cs="AdvPTimes"/>
        </w:rPr>
        <w:t>Tsemberis et al., 2007).</w:t>
      </w:r>
    </w:p>
    <w:p w:rsidR="00E53A5C" w:rsidRDefault="00CD0E6B" w:rsidP="00E53A5C">
      <w:pPr>
        <w:autoSpaceDE w:val="0"/>
        <w:autoSpaceDN w:val="0"/>
        <w:adjustRightInd w:val="0"/>
        <w:spacing w:after="0" w:line="240" w:lineRule="auto"/>
        <w:ind w:firstLine="720"/>
        <w:rPr>
          <w:rFonts w:cs="Arial"/>
        </w:rPr>
      </w:pPr>
      <w:proofErr w:type="spellStart"/>
      <w:r w:rsidRPr="00F25254">
        <w:t>Likert</w:t>
      </w:r>
      <w:proofErr w:type="spellEnd"/>
      <w:r w:rsidRPr="00F25254">
        <w:t>-based measures have generally been viewed as very effective for this population and are the primary format of standardized testing whose psychometric properties are tested and published</w:t>
      </w:r>
      <w:r w:rsidR="00565501" w:rsidRPr="00F25254">
        <w:t xml:space="preserve">. For example, most </w:t>
      </w:r>
      <w:r w:rsidR="00F52AAB" w:rsidRPr="00F25254">
        <w:t xml:space="preserve">standardized measures </w:t>
      </w:r>
      <w:r w:rsidR="00FB3C8C" w:rsidRPr="00F25254">
        <w:t xml:space="preserve">developed for community-based, institutionalized and vulnerable populations </w:t>
      </w:r>
      <w:r w:rsidR="00F52AAB" w:rsidRPr="00F25254">
        <w:t xml:space="preserve">use a </w:t>
      </w:r>
      <w:proofErr w:type="spellStart"/>
      <w:r w:rsidR="00F52AAB" w:rsidRPr="00F25254">
        <w:t>Likert</w:t>
      </w:r>
      <w:proofErr w:type="spellEnd"/>
      <w:r w:rsidR="00F52AAB" w:rsidRPr="00F25254">
        <w:t>-based format</w:t>
      </w:r>
      <w:r w:rsidR="00FB3C8C" w:rsidRPr="00F25254">
        <w:t xml:space="preserve"> to assess </w:t>
      </w:r>
      <w:r w:rsidRPr="00F25254">
        <w:t>psychiatric symptom</w:t>
      </w:r>
      <w:r w:rsidR="00FB3C8C" w:rsidRPr="00F25254">
        <w:t xml:space="preserve">s, substance use, trauma, attitudes, health, choice, satisfaction, quality of life including housing, homelessness, social support and so forth </w:t>
      </w:r>
      <w:r w:rsidR="00E53A5C">
        <w:t>as described in  the</w:t>
      </w:r>
      <w:r w:rsidR="00FB3C8C" w:rsidRPr="00F25254">
        <w:t xml:space="preserve"> </w:t>
      </w:r>
      <w:r w:rsidR="00FB3C8C" w:rsidRPr="00F25254">
        <w:rPr>
          <w:rFonts w:cs="Arial"/>
        </w:rPr>
        <w:t>Tests and Measurement Yearbooks</w:t>
      </w:r>
      <w:r w:rsidR="00E53A5C">
        <w:rPr>
          <w:rFonts w:cs="Arial"/>
        </w:rPr>
        <w:t xml:space="preserve"> by </w:t>
      </w:r>
      <w:r w:rsidR="00FB3C8C" w:rsidRPr="00F25254">
        <w:rPr>
          <w:rFonts w:cs="Arial"/>
        </w:rPr>
        <w:t>Spies et al</w:t>
      </w:r>
      <w:r w:rsidR="00FD697E">
        <w:rPr>
          <w:rFonts w:cs="Arial"/>
        </w:rPr>
        <w:t>.</w:t>
      </w:r>
      <w:r w:rsidR="00FB3C8C" w:rsidRPr="00F25254">
        <w:rPr>
          <w:rFonts w:cs="Arial"/>
        </w:rPr>
        <w:t>, 2007</w:t>
      </w:r>
      <w:r w:rsidR="00E53A5C">
        <w:rPr>
          <w:rFonts w:cs="Arial"/>
        </w:rPr>
        <w:t xml:space="preserve"> or in </w:t>
      </w:r>
      <w:r w:rsidR="00FB3C8C" w:rsidRPr="00F25254">
        <w:rPr>
          <w:rFonts w:cs="Arial"/>
        </w:rPr>
        <w:t xml:space="preserve"> empirical studies with the target population (For example,</w:t>
      </w:r>
      <w:r w:rsidR="00337F89">
        <w:rPr>
          <w:rFonts w:cs="Arial"/>
        </w:rPr>
        <w:t xml:space="preserve"> </w:t>
      </w:r>
      <w:r w:rsidR="00337F89" w:rsidRPr="00F25254">
        <w:t xml:space="preserve">Bernstein et al., 1994; </w:t>
      </w:r>
      <w:proofErr w:type="spellStart"/>
      <w:r w:rsidR="00337F89" w:rsidRPr="00F25254">
        <w:t>Bliese</w:t>
      </w:r>
      <w:proofErr w:type="spellEnd"/>
      <w:r w:rsidR="00337F89" w:rsidRPr="00F25254">
        <w:t xml:space="preserve"> et al., 2008</w:t>
      </w:r>
      <w:r w:rsidR="00337F89">
        <w:t xml:space="preserve">; </w:t>
      </w:r>
      <w:r w:rsidR="00337F89" w:rsidRPr="00F25254">
        <w:t xml:space="preserve">Broner et al., 2002; Conrad et al., 2001; Davis et al., 2009; </w:t>
      </w:r>
      <w:proofErr w:type="spellStart"/>
      <w:r w:rsidR="00337F89" w:rsidRPr="00F25254">
        <w:t>Derogatis</w:t>
      </w:r>
      <w:proofErr w:type="spellEnd"/>
      <w:r w:rsidR="00337F89" w:rsidRPr="00F25254">
        <w:t xml:space="preserve"> &amp; </w:t>
      </w:r>
      <w:proofErr w:type="spellStart"/>
      <w:r w:rsidR="00337F89" w:rsidRPr="00F25254">
        <w:t>Melisaratos</w:t>
      </w:r>
      <w:proofErr w:type="spellEnd"/>
      <w:r w:rsidR="00337F89" w:rsidRPr="00F25254">
        <w:t xml:space="preserve">, 1983; </w:t>
      </w:r>
      <w:proofErr w:type="spellStart"/>
      <w:r w:rsidR="00337F89" w:rsidRPr="00F25254">
        <w:t>Eisen</w:t>
      </w:r>
      <w:proofErr w:type="spellEnd"/>
      <w:r w:rsidR="00337F89" w:rsidRPr="00F25254">
        <w:t xml:space="preserve"> et al., 2000, 2004; Gardner et al., 1993; </w:t>
      </w:r>
      <w:proofErr w:type="spellStart"/>
      <w:r w:rsidR="00337F89" w:rsidRPr="00F25254">
        <w:t>G</w:t>
      </w:r>
      <w:r w:rsidR="00337F89">
        <w:t>u</w:t>
      </w:r>
      <w:r w:rsidR="00337F89" w:rsidRPr="00F25254">
        <w:t>lcur</w:t>
      </w:r>
      <w:proofErr w:type="spellEnd"/>
      <w:r w:rsidR="00337F89" w:rsidRPr="00F25254">
        <w:t xml:space="preserve"> et al., 2007; Greenwood, Schaefer-</w:t>
      </w:r>
      <w:proofErr w:type="spellStart"/>
      <w:r w:rsidR="00337F89" w:rsidRPr="00F25254">
        <w:t>McDanile</w:t>
      </w:r>
      <w:proofErr w:type="spellEnd"/>
      <w:r w:rsidR="00337F89" w:rsidRPr="00F25254">
        <w:t xml:space="preserve">, </w:t>
      </w:r>
      <w:proofErr w:type="spellStart"/>
      <w:r w:rsidR="00337F89" w:rsidRPr="00F25254">
        <w:t>Winkel</w:t>
      </w:r>
      <w:proofErr w:type="spellEnd"/>
      <w:r w:rsidR="00337F89" w:rsidRPr="00F25254">
        <w:t>, &amp; Tsemberis, 2005; Kean</w:t>
      </w:r>
      <w:r w:rsidR="00337F89">
        <w:t>e</w:t>
      </w:r>
      <w:r w:rsidR="00337F89" w:rsidRPr="00F25254">
        <w:t xml:space="preserve">, Newman, &amp; </w:t>
      </w:r>
      <w:proofErr w:type="spellStart"/>
      <w:r w:rsidR="00337F89" w:rsidRPr="00F25254">
        <w:t>Orsillo</w:t>
      </w:r>
      <w:proofErr w:type="spellEnd"/>
      <w:r w:rsidR="00337F89" w:rsidRPr="00F25254">
        <w:t>, 1997; Koenig et al.,1993; Lang &amp; Stein, 2005; Lehman, 19</w:t>
      </w:r>
      <w:r w:rsidR="00337F89">
        <w:t>8</w:t>
      </w:r>
      <w:r w:rsidR="00337F89" w:rsidRPr="00F25254">
        <w:t xml:space="preserve">8; Lehman et al., 1991; </w:t>
      </w:r>
      <w:proofErr w:type="spellStart"/>
      <w:r w:rsidR="00337F89" w:rsidRPr="00F25254">
        <w:t>McEvoy</w:t>
      </w:r>
      <w:proofErr w:type="spellEnd"/>
      <w:r w:rsidR="00337F89" w:rsidRPr="00F25254">
        <w:t xml:space="preserve"> et al., 1989; Overall &amp; Gorham, 1988; Peters &amp; Wexler, 2005; Peters et al., 2008; Robbins et al., 2009; </w:t>
      </w:r>
      <w:proofErr w:type="spellStart"/>
      <w:r w:rsidR="00337F89" w:rsidRPr="00F25254">
        <w:t>Rollnick</w:t>
      </w:r>
      <w:proofErr w:type="spellEnd"/>
      <w:r w:rsidR="00337F89" w:rsidRPr="00F25254">
        <w:t xml:space="preserve"> et al., 1992;</w:t>
      </w:r>
      <w:r w:rsidR="00337F89">
        <w:t xml:space="preserve"> </w:t>
      </w:r>
      <w:r w:rsidR="00337F89" w:rsidRPr="00F25254">
        <w:t xml:space="preserve">Ruggiero, Del Ben, </w:t>
      </w:r>
      <w:proofErr w:type="spellStart"/>
      <w:r w:rsidR="00337F89" w:rsidRPr="00F25254">
        <w:t>Scotti</w:t>
      </w:r>
      <w:proofErr w:type="spellEnd"/>
      <w:r w:rsidR="00337F89" w:rsidRPr="00F25254">
        <w:t xml:space="preserve">, &amp; </w:t>
      </w:r>
      <w:proofErr w:type="spellStart"/>
      <w:r w:rsidR="00337F89" w:rsidRPr="00F25254">
        <w:t>Rabalais</w:t>
      </w:r>
      <w:proofErr w:type="spellEnd"/>
      <w:r w:rsidR="00337F89" w:rsidRPr="00F25254">
        <w:t>, 2003</w:t>
      </w:r>
      <w:r w:rsidR="00337F89">
        <w:t>;</w:t>
      </w:r>
      <w:r w:rsidR="00337F89" w:rsidRPr="00F25254">
        <w:t xml:space="preserve"> </w:t>
      </w:r>
      <w:proofErr w:type="spellStart"/>
      <w:r w:rsidR="00337F89" w:rsidRPr="00F25254">
        <w:t>Saltstone</w:t>
      </w:r>
      <w:proofErr w:type="spellEnd"/>
      <w:r w:rsidR="00337F89" w:rsidRPr="00F25254">
        <w:t xml:space="preserve">, </w:t>
      </w:r>
      <w:proofErr w:type="spellStart"/>
      <w:r w:rsidR="00337F89" w:rsidRPr="00F25254">
        <w:t>Halliwell</w:t>
      </w:r>
      <w:proofErr w:type="spellEnd"/>
      <w:r w:rsidR="00337F89" w:rsidRPr="00F25254">
        <w:t xml:space="preserve">, &amp; </w:t>
      </w:r>
      <w:proofErr w:type="spellStart"/>
      <w:r w:rsidR="00337F89" w:rsidRPr="00F25254">
        <w:t>Hayslip</w:t>
      </w:r>
      <w:proofErr w:type="spellEnd"/>
      <w:r w:rsidR="00337F89" w:rsidRPr="00F25254">
        <w:t>, 1994;</w:t>
      </w:r>
      <w:r w:rsidR="00337F89">
        <w:t xml:space="preserve"> </w:t>
      </w:r>
      <w:proofErr w:type="spellStart"/>
      <w:r w:rsidR="00337F89" w:rsidRPr="00F25254">
        <w:t>Shern</w:t>
      </w:r>
      <w:proofErr w:type="spellEnd"/>
      <w:r w:rsidR="00337F89" w:rsidRPr="00F25254">
        <w:t xml:space="preserve"> et al., 1994; Skinner, 1982; Spies et al., 2007; </w:t>
      </w:r>
      <w:proofErr w:type="spellStart"/>
      <w:r w:rsidR="00337F89" w:rsidRPr="00F25254">
        <w:t>Srebnik</w:t>
      </w:r>
      <w:proofErr w:type="spellEnd"/>
      <w:r w:rsidR="00337F89" w:rsidRPr="00F25254">
        <w:t xml:space="preserve">, Livingston, Gordon, &amp; King, 1995; </w:t>
      </w:r>
      <w:proofErr w:type="spellStart"/>
      <w:r w:rsidR="00337F89" w:rsidRPr="00F25254">
        <w:t>Storgaard</w:t>
      </w:r>
      <w:proofErr w:type="spellEnd"/>
      <w:r w:rsidR="00337F89" w:rsidRPr="00F25254">
        <w:t xml:space="preserve">, Nielson, &amp; </w:t>
      </w:r>
      <w:proofErr w:type="spellStart"/>
      <w:r w:rsidR="00337F89" w:rsidRPr="00F25254">
        <w:t>Gluud</w:t>
      </w:r>
      <w:proofErr w:type="spellEnd"/>
      <w:r w:rsidR="00337F89" w:rsidRPr="00F25254">
        <w:t xml:space="preserve">, 1994; Tsemberis, Moran, Shinn, </w:t>
      </w:r>
      <w:proofErr w:type="spellStart"/>
      <w:r w:rsidR="00337F89" w:rsidRPr="00F25254">
        <w:t>Asmussen</w:t>
      </w:r>
      <w:proofErr w:type="spellEnd"/>
      <w:r w:rsidR="00337F89" w:rsidRPr="00F25254">
        <w:t xml:space="preserve">, &amp; </w:t>
      </w:r>
      <w:proofErr w:type="spellStart"/>
      <w:r w:rsidR="00337F89" w:rsidRPr="00F25254">
        <w:t>Shern</w:t>
      </w:r>
      <w:proofErr w:type="spellEnd"/>
      <w:r w:rsidR="00337F89" w:rsidRPr="00F25254">
        <w:t xml:space="preserve">, 2003; Weathers, </w:t>
      </w:r>
      <w:proofErr w:type="spellStart"/>
      <w:r w:rsidR="00337F89" w:rsidRPr="00F25254">
        <w:t>Litz</w:t>
      </w:r>
      <w:proofErr w:type="spellEnd"/>
      <w:r w:rsidR="00337F89" w:rsidRPr="00F25254">
        <w:t xml:space="preserve">, </w:t>
      </w:r>
      <w:proofErr w:type="spellStart"/>
      <w:r w:rsidR="00337F89" w:rsidRPr="00F25254">
        <w:t>Huska</w:t>
      </w:r>
      <w:proofErr w:type="spellEnd"/>
      <w:r w:rsidR="00337F89" w:rsidRPr="00F25254">
        <w:t>, &amp; Keane, 1994</w:t>
      </w:r>
      <w:r w:rsidR="00337F89">
        <w:t xml:space="preserve">; </w:t>
      </w:r>
      <w:proofErr w:type="spellStart"/>
      <w:r w:rsidR="00337F89" w:rsidRPr="00F25254">
        <w:t>Zung</w:t>
      </w:r>
      <w:proofErr w:type="spellEnd"/>
      <w:r w:rsidR="00337F89" w:rsidRPr="00F25254">
        <w:t>, 1979</w:t>
      </w:r>
      <w:r w:rsidR="00FB3C8C" w:rsidRPr="00F25254">
        <w:rPr>
          <w:rFonts w:cs="Arial"/>
        </w:rPr>
        <w:t xml:space="preserve">). </w:t>
      </w:r>
    </w:p>
    <w:p w:rsidR="0074023E" w:rsidRPr="00F25254" w:rsidRDefault="00FB3C8C" w:rsidP="00802453">
      <w:pPr>
        <w:autoSpaceDE w:val="0"/>
        <w:autoSpaceDN w:val="0"/>
        <w:adjustRightInd w:val="0"/>
        <w:spacing w:after="0" w:line="240" w:lineRule="auto"/>
        <w:ind w:firstLine="720"/>
      </w:pPr>
      <w:r w:rsidRPr="00F25254">
        <w:t xml:space="preserve">While </w:t>
      </w:r>
      <w:proofErr w:type="spellStart"/>
      <w:r w:rsidRPr="00F25254">
        <w:t>Likert</w:t>
      </w:r>
      <w:proofErr w:type="spellEnd"/>
      <w:r w:rsidRPr="00F25254">
        <w:t xml:space="preserve"> scales have been criticized as promoting a response toward the middle if an even number of response categories is not collected (</w:t>
      </w:r>
      <w:proofErr w:type="spellStart"/>
      <w:r w:rsidRPr="00DB4AC7">
        <w:t>e.g.,</w:t>
      </w:r>
      <w:r w:rsidR="00DB4AC7" w:rsidRPr="00385180">
        <w:rPr>
          <w:rStyle w:val="addmd1"/>
          <w:rFonts w:cs="Arial"/>
          <w:sz w:val="22"/>
          <w:szCs w:val="22"/>
        </w:rPr>
        <w:t>Spies</w:t>
      </w:r>
      <w:proofErr w:type="spellEnd"/>
      <w:r w:rsidR="00DB4AC7" w:rsidRPr="00385180">
        <w:rPr>
          <w:rStyle w:val="addmd1"/>
          <w:rFonts w:cs="Arial"/>
          <w:sz w:val="22"/>
          <w:szCs w:val="22"/>
        </w:rPr>
        <w:t xml:space="preserve"> et al., 2007; </w:t>
      </w:r>
      <w:proofErr w:type="spellStart"/>
      <w:r w:rsidR="00DB4AC7" w:rsidRPr="00385180">
        <w:rPr>
          <w:rStyle w:val="addmd1"/>
          <w:rFonts w:cs="Arial"/>
          <w:sz w:val="22"/>
          <w:szCs w:val="22"/>
        </w:rPr>
        <w:t>Tansella</w:t>
      </w:r>
      <w:proofErr w:type="spellEnd"/>
      <w:r w:rsidR="00DB4AC7" w:rsidRPr="00385180">
        <w:rPr>
          <w:rStyle w:val="addmd1"/>
          <w:rFonts w:cs="Arial"/>
          <w:sz w:val="22"/>
          <w:szCs w:val="22"/>
        </w:rPr>
        <w:t xml:space="preserve"> &amp; </w:t>
      </w:r>
      <w:proofErr w:type="spellStart"/>
      <w:r w:rsidR="00DB4AC7" w:rsidRPr="00385180">
        <w:rPr>
          <w:rStyle w:val="addmd1"/>
          <w:rFonts w:cs="Arial"/>
          <w:sz w:val="22"/>
          <w:szCs w:val="22"/>
        </w:rPr>
        <w:t>Thornicroft</w:t>
      </w:r>
      <w:proofErr w:type="spellEnd"/>
      <w:r w:rsidR="00DB4AC7" w:rsidRPr="00385180">
        <w:rPr>
          <w:rStyle w:val="addmd1"/>
          <w:rFonts w:cs="Arial"/>
          <w:sz w:val="22"/>
          <w:szCs w:val="22"/>
        </w:rPr>
        <w:t>, 2001;</w:t>
      </w:r>
      <w:r w:rsidRPr="00385180">
        <w:rPr>
          <w:rFonts w:cs="Arial"/>
        </w:rPr>
        <w:t> </w:t>
      </w:r>
      <w:r w:rsidRPr="00385180">
        <w:rPr>
          <w:rStyle w:val="addmd1"/>
          <w:rFonts w:cs="Arial"/>
          <w:sz w:val="22"/>
          <w:szCs w:val="22"/>
        </w:rPr>
        <w:t xml:space="preserve"> Weiner</w:t>
      </w:r>
      <w:r w:rsidR="00DB4AC7" w:rsidRPr="00385180">
        <w:rPr>
          <w:rStyle w:val="addmd1"/>
          <w:rFonts w:cs="Arial"/>
          <w:sz w:val="22"/>
          <w:szCs w:val="22"/>
        </w:rPr>
        <w:t xml:space="preserve"> &amp;</w:t>
      </w:r>
      <w:r w:rsidRPr="00385180">
        <w:rPr>
          <w:rStyle w:val="addmd1"/>
          <w:rFonts w:cs="Arial"/>
          <w:sz w:val="22"/>
          <w:szCs w:val="22"/>
        </w:rPr>
        <w:t xml:space="preserve"> Craighead</w:t>
      </w:r>
      <w:r w:rsidR="00DB4AC7" w:rsidRPr="00385180">
        <w:rPr>
          <w:rStyle w:val="addmd1"/>
          <w:rFonts w:cs="Arial"/>
          <w:sz w:val="22"/>
          <w:szCs w:val="22"/>
        </w:rPr>
        <w:t>, 2010</w:t>
      </w:r>
      <w:r w:rsidRPr="00385180">
        <w:t>)</w:t>
      </w:r>
      <w:r w:rsidRPr="00F25254">
        <w:t xml:space="preserve">, or that total sum scales may not always be sensitive to each items weight </w:t>
      </w:r>
      <w:r w:rsidRPr="00DB4AC7">
        <w:t>(</w:t>
      </w:r>
      <w:proofErr w:type="spellStart"/>
      <w:r w:rsidR="00DB4AC7" w:rsidRPr="00DB4AC7">
        <w:t>Tansella</w:t>
      </w:r>
      <w:proofErr w:type="spellEnd"/>
      <w:r w:rsidR="00DB4AC7" w:rsidRPr="00DB4AC7">
        <w:t xml:space="preserve"> &amp; </w:t>
      </w:r>
      <w:proofErr w:type="spellStart"/>
      <w:r w:rsidR="00DB4AC7" w:rsidRPr="00DB4AC7">
        <w:t>Thornicroft</w:t>
      </w:r>
      <w:proofErr w:type="spellEnd"/>
      <w:r w:rsidR="00DB4AC7" w:rsidRPr="00DB4AC7">
        <w:t xml:space="preserve">, 2001; </w:t>
      </w:r>
      <w:r w:rsidRPr="00DB4AC7">
        <w:t xml:space="preserve">Weiner &amp; Craighead, </w:t>
      </w:r>
      <w:r w:rsidR="00DB4AC7" w:rsidRPr="00DB4AC7">
        <w:t>2010</w:t>
      </w:r>
      <w:r w:rsidRPr="00DB4AC7">
        <w:t>),</w:t>
      </w:r>
      <w:r w:rsidRPr="00F25254">
        <w:t xml:space="preserve"> the overwhelming evidence is that </w:t>
      </w:r>
      <w:proofErr w:type="spellStart"/>
      <w:r w:rsidRPr="00F25254">
        <w:t>Likert</w:t>
      </w:r>
      <w:proofErr w:type="spellEnd"/>
      <w:r w:rsidRPr="00F25254">
        <w:t xml:space="preserve"> scales are easily understood by respondents (children, seriously mentally ill, elderly,.; e.g., Broner et al., 2002; </w:t>
      </w:r>
      <w:proofErr w:type="spellStart"/>
      <w:r w:rsidRPr="00F25254">
        <w:t>Hasson</w:t>
      </w:r>
      <w:proofErr w:type="spellEnd"/>
      <w:r w:rsidRPr="00F25254">
        <w:t xml:space="preserve"> &amp; </w:t>
      </w:r>
      <w:proofErr w:type="spellStart"/>
      <w:r w:rsidRPr="00F25254">
        <w:t>Arnetz</w:t>
      </w:r>
      <w:proofErr w:type="spellEnd"/>
      <w:r w:rsidRPr="00F25254">
        <w:t xml:space="preserve">, 2005; </w:t>
      </w:r>
      <w:r w:rsidRPr="00F25254">
        <w:rPr>
          <w:rFonts w:eastAsia="Times New Roman"/>
        </w:rPr>
        <w:t xml:space="preserve">Patterson, O’Sullivan &amp; </w:t>
      </w:r>
      <w:proofErr w:type="spellStart"/>
      <w:r w:rsidRPr="00F25254">
        <w:rPr>
          <w:rFonts w:eastAsia="Times New Roman"/>
        </w:rPr>
        <w:t>Spielberger</w:t>
      </w:r>
      <w:proofErr w:type="spellEnd"/>
      <w:r w:rsidRPr="00F25254">
        <w:rPr>
          <w:rFonts w:eastAsia="Times New Roman"/>
        </w:rPr>
        <w:t xml:space="preserve">, 1980; </w:t>
      </w:r>
      <w:proofErr w:type="spellStart"/>
      <w:r w:rsidRPr="00F25254">
        <w:t>Sheilds</w:t>
      </w:r>
      <w:proofErr w:type="spellEnd"/>
      <w:r w:rsidRPr="00F25254">
        <w:t xml:space="preserve"> et al., 2003; </w:t>
      </w:r>
      <w:r w:rsidR="00E53A5C">
        <w:t xml:space="preserve">Spies et al., 2007; </w:t>
      </w:r>
      <w:proofErr w:type="spellStart"/>
      <w:r w:rsidR="00E53A5C" w:rsidRPr="00DB4AC7">
        <w:t>Tansella</w:t>
      </w:r>
      <w:proofErr w:type="spellEnd"/>
      <w:r w:rsidR="00E53A5C" w:rsidRPr="00DB4AC7">
        <w:t xml:space="preserve"> &amp; </w:t>
      </w:r>
      <w:proofErr w:type="spellStart"/>
      <w:r w:rsidR="00E53A5C" w:rsidRPr="00DB4AC7">
        <w:t>Thornicroft</w:t>
      </w:r>
      <w:proofErr w:type="spellEnd"/>
      <w:r w:rsidR="00E53A5C" w:rsidRPr="00DB4AC7">
        <w:t>, 2001</w:t>
      </w:r>
      <w:r w:rsidR="00E53A5C">
        <w:t xml:space="preserve">; </w:t>
      </w:r>
      <w:r w:rsidRPr="00F25254">
        <w:t xml:space="preserve">Van </w:t>
      </w:r>
      <w:proofErr w:type="spellStart"/>
      <w:r w:rsidRPr="00F25254">
        <w:t>Laerhoven</w:t>
      </w:r>
      <w:proofErr w:type="spellEnd"/>
      <w:r w:rsidRPr="00F25254">
        <w:t xml:space="preserve">  et al., 2004; Vickers, 1999). </w:t>
      </w:r>
      <w:r w:rsidR="003736CD">
        <w:t>W</w:t>
      </w:r>
      <w:r w:rsidR="00CE7BB5" w:rsidRPr="00F25254">
        <w:t xml:space="preserve">hile visual aids alone are less reliable and more burdensome for respondents, they can be useful to add in response to </w:t>
      </w:r>
      <w:proofErr w:type="spellStart"/>
      <w:r w:rsidR="00CE7BB5" w:rsidRPr="00F25254">
        <w:t>Likert</w:t>
      </w:r>
      <w:proofErr w:type="spellEnd"/>
      <w:r w:rsidR="00CE7BB5" w:rsidRPr="00F25254">
        <w:t xml:space="preserve"> matrix questions if these questions are verbally administered (e.g., Hansson &amp; </w:t>
      </w:r>
      <w:proofErr w:type="spellStart"/>
      <w:r w:rsidR="00CE7BB5" w:rsidRPr="00F25254">
        <w:t>Arnetz</w:t>
      </w:r>
      <w:proofErr w:type="spellEnd"/>
      <w:r w:rsidR="00CE7BB5" w:rsidRPr="00F25254">
        <w:t xml:space="preserve">, 2005).  </w:t>
      </w:r>
      <w:r w:rsidR="00CD0E6B" w:rsidRPr="00F25254">
        <w:t xml:space="preserve"> </w:t>
      </w:r>
      <w:r w:rsidR="0074023E" w:rsidRPr="00F25254">
        <w:t>We</w:t>
      </w:r>
      <w:r w:rsidR="000557C5" w:rsidRPr="00F25254">
        <w:t xml:space="preserve"> plan to </w:t>
      </w:r>
      <w:r w:rsidR="00565501" w:rsidRPr="00F25254">
        <w:t xml:space="preserve">use show cards </w:t>
      </w:r>
      <w:r w:rsidR="0074023E" w:rsidRPr="00F25254">
        <w:t xml:space="preserve">and </w:t>
      </w:r>
      <w:r w:rsidR="000557C5" w:rsidRPr="00F25254">
        <w:t xml:space="preserve">have added the </w:t>
      </w:r>
      <w:r w:rsidR="00802453">
        <w:t xml:space="preserve">instructions “You may use this card </w:t>
      </w:r>
      <w:r w:rsidR="00802453">
        <w:rPr>
          <w:b/>
          <w:bCs/>
          <w:i/>
          <w:iCs/>
          <w:sz w:val="20"/>
          <w:szCs w:val="20"/>
        </w:rPr>
        <w:t xml:space="preserve">[HAND RESPONDANT </w:t>
      </w:r>
      <w:r w:rsidR="00802453">
        <w:rPr>
          <w:b/>
          <w:bCs/>
          <w:i/>
          <w:iCs/>
          <w:sz w:val="20"/>
          <w:szCs w:val="20"/>
        </w:rPr>
        <w:lastRenderedPageBreak/>
        <w:t>SHOW CARD #]</w:t>
      </w:r>
      <w:r w:rsidR="00802453">
        <w:rPr>
          <w:sz w:val="20"/>
          <w:szCs w:val="20"/>
        </w:rPr>
        <w:t xml:space="preserve"> to indicate your response”</w:t>
      </w:r>
      <w:r w:rsidR="000557C5" w:rsidRPr="00F25254">
        <w:t xml:space="preserve"> </w:t>
      </w:r>
      <w:r w:rsidR="00802453">
        <w:t xml:space="preserve">before the </w:t>
      </w:r>
      <w:proofErr w:type="spellStart"/>
      <w:r w:rsidR="00802453">
        <w:t>likert</w:t>
      </w:r>
      <w:proofErr w:type="spellEnd"/>
      <w:r w:rsidR="00802453">
        <w:t xml:space="preserve"> scales</w:t>
      </w:r>
      <w:r w:rsidR="00565501" w:rsidRPr="00F25254">
        <w:t xml:space="preserve"> </w:t>
      </w:r>
      <w:r w:rsidR="000557C5" w:rsidRPr="00F25254">
        <w:t xml:space="preserve">to the </w:t>
      </w:r>
      <w:r w:rsidR="00D37182">
        <w:t>client survey</w:t>
      </w:r>
      <w:r w:rsidR="00565501" w:rsidRPr="00F25254">
        <w:t xml:space="preserve"> </w:t>
      </w:r>
      <w:r w:rsidR="000557C5" w:rsidRPr="00F25254">
        <w:t xml:space="preserve">rather than </w:t>
      </w:r>
      <w:r w:rsidR="00565501" w:rsidRPr="00F25254">
        <w:t xml:space="preserve">relying on this instruction appearing </w:t>
      </w:r>
      <w:r w:rsidR="000557C5" w:rsidRPr="00F25254">
        <w:t xml:space="preserve">only </w:t>
      </w:r>
      <w:r w:rsidR="00565501" w:rsidRPr="00F25254">
        <w:t xml:space="preserve">in </w:t>
      </w:r>
      <w:r w:rsidR="000557C5" w:rsidRPr="00F25254">
        <w:t>the training material</w:t>
      </w:r>
      <w:r w:rsidR="0074023E" w:rsidRPr="00F25254">
        <w:t>s</w:t>
      </w:r>
      <w:r w:rsidR="00D37182">
        <w:t xml:space="preserve"> per OMB’s recommendation</w:t>
      </w:r>
      <w:r w:rsidR="000557C5" w:rsidRPr="00F25254">
        <w:t xml:space="preserve">. </w:t>
      </w:r>
    </w:p>
    <w:p w:rsidR="0074023E" w:rsidRPr="00F25254" w:rsidRDefault="00CD0E6B" w:rsidP="003736CD">
      <w:pPr>
        <w:pStyle w:val="NoSpacing"/>
        <w:ind w:firstLine="720"/>
        <w:jc w:val="both"/>
      </w:pPr>
      <w:r w:rsidRPr="00F25254">
        <w:t>Further</w:t>
      </w:r>
      <w:r w:rsidR="00565501" w:rsidRPr="00F25254">
        <w:t>,</w:t>
      </w:r>
      <w:r w:rsidRPr="00F25254">
        <w:t xml:space="preserve"> </w:t>
      </w:r>
      <w:r w:rsidR="00BB77D6" w:rsidRPr="00F25254">
        <w:t xml:space="preserve">current and prior </w:t>
      </w:r>
      <w:r w:rsidRPr="00F25254">
        <w:t>OMB approved evaluations</w:t>
      </w:r>
      <w:r w:rsidR="0091533A" w:rsidRPr="00F25254">
        <w:t xml:space="preserve"> include </w:t>
      </w:r>
      <w:proofErr w:type="spellStart"/>
      <w:r w:rsidR="0091533A" w:rsidRPr="00F25254">
        <w:t>Likert</w:t>
      </w:r>
      <w:proofErr w:type="spellEnd"/>
      <w:r w:rsidR="0091533A" w:rsidRPr="00F25254">
        <w:t xml:space="preserve"> scales, time-based questions, and domains of similar complexity to that proposed here</w:t>
      </w:r>
      <w:r w:rsidRPr="00F25254">
        <w:t xml:space="preserve"> [</w:t>
      </w:r>
      <w:r w:rsidR="00565501" w:rsidRPr="00F25254">
        <w:t>For example,</w:t>
      </w:r>
      <w:r w:rsidR="000557C5" w:rsidRPr="00F25254">
        <w:t xml:space="preserve"> </w:t>
      </w:r>
      <w:r w:rsidR="000A7178">
        <w:t>Targeted Capacity Expansion Grants for Jail Diversion Programs,</w:t>
      </w:r>
      <w:r w:rsidR="000557C5" w:rsidRPr="00F25254">
        <w:t xml:space="preserve"> OMB control number 0930-0277; SAMHSA Homeless Families, OMB control number 0</w:t>
      </w:r>
      <w:r w:rsidR="000A7178">
        <w:t>9</w:t>
      </w:r>
      <w:r w:rsidR="000557C5" w:rsidRPr="00F25254">
        <w:t>30-0223; HUD Life After Transitional Housing</w:t>
      </w:r>
      <w:r w:rsidR="000A7178">
        <w:t>,</w:t>
      </w:r>
      <w:r w:rsidR="000557C5" w:rsidRPr="00F25254">
        <w:t xml:space="preserve"> 2528-0239; </w:t>
      </w:r>
      <w:r w:rsidR="000A7178">
        <w:t>National Outcomes Performance Assessment of the Collaborative Initiative to Help End Chronic Homelessness</w:t>
      </w:r>
      <w:r w:rsidR="000557C5" w:rsidRPr="00F25254">
        <w:t xml:space="preserve">, OMB control number </w:t>
      </w:r>
      <w:r w:rsidR="000A7178">
        <w:t>0930-0247</w:t>
      </w:r>
      <w:r w:rsidR="000557C5" w:rsidRPr="000A7178">
        <w:t>;</w:t>
      </w:r>
      <w:r w:rsidR="000557C5" w:rsidRPr="00F25254">
        <w:t xml:space="preserve"> </w:t>
      </w:r>
      <w:r w:rsidR="00253D8D" w:rsidRPr="00F25254">
        <w:t>Access to Recovery, OMB control number 0930-0299;</w:t>
      </w:r>
      <w:r w:rsidR="0091533A" w:rsidRPr="00F25254">
        <w:t xml:space="preserve"> Safe Dates, OMB control number 0920-0783; School Violence, OMB control number 1850-0814</w:t>
      </w:r>
      <w:r w:rsidRPr="00F25254">
        <w:t xml:space="preserve">] and </w:t>
      </w:r>
      <w:r w:rsidR="00BB77D6" w:rsidRPr="00F25254">
        <w:t>client-level government reporting performance measurement</w:t>
      </w:r>
      <w:r w:rsidR="00EB4783">
        <w:t>s</w:t>
      </w:r>
      <w:r w:rsidRPr="00F25254">
        <w:t xml:space="preserve"> [e.g., </w:t>
      </w:r>
      <w:r w:rsidR="00503986" w:rsidRPr="00F25254">
        <w:t xml:space="preserve">SAMHSA </w:t>
      </w:r>
      <w:r w:rsidRPr="00F25254">
        <w:t>CMHS NOM</w:t>
      </w:r>
      <w:r w:rsidR="00503986" w:rsidRPr="00F25254">
        <w:t>s Adult Consumer Outcome Measures for Discretionary Programs,</w:t>
      </w:r>
      <w:r w:rsidRPr="00F25254">
        <w:t xml:space="preserve"> OMB control number </w:t>
      </w:r>
      <w:r w:rsidR="00503986" w:rsidRPr="00F25254">
        <w:t>0930-0285, regarding functioning, symptom and satisfaction</w:t>
      </w:r>
      <w:r w:rsidR="0074023E" w:rsidRPr="00F25254">
        <w:t xml:space="preserve">; SAMHSA CSAP </w:t>
      </w:r>
      <w:r w:rsidR="007F78E2" w:rsidRPr="00F25254">
        <w:t xml:space="preserve">Participant Outcome Measures for Discretionary Programs, </w:t>
      </w:r>
      <w:r w:rsidR="0074023E" w:rsidRPr="00F25254">
        <w:t>OMB No. 0930-0208</w:t>
      </w:r>
      <w:r w:rsidR="00BB77D6" w:rsidRPr="00F25254">
        <w:t>]</w:t>
      </w:r>
      <w:r w:rsidR="000A7178">
        <w:t>.</w:t>
      </w:r>
      <w:r w:rsidRPr="00F25254">
        <w:t xml:space="preserve"> </w:t>
      </w:r>
      <w:r w:rsidR="007F78E2" w:rsidRPr="00F25254">
        <w:t xml:space="preserve">Further our pilot and cognitive testing of the client survey did not reveal any difficulties for the Part II client administration section which includes a matrix format of the </w:t>
      </w:r>
      <w:proofErr w:type="spellStart"/>
      <w:r w:rsidR="007F78E2" w:rsidRPr="00F25254">
        <w:t>likert</w:t>
      </w:r>
      <w:proofErr w:type="spellEnd"/>
      <w:r w:rsidR="007F78E2" w:rsidRPr="00F25254">
        <w:t xml:space="preserve"> scale satisfaction survey currently administered in both interviewer and self-administered formats in other OMB approved data collection efforts (CMHS Client Outcome Measures, OMB control number 0930-0285).</w:t>
      </w:r>
    </w:p>
    <w:p w:rsidR="00187728" w:rsidRPr="00F25254" w:rsidRDefault="00EB652E" w:rsidP="0068062F">
      <w:pPr>
        <w:pStyle w:val="NoSpacing"/>
        <w:jc w:val="both"/>
      </w:pPr>
      <w:r w:rsidRPr="00F25254">
        <w:tab/>
      </w:r>
    </w:p>
    <w:p w:rsidR="00CD0E6B" w:rsidRPr="00F25254" w:rsidRDefault="00187728" w:rsidP="008B79E6">
      <w:pPr>
        <w:pStyle w:val="NoSpacing"/>
        <w:jc w:val="both"/>
      </w:pPr>
      <w:proofErr w:type="gramStart"/>
      <w:r w:rsidRPr="00F25254">
        <w:rPr>
          <w:u w:val="single"/>
        </w:rPr>
        <w:t>Question</w:t>
      </w:r>
      <w:r w:rsidRPr="000925C5">
        <w:rPr>
          <w:u w:val="single"/>
        </w:rPr>
        <w:t xml:space="preserve"> 2</w:t>
      </w:r>
      <w:r w:rsidRPr="000925C5">
        <w:t>.</w:t>
      </w:r>
      <w:proofErr w:type="gramEnd"/>
      <w:r w:rsidRPr="00F25254">
        <w:rPr>
          <w:u w:val="single"/>
        </w:rPr>
        <w:t xml:space="preserve"> </w:t>
      </w:r>
      <w:r w:rsidR="008B79E6">
        <w:t>As noted by the reviewers, cost</w:t>
      </w:r>
      <w:r w:rsidR="008B79E6">
        <w:rPr>
          <w:rFonts w:ascii="Arial" w:hAnsi="Arial" w:cs="Arial"/>
        </w:rPr>
        <w:t xml:space="preserve">, </w:t>
      </w:r>
      <w:r w:rsidR="008B79E6" w:rsidRPr="005B2842">
        <w:t>an important consideration for government funds</w:t>
      </w:r>
      <w:r w:rsidR="008B79E6">
        <w:rPr>
          <w:rFonts w:ascii="Arial" w:hAnsi="Arial" w:cs="Arial"/>
        </w:rPr>
        <w:t xml:space="preserve">, </w:t>
      </w:r>
      <w:r w:rsidR="008B79E6" w:rsidRPr="005B2842">
        <w:t>and</w:t>
      </w:r>
      <w:r w:rsidR="008B79E6">
        <w:t xml:space="preserve"> reducing</w:t>
      </w:r>
      <w:r w:rsidR="008B79E6" w:rsidRPr="005B2842">
        <w:t xml:space="preserve"> data entry error</w:t>
      </w:r>
      <w:r w:rsidR="008B79E6">
        <w:t>s</w:t>
      </w:r>
      <w:r w:rsidR="008B79E6" w:rsidRPr="005B2842">
        <w:t xml:space="preserve"> helped drive </w:t>
      </w:r>
      <w:r w:rsidR="008B79E6">
        <w:t xml:space="preserve">the decision to use </w:t>
      </w:r>
      <w:proofErr w:type="spellStart"/>
      <w:r w:rsidR="008B79E6">
        <w:t>scannable</w:t>
      </w:r>
      <w:proofErr w:type="spellEnd"/>
      <w:r w:rsidR="008B79E6">
        <w:t xml:space="preserve"> forms. The </w:t>
      </w:r>
      <w:proofErr w:type="spellStart"/>
      <w:r w:rsidR="008B79E6">
        <w:t>scannable</w:t>
      </w:r>
      <w:proofErr w:type="spellEnd"/>
      <w:r w:rsidR="008B79E6">
        <w:t xml:space="preserve"> software that we plan to use for programming the client survey, </w:t>
      </w:r>
      <w:proofErr w:type="spellStart"/>
      <w:r w:rsidR="008B79E6">
        <w:t>Teleform</w:t>
      </w:r>
      <w:proofErr w:type="spellEnd"/>
      <w:r w:rsidR="008B79E6">
        <w:t xml:space="preserve">, integrates the survey question text, response options, and fillable bubbles on the same page as opposed to other </w:t>
      </w:r>
      <w:proofErr w:type="spellStart"/>
      <w:r w:rsidR="008B79E6">
        <w:t>scannable</w:t>
      </w:r>
      <w:proofErr w:type="spellEnd"/>
      <w:r w:rsidR="008B79E6">
        <w:t xml:space="preserve"> technologies that have a separate sheet with fillable bubbles for respondent answers. With the proposed </w:t>
      </w:r>
      <w:proofErr w:type="spellStart"/>
      <w:r w:rsidR="008B79E6">
        <w:t>Teleform</w:t>
      </w:r>
      <w:proofErr w:type="spellEnd"/>
      <w:r w:rsidR="008B79E6">
        <w:t xml:space="preserve"> technology clients will have the written response options directly next to the bubble to fill in for that response option to make responding as straightforward as possible. </w:t>
      </w:r>
      <w:proofErr w:type="spellStart"/>
      <w:r w:rsidR="008B79E6">
        <w:t>Scannable</w:t>
      </w:r>
      <w:proofErr w:type="spellEnd"/>
      <w:r w:rsidR="008B79E6">
        <w:t xml:space="preserve"> forms such as this </w:t>
      </w:r>
      <w:r w:rsidR="008B79E6" w:rsidRPr="005B2842">
        <w:t>have been used in prior client satisfaction data collection as part of</w:t>
      </w:r>
      <w:r w:rsidR="008B79E6">
        <w:t xml:space="preserve"> other OMB-approved</w:t>
      </w:r>
      <w:r w:rsidR="008B79E6" w:rsidRPr="005B2842">
        <w:t xml:space="preserve"> cross-site evaluations that </w:t>
      </w:r>
      <w:r w:rsidR="008B79E6">
        <w:t>included</w:t>
      </w:r>
      <w:r w:rsidR="008B79E6" w:rsidRPr="005B2842">
        <w:t xml:space="preserve"> self-report, self-administered client surveys (e.g., SA</w:t>
      </w:r>
      <w:r w:rsidR="008B79E6">
        <w:t>MHSA CSAT Access t</w:t>
      </w:r>
      <w:r w:rsidR="008B79E6" w:rsidRPr="005B2842">
        <w:t xml:space="preserve">o Recovery, OMB control number 0930-0299). </w:t>
      </w:r>
      <w:r w:rsidR="008B79E6" w:rsidRPr="00F05097">
        <w:t>A sample screen shot of this design is shown below.</w:t>
      </w:r>
      <w:r w:rsidR="00B1660E" w:rsidRPr="00F25254">
        <w:t xml:space="preserve"> </w:t>
      </w:r>
    </w:p>
    <w:p w:rsidR="00B1660E" w:rsidRDefault="00B1660E" w:rsidP="00CD0E6B">
      <w:pPr>
        <w:pStyle w:val="NoSpacing"/>
        <w:jc w:val="both"/>
      </w:pPr>
    </w:p>
    <w:p w:rsidR="008B79E6" w:rsidRDefault="001A42D5" w:rsidP="00CD0E6B">
      <w:pPr>
        <w:pStyle w:val="NoSpacing"/>
        <w:jc w:val="both"/>
      </w:pPr>
      <w:r>
        <w:rPr>
          <w:noProof/>
        </w:rPr>
        <w:drawing>
          <wp:inline distT="0" distB="0" distL="0" distR="0" wp14:anchorId="6FF6FB74" wp14:editId="71197278">
            <wp:extent cx="5443220" cy="3027680"/>
            <wp:effectExtent l="19050" t="19050" r="24130" b="20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4688" t="10323" r="3751" b="19354"/>
                    <a:stretch>
                      <a:fillRect/>
                    </a:stretch>
                  </pic:blipFill>
                  <pic:spPr bwMode="auto">
                    <a:xfrm>
                      <a:off x="0" y="0"/>
                      <a:ext cx="5443220" cy="3027680"/>
                    </a:xfrm>
                    <a:prstGeom prst="rect">
                      <a:avLst/>
                    </a:prstGeom>
                    <a:noFill/>
                    <a:ln w="6350" cmpd="sng">
                      <a:solidFill>
                        <a:srgbClr val="000000"/>
                      </a:solidFill>
                      <a:miter lim="800000"/>
                      <a:headEnd/>
                      <a:tailEnd/>
                    </a:ln>
                    <a:effectLst/>
                  </pic:spPr>
                </pic:pic>
              </a:graphicData>
            </a:graphic>
          </wp:inline>
        </w:drawing>
      </w:r>
    </w:p>
    <w:p w:rsidR="008B79E6" w:rsidRPr="00F25254" w:rsidRDefault="008B79E6" w:rsidP="00CD0E6B">
      <w:pPr>
        <w:pStyle w:val="NoSpacing"/>
        <w:jc w:val="both"/>
      </w:pPr>
    </w:p>
    <w:p w:rsidR="00C65567" w:rsidRPr="00F25254" w:rsidRDefault="00D755F4" w:rsidP="00913557">
      <w:pPr>
        <w:pStyle w:val="NoSpacing"/>
        <w:jc w:val="both"/>
      </w:pPr>
      <w:r w:rsidRPr="00F25254">
        <w:rPr>
          <w:b/>
        </w:rPr>
        <w:t>Questionnaire specifics:</w:t>
      </w:r>
    </w:p>
    <w:p w:rsidR="00DD7D24" w:rsidRPr="000925C5" w:rsidRDefault="00DD7D24" w:rsidP="00E67D0A">
      <w:pPr>
        <w:pStyle w:val="NoSpacing"/>
        <w:jc w:val="both"/>
        <w:rPr>
          <w:b/>
          <w:bCs/>
        </w:rPr>
      </w:pPr>
      <w:r w:rsidRPr="000925C5">
        <w:rPr>
          <w:b/>
          <w:bCs/>
        </w:rPr>
        <w:t>In general, we would like to</w:t>
      </w:r>
      <w:r w:rsidR="00947545" w:rsidRPr="000925C5">
        <w:rPr>
          <w:b/>
          <w:bCs/>
        </w:rPr>
        <w:t xml:space="preserve"> see a cross</w:t>
      </w:r>
      <w:r w:rsidRPr="000925C5">
        <w:rPr>
          <w:b/>
          <w:bCs/>
        </w:rPr>
        <w:t>walk of each question and their justification as part of your package. We would also like to see evidence that the question</w:t>
      </w:r>
      <w:r w:rsidR="00187728" w:rsidRPr="000925C5">
        <w:rPr>
          <w:b/>
          <w:bCs/>
        </w:rPr>
        <w:t>s</w:t>
      </w:r>
      <w:r w:rsidRPr="000925C5">
        <w:rPr>
          <w:b/>
          <w:bCs/>
        </w:rPr>
        <w:t xml:space="preserve"> have been vetted prior to inclusion </w:t>
      </w:r>
      <w:r w:rsidR="00947545" w:rsidRPr="000925C5">
        <w:rPr>
          <w:b/>
          <w:bCs/>
        </w:rPr>
        <w:t xml:space="preserve">in the evaluation </w:t>
      </w:r>
      <w:r w:rsidRPr="000925C5">
        <w:rPr>
          <w:b/>
          <w:bCs/>
        </w:rPr>
        <w:t xml:space="preserve">since all questions need to be either cognitively tested or from an already existing well established study before they can be used in this evaluation. </w:t>
      </w:r>
    </w:p>
    <w:p w:rsidR="009B5065" w:rsidRPr="000925C5" w:rsidRDefault="009B5065" w:rsidP="00E67D0A">
      <w:pPr>
        <w:pStyle w:val="NoSpacing"/>
        <w:jc w:val="both"/>
        <w:rPr>
          <w:b/>
          <w:bCs/>
        </w:rPr>
      </w:pPr>
    </w:p>
    <w:p w:rsidR="00B90623" w:rsidRPr="00F25254" w:rsidRDefault="006E3170" w:rsidP="00160619">
      <w:pPr>
        <w:pStyle w:val="NoSpacing"/>
        <w:jc w:val="both"/>
        <w:rPr>
          <w:rFonts w:ascii="Arial" w:hAnsi="Arial" w:cs="Arial"/>
          <w:sz w:val="16"/>
          <w:szCs w:val="16"/>
        </w:rPr>
      </w:pPr>
      <w:r w:rsidRPr="000925C5">
        <w:rPr>
          <w:i/>
          <w:iCs/>
          <w:u w:val="single"/>
        </w:rPr>
        <w:t>Response</w:t>
      </w:r>
      <w:r w:rsidRPr="000925C5">
        <w:t>:</w:t>
      </w:r>
      <w:r w:rsidRPr="00F25254">
        <w:t xml:space="preserve"> </w:t>
      </w:r>
      <w:r w:rsidR="009E020F" w:rsidRPr="00F25254">
        <w:t xml:space="preserve">Below per your request in table format is the item number (noting if from baseline (B) or </w:t>
      </w:r>
      <w:r w:rsidR="00187728" w:rsidRPr="00F25254">
        <w:t>6-</w:t>
      </w:r>
      <w:r w:rsidR="009E020F" w:rsidRPr="00F25254">
        <w:t xml:space="preserve">month follow-up (FU)), domain, justification, a study citation, </w:t>
      </w:r>
      <w:r w:rsidR="00EB4783">
        <w:t xml:space="preserve">and </w:t>
      </w:r>
      <w:r w:rsidR="009E020F" w:rsidRPr="00F25254">
        <w:t xml:space="preserve">OMB </w:t>
      </w:r>
      <w:r w:rsidR="00EB4783">
        <w:t>control</w:t>
      </w:r>
      <w:r w:rsidR="009E020F" w:rsidRPr="00F25254">
        <w:t xml:space="preserve"> number if previously included in OMB study or standing program performance measure</w:t>
      </w:r>
      <w:r w:rsidR="009331CB" w:rsidRPr="00EB4783">
        <w:t>.</w:t>
      </w:r>
      <w:r w:rsidR="009331CB" w:rsidRPr="00F25254">
        <w:t xml:space="preserve"> In addition to vetting the questions with the expert panel (see </w:t>
      </w:r>
      <w:r w:rsidR="00EB4783" w:rsidRPr="00385180">
        <w:t>s</w:t>
      </w:r>
      <w:r w:rsidR="00EB4783">
        <w:t xml:space="preserve">ection </w:t>
      </w:r>
      <w:r w:rsidR="00802453">
        <w:t xml:space="preserve">A.2, page 4 and section </w:t>
      </w:r>
      <w:r w:rsidR="00EB4783">
        <w:t>A.8, pages 9-11</w:t>
      </w:r>
      <w:r w:rsidR="009331CB" w:rsidRPr="00F25254">
        <w:t xml:space="preserve"> of the Supporting Statement), SAMHSA, each of the 25 GBHI Treatment for Homeless Grantees and their local evaluators during 2010-2011 site visits, and receiving information from two Grantees that tested the interviews with a few of their clients</w:t>
      </w:r>
      <w:r w:rsidR="000925C5">
        <w:t xml:space="preserve"> (during the response/comment period)</w:t>
      </w:r>
      <w:r w:rsidR="009331CB" w:rsidRPr="00F25254">
        <w:t xml:space="preserve">, we conducted a pilot study with cognitive testing of the GBHI </w:t>
      </w:r>
      <w:r w:rsidR="000925C5">
        <w:t xml:space="preserve">client </w:t>
      </w:r>
      <w:r w:rsidR="009331CB" w:rsidRPr="00F25254">
        <w:t xml:space="preserve">baseline and 6-month client measures.  As described above, in preparation for possible OMB approval, and to ensure feasibility of procedures, and confirm that estimates of burden, </w:t>
      </w:r>
      <w:r w:rsidR="00187728" w:rsidRPr="00F25254">
        <w:t xml:space="preserve">ease </w:t>
      </w:r>
      <w:r w:rsidR="009331CB" w:rsidRPr="00F25254">
        <w:t xml:space="preserve">of administration and response were consistent for active clients with those who had recovered, we completed a pilot study.  The study included two sites with active SAMHSA clients, both the baseline survey and the 6-month survey </w:t>
      </w:r>
      <w:r w:rsidR="00EB4783">
        <w:t>were</w:t>
      </w:r>
      <w:r w:rsidR="009331CB" w:rsidRPr="00F25254">
        <w:t xml:space="preserve"> administered and administration was varied with only the GBHI </w:t>
      </w:r>
      <w:r w:rsidR="000925C5">
        <w:t xml:space="preserve">client </w:t>
      </w:r>
      <w:r w:rsidR="009331CB" w:rsidRPr="00F25254">
        <w:t xml:space="preserve">survey and with the GBHI and GPRA </w:t>
      </w:r>
      <w:r w:rsidR="000925C5">
        <w:t xml:space="preserve">client </w:t>
      </w:r>
      <w:r w:rsidR="009331CB" w:rsidRPr="00F25254">
        <w:t xml:space="preserve">surveys. The burden estimates were as proposed and there were no problems or issues with the 1) consent process, 2) administration of the surveys, 3) responses, 4) self-administration, </w:t>
      </w:r>
      <w:r w:rsidR="000925C5">
        <w:t xml:space="preserve">and </w:t>
      </w:r>
      <w:r w:rsidR="009331CB" w:rsidRPr="00F25254">
        <w:t xml:space="preserve">5) formatting. Cognitive testing was included for both surveys as well as the combined survey assessment. </w:t>
      </w:r>
      <w:r w:rsidR="009331CB" w:rsidRPr="00EB4783">
        <w:t xml:space="preserve">One client suggested that the response order for </w:t>
      </w:r>
      <w:r w:rsidR="00EB4783">
        <w:t>H11 on the baseline (H8 on the 6-month follow-up)</w:t>
      </w:r>
      <w:r w:rsidR="00EB4783" w:rsidRPr="00EB4783">
        <w:t xml:space="preserve"> </w:t>
      </w:r>
      <w:r w:rsidR="009331CB" w:rsidRPr="00EB4783">
        <w:t xml:space="preserve">be changed </w:t>
      </w:r>
      <w:r w:rsidR="00EB4783">
        <w:t>to list the response option, “Not receiving mental health treatment”</w:t>
      </w:r>
      <w:r w:rsidR="009331CB" w:rsidRPr="00EB4783">
        <w:t xml:space="preserve"> </w:t>
      </w:r>
      <w:r w:rsidR="00EB4783">
        <w:t>as the first option</w:t>
      </w:r>
      <w:r w:rsidR="00DE0A71" w:rsidRPr="00F25254">
        <w:t>.</w:t>
      </w:r>
      <w:r w:rsidR="00EB4783">
        <w:t xml:space="preserve"> In addition to making this change, a show card has been developed for this question to aid in </w:t>
      </w:r>
      <w:r w:rsidR="00A23ADE">
        <w:t>client responding</w:t>
      </w:r>
      <w:r w:rsidR="00EB4783">
        <w:t>.</w:t>
      </w:r>
      <w:r w:rsidR="00DE0A71" w:rsidRPr="00F25254">
        <w:t xml:space="preserve"> </w:t>
      </w:r>
      <w:r w:rsidR="00A23ADE">
        <w:t xml:space="preserve"> </w:t>
      </w:r>
      <w:r w:rsidR="00DE0A71" w:rsidRPr="00F25254">
        <w:t xml:space="preserve">All found the </w:t>
      </w:r>
      <w:r w:rsidR="00A23ADE">
        <w:t xml:space="preserve">use of </w:t>
      </w:r>
      <w:r w:rsidR="00DE0A71" w:rsidRPr="00F25254">
        <w:t>show cards helpful</w:t>
      </w:r>
      <w:r w:rsidR="00A23ADE">
        <w:t xml:space="preserve"> on piloting</w:t>
      </w:r>
      <w:r w:rsidR="00DE0A71" w:rsidRPr="00F25254">
        <w:t xml:space="preserve">. </w:t>
      </w:r>
      <w:r w:rsidR="00A23ADE">
        <w:t xml:space="preserve">This is consistent with the literature reviewed above, that </w:t>
      </w:r>
      <w:proofErr w:type="spellStart"/>
      <w:r w:rsidR="00A23ADE">
        <w:t>Likert</w:t>
      </w:r>
      <w:proofErr w:type="spellEnd"/>
      <w:r w:rsidR="00A23ADE">
        <w:t xml:space="preserve"> scales are relatively easy to answer with little training for this population and that Show Cards or other visual aids can augment</w:t>
      </w:r>
      <w:r w:rsidR="003C0B7C">
        <w:t>,</w:t>
      </w:r>
      <w:r w:rsidR="00A23ADE">
        <w:t xml:space="preserve"> but take more learning if replace the traditional scale presentation (</w:t>
      </w:r>
      <w:r w:rsidR="00160619">
        <w:t xml:space="preserve">e.g., </w:t>
      </w:r>
      <w:proofErr w:type="spellStart"/>
      <w:r w:rsidR="00160619">
        <w:t>Hannson</w:t>
      </w:r>
      <w:proofErr w:type="spellEnd"/>
      <w:r w:rsidR="00160619">
        <w:t xml:space="preserve">  </w:t>
      </w:r>
      <w:proofErr w:type="spellStart"/>
      <w:r w:rsidR="00160619">
        <w:t>ARnetz</w:t>
      </w:r>
      <w:proofErr w:type="spellEnd"/>
      <w:r w:rsidR="00160619">
        <w:t>, 2005)</w:t>
      </w:r>
      <w:r w:rsidR="00A23ADE">
        <w:t xml:space="preserve">. </w:t>
      </w:r>
      <w:r w:rsidR="00DE0A71" w:rsidRPr="00F25254">
        <w:t xml:space="preserve">The lack of problems </w:t>
      </w:r>
      <w:r w:rsidR="00DE0A71" w:rsidRPr="00861C08">
        <w:t xml:space="preserve">were not surprising as the majority of measures are derived from standardized measures </w:t>
      </w:r>
      <w:r w:rsidR="00A23ADE" w:rsidRPr="00861C08">
        <w:t>(for example,</w:t>
      </w:r>
      <w:r w:rsidR="003C0B7C" w:rsidRPr="00861C08">
        <w:rPr>
          <w:rFonts w:cs="Arial"/>
        </w:rPr>
        <w:t xml:space="preserve"> </w:t>
      </w:r>
      <w:proofErr w:type="spellStart"/>
      <w:r w:rsidR="003C0B7C" w:rsidRPr="00861C08">
        <w:rPr>
          <w:rFonts w:cs="Arial"/>
        </w:rPr>
        <w:t>Ditton</w:t>
      </w:r>
      <w:proofErr w:type="spellEnd"/>
      <w:r w:rsidR="003C0B7C" w:rsidRPr="00861C08">
        <w:rPr>
          <w:rFonts w:cs="Arial"/>
        </w:rPr>
        <w:t>, 1999;</w:t>
      </w:r>
      <w:r w:rsidR="003C0B7C" w:rsidRPr="00861C08">
        <w:rPr>
          <w:bCs/>
        </w:rPr>
        <w:t xml:space="preserve"> </w:t>
      </w:r>
      <w:r w:rsidR="007F784F" w:rsidRPr="00861C08">
        <w:rPr>
          <w:rFonts w:cs="Arial"/>
        </w:rPr>
        <w:t xml:space="preserve">Dunlap et al., 2010; </w:t>
      </w:r>
      <w:proofErr w:type="spellStart"/>
      <w:r w:rsidR="003C0B7C" w:rsidRPr="00861C08">
        <w:rPr>
          <w:rFonts w:cs="Arial"/>
        </w:rPr>
        <w:t>Ganju</w:t>
      </w:r>
      <w:proofErr w:type="spellEnd"/>
      <w:r w:rsidR="003C0B7C" w:rsidRPr="00861C08">
        <w:rPr>
          <w:rFonts w:cs="Arial"/>
        </w:rPr>
        <w:t xml:space="preserve">, 1999; </w:t>
      </w:r>
      <w:proofErr w:type="spellStart"/>
      <w:r w:rsidR="00861C08" w:rsidRPr="00861C08">
        <w:rPr>
          <w:rFonts w:cs="Arial"/>
        </w:rPr>
        <w:t>Hser</w:t>
      </w:r>
      <w:proofErr w:type="spellEnd"/>
      <w:r w:rsidR="00861C08" w:rsidRPr="00861C08">
        <w:rPr>
          <w:rFonts w:cs="Arial"/>
        </w:rPr>
        <w:t xml:space="preserve"> et al., 1998; </w:t>
      </w:r>
      <w:r w:rsidR="003C0B7C" w:rsidRPr="00861C08">
        <w:rPr>
          <w:bCs/>
        </w:rPr>
        <w:t xml:space="preserve">Kean, Newman, &amp; </w:t>
      </w:r>
      <w:proofErr w:type="spellStart"/>
      <w:r w:rsidR="003C0B7C" w:rsidRPr="00861C08">
        <w:rPr>
          <w:bCs/>
        </w:rPr>
        <w:t>Orsillo</w:t>
      </w:r>
      <w:proofErr w:type="spellEnd"/>
      <w:r w:rsidR="003C0B7C" w:rsidRPr="00861C08">
        <w:rPr>
          <w:bCs/>
        </w:rPr>
        <w:t xml:space="preserve">, 1997; </w:t>
      </w:r>
      <w:r w:rsidR="003C0B7C" w:rsidRPr="00861C08">
        <w:rPr>
          <w:rFonts w:cs="Arial"/>
        </w:rPr>
        <w:t xml:space="preserve">Lang &amp; Stein, 2005;  Robbins et al., 2009; </w:t>
      </w:r>
      <w:proofErr w:type="spellStart"/>
      <w:r w:rsidR="003C0B7C" w:rsidRPr="00861C08">
        <w:rPr>
          <w:rFonts w:cs="Arial"/>
        </w:rPr>
        <w:t>Rollnick</w:t>
      </w:r>
      <w:proofErr w:type="spellEnd"/>
      <w:r w:rsidR="003C0B7C" w:rsidRPr="00861C08">
        <w:rPr>
          <w:rFonts w:cs="Arial"/>
        </w:rPr>
        <w:t xml:space="preserve"> et al., 1992; </w:t>
      </w:r>
      <w:r w:rsidR="003C0B7C" w:rsidRPr="00861C08">
        <w:rPr>
          <w:bCs/>
        </w:rPr>
        <w:t>Ruggiero,</w:t>
      </w:r>
      <w:r w:rsidR="003C0B7C" w:rsidRPr="00861C08">
        <w:t xml:space="preserve"> </w:t>
      </w:r>
      <w:r w:rsidR="003C0B7C" w:rsidRPr="00861C08">
        <w:rPr>
          <w:bCs/>
        </w:rPr>
        <w:t xml:space="preserve">Del Ben, </w:t>
      </w:r>
      <w:proofErr w:type="spellStart"/>
      <w:r w:rsidR="003C0B7C" w:rsidRPr="00861C08">
        <w:rPr>
          <w:bCs/>
        </w:rPr>
        <w:t>Scotti</w:t>
      </w:r>
      <w:proofErr w:type="spellEnd"/>
      <w:r w:rsidR="003C0B7C" w:rsidRPr="00861C08">
        <w:rPr>
          <w:bCs/>
        </w:rPr>
        <w:t xml:space="preserve">, </w:t>
      </w:r>
      <w:r w:rsidR="003C0B7C" w:rsidRPr="00861C08">
        <w:t xml:space="preserve">&amp; </w:t>
      </w:r>
      <w:proofErr w:type="spellStart"/>
      <w:r w:rsidR="003C0B7C" w:rsidRPr="00861C08">
        <w:rPr>
          <w:bCs/>
        </w:rPr>
        <w:t>Rabalais</w:t>
      </w:r>
      <w:proofErr w:type="spellEnd"/>
      <w:r w:rsidR="003C0B7C" w:rsidRPr="00861C08">
        <w:rPr>
          <w:bCs/>
        </w:rPr>
        <w:t xml:space="preserve">, 2003; </w:t>
      </w:r>
      <w:r w:rsidR="00861C08" w:rsidRPr="00861C08">
        <w:rPr>
          <w:rFonts w:cs="Arial"/>
        </w:rPr>
        <w:t xml:space="preserve">Salome et al., 2003; </w:t>
      </w:r>
      <w:proofErr w:type="spellStart"/>
      <w:r w:rsidR="00861C08" w:rsidRPr="00861C08">
        <w:rPr>
          <w:rFonts w:cs="Arial"/>
        </w:rPr>
        <w:t>Schulper</w:t>
      </w:r>
      <w:proofErr w:type="spellEnd"/>
      <w:r w:rsidR="00861C08" w:rsidRPr="00861C08">
        <w:rPr>
          <w:rFonts w:cs="Arial"/>
        </w:rPr>
        <w:t xml:space="preserve"> et al., 2000; Secker-Walker et al., 1999; </w:t>
      </w:r>
      <w:proofErr w:type="spellStart"/>
      <w:r w:rsidR="00861C08" w:rsidRPr="00861C08">
        <w:rPr>
          <w:rFonts w:cs="Arial"/>
        </w:rPr>
        <w:t>Shireman</w:t>
      </w:r>
      <w:proofErr w:type="spellEnd"/>
      <w:r w:rsidR="00861C08" w:rsidRPr="00861C08">
        <w:rPr>
          <w:rFonts w:cs="Arial"/>
        </w:rPr>
        <w:t xml:space="preserve"> et al., 2001; </w:t>
      </w:r>
      <w:proofErr w:type="spellStart"/>
      <w:r w:rsidR="00861C08" w:rsidRPr="00861C08">
        <w:rPr>
          <w:rFonts w:cs="Arial"/>
        </w:rPr>
        <w:t>Srebnik</w:t>
      </w:r>
      <w:proofErr w:type="spellEnd"/>
      <w:r w:rsidR="00861C08" w:rsidRPr="00861C08">
        <w:rPr>
          <w:rFonts w:cs="Arial"/>
        </w:rPr>
        <w:t xml:space="preserve"> et </w:t>
      </w:r>
      <w:proofErr w:type="spellStart"/>
      <w:r w:rsidR="00861C08" w:rsidRPr="00861C08">
        <w:rPr>
          <w:rFonts w:cs="Arial"/>
        </w:rPr>
        <w:t>al’s</w:t>
      </w:r>
      <w:proofErr w:type="spellEnd"/>
      <w:r w:rsidR="00861C08" w:rsidRPr="00861C08">
        <w:rPr>
          <w:rFonts w:cs="Arial"/>
        </w:rPr>
        <w:t xml:space="preserve"> (1995);</w:t>
      </w:r>
      <w:r w:rsidR="003C0B7C" w:rsidRPr="00861C08">
        <w:rPr>
          <w:rFonts w:cs="Arial"/>
        </w:rPr>
        <w:t>Tsemberis et al., 2004;</w:t>
      </w:r>
      <w:r w:rsidR="00861C08" w:rsidRPr="00861C08">
        <w:rPr>
          <w:rFonts w:cs="Arial"/>
        </w:rPr>
        <w:t xml:space="preserve"> Tucker et al., 2004; </w:t>
      </w:r>
      <w:r w:rsidR="003C0B7C" w:rsidRPr="00861C08">
        <w:rPr>
          <w:rFonts w:cs="Arial"/>
        </w:rPr>
        <w:t xml:space="preserve"> Weathers et al., 1994</w:t>
      </w:r>
      <w:r w:rsidR="00861C08" w:rsidRPr="00861C08">
        <w:rPr>
          <w:rFonts w:cs="Arial"/>
        </w:rPr>
        <w:t xml:space="preserve">; </w:t>
      </w:r>
      <w:proofErr w:type="spellStart"/>
      <w:r w:rsidR="00861C08" w:rsidRPr="00861C08">
        <w:rPr>
          <w:rFonts w:cs="Arial"/>
        </w:rPr>
        <w:t>Yarbroff</w:t>
      </w:r>
      <w:proofErr w:type="spellEnd"/>
      <w:r w:rsidR="00861C08" w:rsidRPr="00861C08">
        <w:rPr>
          <w:rFonts w:cs="Arial"/>
        </w:rPr>
        <w:t xml:space="preserve"> et al., 2005 </w:t>
      </w:r>
      <w:r w:rsidR="00A23ADE" w:rsidRPr="00861C08">
        <w:t xml:space="preserve">) </w:t>
      </w:r>
      <w:r w:rsidR="00DE0A71" w:rsidRPr="00861C08">
        <w:t>and or OMB approved surveys</w:t>
      </w:r>
      <w:r w:rsidR="00861C08" w:rsidRPr="00861C08">
        <w:t xml:space="preserve"> that include several of these standardized measures</w:t>
      </w:r>
      <w:r w:rsidR="00DE0A71" w:rsidRPr="00861C08">
        <w:t xml:space="preserve"> </w:t>
      </w:r>
      <w:r w:rsidR="00A23ADE" w:rsidRPr="00861C08">
        <w:t xml:space="preserve">(for example, </w:t>
      </w:r>
      <w:r w:rsidR="003C0B7C" w:rsidRPr="00861C08">
        <w:t xml:space="preserve">OMB control numbers: </w:t>
      </w:r>
      <w:r w:rsidR="003C0B7C" w:rsidRPr="00861C08">
        <w:rPr>
          <w:rFonts w:cs="Arial"/>
        </w:rPr>
        <w:t>0930-0277, 0930-0223, 2528-0239, 0930-0247)</w:t>
      </w:r>
      <w:r w:rsidR="00861C08" w:rsidRPr="00861C08">
        <w:rPr>
          <w:rFonts w:cs="Arial"/>
        </w:rPr>
        <w:t>,</w:t>
      </w:r>
      <w:r w:rsidR="003C0B7C" w:rsidRPr="00861C08">
        <w:rPr>
          <w:rFonts w:cs="Arial"/>
        </w:rPr>
        <w:t xml:space="preserve"> </w:t>
      </w:r>
      <w:r w:rsidR="00861C08" w:rsidRPr="00861C08">
        <w:rPr>
          <w:rFonts w:cs="Arial"/>
        </w:rPr>
        <w:t xml:space="preserve">implemented </w:t>
      </w:r>
      <w:r w:rsidR="00DE0A71" w:rsidRPr="00861C08">
        <w:t xml:space="preserve">with similar or identical populations, were familiar to the cross-site evaluation team, </w:t>
      </w:r>
      <w:r w:rsidR="00861C08" w:rsidRPr="00861C08">
        <w:t xml:space="preserve">and </w:t>
      </w:r>
      <w:r w:rsidR="00DE0A71" w:rsidRPr="00861C08">
        <w:t>recommended</w:t>
      </w:r>
      <w:r w:rsidR="00DE0A71" w:rsidRPr="00F25254">
        <w:t xml:space="preserve"> by the expert panel and well received by Grantees.</w:t>
      </w:r>
      <w:r w:rsidR="00861C08">
        <w:t xml:space="preserve"> Below in table format we list the baseline (or follow-up if noted) item number, domain, justification, literature citations and the OMB control number if previously included in a OMB approved survey.</w:t>
      </w:r>
      <w:r w:rsidR="00DE0A71" w:rsidRPr="00F25254">
        <w:t xml:space="preserve"> </w:t>
      </w:r>
      <w:r w:rsidR="00861C08">
        <w:t>A more in depth review of measures, their development and related peer review journal articles is also available in Broner et al., 2010, the literature review prepared and disseminated for the GBHI cross-site evaluation.</w:t>
      </w:r>
    </w:p>
    <w:p w:rsidR="00B90623" w:rsidRPr="00F25254" w:rsidRDefault="00B90623" w:rsidP="00B90623">
      <w:pPr>
        <w:spacing w:after="0" w:line="240" w:lineRule="auto"/>
        <w:rPr>
          <w:rFonts w:ascii="Arial" w:hAnsi="Arial" w:cs="Arial"/>
          <w:sz w:val="16"/>
          <w:szCs w:val="16"/>
        </w:rPr>
      </w:pPr>
      <w:r w:rsidRPr="00F25254">
        <w:rPr>
          <w:rFonts w:ascii="Arial" w:hAnsi="Arial" w:cs="Arial"/>
          <w:sz w:val="16"/>
          <w:szCs w:val="16"/>
        </w:rPr>
        <w:t xml:space="preserve"> </w:t>
      </w:r>
    </w:p>
    <w:p w:rsidR="008906C2" w:rsidRDefault="008906C2" w:rsidP="00E67D0A">
      <w:pPr>
        <w:pStyle w:val="NoSpacing"/>
        <w:jc w:val="both"/>
        <w:rPr>
          <w:highlight w:val="yellow"/>
        </w:rPr>
      </w:pPr>
    </w:p>
    <w:p w:rsidR="006E3170" w:rsidRDefault="00A41F20" w:rsidP="00861C08">
      <w:pPr>
        <w:pStyle w:val="NoSpacing"/>
        <w:jc w:val="both"/>
      </w:pPr>
      <w:r>
        <w:rPr>
          <w:highlight w:val="yellow"/>
        </w:rPr>
        <w:br w:type="page"/>
      </w:r>
    </w:p>
    <w:p w:rsidR="00A23ADE" w:rsidRPr="00F25254" w:rsidRDefault="00A23ADE" w:rsidP="00A23ADE">
      <w:pPr>
        <w:spacing w:after="0" w:line="240" w:lineRule="auto"/>
        <w:rPr>
          <w:rFonts w:ascii="Arial" w:hAnsi="Arial" w:cs="Arial"/>
          <w:sz w:val="16"/>
          <w:szCs w:val="16"/>
        </w:rPr>
      </w:pPr>
      <w:r>
        <w:rPr>
          <w:rFonts w:ascii="Arial" w:hAnsi="Arial" w:cs="Arial"/>
          <w:sz w:val="16"/>
          <w:szCs w:val="16"/>
        </w:rPr>
        <w:lastRenderedPageBreak/>
        <w:t xml:space="preserve">; </w:t>
      </w:r>
    </w:p>
    <w:p w:rsidR="00A23ADE" w:rsidRPr="00F25254" w:rsidRDefault="00A23ADE" w:rsidP="00A23ADE">
      <w:pPr>
        <w:spacing w:after="0" w:line="240" w:lineRule="auto"/>
        <w:rPr>
          <w:rFonts w:ascii="Arial" w:hAnsi="Arial" w:cs="Arial"/>
          <w:sz w:val="16"/>
          <w:szCs w:val="16"/>
        </w:rPr>
      </w:pPr>
      <w:r>
        <w:rPr>
          <w:rFonts w:ascii="Arial" w:hAnsi="Arial" w:cs="Arial"/>
          <w:sz w:val="16"/>
          <w:szCs w:val="16"/>
        </w:rPr>
        <w:t xml:space="preserve"> , </w:t>
      </w:r>
    </w:p>
    <w:p w:rsidR="00A23ADE" w:rsidRPr="00F25254" w:rsidRDefault="00A23ADE" w:rsidP="00A23ADE">
      <w:pPr>
        <w:spacing w:after="0" w:line="240" w:lineRule="auto"/>
        <w:rPr>
          <w:rFonts w:ascii="Arial" w:hAnsi="Arial" w:cs="Arial"/>
          <w:sz w:val="16"/>
          <w:szCs w:val="16"/>
        </w:rPr>
      </w:pPr>
    </w:p>
    <w:p w:rsidR="00A23ADE" w:rsidRPr="00F25254" w:rsidRDefault="00A23ADE" w:rsidP="00A23ADE">
      <w:pPr>
        <w:spacing w:after="0" w:line="240" w:lineRule="auto"/>
        <w:rPr>
          <w:rFonts w:ascii="Arial" w:hAnsi="Arial" w:cs="Arial"/>
          <w:sz w:val="16"/>
          <w:szCs w:val="16"/>
        </w:rPr>
      </w:pPr>
    </w:p>
    <w:p w:rsidR="00A14536" w:rsidRPr="00F25254" w:rsidRDefault="00A14536" w:rsidP="00A14536">
      <w:pPr>
        <w:pStyle w:val="NoSpacing"/>
        <w:jc w:val="both"/>
      </w:pPr>
    </w:p>
    <w:p w:rsidR="009E020F" w:rsidRPr="00A14536" w:rsidRDefault="00A14536" w:rsidP="00E67D0A">
      <w:pPr>
        <w:pStyle w:val="NoSpacing"/>
        <w:jc w:val="both"/>
        <w:rPr>
          <w:b/>
          <w:bCs/>
        </w:rPr>
      </w:pPr>
      <w:r w:rsidRPr="00A14536">
        <w:rPr>
          <w:b/>
          <w:bCs/>
        </w:rPr>
        <w:t xml:space="preserve">GBHI </w:t>
      </w:r>
      <w:r w:rsidR="00861C08">
        <w:rPr>
          <w:b/>
          <w:bCs/>
        </w:rPr>
        <w:t xml:space="preserve">Cross-Site Evaluation </w:t>
      </w:r>
      <w:r w:rsidRPr="00A14536">
        <w:rPr>
          <w:b/>
          <w:bCs/>
        </w:rPr>
        <w:t>Client Interview measures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1260"/>
        <w:gridCol w:w="3240"/>
        <w:gridCol w:w="1800"/>
        <w:gridCol w:w="1170"/>
        <w:gridCol w:w="900"/>
      </w:tblGrid>
      <w:tr w:rsidR="00FB0406" w:rsidRPr="00F25254" w:rsidTr="00861C08">
        <w:trPr>
          <w:tblHeader/>
        </w:trPr>
        <w:tc>
          <w:tcPr>
            <w:tcW w:w="1098" w:type="dxa"/>
          </w:tcPr>
          <w:p w:rsidR="008906C2" w:rsidRPr="00861C08" w:rsidRDefault="008906C2" w:rsidP="00457768">
            <w:pPr>
              <w:pStyle w:val="NoSpacing"/>
              <w:jc w:val="center"/>
              <w:rPr>
                <w:rFonts w:ascii="Arial" w:hAnsi="Arial" w:cs="Arial"/>
                <w:b/>
                <w:bCs/>
                <w:sz w:val="18"/>
                <w:szCs w:val="18"/>
              </w:rPr>
            </w:pPr>
            <w:r w:rsidRPr="00861C08">
              <w:rPr>
                <w:rFonts w:ascii="Arial" w:hAnsi="Arial" w:cs="Arial"/>
                <w:b/>
                <w:bCs/>
                <w:sz w:val="18"/>
                <w:szCs w:val="18"/>
              </w:rPr>
              <w:t>Item number (</w:t>
            </w:r>
            <w:r w:rsidR="005F0D6E" w:rsidRPr="00861C08">
              <w:rPr>
                <w:rFonts w:ascii="Arial" w:hAnsi="Arial" w:cs="Arial"/>
                <w:b/>
                <w:bCs/>
                <w:sz w:val="18"/>
                <w:szCs w:val="18"/>
              </w:rPr>
              <w:t>B</w:t>
            </w:r>
            <w:r w:rsidRPr="00861C08">
              <w:rPr>
                <w:rFonts w:ascii="Arial" w:hAnsi="Arial" w:cs="Arial"/>
                <w:b/>
                <w:bCs/>
                <w:sz w:val="18"/>
                <w:szCs w:val="18"/>
              </w:rPr>
              <w:t>ase</w:t>
            </w:r>
            <w:r w:rsidR="00861C08" w:rsidRPr="00861C08">
              <w:rPr>
                <w:rFonts w:ascii="Arial" w:hAnsi="Arial" w:cs="Arial"/>
                <w:b/>
                <w:bCs/>
                <w:sz w:val="18"/>
                <w:szCs w:val="18"/>
              </w:rPr>
              <w:t>-</w:t>
            </w:r>
            <w:r w:rsidRPr="00861C08">
              <w:rPr>
                <w:rFonts w:ascii="Arial" w:hAnsi="Arial" w:cs="Arial"/>
                <w:b/>
                <w:bCs/>
                <w:sz w:val="18"/>
                <w:szCs w:val="18"/>
              </w:rPr>
              <w:t>line)</w:t>
            </w:r>
          </w:p>
        </w:tc>
        <w:tc>
          <w:tcPr>
            <w:tcW w:w="1260" w:type="dxa"/>
          </w:tcPr>
          <w:p w:rsidR="008906C2" w:rsidRPr="00861C08" w:rsidRDefault="008906C2" w:rsidP="00457768">
            <w:pPr>
              <w:pStyle w:val="NoSpacing"/>
              <w:jc w:val="center"/>
              <w:rPr>
                <w:rFonts w:ascii="Arial" w:hAnsi="Arial" w:cs="Arial"/>
                <w:b/>
                <w:bCs/>
                <w:sz w:val="18"/>
                <w:szCs w:val="18"/>
              </w:rPr>
            </w:pPr>
            <w:r w:rsidRPr="00861C08">
              <w:rPr>
                <w:rFonts w:ascii="Arial" w:hAnsi="Arial" w:cs="Arial"/>
                <w:b/>
                <w:bCs/>
                <w:sz w:val="18"/>
                <w:szCs w:val="18"/>
              </w:rPr>
              <w:t>Domain</w:t>
            </w:r>
          </w:p>
        </w:tc>
        <w:tc>
          <w:tcPr>
            <w:tcW w:w="3240" w:type="dxa"/>
          </w:tcPr>
          <w:p w:rsidR="008906C2" w:rsidRPr="00861C08" w:rsidRDefault="008906C2" w:rsidP="00457768">
            <w:pPr>
              <w:pStyle w:val="NoSpacing"/>
              <w:jc w:val="center"/>
              <w:rPr>
                <w:rFonts w:ascii="Arial" w:hAnsi="Arial" w:cs="Arial"/>
                <w:b/>
                <w:bCs/>
                <w:sz w:val="18"/>
                <w:szCs w:val="18"/>
              </w:rPr>
            </w:pPr>
            <w:r w:rsidRPr="00861C08">
              <w:rPr>
                <w:rFonts w:ascii="Arial" w:hAnsi="Arial" w:cs="Arial"/>
                <w:b/>
                <w:bCs/>
                <w:sz w:val="18"/>
                <w:szCs w:val="18"/>
              </w:rPr>
              <w:t>Justification</w:t>
            </w:r>
          </w:p>
        </w:tc>
        <w:tc>
          <w:tcPr>
            <w:tcW w:w="1800" w:type="dxa"/>
          </w:tcPr>
          <w:p w:rsidR="008906C2" w:rsidRPr="00861C08" w:rsidRDefault="008906C2" w:rsidP="00457768">
            <w:pPr>
              <w:pStyle w:val="NoSpacing"/>
              <w:jc w:val="center"/>
              <w:rPr>
                <w:rFonts w:ascii="Arial" w:hAnsi="Arial" w:cs="Arial"/>
                <w:b/>
                <w:bCs/>
                <w:sz w:val="18"/>
                <w:szCs w:val="18"/>
              </w:rPr>
            </w:pPr>
            <w:r w:rsidRPr="00861C08">
              <w:rPr>
                <w:rFonts w:ascii="Arial" w:hAnsi="Arial" w:cs="Arial"/>
                <w:b/>
                <w:bCs/>
                <w:sz w:val="18"/>
                <w:szCs w:val="18"/>
              </w:rPr>
              <w:t>Study citation</w:t>
            </w:r>
          </w:p>
        </w:tc>
        <w:tc>
          <w:tcPr>
            <w:tcW w:w="1170" w:type="dxa"/>
          </w:tcPr>
          <w:p w:rsidR="008906C2" w:rsidRPr="00861C08" w:rsidRDefault="008906C2" w:rsidP="00457768">
            <w:pPr>
              <w:pStyle w:val="NoSpacing"/>
              <w:jc w:val="center"/>
              <w:rPr>
                <w:rFonts w:ascii="Arial" w:hAnsi="Arial" w:cs="Arial"/>
                <w:b/>
                <w:bCs/>
                <w:sz w:val="18"/>
                <w:szCs w:val="18"/>
              </w:rPr>
            </w:pPr>
            <w:r w:rsidRPr="00861C08">
              <w:rPr>
                <w:rFonts w:ascii="Arial" w:hAnsi="Arial" w:cs="Arial"/>
                <w:b/>
                <w:bCs/>
                <w:sz w:val="18"/>
                <w:szCs w:val="18"/>
              </w:rPr>
              <w:t>Population</w:t>
            </w:r>
          </w:p>
        </w:tc>
        <w:tc>
          <w:tcPr>
            <w:tcW w:w="900" w:type="dxa"/>
          </w:tcPr>
          <w:p w:rsidR="008906C2" w:rsidRPr="00861C08" w:rsidRDefault="008906C2" w:rsidP="00457768">
            <w:pPr>
              <w:pStyle w:val="NoSpacing"/>
              <w:jc w:val="center"/>
              <w:rPr>
                <w:rFonts w:ascii="Arial" w:hAnsi="Arial" w:cs="Arial"/>
                <w:b/>
                <w:bCs/>
                <w:sz w:val="18"/>
                <w:szCs w:val="18"/>
              </w:rPr>
            </w:pPr>
            <w:r w:rsidRPr="00861C08">
              <w:rPr>
                <w:rFonts w:ascii="Arial" w:hAnsi="Arial" w:cs="Arial"/>
                <w:b/>
                <w:bCs/>
                <w:sz w:val="18"/>
                <w:szCs w:val="18"/>
              </w:rPr>
              <w:t xml:space="preserve">OMB </w:t>
            </w:r>
            <w:r w:rsidR="00FB0406" w:rsidRPr="00861C08">
              <w:rPr>
                <w:rFonts w:ascii="Arial" w:hAnsi="Arial" w:cs="Arial"/>
                <w:b/>
                <w:bCs/>
                <w:sz w:val="18"/>
                <w:szCs w:val="18"/>
              </w:rPr>
              <w:t>C</w:t>
            </w:r>
            <w:r w:rsidRPr="00861C08">
              <w:rPr>
                <w:rFonts w:ascii="Arial" w:hAnsi="Arial" w:cs="Arial"/>
                <w:b/>
                <w:bCs/>
                <w:sz w:val="18"/>
                <w:szCs w:val="18"/>
              </w:rPr>
              <w:t xml:space="preserve">ontrol </w:t>
            </w:r>
            <w:r w:rsidR="00FB0406" w:rsidRPr="00861C08">
              <w:rPr>
                <w:rFonts w:ascii="Arial" w:hAnsi="Arial" w:cs="Arial"/>
                <w:b/>
                <w:bCs/>
                <w:sz w:val="18"/>
                <w:szCs w:val="18"/>
              </w:rPr>
              <w:t>No.</w:t>
            </w:r>
          </w:p>
        </w:tc>
      </w:tr>
      <w:tr w:rsidR="00FB0406" w:rsidRPr="00F25254" w:rsidTr="00861C08">
        <w:tc>
          <w:tcPr>
            <w:tcW w:w="1098" w:type="dxa"/>
          </w:tcPr>
          <w:p w:rsidR="008906C2" w:rsidRPr="00F25254" w:rsidRDefault="008906C2" w:rsidP="00457768">
            <w:pPr>
              <w:pStyle w:val="NoSpacing"/>
              <w:jc w:val="both"/>
              <w:rPr>
                <w:rFonts w:ascii="Arial" w:hAnsi="Arial" w:cs="Arial"/>
                <w:sz w:val="16"/>
                <w:szCs w:val="16"/>
              </w:rPr>
            </w:pPr>
            <w:r w:rsidRPr="00F25254">
              <w:rPr>
                <w:rFonts w:ascii="Arial" w:hAnsi="Arial" w:cs="Arial"/>
                <w:sz w:val="16"/>
                <w:szCs w:val="16"/>
              </w:rPr>
              <w:t>M1-4 B</w:t>
            </w:r>
          </w:p>
        </w:tc>
        <w:tc>
          <w:tcPr>
            <w:tcW w:w="1260" w:type="dxa"/>
          </w:tcPr>
          <w:p w:rsidR="008906C2" w:rsidRPr="00F25254" w:rsidRDefault="008906C2" w:rsidP="00457768">
            <w:pPr>
              <w:pStyle w:val="NoSpacing"/>
              <w:rPr>
                <w:rFonts w:ascii="Arial" w:hAnsi="Arial" w:cs="Arial"/>
                <w:sz w:val="16"/>
                <w:szCs w:val="16"/>
              </w:rPr>
            </w:pPr>
            <w:r>
              <w:rPr>
                <w:rFonts w:ascii="Arial" w:hAnsi="Arial" w:cs="Arial"/>
                <w:sz w:val="16"/>
                <w:szCs w:val="16"/>
              </w:rPr>
              <w:t>Military Service</w:t>
            </w:r>
          </w:p>
        </w:tc>
        <w:tc>
          <w:tcPr>
            <w:tcW w:w="3240" w:type="dxa"/>
          </w:tcPr>
          <w:p w:rsidR="008906C2" w:rsidRPr="00F25254" w:rsidRDefault="008906C2" w:rsidP="00E74236">
            <w:pPr>
              <w:pStyle w:val="NoSpacing"/>
              <w:rPr>
                <w:rFonts w:ascii="Arial" w:hAnsi="Arial" w:cs="Arial"/>
                <w:sz w:val="16"/>
                <w:szCs w:val="16"/>
              </w:rPr>
            </w:pPr>
            <w:r>
              <w:rPr>
                <w:rFonts w:ascii="Arial" w:hAnsi="Arial" w:cs="Arial"/>
                <w:sz w:val="16"/>
                <w:szCs w:val="16"/>
              </w:rPr>
              <w:t>Veterans are an important subset of homeless individuals and GBHI clients; data will be used to compare veterans to non-veterans on service receipt, substance use, and mental health.</w:t>
            </w:r>
            <w:r w:rsidR="00861C08">
              <w:rPr>
                <w:rFonts w:ascii="Arial" w:hAnsi="Arial" w:cs="Arial"/>
                <w:sz w:val="16"/>
                <w:szCs w:val="16"/>
              </w:rPr>
              <w:t xml:space="preserve"> Analyses of PTSD and trauma data (see </w:t>
            </w:r>
            <w:r w:rsidR="00E74236">
              <w:rPr>
                <w:rFonts w:ascii="Arial" w:hAnsi="Arial" w:cs="Arial"/>
                <w:sz w:val="16"/>
                <w:szCs w:val="16"/>
              </w:rPr>
              <w:t xml:space="preserve">PTSD instrument </w:t>
            </w:r>
            <w:r w:rsidR="00861C08">
              <w:rPr>
                <w:rFonts w:ascii="Arial" w:hAnsi="Arial" w:cs="Arial"/>
                <w:sz w:val="16"/>
                <w:szCs w:val="16"/>
              </w:rPr>
              <w:t xml:space="preserve">below) will </w:t>
            </w:r>
            <w:r w:rsidR="00E74236">
              <w:rPr>
                <w:rFonts w:ascii="Arial" w:hAnsi="Arial" w:cs="Arial"/>
                <w:sz w:val="16"/>
                <w:szCs w:val="16"/>
              </w:rPr>
              <w:t>incorporate</w:t>
            </w:r>
            <w:r w:rsidR="00861C08">
              <w:rPr>
                <w:rFonts w:ascii="Arial" w:hAnsi="Arial" w:cs="Arial"/>
                <w:sz w:val="16"/>
                <w:szCs w:val="16"/>
              </w:rPr>
              <w:t xml:space="preserve"> the combat era question.</w:t>
            </w:r>
            <w:r w:rsidR="00E74236">
              <w:rPr>
                <w:rFonts w:ascii="Arial" w:hAnsi="Arial" w:cs="Arial"/>
                <w:sz w:val="16"/>
                <w:szCs w:val="16"/>
              </w:rPr>
              <w:t xml:space="preserve">  </w:t>
            </w:r>
          </w:p>
        </w:tc>
        <w:tc>
          <w:tcPr>
            <w:tcW w:w="1800" w:type="dxa"/>
          </w:tcPr>
          <w:p w:rsidR="008906C2" w:rsidRPr="00235638" w:rsidRDefault="008906C2" w:rsidP="00A74905">
            <w:pPr>
              <w:pStyle w:val="NoSpacing"/>
              <w:jc w:val="both"/>
              <w:rPr>
                <w:rFonts w:ascii="Arial" w:hAnsi="Arial" w:cs="Arial"/>
                <w:sz w:val="16"/>
                <w:szCs w:val="16"/>
              </w:rPr>
            </w:pPr>
            <w:r w:rsidRPr="00235638">
              <w:rPr>
                <w:rFonts w:ascii="Arial" w:hAnsi="Arial" w:cs="Arial"/>
                <w:sz w:val="16"/>
                <w:szCs w:val="16"/>
              </w:rPr>
              <w:t xml:space="preserve">Case et al., 2009; </w:t>
            </w:r>
            <w:r w:rsidR="00AE2D32">
              <w:rPr>
                <w:rFonts w:ascii="Arial" w:hAnsi="Arial" w:cs="Arial"/>
                <w:sz w:val="16"/>
                <w:szCs w:val="16"/>
              </w:rPr>
              <w:t>Naples et al., 2007</w:t>
            </w:r>
            <w:r w:rsidR="007F784F">
              <w:rPr>
                <w:rFonts w:ascii="Arial" w:hAnsi="Arial" w:cs="Arial"/>
                <w:sz w:val="16"/>
                <w:szCs w:val="16"/>
              </w:rPr>
              <w:t>.</w:t>
            </w:r>
            <w:r w:rsidR="00AE2D32">
              <w:rPr>
                <w:rFonts w:ascii="Arial" w:hAnsi="Arial" w:cs="Arial"/>
                <w:sz w:val="16"/>
                <w:szCs w:val="16"/>
              </w:rPr>
              <w:t xml:space="preserve"> </w:t>
            </w:r>
            <w:r w:rsidRPr="00235638">
              <w:rPr>
                <w:rFonts w:ascii="Arial" w:hAnsi="Arial" w:cs="Arial"/>
                <w:sz w:val="16"/>
                <w:szCs w:val="16"/>
              </w:rPr>
              <w:t xml:space="preserve"> </w:t>
            </w:r>
          </w:p>
        </w:tc>
        <w:tc>
          <w:tcPr>
            <w:tcW w:w="1170" w:type="dxa"/>
          </w:tcPr>
          <w:p w:rsidR="008906C2" w:rsidRPr="00F25254" w:rsidRDefault="008906C2" w:rsidP="00457768">
            <w:pPr>
              <w:pStyle w:val="NoSpacing"/>
              <w:jc w:val="both"/>
              <w:rPr>
                <w:rFonts w:ascii="Arial" w:hAnsi="Arial" w:cs="Arial"/>
                <w:sz w:val="16"/>
                <w:szCs w:val="16"/>
              </w:rPr>
            </w:pPr>
            <w:r w:rsidRPr="00F25254">
              <w:rPr>
                <w:rFonts w:ascii="Arial" w:hAnsi="Arial" w:cs="Arial"/>
                <w:sz w:val="16"/>
                <w:szCs w:val="16"/>
              </w:rPr>
              <w:t>SA, MI, COD, Veterans, CJ, homeless</w:t>
            </w:r>
          </w:p>
        </w:tc>
        <w:tc>
          <w:tcPr>
            <w:tcW w:w="900" w:type="dxa"/>
          </w:tcPr>
          <w:p w:rsidR="008906C2" w:rsidRPr="00F25254" w:rsidRDefault="008906C2" w:rsidP="00457768">
            <w:pPr>
              <w:spacing w:after="0" w:line="240" w:lineRule="auto"/>
              <w:rPr>
                <w:rFonts w:ascii="Arial" w:hAnsi="Arial" w:cs="Arial"/>
                <w:sz w:val="16"/>
                <w:szCs w:val="16"/>
              </w:rPr>
            </w:pPr>
            <w:r w:rsidRPr="00F25254">
              <w:rPr>
                <w:rFonts w:ascii="Arial" w:hAnsi="Arial" w:cs="Arial"/>
                <w:sz w:val="16"/>
                <w:szCs w:val="16"/>
              </w:rPr>
              <w:t>0930-0277</w:t>
            </w:r>
          </w:p>
          <w:p w:rsidR="008906C2" w:rsidRPr="00F25254" w:rsidRDefault="008906C2" w:rsidP="00457768">
            <w:pPr>
              <w:pStyle w:val="NoSpacing"/>
              <w:jc w:val="both"/>
              <w:rPr>
                <w:rFonts w:ascii="Arial" w:hAnsi="Arial" w:cs="Arial"/>
                <w:sz w:val="16"/>
                <w:szCs w:val="16"/>
              </w:rPr>
            </w:pPr>
          </w:p>
        </w:tc>
      </w:tr>
      <w:tr w:rsidR="00FB0406" w:rsidRPr="00F25254" w:rsidTr="00861C08">
        <w:tc>
          <w:tcPr>
            <w:tcW w:w="1098" w:type="dxa"/>
          </w:tcPr>
          <w:p w:rsidR="008906C2" w:rsidRPr="00F25254" w:rsidRDefault="008906C2" w:rsidP="00457768">
            <w:pPr>
              <w:pStyle w:val="NoSpacing"/>
              <w:jc w:val="both"/>
              <w:rPr>
                <w:rFonts w:ascii="Arial" w:hAnsi="Arial" w:cs="Arial"/>
                <w:sz w:val="16"/>
                <w:szCs w:val="16"/>
              </w:rPr>
            </w:pPr>
            <w:r w:rsidRPr="00F25254">
              <w:rPr>
                <w:rFonts w:ascii="Arial" w:hAnsi="Arial" w:cs="Arial"/>
                <w:sz w:val="16"/>
                <w:szCs w:val="16"/>
              </w:rPr>
              <w:t>E1</w:t>
            </w:r>
          </w:p>
        </w:tc>
        <w:tc>
          <w:tcPr>
            <w:tcW w:w="1260" w:type="dxa"/>
          </w:tcPr>
          <w:p w:rsidR="008906C2" w:rsidRPr="00F25254" w:rsidRDefault="008906C2" w:rsidP="00457768">
            <w:pPr>
              <w:pStyle w:val="NoSpacing"/>
              <w:rPr>
                <w:rFonts w:ascii="Arial" w:hAnsi="Arial" w:cs="Arial"/>
                <w:sz w:val="16"/>
                <w:szCs w:val="16"/>
              </w:rPr>
            </w:pPr>
            <w:r w:rsidRPr="00F25254">
              <w:rPr>
                <w:rFonts w:ascii="Arial" w:hAnsi="Arial" w:cs="Arial"/>
                <w:sz w:val="16"/>
                <w:szCs w:val="16"/>
              </w:rPr>
              <w:t>Employment</w:t>
            </w:r>
          </w:p>
        </w:tc>
        <w:tc>
          <w:tcPr>
            <w:tcW w:w="3240" w:type="dxa"/>
          </w:tcPr>
          <w:p w:rsidR="008906C2" w:rsidRPr="00F25254" w:rsidRDefault="008906C2" w:rsidP="00457768">
            <w:pPr>
              <w:pStyle w:val="NoSpacing"/>
              <w:rPr>
                <w:rFonts w:ascii="Arial" w:hAnsi="Arial" w:cs="Arial"/>
                <w:sz w:val="16"/>
                <w:szCs w:val="16"/>
              </w:rPr>
            </w:pPr>
            <w:r>
              <w:rPr>
                <w:rFonts w:ascii="Arial" w:hAnsi="Arial" w:cs="Arial"/>
                <w:sz w:val="16"/>
                <w:szCs w:val="16"/>
              </w:rPr>
              <w:t xml:space="preserve">Increasing client employment is an important goal of GBHI </w:t>
            </w:r>
            <w:r w:rsidR="00681837">
              <w:rPr>
                <w:rFonts w:ascii="Arial" w:hAnsi="Arial" w:cs="Arial"/>
                <w:sz w:val="16"/>
                <w:szCs w:val="16"/>
              </w:rPr>
              <w:t>Grantees</w:t>
            </w:r>
            <w:r>
              <w:rPr>
                <w:rFonts w:ascii="Arial" w:hAnsi="Arial" w:cs="Arial"/>
                <w:sz w:val="16"/>
                <w:szCs w:val="16"/>
              </w:rPr>
              <w:t>; this single item will provide an efficient measure of employment in past 6 months</w:t>
            </w:r>
          </w:p>
        </w:tc>
        <w:tc>
          <w:tcPr>
            <w:tcW w:w="1800" w:type="dxa"/>
          </w:tcPr>
          <w:p w:rsidR="008906C2" w:rsidRPr="00235638" w:rsidRDefault="00A74905" w:rsidP="00AE2D32">
            <w:pPr>
              <w:pStyle w:val="NoSpacing"/>
              <w:jc w:val="both"/>
              <w:rPr>
                <w:rFonts w:ascii="Arial" w:hAnsi="Arial" w:cs="Arial"/>
                <w:sz w:val="16"/>
                <w:szCs w:val="16"/>
              </w:rPr>
            </w:pPr>
            <w:r>
              <w:rPr>
                <w:rFonts w:ascii="Arial" w:hAnsi="Arial" w:cs="Arial"/>
                <w:sz w:val="16"/>
                <w:szCs w:val="16"/>
              </w:rPr>
              <w:t xml:space="preserve">Broner et al., 2009; </w:t>
            </w:r>
            <w:r w:rsidR="008906C2" w:rsidRPr="00235638">
              <w:rPr>
                <w:rFonts w:ascii="Arial" w:hAnsi="Arial" w:cs="Arial"/>
                <w:sz w:val="16"/>
                <w:szCs w:val="16"/>
              </w:rPr>
              <w:t xml:space="preserve">Case et al., 2009; </w:t>
            </w:r>
            <w:r w:rsidR="00AE2D32">
              <w:rPr>
                <w:rFonts w:ascii="Arial" w:hAnsi="Arial" w:cs="Arial"/>
                <w:sz w:val="16"/>
                <w:szCs w:val="16"/>
              </w:rPr>
              <w:t>Naples et al., 2007</w:t>
            </w:r>
            <w:r w:rsidR="007F784F">
              <w:rPr>
                <w:rFonts w:ascii="Arial" w:hAnsi="Arial" w:cs="Arial"/>
                <w:sz w:val="16"/>
                <w:szCs w:val="16"/>
              </w:rPr>
              <w:t>.</w:t>
            </w:r>
          </w:p>
        </w:tc>
        <w:tc>
          <w:tcPr>
            <w:tcW w:w="1170" w:type="dxa"/>
          </w:tcPr>
          <w:p w:rsidR="008906C2" w:rsidRPr="00F25254" w:rsidRDefault="008906C2" w:rsidP="00457768">
            <w:pPr>
              <w:pStyle w:val="NoSpacing"/>
              <w:jc w:val="both"/>
              <w:rPr>
                <w:rFonts w:ascii="Arial" w:hAnsi="Arial" w:cs="Arial"/>
                <w:sz w:val="16"/>
                <w:szCs w:val="16"/>
              </w:rPr>
            </w:pPr>
            <w:r w:rsidRPr="00F25254">
              <w:rPr>
                <w:rFonts w:ascii="Arial" w:hAnsi="Arial" w:cs="Arial"/>
                <w:sz w:val="16"/>
                <w:szCs w:val="16"/>
              </w:rPr>
              <w:t>SA, MI, COD, Veterans, CJ, homeless</w:t>
            </w:r>
          </w:p>
        </w:tc>
        <w:tc>
          <w:tcPr>
            <w:tcW w:w="900" w:type="dxa"/>
          </w:tcPr>
          <w:p w:rsidR="008906C2" w:rsidRPr="00F25254" w:rsidRDefault="008906C2" w:rsidP="00457768">
            <w:pPr>
              <w:spacing w:after="0" w:line="240" w:lineRule="auto"/>
              <w:rPr>
                <w:rFonts w:ascii="Arial" w:hAnsi="Arial" w:cs="Arial"/>
                <w:sz w:val="16"/>
                <w:szCs w:val="16"/>
              </w:rPr>
            </w:pPr>
            <w:r w:rsidRPr="00F25254">
              <w:rPr>
                <w:rFonts w:ascii="Arial" w:hAnsi="Arial" w:cs="Arial"/>
                <w:sz w:val="16"/>
                <w:szCs w:val="16"/>
              </w:rPr>
              <w:t>0930-0277</w:t>
            </w:r>
          </w:p>
          <w:p w:rsidR="008906C2" w:rsidRPr="00F25254" w:rsidRDefault="008906C2" w:rsidP="00457768">
            <w:pPr>
              <w:pStyle w:val="NoSpacing"/>
              <w:jc w:val="both"/>
              <w:rPr>
                <w:rFonts w:ascii="Arial" w:hAnsi="Arial" w:cs="Arial"/>
                <w:sz w:val="16"/>
                <w:szCs w:val="16"/>
              </w:rPr>
            </w:pPr>
          </w:p>
        </w:tc>
      </w:tr>
      <w:tr w:rsidR="00FB0406" w:rsidRPr="00F25254" w:rsidTr="00861C08">
        <w:tc>
          <w:tcPr>
            <w:tcW w:w="1098" w:type="dxa"/>
          </w:tcPr>
          <w:p w:rsidR="008906C2" w:rsidRPr="00F25254" w:rsidRDefault="008906C2" w:rsidP="00457768">
            <w:pPr>
              <w:pStyle w:val="NoSpacing"/>
              <w:jc w:val="both"/>
              <w:rPr>
                <w:rFonts w:ascii="Arial" w:hAnsi="Arial" w:cs="Arial"/>
                <w:sz w:val="16"/>
                <w:szCs w:val="16"/>
              </w:rPr>
            </w:pPr>
            <w:r w:rsidRPr="00F25254">
              <w:rPr>
                <w:rFonts w:ascii="Arial" w:hAnsi="Arial" w:cs="Arial"/>
                <w:sz w:val="16"/>
                <w:szCs w:val="16"/>
              </w:rPr>
              <w:t>H1</w:t>
            </w:r>
            <w:r w:rsidRPr="00311F67">
              <w:rPr>
                <w:rFonts w:ascii="Arial" w:hAnsi="Arial" w:cs="Arial"/>
                <w:sz w:val="16"/>
                <w:szCs w:val="16"/>
              </w:rPr>
              <w:t>-H4</w:t>
            </w:r>
          </w:p>
        </w:tc>
        <w:tc>
          <w:tcPr>
            <w:tcW w:w="1260" w:type="dxa"/>
          </w:tcPr>
          <w:p w:rsidR="008906C2" w:rsidRPr="00F25254" w:rsidRDefault="008906C2" w:rsidP="00457768">
            <w:pPr>
              <w:pStyle w:val="NoSpacing"/>
              <w:rPr>
                <w:rFonts w:ascii="Arial" w:hAnsi="Arial" w:cs="Arial"/>
                <w:sz w:val="16"/>
                <w:szCs w:val="16"/>
              </w:rPr>
            </w:pPr>
            <w:r w:rsidRPr="00F25254">
              <w:rPr>
                <w:rFonts w:ascii="Arial" w:hAnsi="Arial" w:cs="Arial"/>
                <w:sz w:val="16"/>
                <w:szCs w:val="16"/>
              </w:rPr>
              <w:t>Homelessness</w:t>
            </w:r>
          </w:p>
        </w:tc>
        <w:tc>
          <w:tcPr>
            <w:tcW w:w="3240" w:type="dxa"/>
          </w:tcPr>
          <w:p w:rsidR="008906C2" w:rsidRPr="00F25254" w:rsidRDefault="008906C2" w:rsidP="00457768">
            <w:pPr>
              <w:pStyle w:val="NoSpacing"/>
              <w:rPr>
                <w:rFonts w:ascii="Arial" w:hAnsi="Arial" w:cs="Arial"/>
                <w:sz w:val="16"/>
                <w:szCs w:val="16"/>
              </w:rPr>
            </w:pPr>
            <w:r>
              <w:rPr>
                <w:rFonts w:ascii="Arial" w:hAnsi="Arial" w:cs="Arial"/>
                <w:sz w:val="16"/>
                <w:szCs w:val="16"/>
              </w:rPr>
              <w:t xml:space="preserve">Given GBHI program’s focus, measuring homelessness is critical to understanding program implementation </w:t>
            </w:r>
          </w:p>
        </w:tc>
        <w:tc>
          <w:tcPr>
            <w:tcW w:w="1800" w:type="dxa"/>
          </w:tcPr>
          <w:p w:rsidR="008906C2" w:rsidRPr="00235638" w:rsidRDefault="00A74905" w:rsidP="0011729D">
            <w:pPr>
              <w:pStyle w:val="NoSpacing"/>
              <w:jc w:val="both"/>
              <w:rPr>
                <w:rFonts w:ascii="Arial" w:hAnsi="Arial" w:cs="Arial"/>
                <w:sz w:val="16"/>
                <w:szCs w:val="16"/>
                <w:highlight w:val="yellow"/>
              </w:rPr>
            </w:pPr>
            <w:r>
              <w:rPr>
                <w:rFonts w:ascii="Arial" w:hAnsi="Arial" w:cs="Arial"/>
                <w:sz w:val="16"/>
                <w:szCs w:val="16"/>
              </w:rPr>
              <w:t xml:space="preserve">Broner et al., 2009; </w:t>
            </w:r>
            <w:proofErr w:type="spellStart"/>
            <w:r w:rsidR="008906C2" w:rsidRPr="00235638">
              <w:rPr>
                <w:rFonts w:ascii="Arial" w:hAnsi="Arial" w:cs="Arial"/>
                <w:sz w:val="16"/>
                <w:szCs w:val="16"/>
              </w:rPr>
              <w:t>Rog</w:t>
            </w:r>
            <w:proofErr w:type="spellEnd"/>
            <w:r w:rsidR="008906C2" w:rsidRPr="00235638">
              <w:rPr>
                <w:rFonts w:ascii="Arial" w:hAnsi="Arial" w:cs="Arial"/>
                <w:sz w:val="16"/>
                <w:szCs w:val="16"/>
              </w:rPr>
              <w:t xml:space="preserve"> et al., 1995; </w:t>
            </w:r>
            <w:proofErr w:type="spellStart"/>
            <w:r w:rsidR="008906C2" w:rsidRPr="00235638">
              <w:rPr>
                <w:rFonts w:ascii="Arial" w:hAnsi="Arial" w:cs="Arial"/>
                <w:sz w:val="16"/>
                <w:szCs w:val="16"/>
              </w:rPr>
              <w:t>Rog</w:t>
            </w:r>
            <w:proofErr w:type="spellEnd"/>
            <w:r w:rsidR="008906C2" w:rsidRPr="00235638">
              <w:rPr>
                <w:rFonts w:ascii="Arial" w:hAnsi="Arial" w:cs="Arial"/>
                <w:sz w:val="16"/>
                <w:szCs w:val="16"/>
              </w:rPr>
              <w:t xml:space="preserve"> &amp; Buckner, 2007; </w:t>
            </w:r>
            <w:proofErr w:type="spellStart"/>
            <w:r w:rsidR="008906C2" w:rsidRPr="00235638">
              <w:rPr>
                <w:rFonts w:ascii="Arial" w:hAnsi="Arial" w:cs="Arial"/>
                <w:sz w:val="16"/>
                <w:szCs w:val="16"/>
              </w:rPr>
              <w:t>Rog</w:t>
            </w:r>
            <w:proofErr w:type="spellEnd"/>
            <w:r w:rsidR="0011729D">
              <w:rPr>
                <w:rFonts w:ascii="Arial" w:hAnsi="Arial" w:cs="Arial"/>
                <w:sz w:val="16"/>
                <w:szCs w:val="16"/>
              </w:rPr>
              <w:t xml:space="preserve"> et al.</w:t>
            </w:r>
            <w:proofErr w:type="gramStart"/>
            <w:r w:rsidR="0011729D">
              <w:rPr>
                <w:rFonts w:ascii="Arial" w:hAnsi="Arial" w:cs="Arial"/>
                <w:sz w:val="16"/>
                <w:szCs w:val="16"/>
              </w:rPr>
              <w:t xml:space="preserve">, </w:t>
            </w:r>
            <w:r w:rsidR="008906C2" w:rsidRPr="00235638">
              <w:rPr>
                <w:rFonts w:ascii="Arial" w:hAnsi="Arial" w:cs="Arial"/>
                <w:sz w:val="16"/>
                <w:szCs w:val="16"/>
              </w:rPr>
              <w:t xml:space="preserve"> 1995</w:t>
            </w:r>
            <w:proofErr w:type="gramEnd"/>
            <w:r w:rsidR="008906C2" w:rsidRPr="00235638">
              <w:rPr>
                <w:rFonts w:ascii="Arial" w:hAnsi="Arial" w:cs="Arial"/>
                <w:sz w:val="16"/>
                <w:szCs w:val="16"/>
              </w:rPr>
              <w:t xml:space="preserve">. </w:t>
            </w:r>
          </w:p>
        </w:tc>
        <w:tc>
          <w:tcPr>
            <w:tcW w:w="1170" w:type="dxa"/>
          </w:tcPr>
          <w:p w:rsidR="008906C2" w:rsidRPr="00F25254" w:rsidRDefault="008906C2" w:rsidP="00457768">
            <w:pPr>
              <w:pStyle w:val="NoSpacing"/>
              <w:jc w:val="both"/>
              <w:rPr>
                <w:rFonts w:ascii="Arial" w:hAnsi="Arial" w:cs="Arial"/>
                <w:sz w:val="16"/>
                <w:szCs w:val="16"/>
              </w:rPr>
            </w:pPr>
            <w:r w:rsidRPr="00F25254">
              <w:rPr>
                <w:rFonts w:ascii="Arial" w:hAnsi="Arial" w:cs="Arial"/>
                <w:sz w:val="16"/>
                <w:szCs w:val="16"/>
              </w:rPr>
              <w:t>Homeless, families, MI, SA</w:t>
            </w:r>
            <w:r w:rsidR="00FB0406">
              <w:rPr>
                <w:rFonts w:ascii="Arial" w:hAnsi="Arial" w:cs="Arial"/>
                <w:sz w:val="16"/>
                <w:szCs w:val="16"/>
              </w:rPr>
              <w:t>, COD</w:t>
            </w:r>
          </w:p>
        </w:tc>
        <w:tc>
          <w:tcPr>
            <w:tcW w:w="900" w:type="dxa"/>
          </w:tcPr>
          <w:p w:rsidR="008906C2" w:rsidRPr="00F25254" w:rsidRDefault="008906C2" w:rsidP="00457768">
            <w:pPr>
              <w:spacing w:after="0" w:line="240" w:lineRule="auto"/>
              <w:rPr>
                <w:rFonts w:ascii="Arial" w:hAnsi="Arial" w:cs="Arial"/>
                <w:sz w:val="16"/>
                <w:szCs w:val="16"/>
              </w:rPr>
            </w:pPr>
            <w:r w:rsidRPr="00F25254">
              <w:rPr>
                <w:rFonts w:ascii="Arial" w:hAnsi="Arial" w:cs="Arial"/>
                <w:sz w:val="16"/>
                <w:szCs w:val="16"/>
              </w:rPr>
              <w:t>0</w:t>
            </w:r>
            <w:r w:rsidR="00A23ADE">
              <w:rPr>
                <w:rFonts w:ascii="Arial" w:hAnsi="Arial" w:cs="Arial"/>
                <w:sz w:val="16"/>
                <w:szCs w:val="16"/>
              </w:rPr>
              <w:t>9</w:t>
            </w:r>
            <w:r w:rsidRPr="00F25254">
              <w:rPr>
                <w:rFonts w:ascii="Arial" w:hAnsi="Arial" w:cs="Arial"/>
                <w:sz w:val="16"/>
                <w:szCs w:val="16"/>
              </w:rPr>
              <w:t>30-0223</w:t>
            </w:r>
          </w:p>
          <w:p w:rsidR="008906C2" w:rsidRPr="00F25254" w:rsidRDefault="008906C2" w:rsidP="00457768">
            <w:pPr>
              <w:pStyle w:val="NoSpacing"/>
              <w:jc w:val="both"/>
              <w:rPr>
                <w:rFonts w:ascii="Arial" w:hAnsi="Arial" w:cs="Arial"/>
                <w:sz w:val="16"/>
                <w:szCs w:val="16"/>
              </w:rPr>
            </w:pPr>
          </w:p>
        </w:tc>
      </w:tr>
      <w:tr w:rsidR="00FB0406" w:rsidRPr="00F25254" w:rsidTr="00861C08">
        <w:tc>
          <w:tcPr>
            <w:tcW w:w="1098" w:type="dxa"/>
          </w:tcPr>
          <w:p w:rsidR="008906C2" w:rsidRPr="00F25254" w:rsidRDefault="008906C2" w:rsidP="00457768">
            <w:pPr>
              <w:pStyle w:val="NoSpacing"/>
              <w:jc w:val="both"/>
              <w:rPr>
                <w:rFonts w:ascii="Arial" w:hAnsi="Arial" w:cs="Arial"/>
                <w:sz w:val="16"/>
                <w:szCs w:val="16"/>
              </w:rPr>
            </w:pPr>
            <w:r w:rsidRPr="00861C08">
              <w:rPr>
                <w:rFonts w:ascii="Arial" w:hAnsi="Arial" w:cs="Arial"/>
                <w:sz w:val="16"/>
                <w:szCs w:val="16"/>
              </w:rPr>
              <w:t>H5</w:t>
            </w:r>
            <w:r w:rsidRPr="00F25254">
              <w:rPr>
                <w:rFonts w:ascii="Arial" w:hAnsi="Arial" w:cs="Arial"/>
                <w:sz w:val="16"/>
                <w:szCs w:val="16"/>
              </w:rPr>
              <w:t xml:space="preserve"> –H9</w:t>
            </w:r>
          </w:p>
        </w:tc>
        <w:tc>
          <w:tcPr>
            <w:tcW w:w="1260" w:type="dxa"/>
          </w:tcPr>
          <w:p w:rsidR="008906C2" w:rsidRPr="00F25254" w:rsidRDefault="008906C2" w:rsidP="00457768">
            <w:pPr>
              <w:pStyle w:val="NoSpacing"/>
              <w:rPr>
                <w:rFonts w:ascii="Arial" w:hAnsi="Arial" w:cs="Arial"/>
                <w:sz w:val="16"/>
                <w:szCs w:val="16"/>
              </w:rPr>
            </w:pPr>
            <w:r w:rsidRPr="00F25254">
              <w:rPr>
                <w:rFonts w:ascii="Arial" w:hAnsi="Arial" w:cs="Arial"/>
                <w:sz w:val="16"/>
                <w:szCs w:val="16"/>
              </w:rPr>
              <w:t>Housing/housing stability</w:t>
            </w:r>
          </w:p>
        </w:tc>
        <w:tc>
          <w:tcPr>
            <w:tcW w:w="3240" w:type="dxa"/>
          </w:tcPr>
          <w:p w:rsidR="008906C2" w:rsidRPr="002A4A19" w:rsidRDefault="008906C2" w:rsidP="00457768">
            <w:pPr>
              <w:pStyle w:val="NoSpacing"/>
              <w:rPr>
                <w:rFonts w:ascii="Arial" w:hAnsi="Arial" w:cs="Arial"/>
                <w:sz w:val="16"/>
                <w:szCs w:val="16"/>
              </w:rPr>
            </w:pPr>
            <w:r w:rsidRPr="002A4A19">
              <w:rPr>
                <w:rFonts w:ascii="Arial" w:hAnsi="Arial" w:cs="Arial"/>
                <w:sz w:val="16"/>
                <w:szCs w:val="16"/>
              </w:rPr>
              <w:t xml:space="preserve">Given GBHI program’s focus on supporting clients to obtain housing and increase stability, it is important to understand clients’ current and recent (past 6 mo.) housing </w:t>
            </w:r>
          </w:p>
        </w:tc>
        <w:tc>
          <w:tcPr>
            <w:tcW w:w="1800" w:type="dxa"/>
          </w:tcPr>
          <w:p w:rsidR="008906C2" w:rsidRPr="00235638" w:rsidRDefault="008906C2" w:rsidP="00457768">
            <w:pPr>
              <w:pStyle w:val="NoSpacing"/>
              <w:jc w:val="both"/>
              <w:rPr>
                <w:rFonts w:ascii="Arial" w:hAnsi="Arial" w:cs="Arial"/>
                <w:sz w:val="16"/>
                <w:szCs w:val="16"/>
              </w:rPr>
            </w:pPr>
            <w:r w:rsidRPr="00235638">
              <w:rPr>
                <w:rFonts w:ascii="Arial" w:hAnsi="Arial" w:cs="Arial"/>
                <w:sz w:val="16"/>
                <w:szCs w:val="16"/>
              </w:rPr>
              <w:t>Burt, 2009; Burt, 2010.</w:t>
            </w:r>
          </w:p>
        </w:tc>
        <w:tc>
          <w:tcPr>
            <w:tcW w:w="1170" w:type="dxa"/>
          </w:tcPr>
          <w:p w:rsidR="008906C2" w:rsidRPr="00F25254" w:rsidRDefault="008906C2" w:rsidP="00AE2D32">
            <w:pPr>
              <w:pStyle w:val="NoSpacing"/>
              <w:jc w:val="both"/>
              <w:rPr>
                <w:rFonts w:ascii="Arial" w:hAnsi="Arial" w:cs="Arial"/>
                <w:sz w:val="16"/>
                <w:szCs w:val="16"/>
              </w:rPr>
            </w:pPr>
            <w:r w:rsidRPr="00F25254">
              <w:rPr>
                <w:rFonts w:ascii="Arial" w:hAnsi="Arial" w:cs="Arial"/>
                <w:sz w:val="16"/>
                <w:szCs w:val="16"/>
              </w:rPr>
              <w:t>Homeless</w:t>
            </w:r>
            <w:r w:rsidR="00AE2D32">
              <w:rPr>
                <w:rFonts w:ascii="Arial" w:hAnsi="Arial" w:cs="Arial"/>
                <w:sz w:val="16"/>
                <w:szCs w:val="16"/>
              </w:rPr>
              <w:t xml:space="preserve"> youth, adults and </w:t>
            </w:r>
            <w:r w:rsidRPr="00F25254">
              <w:rPr>
                <w:rFonts w:ascii="Arial" w:hAnsi="Arial" w:cs="Arial"/>
                <w:sz w:val="16"/>
                <w:szCs w:val="16"/>
              </w:rPr>
              <w:t>families, MI, SA</w:t>
            </w:r>
            <w:r w:rsidR="00FB0406">
              <w:rPr>
                <w:rFonts w:ascii="Arial" w:hAnsi="Arial" w:cs="Arial"/>
                <w:sz w:val="16"/>
                <w:szCs w:val="16"/>
              </w:rPr>
              <w:t>, COD</w:t>
            </w:r>
          </w:p>
        </w:tc>
        <w:tc>
          <w:tcPr>
            <w:tcW w:w="900" w:type="dxa"/>
          </w:tcPr>
          <w:p w:rsidR="008906C2" w:rsidRPr="00F25254" w:rsidRDefault="008906C2" w:rsidP="00457768">
            <w:pPr>
              <w:spacing w:after="0" w:line="240" w:lineRule="auto"/>
              <w:rPr>
                <w:rFonts w:ascii="Arial" w:hAnsi="Arial" w:cs="Arial"/>
                <w:sz w:val="16"/>
                <w:szCs w:val="16"/>
              </w:rPr>
            </w:pPr>
            <w:r w:rsidRPr="00F25254">
              <w:rPr>
                <w:rFonts w:ascii="Arial" w:hAnsi="Arial" w:cs="Arial"/>
                <w:sz w:val="16"/>
                <w:szCs w:val="16"/>
              </w:rPr>
              <w:t>2528-0239</w:t>
            </w:r>
          </w:p>
          <w:p w:rsidR="008906C2" w:rsidRPr="00F25254" w:rsidRDefault="008906C2" w:rsidP="00457768">
            <w:pPr>
              <w:pStyle w:val="NoSpacing"/>
              <w:jc w:val="both"/>
              <w:rPr>
                <w:rFonts w:ascii="Arial" w:hAnsi="Arial" w:cs="Arial"/>
                <w:sz w:val="16"/>
                <w:szCs w:val="16"/>
              </w:rPr>
            </w:pPr>
          </w:p>
        </w:tc>
      </w:tr>
      <w:tr w:rsidR="00FB0406" w:rsidRPr="00F25254" w:rsidTr="00861C08">
        <w:tc>
          <w:tcPr>
            <w:tcW w:w="1098" w:type="dxa"/>
          </w:tcPr>
          <w:p w:rsidR="008906C2" w:rsidRPr="00F25254" w:rsidRDefault="008906C2" w:rsidP="00457768">
            <w:pPr>
              <w:pStyle w:val="NoSpacing"/>
              <w:jc w:val="both"/>
              <w:rPr>
                <w:rFonts w:ascii="Arial" w:hAnsi="Arial" w:cs="Arial"/>
                <w:sz w:val="16"/>
                <w:szCs w:val="16"/>
              </w:rPr>
            </w:pPr>
            <w:r w:rsidRPr="00F25254">
              <w:rPr>
                <w:rFonts w:ascii="Arial" w:hAnsi="Arial" w:cs="Arial"/>
                <w:sz w:val="16"/>
                <w:szCs w:val="16"/>
              </w:rPr>
              <w:t>H10</w:t>
            </w:r>
          </w:p>
        </w:tc>
        <w:tc>
          <w:tcPr>
            <w:tcW w:w="1260" w:type="dxa"/>
          </w:tcPr>
          <w:p w:rsidR="008906C2" w:rsidRPr="00F25254" w:rsidRDefault="008906C2" w:rsidP="00457768">
            <w:pPr>
              <w:pStyle w:val="NoSpacing"/>
              <w:rPr>
                <w:rFonts w:ascii="Arial" w:hAnsi="Arial" w:cs="Arial"/>
                <w:sz w:val="16"/>
                <w:szCs w:val="16"/>
              </w:rPr>
            </w:pPr>
            <w:r w:rsidRPr="00F25254">
              <w:rPr>
                <w:rFonts w:ascii="Arial" w:hAnsi="Arial" w:cs="Arial"/>
                <w:sz w:val="16"/>
                <w:szCs w:val="16"/>
              </w:rPr>
              <w:t>Housing satisfaction and choice of housing</w:t>
            </w:r>
          </w:p>
        </w:tc>
        <w:tc>
          <w:tcPr>
            <w:tcW w:w="3240" w:type="dxa"/>
          </w:tcPr>
          <w:p w:rsidR="008906C2" w:rsidRPr="00F25254" w:rsidRDefault="008906C2" w:rsidP="00457768">
            <w:pPr>
              <w:pStyle w:val="NoSpacing"/>
              <w:rPr>
                <w:rFonts w:ascii="Arial" w:hAnsi="Arial" w:cs="Arial"/>
                <w:sz w:val="16"/>
                <w:szCs w:val="16"/>
              </w:rPr>
            </w:pPr>
            <w:r>
              <w:rPr>
                <w:rFonts w:ascii="Arial" w:hAnsi="Arial" w:cs="Arial"/>
                <w:sz w:val="16"/>
                <w:szCs w:val="16"/>
              </w:rPr>
              <w:t>The dimensions measured in this item are related to the likelihood of clients remaining in the housing in question and are therefore important to understanding GBHI program successes and challenges in helping clients to obtain viable housing</w:t>
            </w:r>
          </w:p>
        </w:tc>
        <w:tc>
          <w:tcPr>
            <w:tcW w:w="1800" w:type="dxa"/>
          </w:tcPr>
          <w:p w:rsidR="008906C2" w:rsidRPr="00235638" w:rsidRDefault="008906C2" w:rsidP="00457768">
            <w:pPr>
              <w:pStyle w:val="NoSpacing"/>
              <w:jc w:val="both"/>
              <w:rPr>
                <w:rFonts w:ascii="Arial" w:hAnsi="Arial" w:cs="Arial"/>
                <w:sz w:val="16"/>
                <w:szCs w:val="16"/>
              </w:rPr>
            </w:pPr>
          </w:p>
          <w:p w:rsidR="008906C2" w:rsidRPr="00235638" w:rsidRDefault="008906C2" w:rsidP="007F784F">
            <w:pPr>
              <w:tabs>
                <w:tab w:val="left" w:pos="576"/>
              </w:tabs>
              <w:rPr>
                <w:rFonts w:ascii="Arial" w:hAnsi="Arial" w:cs="Arial"/>
                <w:sz w:val="16"/>
                <w:szCs w:val="16"/>
              </w:rPr>
            </w:pPr>
            <w:proofErr w:type="spellStart"/>
            <w:r w:rsidRPr="00235638">
              <w:rPr>
                <w:rFonts w:ascii="Arial" w:hAnsi="Arial" w:cs="Arial"/>
                <w:sz w:val="16"/>
                <w:szCs w:val="16"/>
              </w:rPr>
              <w:t>G</w:t>
            </w:r>
            <w:r w:rsidR="002E049C">
              <w:rPr>
                <w:rFonts w:ascii="Arial" w:hAnsi="Arial" w:cs="Arial"/>
                <w:sz w:val="16"/>
                <w:szCs w:val="16"/>
              </w:rPr>
              <w:t>u</w:t>
            </w:r>
            <w:r w:rsidRPr="00235638">
              <w:rPr>
                <w:rFonts w:ascii="Arial" w:hAnsi="Arial" w:cs="Arial"/>
                <w:sz w:val="16"/>
                <w:szCs w:val="16"/>
              </w:rPr>
              <w:t>lcur</w:t>
            </w:r>
            <w:proofErr w:type="spellEnd"/>
            <w:r w:rsidRPr="00235638">
              <w:rPr>
                <w:rFonts w:ascii="Arial" w:hAnsi="Arial" w:cs="Arial"/>
                <w:sz w:val="16"/>
                <w:szCs w:val="16"/>
              </w:rPr>
              <w:t xml:space="preserve"> et al., 2007; Greenwood</w:t>
            </w:r>
            <w:r w:rsidR="007F784F">
              <w:rPr>
                <w:rFonts w:ascii="Arial" w:hAnsi="Arial" w:cs="Arial"/>
                <w:sz w:val="16"/>
                <w:szCs w:val="16"/>
              </w:rPr>
              <w:t xml:space="preserve"> et al., </w:t>
            </w:r>
            <w:r w:rsidRPr="00235638">
              <w:rPr>
                <w:rFonts w:ascii="Arial" w:hAnsi="Arial" w:cs="Arial"/>
                <w:sz w:val="16"/>
                <w:szCs w:val="16"/>
              </w:rPr>
              <w:t xml:space="preserve">, 2005; </w:t>
            </w:r>
            <w:proofErr w:type="spellStart"/>
            <w:r w:rsidRPr="00235638">
              <w:rPr>
                <w:rFonts w:ascii="Arial" w:hAnsi="Arial" w:cs="Arial"/>
                <w:sz w:val="16"/>
                <w:szCs w:val="16"/>
              </w:rPr>
              <w:t>Srebnik</w:t>
            </w:r>
            <w:proofErr w:type="spellEnd"/>
            <w:r w:rsidR="007F784F">
              <w:rPr>
                <w:rFonts w:ascii="Arial" w:hAnsi="Arial" w:cs="Arial"/>
                <w:sz w:val="16"/>
                <w:szCs w:val="16"/>
              </w:rPr>
              <w:t xml:space="preserve"> et al., </w:t>
            </w:r>
            <w:r w:rsidRPr="00235638">
              <w:rPr>
                <w:rFonts w:ascii="Arial" w:hAnsi="Arial" w:cs="Arial"/>
                <w:sz w:val="16"/>
                <w:szCs w:val="16"/>
              </w:rPr>
              <w:t>1995; Tsemberis</w:t>
            </w:r>
            <w:r w:rsidR="007F784F">
              <w:rPr>
                <w:rFonts w:ascii="Arial" w:hAnsi="Arial" w:cs="Arial"/>
                <w:sz w:val="16"/>
                <w:szCs w:val="16"/>
              </w:rPr>
              <w:t xml:space="preserve"> et al., </w:t>
            </w:r>
            <w:r w:rsidRPr="00235638">
              <w:rPr>
                <w:rFonts w:ascii="Arial" w:hAnsi="Arial" w:cs="Arial"/>
                <w:sz w:val="16"/>
                <w:szCs w:val="16"/>
              </w:rPr>
              <w:t xml:space="preserve"> 2003; Lehman, 19</w:t>
            </w:r>
            <w:r>
              <w:rPr>
                <w:rFonts w:ascii="Arial" w:hAnsi="Arial" w:cs="Arial"/>
                <w:sz w:val="16"/>
                <w:szCs w:val="16"/>
              </w:rPr>
              <w:t>8</w:t>
            </w:r>
            <w:r w:rsidRPr="00235638">
              <w:rPr>
                <w:rFonts w:ascii="Arial" w:hAnsi="Arial" w:cs="Arial"/>
                <w:sz w:val="16"/>
                <w:szCs w:val="16"/>
              </w:rPr>
              <w:t>8; Lehman et al., 1991</w:t>
            </w:r>
            <w:r w:rsidR="00FB0406">
              <w:rPr>
                <w:rFonts w:ascii="Arial" w:hAnsi="Arial" w:cs="Arial"/>
                <w:sz w:val="16"/>
                <w:szCs w:val="16"/>
              </w:rPr>
              <w:t>;</w:t>
            </w:r>
          </w:p>
        </w:tc>
        <w:tc>
          <w:tcPr>
            <w:tcW w:w="1170" w:type="dxa"/>
          </w:tcPr>
          <w:p w:rsidR="008906C2" w:rsidRPr="00F25254" w:rsidRDefault="008906C2" w:rsidP="00FB0406">
            <w:pPr>
              <w:pStyle w:val="NoSpacing"/>
              <w:jc w:val="both"/>
              <w:rPr>
                <w:rFonts w:ascii="Arial" w:hAnsi="Arial" w:cs="Arial"/>
                <w:sz w:val="16"/>
                <w:szCs w:val="16"/>
              </w:rPr>
            </w:pPr>
            <w:r w:rsidRPr="00F25254">
              <w:rPr>
                <w:rFonts w:ascii="Arial" w:hAnsi="Arial" w:cs="Arial"/>
                <w:sz w:val="16"/>
                <w:szCs w:val="16"/>
              </w:rPr>
              <w:t xml:space="preserve">MI, </w:t>
            </w:r>
            <w:r w:rsidR="00FB0406">
              <w:rPr>
                <w:rFonts w:ascii="Arial" w:hAnsi="Arial" w:cs="Arial"/>
                <w:sz w:val="16"/>
                <w:szCs w:val="16"/>
              </w:rPr>
              <w:t xml:space="preserve">COD, </w:t>
            </w:r>
            <w:r w:rsidRPr="00F25254">
              <w:rPr>
                <w:rFonts w:ascii="Arial" w:hAnsi="Arial" w:cs="Arial"/>
                <w:sz w:val="16"/>
                <w:szCs w:val="16"/>
              </w:rPr>
              <w:t>SA, homeless</w:t>
            </w:r>
            <w:r w:rsidR="00FB0406">
              <w:rPr>
                <w:rFonts w:ascii="Arial" w:hAnsi="Arial" w:cs="Arial"/>
                <w:sz w:val="16"/>
                <w:szCs w:val="16"/>
              </w:rPr>
              <w:t xml:space="preserve"> and</w:t>
            </w:r>
            <w:r w:rsidRPr="00F25254">
              <w:rPr>
                <w:rFonts w:ascii="Arial" w:hAnsi="Arial" w:cs="Arial"/>
                <w:sz w:val="16"/>
                <w:szCs w:val="16"/>
              </w:rPr>
              <w:t xml:space="preserve"> housed elderly, youth, adults</w:t>
            </w:r>
            <w:r w:rsidR="00FB0406">
              <w:rPr>
                <w:rFonts w:ascii="Arial" w:hAnsi="Arial" w:cs="Arial"/>
                <w:sz w:val="16"/>
                <w:szCs w:val="16"/>
              </w:rPr>
              <w:t xml:space="preserve"> and families, Veterans</w:t>
            </w:r>
          </w:p>
        </w:tc>
        <w:tc>
          <w:tcPr>
            <w:tcW w:w="900" w:type="dxa"/>
          </w:tcPr>
          <w:p w:rsidR="008906C2" w:rsidRPr="00F25254" w:rsidRDefault="008906C2" w:rsidP="00457768">
            <w:pPr>
              <w:pStyle w:val="NoSpacing"/>
              <w:jc w:val="both"/>
              <w:rPr>
                <w:rFonts w:ascii="Arial" w:hAnsi="Arial" w:cs="Arial"/>
                <w:sz w:val="16"/>
                <w:szCs w:val="16"/>
              </w:rPr>
            </w:pPr>
            <w:r>
              <w:rPr>
                <w:rFonts w:ascii="Arial" w:hAnsi="Arial" w:cs="Arial"/>
                <w:sz w:val="16"/>
                <w:szCs w:val="16"/>
              </w:rPr>
              <w:t>0930-0247; 2528-0239</w:t>
            </w:r>
          </w:p>
        </w:tc>
      </w:tr>
      <w:tr w:rsidR="00FB0406" w:rsidRPr="00F25254" w:rsidTr="00861C08">
        <w:tc>
          <w:tcPr>
            <w:tcW w:w="1098" w:type="dxa"/>
          </w:tcPr>
          <w:p w:rsidR="008906C2" w:rsidRPr="00F25254" w:rsidRDefault="008906C2" w:rsidP="00457768">
            <w:pPr>
              <w:pStyle w:val="NoSpacing"/>
              <w:jc w:val="both"/>
              <w:rPr>
                <w:rFonts w:ascii="Arial" w:hAnsi="Arial" w:cs="Arial"/>
                <w:sz w:val="16"/>
                <w:szCs w:val="16"/>
              </w:rPr>
            </w:pPr>
            <w:r w:rsidRPr="00F25254">
              <w:rPr>
                <w:rFonts w:ascii="Arial" w:hAnsi="Arial" w:cs="Arial"/>
                <w:sz w:val="16"/>
                <w:szCs w:val="16"/>
              </w:rPr>
              <w:t>H11</w:t>
            </w:r>
          </w:p>
        </w:tc>
        <w:tc>
          <w:tcPr>
            <w:tcW w:w="1260" w:type="dxa"/>
          </w:tcPr>
          <w:p w:rsidR="008906C2" w:rsidRPr="00F25254" w:rsidRDefault="008906C2" w:rsidP="00457768">
            <w:pPr>
              <w:pStyle w:val="NoSpacing"/>
              <w:rPr>
                <w:rFonts w:ascii="Arial" w:hAnsi="Arial" w:cs="Arial"/>
                <w:sz w:val="16"/>
                <w:szCs w:val="16"/>
              </w:rPr>
            </w:pPr>
            <w:r w:rsidRPr="00F25254">
              <w:rPr>
                <w:rFonts w:ascii="Arial" w:hAnsi="Arial" w:cs="Arial"/>
                <w:sz w:val="16"/>
                <w:szCs w:val="16"/>
              </w:rPr>
              <w:t>Housing coercion/choice</w:t>
            </w:r>
          </w:p>
        </w:tc>
        <w:tc>
          <w:tcPr>
            <w:tcW w:w="3240" w:type="dxa"/>
          </w:tcPr>
          <w:p w:rsidR="008906C2" w:rsidRPr="00F25254" w:rsidRDefault="008906C2" w:rsidP="00457768">
            <w:pPr>
              <w:pStyle w:val="NoSpacing"/>
              <w:rPr>
                <w:rFonts w:ascii="Arial" w:hAnsi="Arial" w:cs="Arial"/>
                <w:sz w:val="16"/>
                <w:szCs w:val="16"/>
              </w:rPr>
            </w:pPr>
            <w:r>
              <w:rPr>
                <w:rFonts w:ascii="Arial" w:hAnsi="Arial" w:cs="Arial"/>
                <w:sz w:val="16"/>
                <w:szCs w:val="16"/>
              </w:rPr>
              <w:t xml:space="preserve">To understand the GBHI program and the housing models that </w:t>
            </w:r>
            <w:r w:rsidR="00681837">
              <w:rPr>
                <w:rFonts w:ascii="Arial" w:hAnsi="Arial" w:cs="Arial"/>
                <w:sz w:val="16"/>
                <w:szCs w:val="16"/>
              </w:rPr>
              <w:t>Grantees</w:t>
            </w:r>
            <w:r>
              <w:rPr>
                <w:rFonts w:ascii="Arial" w:hAnsi="Arial" w:cs="Arial"/>
                <w:sz w:val="16"/>
                <w:szCs w:val="16"/>
              </w:rPr>
              <w:t xml:space="preserve"> implement, it is important to understand the roles of choice and coercion in clients’ housing situations, because choice has been shown to predict better housing outcomes</w:t>
            </w:r>
          </w:p>
        </w:tc>
        <w:tc>
          <w:tcPr>
            <w:tcW w:w="1800" w:type="dxa"/>
          </w:tcPr>
          <w:p w:rsidR="008906C2" w:rsidRPr="00235638" w:rsidRDefault="008906C2" w:rsidP="00457768">
            <w:pPr>
              <w:pStyle w:val="NoSpacing"/>
              <w:jc w:val="both"/>
              <w:rPr>
                <w:rFonts w:ascii="Arial" w:hAnsi="Arial" w:cs="Arial"/>
                <w:sz w:val="16"/>
                <w:szCs w:val="16"/>
              </w:rPr>
            </w:pPr>
            <w:r w:rsidRPr="00235638">
              <w:rPr>
                <w:rFonts w:ascii="Arial" w:hAnsi="Arial" w:cs="Arial"/>
                <w:sz w:val="16"/>
                <w:szCs w:val="16"/>
              </w:rPr>
              <w:t xml:space="preserve">Robbins et al., 2009; </w:t>
            </w:r>
            <w:r w:rsidRPr="005F0D6E">
              <w:rPr>
                <w:rFonts w:ascii="Arial" w:hAnsi="Arial" w:cs="Arial"/>
                <w:sz w:val="16"/>
                <w:szCs w:val="16"/>
              </w:rPr>
              <w:t>Tsemberis et al., 2004; Pearson et al. 2007</w:t>
            </w:r>
            <w:r w:rsidR="007F784F">
              <w:rPr>
                <w:rFonts w:ascii="Arial" w:hAnsi="Arial" w:cs="Arial"/>
                <w:sz w:val="16"/>
                <w:szCs w:val="16"/>
              </w:rPr>
              <w:t>.</w:t>
            </w:r>
          </w:p>
        </w:tc>
        <w:tc>
          <w:tcPr>
            <w:tcW w:w="1170" w:type="dxa"/>
          </w:tcPr>
          <w:p w:rsidR="008906C2" w:rsidRPr="00F25254" w:rsidRDefault="008906C2" w:rsidP="00457768">
            <w:pPr>
              <w:pStyle w:val="NoSpacing"/>
              <w:jc w:val="both"/>
              <w:rPr>
                <w:rFonts w:ascii="Arial" w:hAnsi="Arial" w:cs="Arial"/>
                <w:sz w:val="16"/>
                <w:szCs w:val="16"/>
              </w:rPr>
            </w:pPr>
            <w:r w:rsidRPr="00F25254">
              <w:rPr>
                <w:rFonts w:ascii="Arial" w:hAnsi="Arial" w:cs="Arial"/>
                <w:sz w:val="16"/>
                <w:szCs w:val="16"/>
              </w:rPr>
              <w:t>Housed in supportive housing and homeless</w:t>
            </w:r>
            <w:r w:rsidR="00FB0406">
              <w:rPr>
                <w:rFonts w:ascii="Arial" w:hAnsi="Arial" w:cs="Arial"/>
                <w:sz w:val="16"/>
                <w:szCs w:val="16"/>
              </w:rPr>
              <w:t>, MI, COD, CJ, Veterans</w:t>
            </w:r>
          </w:p>
        </w:tc>
        <w:tc>
          <w:tcPr>
            <w:tcW w:w="900" w:type="dxa"/>
          </w:tcPr>
          <w:p w:rsidR="008906C2" w:rsidRPr="00F25254" w:rsidRDefault="00A41F20" w:rsidP="00A41F20">
            <w:pPr>
              <w:pStyle w:val="NoSpacing"/>
              <w:jc w:val="both"/>
              <w:rPr>
                <w:rFonts w:ascii="Arial" w:hAnsi="Arial" w:cs="Arial"/>
                <w:sz w:val="16"/>
                <w:szCs w:val="16"/>
              </w:rPr>
            </w:pPr>
            <w:r w:rsidRPr="00A41F20">
              <w:rPr>
                <w:sz w:val="18"/>
                <w:szCs w:val="18"/>
              </w:rPr>
              <w:t>0930-0247</w:t>
            </w:r>
            <w:r w:rsidRPr="00F25254">
              <w:rPr>
                <w:rFonts w:ascii="Arial" w:hAnsi="Arial" w:cs="Arial"/>
                <w:sz w:val="16"/>
                <w:szCs w:val="16"/>
              </w:rPr>
              <w:t xml:space="preserve"> </w:t>
            </w:r>
          </w:p>
        </w:tc>
      </w:tr>
      <w:tr w:rsidR="00FB0406" w:rsidRPr="00F25254" w:rsidTr="00861C08">
        <w:tc>
          <w:tcPr>
            <w:tcW w:w="1098" w:type="dxa"/>
          </w:tcPr>
          <w:p w:rsidR="008906C2" w:rsidRPr="00F25254" w:rsidRDefault="008906C2" w:rsidP="00457768">
            <w:pPr>
              <w:pStyle w:val="NoSpacing"/>
              <w:jc w:val="both"/>
              <w:rPr>
                <w:rFonts w:ascii="Arial" w:hAnsi="Arial" w:cs="Arial"/>
                <w:sz w:val="16"/>
                <w:szCs w:val="16"/>
              </w:rPr>
            </w:pPr>
            <w:proofErr w:type="spellStart"/>
            <w:r w:rsidRPr="00F25254">
              <w:rPr>
                <w:rFonts w:ascii="Arial" w:hAnsi="Arial" w:cs="Arial"/>
                <w:sz w:val="16"/>
                <w:szCs w:val="16"/>
              </w:rPr>
              <w:t>Cj</w:t>
            </w:r>
            <w:proofErr w:type="spellEnd"/>
            <w:r w:rsidRPr="00F25254">
              <w:rPr>
                <w:rFonts w:ascii="Arial" w:hAnsi="Arial" w:cs="Arial"/>
                <w:sz w:val="16"/>
                <w:szCs w:val="16"/>
              </w:rPr>
              <w:t xml:space="preserve"> 1-3</w:t>
            </w:r>
          </w:p>
        </w:tc>
        <w:tc>
          <w:tcPr>
            <w:tcW w:w="1260" w:type="dxa"/>
          </w:tcPr>
          <w:p w:rsidR="008906C2" w:rsidRPr="00F25254" w:rsidRDefault="008906C2" w:rsidP="00457768">
            <w:pPr>
              <w:pStyle w:val="NoSpacing"/>
              <w:rPr>
                <w:rFonts w:ascii="Arial" w:hAnsi="Arial" w:cs="Arial"/>
                <w:sz w:val="16"/>
                <w:szCs w:val="16"/>
              </w:rPr>
            </w:pPr>
            <w:r w:rsidRPr="00F25254">
              <w:rPr>
                <w:rFonts w:ascii="Arial" w:hAnsi="Arial" w:cs="Arial"/>
                <w:sz w:val="16"/>
                <w:szCs w:val="16"/>
              </w:rPr>
              <w:t xml:space="preserve">Criminal Justice </w:t>
            </w:r>
          </w:p>
        </w:tc>
        <w:tc>
          <w:tcPr>
            <w:tcW w:w="3240" w:type="dxa"/>
          </w:tcPr>
          <w:p w:rsidR="008906C2" w:rsidRPr="00F25254" w:rsidRDefault="008906C2" w:rsidP="00457768">
            <w:pPr>
              <w:pStyle w:val="NoSpacing"/>
              <w:rPr>
                <w:rFonts w:ascii="Arial" w:hAnsi="Arial" w:cs="Arial"/>
                <w:sz w:val="16"/>
                <w:szCs w:val="16"/>
              </w:rPr>
            </w:pPr>
            <w:r>
              <w:rPr>
                <w:rFonts w:ascii="Arial" w:hAnsi="Arial" w:cs="Arial"/>
                <w:sz w:val="16"/>
                <w:szCs w:val="16"/>
              </w:rPr>
              <w:t>Homelessness and criminal justice involvement are inter-related, as reflected on one hand in the criminalization of homelessness and on the other hand in the housing challenges faced by many offenders reentering the community. These data on arrests and incarceration will be used to identify GBHI clients with criminal justice involvement which will allow for comparison against non-CJ involved GBHI clients in terms of homelessness,  housing, and service receipt</w:t>
            </w:r>
          </w:p>
        </w:tc>
        <w:tc>
          <w:tcPr>
            <w:tcW w:w="1800" w:type="dxa"/>
          </w:tcPr>
          <w:p w:rsidR="008906C2" w:rsidRPr="00F25254" w:rsidRDefault="008906C2" w:rsidP="007B55D4">
            <w:pPr>
              <w:pStyle w:val="NoSpacing"/>
              <w:jc w:val="both"/>
              <w:rPr>
                <w:rFonts w:ascii="Arial" w:hAnsi="Arial" w:cs="Arial"/>
                <w:sz w:val="16"/>
                <w:szCs w:val="16"/>
              </w:rPr>
            </w:pPr>
            <w:r w:rsidRPr="00F25254">
              <w:rPr>
                <w:rFonts w:ascii="Arial" w:hAnsi="Arial" w:cs="Arial"/>
                <w:sz w:val="16"/>
                <w:szCs w:val="16"/>
              </w:rPr>
              <w:t xml:space="preserve">Broner et al., 2009; Broner et al., 2004; Broner et al. 2005; </w:t>
            </w:r>
            <w:r w:rsidR="007B55D4" w:rsidRPr="00F25254">
              <w:rPr>
                <w:rFonts w:ascii="Arial" w:hAnsi="Arial" w:cs="Arial"/>
                <w:sz w:val="16"/>
                <w:szCs w:val="16"/>
              </w:rPr>
              <w:t xml:space="preserve"> Case et al.</w:t>
            </w:r>
            <w:r w:rsidR="007B55D4">
              <w:rPr>
                <w:rFonts w:ascii="Arial" w:hAnsi="Arial" w:cs="Arial"/>
                <w:sz w:val="16"/>
                <w:szCs w:val="16"/>
              </w:rPr>
              <w:t>, 2009</w:t>
            </w:r>
            <w:r w:rsidR="007B55D4" w:rsidRPr="00F25254">
              <w:rPr>
                <w:rFonts w:ascii="Arial" w:hAnsi="Arial" w:cs="Arial"/>
                <w:sz w:val="16"/>
                <w:szCs w:val="16"/>
              </w:rPr>
              <w:t xml:space="preserve">; </w:t>
            </w:r>
            <w:r w:rsidR="007B55D4">
              <w:rPr>
                <w:rFonts w:ascii="Arial" w:hAnsi="Arial" w:cs="Arial"/>
                <w:sz w:val="16"/>
                <w:szCs w:val="16"/>
              </w:rPr>
              <w:t>Naples et al., 2007</w:t>
            </w:r>
            <w:r w:rsidR="00A74905">
              <w:rPr>
                <w:rFonts w:ascii="Arial" w:hAnsi="Arial" w:cs="Arial"/>
                <w:sz w:val="16"/>
                <w:szCs w:val="16"/>
              </w:rPr>
              <w:t>; Steadman &amp; Naples, 2005.</w:t>
            </w:r>
          </w:p>
        </w:tc>
        <w:tc>
          <w:tcPr>
            <w:tcW w:w="1170" w:type="dxa"/>
          </w:tcPr>
          <w:p w:rsidR="008906C2" w:rsidRPr="00F25254" w:rsidRDefault="008906C2" w:rsidP="00457768">
            <w:pPr>
              <w:pStyle w:val="NoSpacing"/>
              <w:jc w:val="both"/>
              <w:rPr>
                <w:rFonts w:ascii="Arial" w:hAnsi="Arial" w:cs="Arial"/>
                <w:sz w:val="16"/>
                <w:szCs w:val="16"/>
              </w:rPr>
            </w:pPr>
            <w:r w:rsidRPr="00F25254">
              <w:rPr>
                <w:rFonts w:ascii="Arial" w:hAnsi="Arial" w:cs="Arial"/>
                <w:sz w:val="16"/>
                <w:szCs w:val="16"/>
              </w:rPr>
              <w:t>SA, MI, COD, Veterans, CJ, homeless</w:t>
            </w:r>
          </w:p>
        </w:tc>
        <w:tc>
          <w:tcPr>
            <w:tcW w:w="900" w:type="dxa"/>
          </w:tcPr>
          <w:p w:rsidR="008906C2" w:rsidRPr="007B55D4" w:rsidRDefault="008906C2" w:rsidP="005F0D6E">
            <w:pPr>
              <w:spacing w:after="0" w:line="240" w:lineRule="auto"/>
              <w:rPr>
                <w:rFonts w:ascii="Arial" w:hAnsi="Arial" w:cs="Arial"/>
                <w:sz w:val="16"/>
                <w:szCs w:val="16"/>
              </w:rPr>
            </w:pPr>
            <w:r w:rsidRPr="007B55D4">
              <w:rPr>
                <w:rFonts w:ascii="Arial" w:hAnsi="Arial" w:cs="Arial"/>
                <w:sz w:val="16"/>
                <w:szCs w:val="16"/>
              </w:rPr>
              <w:t xml:space="preserve">0930-0277; </w:t>
            </w:r>
          </w:p>
          <w:p w:rsidR="008906C2" w:rsidRPr="007B55D4" w:rsidRDefault="008906C2" w:rsidP="00457768">
            <w:pPr>
              <w:pStyle w:val="NoSpacing"/>
              <w:jc w:val="both"/>
              <w:rPr>
                <w:rFonts w:ascii="Arial" w:hAnsi="Arial" w:cs="Arial"/>
                <w:sz w:val="16"/>
                <w:szCs w:val="16"/>
              </w:rPr>
            </w:pPr>
          </w:p>
        </w:tc>
      </w:tr>
      <w:tr w:rsidR="00FB0406" w:rsidRPr="00F25254" w:rsidTr="00861C08">
        <w:tc>
          <w:tcPr>
            <w:tcW w:w="1098" w:type="dxa"/>
          </w:tcPr>
          <w:p w:rsidR="008906C2" w:rsidRPr="00F25254" w:rsidRDefault="008906C2" w:rsidP="00457768">
            <w:pPr>
              <w:pStyle w:val="NoSpacing"/>
              <w:jc w:val="both"/>
              <w:rPr>
                <w:rFonts w:ascii="Arial" w:hAnsi="Arial" w:cs="Arial"/>
                <w:sz w:val="16"/>
                <w:szCs w:val="16"/>
              </w:rPr>
            </w:pPr>
            <w:r w:rsidRPr="00F25254">
              <w:rPr>
                <w:rFonts w:ascii="Arial" w:hAnsi="Arial" w:cs="Arial"/>
                <w:sz w:val="16"/>
                <w:szCs w:val="16"/>
              </w:rPr>
              <w:t>TXHI-TXH8</w:t>
            </w:r>
          </w:p>
        </w:tc>
        <w:tc>
          <w:tcPr>
            <w:tcW w:w="1260" w:type="dxa"/>
          </w:tcPr>
          <w:p w:rsidR="008906C2" w:rsidRPr="00F25254" w:rsidRDefault="008906C2" w:rsidP="00457768">
            <w:pPr>
              <w:pStyle w:val="NoSpacing"/>
              <w:rPr>
                <w:rFonts w:ascii="Arial" w:hAnsi="Arial" w:cs="Arial"/>
                <w:sz w:val="16"/>
                <w:szCs w:val="16"/>
              </w:rPr>
            </w:pPr>
            <w:r w:rsidRPr="00F25254">
              <w:rPr>
                <w:rFonts w:ascii="Arial" w:hAnsi="Arial" w:cs="Arial"/>
                <w:sz w:val="16"/>
                <w:szCs w:val="16"/>
              </w:rPr>
              <w:t xml:space="preserve">Treatment </w:t>
            </w:r>
            <w:r>
              <w:rPr>
                <w:rFonts w:ascii="Arial" w:hAnsi="Arial" w:cs="Arial"/>
                <w:sz w:val="16"/>
                <w:szCs w:val="16"/>
              </w:rPr>
              <w:t>H</w:t>
            </w:r>
            <w:r w:rsidRPr="00F25254">
              <w:rPr>
                <w:rFonts w:ascii="Arial" w:hAnsi="Arial" w:cs="Arial"/>
                <w:sz w:val="16"/>
                <w:szCs w:val="16"/>
              </w:rPr>
              <w:t>istory</w:t>
            </w:r>
          </w:p>
        </w:tc>
        <w:tc>
          <w:tcPr>
            <w:tcW w:w="3240" w:type="dxa"/>
          </w:tcPr>
          <w:p w:rsidR="008906C2" w:rsidRPr="00223CC3" w:rsidRDefault="005F0D6E" w:rsidP="00FB0406">
            <w:pPr>
              <w:pStyle w:val="NoSpacing"/>
              <w:rPr>
                <w:rFonts w:ascii="Arial" w:hAnsi="Arial" w:cs="Arial"/>
                <w:sz w:val="16"/>
                <w:szCs w:val="16"/>
                <w:highlight w:val="green"/>
              </w:rPr>
            </w:pPr>
            <w:r w:rsidRPr="007B55D4">
              <w:rPr>
                <w:rFonts w:ascii="Arial" w:hAnsi="Arial" w:cs="Arial"/>
                <w:sz w:val="16"/>
                <w:szCs w:val="16"/>
              </w:rPr>
              <w:t xml:space="preserve">These questions provide important information on severity of </w:t>
            </w:r>
            <w:r w:rsidR="00FB0406" w:rsidRPr="007B55D4">
              <w:rPr>
                <w:rFonts w:ascii="Arial" w:hAnsi="Arial" w:cs="Arial"/>
                <w:sz w:val="16"/>
                <w:szCs w:val="16"/>
              </w:rPr>
              <w:t xml:space="preserve">mental health and substance </w:t>
            </w:r>
            <w:r w:rsidRPr="007B55D4">
              <w:rPr>
                <w:rFonts w:ascii="Arial" w:hAnsi="Arial" w:cs="Arial"/>
                <w:sz w:val="16"/>
                <w:szCs w:val="16"/>
              </w:rPr>
              <w:t xml:space="preserve">use </w:t>
            </w:r>
            <w:r w:rsidR="00FB0406" w:rsidRPr="007B55D4">
              <w:rPr>
                <w:rFonts w:ascii="Arial" w:hAnsi="Arial" w:cs="Arial"/>
                <w:sz w:val="16"/>
                <w:szCs w:val="16"/>
              </w:rPr>
              <w:t xml:space="preserve">problems that will be used in subgroup group analyses. These types of questions have been used to </w:t>
            </w:r>
            <w:r w:rsidR="00FB0406" w:rsidRPr="007B55D4">
              <w:rPr>
                <w:rFonts w:ascii="Arial" w:hAnsi="Arial" w:cs="Arial"/>
                <w:sz w:val="16"/>
                <w:szCs w:val="16"/>
              </w:rPr>
              <w:lastRenderedPageBreak/>
              <w:t xml:space="preserve">estimate prevalence and severity in various populations and to better understand needs as well. </w:t>
            </w:r>
          </w:p>
        </w:tc>
        <w:tc>
          <w:tcPr>
            <w:tcW w:w="1800" w:type="dxa"/>
          </w:tcPr>
          <w:p w:rsidR="008906C2" w:rsidRPr="00F25254" w:rsidRDefault="008906C2" w:rsidP="001C02CA">
            <w:pPr>
              <w:pStyle w:val="NoSpacing"/>
              <w:jc w:val="both"/>
              <w:rPr>
                <w:rFonts w:ascii="Arial" w:hAnsi="Arial" w:cs="Arial"/>
                <w:sz w:val="16"/>
                <w:szCs w:val="16"/>
              </w:rPr>
            </w:pPr>
            <w:proofErr w:type="spellStart"/>
            <w:r w:rsidRPr="00F25254">
              <w:rPr>
                <w:rFonts w:ascii="Arial" w:hAnsi="Arial" w:cs="Arial"/>
                <w:sz w:val="16"/>
                <w:szCs w:val="16"/>
              </w:rPr>
              <w:lastRenderedPageBreak/>
              <w:t>Brownsberger</w:t>
            </w:r>
            <w:proofErr w:type="spellEnd"/>
            <w:r w:rsidRPr="00F25254">
              <w:rPr>
                <w:rFonts w:ascii="Arial" w:hAnsi="Arial" w:cs="Arial"/>
                <w:sz w:val="16"/>
                <w:szCs w:val="16"/>
              </w:rPr>
              <w:t xml:space="preserve"> et al., 2004; Broner et al., 2010; </w:t>
            </w:r>
            <w:proofErr w:type="spellStart"/>
            <w:r w:rsidR="005F0D6E">
              <w:rPr>
                <w:rFonts w:ascii="Arial" w:hAnsi="Arial" w:cs="Arial"/>
                <w:sz w:val="16"/>
                <w:szCs w:val="16"/>
              </w:rPr>
              <w:t>Ditton</w:t>
            </w:r>
            <w:proofErr w:type="spellEnd"/>
            <w:r w:rsidR="005F0D6E">
              <w:rPr>
                <w:rFonts w:ascii="Arial" w:hAnsi="Arial" w:cs="Arial"/>
                <w:sz w:val="16"/>
                <w:szCs w:val="16"/>
              </w:rPr>
              <w:t xml:space="preserve">, 1999; </w:t>
            </w:r>
            <w:r w:rsidR="00CB7992" w:rsidRPr="00CB7992">
              <w:rPr>
                <w:rFonts w:ascii="Arial" w:hAnsi="Arial" w:cs="Arial"/>
                <w:sz w:val="16"/>
                <w:szCs w:val="16"/>
              </w:rPr>
              <w:t>Lattimore et al., 200</w:t>
            </w:r>
            <w:r w:rsidR="00CB7992">
              <w:rPr>
                <w:rFonts w:ascii="Arial" w:hAnsi="Arial" w:cs="Arial"/>
                <w:sz w:val="16"/>
                <w:szCs w:val="16"/>
              </w:rPr>
              <w:t>5</w:t>
            </w:r>
            <w:r w:rsidR="00CB7992" w:rsidRPr="00CB7992">
              <w:rPr>
                <w:rFonts w:ascii="Arial" w:hAnsi="Arial" w:cs="Arial"/>
                <w:sz w:val="16"/>
                <w:szCs w:val="16"/>
              </w:rPr>
              <w:t xml:space="preserve">; </w:t>
            </w:r>
            <w:proofErr w:type="spellStart"/>
            <w:r w:rsidR="00CB7992">
              <w:rPr>
                <w:rFonts w:ascii="Arial" w:hAnsi="Arial" w:cs="Arial"/>
                <w:sz w:val="16"/>
                <w:szCs w:val="16"/>
              </w:rPr>
              <w:t>Winterfield</w:t>
            </w:r>
            <w:proofErr w:type="spellEnd"/>
            <w:r w:rsidR="001C02CA">
              <w:rPr>
                <w:rFonts w:ascii="Arial" w:hAnsi="Arial" w:cs="Arial"/>
                <w:sz w:val="16"/>
                <w:szCs w:val="16"/>
              </w:rPr>
              <w:t xml:space="preserve"> </w:t>
            </w:r>
            <w:r w:rsidR="00CB7992" w:rsidRPr="00CB7992">
              <w:rPr>
                <w:rFonts w:ascii="Arial" w:hAnsi="Arial" w:cs="Arial"/>
                <w:sz w:val="16"/>
                <w:szCs w:val="16"/>
              </w:rPr>
              <w:t xml:space="preserve">et al., </w:t>
            </w:r>
            <w:r w:rsidR="00CB7992" w:rsidRPr="00CB7992">
              <w:rPr>
                <w:rFonts w:ascii="Arial" w:hAnsi="Arial" w:cs="Arial"/>
                <w:sz w:val="16"/>
                <w:szCs w:val="16"/>
              </w:rPr>
              <w:lastRenderedPageBreak/>
              <w:t>200</w:t>
            </w:r>
            <w:r w:rsidR="001C02CA">
              <w:rPr>
                <w:rFonts w:ascii="Arial" w:hAnsi="Arial" w:cs="Arial"/>
                <w:sz w:val="16"/>
                <w:szCs w:val="16"/>
              </w:rPr>
              <w:t>6</w:t>
            </w:r>
          </w:p>
        </w:tc>
        <w:tc>
          <w:tcPr>
            <w:tcW w:w="1170" w:type="dxa"/>
          </w:tcPr>
          <w:p w:rsidR="008906C2" w:rsidRPr="00F25254" w:rsidRDefault="008906C2" w:rsidP="007B55D4">
            <w:pPr>
              <w:pStyle w:val="NoSpacing"/>
              <w:jc w:val="both"/>
              <w:rPr>
                <w:rFonts w:ascii="Arial" w:hAnsi="Arial" w:cs="Arial"/>
                <w:sz w:val="16"/>
                <w:szCs w:val="16"/>
              </w:rPr>
            </w:pPr>
            <w:r w:rsidRPr="00F25254">
              <w:rPr>
                <w:rFonts w:ascii="Arial" w:hAnsi="Arial" w:cs="Arial"/>
                <w:sz w:val="16"/>
                <w:szCs w:val="16"/>
              </w:rPr>
              <w:lastRenderedPageBreak/>
              <w:t>C</w:t>
            </w:r>
            <w:r w:rsidR="007B55D4">
              <w:rPr>
                <w:rFonts w:ascii="Arial" w:hAnsi="Arial" w:cs="Arial"/>
                <w:sz w:val="16"/>
                <w:szCs w:val="16"/>
              </w:rPr>
              <w:t>J, Homeless, MI. COD, SA</w:t>
            </w:r>
            <w:r w:rsidRPr="00F25254">
              <w:rPr>
                <w:rFonts w:ascii="Arial" w:hAnsi="Arial" w:cs="Arial"/>
                <w:sz w:val="16"/>
                <w:szCs w:val="16"/>
              </w:rPr>
              <w:t xml:space="preserve"> </w:t>
            </w:r>
          </w:p>
        </w:tc>
        <w:tc>
          <w:tcPr>
            <w:tcW w:w="900" w:type="dxa"/>
          </w:tcPr>
          <w:p w:rsidR="008906C2" w:rsidRPr="007B55D4" w:rsidRDefault="005F0D6E" w:rsidP="00457768">
            <w:pPr>
              <w:pStyle w:val="NoSpacing"/>
              <w:jc w:val="both"/>
              <w:rPr>
                <w:rFonts w:ascii="Arial" w:hAnsi="Arial" w:cs="Arial"/>
                <w:sz w:val="16"/>
                <w:szCs w:val="16"/>
              </w:rPr>
            </w:pPr>
            <w:r w:rsidRPr="007B55D4">
              <w:rPr>
                <w:rFonts w:ascii="Arial" w:hAnsi="Arial" w:cs="Arial"/>
                <w:sz w:val="16"/>
                <w:szCs w:val="16"/>
              </w:rPr>
              <w:t>N/A</w:t>
            </w:r>
          </w:p>
        </w:tc>
      </w:tr>
      <w:tr w:rsidR="00FB0406" w:rsidRPr="00F25254" w:rsidTr="00861C08">
        <w:tc>
          <w:tcPr>
            <w:tcW w:w="1098" w:type="dxa"/>
          </w:tcPr>
          <w:p w:rsidR="008906C2" w:rsidRPr="00F25254" w:rsidRDefault="008906C2" w:rsidP="00457768">
            <w:pPr>
              <w:pStyle w:val="NoSpacing"/>
              <w:jc w:val="both"/>
              <w:rPr>
                <w:rFonts w:ascii="Arial" w:hAnsi="Arial" w:cs="Arial"/>
                <w:sz w:val="16"/>
                <w:szCs w:val="16"/>
              </w:rPr>
            </w:pPr>
            <w:r w:rsidRPr="00F25254">
              <w:rPr>
                <w:rFonts w:ascii="Arial" w:hAnsi="Arial" w:cs="Arial"/>
                <w:sz w:val="16"/>
                <w:szCs w:val="16"/>
              </w:rPr>
              <w:lastRenderedPageBreak/>
              <w:t>RTC 1-2</w:t>
            </w:r>
          </w:p>
        </w:tc>
        <w:tc>
          <w:tcPr>
            <w:tcW w:w="1260" w:type="dxa"/>
          </w:tcPr>
          <w:p w:rsidR="008906C2" w:rsidRPr="00F25254" w:rsidRDefault="008906C2" w:rsidP="00457768">
            <w:pPr>
              <w:pStyle w:val="NoSpacing"/>
              <w:rPr>
                <w:rFonts w:ascii="Arial" w:hAnsi="Arial" w:cs="Arial"/>
                <w:sz w:val="16"/>
                <w:szCs w:val="16"/>
              </w:rPr>
            </w:pPr>
            <w:r w:rsidRPr="00F25254">
              <w:rPr>
                <w:rFonts w:ascii="Arial" w:hAnsi="Arial" w:cs="Arial"/>
                <w:sz w:val="16"/>
                <w:szCs w:val="16"/>
              </w:rPr>
              <w:t>Stages of Change</w:t>
            </w:r>
          </w:p>
        </w:tc>
        <w:tc>
          <w:tcPr>
            <w:tcW w:w="3240" w:type="dxa"/>
          </w:tcPr>
          <w:p w:rsidR="008906C2" w:rsidRPr="00F25254" w:rsidRDefault="008906C2" w:rsidP="00457768">
            <w:pPr>
              <w:pStyle w:val="NoSpacing"/>
              <w:rPr>
                <w:rFonts w:ascii="Arial" w:hAnsi="Arial" w:cs="Arial"/>
                <w:sz w:val="16"/>
                <w:szCs w:val="16"/>
              </w:rPr>
            </w:pPr>
            <w:r>
              <w:rPr>
                <w:rFonts w:ascii="Arial" w:hAnsi="Arial" w:cs="Arial"/>
                <w:sz w:val="16"/>
                <w:szCs w:val="16"/>
              </w:rPr>
              <w:t xml:space="preserve">A client’s status on “stages of change” is an important predictor of receptivity to treatment and likelihood of benefitting from treatment services. Many GBHI </w:t>
            </w:r>
            <w:r w:rsidR="00681837">
              <w:rPr>
                <w:rFonts w:ascii="Arial" w:hAnsi="Arial" w:cs="Arial"/>
                <w:sz w:val="16"/>
                <w:szCs w:val="16"/>
              </w:rPr>
              <w:t>Grantees</w:t>
            </w:r>
            <w:r>
              <w:rPr>
                <w:rFonts w:ascii="Arial" w:hAnsi="Arial" w:cs="Arial"/>
                <w:sz w:val="16"/>
                <w:szCs w:val="16"/>
              </w:rPr>
              <w:t xml:space="preserve"> use the concept in tailoring services to clients. Therefore, measuring it is important to describe GBHI clients, for subgroup analysis, and as a proximal outcome</w:t>
            </w:r>
            <w:r w:rsidR="003F2CAF">
              <w:rPr>
                <w:rFonts w:ascii="Arial" w:hAnsi="Arial" w:cs="Arial"/>
                <w:sz w:val="16"/>
                <w:szCs w:val="16"/>
              </w:rPr>
              <w:t xml:space="preserve"> that may explain subsequent grantee efforts.</w:t>
            </w:r>
          </w:p>
        </w:tc>
        <w:tc>
          <w:tcPr>
            <w:tcW w:w="1800" w:type="dxa"/>
          </w:tcPr>
          <w:p w:rsidR="008906C2" w:rsidRPr="00F25254" w:rsidRDefault="008906C2" w:rsidP="00457768">
            <w:pPr>
              <w:pStyle w:val="NoSpacing"/>
              <w:jc w:val="both"/>
              <w:rPr>
                <w:rFonts w:ascii="Arial" w:hAnsi="Arial" w:cs="Arial"/>
                <w:sz w:val="16"/>
                <w:szCs w:val="16"/>
              </w:rPr>
            </w:pPr>
            <w:proofErr w:type="spellStart"/>
            <w:r w:rsidRPr="00F25254">
              <w:rPr>
                <w:rFonts w:ascii="Arial" w:hAnsi="Arial" w:cs="Arial"/>
                <w:sz w:val="16"/>
                <w:szCs w:val="16"/>
              </w:rPr>
              <w:t>Rollnick</w:t>
            </w:r>
            <w:proofErr w:type="spellEnd"/>
            <w:r w:rsidRPr="00F25254">
              <w:rPr>
                <w:rFonts w:ascii="Arial" w:hAnsi="Arial" w:cs="Arial"/>
                <w:sz w:val="16"/>
                <w:szCs w:val="16"/>
              </w:rPr>
              <w:t xml:space="preserve"> et al., 1992;</w:t>
            </w:r>
          </w:p>
        </w:tc>
        <w:tc>
          <w:tcPr>
            <w:tcW w:w="1170" w:type="dxa"/>
          </w:tcPr>
          <w:p w:rsidR="008906C2" w:rsidRPr="00F25254" w:rsidRDefault="008906C2" w:rsidP="007B55D4">
            <w:pPr>
              <w:pStyle w:val="NoSpacing"/>
              <w:jc w:val="both"/>
              <w:rPr>
                <w:rFonts w:ascii="Arial" w:hAnsi="Arial" w:cs="Arial"/>
                <w:sz w:val="16"/>
                <w:szCs w:val="16"/>
              </w:rPr>
            </w:pPr>
            <w:r w:rsidRPr="00F25254">
              <w:rPr>
                <w:rFonts w:ascii="Arial" w:hAnsi="Arial" w:cs="Arial"/>
                <w:sz w:val="16"/>
                <w:szCs w:val="16"/>
              </w:rPr>
              <w:t xml:space="preserve">SA, MI, </w:t>
            </w:r>
            <w:r w:rsidR="007B55D4">
              <w:rPr>
                <w:rFonts w:ascii="Arial" w:hAnsi="Arial" w:cs="Arial"/>
                <w:sz w:val="16"/>
                <w:szCs w:val="16"/>
              </w:rPr>
              <w:t xml:space="preserve">COD, </w:t>
            </w:r>
            <w:r w:rsidRPr="00F25254">
              <w:rPr>
                <w:rFonts w:ascii="Arial" w:hAnsi="Arial" w:cs="Arial"/>
                <w:sz w:val="16"/>
                <w:szCs w:val="16"/>
              </w:rPr>
              <w:t>youth</w:t>
            </w:r>
            <w:r w:rsidR="007B55D4">
              <w:rPr>
                <w:rFonts w:ascii="Arial" w:hAnsi="Arial" w:cs="Arial"/>
                <w:sz w:val="16"/>
                <w:szCs w:val="16"/>
              </w:rPr>
              <w:t xml:space="preserve"> and</w:t>
            </w:r>
            <w:r w:rsidRPr="00F25254">
              <w:rPr>
                <w:rFonts w:ascii="Arial" w:hAnsi="Arial" w:cs="Arial"/>
                <w:sz w:val="16"/>
                <w:szCs w:val="16"/>
              </w:rPr>
              <w:t xml:space="preserve"> adults, </w:t>
            </w:r>
            <w:r w:rsidR="007B55D4">
              <w:rPr>
                <w:rFonts w:ascii="Arial" w:hAnsi="Arial" w:cs="Arial"/>
                <w:sz w:val="16"/>
                <w:szCs w:val="16"/>
              </w:rPr>
              <w:t>H</w:t>
            </w:r>
            <w:r w:rsidRPr="00F25254">
              <w:rPr>
                <w:rFonts w:ascii="Arial" w:hAnsi="Arial" w:cs="Arial"/>
                <w:sz w:val="16"/>
                <w:szCs w:val="16"/>
              </w:rPr>
              <w:t xml:space="preserve">omeless, </w:t>
            </w:r>
            <w:r w:rsidR="007B55D4">
              <w:rPr>
                <w:rFonts w:ascii="Arial" w:hAnsi="Arial" w:cs="Arial"/>
                <w:sz w:val="16"/>
                <w:szCs w:val="16"/>
              </w:rPr>
              <w:t>CJ</w:t>
            </w:r>
          </w:p>
        </w:tc>
        <w:tc>
          <w:tcPr>
            <w:tcW w:w="900" w:type="dxa"/>
          </w:tcPr>
          <w:p w:rsidR="008906C2" w:rsidRPr="00F25254" w:rsidRDefault="007F784F" w:rsidP="00457768">
            <w:pPr>
              <w:pStyle w:val="NoSpacing"/>
              <w:jc w:val="both"/>
              <w:rPr>
                <w:rFonts w:ascii="Arial" w:hAnsi="Arial" w:cs="Arial"/>
                <w:sz w:val="16"/>
                <w:szCs w:val="16"/>
              </w:rPr>
            </w:pPr>
            <w:r>
              <w:rPr>
                <w:rFonts w:ascii="Arial" w:hAnsi="Arial" w:cs="Arial"/>
                <w:sz w:val="16"/>
                <w:szCs w:val="16"/>
              </w:rPr>
              <w:t xml:space="preserve"> Peer review literature</w:t>
            </w:r>
          </w:p>
        </w:tc>
      </w:tr>
      <w:tr w:rsidR="00FB0406" w:rsidRPr="00F25254" w:rsidTr="00861C08">
        <w:tc>
          <w:tcPr>
            <w:tcW w:w="1098" w:type="dxa"/>
          </w:tcPr>
          <w:p w:rsidR="008906C2" w:rsidRPr="00F25254" w:rsidRDefault="008906C2" w:rsidP="00457768">
            <w:pPr>
              <w:pStyle w:val="NoSpacing"/>
              <w:jc w:val="both"/>
              <w:rPr>
                <w:rFonts w:ascii="Arial" w:hAnsi="Arial" w:cs="Arial"/>
                <w:sz w:val="16"/>
                <w:szCs w:val="16"/>
              </w:rPr>
            </w:pPr>
            <w:r w:rsidRPr="00F25254">
              <w:rPr>
                <w:rFonts w:ascii="Arial" w:hAnsi="Arial" w:cs="Arial"/>
                <w:sz w:val="16"/>
                <w:szCs w:val="16"/>
              </w:rPr>
              <w:t>PCL1</w:t>
            </w:r>
          </w:p>
        </w:tc>
        <w:tc>
          <w:tcPr>
            <w:tcW w:w="1260" w:type="dxa"/>
          </w:tcPr>
          <w:p w:rsidR="008906C2" w:rsidRPr="00F25254" w:rsidRDefault="008906C2" w:rsidP="00457768">
            <w:pPr>
              <w:pStyle w:val="NoSpacing"/>
              <w:rPr>
                <w:rFonts w:ascii="Arial" w:hAnsi="Arial" w:cs="Arial"/>
                <w:sz w:val="16"/>
                <w:szCs w:val="16"/>
              </w:rPr>
            </w:pPr>
            <w:r w:rsidRPr="00F25254">
              <w:rPr>
                <w:rFonts w:ascii="Arial" w:hAnsi="Arial" w:cs="Arial"/>
                <w:sz w:val="16"/>
                <w:szCs w:val="16"/>
              </w:rPr>
              <w:t>PTSD/Trauma symptoms</w:t>
            </w:r>
          </w:p>
        </w:tc>
        <w:tc>
          <w:tcPr>
            <w:tcW w:w="3240" w:type="dxa"/>
          </w:tcPr>
          <w:p w:rsidR="008906C2" w:rsidRPr="00F25254" w:rsidRDefault="008906C2" w:rsidP="00457768">
            <w:pPr>
              <w:pStyle w:val="NoSpacing"/>
              <w:rPr>
                <w:rFonts w:ascii="Arial" w:hAnsi="Arial" w:cs="Arial"/>
                <w:sz w:val="16"/>
                <w:szCs w:val="16"/>
              </w:rPr>
            </w:pPr>
            <w:r>
              <w:rPr>
                <w:rFonts w:ascii="Arial" w:hAnsi="Arial" w:cs="Arial"/>
                <w:sz w:val="16"/>
                <w:szCs w:val="16"/>
              </w:rPr>
              <w:t xml:space="preserve">Many homeless individuals have suffered trauma, and many GBHI </w:t>
            </w:r>
            <w:r w:rsidR="00681837">
              <w:rPr>
                <w:rFonts w:ascii="Arial" w:hAnsi="Arial" w:cs="Arial"/>
                <w:sz w:val="16"/>
                <w:szCs w:val="16"/>
              </w:rPr>
              <w:t>Grantees</w:t>
            </w:r>
            <w:r>
              <w:rPr>
                <w:rFonts w:ascii="Arial" w:hAnsi="Arial" w:cs="Arial"/>
                <w:sz w:val="16"/>
                <w:szCs w:val="16"/>
              </w:rPr>
              <w:t xml:space="preserve"> implement programs or practices to serve them. These measures of PTSD are important for describing GBHI clients and programming, and for subgroup analyses.</w:t>
            </w:r>
          </w:p>
        </w:tc>
        <w:tc>
          <w:tcPr>
            <w:tcW w:w="1800" w:type="dxa"/>
          </w:tcPr>
          <w:p w:rsidR="008906C2" w:rsidRPr="00F25254" w:rsidRDefault="008906C2" w:rsidP="007F784F">
            <w:pPr>
              <w:pStyle w:val="NoSpacing"/>
              <w:jc w:val="both"/>
              <w:rPr>
                <w:rFonts w:ascii="Arial" w:hAnsi="Arial" w:cs="Arial"/>
                <w:sz w:val="16"/>
                <w:szCs w:val="16"/>
              </w:rPr>
            </w:pPr>
            <w:r w:rsidRPr="00F25254">
              <w:rPr>
                <w:rFonts w:ascii="Arial" w:hAnsi="Arial" w:cs="Arial"/>
                <w:sz w:val="16"/>
                <w:szCs w:val="16"/>
              </w:rPr>
              <w:t xml:space="preserve">Broner et al., 2005; </w:t>
            </w:r>
            <w:r w:rsidRPr="007F784F">
              <w:rPr>
                <w:rFonts w:ascii="Arial" w:hAnsi="Arial" w:cs="Arial"/>
                <w:sz w:val="16"/>
                <w:szCs w:val="16"/>
              </w:rPr>
              <w:t xml:space="preserve">Broner et al; 2008; </w:t>
            </w:r>
            <w:proofErr w:type="spellStart"/>
            <w:r w:rsidR="00FB0406" w:rsidRPr="007F784F">
              <w:rPr>
                <w:rFonts w:ascii="Arial" w:hAnsi="Arial" w:cs="Arial"/>
                <w:sz w:val="16"/>
                <w:szCs w:val="16"/>
              </w:rPr>
              <w:t>Bliese</w:t>
            </w:r>
            <w:proofErr w:type="spellEnd"/>
            <w:r w:rsidR="00FB0406" w:rsidRPr="007F784F">
              <w:rPr>
                <w:rFonts w:ascii="Arial" w:hAnsi="Arial" w:cs="Arial"/>
                <w:sz w:val="16"/>
                <w:szCs w:val="16"/>
              </w:rPr>
              <w:t xml:space="preserve"> et al., 2008; </w:t>
            </w:r>
            <w:r w:rsidR="009477BD" w:rsidRPr="007F784F">
              <w:rPr>
                <w:rFonts w:ascii="Arial" w:hAnsi="Arial" w:cs="Arial"/>
                <w:sz w:val="16"/>
                <w:szCs w:val="16"/>
              </w:rPr>
              <w:t>Case et al., 2009;</w:t>
            </w:r>
            <w:r w:rsidRPr="007F784F">
              <w:rPr>
                <w:rFonts w:ascii="Arial" w:hAnsi="Arial" w:cs="Arial"/>
                <w:sz w:val="16"/>
                <w:szCs w:val="16"/>
              </w:rPr>
              <w:t xml:space="preserve">; </w:t>
            </w:r>
            <w:r w:rsidRPr="007F784F">
              <w:rPr>
                <w:rFonts w:ascii="Arial" w:hAnsi="Arial" w:cs="Arial"/>
                <w:bCs/>
                <w:sz w:val="16"/>
                <w:szCs w:val="16"/>
              </w:rPr>
              <w:t>Kean</w:t>
            </w:r>
            <w:r w:rsidR="007F784F" w:rsidRPr="007F784F">
              <w:rPr>
                <w:rFonts w:ascii="Arial" w:hAnsi="Arial" w:cs="Arial"/>
                <w:bCs/>
                <w:sz w:val="16"/>
                <w:szCs w:val="16"/>
              </w:rPr>
              <w:t xml:space="preserve"> et al., </w:t>
            </w:r>
            <w:r w:rsidRPr="007F784F">
              <w:rPr>
                <w:rFonts w:ascii="Arial" w:hAnsi="Arial" w:cs="Arial"/>
                <w:bCs/>
                <w:sz w:val="16"/>
                <w:szCs w:val="16"/>
              </w:rPr>
              <w:t xml:space="preserve">1997; </w:t>
            </w:r>
            <w:r w:rsidR="00FB0406" w:rsidRPr="007F784F">
              <w:rPr>
                <w:rFonts w:ascii="Arial" w:hAnsi="Arial" w:cs="Arial"/>
                <w:sz w:val="16"/>
                <w:szCs w:val="16"/>
              </w:rPr>
              <w:t xml:space="preserve">Lang &amp; Stein, 2005; </w:t>
            </w:r>
            <w:r w:rsidRPr="007F784F">
              <w:rPr>
                <w:rFonts w:ascii="Arial" w:hAnsi="Arial" w:cs="Arial"/>
                <w:bCs/>
                <w:sz w:val="16"/>
                <w:szCs w:val="16"/>
              </w:rPr>
              <w:t>Ruggiero</w:t>
            </w:r>
            <w:r w:rsidR="007F784F" w:rsidRPr="007F784F">
              <w:rPr>
                <w:rFonts w:ascii="Arial" w:hAnsi="Arial" w:cs="Arial"/>
                <w:bCs/>
                <w:sz w:val="16"/>
                <w:szCs w:val="16"/>
              </w:rPr>
              <w:t xml:space="preserve"> et al., </w:t>
            </w:r>
            <w:r w:rsidRPr="007F784F">
              <w:rPr>
                <w:rFonts w:ascii="Arial" w:hAnsi="Arial" w:cs="Arial"/>
                <w:bCs/>
                <w:sz w:val="16"/>
                <w:szCs w:val="16"/>
              </w:rPr>
              <w:t>2003</w:t>
            </w:r>
            <w:r w:rsidR="00FB0406" w:rsidRPr="007F784F">
              <w:rPr>
                <w:rFonts w:ascii="Arial" w:hAnsi="Arial" w:cs="Arial"/>
                <w:bCs/>
                <w:sz w:val="16"/>
                <w:szCs w:val="16"/>
              </w:rPr>
              <w:t>;</w:t>
            </w:r>
            <w:r w:rsidR="00FB0406" w:rsidRPr="007F784F">
              <w:rPr>
                <w:rFonts w:ascii="Arial" w:hAnsi="Arial" w:cs="Arial"/>
                <w:sz w:val="16"/>
                <w:szCs w:val="16"/>
              </w:rPr>
              <w:t xml:space="preserve"> </w:t>
            </w:r>
            <w:r w:rsidR="007B55D4" w:rsidRPr="007F784F">
              <w:rPr>
                <w:rFonts w:ascii="Arial" w:hAnsi="Arial" w:cs="Arial"/>
                <w:sz w:val="16"/>
                <w:szCs w:val="16"/>
              </w:rPr>
              <w:t xml:space="preserve">Naples et al., 2007; </w:t>
            </w:r>
            <w:r w:rsidR="00FB0406" w:rsidRPr="007F784F">
              <w:rPr>
                <w:rFonts w:ascii="Arial" w:hAnsi="Arial" w:cs="Arial"/>
                <w:sz w:val="16"/>
                <w:szCs w:val="16"/>
              </w:rPr>
              <w:t>Weathers</w:t>
            </w:r>
            <w:r w:rsidR="007F784F" w:rsidRPr="007F784F">
              <w:rPr>
                <w:rFonts w:ascii="Arial" w:hAnsi="Arial" w:cs="Arial"/>
                <w:sz w:val="16"/>
                <w:szCs w:val="16"/>
              </w:rPr>
              <w:t xml:space="preserve"> et al., </w:t>
            </w:r>
            <w:r w:rsidR="00FB0406" w:rsidRPr="00F25254">
              <w:rPr>
                <w:rFonts w:ascii="Arial" w:hAnsi="Arial" w:cs="Arial"/>
                <w:sz w:val="16"/>
                <w:szCs w:val="16"/>
              </w:rPr>
              <w:t>1994</w:t>
            </w:r>
          </w:p>
        </w:tc>
        <w:tc>
          <w:tcPr>
            <w:tcW w:w="1170" w:type="dxa"/>
          </w:tcPr>
          <w:p w:rsidR="008906C2" w:rsidRPr="00F25254" w:rsidRDefault="008906C2" w:rsidP="00457768">
            <w:pPr>
              <w:pStyle w:val="NoSpacing"/>
              <w:jc w:val="both"/>
              <w:rPr>
                <w:rFonts w:ascii="Arial" w:hAnsi="Arial" w:cs="Arial"/>
                <w:sz w:val="16"/>
                <w:szCs w:val="16"/>
              </w:rPr>
            </w:pPr>
            <w:r w:rsidRPr="00F25254">
              <w:rPr>
                <w:rFonts w:ascii="Arial" w:hAnsi="Arial" w:cs="Arial"/>
                <w:sz w:val="16"/>
                <w:szCs w:val="16"/>
              </w:rPr>
              <w:t>Veterans, CJ, primary care,  MI, SA</w:t>
            </w:r>
            <w:r w:rsidR="007B55D4">
              <w:rPr>
                <w:rFonts w:ascii="Arial" w:hAnsi="Arial" w:cs="Arial"/>
                <w:sz w:val="16"/>
                <w:szCs w:val="16"/>
              </w:rPr>
              <w:t>, COD, youth and adults</w:t>
            </w:r>
          </w:p>
        </w:tc>
        <w:tc>
          <w:tcPr>
            <w:tcW w:w="900" w:type="dxa"/>
          </w:tcPr>
          <w:p w:rsidR="008906C2" w:rsidRPr="00F25254" w:rsidRDefault="008906C2" w:rsidP="00457768">
            <w:pPr>
              <w:spacing w:after="0" w:line="240" w:lineRule="auto"/>
              <w:rPr>
                <w:rFonts w:ascii="Arial" w:hAnsi="Arial" w:cs="Arial"/>
                <w:sz w:val="16"/>
                <w:szCs w:val="16"/>
              </w:rPr>
            </w:pPr>
          </w:p>
          <w:p w:rsidR="008906C2" w:rsidRPr="00F25254" w:rsidRDefault="008906C2" w:rsidP="00457768">
            <w:pPr>
              <w:spacing w:after="0" w:line="240" w:lineRule="auto"/>
              <w:rPr>
                <w:rFonts w:ascii="Arial" w:hAnsi="Arial" w:cs="Arial"/>
                <w:sz w:val="16"/>
                <w:szCs w:val="16"/>
              </w:rPr>
            </w:pPr>
            <w:r w:rsidRPr="00F25254">
              <w:rPr>
                <w:rFonts w:ascii="Arial" w:hAnsi="Arial" w:cs="Arial"/>
                <w:sz w:val="16"/>
                <w:szCs w:val="16"/>
              </w:rPr>
              <w:t>0930-0277</w:t>
            </w:r>
          </w:p>
          <w:p w:rsidR="008906C2" w:rsidRPr="00F25254" w:rsidRDefault="008906C2" w:rsidP="00457768">
            <w:pPr>
              <w:pStyle w:val="NoSpacing"/>
              <w:jc w:val="both"/>
              <w:rPr>
                <w:rFonts w:ascii="Arial" w:hAnsi="Arial" w:cs="Arial"/>
                <w:sz w:val="16"/>
                <w:szCs w:val="16"/>
              </w:rPr>
            </w:pPr>
          </w:p>
        </w:tc>
      </w:tr>
      <w:tr w:rsidR="00FB0406" w:rsidRPr="00F25254" w:rsidTr="00861C08">
        <w:tc>
          <w:tcPr>
            <w:tcW w:w="1098" w:type="dxa"/>
          </w:tcPr>
          <w:p w:rsidR="008906C2" w:rsidRPr="00F25254" w:rsidRDefault="008906C2" w:rsidP="00457768">
            <w:pPr>
              <w:pStyle w:val="NoSpacing"/>
              <w:jc w:val="both"/>
              <w:rPr>
                <w:rFonts w:ascii="Arial" w:hAnsi="Arial" w:cs="Arial"/>
                <w:sz w:val="16"/>
                <w:szCs w:val="16"/>
              </w:rPr>
            </w:pPr>
            <w:r w:rsidRPr="00F25254">
              <w:rPr>
                <w:rFonts w:ascii="Arial" w:hAnsi="Arial" w:cs="Arial"/>
                <w:sz w:val="16"/>
                <w:szCs w:val="16"/>
              </w:rPr>
              <w:t>SV1-14</w:t>
            </w:r>
          </w:p>
        </w:tc>
        <w:tc>
          <w:tcPr>
            <w:tcW w:w="1260" w:type="dxa"/>
          </w:tcPr>
          <w:p w:rsidR="008906C2" w:rsidRPr="00F25254" w:rsidRDefault="008906C2" w:rsidP="00457768">
            <w:pPr>
              <w:pStyle w:val="NoSpacing"/>
              <w:rPr>
                <w:rFonts w:ascii="Arial" w:hAnsi="Arial" w:cs="Arial"/>
                <w:sz w:val="16"/>
                <w:szCs w:val="16"/>
              </w:rPr>
            </w:pPr>
            <w:r w:rsidRPr="00F25254">
              <w:rPr>
                <w:rFonts w:ascii="Arial" w:hAnsi="Arial" w:cs="Arial"/>
                <w:sz w:val="16"/>
                <w:szCs w:val="16"/>
              </w:rPr>
              <w:t>Services, need and receipt</w:t>
            </w:r>
          </w:p>
        </w:tc>
        <w:tc>
          <w:tcPr>
            <w:tcW w:w="3240" w:type="dxa"/>
          </w:tcPr>
          <w:p w:rsidR="008906C2" w:rsidRPr="00F25254" w:rsidRDefault="008906C2" w:rsidP="00457768">
            <w:pPr>
              <w:pStyle w:val="NoSpacing"/>
              <w:rPr>
                <w:rFonts w:ascii="Arial" w:hAnsi="Arial" w:cs="Arial"/>
                <w:sz w:val="16"/>
                <w:szCs w:val="16"/>
              </w:rPr>
            </w:pPr>
            <w:r>
              <w:rPr>
                <w:rFonts w:ascii="Arial" w:hAnsi="Arial" w:cs="Arial"/>
                <w:sz w:val="16"/>
                <w:szCs w:val="16"/>
              </w:rPr>
              <w:t xml:space="preserve">These items ask about services needed and received by clients. The data are important for describing service need and receipt, assessing the extent to which need is met, and for use in models to help understand the role of various services in improving outcomes in housing and other GBHI objectives. </w:t>
            </w:r>
          </w:p>
        </w:tc>
        <w:tc>
          <w:tcPr>
            <w:tcW w:w="1800" w:type="dxa"/>
          </w:tcPr>
          <w:p w:rsidR="008906C2" w:rsidRPr="00F25254" w:rsidRDefault="007F784F" w:rsidP="007F784F">
            <w:pPr>
              <w:pStyle w:val="NoSpacing"/>
              <w:jc w:val="both"/>
              <w:rPr>
                <w:rFonts w:ascii="Arial" w:hAnsi="Arial" w:cs="Arial"/>
                <w:sz w:val="16"/>
                <w:szCs w:val="16"/>
              </w:rPr>
            </w:pPr>
            <w:proofErr w:type="spellStart"/>
            <w:r w:rsidRPr="00235638">
              <w:rPr>
                <w:rFonts w:ascii="Arial" w:hAnsi="Arial" w:cs="Arial"/>
                <w:sz w:val="16"/>
                <w:szCs w:val="16"/>
              </w:rPr>
              <w:t>G</w:t>
            </w:r>
            <w:r>
              <w:rPr>
                <w:rFonts w:ascii="Arial" w:hAnsi="Arial" w:cs="Arial"/>
                <w:sz w:val="16"/>
                <w:szCs w:val="16"/>
              </w:rPr>
              <w:t>u</w:t>
            </w:r>
            <w:r w:rsidRPr="00235638">
              <w:rPr>
                <w:rFonts w:ascii="Arial" w:hAnsi="Arial" w:cs="Arial"/>
                <w:sz w:val="16"/>
                <w:szCs w:val="16"/>
              </w:rPr>
              <w:t>lcur</w:t>
            </w:r>
            <w:proofErr w:type="spellEnd"/>
            <w:r w:rsidRPr="00235638">
              <w:rPr>
                <w:rFonts w:ascii="Arial" w:hAnsi="Arial" w:cs="Arial"/>
                <w:sz w:val="16"/>
                <w:szCs w:val="16"/>
              </w:rPr>
              <w:t xml:space="preserve"> et al., 2007; Greenwood</w:t>
            </w:r>
            <w:r>
              <w:rPr>
                <w:rFonts w:ascii="Arial" w:hAnsi="Arial" w:cs="Arial"/>
                <w:sz w:val="16"/>
                <w:szCs w:val="16"/>
              </w:rPr>
              <w:t xml:space="preserve"> et al., </w:t>
            </w:r>
            <w:r w:rsidRPr="00235638">
              <w:rPr>
                <w:rFonts w:ascii="Arial" w:hAnsi="Arial" w:cs="Arial"/>
                <w:sz w:val="16"/>
                <w:szCs w:val="16"/>
              </w:rPr>
              <w:t xml:space="preserve"> 2005; </w:t>
            </w:r>
            <w:proofErr w:type="spellStart"/>
            <w:r w:rsidRPr="00235638">
              <w:rPr>
                <w:rFonts w:ascii="Arial" w:hAnsi="Arial" w:cs="Arial"/>
                <w:sz w:val="16"/>
                <w:szCs w:val="16"/>
              </w:rPr>
              <w:t>Rog</w:t>
            </w:r>
            <w:proofErr w:type="spellEnd"/>
            <w:r w:rsidRPr="00235638">
              <w:rPr>
                <w:rFonts w:ascii="Arial" w:hAnsi="Arial" w:cs="Arial"/>
                <w:sz w:val="16"/>
                <w:szCs w:val="16"/>
              </w:rPr>
              <w:t xml:space="preserve"> et al., 1995; </w:t>
            </w:r>
            <w:proofErr w:type="spellStart"/>
            <w:r w:rsidRPr="00235638">
              <w:rPr>
                <w:rFonts w:ascii="Arial" w:hAnsi="Arial" w:cs="Arial"/>
                <w:sz w:val="16"/>
                <w:szCs w:val="16"/>
              </w:rPr>
              <w:t>Rog</w:t>
            </w:r>
            <w:proofErr w:type="spellEnd"/>
            <w:r w:rsidRPr="00235638">
              <w:rPr>
                <w:rFonts w:ascii="Arial" w:hAnsi="Arial" w:cs="Arial"/>
                <w:sz w:val="16"/>
                <w:szCs w:val="16"/>
              </w:rPr>
              <w:t xml:space="preserve"> &amp; Buckner, 2007; </w:t>
            </w:r>
            <w:proofErr w:type="spellStart"/>
            <w:r w:rsidRPr="00235638">
              <w:rPr>
                <w:rFonts w:ascii="Arial" w:hAnsi="Arial" w:cs="Arial"/>
                <w:sz w:val="16"/>
                <w:szCs w:val="16"/>
              </w:rPr>
              <w:t>Rog</w:t>
            </w:r>
            <w:proofErr w:type="spellEnd"/>
            <w:r>
              <w:rPr>
                <w:rFonts w:ascii="Arial" w:hAnsi="Arial" w:cs="Arial"/>
                <w:sz w:val="16"/>
                <w:szCs w:val="16"/>
              </w:rPr>
              <w:t xml:space="preserve"> et al., </w:t>
            </w:r>
            <w:r w:rsidRPr="00235638">
              <w:rPr>
                <w:rFonts w:ascii="Arial" w:hAnsi="Arial" w:cs="Arial"/>
                <w:sz w:val="16"/>
                <w:szCs w:val="16"/>
              </w:rPr>
              <w:t xml:space="preserve"> 1995</w:t>
            </w:r>
            <w:r>
              <w:rPr>
                <w:rFonts w:ascii="Arial" w:hAnsi="Arial" w:cs="Arial"/>
                <w:sz w:val="16"/>
                <w:szCs w:val="16"/>
              </w:rPr>
              <w:t xml:space="preserve">, </w:t>
            </w:r>
            <w:r w:rsidRPr="00235638">
              <w:rPr>
                <w:rFonts w:ascii="Arial" w:hAnsi="Arial" w:cs="Arial"/>
                <w:sz w:val="16"/>
                <w:szCs w:val="16"/>
              </w:rPr>
              <w:t xml:space="preserve"> </w:t>
            </w:r>
            <w:proofErr w:type="spellStart"/>
            <w:r w:rsidRPr="00235638">
              <w:rPr>
                <w:rFonts w:ascii="Arial" w:hAnsi="Arial" w:cs="Arial"/>
                <w:sz w:val="16"/>
                <w:szCs w:val="16"/>
              </w:rPr>
              <w:t>Srebnik</w:t>
            </w:r>
            <w:proofErr w:type="spellEnd"/>
            <w:r>
              <w:rPr>
                <w:rFonts w:ascii="Arial" w:hAnsi="Arial" w:cs="Arial"/>
                <w:sz w:val="16"/>
                <w:szCs w:val="16"/>
              </w:rPr>
              <w:t xml:space="preserve">, et al., </w:t>
            </w:r>
            <w:r w:rsidRPr="00235638">
              <w:rPr>
                <w:rFonts w:ascii="Arial" w:hAnsi="Arial" w:cs="Arial"/>
                <w:sz w:val="16"/>
                <w:szCs w:val="16"/>
              </w:rPr>
              <w:t>1995; Tsemberis</w:t>
            </w:r>
            <w:r>
              <w:rPr>
                <w:rFonts w:ascii="Arial" w:hAnsi="Arial" w:cs="Arial"/>
                <w:sz w:val="16"/>
                <w:szCs w:val="16"/>
              </w:rPr>
              <w:t xml:space="preserve"> et al., </w:t>
            </w:r>
            <w:r w:rsidRPr="00235638">
              <w:rPr>
                <w:rFonts w:ascii="Arial" w:hAnsi="Arial" w:cs="Arial"/>
                <w:sz w:val="16"/>
                <w:szCs w:val="16"/>
              </w:rPr>
              <w:t xml:space="preserve"> 2003</w:t>
            </w:r>
            <w:r>
              <w:rPr>
                <w:rFonts w:ascii="Arial" w:hAnsi="Arial" w:cs="Arial"/>
                <w:sz w:val="16"/>
                <w:szCs w:val="16"/>
              </w:rPr>
              <w:t>.</w:t>
            </w:r>
            <w:r w:rsidRPr="00235638">
              <w:rPr>
                <w:rFonts w:ascii="Arial" w:hAnsi="Arial" w:cs="Arial"/>
                <w:sz w:val="16"/>
                <w:szCs w:val="16"/>
              </w:rPr>
              <w:t xml:space="preserve"> </w:t>
            </w:r>
          </w:p>
        </w:tc>
        <w:tc>
          <w:tcPr>
            <w:tcW w:w="1170" w:type="dxa"/>
          </w:tcPr>
          <w:p w:rsidR="008906C2" w:rsidRPr="00F25254" w:rsidRDefault="007F784F" w:rsidP="00457768">
            <w:pPr>
              <w:pStyle w:val="NoSpacing"/>
              <w:jc w:val="both"/>
              <w:rPr>
                <w:rFonts w:ascii="Arial" w:hAnsi="Arial" w:cs="Arial"/>
                <w:sz w:val="16"/>
                <w:szCs w:val="16"/>
              </w:rPr>
            </w:pPr>
            <w:r>
              <w:rPr>
                <w:rFonts w:ascii="Arial" w:hAnsi="Arial" w:cs="Arial"/>
                <w:sz w:val="16"/>
                <w:szCs w:val="16"/>
              </w:rPr>
              <w:t xml:space="preserve">MI, SA, COD, Homeless youth, adults and families, Veterans, CJ </w:t>
            </w:r>
          </w:p>
        </w:tc>
        <w:tc>
          <w:tcPr>
            <w:tcW w:w="900" w:type="dxa"/>
          </w:tcPr>
          <w:p w:rsidR="008906C2" w:rsidRPr="00F25254" w:rsidRDefault="008906C2" w:rsidP="008B79E6">
            <w:pPr>
              <w:rPr>
                <w:rFonts w:ascii="Arial" w:hAnsi="Arial" w:cs="Arial"/>
                <w:sz w:val="16"/>
                <w:szCs w:val="16"/>
              </w:rPr>
            </w:pPr>
            <w:r w:rsidRPr="00F25254">
              <w:rPr>
                <w:rFonts w:ascii="Arial" w:hAnsi="Arial" w:cs="Arial"/>
                <w:sz w:val="16"/>
                <w:szCs w:val="16"/>
              </w:rPr>
              <w:t>0</w:t>
            </w:r>
            <w:r w:rsidR="00A23ADE">
              <w:rPr>
                <w:rFonts w:ascii="Arial" w:hAnsi="Arial" w:cs="Arial"/>
                <w:sz w:val="16"/>
                <w:szCs w:val="16"/>
              </w:rPr>
              <w:t>9</w:t>
            </w:r>
            <w:r w:rsidRPr="00F25254">
              <w:rPr>
                <w:rFonts w:ascii="Arial" w:hAnsi="Arial" w:cs="Arial"/>
                <w:sz w:val="16"/>
                <w:szCs w:val="16"/>
              </w:rPr>
              <w:t>30-0223; 2528-</w:t>
            </w:r>
            <w:r w:rsidRPr="00E56272">
              <w:rPr>
                <w:rFonts w:ascii="Arial" w:hAnsi="Arial" w:cs="Arial"/>
                <w:sz w:val="16"/>
                <w:szCs w:val="16"/>
              </w:rPr>
              <w:t xml:space="preserve">0239; </w:t>
            </w:r>
          </w:p>
        </w:tc>
      </w:tr>
      <w:tr w:rsidR="003C0B7C" w:rsidRPr="00F25254" w:rsidTr="00861C08">
        <w:tc>
          <w:tcPr>
            <w:tcW w:w="1098" w:type="dxa"/>
          </w:tcPr>
          <w:p w:rsidR="003C0B7C" w:rsidRPr="00F25254" w:rsidRDefault="003C0B7C" w:rsidP="005F0D6E">
            <w:pPr>
              <w:pStyle w:val="NoSpacing"/>
              <w:jc w:val="both"/>
              <w:rPr>
                <w:rFonts w:ascii="Arial" w:hAnsi="Arial" w:cs="Arial"/>
                <w:sz w:val="16"/>
                <w:szCs w:val="16"/>
              </w:rPr>
            </w:pPr>
            <w:r>
              <w:rPr>
                <w:rFonts w:ascii="Arial" w:hAnsi="Arial" w:cs="Arial"/>
                <w:sz w:val="16"/>
                <w:szCs w:val="16"/>
              </w:rPr>
              <w:t>CTB 1-2 (Follow-up)</w:t>
            </w:r>
          </w:p>
        </w:tc>
        <w:tc>
          <w:tcPr>
            <w:tcW w:w="1260" w:type="dxa"/>
          </w:tcPr>
          <w:p w:rsidR="003C0B7C" w:rsidRPr="00F25254" w:rsidRDefault="003C0B7C" w:rsidP="00457768">
            <w:pPr>
              <w:pStyle w:val="NoSpacing"/>
              <w:rPr>
                <w:rFonts w:ascii="Arial" w:hAnsi="Arial" w:cs="Arial"/>
                <w:sz w:val="16"/>
                <w:szCs w:val="16"/>
              </w:rPr>
            </w:pPr>
            <w:r>
              <w:rPr>
                <w:rFonts w:ascii="Arial" w:hAnsi="Arial" w:cs="Arial"/>
                <w:sz w:val="16"/>
                <w:szCs w:val="16"/>
              </w:rPr>
              <w:t>Cost and client burden</w:t>
            </w:r>
          </w:p>
        </w:tc>
        <w:tc>
          <w:tcPr>
            <w:tcW w:w="3240" w:type="dxa"/>
          </w:tcPr>
          <w:p w:rsidR="003C0B7C" w:rsidRPr="00B23063" w:rsidRDefault="003C0B7C" w:rsidP="00457768">
            <w:pPr>
              <w:pStyle w:val="NoSpacing"/>
              <w:rPr>
                <w:rFonts w:ascii="Arial" w:hAnsi="Arial" w:cs="Arial"/>
                <w:sz w:val="16"/>
                <w:szCs w:val="16"/>
                <w:highlight w:val="green"/>
              </w:rPr>
            </w:pPr>
            <w:r>
              <w:rPr>
                <w:rFonts w:ascii="Arial" w:hAnsi="Arial" w:cs="Arial"/>
                <w:sz w:val="16"/>
                <w:szCs w:val="16"/>
              </w:rPr>
              <w:t xml:space="preserve">To comprehensively assess the barriers </w:t>
            </w:r>
            <w:r w:rsidRPr="00861C08">
              <w:rPr>
                <w:rFonts w:ascii="Arial" w:hAnsi="Arial" w:cs="Arial"/>
                <w:sz w:val="16"/>
                <w:szCs w:val="16"/>
              </w:rPr>
              <w:t>and facilitators to clients accessing and using treatment, it is important to understand client burdens and costs. Economic evaluations</w:t>
            </w:r>
            <w:r>
              <w:rPr>
                <w:rFonts w:ascii="Arial" w:hAnsi="Arial" w:cs="Arial"/>
                <w:sz w:val="16"/>
                <w:szCs w:val="16"/>
              </w:rPr>
              <w:t xml:space="preserve"> from the societal perspective should include such measures. Burden refers to client time (transportation to, waiting for, and receiving the service) and perceived obstacles, and cost refers to monetary outlays (such as bus fare and other transportation costs, fees for service, medication). The study target population of homeless may not have ready access to transportation to get to appointments, and this population is poor and thus likely price sensitive to even small fees or costs. The proposed measures follow closely those used in the growing literature on patient burden in the health care literature, including the literature on care for substance use conditions.</w:t>
            </w:r>
          </w:p>
        </w:tc>
        <w:tc>
          <w:tcPr>
            <w:tcW w:w="1800" w:type="dxa"/>
          </w:tcPr>
          <w:p w:rsidR="003C0B7C" w:rsidRPr="00F25254" w:rsidRDefault="00861C08" w:rsidP="00457768">
            <w:pPr>
              <w:pStyle w:val="NoSpacing"/>
              <w:jc w:val="both"/>
              <w:rPr>
                <w:rFonts w:ascii="Arial" w:hAnsi="Arial" w:cs="Arial"/>
                <w:sz w:val="16"/>
                <w:szCs w:val="16"/>
              </w:rPr>
            </w:pPr>
            <w:r>
              <w:rPr>
                <w:rFonts w:ascii="Arial" w:hAnsi="Arial" w:cs="Arial"/>
                <w:sz w:val="16"/>
                <w:szCs w:val="16"/>
              </w:rPr>
              <w:t xml:space="preserve">Dunlap et al., 2010; </w:t>
            </w:r>
            <w:proofErr w:type="spellStart"/>
            <w:r>
              <w:rPr>
                <w:rFonts w:ascii="Arial" w:hAnsi="Arial" w:cs="Arial"/>
                <w:sz w:val="16"/>
                <w:szCs w:val="16"/>
              </w:rPr>
              <w:t>Hser</w:t>
            </w:r>
            <w:proofErr w:type="spellEnd"/>
            <w:r>
              <w:rPr>
                <w:rFonts w:ascii="Arial" w:hAnsi="Arial" w:cs="Arial"/>
                <w:sz w:val="16"/>
                <w:szCs w:val="16"/>
              </w:rPr>
              <w:t xml:space="preserve"> et al., 1998; Salome et al., 2003; </w:t>
            </w:r>
            <w:proofErr w:type="spellStart"/>
            <w:r>
              <w:rPr>
                <w:rFonts w:ascii="Arial" w:hAnsi="Arial" w:cs="Arial"/>
                <w:sz w:val="16"/>
                <w:szCs w:val="16"/>
              </w:rPr>
              <w:t>Schulper</w:t>
            </w:r>
            <w:proofErr w:type="spellEnd"/>
            <w:r>
              <w:rPr>
                <w:rFonts w:ascii="Arial" w:hAnsi="Arial" w:cs="Arial"/>
                <w:sz w:val="16"/>
                <w:szCs w:val="16"/>
              </w:rPr>
              <w:t xml:space="preserve"> et al., 2000; Secker-Walker et al., 1999; </w:t>
            </w:r>
            <w:proofErr w:type="spellStart"/>
            <w:r>
              <w:rPr>
                <w:rFonts w:ascii="Arial" w:hAnsi="Arial" w:cs="Arial"/>
                <w:sz w:val="16"/>
                <w:szCs w:val="16"/>
              </w:rPr>
              <w:t>Shireman</w:t>
            </w:r>
            <w:proofErr w:type="spellEnd"/>
            <w:r>
              <w:rPr>
                <w:rFonts w:ascii="Arial" w:hAnsi="Arial" w:cs="Arial"/>
                <w:sz w:val="16"/>
                <w:szCs w:val="16"/>
              </w:rPr>
              <w:t xml:space="preserve"> et al., 2001; Tucker et al., 2004; </w:t>
            </w:r>
            <w:proofErr w:type="spellStart"/>
            <w:r>
              <w:rPr>
                <w:rFonts w:ascii="Arial" w:hAnsi="Arial" w:cs="Arial"/>
                <w:sz w:val="16"/>
                <w:szCs w:val="16"/>
              </w:rPr>
              <w:t>Yarbroff</w:t>
            </w:r>
            <w:proofErr w:type="spellEnd"/>
            <w:r>
              <w:rPr>
                <w:rFonts w:ascii="Arial" w:hAnsi="Arial" w:cs="Arial"/>
                <w:sz w:val="16"/>
                <w:szCs w:val="16"/>
              </w:rPr>
              <w:t xml:space="preserve"> et al., 2005.</w:t>
            </w:r>
          </w:p>
        </w:tc>
        <w:tc>
          <w:tcPr>
            <w:tcW w:w="1170" w:type="dxa"/>
          </w:tcPr>
          <w:p w:rsidR="003C0B7C" w:rsidRPr="003C0B7C" w:rsidRDefault="003C0B7C" w:rsidP="00861C08">
            <w:pPr>
              <w:jc w:val="center"/>
              <w:rPr>
                <w:rFonts w:ascii="Arial" w:hAnsi="Arial" w:cs="Arial"/>
                <w:sz w:val="18"/>
                <w:szCs w:val="18"/>
                <w:highlight w:val="yellow"/>
              </w:rPr>
            </w:pPr>
            <w:r w:rsidRPr="003C0B7C">
              <w:rPr>
                <w:rFonts w:ascii="Arial" w:hAnsi="Arial" w:cs="Arial"/>
                <w:sz w:val="18"/>
                <w:szCs w:val="18"/>
              </w:rPr>
              <w:t>Treatment population for substance use, cancer</w:t>
            </w:r>
          </w:p>
        </w:tc>
        <w:tc>
          <w:tcPr>
            <w:tcW w:w="900" w:type="dxa"/>
          </w:tcPr>
          <w:p w:rsidR="003C0B7C" w:rsidRDefault="003C0B7C">
            <w:pPr>
              <w:pStyle w:val="NoSpacing"/>
              <w:jc w:val="both"/>
              <w:rPr>
                <w:rFonts w:ascii="Arial" w:hAnsi="Arial" w:cs="Arial"/>
                <w:sz w:val="16"/>
                <w:szCs w:val="16"/>
                <w:highlight w:val="yellow"/>
              </w:rPr>
            </w:pPr>
          </w:p>
          <w:p w:rsidR="003C0B7C" w:rsidRPr="0068435D" w:rsidRDefault="003C0B7C" w:rsidP="00457768">
            <w:pPr>
              <w:pStyle w:val="NoSpacing"/>
              <w:jc w:val="both"/>
              <w:rPr>
                <w:rFonts w:ascii="Arial" w:hAnsi="Arial" w:cs="Arial"/>
                <w:sz w:val="16"/>
                <w:szCs w:val="16"/>
                <w:highlight w:val="yellow"/>
              </w:rPr>
            </w:pPr>
            <w:r>
              <w:rPr>
                <w:rFonts w:ascii="Arial" w:hAnsi="Arial" w:cs="Arial"/>
                <w:sz w:val="16"/>
                <w:szCs w:val="16"/>
              </w:rPr>
              <w:t>Peer review literature</w:t>
            </w:r>
          </w:p>
        </w:tc>
      </w:tr>
      <w:tr w:rsidR="00FB0406" w:rsidRPr="00F25254" w:rsidTr="00861C08">
        <w:tc>
          <w:tcPr>
            <w:tcW w:w="1098" w:type="dxa"/>
          </w:tcPr>
          <w:p w:rsidR="008906C2" w:rsidRPr="00F25254" w:rsidRDefault="008906C2" w:rsidP="00457768">
            <w:pPr>
              <w:pStyle w:val="NoSpacing"/>
              <w:jc w:val="both"/>
              <w:rPr>
                <w:rFonts w:ascii="Arial" w:hAnsi="Arial" w:cs="Arial"/>
                <w:sz w:val="16"/>
                <w:szCs w:val="16"/>
              </w:rPr>
            </w:pPr>
            <w:r w:rsidRPr="00F25254">
              <w:rPr>
                <w:rFonts w:ascii="Arial" w:hAnsi="Arial" w:cs="Arial"/>
                <w:sz w:val="16"/>
                <w:szCs w:val="16"/>
              </w:rPr>
              <w:t>PC1-7 (B); PC1-14 (FU)</w:t>
            </w:r>
          </w:p>
        </w:tc>
        <w:tc>
          <w:tcPr>
            <w:tcW w:w="1260" w:type="dxa"/>
          </w:tcPr>
          <w:p w:rsidR="008906C2" w:rsidRPr="00F25254" w:rsidRDefault="008906C2" w:rsidP="00457768">
            <w:pPr>
              <w:pStyle w:val="NoSpacing"/>
              <w:rPr>
                <w:rFonts w:ascii="Arial" w:hAnsi="Arial" w:cs="Arial"/>
                <w:sz w:val="16"/>
                <w:szCs w:val="16"/>
              </w:rPr>
            </w:pPr>
            <w:r w:rsidRPr="00F25254">
              <w:rPr>
                <w:rFonts w:ascii="Arial" w:hAnsi="Arial" w:cs="Arial"/>
                <w:sz w:val="16"/>
                <w:szCs w:val="16"/>
              </w:rPr>
              <w:t>Program Satisfaction</w:t>
            </w:r>
          </w:p>
        </w:tc>
        <w:tc>
          <w:tcPr>
            <w:tcW w:w="3240" w:type="dxa"/>
          </w:tcPr>
          <w:p w:rsidR="008906C2" w:rsidRPr="00F25254" w:rsidRDefault="008906C2" w:rsidP="003F2CAF">
            <w:pPr>
              <w:pStyle w:val="NoSpacing"/>
              <w:rPr>
                <w:rFonts w:ascii="Arial" w:hAnsi="Arial" w:cs="Arial"/>
                <w:sz w:val="16"/>
                <w:szCs w:val="16"/>
              </w:rPr>
            </w:pPr>
            <w:r>
              <w:rPr>
                <w:rFonts w:ascii="Arial" w:hAnsi="Arial" w:cs="Arial"/>
                <w:sz w:val="16"/>
                <w:szCs w:val="16"/>
              </w:rPr>
              <w:t xml:space="preserve">These items tap into constructs that have been shown to relate to client participation in, and benefit from, services. The data are useful to describe </w:t>
            </w:r>
            <w:r w:rsidR="00681837">
              <w:rPr>
                <w:rFonts w:ascii="Arial" w:hAnsi="Arial" w:cs="Arial"/>
                <w:sz w:val="16"/>
                <w:szCs w:val="16"/>
              </w:rPr>
              <w:t>Grantees</w:t>
            </w:r>
            <w:r>
              <w:rPr>
                <w:rFonts w:ascii="Arial" w:hAnsi="Arial" w:cs="Arial"/>
                <w:sz w:val="16"/>
                <w:szCs w:val="16"/>
              </w:rPr>
              <w:t xml:space="preserve">, to suggest areas for grantee improvement, and to model client participation and </w:t>
            </w:r>
            <w:r w:rsidR="003F2CAF">
              <w:rPr>
                <w:rFonts w:ascii="Arial" w:hAnsi="Arial" w:cs="Arial"/>
                <w:sz w:val="16"/>
                <w:szCs w:val="16"/>
              </w:rPr>
              <w:t xml:space="preserve">program </w:t>
            </w:r>
            <w:r>
              <w:rPr>
                <w:rFonts w:ascii="Arial" w:hAnsi="Arial" w:cs="Arial"/>
                <w:sz w:val="16"/>
                <w:szCs w:val="16"/>
              </w:rPr>
              <w:t>out</w:t>
            </w:r>
            <w:r w:rsidR="003F2CAF">
              <w:rPr>
                <w:rFonts w:ascii="Arial" w:hAnsi="Arial" w:cs="Arial"/>
                <w:sz w:val="16"/>
                <w:szCs w:val="16"/>
              </w:rPr>
              <w:t>puts</w:t>
            </w:r>
            <w:r>
              <w:rPr>
                <w:rFonts w:ascii="Arial" w:hAnsi="Arial" w:cs="Arial"/>
                <w:sz w:val="16"/>
                <w:szCs w:val="16"/>
              </w:rPr>
              <w:t>.</w:t>
            </w:r>
          </w:p>
        </w:tc>
        <w:tc>
          <w:tcPr>
            <w:tcW w:w="1800" w:type="dxa"/>
          </w:tcPr>
          <w:p w:rsidR="008906C2" w:rsidRPr="00FB0406" w:rsidRDefault="008906C2" w:rsidP="00457768">
            <w:pPr>
              <w:pStyle w:val="NoSpacing"/>
              <w:jc w:val="both"/>
              <w:rPr>
                <w:rFonts w:ascii="Arial" w:hAnsi="Arial" w:cs="Arial"/>
                <w:sz w:val="16"/>
                <w:szCs w:val="16"/>
              </w:rPr>
            </w:pPr>
            <w:r w:rsidRPr="00FB0406">
              <w:rPr>
                <w:rFonts w:ascii="Arial" w:hAnsi="Arial" w:cs="Arial"/>
                <w:sz w:val="16"/>
                <w:szCs w:val="16"/>
              </w:rPr>
              <w:t xml:space="preserve">Davis et al., 2009; </w:t>
            </w:r>
            <w:proofErr w:type="spellStart"/>
            <w:r w:rsidRPr="00FB0406">
              <w:rPr>
                <w:rFonts w:ascii="Arial" w:hAnsi="Arial" w:cs="Arial"/>
                <w:sz w:val="16"/>
                <w:szCs w:val="16"/>
              </w:rPr>
              <w:t>Ganju</w:t>
            </w:r>
            <w:proofErr w:type="spellEnd"/>
            <w:r w:rsidRPr="00FB0406">
              <w:rPr>
                <w:rFonts w:ascii="Arial" w:hAnsi="Arial" w:cs="Arial"/>
                <w:sz w:val="16"/>
                <w:szCs w:val="16"/>
              </w:rPr>
              <w:t>, 1999;</w:t>
            </w:r>
            <w:r w:rsidR="009477BD" w:rsidRPr="00FB0406">
              <w:rPr>
                <w:rFonts w:ascii="Arial" w:hAnsi="Arial" w:cs="Arial"/>
                <w:sz w:val="16"/>
                <w:szCs w:val="16"/>
              </w:rPr>
              <w:t xml:space="preserve"> Case et al., 2009; </w:t>
            </w:r>
          </w:p>
        </w:tc>
        <w:tc>
          <w:tcPr>
            <w:tcW w:w="1170" w:type="dxa"/>
          </w:tcPr>
          <w:p w:rsidR="008906C2" w:rsidRPr="00F25254" w:rsidRDefault="008906C2" w:rsidP="007B55D4">
            <w:pPr>
              <w:pStyle w:val="NoSpacing"/>
              <w:jc w:val="both"/>
              <w:rPr>
                <w:rFonts w:ascii="Arial" w:hAnsi="Arial" w:cs="Arial"/>
                <w:sz w:val="16"/>
                <w:szCs w:val="16"/>
              </w:rPr>
            </w:pPr>
            <w:r w:rsidRPr="00F25254">
              <w:rPr>
                <w:rFonts w:ascii="Arial" w:hAnsi="Arial" w:cs="Arial"/>
                <w:sz w:val="16"/>
                <w:szCs w:val="16"/>
              </w:rPr>
              <w:t>M</w:t>
            </w:r>
            <w:r w:rsidR="007B55D4">
              <w:rPr>
                <w:rFonts w:ascii="Arial" w:hAnsi="Arial" w:cs="Arial"/>
                <w:sz w:val="16"/>
                <w:szCs w:val="16"/>
              </w:rPr>
              <w:t>I, COD, SA,  H</w:t>
            </w:r>
            <w:r w:rsidRPr="00F25254">
              <w:rPr>
                <w:rFonts w:ascii="Arial" w:hAnsi="Arial" w:cs="Arial"/>
                <w:sz w:val="16"/>
                <w:szCs w:val="16"/>
              </w:rPr>
              <w:t>omeless</w:t>
            </w:r>
            <w:r w:rsidR="007B55D4">
              <w:rPr>
                <w:rFonts w:ascii="Arial" w:hAnsi="Arial" w:cs="Arial"/>
                <w:sz w:val="16"/>
                <w:szCs w:val="16"/>
              </w:rPr>
              <w:t xml:space="preserve">, </w:t>
            </w:r>
            <w:r w:rsidRPr="00F25254">
              <w:rPr>
                <w:rFonts w:ascii="Arial" w:hAnsi="Arial" w:cs="Arial"/>
                <w:sz w:val="16"/>
                <w:szCs w:val="16"/>
              </w:rPr>
              <w:t xml:space="preserve">, </w:t>
            </w:r>
            <w:r w:rsidR="007B55D4">
              <w:rPr>
                <w:rFonts w:ascii="Arial" w:hAnsi="Arial" w:cs="Arial"/>
                <w:sz w:val="16"/>
                <w:szCs w:val="16"/>
              </w:rPr>
              <w:t xml:space="preserve">Veterans, </w:t>
            </w:r>
            <w:r w:rsidRPr="00F25254">
              <w:rPr>
                <w:rFonts w:ascii="Arial" w:hAnsi="Arial" w:cs="Arial"/>
                <w:sz w:val="16"/>
                <w:szCs w:val="16"/>
              </w:rPr>
              <w:t xml:space="preserve">elderly, </w:t>
            </w:r>
            <w:r w:rsidR="007B55D4">
              <w:rPr>
                <w:rFonts w:ascii="Arial" w:hAnsi="Arial" w:cs="Arial"/>
                <w:sz w:val="16"/>
                <w:szCs w:val="16"/>
              </w:rPr>
              <w:t xml:space="preserve">CJ, </w:t>
            </w:r>
            <w:r w:rsidRPr="00F25254">
              <w:rPr>
                <w:rFonts w:ascii="Arial" w:hAnsi="Arial" w:cs="Arial"/>
                <w:sz w:val="16"/>
                <w:szCs w:val="16"/>
              </w:rPr>
              <w:t>primary care</w:t>
            </w:r>
          </w:p>
        </w:tc>
        <w:tc>
          <w:tcPr>
            <w:tcW w:w="900" w:type="dxa"/>
          </w:tcPr>
          <w:p w:rsidR="008906C2" w:rsidRPr="00F25254" w:rsidRDefault="008906C2" w:rsidP="00457768">
            <w:pPr>
              <w:spacing w:after="0" w:line="240" w:lineRule="auto"/>
              <w:rPr>
                <w:rFonts w:ascii="Arial" w:hAnsi="Arial" w:cs="Arial"/>
                <w:sz w:val="16"/>
                <w:szCs w:val="16"/>
              </w:rPr>
            </w:pPr>
            <w:r w:rsidRPr="00F25254">
              <w:rPr>
                <w:rFonts w:ascii="Arial" w:hAnsi="Arial" w:cs="Arial"/>
                <w:sz w:val="16"/>
                <w:szCs w:val="16"/>
              </w:rPr>
              <w:t>0930-0285; 0930-0277;</w:t>
            </w:r>
          </w:p>
          <w:p w:rsidR="008906C2" w:rsidRPr="00F25254" w:rsidRDefault="008906C2" w:rsidP="00457768">
            <w:pPr>
              <w:pStyle w:val="NoSpacing"/>
              <w:jc w:val="both"/>
              <w:rPr>
                <w:rFonts w:ascii="Arial" w:hAnsi="Arial" w:cs="Arial"/>
                <w:sz w:val="16"/>
                <w:szCs w:val="16"/>
              </w:rPr>
            </w:pPr>
          </w:p>
        </w:tc>
      </w:tr>
      <w:tr w:rsidR="00FB0406" w:rsidRPr="00F25254" w:rsidTr="00861C08">
        <w:tc>
          <w:tcPr>
            <w:tcW w:w="1098" w:type="dxa"/>
          </w:tcPr>
          <w:p w:rsidR="008906C2" w:rsidRPr="00F25254" w:rsidRDefault="008906C2" w:rsidP="00457768">
            <w:pPr>
              <w:pStyle w:val="NoSpacing"/>
              <w:jc w:val="both"/>
              <w:rPr>
                <w:rFonts w:ascii="Arial" w:hAnsi="Arial" w:cs="Arial"/>
                <w:sz w:val="16"/>
                <w:szCs w:val="16"/>
              </w:rPr>
            </w:pPr>
            <w:r w:rsidRPr="00F25254">
              <w:rPr>
                <w:rFonts w:ascii="Arial" w:hAnsi="Arial" w:cs="Arial"/>
                <w:sz w:val="16"/>
                <w:szCs w:val="16"/>
              </w:rPr>
              <w:t>TCC1-9</w:t>
            </w:r>
          </w:p>
        </w:tc>
        <w:tc>
          <w:tcPr>
            <w:tcW w:w="1260" w:type="dxa"/>
          </w:tcPr>
          <w:p w:rsidR="008906C2" w:rsidRPr="00F25254" w:rsidRDefault="008906C2" w:rsidP="00457768">
            <w:pPr>
              <w:pStyle w:val="NoSpacing"/>
              <w:rPr>
                <w:rFonts w:ascii="Arial" w:hAnsi="Arial" w:cs="Arial"/>
                <w:sz w:val="16"/>
                <w:szCs w:val="16"/>
              </w:rPr>
            </w:pPr>
            <w:r w:rsidRPr="00F25254">
              <w:rPr>
                <w:rFonts w:ascii="Arial" w:hAnsi="Arial" w:cs="Arial"/>
                <w:sz w:val="16"/>
                <w:szCs w:val="16"/>
              </w:rPr>
              <w:t xml:space="preserve">Treatment and housing perceived; program </w:t>
            </w:r>
            <w:r w:rsidRPr="00F25254">
              <w:rPr>
                <w:rFonts w:ascii="Arial" w:hAnsi="Arial" w:cs="Arial"/>
                <w:sz w:val="16"/>
                <w:szCs w:val="16"/>
              </w:rPr>
              <w:lastRenderedPageBreak/>
              <w:t>satisfaction</w:t>
            </w:r>
          </w:p>
        </w:tc>
        <w:tc>
          <w:tcPr>
            <w:tcW w:w="3240" w:type="dxa"/>
          </w:tcPr>
          <w:p w:rsidR="008906C2" w:rsidRPr="00F25254" w:rsidRDefault="008906C2" w:rsidP="00457768">
            <w:pPr>
              <w:pStyle w:val="NoSpacing"/>
              <w:rPr>
                <w:rFonts w:ascii="Arial" w:hAnsi="Arial" w:cs="Arial"/>
                <w:sz w:val="16"/>
                <w:szCs w:val="16"/>
              </w:rPr>
            </w:pPr>
            <w:r w:rsidRPr="00F25254">
              <w:rPr>
                <w:rFonts w:ascii="Arial" w:hAnsi="Arial" w:cs="Arial"/>
                <w:sz w:val="16"/>
                <w:szCs w:val="16"/>
              </w:rPr>
              <w:lastRenderedPageBreak/>
              <w:t xml:space="preserve">Literature </w:t>
            </w:r>
            <w:r w:rsidRPr="00FB0406">
              <w:rPr>
                <w:rFonts w:ascii="Arial" w:hAnsi="Arial" w:cs="Arial"/>
                <w:sz w:val="16"/>
                <w:szCs w:val="16"/>
              </w:rPr>
              <w:t xml:space="preserve">has consistently indicated that change is mediated by perceived choice in terms of treatment and housing; Programs all address issues of choice or lack thereof </w:t>
            </w:r>
            <w:r w:rsidRPr="00FB0406">
              <w:rPr>
                <w:rFonts w:ascii="Arial" w:hAnsi="Arial" w:cs="Arial"/>
                <w:sz w:val="16"/>
                <w:szCs w:val="16"/>
              </w:rPr>
              <w:lastRenderedPageBreak/>
              <w:t>with clients and per program model; clients indicated they wanted opportunity to provide assessment—confirmed in piloting with positive response to these questions</w:t>
            </w:r>
          </w:p>
        </w:tc>
        <w:tc>
          <w:tcPr>
            <w:tcW w:w="1800" w:type="dxa"/>
          </w:tcPr>
          <w:p w:rsidR="008906C2" w:rsidRPr="00FB0406" w:rsidRDefault="00FB0406" w:rsidP="003C0B7C">
            <w:pPr>
              <w:pStyle w:val="NoSpacing"/>
              <w:jc w:val="both"/>
              <w:rPr>
                <w:rFonts w:ascii="Arial" w:hAnsi="Arial" w:cs="Arial"/>
                <w:sz w:val="16"/>
                <w:szCs w:val="16"/>
              </w:rPr>
            </w:pPr>
            <w:r w:rsidRPr="00FB0406">
              <w:rPr>
                <w:rFonts w:ascii="Arial" w:hAnsi="Arial" w:cs="Arial"/>
                <w:sz w:val="16"/>
                <w:szCs w:val="16"/>
              </w:rPr>
              <w:lastRenderedPageBreak/>
              <w:t>A</w:t>
            </w:r>
            <w:r w:rsidR="008906C2" w:rsidRPr="00FB0406">
              <w:rPr>
                <w:rFonts w:ascii="Arial" w:hAnsi="Arial" w:cs="Arial"/>
                <w:sz w:val="16"/>
                <w:szCs w:val="16"/>
              </w:rPr>
              <w:t xml:space="preserve">dapted from </w:t>
            </w:r>
            <w:proofErr w:type="spellStart"/>
            <w:r w:rsidR="008906C2" w:rsidRPr="00FB0406">
              <w:rPr>
                <w:rFonts w:ascii="Arial" w:hAnsi="Arial" w:cs="Arial"/>
                <w:sz w:val="16"/>
                <w:szCs w:val="16"/>
              </w:rPr>
              <w:t>Srebnik</w:t>
            </w:r>
            <w:proofErr w:type="spellEnd"/>
            <w:r w:rsidR="008906C2" w:rsidRPr="00FB0406">
              <w:rPr>
                <w:rFonts w:ascii="Arial" w:hAnsi="Arial" w:cs="Arial"/>
                <w:sz w:val="16"/>
                <w:szCs w:val="16"/>
              </w:rPr>
              <w:t xml:space="preserve"> et al</w:t>
            </w:r>
            <w:r w:rsidR="003C0B7C">
              <w:rPr>
                <w:rFonts w:ascii="Arial" w:hAnsi="Arial" w:cs="Arial"/>
                <w:sz w:val="16"/>
                <w:szCs w:val="16"/>
              </w:rPr>
              <w:t xml:space="preserve">., </w:t>
            </w:r>
            <w:r w:rsidR="008906C2" w:rsidRPr="00FB0406">
              <w:rPr>
                <w:rFonts w:ascii="Arial" w:hAnsi="Arial" w:cs="Arial"/>
                <w:sz w:val="16"/>
                <w:szCs w:val="16"/>
              </w:rPr>
              <w:t>1995 and Robbins et al.</w:t>
            </w:r>
            <w:r w:rsidR="003C0B7C">
              <w:rPr>
                <w:rFonts w:ascii="Arial" w:hAnsi="Arial" w:cs="Arial"/>
                <w:sz w:val="16"/>
                <w:szCs w:val="16"/>
              </w:rPr>
              <w:t>,</w:t>
            </w:r>
            <w:r w:rsidR="008906C2" w:rsidRPr="00FB0406">
              <w:rPr>
                <w:rFonts w:ascii="Arial" w:hAnsi="Arial" w:cs="Arial"/>
                <w:sz w:val="16"/>
                <w:szCs w:val="16"/>
              </w:rPr>
              <w:t xml:space="preserve"> 2009; Greenwood et al., </w:t>
            </w:r>
            <w:r w:rsidR="008906C2" w:rsidRPr="00FB0406">
              <w:rPr>
                <w:rFonts w:ascii="Arial" w:hAnsi="Arial" w:cs="Arial"/>
                <w:sz w:val="16"/>
                <w:szCs w:val="16"/>
              </w:rPr>
              <w:lastRenderedPageBreak/>
              <w:t xml:space="preserve">2005; </w:t>
            </w:r>
            <w:proofErr w:type="spellStart"/>
            <w:r w:rsidR="008906C2" w:rsidRPr="00FB0406">
              <w:rPr>
                <w:rFonts w:ascii="Arial" w:hAnsi="Arial" w:cs="Arial"/>
                <w:sz w:val="16"/>
                <w:szCs w:val="16"/>
              </w:rPr>
              <w:t>Tsembaris</w:t>
            </w:r>
            <w:proofErr w:type="spellEnd"/>
            <w:r w:rsidR="008906C2" w:rsidRPr="00FB0406">
              <w:rPr>
                <w:rFonts w:ascii="Arial" w:hAnsi="Arial" w:cs="Arial"/>
                <w:sz w:val="16"/>
                <w:szCs w:val="16"/>
              </w:rPr>
              <w:t xml:space="preserve"> et al., 2004. </w:t>
            </w:r>
          </w:p>
        </w:tc>
        <w:tc>
          <w:tcPr>
            <w:tcW w:w="1170" w:type="dxa"/>
          </w:tcPr>
          <w:p w:rsidR="008906C2" w:rsidRPr="00F25254" w:rsidRDefault="008906C2" w:rsidP="00FB0406">
            <w:pPr>
              <w:pStyle w:val="NoSpacing"/>
              <w:jc w:val="both"/>
              <w:rPr>
                <w:rFonts w:ascii="Arial" w:hAnsi="Arial" w:cs="Arial"/>
                <w:sz w:val="16"/>
                <w:szCs w:val="16"/>
              </w:rPr>
            </w:pPr>
            <w:r w:rsidRPr="00F25254">
              <w:rPr>
                <w:rFonts w:ascii="Arial" w:hAnsi="Arial" w:cs="Arial"/>
                <w:sz w:val="16"/>
                <w:szCs w:val="16"/>
              </w:rPr>
              <w:lastRenderedPageBreak/>
              <w:t xml:space="preserve">Homeless, </w:t>
            </w:r>
            <w:r w:rsidR="00FB0406">
              <w:rPr>
                <w:rFonts w:ascii="Arial" w:hAnsi="Arial" w:cs="Arial"/>
                <w:sz w:val="16"/>
                <w:szCs w:val="16"/>
              </w:rPr>
              <w:t xml:space="preserve">MI, COD, </w:t>
            </w:r>
            <w:r w:rsidRPr="00F25254">
              <w:rPr>
                <w:rFonts w:ascii="Arial" w:hAnsi="Arial" w:cs="Arial"/>
                <w:sz w:val="16"/>
                <w:szCs w:val="16"/>
              </w:rPr>
              <w:t xml:space="preserve"> SA</w:t>
            </w:r>
          </w:p>
        </w:tc>
        <w:tc>
          <w:tcPr>
            <w:tcW w:w="900" w:type="dxa"/>
          </w:tcPr>
          <w:p w:rsidR="008906C2" w:rsidRPr="00F25254" w:rsidRDefault="008906C2" w:rsidP="00457768">
            <w:pPr>
              <w:pStyle w:val="NoSpacing"/>
              <w:jc w:val="both"/>
              <w:rPr>
                <w:rFonts w:ascii="Arial" w:hAnsi="Arial" w:cs="Arial"/>
                <w:sz w:val="16"/>
                <w:szCs w:val="16"/>
              </w:rPr>
            </w:pPr>
          </w:p>
          <w:p w:rsidR="008906C2" w:rsidRPr="00F25254" w:rsidRDefault="007F784F" w:rsidP="00457768">
            <w:r>
              <w:rPr>
                <w:rFonts w:ascii="Arial" w:hAnsi="Arial" w:cs="Arial"/>
                <w:sz w:val="16"/>
                <w:szCs w:val="16"/>
              </w:rPr>
              <w:t xml:space="preserve">Peer review </w:t>
            </w:r>
            <w:r>
              <w:rPr>
                <w:rFonts w:ascii="Arial" w:hAnsi="Arial" w:cs="Arial"/>
                <w:sz w:val="16"/>
                <w:szCs w:val="16"/>
              </w:rPr>
              <w:lastRenderedPageBreak/>
              <w:t>literature</w:t>
            </w:r>
            <w:r w:rsidDel="003C0B7C">
              <w:t xml:space="preserve"> </w:t>
            </w:r>
          </w:p>
        </w:tc>
      </w:tr>
    </w:tbl>
    <w:p w:rsidR="008906C2" w:rsidRPr="00F25254" w:rsidRDefault="007B55D4" w:rsidP="00E67D0A">
      <w:pPr>
        <w:pStyle w:val="NoSpacing"/>
        <w:jc w:val="both"/>
      </w:pPr>
      <w:r>
        <w:lastRenderedPageBreak/>
        <w:t xml:space="preserve">MI =mentally ill, SA = substance abusers, COD = co-occurring mental and addictive disorders, CJ = criminal justice, </w:t>
      </w:r>
    </w:p>
    <w:p w:rsidR="001C02CA" w:rsidRDefault="0011729D" w:rsidP="0011729D">
      <w:pPr>
        <w:pStyle w:val="NoSpacing"/>
        <w:jc w:val="both"/>
        <w:rPr>
          <w:rFonts w:ascii="Arial" w:hAnsi="Arial" w:cs="Arial"/>
          <w:sz w:val="16"/>
          <w:szCs w:val="16"/>
        </w:rPr>
      </w:pPr>
      <w:r>
        <w:rPr>
          <w:rFonts w:ascii="Arial" w:hAnsi="Arial" w:cs="Arial"/>
          <w:sz w:val="16"/>
          <w:szCs w:val="16"/>
        </w:rPr>
        <w:t>.</w:t>
      </w:r>
    </w:p>
    <w:p w:rsidR="001C02CA" w:rsidRDefault="001C02CA" w:rsidP="001C02CA">
      <w:pPr>
        <w:pStyle w:val="NoSpacing"/>
        <w:jc w:val="both"/>
        <w:rPr>
          <w:b/>
          <w:bCs/>
        </w:rPr>
      </w:pPr>
    </w:p>
    <w:p w:rsidR="009E1C88" w:rsidRPr="001C02CA" w:rsidRDefault="009E1C88" w:rsidP="001C02CA">
      <w:pPr>
        <w:pStyle w:val="NoSpacing"/>
        <w:jc w:val="both"/>
        <w:rPr>
          <w:b/>
          <w:bCs/>
        </w:rPr>
      </w:pPr>
      <w:r w:rsidRPr="001C02CA">
        <w:rPr>
          <w:b/>
          <w:bCs/>
        </w:rPr>
        <w:t>Also, since you are not using professional interviewers you should clear</w:t>
      </w:r>
      <w:r w:rsidR="00B0457F" w:rsidRPr="001C02CA">
        <w:rPr>
          <w:b/>
          <w:bCs/>
        </w:rPr>
        <w:t>ly</w:t>
      </w:r>
      <w:r w:rsidRPr="001C02CA">
        <w:rPr>
          <w:b/>
          <w:bCs/>
        </w:rPr>
        <w:t xml:space="preserve"> indicate any instructions and </w:t>
      </w:r>
      <w:r w:rsidR="00C672B0" w:rsidRPr="001C02CA">
        <w:rPr>
          <w:b/>
          <w:bCs/>
        </w:rPr>
        <w:t>write out all response options, especially where t</w:t>
      </w:r>
      <w:r w:rsidR="00924B41" w:rsidRPr="001C02CA">
        <w:rPr>
          <w:b/>
          <w:bCs/>
        </w:rPr>
        <w:t xml:space="preserve">here are large matrix questions, directly on the form. </w:t>
      </w:r>
    </w:p>
    <w:p w:rsidR="00E93A0E" w:rsidRPr="00F25254" w:rsidRDefault="00E93A0E" w:rsidP="00E67D0A">
      <w:pPr>
        <w:pStyle w:val="NoSpacing"/>
        <w:jc w:val="both"/>
        <w:rPr>
          <w:i/>
          <w:iCs/>
          <w:u w:val="single"/>
        </w:rPr>
      </w:pPr>
    </w:p>
    <w:p w:rsidR="00E93A0E" w:rsidRPr="00F25254" w:rsidRDefault="00E93A0E" w:rsidP="001C02CA">
      <w:pPr>
        <w:pStyle w:val="NoSpacing"/>
        <w:jc w:val="both"/>
      </w:pPr>
      <w:r w:rsidRPr="00F25254">
        <w:rPr>
          <w:i/>
          <w:iCs/>
          <w:u w:val="single"/>
        </w:rPr>
        <w:t>Response</w:t>
      </w:r>
      <w:r w:rsidR="006E3170" w:rsidRPr="00F25254">
        <w:t xml:space="preserve">: </w:t>
      </w:r>
      <w:r w:rsidR="001C02CA">
        <w:t xml:space="preserve">The instructions included for questions on the baseline and 6-month GBHI client survey, see Supporting Statement Appendix 6, </w:t>
      </w:r>
      <w:proofErr w:type="gramStart"/>
      <w:r w:rsidR="001C02CA">
        <w:t>are</w:t>
      </w:r>
      <w:proofErr w:type="gramEnd"/>
      <w:r w:rsidR="001C02CA">
        <w:t xml:space="preserve"> the original instructions for the standardized measures or previously approved OMB surveys. We </w:t>
      </w:r>
      <w:r w:rsidRPr="00F25254">
        <w:t xml:space="preserve">have added </w:t>
      </w:r>
      <w:r w:rsidR="00187728" w:rsidRPr="00F25254">
        <w:t>additional</w:t>
      </w:r>
      <w:r w:rsidRPr="00F25254">
        <w:t xml:space="preserve"> instructions</w:t>
      </w:r>
      <w:r w:rsidR="001C02CA">
        <w:t xml:space="preserve"> in the survey to “use Show Cards” for each of the matrix questions. </w:t>
      </w:r>
      <w:r w:rsidRPr="00F25254">
        <w:t xml:space="preserve"> </w:t>
      </w:r>
      <w:r w:rsidR="001C02CA">
        <w:t xml:space="preserve"> Also</w:t>
      </w:r>
      <w:r w:rsidR="00802453">
        <w:t xml:space="preserve"> </w:t>
      </w:r>
      <w:r w:rsidRPr="00F25254">
        <w:t xml:space="preserve">as </w:t>
      </w:r>
      <w:r w:rsidR="00187728" w:rsidRPr="00F25254">
        <w:t xml:space="preserve">noted in </w:t>
      </w:r>
      <w:r w:rsidRPr="00F25254">
        <w:t xml:space="preserve">the response to </w:t>
      </w:r>
      <w:r w:rsidR="002E049C">
        <w:t>Questions 1-2 in Section 10 above</w:t>
      </w:r>
      <w:r w:rsidRPr="00F25254">
        <w:t xml:space="preserve">, the </w:t>
      </w:r>
      <w:r w:rsidR="00ED0F85" w:rsidRPr="00F25254">
        <w:t xml:space="preserve">Grantee </w:t>
      </w:r>
      <w:r w:rsidRPr="00F25254">
        <w:t>interviewers</w:t>
      </w:r>
      <w:r w:rsidR="00ED0F85" w:rsidRPr="00F25254">
        <w:t xml:space="preserve"> proposed for the GBHI client level data collection </w:t>
      </w:r>
      <w:r w:rsidRPr="00F25254">
        <w:t>are trained interviewers</w:t>
      </w:r>
      <w:r w:rsidR="001C02CA">
        <w:t xml:space="preserve">, who have been trained by SAMHSA in face-to-face trainings and via on-line, augmented by Grantee sponsored training, on interviewing and tracking with this target population. </w:t>
      </w:r>
      <w:r w:rsidRPr="00F25254">
        <w:t xml:space="preserve"> </w:t>
      </w:r>
      <w:r w:rsidR="00187728" w:rsidRPr="00F25254">
        <w:t xml:space="preserve">Thus, although </w:t>
      </w:r>
      <w:r w:rsidRPr="00F25254">
        <w:t>additional training will be offered for the GBHI cross-site evaluation client interviews</w:t>
      </w:r>
      <w:r w:rsidR="001C02CA">
        <w:t xml:space="preserve"> and companion instructions</w:t>
      </w:r>
      <w:r w:rsidRPr="00F25254">
        <w:t xml:space="preserve">, the interviewers for the 25 </w:t>
      </w:r>
      <w:r w:rsidR="00681837">
        <w:t>Grantees</w:t>
      </w:r>
      <w:r w:rsidRPr="00F25254">
        <w:t xml:space="preserve"> have all previously received in-person and on-line </w:t>
      </w:r>
      <w:r w:rsidR="00187728" w:rsidRPr="00F25254">
        <w:t xml:space="preserve">training for </w:t>
      </w:r>
      <w:r w:rsidRPr="00F25254">
        <w:t>interview</w:t>
      </w:r>
      <w:r w:rsidR="00187728" w:rsidRPr="00F25254">
        <w:t>ing</w:t>
      </w:r>
      <w:r w:rsidRPr="00F25254">
        <w:t xml:space="preserve"> and </w:t>
      </w:r>
      <w:r w:rsidR="00ED0F85" w:rsidRPr="00F25254">
        <w:t xml:space="preserve">tracking. </w:t>
      </w:r>
      <w:r w:rsidRPr="00F25254">
        <w:t xml:space="preserve"> </w:t>
      </w:r>
    </w:p>
    <w:p w:rsidR="009E1C88" w:rsidRPr="00F25254" w:rsidRDefault="009E1C88" w:rsidP="00E67D0A">
      <w:pPr>
        <w:pStyle w:val="NoSpacing"/>
        <w:jc w:val="both"/>
      </w:pPr>
    </w:p>
    <w:p w:rsidR="003E6997" w:rsidRPr="001C02CA" w:rsidRDefault="003E6997" w:rsidP="00E67D0A">
      <w:pPr>
        <w:pStyle w:val="NoSpacing"/>
        <w:jc w:val="both"/>
        <w:rPr>
          <w:b/>
          <w:bCs/>
        </w:rPr>
      </w:pPr>
      <w:r w:rsidRPr="001C02CA">
        <w:rPr>
          <w:b/>
          <w:bCs/>
        </w:rPr>
        <w:t xml:space="preserve">M4: You mention in the introduction the importance of knowing if a homeless individual is suffering from post </w:t>
      </w:r>
      <w:r w:rsidR="009E1C88" w:rsidRPr="001C02CA">
        <w:rPr>
          <w:b/>
          <w:bCs/>
        </w:rPr>
        <w:t xml:space="preserve">traumatic stress disorder but then M4 only asks if the person has served in a combat zone. Are you planning to extrapolate that if a person was in an active military zone and is homeless that they have PTSD?  </w:t>
      </w:r>
      <w:r w:rsidR="00924B41" w:rsidRPr="001C02CA">
        <w:rPr>
          <w:b/>
          <w:bCs/>
        </w:rPr>
        <w:t xml:space="preserve">Are you concerned that other data users might make this extrapolation? </w:t>
      </w:r>
    </w:p>
    <w:p w:rsidR="00DF209C" w:rsidRPr="00F25254" w:rsidRDefault="00DF209C" w:rsidP="00DF209C">
      <w:pPr>
        <w:pStyle w:val="NoSpacing"/>
        <w:jc w:val="both"/>
      </w:pPr>
    </w:p>
    <w:p w:rsidR="003E6997" w:rsidRPr="00F25254" w:rsidRDefault="00E93A0E" w:rsidP="00D127A6">
      <w:pPr>
        <w:pStyle w:val="NoSpacing"/>
        <w:jc w:val="both"/>
      </w:pPr>
      <w:r w:rsidRPr="00F25254">
        <w:rPr>
          <w:i/>
          <w:iCs/>
          <w:u w:val="single"/>
        </w:rPr>
        <w:t>Response</w:t>
      </w:r>
      <w:r w:rsidRPr="00F25254">
        <w:t>:</w:t>
      </w:r>
      <w:r w:rsidR="0068062F" w:rsidRPr="00F25254">
        <w:t xml:space="preserve"> We do not plan to extrapolate </w:t>
      </w:r>
      <w:r w:rsidR="00AA4009" w:rsidRPr="00F25254">
        <w:t>from the question about combat to issues associated with PTSD and trauma. I</w:t>
      </w:r>
      <w:r w:rsidR="0068062F" w:rsidRPr="00F25254">
        <w:t xml:space="preserve">nformation from this question </w:t>
      </w:r>
      <w:r w:rsidR="00AA4009" w:rsidRPr="00F25254">
        <w:t xml:space="preserve">will </w:t>
      </w:r>
      <w:r w:rsidR="0068062F" w:rsidRPr="00F25254">
        <w:t xml:space="preserve">be combined with PTSD and trauma information from other questions and differentially analyzed by subpopulation. Given that several Grantees treat HHS’ priority population of veterans, and with the </w:t>
      </w:r>
      <w:r w:rsidR="00187728" w:rsidRPr="00F25254">
        <w:t>advice</w:t>
      </w:r>
      <w:r w:rsidR="0068062F" w:rsidRPr="00F25254">
        <w:t xml:space="preserve"> of the VA and GBHI </w:t>
      </w:r>
      <w:r w:rsidR="00681837">
        <w:t>Grantees</w:t>
      </w:r>
      <w:r w:rsidR="0068062F" w:rsidRPr="00F25254">
        <w:t xml:space="preserve">, the combat question is included </w:t>
      </w:r>
      <w:r w:rsidR="00AA4009" w:rsidRPr="00F25254">
        <w:t>so that we can</w:t>
      </w:r>
      <w:r w:rsidR="0068062F" w:rsidRPr="00F25254">
        <w:t xml:space="preserve"> distinguish combat from non-combat veterans</w:t>
      </w:r>
      <w:r w:rsidR="00AA4009" w:rsidRPr="00F25254">
        <w:t>.</w:t>
      </w:r>
      <w:r w:rsidR="0068062F" w:rsidRPr="00F25254">
        <w:t xml:space="preserve"> PTSD is assessed through a question on the baseline, </w:t>
      </w:r>
      <w:r w:rsidR="00DF209C" w:rsidRPr="00F25254">
        <w:t>TXH5, that asks for history of a PTSD diagnosis (self-report diagnosis</w:t>
      </w:r>
      <w:r w:rsidR="00FC579C" w:rsidRPr="00F25254">
        <w:t xml:space="preserve"> and treatment services</w:t>
      </w:r>
      <w:r w:rsidR="00DF209C" w:rsidRPr="00F25254">
        <w:t xml:space="preserve"> is increasing</w:t>
      </w:r>
      <w:r w:rsidR="00385180">
        <w:t>ly</w:t>
      </w:r>
      <w:r w:rsidR="00DF209C" w:rsidRPr="00F25254">
        <w:t xml:space="preserve"> proposed as a reliable method for gathering this information from this and similar target populations</w:t>
      </w:r>
      <w:r w:rsidR="00385180">
        <w:t>;</w:t>
      </w:r>
      <w:r w:rsidR="005A4621" w:rsidRPr="00F25254">
        <w:rPr>
          <w:rFonts w:ascii="TimesNewRomanPSMT" w:hAnsi="TimesNewRomanPSMT" w:cs="TimesNewRomanPSMT"/>
        </w:rPr>
        <w:t xml:space="preserve"> </w:t>
      </w:r>
      <w:proofErr w:type="spellStart"/>
      <w:r w:rsidR="005A4621" w:rsidRPr="00F25254">
        <w:rPr>
          <w:rFonts w:ascii="TimesNewRomanPSMT" w:hAnsi="TimesNewRomanPSMT" w:cs="TimesNewRomanPSMT"/>
        </w:rPr>
        <w:t>Brownsberger</w:t>
      </w:r>
      <w:proofErr w:type="spellEnd"/>
      <w:r w:rsidR="005A4621" w:rsidRPr="00F25254">
        <w:rPr>
          <w:rFonts w:ascii="TimesNewRomanPSMT" w:hAnsi="TimesNewRomanPSMT" w:cs="TimesNewRomanPSMT"/>
        </w:rPr>
        <w:t xml:space="preserve"> et al., 2004; </w:t>
      </w:r>
      <w:proofErr w:type="spellStart"/>
      <w:r w:rsidR="00DF209C" w:rsidRPr="00F25254">
        <w:t>Trestman</w:t>
      </w:r>
      <w:proofErr w:type="spellEnd"/>
      <w:r w:rsidR="00DF209C" w:rsidRPr="00F25254">
        <w:t xml:space="preserve"> et al,</w:t>
      </w:r>
      <w:r w:rsidR="00D127A6">
        <w:t xml:space="preserve"> 2007;</w:t>
      </w:r>
      <w:r w:rsidR="00DF209C" w:rsidRPr="00F25254">
        <w:t xml:space="preserve"> Broner et al</w:t>
      </w:r>
      <w:r w:rsidR="00ED0F85" w:rsidRPr="00F25254">
        <w:t>.</w:t>
      </w:r>
      <w:r w:rsidR="00DF209C" w:rsidRPr="00F25254">
        <w:t xml:space="preserve">, 2010) and through a standardized PTSD diagnostic screening and change measure, PCL1, that was developed on civilian and veterans populations (e.g., Lang &amp; Stein, 2005; </w:t>
      </w:r>
      <w:r w:rsidR="001C02CA" w:rsidRPr="001C02CA">
        <w:rPr>
          <w:rFonts w:cs="Arial"/>
          <w:bCs/>
        </w:rPr>
        <w:t>Ruggiero et al., 2003;</w:t>
      </w:r>
      <w:r w:rsidR="001C02CA" w:rsidRPr="007F784F">
        <w:rPr>
          <w:rFonts w:ascii="Arial" w:hAnsi="Arial" w:cs="Arial"/>
          <w:sz w:val="16"/>
          <w:szCs w:val="16"/>
        </w:rPr>
        <w:t xml:space="preserve"> </w:t>
      </w:r>
      <w:r w:rsidR="00DF209C" w:rsidRPr="00F25254">
        <w:t xml:space="preserve">Weathers, </w:t>
      </w:r>
      <w:proofErr w:type="spellStart"/>
      <w:r w:rsidR="00DF209C" w:rsidRPr="00F25254">
        <w:t>Litz</w:t>
      </w:r>
      <w:proofErr w:type="spellEnd"/>
      <w:r w:rsidR="00DF209C" w:rsidRPr="00F25254">
        <w:t xml:space="preserve">, </w:t>
      </w:r>
      <w:proofErr w:type="spellStart"/>
      <w:r w:rsidR="00DF209C" w:rsidRPr="00F25254">
        <w:t>Huska</w:t>
      </w:r>
      <w:proofErr w:type="spellEnd"/>
      <w:r w:rsidR="00DF209C" w:rsidRPr="00F25254">
        <w:t>, &amp; Keane, 1994) as noted in</w:t>
      </w:r>
      <w:r w:rsidR="00385180">
        <w:t xml:space="preserve"> section A.2, page 6</w:t>
      </w:r>
      <w:r w:rsidR="00DF209C" w:rsidRPr="00F25254">
        <w:t xml:space="preserve"> of the Supporting Statement. </w:t>
      </w:r>
      <w:r w:rsidRPr="00F25254">
        <w:t xml:space="preserve"> </w:t>
      </w:r>
    </w:p>
    <w:p w:rsidR="003C0205" w:rsidRPr="00F25254" w:rsidRDefault="003C0205" w:rsidP="009E1C88">
      <w:pPr>
        <w:pStyle w:val="NoSpacing"/>
        <w:jc w:val="both"/>
      </w:pPr>
    </w:p>
    <w:p w:rsidR="009E1C88" w:rsidRPr="001C02CA" w:rsidRDefault="00924B41" w:rsidP="00DD6735">
      <w:pPr>
        <w:pStyle w:val="NoSpacing"/>
        <w:jc w:val="both"/>
        <w:rPr>
          <w:b/>
          <w:bCs/>
        </w:rPr>
      </w:pPr>
      <w:r w:rsidRPr="001C02CA">
        <w:rPr>
          <w:b/>
          <w:bCs/>
        </w:rPr>
        <w:t xml:space="preserve">H3: Are you </w:t>
      </w:r>
      <w:r w:rsidR="009E1C88" w:rsidRPr="001C02CA">
        <w:rPr>
          <w:b/>
          <w:bCs/>
        </w:rPr>
        <w:t>concern</w:t>
      </w:r>
      <w:r w:rsidRPr="001C02CA">
        <w:rPr>
          <w:b/>
          <w:bCs/>
        </w:rPr>
        <w:t>ed</w:t>
      </w:r>
      <w:r w:rsidR="009E1C88" w:rsidRPr="001C02CA">
        <w:rPr>
          <w:b/>
          <w:bCs/>
        </w:rPr>
        <w:t xml:space="preserve"> that homeless individuals may have issues with time</w:t>
      </w:r>
      <w:r w:rsidR="00DD6735" w:rsidRPr="001C02CA">
        <w:rPr>
          <w:b/>
          <w:bCs/>
        </w:rPr>
        <w:t>-</w:t>
      </w:r>
      <w:r w:rsidR="009E1C88" w:rsidRPr="001C02CA">
        <w:rPr>
          <w:b/>
          <w:bCs/>
        </w:rPr>
        <w:t xml:space="preserve">based retrieval? Groups without routines or set structure, like the elderly for example, often have problems </w:t>
      </w:r>
      <w:r w:rsidRPr="001C02CA">
        <w:rPr>
          <w:b/>
          <w:bCs/>
        </w:rPr>
        <w:t>with time</w:t>
      </w:r>
      <w:r w:rsidR="00DD6735" w:rsidRPr="001C02CA">
        <w:rPr>
          <w:b/>
          <w:bCs/>
        </w:rPr>
        <w:t>-</w:t>
      </w:r>
      <w:r w:rsidRPr="001C02CA">
        <w:rPr>
          <w:b/>
          <w:bCs/>
        </w:rPr>
        <w:t xml:space="preserve">based recall and we would like to see some research addressing this concern in the ICR. </w:t>
      </w:r>
    </w:p>
    <w:p w:rsidR="00E93A0E" w:rsidRPr="00F25254" w:rsidRDefault="00E93A0E" w:rsidP="00E93A0E">
      <w:pPr>
        <w:pStyle w:val="NoSpacing"/>
        <w:jc w:val="both"/>
      </w:pPr>
    </w:p>
    <w:p w:rsidR="00DD6735" w:rsidRPr="00F25254" w:rsidRDefault="00E93A0E" w:rsidP="001C02CA">
      <w:pPr>
        <w:autoSpaceDE w:val="0"/>
        <w:autoSpaceDN w:val="0"/>
        <w:adjustRightInd w:val="0"/>
        <w:spacing w:after="0" w:line="240" w:lineRule="auto"/>
      </w:pPr>
      <w:r w:rsidRPr="00F25254">
        <w:rPr>
          <w:i/>
          <w:iCs/>
          <w:u w:val="single"/>
        </w:rPr>
        <w:lastRenderedPageBreak/>
        <w:t>Response</w:t>
      </w:r>
      <w:r w:rsidRPr="00F25254">
        <w:t>:</w:t>
      </w:r>
      <w:r w:rsidR="003C0205" w:rsidRPr="00F25254">
        <w:t xml:space="preserve"> The comments highlight a very important consideration</w:t>
      </w:r>
      <w:r w:rsidR="00DF209C" w:rsidRPr="00F25254">
        <w:t xml:space="preserve">. </w:t>
      </w:r>
      <w:r w:rsidR="00DD6735" w:rsidRPr="00F25254">
        <w:t xml:space="preserve">Due to </w:t>
      </w:r>
      <w:r w:rsidR="00DF209C" w:rsidRPr="00F25254">
        <w:t xml:space="preserve">the importance of this </w:t>
      </w:r>
      <w:r w:rsidR="00DD6735" w:rsidRPr="00F25254">
        <w:t>consideration</w:t>
      </w:r>
      <w:r w:rsidR="003C0205" w:rsidRPr="00F25254">
        <w:t xml:space="preserve">, </w:t>
      </w:r>
      <w:r w:rsidR="00DD6735" w:rsidRPr="00F25254">
        <w:t xml:space="preserve">time-based retrieval was one of the primary issues upon which we focused </w:t>
      </w:r>
      <w:r w:rsidR="003C0205" w:rsidRPr="00F25254">
        <w:t xml:space="preserve">in our review of </w:t>
      </w:r>
      <w:r w:rsidR="00DF209C" w:rsidRPr="00F25254">
        <w:t xml:space="preserve">the </w:t>
      </w:r>
      <w:r w:rsidR="00DD6735" w:rsidRPr="00F25254">
        <w:t xml:space="preserve">homeless </w:t>
      </w:r>
      <w:r w:rsidR="00DF209C" w:rsidRPr="00F25254">
        <w:t xml:space="preserve">literature </w:t>
      </w:r>
      <w:r w:rsidR="00DD6735" w:rsidRPr="00F25254">
        <w:t xml:space="preserve">that was </w:t>
      </w:r>
      <w:r w:rsidR="00DF209C" w:rsidRPr="00F25254">
        <w:t>disseminated by SAMHSA (Broner et al., 2010)</w:t>
      </w:r>
      <w:r w:rsidR="00DD6735" w:rsidRPr="00F25254">
        <w:t>. In th</w:t>
      </w:r>
      <w:r w:rsidR="001C02CA">
        <w:t>at</w:t>
      </w:r>
      <w:r w:rsidR="00DD6735" w:rsidRPr="00F25254">
        <w:t xml:space="preserve"> review, we </w:t>
      </w:r>
      <w:r w:rsidR="00D127A6">
        <w:t>i</w:t>
      </w:r>
      <w:r w:rsidR="00DD6735" w:rsidRPr="00F25254">
        <w:t xml:space="preserve">dentified </w:t>
      </w:r>
      <w:r w:rsidR="00E92C51" w:rsidRPr="00F25254">
        <w:t xml:space="preserve">studies </w:t>
      </w:r>
      <w:r w:rsidR="00DD6735" w:rsidRPr="00F25254">
        <w:t xml:space="preserve">that </w:t>
      </w:r>
      <w:r w:rsidR="00E92C51" w:rsidRPr="00F25254">
        <w:t xml:space="preserve">indicated that </w:t>
      </w:r>
      <w:r w:rsidR="00DD6735" w:rsidRPr="00F25254">
        <w:t>time-based</w:t>
      </w:r>
      <w:r w:rsidR="00E92C51" w:rsidRPr="00F25254">
        <w:t xml:space="preserve"> information could be reliably collected from chronic street, shelter and housed homeless individuals with mental illness and substance abuse (</w:t>
      </w:r>
      <w:r w:rsidR="00DD6735" w:rsidRPr="00F25254">
        <w:t>for example,</w:t>
      </w:r>
      <w:r w:rsidR="00FA728B" w:rsidRPr="00F25254">
        <w:t xml:space="preserve"> </w:t>
      </w:r>
      <w:r w:rsidR="00ED0F85" w:rsidRPr="00F25254">
        <w:rPr>
          <w:iCs/>
        </w:rPr>
        <w:t xml:space="preserve">Banks, </w:t>
      </w:r>
      <w:proofErr w:type="spellStart"/>
      <w:r w:rsidR="00ED0F85" w:rsidRPr="00F25254">
        <w:rPr>
          <w:iCs/>
        </w:rPr>
        <w:t>McHugo</w:t>
      </w:r>
      <w:proofErr w:type="spellEnd"/>
      <w:r w:rsidR="00ED0F85" w:rsidRPr="00F25254">
        <w:rPr>
          <w:iCs/>
        </w:rPr>
        <w:t>, Williams, Drake, &amp; Shinn, 2002;</w:t>
      </w:r>
      <w:r w:rsidR="00C804FF" w:rsidRPr="00F25254">
        <w:rPr>
          <w:iCs/>
        </w:rPr>
        <w:t xml:space="preserve"> </w:t>
      </w:r>
      <w:r w:rsidR="00ED0F85" w:rsidRPr="00F25254">
        <w:rPr>
          <w:iCs/>
        </w:rPr>
        <w:t>Clark &amp; Rich, 2003;</w:t>
      </w:r>
      <w:r w:rsidR="00C804FF" w:rsidRPr="00F25254">
        <w:rPr>
          <w:iCs/>
        </w:rPr>
        <w:t xml:space="preserve"> </w:t>
      </w:r>
      <w:proofErr w:type="spellStart"/>
      <w:r w:rsidR="00ED0F85" w:rsidRPr="00F25254">
        <w:rPr>
          <w:iCs/>
        </w:rPr>
        <w:t>Milby</w:t>
      </w:r>
      <w:proofErr w:type="spellEnd"/>
      <w:r w:rsidR="00ED0F85" w:rsidRPr="00F25254">
        <w:rPr>
          <w:iCs/>
        </w:rPr>
        <w:t xml:space="preserve">, Wallace, Ward, Schumacher, &amp; Michael, 2005; North, </w:t>
      </w:r>
      <w:proofErr w:type="spellStart"/>
      <w:r w:rsidR="00ED0F85" w:rsidRPr="00F25254">
        <w:rPr>
          <w:iCs/>
        </w:rPr>
        <w:t>Eyrich</w:t>
      </w:r>
      <w:proofErr w:type="spellEnd"/>
      <w:r w:rsidR="00ED0F85" w:rsidRPr="00F25254">
        <w:rPr>
          <w:iCs/>
        </w:rPr>
        <w:t xml:space="preserve">, </w:t>
      </w:r>
      <w:proofErr w:type="spellStart"/>
      <w:r w:rsidR="00ED0F85" w:rsidRPr="00F25254">
        <w:rPr>
          <w:iCs/>
        </w:rPr>
        <w:t>Pollio</w:t>
      </w:r>
      <w:proofErr w:type="spellEnd"/>
      <w:r w:rsidR="00ED0F85" w:rsidRPr="00F25254">
        <w:rPr>
          <w:iCs/>
        </w:rPr>
        <w:t xml:space="preserve">, &amp; </w:t>
      </w:r>
      <w:proofErr w:type="spellStart"/>
      <w:r w:rsidR="00ED0F85" w:rsidRPr="00F25254">
        <w:rPr>
          <w:iCs/>
        </w:rPr>
        <w:t>Spitznagel</w:t>
      </w:r>
      <w:proofErr w:type="spellEnd"/>
      <w:r w:rsidR="00ED0F85" w:rsidRPr="00F25254">
        <w:rPr>
          <w:iCs/>
        </w:rPr>
        <w:t xml:space="preserve">, 2004; Smith, North, &amp; </w:t>
      </w:r>
      <w:proofErr w:type="spellStart"/>
      <w:r w:rsidR="00ED0F85" w:rsidRPr="00F25254">
        <w:rPr>
          <w:iCs/>
        </w:rPr>
        <w:t>Spitznagel</w:t>
      </w:r>
      <w:proofErr w:type="spellEnd"/>
      <w:r w:rsidR="00ED0F85" w:rsidRPr="00F25254">
        <w:rPr>
          <w:iCs/>
        </w:rPr>
        <w:t xml:space="preserve">, 1992; Tsemberis, </w:t>
      </w:r>
      <w:proofErr w:type="spellStart"/>
      <w:r w:rsidR="00ED0F85" w:rsidRPr="00F25254">
        <w:rPr>
          <w:iCs/>
        </w:rPr>
        <w:t>Gulcur</w:t>
      </w:r>
      <w:proofErr w:type="spellEnd"/>
      <w:r w:rsidR="00ED0F85" w:rsidRPr="00F25254">
        <w:rPr>
          <w:iCs/>
        </w:rPr>
        <w:t xml:space="preserve">, &amp; </w:t>
      </w:r>
      <w:proofErr w:type="spellStart"/>
      <w:r w:rsidR="00ED0F85" w:rsidRPr="00F25254">
        <w:rPr>
          <w:iCs/>
        </w:rPr>
        <w:t>Nakae</w:t>
      </w:r>
      <w:proofErr w:type="spellEnd"/>
      <w:r w:rsidR="00ED0F85" w:rsidRPr="00F25254">
        <w:rPr>
          <w:iCs/>
        </w:rPr>
        <w:t>, 2004;</w:t>
      </w:r>
      <w:r w:rsidR="00D127A6">
        <w:rPr>
          <w:iCs/>
        </w:rPr>
        <w:t xml:space="preserve"> </w:t>
      </w:r>
      <w:r w:rsidR="00ED0F85" w:rsidRPr="00F25254">
        <w:rPr>
          <w:iCs/>
        </w:rPr>
        <w:t xml:space="preserve">Tsemberis, </w:t>
      </w:r>
      <w:proofErr w:type="spellStart"/>
      <w:r w:rsidR="00ED0F85" w:rsidRPr="00F25254">
        <w:rPr>
          <w:iCs/>
        </w:rPr>
        <w:t>McHugo</w:t>
      </w:r>
      <w:proofErr w:type="spellEnd"/>
      <w:r w:rsidR="00ED0F85" w:rsidRPr="00F25254">
        <w:rPr>
          <w:iCs/>
        </w:rPr>
        <w:t xml:space="preserve">, Williams, </w:t>
      </w:r>
      <w:proofErr w:type="spellStart"/>
      <w:r w:rsidR="00ED0F85" w:rsidRPr="00F25254">
        <w:rPr>
          <w:iCs/>
        </w:rPr>
        <w:t>Hanrahan</w:t>
      </w:r>
      <w:proofErr w:type="spellEnd"/>
      <w:r w:rsidR="00ED0F85" w:rsidRPr="00F25254">
        <w:rPr>
          <w:iCs/>
        </w:rPr>
        <w:t xml:space="preserve">, &amp; </w:t>
      </w:r>
      <w:proofErr w:type="spellStart"/>
      <w:r w:rsidR="00ED0F85" w:rsidRPr="00F25254">
        <w:rPr>
          <w:iCs/>
        </w:rPr>
        <w:t>Stefancic</w:t>
      </w:r>
      <w:proofErr w:type="spellEnd"/>
      <w:r w:rsidR="00ED0F85" w:rsidRPr="00F25254">
        <w:rPr>
          <w:iCs/>
        </w:rPr>
        <w:t>, 2007</w:t>
      </w:r>
      <w:r w:rsidR="00ED0F85" w:rsidRPr="00F25254">
        <w:rPr>
          <w:iCs/>
          <w:sz w:val="20"/>
        </w:rPr>
        <w:t>;</w:t>
      </w:r>
      <w:r w:rsidR="00E92C51" w:rsidRPr="00F25254">
        <w:t xml:space="preserve">). </w:t>
      </w:r>
      <w:r w:rsidR="00DD6735" w:rsidRPr="00F25254">
        <w:br/>
      </w:r>
    </w:p>
    <w:p w:rsidR="00FA728B" w:rsidRPr="00F25254" w:rsidRDefault="00E92C51" w:rsidP="00CC1AF4">
      <w:pPr>
        <w:autoSpaceDE w:val="0"/>
        <w:autoSpaceDN w:val="0"/>
        <w:adjustRightInd w:val="0"/>
        <w:spacing w:after="0" w:line="240" w:lineRule="auto"/>
        <w:ind w:firstLine="720"/>
      </w:pPr>
      <w:r w:rsidRPr="00F25254">
        <w:t xml:space="preserve">We also </w:t>
      </w:r>
      <w:r w:rsidR="00DD6735" w:rsidRPr="00F25254">
        <w:t>addressed</w:t>
      </w:r>
      <w:r w:rsidRPr="00F25254">
        <w:t xml:space="preserve"> this issue with our expert panel (members listed</w:t>
      </w:r>
      <w:r w:rsidR="00D127A6">
        <w:t xml:space="preserve"> in section A.8, pages 9-11</w:t>
      </w:r>
      <w:r w:rsidRPr="00F25254">
        <w:t xml:space="preserve"> of the Supporting Statement). </w:t>
      </w:r>
      <w:r w:rsidR="00E93A0E" w:rsidRPr="00F25254">
        <w:t xml:space="preserve">Further, </w:t>
      </w:r>
      <w:r w:rsidR="001C02CA">
        <w:t xml:space="preserve">as noted above in our previous responses, </w:t>
      </w:r>
      <w:r w:rsidR="00E93A0E" w:rsidRPr="00F25254">
        <w:t xml:space="preserve">follow-back (time-based retrieval) questions have been demonstrated, for self-report questionnaires, to be within the cognitive capacity of this population and </w:t>
      </w:r>
      <w:r w:rsidR="00DD6735" w:rsidRPr="00F25254">
        <w:t xml:space="preserve">to </w:t>
      </w:r>
      <w:r w:rsidR="00E93A0E" w:rsidRPr="00F25254">
        <w:t>produce accurate information when compared to collateral collected informatio</w:t>
      </w:r>
      <w:r w:rsidR="00FA728B" w:rsidRPr="00F25254">
        <w:t>n for psychiatric populations (</w:t>
      </w:r>
      <w:r w:rsidR="00DD6735" w:rsidRPr="00F25254">
        <w:t xml:space="preserve">for example, </w:t>
      </w:r>
      <w:r w:rsidR="00FA728B" w:rsidRPr="00F25254">
        <w:t>Carey</w:t>
      </w:r>
      <w:r w:rsidR="00D127A6">
        <w:t>,</w:t>
      </w:r>
      <w:r w:rsidR="00FA728B" w:rsidRPr="00F25254">
        <w:t xml:space="preserve"> 1997</w:t>
      </w:r>
      <w:r w:rsidR="000A3B02" w:rsidRPr="00F25254">
        <w:t>;</w:t>
      </w:r>
      <w:r w:rsidR="000A3B02" w:rsidRPr="00F25254">
        <w:rPr>
          <w:rFonts w:cs="AdvP4493B6"/>
        </w:rPr>
        <w:t xml:space="preserve"> </w:t>
      </w:r>
      <w:r w:rsidR="00C804FF" w:rsidRPr="00F25254">
        <w:rPr>
          <w:rFonts w:cs="AdvP4493B6"/>
        </w:rPr>
        <w:t xml:space="preserve">Clark &amp; Rich, 2003; </w:t>
      </w:r>
      <w:r w:rsidR="000A3B02" w:rsidRPr="00F25254">
        <w:rPr>
          <w:rFonts w:cs="AdvP4493B6"/>
        </w:rPr>
        <w:t>Dartmouth Psychiatric Research Center, 1997</w:t>
      </w:r>
      <w:r w:rsidR="00E93A0E" w:rsidRPr="00F25254">
        <w:t xml:space="preserve">), criminal justice populations </w:t>
      </w:r>
      <w:r w:rsidR="00E93A0E" w:rsidRPr="00D127A6">
        <w:t>(</w:t>
      </w:r>
      <w:r w:rsidR="00CC1AF4">
        <w:t xml:space="preserve">Broner et al., 2002; </w:t>
      </w:r>
      <w:r w:rsidR="000A3B02" w:rsidRPr="00D127A6">
        <w:t>Broner et al., 2004</w:t>
      </w:r>
      <w:r w:rsidR="00A31D7C" w:rsidRPr="00160619">
        <w:t xml:space="preserve">; </w:t>
      </w:r>
      <w:r w:rsidR="00CC1AF4" w:rsidRPr="00160619">
        <w:t>Case</w:t>
      </w:r>
      <w:r w:rsidR="00CC1AF4" w:rsidRPr="00CC1AF4">
        <w:t xml:space="preserve"> et al., 2009; Lattimore et al., 2005; </w:t>
      </w:r>
      <w:proofErr w:type="spellStart"/>
      <w:r w:rsidR="00CC1AF4" w:rsidRPr="00CC1AF4">
        <w:t>Napels</w:t>
      </w:r>
      <w:proofErr w:type="spellEnd"/>
      <w:r w:rsidR="00CC1AF4" w:rsidRPr="00CC1AF4">
        <w:t xml:space="preserve"> et al., 200; </w:t>
      </w:r>
      <w:proofErr w:type="spellStart"/>
      <w:r w:rsidR="00CC1AF4" w:rsidRPr="00CC1AF4">
        <w:t>Winterfield</w:t>
      </w:r>
      <w:proofErr w:type="spellEnd"/>
      <w:r w:rsidR="00CC1AF4" w:rsidRPr="00CC1AF4">
        <w:t xml:space="preserve"> et al., 2006</w:t>
      </w:r>
      <w:r w:rsidR="00E93A0E" w:rsidRPr="00CC1AF4">
        <w:t>),</w:t>
      </w:r>
      <w:r w:rsidR="00E93A0E" w:rsidRPr="00F25254">
        <w:t xml:space="preserve"> </w:t>
      </w:r>
      <w:r w:rsidR="00FA728B" w:rsidRPr="00F25254">
        <w:t>substance abuse populations (</w:t>
      </w:r>
      <w:r w:rsidR="00FA728B" w:rsidRPr="00F25254">
        <w:rPr>
          <w:rFonts w:cs="AdvPTimes"/>
        </w:rPr>
        <w:t>Brown et al.</w:t>
      </w:r>
      <w:r w:rsidR="00D127A6">
        <w:rPr>
          <w:rFonts w:cs="AdvPTimes"/>
        </w:rPr>
        <w:t>,</w:t>
      </w:r>
      <w:r w:rsidR="00FA728B" w:rsidRPr="00F25254">
        <w:rPr>
          <w:rFonts w:cs="AdvPTimes"/>
        </w:rPr>
        <w:t xml:space="preserve"> </w:t>
      </w:r>
      <w:r w:rsidR="00D127A6" w:rsidRPr="00F25254">
        <w:rPr>
          <w:rFonts w:cs="AdvPTimes"/>
        </w:rPr>
        <w:t>199</w:t>
      </w:r>
      <w:r w:rsidR="00D127A6">
        <w:rPr>
          <w:rFonts w:cs="AdvPTimes"/>
        </w:rPr>
        <w:t>3</w:t>
      </w:r>
      <w:r w:rsidR="00FA728B" w:rsidRPr="00F25254">
        <w:rPr>
          <w:rFonts w:cs="AdvPTimes"/>
        </w:rPr>
        <w:t xml:space="preserve">; </w:t>
      </w:r>
      <w:proofErr w:type="spellStart"/>
      <w:r w:rsidR="00FA728B" w:rsidRPr="00F25254">
        <w:rPr>
          <w:rFonts w:cs="AdvPTimes"/>
        </w:rPr>
        <w:t>Ehrman</w:t>
      </w:r>
      <w:proofErr w:type="spellEnd"/>
      <w:r w:rsidR="00FA728B" w:rsidRPr="00F25254">
        <w:rPr>
          <w:rFonts w:cs="AdvPTimes"/>
        </w:rPr>
        <w:t xml:space="preserve"> &amp; Robbins</w:t>
      </w:r>
      <w:r w:rsidR="00D127A6">
        <w:rPr>
          <w:rFonts w:cs="AdvPTimes"/>
        </w:rPr>
        <w:t>,</w:t>
      </w:r>
      <w:r w:rsidR="00FA728B" w:rsidRPr="00F25254">
        <w:rPr>
          <w:rFonts w:cs="AdvPTimes"/>
        </w:rPr>
        <w:t xml:space="preserve"> 1994;</w:t>
      </w:r>
      <w:r w:rsidR="00FD43BD" w:rsidRPr="00F25254">
        <w:t xml:space="preserve"> Sacks, Drake, Williams, Banks &amp; </w:t>
      </w:r>
      <w:proofErr w:type="spellStart"/>
      <w:r w:rsidR="00FD43BD" w:rsidRPr="00F25254">
        <w:t>Herrell</w:t>
      </w:r>
      <w:proofErr w:type="spellEnd"/>
      <w:r w:rsidR="00FD43BD" w:rsidRPr="00F25254">
        <w:t>, 2003;</w:t>
      </w:r>
      <w:r w:rsidR="00FA728B" w:rsidRPr="00F25254">
        <w:rPr>
          <w:rFonts w:cs="AdvPTimes"/>
        </w:rPr>
        <w:t xml:space="preserve"> </w:t>
      </w:r>
      <w:proofErr w:type="spellStart"/>
      <w:r w:rsidR="00FA728B" w:rsidRPr="00F25254">
        <w:rPr>
          <w:rFonts w:cs="AdvPTimes"/>
        </w:rPr>
        <w:t>Sobell</w:t>
      </w:r>
      <w:proofErr w:type="spellEnd"/>
      <w:r w:rsidR="00FA728B" w:rsidRPr="00F25254">
        <w:rPr>
          <w:rFonts w:cs="AdvPTimes"/>
        </w:rPr>
        <w:t xml:space="preserve"> &amp; </w:t>
      </w:r>
      <w:proofErr w:type="spellStart"/>
      <w:r w:rsidR="00FA728B" w:rsidRPr="00F25254">
        <w:rPr>
          <w:rFonts w:cs="AdvPTimes"/>
        </w:rPr>
        <w:t>Sobell</w:t>
      </w:r>
      <w:proofErr w:type="spellEnd"/>
      <w:r w:rsidR="00FA728B" w:rsidRPr="00F25254">
        <w:rPr>
          <w:rFonts w:cs="AdvPTimes"/>
        </w:rPr>
        <w:t xml:space="preserve"> 1992</w:t>
      </w:r>
      <w:r w:rsidR="00ED0F85" w:rsidRPr="00F25254">
        <w:rPr>
          <w:rFonts w:cs="AdvPTimes"/>
        </w:rPr>
        <w:t>;</w:t>
      </w:r>
      <w:r w:rsidR="00ED0F85" w:rsidRPr="00F25254">
        <w:rPr>
          <w:sz w:val="20"/>
          <w:szCs w:val="20"/>
        </w:rPr>
        <w:t xml:space="preserve"> </w:t>
      </w:r>
      <w:proofErr w:type="spellStart"/>
      <w:r w:rsidR="00ED0F85" w:rsidRPr="00F25254">
        <w:t>Sobell</w:t>
      </w:r>
      <w:proofErr w:type="spellEnd"/>
      <w:r w:rsidR="00ED0F85" w:rsidRPr="00F25254">
        <w:t xml:space="preserve"> &amp; </w:t>
      </w:r>
      <w:proofErr w:type="spellStart"/>
      <w:r w:rsidR="00ED0F85" w:rsidRPr="00F25254">
        <w:t>Sobell</w:t>
      </w:r>
      <w:proofErr w:type="spellEnd"/>
      <w:r w:rsidR="00ED0F85" w:rsidRPr="00F25254">
        <w:t>, 1995)</w:t>
      </w:r>
      <w:r w:rsidR="00E93A0E" w:rsidRPr="00F25254">
        <w:t xml:space="preserve">, </w:t>
      </w:r>
      <w:r w:rsidR="00FA728B" w:rsidRPr="00F25254">
        <w:t>those with co-occurring mental and addictive disorders (</w:t>
      </w:r>
      <w:r w:rsidR="00CC1AF4">
        <w:t xml:space="preserve">Broner et al., 2002; </w:t>
      </w:r>
      <w:r w:rsidR="00FA728B" w:rsidRPr="00F25254">
        <w:t xml:space="preserve">Broner, Lattimore, Cowell &amp; </w:t>
      </w:r>
      <w:proofErr w:type="spellStart"/>
      <w:r w:rsidR="00FA728B" w:rsidRPr="00F25254">
        <w:t>Schlenger</w:t>
      </w:r>
      <w:proofErr w:type="spellEnd"/>
      <w:r w:rsidR="00FA728B" w:rsidRPr="00F25254">
        <w:t xml:space="preserve">, 2004; </w:t>
      </w:r>
      <w:r w:rsidR="00CC1AF4">
        <w:t xml:space="preserve">Case et al., 2007; </w:t>
      </w:r>
      <w:r w:rsidR="00C804FF" w:rsidRPr="00F25254">
        <w:t xml:space="preserve">Clark &amp; Rich, 2003; </w:t>
      </w:r>
      <w:r w:rsidR="00CC1AF4">
        <w:t xml:space="preserve">Naples et al., 200; </w:t>
      </w:r>
      <w:r w:rsidR="00FA728B" w:rsidRPr="00F25254">
        <w:t>Sac</w:t>
      </w:r>
      <w:r w:rsidR="00FD43BD" w:rsidRPr="00F25254">
        <w:t>ks et al., 2003</w:t>
      </w:r>
      <w:r w:rsidR="00FA728B" w:rsidRPr="00F25254">
        <w:t xml:space="preserve">), </w:t>
      </w:r>
      <w:r w:rsidR="00DD6735" w:rsidRPr="00F25254">
        <w:t xml:space="preserve">and </w:t>
      </w:r>
      <w:r w:rsidR="00E93A0E" w:rsidRPr="00F25254">
        <w:t>homeless populations</w:t>
      </w:r>
      <w:r w:rsidR="006E3170" w:rsidRPr="00F25254">
        <w:t xml:space="preserve"> with </w:t>
      </w:r>
      <w:r w:rsidR="00FA728B" w:rsidRPr="00F25254">
        <w:t xml:space="preserve">serious mental illness and </w:t>
      </w:r>
      <w:r w:rsidR="006E3170" w:rsidRPr="00F25254">
        <w:t xml:space="preserve">or </w:t>
      </w:r>
      <w:r w:rsidR="00FA728B" w:rsidRPr="00F25254">
        <w:t>substance use disorders</w:t>
      </w:r>
      <w:r w:rsidR="00E93A0E" w:rsidRPr="00F25254">
        <w:t xml:space="preserve"> (</w:t>
      </w:r>
      <w:r w:rsidR="00ED0F85" w:rsidRPr="00F25254">
        <w:rPr>
          <w:iCs/>
        </w:rPr>
        <w:t xml:space="preserve">Banks, </w:t>
      </w:r>
      <w:proofErr w:type="spellStart"/>
      <w:r w:rsidR="00ED0F85" w:rsidRPr="00F25254">
        <w:rPr>
          <w:iCs/>
        </w:rPr>
        <w:t>McHugo</w:t>
      </w:r>
      <w:proofErr w:type="spellEnd"/>
      <w:r w:rsidR="00ED0F85" w:rsidRPr="00F25254">
        <w:rPr>
          <w:iCs/>
        </w:rPr>
        <w:t>, Williams, Drake, &amp; Shinn, 2002;</w:t>
      </w:r>
      <w:r w:rsidR="00A31D7C" w:rsidRPr="00F25254">
        <w:rPr>
          <w:sz w:val="24"/>
          <w:szCs w:val="24"/>
        </w:rPr>
        <w:t xml:space="preserve"> </w:t>
      </w:r>
      <w:r w:rsidR="00A31D7C" w:rsidRPr="00F25254">
        <w:t>Burt, 2009;</w:t>
      </w:r>
      <w:r w:rsidR="00A31D7C" w:rsidRPr="00F25254">
        <w:rPr>
          <w:iCs/>
        </w:rPr>
        <w:t xml:space="preserve"> </w:t>
      </w:r>
      <w:r w:rsidR="00ED0F85" w:rsidRPr="00F25254">
        <w:rPr>
          <w:iCs/>
        </w:rPr>
        <w:t>Clark &amp; Rich, 2003;</w:t>
      </w:r>
      <w:r w:rsidR="00ED0F85" w:rsidRPr="00F25254">
        <w:t xml:space="preserve"> Fischer, Shinn, </w:t>
      </w:r>
      <w:proofErr w:type="spellStart"/>
      <w:r w:rsidR="00ED0F85" w:rsidRPr="00F25254">
        <w:t>Shrout</w:t>
      </w:r>
      <w:proofErr w:type="spellEnd"/>
      <w:r w:rsidR="00ED0F85" w:rsidRPr="00F25254">
        <w:t xml:space="preserve"> &amp; Tsemberis, 2008; </w:t>
      </w:r>
      <w:proofErr w:type="spellStart"/>
      <w:r w:rsidR="00ED0F85" w:rsidRPr="00F25254">
        <w:rPr>
          <w:iCs/>
        </w:rPr>
        <w:t>Milby</w:t>
      </w:r>
      <w:proofErr w:type="spellEnd"/>
      <w:r w:rsidR="00ED0F85" w:rsidRPr="00F25254">
        <w:rPr>
          <w:iCs/>
        </w:rPr>
        <w:t xml:space="preserve">, Wallace, Ward, Schumacher, &amp; Michael, 2005; North, </w:t>
      </w:r>
      <w:proofErr w:type="spellStart"/>
      <w:r w:rsidR="00ED0F85" w:rsidRPr="00F25254">
        <w:rPr>
          <w:iCs/>
        </w:rPr>
        <w:t>Eyrich</w:t>
      </w:r>
      <w:proofErr w:type="spellEnd"/>
      <w:r w:rsidR="00ED0F85" w:rsidRPr="00F25254">
        <w:rPr>
          <w:iCs/>
        </w:rPr>
        <w:t xml:space="preserve">, </w:t>
      </w:r>
      <w:proofErr w:type="spellStart"/>
      <w:r w:rsidR="00ED0F85" w:rsidRPr="00F25254">
        <w:rPr>
          <w:iCs/>
        </w:rPr>
        <w:t>Pollio</w:t>
      </w:r>
      <w:proofErr w:type="spellEnd"/>
      <w:r w:rsidR="00ED0F85" w:rsidRPr="00F25254">
        <w:rPr>
          <w:iCs/>
        </w:rPr>
        <w:t xml:space="preserve">, &amp; </w:t>
      </w:r>
      <w:proofErr w:type="spellStart"/>
      <w:r w:rsidR="00ED0F85" w:rsidRPr="00F25254">
        <w:rPr>
          <w:iCs/>
        </w:rPr>
        <w:t>Spitznagel</w:t>
      </w:r>
      <w:proofErr w:type="spellEnd"/>
      <w:r w:rsidR="00ED0F85" w:rsidRPr="00F25254">
        <w:rPr>
          <w:iCs/>
        </w:rPr>
        <w:t xml:space="preserve">, 2004; Smith, North, &amp; </w:t>
      </w:r>
      <w:proofErr w:type="spellStart"/>
      <w:r w:rsidR="00ED0F85" w:rsidRPr="00F25254">
        <w:rPr>
          <w:iCs/>
        </w:rPr>
        <w:t>Spitznagel</w:t>
      </w:r>
      <w:proofErr w:type="spellEnd"/>
      <w:r w:rsidR="00ED0F85" w:rsidRPr="00F25254">
        <w:rPr>
          <w:iCs/>
        </w:rPr>
        <w:t xml:space="preserve">, 1992; Tsemberis, </w:t>
      </w:r>
      <w:proofErr w:type="spellStart"/>
      <w:r w:rsidR="00ED0F85" w:rsidRPr="00F25254">
        <w:rPr>
          <w:iCs/>
        </w:rPr>
        <w:t>Gulcur</w:t>
      </w:r>
      <w:proofErr w:type="spellEnd"/>
      <w:r w:rsidR="00ED0F85" w:rsidRPr="00F25254">
        <w:rPr>
          <w:iCs/>
        </w:rPr>
        <w:t xml:space="preserve">, &amp; </w:t>
      </w:r>
      <w:proofErr w:type="spellStart"/>
      <w:r w:rsidR="00ED0F85" w:rsidRPr="00F25254">
        <w:rPr>
          <w:iCs/>
        </w:rPr>
        <w:t>Nakae</w:t>
      </w:r>
      <w:proofErr w:type="spellEnd"/>
      <w:r w:rsidR="00ED0F85" w:rsidRPr="00F25254">
        <w:rPr>
          <w:iCs/>
        </w:rPr>
        <w:t>, 2004;</w:t>
      </w:r>
      <w:r w:rsidR="00FA728B" w:rsidRPr="00F25254">
        <w:t xml:space="preserve"> </w:t>
      </w:r>
      <w:r w:rsidR="00FA728B" w:rsidRPr="00F25254">
        <w:rPr>
          <w:rFonts w:cs="AdvPTimes"/>
        </w:rPr>
        <w:t xml:space="preserve">Tsemberis et al., 2007). </w:t>
      </w:r>
    </w:p>
    <w:p w:rsidR="00E93A0E" w:rsidRPr="00F25254" w:rsidRDefault="00E93A0E" w:rsidP="003778AC">
      <w:pPr>
        <w:autoSpaceDE w:val="0"/>
        <w:autoSpaceDN w:val="0"/>
        <w:adjustRightInd w:val="0"/>
        <w:spacing w:after="0" w:line="240" w:lineRule="auto"/>
        <w:ind w:firstLine="720"/>
      </w:pPr>
      <w:r w:rsidRPr="00F25254">
        <w:t xml:space="preserve">While not incorporated into the GBHI client interview due to the additional time it would take to administer, the majority of homeless studies incorporate a time-retrieval at minimum for 5 years prior to baseline interviewing </w:t>
      </w:r>
      <w:r w:rsidR="00E92C51" w:rsidRPr="00F25254">
        <w:t xml:space="preserve">as reviewed by Broner and colleagues </w:t>
      </w:r>
      <w:r w:rsidR="00A31D7C" w:rsidRPr="00F25254">
        <w:t xml:space="preserve">(2010) </w:t>
      </w:r>
      <w:r w:rsidR="00E92C51" w:rsidRPr="00F25254">
        <w:t xml:space="preserve">and </w:t>
      </w:r>
      <w:r w:rsidR="00A31D7C" w:rsidRPr="00F25254">
        <w:t xml:space="preserve">per the </w:t>
      </w:r>
      <w:r w:rsidR="007B3600" w:rsidRPr="00F25254">
        <w:t>c</w:t>
      </w:r>
      <w:r w:rsidR="00A31D7C" w:rsidRPr="00F25254">
        <w:t xml:space="preserve">ites on homelessness above. Other studies have reduced this to three years </w:t>
      </w:r>
      <w:r w:rsidR="006E3170" w:rsidRPr="00F25254">
        <w:t>and</w:t>
      </w:r>
      <w:r w:rsidR="00A31D7C" w:rsidRPr="00F25254">
        <w:t xml:space="preserve"> 6</w:t>
      </w:r>
      <w:r w:rsidR="006E3170" w:rsidRPr="00F25254">
        <w:t>-</w:t>
      </w:r>
      <w:r w:rsidR="00A31D7C" w:rsidRPr="00F25254">
        <w:t>months</w:t>
      </w:r>
      <w:r w:rsidR="006E3170" w:rsidRPr="00F25254">
        <w:t xml:space="preserve"> follow-back</w:t>
      </w:r>
      <w:r w:rsidR="00A31D7C" w:rsidRPr="00F25254">
        <w:t xml:space="preserve">, such as in the </w:t>
      </w:r>
      <w:r w:rsidR="00E92C51" w:rsidRPr="00F25254">
        <w:t xml:space="preserve">OMB </w:t>
      </w:r>
      <w:r w:rsidR="00A31D7C" w:rsidRPr="00F25254">
        <w:t xml:space="preserve">approved </w:t>
      </w:r>
      <w:r w:rsidR="00E92C51" w:rsidRPr="00F25254">
        <w:t xml:space="preserve">cross-site evaluation </w:t>
      </w:r>
      <w:r w:rsidR="00A31D7C" w:rsidRPr="00F25254">
        <w:t xml:space="preserve">homeless </w:t>
      </w:r>
      <w:r w:rsidR="00E92C51" w:rsidRPr="00F25254">
        <w:t>studies</w:t>
      </w:r>
      <w:r w:rsidR="00DD6735" w:rsidRPr="00F25254">
        <w:t>, including</w:t>
      </w:r>
      <w:r w:rsidR="00E92C51" w:rsidRPr="00F25254">
        <w:t xml:space="preserve"> Homeless Families</w:t>
      </w:r>
      <w:r w:rsidR="00A31D7C" w:rsidRPr="00F25254">
        <w:t xml:space="preserve"> (OMB contract number </w:t>
      </w:r>
      <w:r w:rsidR="00D127A6" w:rsidRPr="00F25254">
        <w:t>0</w:t>
      </w:r>
      <w:r w:rsidR="00D127A6">
        <w:t>9</w:t>
      </w:r>
      <w:r w:rsidR="00D127A6" w:rsidRPr="00F25254">
        <w:t>30</w:t>
      </w:r>
      <w:r w:rsidR="00A31D7C" w:rsidRPr="00F25254">
        <w:t>-0223</w:t>
      </w:r>
      <w:r w:rsidR="00D127A6" w:rsidRPr="00F25254">
        <w:t>)</w:t>
      </w:r>
      <w:r w:rsidR="003778AC">
        <w:t xml:space="preserve">, </w:t>
      </w:r>
      <w:r w:rsidR="00A31D7C" w:rsidRPr="00F25254">
        <w:t xml:space="preserve"> Life After Transition</w:t>
      </w:r>
      <w:r w:rsidR="00C732A8">
        <w:t>al Housing</w:t>
      </w:r>
      <w:r w:rsidR="00A31D7C" w:rsidRPr="00F25254">
        <w:t xml:space="preserve"> (OMB contract number 2528-0239</w:t>
      </w:r>
      <w:r w:rsidR="00DD6735" w:rsidRPr="00F25254">
        <w:t>)</w:t>
      </w:r>
      <w:r w:rsidR="003778AC">
        <w:t xml:space="preserve"> and </w:t>
      </w:r>
      <w:r w:rsidR="003778AC" w:rsidRPr="00BC73CE">
        <w:rPr>
          <w:rFonts w:cs="Arial"/>
          <w:color w:val="2E2E2E"/>
        </w:rPr>
        <w:t>National Outcomes Performance Assessment of the Collaborative Initiative to Help End Chronic Homelessness</w:t>
      </w:r>
      <w:r w:rsidR="003778AC">
        <w:rPr>
          <w:rFonts w:cs="Arial"/>
          <w:color w:val="2E2E2E"/>
        </w:rPr>
        <w:t xml:space="preserve"> (</w:t>
      </w:r>
      <w:r w:rsidR="003778AC" w:rsidRPr="00BC73CE">
        <w:t>OMB</w:t>
      </w:r>
      <w:r w:rsidR="003778AC" w:rsidRPr="00F25254">
        <w:t xml:space="preserve"> control number</w:t>
      </w:r>
      <w:r w:rsidR="003778AC">
        <w:t xml:space="preserve"> </w:t>
      </w:r>
      <w:r w:rsidR="003778AC" w:rsidRPr="00BC73CE">
        <w:rPr>
          <w:rFonts w:cs="Arial"/>
          <w:color w:val="2E2E2E"/>
        </w:rPr>
        <w:t>0930-0247</w:t>
      </w:r>
      <w:r w:rsidR="003778AC">
        <w:rPr>
          <w:rFonts w:cs="Arial"/>
          <w:color w:val="2E2E2E"/>
        </w:rPr>
        <w:t>)</w:t>
      </w:r>
      <w:r w:rsidRPr="00F25254">
        <w:t>.</w:t>
      </w:r>
      <w:r w:rsidR="00E92C51" w:rsidRPr="00F25254">
        <w:t xml:space="preserve"> Thus</w:t>
      </w:r>
      <w:r w:rsidR="003778AC">
        <w:t>,</w:t>
      </w:r>
      <w:r w:rsidR="00E92C51" w:rsidRPr="00F25254">
        <w:t xml:space="preserve"> we are confident about the utility of these type of data based on the voluminous research on this population, standardized measures, prior OMB approved studies using these types of time-based retrieval </w:t>
      </w:r>
      <w:r w:rsidR="003778AC">
        <w:t xml:space="preserve">(and </w:t>
      </w:r>
      <w:proofErr w:type="spellStart"/>
      <w:r w:rsidR="003778AC">
        <w:t>Likert</w:t>
      </w:r>
      <w:proofErr w:type="spellEnd"/>
      <w:r w:rsidR="003778AC">
        <w:t xml:space="preserve"> matrix) </w:t>
      </w:r>
      <w:r w:rsidR="00E92C51" w:rsidRPr="00F25254">
        <w:t xml:space="preserve">questions, and the findings from our pilot study of the proposed GBHI client survey described previously. </w:t>
      </w:r>
    </w:p>
    <w:p w:rsidR="00DD6735" w:rsidRPr="00F25254" w:rsidRDefault="00DD6735" w:rsidP="00DD6735">
      <w:pPr>
        <w:autoSpaceDE w:val="0"/>
        <w:autoSpaceDN w:val="0"/>
        <w:adjustRightInd w:val="0"/>
        <w:spacing w:after="0" w:line="240" w:lineRule="auto"/>
      </w:pPr>
    </w:p>
    <w:p w:rsidR="009E1C88" w:rsidRPr="003778AC" w:rsidRDefault="009E1C88" w:rsidP="00DD6735">
      <w:pPr>
        <w:pStyle w:val="NoSpacing"/>
        <w:jc w:val="both"/>
        <w:rPr>
          <w:b/>
          <w:bCs/>
        </w:rPr>
      </w:pPr>
      <w:r w:rsidRPr="003778AC">
        <w:rPr>
          <w:b/>
          <w:bCs/>
        </w:rPr>
        <w:t xml:space="preserve">H4: </w:t>
      </w:r>
      <w:r w:rsidR="00924B41" w:rsidRPr="003778AC">
        <w:rPr>
          <w:b/>
          <w:bCs/>
        </w:rPr>
        <w:t xml:space="preserve">This question asks </w:t>
      </w:r>
      <w:r w:rsidRPr="003778AC">
        <w:rPr>
          <w:b/>
          <w:bCs/>
        </w:rPr>
        <w:t xml:space="preserve">a client </w:t>
      </w:r>
      <w:r w:rsidR="00924B41" w:rsidRPr="003778AC">
        <w:rPr>
          <w:b/>
          <w:bCs/>
        </w:rPr>
        <w:t>h</w:t>
      </w:r>
      <w:r w:rsidRPr="003778AC">
        <w:rPr>
          <w:b/>
          <w:bCs/>
        </w:rPr>
        <w:t xml:space="preserve">ow long they were homeless three months ago and six months ago. So does that indicate that if a client says </w:t>
      </w:r>
      <w:r w:rsidR="00924B41" w:rsidRPr="003778AC">
        <w:rPr>
          <w:b/>
          <w:bCs/>
        </w:rPr>
        <w:t xml:space="preserve">they were </w:t>
      </w:r>
      <w:r w:rsidRPr="003778AC">
        <w:rPr>
          <w:b/>
          <w:bCs/>
        </w:rPr>
        <w:t>homeless twice in three months and five times in six months, that they were homeless a total of five times</w:t>
      </w:r>
      <w:r w:rsidR="00924B41" w:rsidRPr="003778AC">
        <w:rPr>
          <w:b/>
          <w:bCs/>
        </w:rPr>
        <w:t>, twice between month 1-3 and three time between month 4-6</w:t>
      </w:r>
      <w:r w:rsidRPr="003778AC">
        <w:rPr>
          <w:b/>
          <w:bCs/>
        </w:rPr>
        <w:t xml:space="preserve">? Also, it would make more </w:t>
      </w:r>
      <w:r w:rsidR="00924B41" w:rsidRPr="003778AC">
        <w:rPr>
          <w:b/>
          <w:bCs/>
        </w:rPr>
        <w:t xml:space="preserve">cognitive </w:t>
      </w:r>
      <w:r w:rsidRPr="003778AC">
        <w:rPr>
          <w:b/>
          <w:bCs/>
        </w:rPr>
        <w:t>sense to ask them about incidents that occur over six months and then ask of those incidents how many occurred in the last three months i</w:t>
      </w:r>
      <w:r w:rsidR="00924B41" w:rsidRPr="003778AC">
        <w:rPr>
          <w:b/>
          <w:bCs/>
        </w:rPr>
        <w:t xml:space="preserve">nstead of the current order. </w:t>
      </w:r>
    </w:p>
    <w:p w:rsidR="00946945" w:rsidRPr="00F25254" w:rsidRDefault="00946945" w:rsidP="00E67D0A">
      <w:pPr>
        <w:pStyle w:val="NoSpacing"/>
        <w:jc w:val="both"/>
      </w:pPr>
    </w:p>
    <w:p w:rsidR="00946945" w:rsidRPr="003838D3" w:rsidRDefault="00946945" w:rsidP="00C732A8">
      <w:pPr>
        <w:pStyle w:val="NoSpacing"/>
        <w:jc w:val="both"/>
      </w:pPr>
      <w:r w:rsidRPr="003838D3">
        <w:rPr>
          <w:i/>
          <w:iCs/>
          <w:u w:val="single"/>
        </w:rPr>
        <w:t>Response</w:t>
      </w:r>
      <w:r w:rsidRPr="00F25254">
        <w:t xml:space="preserve">: </w:t>
      </w:r>
      <w:r w:rsidRPr="003838D3">
        <w:t>Yes</w:t>
      </w:r>
      <w:r w:rsidR="00DD6735" w:rsidRPr="003838D3">
        <w:t>,</w:t>
      </w:r>
      <w:r w:rsidRPr="003838D3">
        <w:t xml:space="preserve"> that is correct.</w:t>
      </w:r>
      <w:r w:rsidRPr="00F25254">
        <w:t xml:space="preserve"> The question is three years (not three months) and </w:t>
      </w:r>
      <w:r w:rsidR="00DD6735" w:rsidRPr="00F25254">
        <w:t>precedes</w:t>
      </w:r>
      <w:r w:rsidRPr="00F25254">
        <w:t xml:space="preserve"> the 6-month question as suggested by reviewers. The question</w:t>
      </w:r>
      <w:r w:rsidR="006E3170" w:rsidRPr="00F25254">
        <w:t>s</w:t>
      </w:r>
      <w:r w:rsidR="00D127A6">
        <w:t>,</w:t>
      </w:r>
      <w:r w:rsidR="006E3170" w:rsidRPr="00F25254">
        <w:t xml:space="preserve"> </w:t>
      </w:r>
      <w:r w:rsidR="00DD6735" w:rsidRPr="00F25254">
        <w:t xml:space="preserve">as </w:t>
      </w:r>
      <w:r w:rsidR="006E3170" w:rsidRPr="00F25254">
        <w:t xml:space="preserve">noted </w:t>
      </w:r>
      <w:r w:rsidR="00D127A6" w:rsidRPr="00C732A8">
        <w:t>in</w:t>
      </w:r>
      <w:r w:rsidR="00D127A6">
        <w:t xml:space="preserve"> section A.2, page 5</w:t>
      </w:r>
      <w:r w:rsidR="006E3170" w:rsidRPr="00F25254">
        <w:t xml:space="preserve"> of the Supporting Statement</w:t>
      </w:r>
      <w:r w:rsidR="00D127A6">
        <w:t>,</w:t>
      </w:r>
      <w:r w:rsidR="006E3170" w:rsidRPr="00F25254">
        <w:t xml:space="preserve"> are from standardized measures incorporated into </w:t>
      </w:r>
      <w:r w:rsidR="00DD6735" w:rsidRPr="00F25254">
        <w:t xml:space="preserve">the </w:t>
      </w:r>
      <w:r w:rsidR="006E3170" w:rsidRPr="00F25254">
        <w:t>OMB</w:t>
      </w:r>
      <w:r w:rsidR="00DD6735" w:rsidRPr="00F25254">
        <w:t>-</w:t>
      </w:r>
      <w:r w:rsidR="006E3170" w:rsidRPr="00F25254">
        <w:t xml:space="preserve">approved cross-site evaluation homeless studies Homeless Families (OMB contract number </w:t>
      </w:r>
      <w:r w:rsidR="00D127A6" w:rsidRPr="00F25254">
        <w:rPr>
          <w:rFonts w:cs="Arial"/>
        </w:rPr>
        <w:t>0</w:t>
      </w:r>
      <w:r w:rsidR="00D127A6">
        <w:rPr>
          <w:rFonts w:cs="Arial"/>
        </w:rPr>
        <w:t>9</w:t>
      </w:r>
      <w:r w:rsidR="00D127A6" w:rsidRPr="00F25254">
        <w:rPr>
          <w:rFonts w:cs="Arial"/>
        </w:rPr>
        <w:t>30</w:t>
      </w:r>
      <w:r w:rsidR="006E3170" w:rsidRPr="00F25254">
        <w:rPr>
          <w:rFonts w:cs="Arial"/>
        </w:rPr>
        <w:t xml:space="preserve">-0223) </w:t>
      </w:r>
      <w:r w:rsidR="006E3170" w:rsidRPr="00F25254">
        <w:t xml:space="preserve">and Life </w:t>
      </w:r>
      <w:proofErr w:type="gramStart"/>
      <w:r w:rsidR="006E3170" w:rsidRPr="00F25254">
        <w:t>After</w:t>
      </w:r>
      <w:proofErr w:type="gramEnd"/>
      <w:r w:rsidR="006E3170" w:rsidRPr="00F25254">
        <w:t xml:space="preserve"> Transition</w:t>
      </w:r>
      <w:r w:rsidR="00C732A8">
        <w:t xml:space="preserve">al </w:t>
      </w:r>
      <w:r w:rsidR="00C732A8">
        <w:lastRenderedPageBreak/>
        <w:t>Housing</w:t>
      </w:r>
      <w:r w:rsidR="006E3170" w:rsidRPr="00F25254">
        <w:t xml:space="preserve"> (OMB contract number </w:t>
      </w:r>
      <w:r w:rsidR="006E3170" w:rsidRPr="00F25254">
        <w:rPr>
          <w:rFonts w:cs="Arial"/>
        </w:rPr>
        <w:t>2528-0239)</w:t>
      </w:r>
      <w:r w:rsidR="00DD6735" w:rsidRPr="00F25254">
        <w:rPr>
          <w:rFonts w:cs="Arial"/>
        </w:rPr>
        <w:t>. These questions reflect our</w:t>
      </w:r>
      <w:r w:rsidRPr="00F25254">
        <w:t xml:space="preserve"> intent to make use of standardized questions and measures previously approved by OMB, and </w:t>
      </w:r>
      <w:r w:rsidR="00DD6735" w:rsidRPr="00F25254">
        <w:t xml:space="preserve">from which </w:t>
      </w:r>
      <w:r w:rsidRPr="00F25254">
        <w:t xml:space="preserve">data </w:t>
      </w:r>
      <w:r w:rsidR="00DD6735" w:rsidRPr="00F25254">
        <w:t xml:space="preserve">have </w:t>
      </w:r>
      <w:r w:rsidRPr="00F25254">
        <w:t>been published in peer review journal articles (</w:t>
      </w:r>
      <w:r w:rsidR="003838D3">
        <w:t xml:space="preserve">e.g., </w:t>
      </w:r>
      <w:r w:rsidR="003838D3" w:rsidRPr="003838D3">
        <w:rPr>
          <w:rFonts w:cs="Arial"/>
        </w:rPr>
        <w:t xml:space="preserve">Broner et al., 2009; </w:t>
      </w:r>
      <w:r w:rsidR="006E3170" w:rsidRPr="003838D3">
        <w:t>Burt,</w:t>
      </w:r>
      <w:r w:rsidR="006E3170" w:rsidRPr="00F25254">
        <w:t xml:space="preserve"> 2009; </w:t>
      </w:r>
      <w:r w:rsidR="00C732A8" w:rsidRPr="00C732A8">
        <w:t>Burt, 2010</w:t>
      </w:r>
      <w:r w:rsidR="003838D3" w:rsidRPr="003838D3">
        <w:rPr>
          <w:rFonts w:cs="Arial"/>
        </w:rPr>
        <w:t xml:space="preserve"> </w:t>
      </w:r>
      <w:proofErr w:type="spellStart"/>
      <w:r w:rsidR="003838D3" w:rsidRPr="003838D3">
        <w:rPr>
          <w:rFonts w:cs="Arial"/>
        </w:rPr>
        <w:t>Rog</w:t>
      </w:r>
      <w:proofErr w:type="spellEnd"/>
      <w:r w:rsidR="003838D3" w:rsidRPr="003838D3">
        <w:rPr>
          <w:rFonts w:cs="Arial"/>
        </w:rPr>
        <w:t xml:space="preserve"> et al., 1995; </w:t>
      </w:r>
      <w:proofErr w:type="spellStart"/>
      <w:r w:rsidR="003838D3" w:rsidRPr="003838D3">
        <w:rPr>
          <w:rFonts w:cs="Arial"/>
        </w:rPr>
        <w:t>Rog</w:t>
      </w:r>
      <w:proofErr w:type="spellEnd"/>
      <w:r w:rsidR="003838D3" w:rsidRPr="003838D3">
        <w:rPr>
          <w:rFonts w:cs="Arial"/>
        </w:rPr>
        <w:t xml:space="preserve"> &amp; Buckner, 2007; </w:t>
      </w:r>
      <w:proofErr w:type="spellStart"/>
      <w:r w:rsidR="003838D3" w:rsidRPr="003838D3">
        <w:rPr>
          <w:rFonts w:cs="Arial"/>
        </w:rPr>
        <w:t>Rog</w:t>
      </w:r>
      <w:proofErr w:type="spellEnd"/>
      <w:r w:rsidR="003838D3" w:rsidRPr="003838D3">
        <w:rPr>
          <w:rFonts w:cs="Arial"/>
        </w:rPr>
        <w:t xml:space="preserve"> et al.,  1995</w:t>
      </w:r>
      <w:r w:rsidR="003838D3">
        <w:rPr>
          <w:rFonts w:cs="Arial"/>
        </w:rPr>
        <w:t>)</w:t>
      </w:r>
      <w:r w:rsidR="003838D3" w:rsidRPr="003838D3">
        <w:rPr>
          <w:rFonts w:cs="Arial"/>
        </w:rPr>
        <w:t>.</w:t>
      </w:r>
      <w:r w:rsidR="00C732A8" w:rsidRPr="003838D3">
        <w:t xml:space="preserve">. </w:t>
      </w:r>
    </w:p>
    <w:p w:rsidR="009E1C88" w:rsidRPr="00F25254" w:rsidRDefault="009E1C88" w:rsidP="00E67D0A">
      <w:pPr>
        <w:pStyle w:val="NoSpacing"/>
        <w:jc w:val="both"/>
      </w:pPr>
    </w:p>
    <w:p w:rsidR="00AB3C07" w:rsidRPr="003838D3" w:rsidRDefault="00AB3C07" w:rsidP="00E67D0A">
      <w:pPr>
        <w:pStyle w:val="NoSpacing"/>
        <w:jc w:val="both"/>
        <w:rPr>
          <w:b/>
          <w:bCs/>
        </w:rPr>
      </w:pPr>
      <w:r w:rsidRPr="003838D3">
        <w:rPr>
          <w:b/>
          <w:bCs/>
        </w:rPr>
        <w:t xml:space="preserve">H7: </w:t>
      </w:r>
      <w:proofErr w:type="spellStart"/>
      <w:r w:rsidRPr="003838D3">
        <w:rPr>
          <w:b/>
          <w:bCs/>
        </w:rPr>
        <w:t>Likert</w:t>
      </w:r>
      <w:proofErr w:type="spellEnd"/>
      <w:r w:rsidRPr="003838D3">
        <w:rPr>
          <w:b/>
          <w:bCs/>
        </w:rPr>
        <w:t xml:space="preserve"> scales are cognitively difficult to process especially in audile modes. We would suggest asking the question and </w:t>
      </w:r>
      <w:r w:rsidR="00544FBD" w:rsidRPr="003838D3">
        <w:rPr>
          <w:b/>
          <w:bCs/>
        </w:rPr>
        <w:t xml:space="preserve">then </w:t>
      </w:r>
      <w:r w:rsidRPr="003838D3">
        <w:rPr>
          <w:b/>
          <w:bCs/>
        </w:rPr>
        <w:t xml:space="preserve">asking the client if they are satisfied or dissatisfied with the statement first and then in the next question ask </w:t>
      </w:r>
      <w:r w:rsidR="00924B41" w:rsidRPr="003838D3">
        <w:rPr>
          <w:b/>
          <w:bCs/>
        </w:rPr>
        <w:t>if they were strong s</w:t>
      </w:r>
      <w:r w:rsidRPr="003838D3">
        <w:rPr>
          <w:b/>
          <w:bCs/>
        </w:rPr>
        <w:t xml:space="preserve">atisfied or dissatisfied with the statement. This kind of branching is often used for </w:t>
      </w:r>
      <w:proofErr w:type="spellStart"/>
      <w:r w:rsidRPr="003838D3">
        <w:rPr>
          <w:b/>
          <w:bCs/>
        </w:rPr>
        <w:t>Likert</w:t>
      </w:r>
      <w:proofErr w:type="spellEnd"/>
      <w:r w:rsidRPr="003838D3">
        <w:rPr>
          <w:b/>
          <w:bCs/>
        </w:rPr>
        <w:t xml:space="preserve"> scales in telephone interviews but could also be used in interviewer administered modes. </w:t>
      </w:r>
      <w:r w:rsidR="00135D89" w:rsidRPr="003838D3">
        <w:rPr>
          <w:b/>
          <w:bCs/>
        </w:rPr>
        <w:t>That said</w:t>
      </w:r>
      <w:proofErr w:type="gramStart"/>
      <w:r w:rsidR="00135D89" w:rsidRPr="003838D3">
        <w:rPr>
          <w:b/>
          <w:bCs/>
        </w:rPr>
        <w:t>,</w:t>
      </w:r>
      <w:proofErr w:type="gramEnd"/>
      <w:r w:rsidR="00135D89" w:rsidRPr="003838D3">
        <w:rPr>
          <w:b/>
          <w:bCs/>
        </w:rPr>
        <w:t xml:space="preserve"> this question may still be too cognitively difficult for this population. </w:t>
      </w:r>
      <w:r w:rsidRPr="003838D3">
        <w:rPr>
          <w:b/>
          <w:bCs/>
        </w:rPr>
        <w:t xml:space="preserve"> </w:t>
      </w:r>
    </w:p>
    <w:p w:rsidR="00946945" w:rsidRPr="00F25254" w:rsidRDefault="00946945" w:rsidP="00E67D0A">
      <w:pPr>
        <w:pStyle w:val="NoSpacing"/>
        <w:jc w:val="both"/>
      </w:pPr>
    </w:p>
    <w:p w:rsidR="003D2E3A" w:rsidRDefault="00946945" w:rsidP="003D2E3A">
      <w:pPr>
        <w:pStyle w:val="NoSpacing"/>
        <w:jc w:val="both"/>
      </w:pPr>
      <w:r w:rsidRPr="00F25254">
        <w:rPr>
          <w:i/>
          <w:iCs/>
          <w:u w:val="single"/>
        </w:rPr>
        <w:t>Response</w:t>
      </w:r>
      <w:r w:rsidRPr="00F25254">
        <w:t xml:space="preserve">: </w:t>
      </w:r>
      <w:r w:rsidR="009B5065" w:rsidRPr="00F25254">
        <w:t xml:space="preserve">As noted in our response above, we are proposing to use standardized items that have been successfully used with similar populations. </w:t>
      </w:r>
      <w:r w:rsidRPr="00F25254">
        <w:t xml:space="preserve">We </w:t>
      </w:r>
      <w:r w:rsidR="009B5065" w:rsidRPr="00F25254">
        <w:t xml:space="preserve">planned to use Show Cards and </w:t>
      </w:r>
      <w:r w:rsidRPr="00F25254">
        <w:t xml:space="preserve">have added instructions to </w:t>
      </w:r>
      <w:r w:rsidR="003838D3">
        <w:t>the</w:t>
      </w:r>
      <w:r w:rsidR="003838D3" w:rsidRPr="00F25254">
        <w:t xml:space="preserve"> </w:t>
      </w:r>
      <w:r w:rsidR="003838D3">
        <w:t xml:space="preserve">GBHI client </w:t>
      </w:r>
      <w:r w:rsidRPr="00F25254">
        <w:t>survey</w:t>
      </w:r>
      <w:r w:rsidR="009B5065" w:rsidRPr="00F25254">
        <w:t xml:space="preserve"> </w:t>
      </w:r>
      <w:r w:rsidR="003838D3">
        <w:t xml:space="preserve">to use Show Cards for each </w:t>
      </w:r>
      <w:proofErr w:type="spellStart"/>
      <w:r w:rsidR="003838D3">
        <w:t>Likert</w:t>
      </w:r>
      <w:proofErr w:type="spellEnd"/>
      <w:r w:rsidR="003838D3">
        <w:t xml:space="preserve"> scale matrix question. </w:t>
      </w:r>
      <w:r w:rsidR="00160619">
        <w:t>W</w:t>
      </w:r>
      <w:r w:rsidR="00160619" w:rsidRPr="00F25254">
        <w:t xml:space="preserve">hile visual aids alone are less reliable and more burdensome for respondents, they can be useful to add in response to </w:t>
      </w:r>
      <w:proofErr w:type="spellStart"/>
      <w:r w:rsidR="00160619" w:rsidRPr="00F25254">
        <w:t>Likert</w:t>
      </w:r>
      <w:proofErr w:type="spellEnd"/>
      <w:r w:rsidR="00160619" w:rsidRPr="00F25254">
        <w:t xml:space="preserve"> matrix questions if these questions are verbally administered (e.g., Hansson &amp; </w:t>
      </w:r>
      <w:proofErr w:type="spellStart"/>
      <w:r w:rsidR="00160619" w:rsidRPr="00F25254">
        <w:t>Arnetz</w:t>
      </w:r>
      <w:proofErr w:type="spellEnd"/>
      <w:r w:rsidR="00160619" w:rsidRPr="00F25254">
        <w:t xml:space="preserve">, 2005).   </w:t>
      </w:r>
      <w:r w:rsidR="009B5065" w:rsidRPr="00F25254">
        <w:t xml:space="preserve"> </w:t>
      </w:r>
      <w:r w:rsidRPr="00F25254">
        <w:t xml:space="preserve"> </w:t>
      </w:r>
      <w:r w:rsidR="00D20840" w:rsidRPr="00F25254">
        <w:t xml:space="preserve">With regard to </w:t>
      </w:r>
      <w:r w:rsidR="00D20840" w:rsidRPr="003D2E3A">
        <w:rPr>
          <w:b/>
          <w:bCs/>
          <w:u w:val="single"/>
        </w:rPr>
        <w:t>H7</w:t>
      </w:r>
      <w:r w:rsidR="009A2F70" w:rsidRPr="00F25254">
        <w:t xml:space="preserve"> (</w:t>
      </w:r>
      <w:r w:rsidR="009A2F70" w:rsidRPr="00160619">
        <w:rPr>
          <w:i/>
          <w:iCs/>
        </w:rPr>
        <w:t xml:space="preserve">H10 </w:t>
      </w:r>
      <w:r w:rsidR="009A2F70" w:rsidRPr="00F25254">
        <w:t>on baseline)</w:t>
      </w:r>
      <w:r w:rsidR="00D20840" w:rsidRPr="00F25254">
        <w:t xml:space="preserve">, specifically, this is a standardized measure that was also included in the following OMB approved studies with client-level data collection, with data collected depending on site by either Grantee staff, GPRA interviewers or local evaluation staff: </w:t>
      </w:r>
      <w:r w:rsidR="00C732A8">
        <w:t>National Outcomes Performance Assessment</w:t>
      </w:r>
      <w:r w:rsidR="00C732A8" w:rsidRPr="00F25254">
        <w:t xml:space="preserve"> </w:t>
      </w:r>
      <w:r w:rsidR="00C732A8">
        <w:t xml:space="preserve">of the Collaborative Initiative to Help End Chronic Homelessness (OMB control number 0930-0247) and Life After Transitional Housing (OMB control number </w:t>
      </w:r>
      <w:r w:rsidR="00C732A8" w:rsidRPr="00F25254">
        <w:rPr>
          <w:rFonts w:cs="Arial"/>
        </w:rPr>
        <w:t>2528-0239</w:t>
      </w:r>
      <w:r w:rsidR="00C732A8">
        <w:rPr>
          <w:rFonts w:cs="Arial"/>
        </w:rPr>
        <w:t>)</w:t>
      </w:r>
      <w:r w:rsidR="00D20840" w:rsidRPr="00F25254">
        <w:t xml:space="preserve">. </w:t>
      </w:r>
      <w:r w:rsidR="009A2F70" w:rsidRPr="003D2E3A">
        <w:rPr>
          <w:b/>
          <w:bCs/>
          <w:u w:val="single"/>
        </w:rPr>
        <w:t>H8</w:t>
      </w:r>
      <w:r w:rsidR="00142BAF" w:rsidRPr="003D2E3A">
        <w:rPr>
          <w:b/>
          <w:bCs/>
          <w:u w:val="single"/>
        </w:rPr>
        <w:t xml:space="preserve"> </w:t>
      </w:r>
      <w:r w:rsidR="00142BAF" w:rsidRPr="003D2E3A">
        <w:t>(H11 on 6-month)</w:t>
      </w:r>
      <w:r w:rsidR="009A2F70" w:rsidRPr="003D2E3A">
        <w:t xml:space="preserve"> about coercion and housing was developed for</w:t>
      </w:r>
      <w:r w:rsidR="003D2E3A" w:rsidRPr="003D2E3A">
        <w:t xml:space="preserve"> the chronically homeless, chronically homeless and recently housed youth, adult and family populations with serious mental illness and co-occurring substance use (Robbins et al., 2009)</w:t>
      </w:r>
      <w:r w:rsidR="009A2F70" w:rsidRPr="003D2E3A">
        <w:t>.</w:t>
      </w:r>
      <w:r w:rsidR="009A2F70" w:rsidRPr="00F25254">
        <w:t xml:space="preserve"> </w:t>
      </w:r>
      <w:r w:rsidR="003D2E3A" w:rsidRPr="003D2E3A">
        <w:rPr>
          <w:b/>
          <w:bCs/>
          <w:u w:val="single"/>
        </w:rPr>
        <w:t>RTC 1-2</w:t>
      </w:r>
      <w:r w:rsidR="003D2E3A">
        <w:t xml:space="preserve">, described just above, is from a standardized measure assessing stage of change. The measure was standardized and tested on alcohol, drug and co-occurring mentally ill populations (e.g., </w:t>
      </w:r>
      <w:proofErr w:type="spellStart"/>
      <w:r w:rsidR="003D2E3A">
        <w:t>Rollnick</w:t>
      </w:r>
      <w:proofErr w:type="spellEnd"/>
      <w:r w:rsidR="003D2E3A">
        <w:t xml:space="preserve"> et al., 1992). </w:t>
      </w:r>
      <w:r w:rsidR="003D2E3A" w:rsidRPr="003D2E3A">
        <w:rPr>
          <w:b/>
          <w:bCs/>
          <w:u w:val="single"/>
        </w:rPr>
        <w:t>PCL1</w:t>
      </w:r>
      <w:r w:rsidR="003D2E3A">
        <w:t xml:space="preserve">, assessing trauma symptoms is a standardized widely used measure with civilian and veteran populations and has been OMB approved for </w:t>
      </w:r>
      <w:r w:rsidR="003D2E3A" w:rsidRPr="00F25254">
        <w:t xml:space="preserve">SAMHSA </w:t>
      </w:r>
      <w:r w:rsidR="003D2E3A">
        <w:t>Targeted Capacity Expansion Grants for Jail Diversion Programs</w:t>
      </w:r>
      <w:r w:rsidR="003D2E3A" w:rsidRPr="00F25254">
        <w:t>, OMB control number 0930-0277</w:t>
      </w:r>
      <w:r w:rsidR="003D2E3A">
        <w:t xml:space="preserve">. </w:t>
      </w:r>
    </w:p>
    <w:p w:rsidR="003E6907" w:rsidRDefault="003D2E3A" w:rsidP="003D2E3A">
      <w:pPr>
        <w:pStyle w:val="NoSpacing"/>
        <w:ind w:firstLine="720"/>
        <w:jc w:val="both"/>
      </w:pPr>
      <w:r>
        <w:t xml:space="preserve">The </w:t>
      </w:r>
      <w:proofErr w:type="spellStart"/>
      <w:r w:rsidRPr="00F25254">
        <w:t>Likert</w:t>
      </w:r>
      <w:proofErr w:type="spellEnd"/>
      <w:r w:rsidRPr="00F25254">
        <w:t xml:space="preserve"> scale</w:t>
      </w:r>
      <w:r>
        <w:t xml:space="preserve"> questions</w:t>
      </w:r>
      <w:r w:rsidRPr="00F25254">
        <w:t>, included</w:t>
      </w:r>
      <w:r>
        <w:t xml:space="preserve"> in Part II</w:t>
      </w:r>
      <w:r w:rsidRPr="00F25254">
        <w:t xml:space="preserve">, client satisfaction, </w:t>
      </w:r>
      <w:r>
        <w:t>and previously discussed are</w:t>
      </w:r>
      <w:r w:rsidRPr="00F25254">
        <w:t xml:space="preserve"> from the SAMHSA CMHS NOMs Consumer Outcome Measures for Discretionary Programs (OMB control number 0930-0285)</w:t>
      </w:r>
      <w:r>
        <w:t xml:space="preserve">, also used in </w:t>
      </w:r>
      <w:r w:rsidRPr="00F25254">
        <w:t xml:space="preserve">SAMHSA </w:t>
      </w:r>
      <w:r>
        <w:t>Targeted Capacity Expansion Grants for Jail Diversion Programs</w:t>
      </w:r>
      <w:r w:rsidRPr="00F25254">
        <w:t>, OMB control number 0930-0277, and originally from a standardized measure developed by a consumer led development committee</w:t>
      </w:r>
      <w:r>
        <w:t xml:space="preserve">. This measure is self or interviewer administered with effectiveness for other method with </w:t>
      </w:r>
      <w:r w:rsidRPr="00F25254">
        <w:t>adults</w:t>
      </w:r>
      <w:r>
        <w:t xml:space="preserve">, </w:t>
      </w:r>
      <w:r w:rsidRPr="00F25254">
        <w:t>youth</w:t>
      </w:r>
      <w:r>
        <w:t xml:space="preserve">, criminal justice </w:t>
      </w:r>
      <w:r w:rsidRPr="00F25254">
        <w:t>involved</w:t>
      </w:r>
      <w:r>
        <w:t xml:space="preserve">, </w:t>
      </w:r>
      <w:r w:rsidRPr="00F25254">
        <w:t>elderly, veterans, homeless, families, and so forth (</w:t>
      </w:r>
      <w:proofErr w:type="spellStart"/>
      <w:r w:rsidRPr="00F25254">
        <w:t>Ganju</w:t>
      </w:r>
      <w:proofErr w:type="spellEnd"/>
      <w:r w:rsidRPr="00F25254">
        <w:t>, 1999</w:t>
      </w:r>
      <w:r w:rsidRPr="003E6907">
        <w:t xml:space="preserve">). </w:t>
      </w:r>
      <w:r>
        <w:t>The use of self-</w:t>
      </w:r>
      <w:proofErr w:type="spellStart"/>
      <w:r>
        <w:t>administerd</w:t>
      </w:r>
      <w:proofErr w:type="spellEnd"/>
      <w:r>
        <w:t xml:space="preserve"> completed surveys with </w:t>
      </w:r>
      <w:proofErr w:type="spellStart"/>
      <w:r>
        <w:t>Likert</w:t>
      </w:r>
      <w:proofErr w:type="spellEnd"/>
      <w:r>
        <w:t xml:space="preserve"> type </w:t>
      </w:r>
      <w:proofErr w:type="spellStart"/>
      <w:r>
        <w:t>matriz</w:t>
      </w:r>
      <w:proofErr w:type="spellEnd"/>
      <w:r>
        <w:t xml:space="preserve"> questions is also common and previously approved by OMB, for instance for Access to Recovery, OMB control number </w:t>
      </w:r>
      <w:r w:rsidRPr="00F25254">
        <w:t>0930-0299</w:t>
      </w:r>
      <w:r>
        <w:t>.</w:t>
      </w:r>
    </w:p>
    <w:p w:rsidR="003E6907" w:rsidRDefault="004D4B73" w:rsidP="00160619">
      <w:pPr>
        <w:autoSpaceDE w:val="0"/>
        <w:autoSpaceDN w:val="0"/>
        <w:adjustRightInd w:val="0"/>
        <w:spacing w:after="0" w:line="240" w:lineRule="auto"/>
      </w:pPr>
      <w:r w:rsidRPr="00F25254">
        <w:t>Of note, standardized measures for this population</w:t>
      </w:r>
      <w:r w:rsidR="009A2F70" w:rsidRPr="00F25254">
        <w:t>, along with such vulnerable populations as children, elderly, pregnant women, criminal justice offenders, veterans</w:t>
      </w:r>
      <w:r w:rsidR="003838D3">
        <w:t xml:space="preserve"> </w:t>
      </w:r>
      <w:r w:rsidRPr="00F25254">
        <w:t>are almost exclusively developed</w:t>
      </w:r>
      <w:r w:rsidR="009A2F70" w:rsidRPr="00F25254">
        <w:t xml:space="preserve"> with </w:t>
      </w:r>
      <w:proofErr w:type="spellStart"/>
      <w:r w:rsidR="009A2F70" w:rsidRPr="00F25254">
        <w:t>Likert</w:t>
      </w:r>
      <w:proofErr w:type="spellEnd"/>
      <w:r w:rsidR="009A2F70" w:rsidRPr="00F25254">
        <w:t xml:space="preserve"> scales and provide more flexibility to the respondent and for analytic methods</w:t>
      </w:r>
      <w:r w:rsidR="00160619">
        <w:t xml:space="preserve">, as noted in a response above (for example, </w:t>
      </w:r>
      <w:r w:rsidR="00160619" w:rsidRPr="00F25254">
        <w:t xml:space="preserve">Bernstein et al., 1994; </w:t>
      </w:r>
      <w:proofErr w:type="spellStart"/>
      <w:r w:rsidR="00160619" w:rsidRPr="00F25254">
        <w:t>Bliese</w:t>
      </w:r>
      <w:proofErr w:type="spellEnd"/>
      <w:r w:rsidR="00160619" w:rsidRPr="00F25254">
        <w:t xml:space="preserve"> et al., 2008</w:t>
      </w:r>
      <w:r w:rsidR="00160619">
        <w:t xml:space="preserve">; </w:t>
      </w:r>
      <w:r w:rsidR="00160619" w:rsidRPr="00F25254">
        <w:t xml:space="preserve">Broner et al., 2002; Conrad et al., 2001; Davis et al., 2009; </w:t>
      </w:r>
      <w:proofErr w:type="spellStart"/>
      <w:r w:rsidR="00160619" w:rsidRPr="00F25254">
        <w:t>Derogatis</w:t>
      </w:r>
      <w:proofErr w:type="spellEnd"/>
      <w:r w:rsidR="00160619" w:rsidRPr="00F25254">
        <w:t xml:space="preserve"> &amp; </w:t>
      </w:r>
      <w:proofErr w:type="spellStart"/>
      <w:r w:rsidR="00160619" w:rsidRPr="00F25254">
        <w:t>Melisaratos</w:t>
      </w:r>
      <w:proofErr w:type="spellEnd"/>
      <w:r w:rsidR="00160619" w:rsidRPr="00F25254">
        <w:t xml:space="preserve">, 1983; </w:t>
      </w:r>
      <w:proofErr w:type="spellStart"/>
      <w:r w:rsidR="00160619" w:rsidRPr="00F25254">
        <w:t>Eisen</w:t>
      </w:r>
      <w:proofErr w:type="spellEnd"/>
      <w:r w:rsidR="00160619" w:rsidRPr="00F25254">
        <w:t xml:space="preserve"> et al., 2000, 2004; Gardner et al., 1993; </w:t>
      </w:r>
      <w:proofErr w:type="spellStart"/>
      <w:r w:rsidR="00160619" w:rsidRPr="00F25254">
        <w:t>G</w:t>
      </w:r>
      <w:r w:rsidR="00160619">
        <w:t>u</w:t>
      </w:r>
      <w:r w:rsidR="00160619" w:rsidRPr="00F25254">
        <w:t>lcur</w:t>
      </w:r>
      <w:proofErr w:type="spellEnd"/>
      <w:r w:rsidR="00160619" w:rsidRPr="00F25254">
        <w:t xml:space="preserve"> et al., 2007; Greenwood, Schaefer-</w:t>
      </w:r>
      <w:proofErr w:type="spellStart"/>
      <w:r w:rsidR="00160619" w:rsidRPr="00F25254">
        <w:t>McDanile</w:t>
      </w:r>
      <w:proofErr w:type="spellEnd"/>
      <w:r w:rsidR="00160619" w:rsidRPr="00F25254">
        <w:t xml:space="preserve">, </w:t>
      </w:r>
      <w:proofErr w:type="spellStart"/>
      <w:r w:rsidR="00160619" w:rsidRPr="00F25254">
        <w:t>Winkel</w:t>
      </w:r>
      <w:proofErr w:type="spellEnd"/>
      <w:r w:rsidR="00160619" w:rsidRPr="00F25254">
        <w:t>, &amp; Tsemberis, 2005; Kean</w:t>
      </w:r>
      <w:r w:rsidR="00160619">
        <w:t>e</w:t>
      </w:r>
      <w:r w:rsidR="00160619" w:rsidRPr="00F25254">
        <w:t xml:space="preserve">, Newman, &amp; </w:t>
      </w:r>
      <w:proofErr w:type="spellStart"/>
      <w:r w:rsidR="00160619" w:rsidRPr="00F25254">
        <w:t>Orsillo</w:t>
      </w:r>
      <w:proofErr w:type="spellEnd"/>
      <w:r w:rsidR="00160619" w:rsidRPr="00F25254">
        <w:t>, 1997; Koenig et al.,1993; Lang &amp; Stein, 2005; Lehman, 19</w:t>
      </w:r>
      <w:r w:rsidR="00160619">
        <w:t>8</w:t>
      </w:r>
      <w:r w:rsidR="00160619" w:rsidRPr="00F25254">
        <w:t xml:space="preserve">8; Lehman et al., 1991; </w:t>
      </w:r>
      <w:proofErr w:type="spellStart"/>
      <w:r w:rsidR="00160619" w:rsidRPr="00F25254">
        <w:t>McEvoy</w:t>
      </w:r>
      <w:proofErr w:type="spellEnd"/>
      <w:r w:rsidR="00160619" w:rsidRPr="00F25254">
        <w:t xml:space="preserve"> et al., 1989; Overall &amp; Gorham, 1988; Peters &amp; Wexler, 2005; Peters et al., 2008; Robbins et al., 2009; </w:t>
      </w:r>
      <w:proofErr w:type="spellStart"/>
      <w:r w:rsidR="00160619" w:rsidRPr="00F25254">
        <w:t>Rollnick</w:t>
      </w:r>
      <w:proofErr w:type="spellEnd"/>
      <w:r w:rsidR="00160619" w:rsidRPr="00F25254">
        <w:t xml:space="preserve"> et al., 1992;</w:t>
      </w:r>
      <w:r w:rsidR="00160619">
        <w:t xml:space="preserve"> </w:t>
      </w:r>
      <w:r w:rsidR="00160619" w:rsidRPr="00F25254">
        <w:t xml:space="preserve">Ruggiero, Del Ben, </w:t>
      </w:r>
      <w:proofErr w:type="spellStart"/>
      <w:r w:rsidR="00160619" w:rsidRPr="00F25254">
        <w:t>Scotti</w:t>
      </w:r>
      <w:proofErr w:type="spellEnd"/>
      <w:r w:rsidR="00160619" w:rsidRPr="00F25254">
        <w:t xml:space="preserve">, &amp; </w:t>
      </w:r>
      <w:proofErr w:type="spellStart"/>
      <w:r w:rsidR="00160619" w:rsidRPr="00F25254">
        <w:t>Rabalais</w:t>
      </w:r>
      <w:proofErr w:type="spellEnd"/>
      <w:r w:rsidR="00160619" w:rsidRPr="00F25254">
        <w:t>, 2003</w:t>
      </w:r>
      <w:r w:rsidR="00160619">
        <w:t>;</w:t>
      </w:r>
      <w:r w:rsidR="00160619" w:rsidRPr="00F25254">
        <w:t xml:space="preserve"> </w:t>
      </w:r>
      <w:proofErr w:type="spellStart"/>
      <w:r w:rsidR="00160619" w:rsidRPr="00F25254">
        <w:t>Saltstone</w:t>
      </w:r>
      <w:proofErr w:type="spellEnd"/>
      <w:r w:rsidR="00160619" w:rsidRPr="00F25254">
        <w:t xml:space="preserve">, </w:t>
      </w:r>
      <w:proofErr w:type="spellStart"/>
      <w:r w:rsidR="00160619" w:rsidRPr="00F25254">
        <w:t>Halliwell</w:t>
      </w:r>
      <w:proofErr w:type="spellEnd"/>
      <w:r w:rsidR="00160619" w:rsidRPr="00F25254">
        <w:t xml:space="preserve">, &amp; </w:t>
      </w:r>
      <w:proofErr w:type="spellStart"/>
      <w:r w:rsidR="00160619" w:rsidRPr="00F25254">
        <w:t>Hayslip</w:t>
      </w:r>
      <w:proofErr w:type="spellEnd"/>
      <w:r w:rsidR="00160619" w:rsidRPr="00F25254">
        <w:t>, 1994;</w:t>
      </w:r>
      <w:r w:rsidR="00160619">
        <w:t xml:space="preserve"> </w:t>
      </w:r>
      <w:proofErr w:type="spellStart"/>
      <w:r w:rsidR="00160619" w:rsidRPr="00F25254">
        <w:t>Shern</w:t>
      </w:r>
      <w:proofErr w:type="spellEnd"/>
      <w:r w:rsidR="00160619" w:rsidRPr="00F25254">
        <w:t xml:space="preserve"> et </w:t>
      </w:r>
      <w:r w:rsidR="00160619" w:rsidRPr="00F25254">
        <w:lastRenderedPageBreak/>
        <w:t xml:space="preserve">al., 1994; Skinner, 1982; Spies et al., 2007; </w:t>
      </w:r>
      <w:proofErr w:type="spellStart"/>
      <w:r w:rsidR="00160619" w:rsidRPr="00F25254">
        <w:t>Srebnik</w:t>
      </w:r>
      <w:proofErr w:type="spellEnd"/>
      <w:r w:rsidR="00160619" w:rsidRPr="00F25254">
        <w:t xml:space="preserve">, Livingston, Gordon, &amp; King, 1995; </w:t>
      </w:r>
      <w:proofErr w:type="spellStart"/>
      <w:r w:rsidR="00160619" w:rsidRPr="00F25254">
        <w:t>Storgaard</w:t>
      </w:r>
      <w:proofErr w:type="spellEnd"/>
      <w:r w:rsidR="00160619" w:rsidRPr="00F25254">
        <w:t xml:space="preserve">, Nielson, &amp; </w:t>
      </w:r>
      <w:proofErr w:type="spellStart"/>
      <w:r w:rsidR="00160619" w:rsidRPr="00F25254">
        <w:t>Gluud</w:t>
      </w:r>
      <w:proofErr w:type="spellEnd"/>
      <w:r w:rsidR="00160619" w:rsidRPr="00F25254">
        <w:t xml:space="preserve">, 1994; Tsemberis, Moran, Shinn, </w:t>
      </w:r>
      <w:proofErr w:type="spellStart"/>
      <w:r w:rsidR="00160619" w:rsidRPr="00F25254">
        <w:t>Asmussen</w:t>
      </w:r>
      <w:proofErr w:type="spellEnd"/>
      <w:r w:rsidR="00160619" w:rsidRPr="00F25254">
        <w:t xml:space="preserve">, &amp; </w:t>
      </w:r>
      <w:proofErr w:type="spellStart"/>
      <w:r w:rsidR="00160619" w:rsidRPr="00F25254">
        <w:t>Shern</w:t>
      </w:r>
      <w:proofErr w:type="spellEnd"/>
      <w:r w:rsidR="00160619" w:rsidRPr="00F25254">
        <w:t xml:space="preserve">, 2003; Weathers, </w:t>
      </w:r>
      <w:proofErr w:type="spellStart"/>
      <w:r w:rsidR="00160619" w:rsidRPr="00F25254">
        <w:t>Litz</w:t>
      </w:r>
      <w:proofErr w:type="spellEnd"/>
      <w:r w:rsidR="00160619" w:rsidRPr="00F25254">
        <w:t xml:space="preserve">, </w:t>
      </w:r>
      <w:proofErr w:type="spellStart"/>
      <w:r w:rsidR="00160619" w:rsidRPr="00F25254">
        <w:t>Huska</w:t>
      </w:r>
      <w:proofErr w:type="spellEnd"/>
      <w:r w:rsidR="00160619" w:rsidRPr="00F25254">
        <w:t>, &amp; Keane, 1994</w:t>
      </w:r>
      <w:r w:rsidR="00160619">
        <w:t xml:space="preserve">; </w:t>
      </w:r>
      <w:proofErr w:type="spellStart"/>
      <w:r w:rsidR="00160619" w:rsidRPr="00F25254">
        <w:t>Zung</w:t>
      </w:r>
      <w:proofErr w:type="spellEnd"/>
      <w:r w:rsidR="00160619" w:rsidRPr="00F25254">
        <w:t>, 1979</w:t>
      </w:r>
      <w:r w:rsidR="00160619" w:rsidRPr="00F25254">
        <w:rPr>
          <w:rFonts w:cs="Arial"/>
        </w:rPr>
        <w:t>)</w:t>
      </w:r>
      <w:r w:rsidR="00160619">
        <w:rPr>
          <w:rFonts w:cs="Arial"/>
        </w:rPr>
        <w:t xml:space="preserve"> and are found to be </w:t>
      </w:r>
      <w:r w:rsidR="00160619" w:rsidRPr="00F25254">
        <w:t>easily understood by respondents (children, seriously mentally ill, elderly,</w:t>
      </w:r>
      <w:r w:rsidR="00160619">
        <w:t xml:space="preserve"> homeless) with little to no practice (</w:t>
      </w:r>
      <w:r w:rsidR="00160619" w:rsidRPr="00F25254">
        <w:t xml:space="preserve">e.g., Broner et al., 2002; </w:t>
      </w:r>
      <w:proofErr w:type="spellStart"/>
      <w:r w:rsidR="00160619" w:rsidRPr="00F25254">
        <w:t>Hasson</w:t>
      </w:r>
      <w:proofErr w:type="spellEnd"/>
      <w:r w:rsidR="00160619" w:rsidRPr="00F25254">
        <w:t xml:space="preserve"> &amp; </w:t>
      </w:r>
      <w:proofErr w:type="spellStart"/>
      <w:r w:rsidR="00160619" w:rsidRPr="00F25254">
        <w:t>Arnetz</w:t>
      </w:r>
      <w:proofErr w:type="spellEnd"/>
      <w:r w:rsidR="00160619" w:rsidRPr="00F25254">
        <w:t xml:space="preserve">, 2005; </w:t>
      </w:r>
      <w:r w:rsidR="00160619" w:rsidRPr="00F25254">
        <w:rPr>
          <w:rFonts w:eastAsia="Times New Roman"/>
        </w:rPr>
        <w:t xml:space="preserve">Patterson, O’Sullivan &amp; </w:t>
      </w:r>
      <w:proofErr w:type="spellStart"/>
      <w:r w:rsidR="00160619" w:rsidRPr="00F25254">
        <w:rPr>
          <w:rFonts w:eastAsia="Times New Roman"/>
        </w:rPr>
        <w:t>Spielberger</w:t>
      </w:r>
      <w:proofErr w:type="spellEnd"/>
      <w:r w:rsidR="00160619" w:rsidRPr="00F25254">
        <w:rPr>
          <w:rFonts w:eastAsia="Times New Roman"/>
        </w:rPr>
        <w:t xml:space="preserve">, 1980; </w:t>
      </w:r>
      <w:proofErr w:type="spellStart"/>
      <w:r w:rsidR="00160619" w:rsidRPr="00F25254">
        <w:t>Sheilds</w:t>
      </w:r>
      <w:proofErr w:type="spellEnd"/>
      <w:r w:rsidR="00160619" w:rsidRPr="00F25254">
        <w:t xml:space="preserve"> et al., 2003; </w:t>
      </w:r>
      <w:r w:rsidR="00160619">
        <w:t xml:space="preserve">Spies et al., 2007; </w:t>
      </w:r>
      <w:proofErr w:type="spellStart"/>
      <w:r w:rsidR="00160619" w:rsidRPr="00DB4AC7">
        <w:t>Tansella</w:t>
      </w:r>
      <w:proofErr w:type="spellEnd"/>
      <w:r w:rsidR="00160619" w:rsidRPr="00DB4AC7">
        <w:t xml:space="preserve"> &amp; </w:t>
      </w:r>
      <w:proofErr w:type="spellStart"/>
      <w:r w:rsidR="00160619" w:rsidRPr="00DB4AC7">
        <w:t>Thornicroft</w:t>
      </w:r>
      <w:proofErr w:type="spellEnd"/>
      <w:r w:rsidR="00160619" w:rsidRPr="00DB4AC7">
        <w:t>, 2001</w:t>
      </w:r>
      <w:r w:rsidR="00160619">
        <w:t xml:space="preserve">; </w:t>
      </w:r>
      <w:r w:rsidR="00160619" w:rsidRPr="00F25254">
        <w:t xml:space="preserve">Van </w:t>
      </w:r>
      <w:proofErr w:type="spellStart"/>
      <w:r w:rsidR="00160619" w:rsidRPr="00F25254">
        <w:t>Laerhoven</w:t>
      </w:r>
      <w:proofErr w:type="spellEnd"/>
      <w:r w:rsidR="00160619" w:rsidRPr="00F25254">
        <w:t xml:space="preserve">  et al., 2004; Vickers, 1999</w:t>
      </w:r>
      <w:r w:rsidR="00160619">
        <w:t>;</w:t>
      </w:r>
      <w:r w:rsidR="00160619" w:rsidRPr="00160619">
        <w:rPr>
          <w:rStyle w:val="addmd1"/>
          <w:rFonts w:cs="Arial"/>
          <w:sz w:val="22"/>
          <w:szCs w:val="22"/>
        </w:rPr>
        <w:t xml:space="preserve"> </w:t>
      </w:r>
      <w:r w:rsidR="00160619" w:rsidRPr="00385180">
        <w:rPr>
          <w:rStyle w:val="addmd1"/>
          <w:rFonts w:cs="Arial"/>
          <w:sz w:val="22"/>
          <w:szCs w:val="22"/>
        </w:rPr>
        <w:t>Weiner &amp; Craighead, 2010</w:t>
      </w:r>
      <w:r w:rsidR="00160619" w:rsidRPr="00F25254">
        <w:t>).</w:t>
      </w:r>
      <w:r w:rsidR="003E6907">
        <w:t xml:space="preserve"> </w:t>
      </w:r>
    </w:p>
    <w:p w:rsidR="00DF7191" w:rsidRDefault="003E6907" w:rsidP="00DF7191">
      <w:pPr>
        <w:pStyle w:val="NoSpacing"/>
        <w:ind w:firstLine="720"/>
        <w:jc w:val="both"/>
        <w:rPr>
          <w:rFonts w:cs="AdvPTimes"/>
        </w:rPr>
      </w:pPr>
      <w:r>
        <w:t>Further</w:t>
      </w:r>
      <w:r w:rsidR="00DF7191">
        <w:t xml:space="preserve"> as</w:t>
      </w:r>
      <w:r>
        <w:t xml:space="preserve"> previously noted, the evidence for time-based questions is also that these types of questions have been demonstrated to not be overly burdensome or leading to significant recall bias when implemented with </w:t>
      </w:r>
      <w:r w:rsidRPr="00F25254">
        <w:t xml:space="preserve">criminal justice, veterans, </w:t>
      </w:r>
      <w:r>
        <w:t xml:space="preserve">and adult, </w:t>
      </w:r>
      <w:r w:rsidRPr="00F25254">
        <w:t xml:space="preserve">family, and youth </w:t>
      </w:r>
      <w:r>
        <w:t xml:space="preserve">homeless </w:t>
      </w:r>
      <w:r w:rsidRPr="00F25254">
        <w:t>populations</w:t>
      </w:r>
      <w:r w:rsidR="00DF7191">
        <w:t>. For example see</w:t>
      </w:r>
      <w:r>
        <w:t xml:space="preserve">, </w:t>
      </w:r>
      <w:r w:rsidRPr="00F25254">
        <w:rPr>
          <w:iCs/>
        </w:rPr>
        <w:t xml:space="preserve">Banks, </w:t>
      </w:r>
      <w:proofErr w:type="spellStart"/>
      <w:r w:rsidRPr="00F25254">
        <w:rPr>
          <w:iCs/>
        </w:rPr>
        <w:t>McHugo</w:t>
      </w:r>
      <w:proofErr w:type="spellEnd"/>
      <w:r w:rsidRPr="00F25254">
        <w:rPr>
          <w:iCs/>
        </w:rPr>
        <w:t>, Williams, Drake, &amp; Shinn, 2002;</w:t>
      </w:r>
      <w:r w:rsidRPr="00F25254">
        <w:rPr>
          <w:sz w:val="24"/>
          <w:szCs w:val="24"/>
        </w:rPr>
        <w:t xml:space="preserve"> </w:t>
      </w:r>
      <w:r w:rsidRPr="00F25254">
        <w:t>Broner et al., 2004;</w:t>
      </w:r>
      <w:r w:rsidRPr="00F25254">
        <w:rPr>
          <w:rFonts w:cs="AdvPTimes"/>
        </w:rPr>
        <w:t xml:space="preserve"> Brown et al.</w:t>
      </w:r>
      <w:r>
        <w:rPr>
          <w:rFonts w:cs="AdvPTimes"/>
        </w:rPr>
        <w:t>,</w:t>
      </w:r>
      <w:r w:rsidRPr="00F25254">
        <w:rPr>
          <w:rFonts w:cs="AdvPTimes"/>
        </w:rPr>
        <w:t xml:space="preserve"> 199</w:t>
      </w:r>
      <w:r>
        <w:rPr>
          <w:rFonts w:cs="AdvPTimes"/>
        </w:rPr>
        <w:t>3</w:t>
      </w:r>
      <w:r w:rsidRPr="00F25254">
        <w:rPr>
          <w:rFonts w:cs="AdvPTimes"/>
        </w:rPr>
        <w:t xml:space="preserve">; Burt, 2009; </w:t>
      </w:r>
      <w:r w:rsidRPr="00F25254">
        <w:t>Carey</w:t>
      </w:r>
      <w:r>
        <w:t>,</w:t>
      </w:r>
      <w:r w:rsidRPr="00F25254">
        <w:t xml:space="preserve"> 1997;</w:t>
      </w:r>
      <w:r w:rsidRPr="00F25254">
        <w:rPr>
          <w:rFonts w:cs="AdvP4493B6"/>
        </w:rPr>
        <w:t xml:space="preserve"> Clark &amp; Rich, 2003; Dartmouth Psychiatric Research Center, 1997</w:t>
      </w:r>
      <w:r w:rsidRPr="00F25254">
        <w:t>;</w:t>
      </w:r>
      <w:r w:rsidRPr="00F25254">
        <w:rPr>
          <w:rFonts w:cs="AdvPTimes"/>
        </w:rPr>
        <w:t xml:space="preserve"> </w:t>
      </w:r>
      <w:proofErr w:type="spellStart"/>
      <w:r w:rsidRPr="00F25254">
        <w:rPr>
          <w:rFonts w:cs="AdvPTimes"/>
        </w:rPr>
        <w:t>Ehrman</w:t>
      </w:r>
      <w:proofErr w:type="spellEnd"/>
      <w:r w:rsidRPr="00F25254">
        <w:rPr>
          <w:rFonts w:cs="AdvPTimes"/>
        </w:rPr>
        <w:t xml:space="preserve"> &amp; Robbins</w:t>
      </w:r>
      <w:r>
        <w:rPr>
          <w:rFonts w:cs="AdvPTimes"/>
        </w:rPr>
        <w:t>,</w:t>
      </w:r>
      <w:r w:rsidRPr="00F25254">
        <w:rPr>
          <w:rFonts w:cs="AdvPTimes"/>
        </w:rPr>
        <w:t xml:space="preserve"> 1994;</w:t>
      </w:r>
      <w:r w:rsidRPr="00F25254">
        <w:t xml:space="preserve"> Fischer, Shinn, </w:t>
      </w:r>
      <w:proofErr w:type="spellStart"/>
      <w:r w:rsidRPr="00F25254">
        <w:t>Shrout</w:t>
      </w:r>
      <w:proofErr w:type="spellEnd"/>
      <w:r w:rsidRPr="00F25254">
        <w:t xml:space="preserve"> &amp; Tsemberis, 2008; Peters &amp; Wexler, 2005; Peters et al., 2008; </w:t>
      </w:r>
      <w:proofErr w:type="spellStart"/>
      <w:r w:rsidRPr="00F25254">
        <w:rPr>
          <w:iCs/>
        </w:rPr>
        <w:t>Milby</w:t>
      </w:r>
      <w:proofErr w:type="spellEnd"/>
      <w:r w:rsidRPr="00F25254">
        <w:rPr>
          <w:iCs/>
        </w:rPr>
        <w:t xml:space="preserve">, Wallace, Ward, Schumacher, &amp; Michael, 2005; North, </w:t>
      </w:r>
      <w:proofErr w:type="spellStart"/>
      <w:r w:rsidRPr="00F25254">
        <w:rPr>
          <w:iCs/>
        </w:rPr>
        <w:t>Eyrich</w:t>
      </w:r>
      <w:proofErr w:type="spellEnd"/>
      <w:r w:rsidRPr="00F25254">
        <w:rPr>
          <w:iCs/>
        </w:rPr>
        <w:t xml:space="preserve">, </w:t>
      </w:r>
      <w:proofErr w:type="spellStart"/>
      <w:r w:rsidRPr="00F25254">
        <w:rPr>
          <w:iCs/>
        </w:rPr>
        <w:t>Pollio</w:t>
      </w:r>
      <w:proofErr w:type="spellEnd"/>
      <w:r w:rsidRPr="00F25254">
        <w:rPr>
          <w:iCs/>
        </w:rPr>
        <w:t xml:space="preserve">, &amp; </w:t>
      </w:r>
      <w:proofErr w:type="spellStart"/>
      <w:r w:rsidRPr="00F25254">
        <w:rPr>
          <w:iCs/>
        </w:rPr>
        <w:t>Spitznagel</w:t>
      </w:r>
      <w:proofErr w:type="spellEnd"/>
      <w:r w:rsidRPr="00F25254">
        <w:rPr>
          <w:iCs/>
        </w:rPr>
        <w:t xml:space="preserve">, 2004; </w:t>
      </w:r>
      <w:r w:rsidRPr="00F25254">
        <w:t xml:space="preserve">Sacks, Drake, Williams, Banks &amp; </w:t>
      </w:r>
      <w:proofErr w:type="spellStart"/>
      <w:r w:rsidRPr="00F25254">
        <w:t>Herrell</w:t>
      </w:r>
      <w:proofErr w:type="spellEnd"/>
      <w:r w:rsidRPr="00F25254">
        <w:t>, 2003;</w:t>
      </w:r>
      <w:r w:rsidRPr="00F25254">
        <w:rPr>
          <w:rFonts w:cs="AdvPTimes"/>
        </w:rPr>
        <w:t xml:space="preserve"> </w:t>
      </w:r>
      <w:r w:rsidRPr="00F25254">
        <w:rPr>
          <w:iCs/>
        </w:rPr>
        <w:t xml:space="preserve">Smith, North, &amp; </w:t>
      </w:r>
      <w:proofErr w:type="spellStart"/>
      <w:r w:rsidRPr="00F25254">
        <w:rPr>
          <w:iCs/>
        </w:rPr>
        <w:t>Spitznagel</w:t>
      </w:r>
      <w:proofErr w:type="spellEnd"/>
      <w:r w:rsidRPr="00F25254">
        <w:rPr>
          <w:iCs/>
        </w:rPr>
        <w:t xml:space="preserve">, 1992; </w:t>
      </w:r>
      <w:proofErr w:type="spellStart"/>
      <w:r w:rsidRPr="00F25254">
        <w:rPr>
          <w:rFonts w:cs="AdvPTimes"/>
        </w:rPr>
        <w:t>Sobell</w:t>
      </w:r>
      <w:proofErr w:type="spellEnd"/>
      <w:r w:rsidRPr="00F25254">
        <w:rPr>
          <w:rFonts w:cs="AdvPTimes"/>
        </w:rPr>
        <w:t xml:space="preserve"> &amp; </w:t>
      </w:r>
      <w:proofErr w:type="spellStart"/>
      <w:r w:rsidRPr="00F25254">
        <w:rPr>
          <w:rFonts w:cs="AdvPTimes"/>
        </w:rPr>
        <w:t>Sobell</w:t>
      </w:r>
      <w:proofErr w:type="spellEnd"/>
      <w:r w:rsidRPr="00F25254">
        <w:rPr>
          <w:rFonts w:cs="AdvPTimes"/>
        </w:rPr>
        <w:t xml:space="preserve"> 1992;</w:t>
      </w:r>
      <w:r w:rsidRPr="00F25254">
        <w:rPr>
          <w:sz w:val="20"/>
          <w:szCs w:val="20"/>
        </w:rPr>
        <w:t xml:space="preserve"> </w:t>
      </w:r>
      <w:proofErr w:type="spellStart"/>
      <w:r w:rsidRPr="00F25254">
        <w:t>Sobell</w:t>
      </w:r>
      <w:proofErr w:type="spellEnd"/>
      <w:r w:rsidRPr="00F25254">
        <w:t xml:space="preserve"> &amp; </w:t>
      </w:r>
      <w:proofErr w:type="spellStart"/>
      <w:r w:rsidRPr="00F25254">
        <w:t>Sobell</w:t>
      </w:r>
      <w:proofErr w:type="spellEnd"/>
      <w:r w:rsidRPr="00F25254">
        <w:t>, 1995; Tse</w:t>
      </w:r>
      <w:r w:rsidRPr="00F25254">
        <w:rPr>
          <w:iCs/>
        </w:rPr>
        <w:t xml:space="preserve">mberis, </w:t>
      </w:r>
      <w:proofErr w:type="spellStart"/>
      <w:r w:rsidRPr="00F25254">
        <w:rPr>
          <w:iCs/>
        </w:rPr>
        <w:t>Gulcur</w:t>
      </w:r>
      <w:proofErr w:type="spellEnd"/>
      <w:r w:rsidRPr="00F25254">
        <w:rPr>
          <w:iCs/>
        </w:rPr>
        <w:t xml:space="preserve">, &amp; </w:t>
      </w:r>
      <w:proofErr w:type="spellStart"/>
      <w:r w:rsidRPr="00F25254">
        <w:rPr>
          <w:iCs/>
        </w:rPr>
        <w:t>Nakae</w:t>
      </w:r>
      <w:proofErr w:type="spellEnd"/>
      <w:r w:rsidRPr="00F25254">
        <w:rPr>
          <w:iCs/>
        </w:rPr>
        <w:t>, 2004;</w:t>
      </w:r>
      <w:r w:rsidRPr="00F25254">
        <w:t xml:space="preserve"> </w:t>
      </w:r>
      <w:r w:rsidRPr="00F25254">
        <w:rPr>
          <w:rFonts w:cs="AdvPTimes"/>
        </w:rPr>
        <w:t>Tsemberis et al., 2007).</w:t>
      </w:r>
      <w:r>
        <w:rPr>
          <w:rFonts w:cs="AdvPTimes"/>
        </w:rPr>
        <w:t xml:space="preserve"> </w:t>
      </w:r>
    </w:p>
    <w:p w:rsidR="00160619" w:rsidRPr="00F25254" w:rsidRDefault="003E6907" w:rsidP="00DF7191">
      <w:pPr>
        <w:pStyle w:val="NoSpacing"/>
        <w:ind w:firstLine="720"/>
        <w:jc w:val="both"/>
      </w:pPr>
      <w:r>
        <w:rPr>
          <w:rFonts w:cs="AdvPTimes"/>
        </w:rPr>
        <w:t>I</w:t>
      </w:r>
      <w:r>
        <w:t xml:space="preserve">n sum, prior OMB approved SAMHSA program wide performance measurement and cross-site evaluations have used a combination of </w:t>
      </w:r>
      <w:proofErr w:type="spellStart"/>
      <w:r>
        <w:t>Likert</w:t>
      </w:r>
      <w:proofErr w:type="spellEnd"/>
      <w:r>
        <w:t xml:space="preserve"> matrix questions and time-based questions</w:t>
      </w:r>
      <w:r w:rsidR="00160619" w:rsidRPr="00F25254">
        <w:t xml:space="preserve"> </w:t>
      </w:r>
      <w:r w:rsidRPr="00F25254">
        <w:t>focused on housing satisfaction, psychiatric symptoms and functioning</w:t>
      </w:r>
      <w:r>
        <w:t xml:space="preserve"> (including trauma)</w:t>
      </w:r>
      <w:r w:rsidRPr="00F25254">
        <w:t xml:space="preserve">, drug use and attitudes, service </w:t>
      </w:r>
      <w:r>
        <w:t xml:space="preserve">choice, burden and </w:t>
      </w:r>
      <w:r w:rsidRPr="00F25254">
        <w:t xml:space="preserve">satisfaction, quality of life, social supports, homeless and residential history, </w:t>
      </w:r>
      <w:r>
        <w:t xml:space="preserve">military history, education and employment, </w:t>
      </w:r>
      <w:r w:rsidRPr="00F25254">
        <w:t>and so forth</w:t>
      </w:r>
      <w:r>
        <w:t>,</w:t>
      </w:r>
      <w:r w:rsidRPr="00F25254">
        <w:t xml:space="preserve"> have been included in current and prior OMB approved evaluations and SAMHSA-wide client-level program performance data collection (</w:t>
      </w:r>
      <w:r>
        <w:t xml:space="preserve">For example, </w:t>
      </w:r>
      <w:r w:rsidRPr="00F25254">
        <w:t xml:space="preserve">, SAMHSA </w:t>
      </w:r>
      <w:r>
        <w:t>Targeted Capacity Expansion Grants for Jail Diversion Programs</w:t>
      </w:r>
      <w:r w:rsidRPr="00F25254">
        <w:t>, OMB control number 0930-0277; SAMHSA Homeless Families, OMB control number 0</w:t>
      </w:r>
      <w:r>
        <w:t>9</w:t>
      </w:r>
      <w:r w:rsidRPr="00F25254">
        <w:t>30-0223; HUD Life After Transitional Housing</w:t>
      </w:r>
      <w:r>
        <w:t>, OMB control number</w:t>
      </w:r>
      <w:r w:rsidRPr="00F25254">
        <w:t xml:space="preserve"> 2528-0239; </w:t>
      </w:r>
      <w:r w:rsidRPr="00BC73CE">
        <w:rPr>
          <w:rFonts w:cs="Arial"/>
          <w:color w:val="2E2E2E"/>
        </w:rPr>
        <w:t>National Outcomes Performance Assessment of the Collaborative Initiative to Help End Chronic Homelessness</w:t>
      </w:r>
      <w:r w:rsidRPr="00BC73CE">
        <w:t xml:space="preserve">  , OMB</w:t>
      </w:r>
      <w:r w:rsidRPr="00F25254">
        <w:t xml:space="preserve"> control number</w:t>
      </w:r>
      <w:r>
        <w:t xml:space="preserve"> </w:t>
      </w:r>
      <w:r w:rsidRPr="00BC73CE">
        <w:rPr>
          <w:rFonts w:cs="Arial"/>
          <w:color w:val="2E2E2E"/>
        </w:rPr>
        <w:t>0930-0247</w:t>
      </w:r>
      <w:r w:rsidRPr="00BC73CE">
        <w:t>;</w:t>
      </w:r>
      <w:r w:rsidRPr="00F25254">
        <w:t xml:space="preserve"> Access to Recovery, O</w:t>
      </w:r>
      <w:r>
        <w:t>MB</w:t>
      </w:r>
      <w:r w:rsidRPr="00F25254">
        <w:t xml:space="preserve"> control number 0930-0299; Safe Dates, OMB control number 0920-0783; School Violence, OMB control number 1850-0814; SAMHSA CMHS NOMs Adult Consumer Outcome Measures for Discretionary Programs, OMB control number 0930-0285</w:t>
      </w:r>
      <w:r>
        <w:t>;</w:t>
      </w:r>
      <w:r w:rsidRPr="00F25254">
        <w:t xml:space="preserve"> SAMHSA CSAP Participant Outcome Measures for Discretionary Programs, OMB </w:t>
      </w:r>
      <w:r>
        <w:t>control number</w:t>
      </w:r>
      <w:r w:rsidRPr="00F25254">
        <w:t xml:space="preserve"> 0930-0208).</w:t>
      </w:r>
    </w:p>
    <w:p w:rsidR="009E1C88" w:rsidRPr="00F25254" w:rsidRDefault="009E1C88" w:rsidP="00E67D0A">
      <w:pPr>
        <w:pStyle w:val="NoSpacing"/>
        <w:jc w:val="both"/>
      </w:pPr>
    </w:p>
    <w:p w:rsidR="00C672B0" w:rsidRPr="00CC1AF4" w:rsidRDefault="00C672B0" w:rsidP="00E67D0A">
      <w:pPr>
        <w:pStyle w:val="NoSpacing"/>
        <w:jc w:val="both"/>
        <w:rPr>
          <w:b/>
          <w:bCs/>
        </w:rPr>
      </w:pPr>
      <w:r w:rsidRPr="00CC1AF4">
        <w:rPr>
          <w:b/>
          <w:bCs/>
        </w:rPr>
        <w:t>RTC1: In general, you should not change time periods</w:t>
      </w:r>
      <w:r w:rsidR="00544FBD" w:rsidRPr="00CC1AF4">
        <w:rPr>
          <w:b/>
          <w:bCs/>
        </w:rPr>
        <w:t>. T</w:t>
      </w:r>
      <w:r w:rsidRPr="00CC1AF4">
        <w:rPr>
          <w:b/>
          <w:bCs/>
        </w:rPr>
        <w:t xml:space="preserve">ypical respondents when reporting their behaviors </w:t>
      </w:r>
      <w:r w:rsidR="00544FBD" w:rsidRPr="00CC1AF4">
        <w:rPr>
          <w:b/>
          <w:bCs/>
        </w:rPr>
        <w:t>often fail to</w:t>
      </w:r>
      <w:r w:rsidRPr="00CC1AF4">
        <w:rPr>
          <w:b/>
          <w:bCs/>
        </w:rPr>
        <w:t xml:space="preserve"> hear the change in time period or are unable to hold that much information in their short term memory. Keeping a consistent time period will improve data quality and reduce cognitive burden for the client.</w:t>
      </w:r>
      <w:r w:rsidR="002258A4" w:rsidRPr="00CC1AF4">
        <w:rPr>
          <w:b/>
          <w:bCs/>
        </w:rPr>
        <w:t xml:space="preserve"> </w:t>
      </w:r>
    </w:p>
    <w:p w:rsidR="00142BAF" w:rsidRPr="00F25254" w:rsidRDefault="00142BAF" w:rsidP="00E67D0A">
      <w:pPr>
        <w:pStyle w:val="NoSpacing"/>
        <w:jc w:val="both"/>
        <w:rPr>
          <w:i/>
          <w:iCs/>
          <w:u w:val="single"/>
        </w:rPr>
      </w:pPr>
    </w:p>
    <w:p w:rsidR="00142BAF" w:rsidRPr="00F25254" w:rsidRDefault="00142BAF" w:rsidP="00CC1AF4">
      <w:pPr>
        <w:pStyle w:val="NoSpacing"/>
        <w:jc w:val="both"/>
      </w:pPr>
      <w:r w:rsidRPr="00F25254">
        <w:rPr>
          <w:i/>
          <w:iCs/>
          <w:u w:val="single"/>
        </w:rPr>
        <w:t>Response:</w:t>
      </w:r>
      <w:r w:rsidRPr="00F25254">
        <w:t xml:space="preserve"> With regard to </w:t>
      </w:r>
      <w:r w:rsidR="00CC1AF4">
        <w:t xml:space="preserve">the </w:t>
      </w:r>
      <w:r w:rsidRPr="00F25254">
        <w:t xml:space="preserve">RTC </w:t>
      </w:r>
      <w:r w:rsidR="00CC1AF4">
        <w:t xml:space="preserve">item </w:t>
      </w:r>
      <w:r w:rsidRPr="00F25254">
        <w:t>we inadvertently made a typo for the gate question using 12-months rather than 6-months</w:t>
      </w:r>
      <w:r w:rsidR="00CC1AF4">
        <w:t xml:space="preserve"> and this has been corrected to ensure consistency for these types of questions in the GBHI client surveys</w:t>
      </w:r>
      <w:r w:rsidRPr="00F25254">
        <w:t xml:space="preserve">.  Further, we thank the interviewers for pointing this out and we have added to and strengthened the instructions to </w:t>
      </w:r>
      <w:r w:rsidR="00E93A0E" w:rsidRPr="00F25254">
        <w:t>emphasize the time</w:t>
      </w:r>
      <w:r w:rsidR="00CC1AF4">
        <w:t>-</w:t>
      </w:r>
      <w:r w:rsidR="00E93A0E" w:rsidRPr="00F25254">
        <w:t xml:space="preserve"> frame</w:t>
      </w:r>
      <w:r w:rsidR="00CC1AF4">
        <w:t xml:space="preserve"> as a note to the interviewers</w:t>
      </w:r>
      <w:r w:rsidR="00E93A0E" w:rsidRPr="00F25254">
        <w:t xml:space="preserve">. </w:t>
      </w:r>
      <w:r w:rsidR="00CC1AF4">
        <w:t>First, a</w:t>
      </w:r>
      <w:r w:rsidR="009B5065" w:rsidRPr="00F25254">
        <w:t>lthough</w:t>
      </w:r>
      <w:r w:rsidRPr="00F25254">
        <w:t xml:space="preserve"> shifting time frame</w:t>
      </w:r>
      <w:r w:rsidR="009B5065" w:rsidRPr="00F25254">
        <w:t>s</w:t>
      </w:r>
      <w:r w:rsidRPr="00F25254">
        <w:t xml:space="preserve"> may create cognitive burden for clients, </w:t>
      </w:r>
      <w:r w:rsidR="009B5065" w:rsidRPr="00F25254">
        <w:t xml:space="preserve">the </w:t>
      </w:r>
      <w:r w:rsidR="00CC1AF4">
        <w:t xml:space="preserve">RTC </w:t>
      </w:r>
      <w:r w:rsidR="009B5065" w:rsidRPr="00F25254">
        <w:t>items are</w:t>
      </w:r>
      <w:r w:rsidRPr="00F25254">
        <w:t xml:space="preserve"> from a standardized measure and changing the time frame could change the meaning of the measure as its focus is measuring the current stage of change from the client’s perspective. </w:t>
      </w:r>
      <w:r w:rsidR="000A3B02" w:rsidRPr="00F25254">
        <w:t>Second</w:t>
      </w:r>
      <w:r w:rsidRPr="00F25254">
        <w:t xml:space="preserve">, on cognitive testing with current GBHI Grantee clients, for the pilot study, clients had no difficulty shifting time frames. Third, the burden estimates included the time to answer these questions. Fourth, the interviewer did not find delay on these questions and found that clients understand the time frame and answered accordingly. They did not find this problematic when specifically asked during post-administration cognitive testing. </w:t>
      </w:r>
    </w:p>
    <w:p w:rsidR="00C672B0" w:rsidRPr="00F25254" w:rsidRDefault="00C672B0" w:rsidP="00E67D0A">
      <w:pPr>
        <w:pStyle w:val="NoSpacing"/>
        <w:jc w:val="both"/>
      </w:pPr>
    </w:p>
    <w:p w:rsidR="004B019A" w:rsidRPr="0024349F" w:rsidRDefault="00C84716" w:rsidP="00C84716">
      <w:pPr>
        <w:pStyle w:val="NoSpacing"/>
        <w:jc w:val="center"/>
        <w:rPr>
          <w:b/>
          <w:bCs/>
        </w:rPr>
      </w:pPr>
      <w:r w:rsidRPr="0024349F">
        <w:rPr>
          <w:b/>
          <w:bCs/>
        </w:rPr>
        <w:t>REFERENCES</w:t>
      </w:r>
    </w:p>
    <w:p w:rsidR="00C84716" w:rsidRDefault="00C84716" w:rsidP="00C84716">
      <w:pPr>
        <w:pStyle w:val="NoSpacing"/>
      </w:pPr>
    </w:p>
    <w:p w:rsidR="00C84716" w:rsidRPr="00192233" w:rsidRDefault="00C84716" w:rsidP="00C84716">
      <w:pPr>
        <w:spacing w:before="240"/>
        <w:ind w:left="720" w:hanging="720"/>
      </w:pPr>
      <w:proofErr w:type="gramStart"/>
      <w:r w:rsidRPr="00192233">
        <w:t xml:space="preserve">Banks, S., </w:t>
      </w:r>
      <w:proofErr w:type="spellStart"/>
      <w:r w:rsidRPr="00192233">
        <w:t>McHugo</w:t>
      </w:r>
      <w:proofErr w:type="spellEnd"/>
      <w:r w:rsidRPr="00192233">
        <w:t>, G. J., Williams, V., Drake, R. E., &amp; Shinn, M. (2002).</w:t>
      </w:r>
      <w:proofErr w:type="gramEnd"/>
      <w:r w:rsidRPr="00192233">
        <w:t xml:space="preserve"> </w:t>
      </w:r>
      <w:proofErr w:type="gramStart"/>
      <w:r w:rsidRPr="00192233">
        <w:t>A prospective meta-analytic approach in a multisite study of homelessness prevention.</w:t>
      </w:r>
      <w:proofErr w:type="gramEnd"/>
      <w:r w:rsidRPr="00192233">
        <w:t xml:space="preserve"> </w:t>
      </w:r>
      <w:r w:rsidRPr="00192233">
        <w:rPr>
          <w:i/>
          <w:iCs/>
        </w:rPr>
        <w:t xml:space="preserve">New Directions for Evaluation, 94, </w:t>
      </w:r>
      <w:r w:rsidRPr="00192233">
        <w:t>45–59.</w:t>
      </w:r>
    </w:p>
    <w:p w:rsidR="00C84716" w:rsidRDefault="00C84716" w:rsidP="00C84716">
      <w:pPr>
        <w:spacing w:before="240"/>
        <w:ind w:left="720" w:hanging="720"/>
      </w:pPr>
      <w:proofErr w:type="spellStart"/>
      <w:proofErr w:type="gramStart"/>
      <w:r w:rsidRPr="00E1219B">
        <w:t>Bassuk</w:t>
      </w:r>
      <w:proofErr w:type="spellEnd"/>
      <w:r w:rsidRPr="00E1219B">
        <w:t xml:space="preserve">, E. L., </w:t>
      </w:r>
      <w:proofErr w:type="spellStart"/>
      <w:r w:rsidRPr="00E1219B">
        <w:t>Weinreb</w:t>
      </w:r>
      <w:proofErr w:type="spellEnd"/>
      <w:r w:rsidRPr="00E1219B">
        <w:t xml:space="preserve">, L. F., Buckner, J. C., Browne, A., Salomon, A., &amp; </w:t>
      </w:r>
      <w:proofErr w:type="spellStart"/>
      <w:r w:rsidRPr="00E1219B">
        <w:t>Bassuk</w:t>
      </w:r>
      <w:proofErr w:type="spellEnd"/>
      <w:r w:rsidRPr="00E1219B">
        <w:t>, S. S. (1996).</w:t>
      </w:r>
      <w:proofErr w:type="gramEnd"/>
      <w:r w:rsidRPr="00E1219B">
        <w:t xml:space="preserve"> </w:t>
      </w:r>
      <w:proofErr w:type="gramStart"/>
      <w:r w:rsidRPr="00E1219B">
        <w:t>The characteristics and needs of sheltered homeless and low-income housed mothers.</w:t>
      </w:r>
      <w:proofErr w:type="gramEnd"/>
      <w:r w:rsidRPr="00E1219B">
        <w:t xml:space="preserve"> </w:t>
      </w:r>
      <w:r w:rsidRPr="00E1219B">
        <w:rPr>
          <w:i/>
          <w:iCs/>
        </w:rPr>
        <w:t xml:space="preserve">Journal of the American Medical Association, 276, </w:t>
      </w:r>
      <w:r w:rsidRPr="00E1219B">
        <w:t>640–646.</w:t>
      </w:r>
    </w:p>
    <w:p w:rsidR="00C84716" w:rsidRDefault="00C84716" w:rsidP="00C84716">
      <w:pPr>
        <w:spacing w:before="240"/>
        <w:ind w:left="720" w:hanging="720"/>
      </w:pPr>
      <w:proofErr w:type="gramStart"/>
      <w:r>
        <w:t xml:space="preserve">Bernstein, D. P., Fink, L., </w:t>
      </w:r>
      <w:proofErr w:type="spellStart"/>
      <w:r>
        <w:t>Handelsman</w:t>
      </w:r>
      <w:proofErr w:type="spellEnd"/>
      <w:r>
        <w:t>, L., Foote, J., Lovejoy, M., Wenzel, K., et al. (1994).</w:t>
      </w:r>
      <w:proofErr w:type="gramEnd"/>
      <w:r>
        <w:t xml:space="preserve"> </w:t>
      </w:r>
      <w:proofErr w:type="gramStart"/>
      <w:r>
        <w:t>Initial reliability and validity of a new retrospective measure of child abuse and neglect.</w:t>
      </w:r>
      <w:proofErr w:type="gramEnd"/>
      <w:r>
        <w:t xml:space="preserve"> </w:t>
      </w:r>
      <w:r>
        <w:rPr>
          <w:i/>
          <w:iCs/>
        </w:rPr>
        <w:t>American Journal of Psychiatry, 151,</w:t>
      </w:r>
      <w:r>
        <w:t xml:space="preserve"> 1132-1136.</w:t>
      </w:r>
    </w:p>
    <w:p w:rsidR="00C84716" w:rsidRDefault="00C84716" w:rsidP="00C84716">
      <w:pPr>
        <w:spacing w:before="240"/>
        <w:ind w:left="720" w:hanging="720"/>
      </w:pPr>
      <w:proofErr w:type="spellStart"/>
      <w:proofErr w:type="gramStart"/>
      <w:r w:rsidRPr="000F443D">
        <w:t>Bliese</w:t>
      </w:r>
      <w:proofErr w:type="spellEnd"/>
      <w:r w:rsidRPr="000F443D">
        <w:t xml:space="preserve">, P.D., Wright, K.M., Adler, A.B., Cabrera, O., Castro, C.A., &amp; </w:t>
      </w:r>
      <w:proofErr w:type="spellStart"/>
      <w:r w:rsidRPr="000F443D">
        <w:t>Hoge</w:t>
      </w:r>
      <w:proofErr w:type="spellEnd"/>
      <w:r w:rsidRPr="000F443D">
        <w:t>, C.W. (2008).</w:t>
      </w:r>
      <w:proofErr w:type="gramEnd"/>
      <w:r w:rsidRPr="000F443D">
        <w:t xml:space="preserve"> </w:t>
      </w:r>
      <w:proofErr w:type="gramStart"/>
      <w:r w:rsidRPr="000F443D">
        <w:t>Validating the Primary Care Posttraumatic Stress Disorder Screen and the Posttraumatic Stress Disorder Checklist with soldiers returning from combat.</w:t>
      </w:r>
      <w:proofErr w:type="gramEnd"/>
      <w:r w:rsidRPr="000F443D">
        <w:t xml:space="preserve">  </w:t>
      </w:r>
      <w:r w:rsidRPr="000F443D">
        <w:rPr>
          <w:i/>
          <w:iCs/>
        </w:rPr>
        <w:t>Journal of Consulting and Clinical Psychology,</w:t>
      </w:r>
      <w:r w:rsidRPr="000F443D">
        <w:t xml:space="preserve"> </w:t>
      </w:r>
      <w:r w:rsidRPr="000F443D">
        <w:rPr>
          <w:i/>
          <w:iCs/>
        </w:rPr>
        <w:t>76 (2),</w:t>
      </w:r>
      <w:r w:rsidRPr="000F443D">
        <w:t xml:space="preserve"> 272–281.</w:t>
      </w:r>
    </w:p>
    <w:p w:rsidR="00C84716" w:rsidRDefault="00C84716" w:rsidP="00C84716">
      <w:pPr>
        <w:spacing w:before="240"/>
        <w:ind w:left="720" w:hanging="720"/>
      </w:pPr>
      <w:proofErr w:type="gramStart"/>
      <w:r w:rsidRPr="0011515A">
        <w:t>Broner, N</w:t>
      </w:r>
      <w:r>
        <w:t>.,</w:t>
      </w:r>
      <w:r w:rsidRPr="0011515A">
        <w:t xml:space="preserve"> </w:t>
      </w:r>
      <w:proofErr w:type="spellStart"/>
      <w:r w:rsidRPr="0011515A">
        <w:t>Borum</w:t>
      </w:r>
      <w:proofErr w:type="spellEnd"/>
      <w:r w:rsidRPr="0011515A">
        <w:t>, R</w:t>
      </w:r>
      <w:r>
        <w:t>.,</w:t>
      </w:r>
      <w:r w:rsidRPr="0011515A">
        <w:t xml:space="preserve"> </w:t>
      </w:r>
      <w:proofErr w:type="spellStart"/>
      <w:r w:rsidRPr="0011515A">
        <w:t>Whitmire</w:t>
      </w:r>
      <w:proofErr w:type="spellEnd"/>
      <w:r w:rsidRPr="0011515A">
        <w:t>, L</w:t>
      </w:r>
      <w:r>
        <w:t>.,</w:t>
      </w:r>
      <w:r w:rsidRPr="0011515A">
        <w:t xml:space="preserve"> &amp; </w:t>
      </w:r>
      <w:proofErr w:type="spellStart"/>
      <w:r w:rsidRPr="0011515A">
        <w:t>Gawley</w:t>
      </w:r>
      <w:proofErr w:type="spellEnd"/>
      <w:r w:rsidRPr="0011515A">
        <w:t>, K</w:t>
      </w:r>
      <w:r>
        <w:t xml:space="preserve">. </w:t>
      </w:r>
      <w:r w:rsidRPr="0011515A">
        <w:t>(2002)</w:t>
      </w:r>
      <w:r>
        <w:t>.</w:t>
      </w:r>
      <w:proofErr w:type="gramEnd"/>
      <w:r>
        <w:t xml:space="preserve"> </w:t>
      </w:r>
      <w:proofErr w:type="gramStart"/>
      <w:r w:rsidRPr="0011515A">
        <w:t>A review of screening instruments for co-occurring mental illness and substance use in criminal justice programs</w:t>
      </w:r>
      <w:r>
        <w:t>.</w:t>
      </w:r>
      <w:proofErr w:type="gramEnd"/>
      <w:r>
        <w:t xml:space="preserve"> </w:t>
      </w:r>
      <w:r w:rsidRPr="0011515A">
        <w:t>In G</w:t>
      </w:r>
      <w:r>
        <w:t xml:space="preserve">. </w:t>
      </w:r>
      <w:proofErr w:type="spellStart"/>
      <w:r w:rsidRPr="0011515A">
        <w:t>Landsberg</w:t>
      </w:r>
      <w:proofErr w:type="spellEnd"/>
      <w:r w:rsidRPr="0011515A">
        <w:t>, M</w:t>
      </w:r>
      <w:r>
        <w:t xml:space="preserve">. </w:t>
      </w:r>
      <w:r w:rsidRPr="0011515A">
        <w:t>Rock, L</w:t>
      </w:r>
      <w:r>
        <w:t xml:space="preserve">. </w:t>
      </w:r>
      <w:r w:rsidRPr="0011515A">
        <w:t>Berg</w:t>
      </w:r>
      <w:r>
        <w:t xml:space="preserve">, &amp; </w:t>
      </w:r>
      <w:r w:rsidRPr="0011515A">
        <w:t>A</w:t>
      </w:r>
      <w:r>
        <w:t xml:space="preserve">. </w:t>
      </w:r>
      <w:r w:rsidRPr="0011515A">
        <w:t>Smiley (Eds</w:t>
      </w:r>
      <w:r>
        <w:t>.)</w:t>
      </w:r>
      <w:r w:rsidRPr="0011515A">
        <w:t xml:space="preserve">, </w:t>
      </w:r>
      <w:proofErr w:type="gramStart"/>
      <w:r w:rsidRPr="0011515A">
        <w:rPr>
          <w:i/>
          <w:iCs/>
        </w:rPr>
        <w:t>Serving</w:t>
      </w:r>
      <w:proofErr w:type="gramEnd"/>
      <w:r w:rsidRPr="0011515A">
        <w:rPr>
          <w:i/>
          <w:iCs/>
        </w:rPr>
        <w:t xml:space="preserve"> mentally ill offenders and their victims: Challenges and opportunities for mental health professionals</w:t>
      </w:r>
      <w:r w:rsidRPr="0011515A">
        <w:t xml:space="preserve"> (pp</w:t>
      </w:r>
      <w:r>
        <w:t xml:space="preserve">. </w:t>
      </w:r>
      <w:r w:rsidRPr="0011515A">
        <w:t>289</w:t>
      </w:r>
      <w:r>
        <w:t>–</w:t>
      </w:r>
      <w:r w:rsidRPr="0011515A">
        <w:t>337)</w:t>
      </w:r>
      <w:r>
        <w:rPr>
          <w:i/>
          <w:iCs/>
        </w:rPr>
        <w:t xml:space="preserve">. </w:t>
      </w:r>
      <w:smartTag w:uri="urn:schemas-microsoft-com:office:smarttags" w:element="place">
        <w:smartTag w:uri="urn:schemas-microsoft-com:office:smarttags" w:element="State">
          <w:r w:rsidRPr="0011515A">
            <w:t>New York</w:t>
          </w:r>
        </w:smartTag>
      </w:smartTag>
      <w:r w:rsidRPr="0011515A">
        <w:t>: Springer</w:t>
      </w:r>
      <w:r>
        <w:t>.</w:t>
      </w:r>
    </w:p>
    <w:p w:rsidR="00C84716" w:rsidRPr="00F007D6" w:rsidRDefault="00C84716" w:rsidP="00C84716">
      <w:pPr>
        <w:spacing w:before="240"/>
        <w:ind w:left="720" w:hanging="720"/>
      </w:pPr>
      <w:proofErr w:type="gramStart"/>
      <w:r w:rsidRPr="00F007D6">
        <w:t>Broner et al. (2010, June).</w:t>
      </w:r>
      <w:proofErr w:type="gramEnd"/>
      <w:r w:rsidRPr="00F007D6">
        <w:t xml:space="preserve"> Homelessness: A review of prevalence, predictors, correlates, policy and interventions. </w:t>
      </w:r>
      <w:smartTag w:uri="urn:schemas-microsoft-com:office:smarttags" w:element="place">
        <w:smartTag w:uri="urn:schemas-microsoft-com:office:smarttags" w:element="City">
          <w:r w:rsidRPr="00F007D6">
            <w:t>New York</w:t>
          </w:r>
        </w:smartTag>
        <w:r w:rsidRPr="00F007D6">
          <w:t xml:space="preserve">, </w:t>
        </w:r>
        <w:smartTag w:uri="urn:schemas-microsoft-com:office:smarttags" w:element="State">
          <w:r w:rsidRPr="00F007D6">
            <w:t>NY</w:t>
          </w:r>
        </w:smartTag>
      </w:smartTag>
      <w:r w:rsidRPr="00F007D6">
        <w:t>: RTI International.</w:t>
      </w:r>
    </w:p>
    <w:p w:rsidR="00C84716" w:rsidRDefault="00C84716" w:rsidP="00C84716">
      <w:pPr>
        <w:spacing w:before="240"/>
        <w:ind w:left="720" w:hanging="720"/>
      </w:pPr>
      <w:proofErr w:type="gramStart"/>
      <w:r w:rsidRPr="00A66C67">
        <w:t>Broner,</w:t>
      </w:r>
      <w:r w:rsidRPr="00A66C67">
        <w:rPr>
          <w:b/>
          <w:bCs/>
        </w:rPr>
        <w:t xml:space="preserve"> </w:t>
      </w:r>
      <w:r w:rsidRPr="00A66C67">
        <w:t>N., Lang, M., &amp; Behler, S (2009).</w:t>
      </w:r>
      <w:proofErr w:type="gramEnd"/>
      <w:r w:rsidRPr="00A66C67">
        <w:t xml:space="preserve"> The effects of homelessness, housing type, functioning and community reintegration supports on mental health court completion and recidivism. </w:t>
      </w:r>
      <w:r w:rsidRPr="00A66C67">
        <w:rPr>
          <w:i/>
          <w:iCs/>
        </w:rPr>
        <w:t>Journal of Dual Diagnosis</w:t>
      </w:r>
      <w:r w:rsidRPr="00A66C67">
        <w:t xml:space="preserve">, </w:t>
      </w:r>
      <w:r w:rsidRPr="00A66C67">
        <w:rPr>
          <w:i/>
          <w:iCs/>
        </w:rPr>
        <w:t>5</w:t>
      </w:r>
      <w:r w:rsidRPr="00A66C67">
        <w:t>(3/4), 323–356</w:t>
      </w:r>
      <w:r w:rsidRPr="00A66C67">
        <w:rPr>
          <w:i/>
          <w:iCs/>
        </w:rPr>
        <w:t>.</w:t>
      </w:r>
    </w:p>
    <w:p w:rsidR="00C84716" w:rsidRDefault="00C84716" w:rsidP="00C84716">
      <w:pPr>
        <w:spacing w:before="240"/>
        <w:ind w:left="720" w:hanging="720"/>
      </w:pPr>
      <w:proofErr w:type="gramStart"/>
      <w:r>
        <w:t xml:space="preserve">Broner, N., Lattimore, P. K., Cowell, A. J., &amp; </w:t>
      </w:r>
      <w:proofErr w:type="spellStart"/>
      <w:r>
        <w:t>Schlenger</w:t>
      </w:r>
      <w:proofErr w:type="spellEnd"/>
      <w:r>
        <w:t>, W. E. (2004).</w:t>
      </w:r>
      <w:proofErr w:type="gramEnd"/>
      <w:r>
        <w:t xml:space="preserve"> Effects of diversion on adults with co-occurring mental illness and substance use: Outcomes from a national multi-site study. </w:t>
      </w:r>
      <w:r>
        <w:rPr>
          <w:i/>
          <w:iCs/>
        </w:rPr>
        <w:t xml:space="preserve">Behavioral Sciences and the Law, 22, </w:t>
      </w:r>
      <w:r>
        <w:t>519-541.</w:t>
      </w:r>
    </w:p>
    <w:p w:rsidR="00C84716" w:rsidRPr="00E6200E" w:rsidRDefault="00C84716" w:rsidP="00C84716">
      <w:pPr>
        <w:spacing w:before="240"/>
        <w:ind w:left="720" w:hanging="720"/>
      </w:pPr>
      <w:proofErr w:type="gramStart"/>
      <w:r w:rsidRPr="007D2CDA">
        <w:t>Broner, N. Lattimore, P.K., &amp; Steffey, D.M (2010).</w:t>
      </w:r>
      <w:proofErr w:type="gramEnd"/>
      <w:r w:rsidRPr="007D2CDA">
        <w:t xml:space="preserve"> Mental health needs and services receipt of reentering offenders: A multi-site study of men, women and male youth.</w:t>
      </w:r>
      <w:r w:rsidRPr="007D2CDA">
        <w:rPr>
          <w:b/>
          <w:bCs/>
        </w:rPr>
        <w:t xml:space="preserve"> </w:t>
      </w:r>
      <w:r w:rsidRPr="007D2CDA">
        <w:t xml:space="preserve">In H.A. </w:t>
      </w:r>
      <w:proofErr w:type="spellStart"/>
      <w:r w:rsidRPr="007D2CDA">
        <w:t>Dlugacz</w:t>
      </w:r>
      <w:proofErr w:type="spellEnd"/>
      <w:r w:rsidRPr="007D2CDA">
        <w:t xml:space="preserve"> (Ed.) </w:t>
      </w:r>
      <w:r w:rsidRPr="007D2CDA">
        <w:rPr>
          <w:i/>
          <w:iCs/>
        </w:rPr>
        <w:t xml:space="preserve">Re-entry planning for offenders with mental disorders: Policy and practice </w:t>
      </w:r>
      <w:r w:rsidRPr="007D2CDA">
        <w:t>(pp. 12-1-12-41). New Jersey: Civic Research Institute, Inc.</w:t>
      </w:r>
    </w:p>
    <w:p w:rsidR="00C84716" w:rsidRDefault="00C84716" w:rsidP="00C84716">
      <w:pPr>
        <w:spacing w:before="240"/>
        <w:ind w:left="720" w:hanging="720"/>
      </w:pPr>
      <w:proofErr w:type="gramStart"/>
      <w:r w:rsidRPr="00A74905">
        <w:lastRenderedPageBreak/>
        <w:t xml:space="preserve">Brown, L. S., </w:t>
      </w:r>
      <w:proofErr w:type="spellStart"/>
      <w:r w:rsidRPr="00A74905">
        <w:t>Alterman</w:t>
      </w:r>
      <w:proofErr w:type="spellEnd"/>
      <w:r w:rsidRPr="00A74905">
        <w:t xml:space="preserve">, A. I., Rutherford, M. J., &amp; </w:t>
      </w:r>
      <w:proofErr w:type="spellStart"/>
      <w:r w:rsidRPr="00A74905">
        <w:t>Cacciola</w:t>
      </w:r>
      <w:proofErr w:type="spellEnd"/>
      <w:r w:rsidRPr="00A74905">
        <w:t>, J. S. (1993).</w:t>
      </w:r>
      <w:proofErr w:type="gramEnd"/>
      <w:r w:rsidRPr="00A74905">
        <w:t xml:space="preserve"> Addiction Severity Index scores of four racial/ethnic and gender groups of methadone maintenance patients. </w:t>
      </w:r>
      <w:r w:rsidRPr="00A74905">
        <w:rPr>
          <w:i/>
          <w:iCs/>
        </w:rPr>
        <w:t>Journal of Substance Abuse</w:t>
      </w:r>
      <w:r w:rsidRPr="00A74905">
        <w:t xml:space="preserve">, </w:t>
      </w:r>
      <w:r w:rsidRPr="00A74905">
        <w:rPr>
          <w:i/>
          <w:iCs/>
        </w:rPr>
        <w:t>5(3)</w:t>
      </w:r>
      <w:r w:rsidRPr="00A74905">
        <w:t>, 269-279.</w:t>
      </w:r>
      <w:r w:rsidRPr="0086694F">
        <w:t xml:space="preserve"> </w:t>
      </w:r>
    </w:p>
    <w:p w:rsidR="00C84716" w:rsidRDefault="00C84716" w:rsidP="00C84716">
      <w:pPr>
        <w:spacing w:before="240" w:after="0"/>
        <w:ind w:left="720" w:hanging="720"/>
      </w:pPr>
      <w:r w:rsidRPr="00E1219B">
        <w:t xml:space="preserve">Browne, A., &amp; </w:t>
      </w:r>
      <w:proofErr w:type="spellStart"/>
      <w:r w:rsidRPr="00E1219B">
        <w:t>Bassuk</w:t>
      </w:r>
      <w:proofErr w:type="spellEnd"/>
      <w:r w:rsidRPr="00E1219B">
        <w:t xml:space="preserve">, S. S. (1997). Intimate violence in the lives of homeless and poor housed women: prevalence and patterns in an ethnically diverse sample. </w:t>
      </w:r>
      <w:r w:rsidRPr="00E1219B">
        <w:rPr>
          <w:i/>
          <w:iCs/>
        </w:rPr>
        <w:t>American Journal of Orthopsychiatry, 72,</w:t>
      </w:r>
      <w:r w:rsidRPr="00E1219B">
        <w:t xml:space="preserve"> 261–277.</w:t>
      </w:r>
    </w:p>
    <w:p w:rsidR="00C84716" w:rsidRPr="007D2CDA" w:rsidRDefault="00C84716" w:rsidP="00C84716">
      <w:pPr>
        <w:spacing w:before="240" w:after="0"/>
        <w:ind w:left="720" w:hanging="720"/>
      </w:pPr>
      <w:proofErr w:type="spellStart"/>
      <w:proofErr w:type="gramStart"/>
      <w:r w:rsidRPr="007D2CDA">
        <w:t>Brownsberger</w:t>
      </w:r>
      <w:proofErr w:type="spellEnd"/>
      <w:r w:rsidRPr="007D2CDA">
        <w:t>, W. N., Love, C. T., Doherty, P. L., &amp; Shaffer, H. J. (2004).</w:t>
      </w:r>
      <w:proofErr w:type="gramEnd"/>
      <w:r w:rsidRPr="007D2CDA">
        <w:t xml:space="preserve"> </w:t>
      </w:r>
      <w:proofErr w:type="gramStart"/>
      <w:r w:rsidRPr="007D2CDA">
        <w:t>Potential demand for substance</w:t>
      </w:r>
      <w:r>
        <w:t xml:space="preserve"> </w:t>
      </w:r>
      <w:r w:rsidRPr="007D2CDA">
        <w:t>abuse treatment in the criminal justice system.</w:t>
      </w:r>
      <w:proofErr w:type="gramEnd"/>
      <w:r w:rsidRPr="007D2CDA">
        <w:t xml:space="preserve"> </w:t>
      </w:r>
      <w:r w:rsidRPr="007D2CDA">
        <w:rPr>
          <w:i/>
          <w:iCs/>
        </w:rPr>
        <w:t xml:space="preserve">Criminal Justice Policy </w:t>
      </w:r>
      <w:proofErr w:type="gramStart"/>
      <w:r w:rsidRPr="007D2CDA">
        <w:rPr>
          <w:i/>
          <w:iCs/>
        </w:rPr>
        <w:t xml:space="preserve">Review </w:t>
      </w:r>
      <w:r w:rsidRPr="007D2CDA">
        <w:t>.</w:t>
      </w:r>
      <w:proofErr w:type="gramEnd"/>
      <w:r w:rsidRPr="007D2CDA">
        <w:t xml:space="preserve"> </w:t>
      </w:r>
      <w:r w:rsidRPr="007D2CDA">
        <w:rPr>
          <w:i/>
          <w:iCs/>
        </w:rPr>
        <w:t xml:space="preserve">15 </w:t>
      </w:r>
      <w:r w:rsidRPr="007D2CDA">
        <w:t>(1), 37-60.</w:t>
      </w:r>
    </w:p>
    <w:p w:rsidR="00C84716" w:rsidRDefault="00C84716" w:rsidP="00C84716">
      <w:pPr>
        <w:spacing w:before="240" w:after="0"/>
        <w:ind w:left="720" w:hanging="720"/>
      </w:pPr>
      <w:r w:rsidRPr="00E6200E">
        <w:t xml:space="preserve">Burt, M. R. (2009). </w:t>
      </w:r>
      <w:r w:rsidRPr="00E6200E">
        <w:rPr>
          <w:i/>
        </w:rPr>
        <w:t>Life after transitional housing: Tracking homeless families after they leave HUD-assisted transitional housing</w:t>
      </w:r>
      <w:r w:rsidRPr="00E6200E">
        <w:t xml:space="preserve">. </w:t>
      </w:r>
      <w:proofErr w:type="gramStart"/>
      <w:r w:rsidRPr="00E6200E">
        <w:t>Urban Institute.</w:t>
      </w:r>
      <w:proofErr w:type="gramEnd"/>
    </w:p>
    <w:p w:rsidR="00C84716" w:rsidRPr="00BB16C7" w:rsidRDefault="00C84716" w:rsidP="00C84716">
      <w:pPr>
        <w:spacing w:before="240" w:after="0"/>
        <w:ind w:left="720" w:hanging="720"/>
      </w:pPr>
      <w:r>
        <w:t xml:space="preserve">Burt, M. R. (2010). </w:t>
      </w:r>
      <w:proofErr w:type="gramStart"/>
      <w:r>
        <w:rPr>
          <w:i/>
          <w:iCs/>
        </w:rPr>
        <w:t>Life after transitional housing for homeless families.</w:t>
      </w:r>
      <w:proofErr w:type="gramEnd"/>
      <w:r>
        <w:t xml:space="preserve"> </w:t>
      </w:r>
      <w:proofErr w:type="gramStart"/>
      <w:r>
        <w:t>Urban Institute.</w:t>
      </w:r>
      <w:proofErr w:type="gramEnd"/>
    </w:p>
    <w:p w:rsidR="00C84716" w:rsidRPr="00E6200E" w:rsidRDefault="00C84716" w:rsidP="00C84716">
      <w:pPr>
        <w:spacing w:before="240"/>
        <w:ind w:left="720" w:hanging="720"/>
      </w:pPr>
      <w:proofErr w:type="gramStart"/>
      <w:r w:rsidRPr="00E1219B">
        <w:t xml:space="preserve">Burt, M. R., Aron, L. Y., Douglas, T., Valente, J., Lee, E., &amp; </w:t>
      </w:r>
      <w:proofErr w:type="spellStart"/>
      <w:r w:rsidRPr="00E1219B">
        <w:t>Iwen</w:t>
      </w:r>
      <w:proofErr w:type="spellEnd"/>
      <w:r w:rsidRPr="00E1219B">
        <w:t>, B. (1999).</w:t>
      </w:r>
      <w:proofErr w:type="gramEnd"/>
      <w:r w:rsidRPr="00E1219B">
        <w:t xml:space="preserve"> </w:t>
      </w:r>
      <w:r w:rsidRPr="00E1219B">
        <w:rPr>
          <w:i/>
        </w:rPr>
        <w:t>Homelessness: Programs and the people they serve</w:t>
      </w:r>
      <w:r w:rsidRPr="00E1219B">
        <w:t xml:space="preserve">. </w:t>
      </w:r>
      <w:smartTag w:uri="urn:schemas-microsoft-com:office:smarttags" w:element="place">
        <w:smartTag w:uri="urn:schemas-microsoft-com:office:smarttags" w:element="City">
          <w:r w:rsidRPr="00E1219B">
            <w:t>Washington</w:t>
          </w:r>
        </w:smartTag>
        <w:r w:rsidRPr="00E1219B">
          <w:t xml:space="preserve">, </w:t>
        </w:r>
        <w:smartTag w:uri="urn:schemas-microsoft-com:office:smarttags" w:element="State">
          <w:r w:rsidRPr="00E1219B">
            <w:t>DC</w:t>
          </w:r>
        </w:smartTag>
      </w:smartTag>
      <w:r w:rsidRPr="00E1219B">
        <w:t>: Interagency Council on the Homeless.</w:t>
      </w:r>
    </w:p>
    <w:p w:rsidR="00C84716" w:rsidRPr="00192233" w:rsidRDefault="00C84716" w:rsidP="00C84716">
      <w:pPr>
        <w:spacing w:before="240"/>
        <w:ind w:left="720" w:hanging="720"/>
        <w:rPr>
          <w:i/>
        </w:rPr>
      </w:pPr>
      <w:r w:rsidRPr="00192233">
        <w:t>Carey, K.B. (1997). Reliability and validity of the time-line follow-back interview among psychiatric outpatients: A preliminary report.</w:t>
      </w:r>
      <w:r w:rsidRPr="00192233">
        <w:rPr>
          <w:i/>
        </w:rPr>
        <w:t xml:space="preserve"> Psychology of Addictive Behaviors, 11</w:t>
      </w:r>
      <w:r w:rsidRPr="00192233">
        <w:t>(1), 26-33.</w:t>
      </w:r>
    </w:p>
    <w:p w:rsidR="00C84716" w:rsidRPr="002159CF" w:rsidRDefault="00C84716" w:rsidP="00C84716">
      <w:pPr>
        <w:spacing w:before="240"/>
        <w:ind w:left="720" w:hanging="720"/>
      </w:pPr>
      <w:proofErr w:type="gramStart"/>
      <w:r>
        <w:t>Case, B., Steadman, H. J., Dupuis, S. A., &amp; Morris, L. S. (2009).</w:t>
      </w:r>
      <w:proofErr w:type="gramEnd"/>
      <w:r>
        <w:t xml:space="preserve"> Who succeeds in jail diversion programs for persons with mental illness? </w:t>
      </w:r>
      <w:proofErr w:type="gramStart"/>
      <w:r>
        <w:t>A multi-site study.</w:t>
      </w:r>
      <w:proofErr w:type="gramEnd"/>
      <w:r>
        <w:t xml:space="preserve"> </w:t>
      </w:r>
      <w:r>
        <w:rPr>
          <w:i/>
          <w:iCs/>
        </w:rPr>
        <w:t xml:space="preserve">Behavioral Sciences and the Law, 27(5), </w:t>
      </w:r>
      <w:r>
        <w:t>661-674.</w:t>
      </w:r>
    </w:p>
    <w:p w:rsidR="00C84716" w:rsidRDefault="00C84716" w:rsidP="00C84716">
      <w:pPr>
        <w:spacing w:before="240"/>
        <w:ind w:left="720" w:hanging="720"/>
      </w:pPr>
      <w:proofErr w:type="gramStart"/>
      <w:r w:rsidRPr="00B84FDA">
        <w:t>Clark, C., &amp; Rich, A.R. (2003).</w:t>
      </w:r>
      <w:proofErr w:type="gramEnd"/>
      <w:r w:rsidRPr="00B84FDA">
        <w:t xml:space="preserve"> </w:t>
      </w:r>
      <w:proofErr w:type="gramStart"/>
      <w:r w:rsidRPr="00B84FDA">
        <w:t>Outcomes of homeless adults with mental illness in a housing program and in case management only.</w:t>
      </w:r>
      <w:proofErr w:type="gramEnd"/>
      <w:r w:rsidRPr="00B84FDA">
        <w:t xml:space="preserve"> </w:t>
      </w:r>
      <w:r w:rsidRPr="00B84FDA">
        <w:rPr>
          <w:i/>
          <w:iCs/>
        </w:rPr>
        <w:t>Psychiatric Services, 54(1),</w:t>
      </w:r>
      <w:r w:rsidRPr="00B84FDA">
        <w:t xml:space="preserve"> 78–83.</w:t>
      </w:r>
    </w:p>
    <w:p w:rsidR="00C84716" w:rsidRPr="00C84716" w:rsidRDefault="00C84716" w:rsidP="00C84716">
      <w:pPr>
        <w:spacing w:before="240"/>
        <w:ind w:left="720" w:hanging="720"/>
      </w:pPr>
      <w:proofErr w:type="gramStart"/>
      <w:r w:rsidRPr="00C84716">
        <w:t xml:space="preserve">Conrad, K. J., </w:t>
      </w:r>
      <w:proofErr w:type="spellStart"/>
      <w:r w:rsidRPr="00C84716">
        <w:t>Yagelka</w:t>
      </w:r>
      <w:proofErr w:type="spellEnd"/>
      <w:r w:rsidRPr="00C84716">
        <w:t>, J.R., Matters, M.D., Rich, A.R., Williams, V., &amp; Buchanan, M. (2001).</w:t>
      </w:r>
      <w:proofErr w:type="gramEnd"/>
      <w:r w:rsidRPr="00C84716">
        <w:t xml:space="preserve"> </w:t>
      </w:r>
      <w:proofErr w:type="gramStart"/>
      <w:r w:rsidRPr="00C84716">
        <w:t>Reliability and validity of a Modified Colorado Symptom Index in a national homeless sample.</w:t>
      </w:r>
      <w:proofErr w:type="gramEnd"/>
      <w:r w:rsidRPr="00C84716">
        <w:t xml:space="preserve"> </w:t>
      </w:r>
      <w:r w:rsidRPr="00C84716">
        <w:rPr>
          <w:i/>
          <w:iCs/>
        </w:rPr>
        <w:t>Mental Health Services Researc</w:t>
      </w:r>
      <w:r w:rsidRPr="00C84716">
        <w:t>h,</w:t>
      </w:r>
      <w:r w:rsidRPr="00C84716">
        <w:rPr>
          <w:i/>
          <w:iCs/>
        </w:rPr>
        <w:t xml:space="preserve"> 3 (3),</w:t>
      </w:r>
      <w:r w:rsidRPr="00C84716">
        <w:t xml:space="preserve"> 1573-1636.</w:t>
      </w:r>
    </w:p>
    <w:p w:rsidR="00C84716" w:rsidRPr="00C84716" w:rsidRDefault="00C84716" w:rsidP="00C84716">
      <w:pPr>
        <w:spacing w:before="240"/>
        <w:ind w:left="720" w:hanging="720"/>
        <w:rPr>
          <w:color w:val="000000"/>
        </w:rPr>
      </w:pPr>
      <w:proofErr w:type="spellStart"/>
      <w:proofErr w:type="gramStart"/>
      <w:r w:rsidRPr="00C84716">
        <w:rPr>
          <w:color w:val="000000"/>
        </w:rPr>
        <w:t>Cottler</w:t>
      </w:r>
      <w:proofErr w:type="spellEnd"/>
      <w:r w:rsidRPr="00C84716">
        <w:rPr>
          <w:color w:val="000000"/>
        </w:rPr>
        <w:t>, L. B., Compton, W. M., Ben-</w:t>
      </w:r>
      <w:proofErr w:type="spellStart"/>
      <w:r w:rsidRPr="00C84716">
        <w:rPr>
          <w:color w:val="000000"/>
        </w:rPr>
        <w:t>Abdallah</w:t>
      </w:r>
      <w:proofErr w:type="spellEnd"/>
      <w:r w:rsidRPr="00C84716">
        <w:rPr>
          <w:color w:val="000000"/>
        </w:rPr>
        <w:t>, A., &amp; Horne, M. (1996).</w:t>
      </w:r>
      <w:proofErr w:type="gramEnd"/>
      <w:r w:rsidRPr="00C84716">
        <w:rPr>
          <w:color w:val="000000"/>
        </w:rPr>
        <w:t xml:space="preserve"> </w:t>
      </w:r>
      <w:proofErr w:type="gramStart"/>
      <w:r w:rsidRPr="00C84716">
        <w:rPr>
          <w:color w:val="000000"/>
        </w:rPr>
        <w:t>Achieving a 96.6 percent follow-up rate in a longitudinal study of drug abusers.</w:t>
      </w:r>
      <w:proofErr w:type="gramEnd"/>
      <w:r w:rsidRPr="00C84716">
        <w:rPr>
          <w:color w:val="000000"/>
        </w:rPr>
        <w:t xml:space="preserve"> </w:t>
      </w:r>
      <w:r w:rsidRPr="00C84716">
        <w:rPr>
          <w:i/>
          <w:iCs/>
          <w:color w:val="000000"/>
        </w:rPr>
        <w:t>Drug and Alcohol Dependence</w:t>
      </w:r>
      <w:r w:rsidRPr="00C84716">
        <w:rPr>
          <w:color w:val="000000"/>
        </w:rPr>
        <w:t xml:space="preserve">, </w:t>
      </w:r>
      <w:r w:rsidRPr="00C84716">
        <w:rPr>
          <w:i/>
          <w:iCs/>
          <w:color w:val="000000"/>
        </w:rPr>
        <w:t>41(3)</w:t>
      </w:r>
      <w:r w:rsidRPr="00C84716">
        <w:rPr>
          <w:color w:val="000000"/>
        </w:rPr>
        <w:t xml:space="preserve">, 209-217. </w:t>
      </w:r>
    </w:p>
    <w:p w:rsidR="00C84716" w:rsidRPr="00C84716" w:rsidRDefault="00C84716" w:rsidP="00C84716">
      <w:pPr>
        <w:spacing w:before="240"/>
        <w:ind w:left="720" w:hanging="720"/>
        <w:rPr>
          <w:color w:val="000000"/>
        </w:rPr>
      </w:pPr>
      <w:proofErr w:type="gramStart"/>
      <w:r w:rsidRPr="00C84716">
        <w:rPr>
          <w:color w:val="000000"/>
        </w:rPr>
        <w:t>Dartmouth Psychiatric Research Center (1997).</w:t>
      </w:r>
      <w:proofErr w:type="gramEnd"/>
      <w:r w:rsidRPr="00C84716">
        <w:rPr>
          <w:color w:val="000000"/>
        </w:rPr>
        <w:t xml:space="preserve"> </w:t>
      </w:r>
      <w:proofErr w:type="gramStart"/>
      <w:r w:rsidRPr="00C84716">
        <w:rPr>
          <w:i/>
          <w:color w:val="000000"/>
        </w:rPr>
        <w:t>Drug/Alcohol 6-Month Follow-Back Calendar.</w:t>
      </w:r>
      <w:proofErr w:type="gramEnd"/>
      <w:r w:rsidRPr="00C84716">
        <w:rPr>
          <w:color w:val="000000"/>
        </w:rPr>
        <w:t xml:space="preserve"> Hanover, NH: Author.</w:t>
      </w:r>
    </w:p>
    <w:p w:rsidR="00C84716" w:rsidRPr="00C84716" w:rsidRDefault="00C84716" w:rsidP="00C84716">
      <w:pPr>
        <w:spacing w:before="240"/>
        <w:ind w:left="720" w:hanging="720"/>
        <w:rPr>
          <w:color w:val="000000"/>
        </w:rPr>
      </w:pPr>
      <w:proofErr w:type="gramStart"/>
      <w:r w:rsidRPr="00C84716">
        <w:rPr>
          <w:color w:val="000000"/>
        </w:rPr>
        <w:t xml:space="preserve">Davis, L., Foster, S., &amp; </w:t>
      </w:r>
      <w:proofErr w:type="spellStart"/>
      <w:r w:rsidRPr="00C84716">
        <w:rPr>
          <w:color w:val="000000"/>
        </w:rPr>
        <w:t>Zerger</w:t>
      </w:r>
      <w:proofErr w:type="spellEnd"/>
      <w:r w:rsidRPr="00C84716">
        <w:rPr>
          <w:color w:val="000000"/>
        </w:rPr>
        <w:t>, S. (2009).</w:t>
      </w:r>
      <w:proofErr w:type="gramEnd"/>
      <w:r w:rsidRPr="00C84716">
        <w:rPr>
          <w:color w:val="000000"/>
        </w:rPr>
        <w:t xml:space="preserve"> </w:t>
      </w:r>
      <w:r w:rsidRPr="00C84716">
        <w:rPr>
          <w:i/>
          <w:iCs/>
          <w:color w:val="000000"/>
        </w:rPr>
        <w:t>Services in Supportive Housing 2009 Annual Report</w:t>
      </w:r>
      <w:r w:rsidRPr="00C84716">
        <w:rPr>
          <w:color w:val="000000"/>
        </w:rPr>
        <w:t>. Newton Centre, MA: Center for Social Innovation, Services in Supportive Housing Technical Assistance Center.</w:t>
      </w:r>
    </w:p>
    <w:p w:rsidR="00C84716" w:rsidRPr="00C84716" w:rsidRDefault="00C84716" w:rsidP="00C84716">
      <w:pPr>
        <w:spacing w:before="240"/>
        <w:ind w:left="720" w:hanging="720"/>
        <w:rPr>
          <w:color w:val="000000"/>
        </w:rPr>
      </w:pPr>
      <w:proofErr w:type="spellStart"/>
      <w:proofErr w:type="gramStart"/>
      <w:r w:rsidRPr="00C84716">
        <w:rPr>
          <w:color w:val="000000"/>
        </w:rPr>
        <w:lastRenderedPageBreak/>
        <w:t>Derogatis</w:t>
      </w:r>
      <w:proofErr w:type="spellEnd"/>
      <w:r w:rsidRPr="00C84716">
        <w:rPr>
          <w:color w:val="000000"/>
        </w:rPr>
        <w:t xml:space="preserve">, L.R., &amp; </w:t>
      </w:r>
      <w:proofErr w:type="spellStart"/>
      <w:r w:rsidRPr="00C84716">
        <w:rPr>
          <w:color w:val="000000"/>
        </w:rPr>
        <w:t>Melisaratos</w:t>
      </w:r>
      <w:proofErr w:type="spellEnd"/>
      <w:r w:rsidRPr="00C84716">
        <w:rPr>
          <w:color w:val="000000"/>
        </w:rPr>
        <w:t>, N. (1983).</w:t>
      </w:r>
      <w:proofErr w:type="gramEnd"/>
      <w:r w:rsidRPr="00C84716">
        <w:rPr>
          <w:color w:val="000000"/>
        </w:rPr>
        <w:t xml:space="preserve"> The Brief Symptom Inventory: An introductory report. </w:t>
      </w:r>
      <w:r w:rsidRPr="00C84716">
        <w:rPr>
          <w:i/>
          <w:color w:val="000000"/>
        </w:rPr>
        <w:t>Psychological Medicine, 13</w:t>
      </w:r>
      <w:r w:rsidRPr="00C84716">
        <w:rPr>
          <w:color w:val="000000"/>
        </w:rPr>
        <w:t>, 595-605.</w:t>
      </w:r>
    </w:p>
    <w:p w:rsidR="00071A27" w:rsidRDefault="00071A27" w:rsidP="00071A27">
      <w:pPr>
        <w:rPr>
          <w:color w:val="1F497D"/>
        </w:rPr>
      </w:pPr>
      <w:r>
        <w:rPr>
          <w:color w:val="1F497D"/>
        </w:rPr>
        <w:t xml:space="preserve">Dunlap, L. J., Zarkin, G. A., Bray, J. W., et al. (2010). </w:t>
      </w:r>
      <w:proofErr w:type="gramStart"/>
      <w:r>
        <w:rPr>
          <w:color w:val="1F497D"/>
        </w:rPr>
        <w:t>Revisiting the cost-effectiveness of the COMBINE study for alcohol dependent patients: the patient perspective.</w:t>
      </w:r>
      <w:proofErr w:type="gramEnd"/>
      <w:r>
        <w:rPr>
          <w:color w:val="1F497D"/>
        </w:rPr>
        <w:t xml:space="preserve"> </w:t>
      </w:r>
      <w:proofErr w:type="gramStart"/>
      <w:r w:rsidRPr="00557381">
        <w:rPr>
          <w:i/>
          <w:iCs/>
          <w:color w:val="1F497D"/>
        </w:rPr>
        <w:t>Med Care, 48</w:t>
      </w:r>
      <w:r>
        <w:rPr>
          <w:color w:val="1F497D"/>
        </w:rPr>
        <w:t>, 306 –331.</w:t>
      </w:r>
      <w:proofErr w:type="gramEnd"/>
    </w:p>
    <w:p w:rsidR="00C84716" w:rsidRPr="00B84FDA" w:rsidRDefault="00C84716" w:rsidP="00071A27">
      <w:pPr>
        <w:spacing w:before="240"/>
      </w:pPr>
      <w:proofErr w:type="spellStart"/>
      <w:proofErr w:type="gramStart"/>
      <w:r w:rsidRPr="00C84716">
        <w:t>Ehrman</w:t>
      </w:r>
      <w:proofErr w:type="spellEnd"/>
      <w:r w:rsidRPr="00C84716">
        <w:t>, R. N., &amp; Robbins, S. J. (1994).</w:t>
      </w:r>
      <w:proofErr w:type="gramEnd"/>
      <w:r w:rsidRPr="00C84716">
        <w:t xml:space="preserve"> </w:t>
      </w:r>
      <w:proofErr w:type="gramStart"/>
      <w:r w:rsidRPr="00C84716">
        <w:t>Reliability and validity of 6-month timeline reports of cocaine and heroin use in a methadone population.</w:t>
      </w:r>
      <w:proofErr w:type="gramEnd"/>
      <w:r w:rsidRPr="00C84716">
        <w:t xml:space="preserve"> </w:t>
      </w:r>
      <w:r w:rsidRPr="00C84716">
        <w:rPr>
          <w:i/>
          <w:iCs/>
        </w:rPr>
        <w:t>Journ</w:t>
      </w:r>
      <w:r w:rsidRPr="00B84FDA">
        <w:rPr>
          <w:i/>
          <w:iCs/>
        </w:rPr>
        <w:t>al of Consulting and Clinical Psychology, 62(4),</w:t>
      </w:r>
      <w:r w:rsidRPr="00B84FDA">
        <w:t xml:space="preserve"> 843-850.</w:t>
      </w:r>
    </w:p>
    <w:p w:rsidR="00C84716" w:rsidRPr="00F716D8" w:rsidRDefault="00C84716" w:rsidP="00C84716">
      <w:pPr>
        <w:spacing w:before="240"/>
        <w:ind w:left="720" w:hanging="720"/>
      </w:pPr>
      <w:proofErr w:type="spellStart"/>
      <w:proofErr w:type="gramStart"/>
      <w:r>
        <w:t>Eisen</w:t>
      </w:r>
      <w:proofErr w:type="spellEnd"/>
      <w:r>
        <w:t xml:space="preserve">, S. V., Dickey, B., &amp; </w:t>
      </w:r>
      <w:proofErr w:type="spellStart"/>
      <w:r>
        <w:t>Sederer</w:t>
      </w:r>
      <w:proofErr w:type="spellEnd"/>
      <w:r>
        <w:t>, L. I. (2000).</w:t>
      </w:r>
      <w:proofErr w:type="gramEnd"/>
      <w:r>
        <w:t xml:space="preserve"> A self-report symptom and problem rating scale to increase inpatients’ involvement in treatment.</w:t>
      </w:r>
      <w:r>
        <w:rPr>
          <w:i/>
          <w:iCs/>
        </w:rPr>
        <w:t xml:space="preserve"> Psychiatric Services, 51, </w:t>
      </w:r>
      <w:r>
        <w:t>349-353.</w:t>
      </w:r>
    </w:p>
    <w:p w:rsidR="00C84716" w:rsidRDefault="00C84716" w:rsidP="00C84716">
      <w:pPr>
        <w:spacing w:before="240"/>
        <w:ind w:left="720" w:hanging="720"/>
      </w:pPr>
      <w:proofErr w:type="spellStart"/>
      <w:proofErr w:type="gramStart"/>
      <w:r>
        <w:t>Eisen</w:t>
      </w:r>
      <w:proofErr w:type="spellEnd"/>
      <w:r>
        <w:t xml:space="preserve">, S. V., Normand, S. L., Belanger, A. J., Spiro, A., &amp; </w:t>
      </w:r>
      <w:proofErr w:type="spellStart"/>
      <w:r>
        <w:t>Esch</w:t>
      </w:r>
      <w:proofErr w:type="spellEnd"/>
      <w:r>
        <w:t>, D. (2004).</w:t>
      </w:r>
      <w:proofErr w:type="gramEnd"/>
      <w:r>
        <w:t xml:space="preserve"> The Revised Behavior and Symptom Identification Scale (BASIS-R): Reliability and validity. </w:t>
      </w:r>
      <w:r>
        <w:rPr>
          <w:i/>
          <w:iCs/>
        </w:rPr>
        <w:t>Medical Care, 42 (12),</w:t>
      </w:r>
      <w:r>
        <w:t xml:space="preserve"> 1230-1241.</w:t>
      </w:r>
    </w:p>
    <w:p w:rsidR="00C84716" w:rsidRDefault="00C84716" w:rsidP="00C84716">
      <w:pPr>
        <w:spacing w:before="240"/>
        <w:ind w:left="720" w:hanging="720"/>
      </w:pPr>
      <w:proofErr w:type="spellStart"/>
      <w:r w:rsidRPr="00896DF0">
        <w:t>Festinger</w:t>
      </w:r>
      <w:proofErr w:type="spellEnd"/>
      <w:r w:rsidRPr="00896DF0">
        <w:t xml:space="preserve">, D. S., Marlowe, D. B., </w:t>
      </w:r>
      <w:proofErr w:type="spellStart"/>
      <w:r w:rsidRPr="00896DF0">
        <w:t>Dugosh</w:t>
      </w:r>
      <w:proofErr w:type="spellEnd"/>
      <w:r w:rsidRPr="00896DF0">
        <w:t xml:space="preserve">, K. L., Croft, J. R., &amp; Arabia, P. L. (2008). Higher magnitude cash payments improve research follow-up rates without increasing drug use or perceived coercion. </w:t>
      </w:r>
      <w:r w:rsidRPr="00896DF0">
        <w:rPr>
          <w:i/>
          <w:iCs/>
        </w:rPr>
        <w:t>Drug and Alcohol Dependence</w:t>
      </w:r>
      <w:r w:rsidRPr="00896DF0">
        <w:t xml:space="preserve">, </w:t>
      </w:r>
      <w:r w:rsidRPr="00896DF0">
        <w:rPr>
          <w:i/>
          <w:iCs/>
        </w:rPr>
        <w:t>96(1-2)</w:t>
      </w:r>
      <w:r w:rsidRPr="00896DF0">
        <w:t>, 128-135.</w:t>
      </w:r>
    </w:p>
    <w:p w:rsidR="00C84716" w:rsidRPr="00B84FDA" w:rsidRDefault="00C84716" w:rsidP="00C84716">
      <w:pPr>
        <w:spacing w:before="240"/>
        <w:ind w:left="720" w:hanging="720"/>
      </w:pPr>
      <w:r w:rsidRPr="00B84FDA">
        <w:t xml:space="preserve">Fischer, S., Shinn, M., </w:t>
      </w:r>
      <w:proofErr w:type="spellStart"/>
      <w:r w:rsidRPr="00B84FDA">
        <w:t>Shrout</w:t>
      </w:r>
      <w:proofErr w:type="spellEnd"/>
      <w:r w:rsidRPr="00B84FDA">
        <w:t xml:space="preserve">, P., &amp; Tsemberis, S. (2008). Homelessness, mental illness, and criminal activity: examining patterns over time. </w:t>
      </w:r>
      <w:r w:rsidRPr="00B84FDA">
        <w:rPr>
          <w:i/>
          <w:iCs/>
        </w:rPr>
        <w:t xml:space="preserve">American Journal </w:t>
      </w:r>
      <w:proofErr w:type="gramStart"/>
      <w:r w:rsidRPr="00B84FDA">
        <w:rPr>
          <w:i/>
          <w:iCs/>
        </w:rPr>
        <w:t>Of</w:t>
      </w:r>
      <w:proofErr w:type="gramEnd"/>
      <w:r w:rsidRPr="00B84FDA">
        <w:rPr>
          <w:i/>
          <w:iCs/>
        </w:rPr>
        <w:t xml:space="preserve"> Community Psychology</w:t>
      </w:r>
      <w:r w:rsidRPr="00B84FDA">
        <w:t>,</w:t>
      </w:r>
      <w:r w:rsidRPr="004E0874">
        <w:rPr>
          <w:i/>
          <w:iCs/>
        </w:rPr>
        <w:t xml:space="preserve"> 42(3-4)</w:t>
      </w:r>
      <w:r w:rsidRPr="00B84FDA">
        <w:t xml:space="preserve">, 251-265. </w:t>
      </w:r>
    </w:p>
    <w:p w:rsidR="00C84716" w:rsidRDefault="00C84716" w:rsidP="00C84716">
      <w:pPr>
        <w:spacing w:before="240"/>
        <w:ind w:left="720" w:hanging="720"/>
      </w:pPr>
      <w:proofErr w:type="spellStart"/>
      <w:proofErr w:type="gramStart"/>
      <w:r w:rsidRPr="00EF61A4">
        <w:t>Ganju</w:t>
      </w:r>
      <w:proofErr w:type="spellEnd"/>
      <w:r w:rsidRPr="00EF61A4">
        <w:t>, V. (1999).</w:t>
      </w:r>
      <w:proofErr w:type="gramEnd"/>
      <w:r w:rsidRPr="00EF61A4">
        <w:t xml:space="preserve"> </w:t>
      </w:r>
      <w:r w:rsidRPr="00EF61A4">
        <w:rPr>
          <w:i/>
        </w:rPr>
        <w:t>The MHSIP Consumer Survey: History, development, revisions, applications, commonly-asked questions</w:t>
      </w:r>
      <w:r w:rsidRPr="00EF61A4">
        <w:t xml:space="preserve">. </w:t>
      </w:r>
      <w:smartTag w:uri="urn:schemas-microsoft-com:office:smarttags" w:element="place">
        <w:smartTag w:uri="urn:schemas-microsoft-com:office:smarttags" w:element="City">
          <w:r w:rsidRPr="00EF61A4">
            <w:t>Washington</w:t>
          </w:r>
        </w:smartTag>
        <w:r w:rsidRPr="00EF61A4">
          <w:t xml:space="preserve">, </w:t>
        </w:r>
        <w:smartTag w:uri="urn:schemas-microsoft-com:office:smarttags" w:element="State">
          <w:r w:rsidRPr="00EF61A4">
            <w:t>DC</w:t>
          </w:r>
        </w:smartTag>
      </w:smartTag>
      <w:r w:rsidRPr="00EF61A4">
        <w:t xml:space="preserve">: National Institute of Mental Health, Mental Health Statistics Improvement Program. </w:t>
      </w:r>
      <w:proofErr w:type="gramStart"/>
      <w:r w:rsidRPr="00EF61A4">
        <w:t>Planning, Research &amp; Evaluation, Texas Department of MHMR.</w:t>
      </w:r>
      <w:proofErr w:type="gramEnd"/>
      <w:r w:rsidRPr="00EF61A4">
        <w:t xml:space="preserve"> </w:t>
      </w:r>
      <w:proofErr w:type="gramStart"/>
      <w:r w:rsidRPr="00EF61A4">
        <w:t>Retrieved February 2, 2010 from http://www.mhsip.org/mhsiptest/documents/MHSIPConsumerSurvey.pdf.</w:t>
      </w:r>
      <w:proofErr w:type="gramEnd"/>
    </w:p>
    <w:p w:rsidR="00C84716" w:rsidRDefault="00C84716" w:rsidP="00C84716">
      <w:pPr>
        <w:spacing w:before="240"/>
        <w:ind w:left="720" w:hanging="720"/>
      </w:pPr>
      <w:proofErr w:type="gramStart"/>
      <w:r>
        <w:t xml:space="preserve">Gardner, W., </w:t>
      </w:r>
      <w:proofErr w:type="spellStart"/>
      <w:r>
        <w:t>Hoge</w:t>
      </w:r>
      <w:proofErr w:type="spellEnd"/>
      <w:r>
        <w:t xml:space="preserve">, S. K., Bennett, N., Roth, L. H., </w:t>
      </w:r>
      <w:proofErr w:type="spellStart"/>
      <w:r>
        <w:t>Lidz</w:t>
      </w:r>
      <w:proofErr w:type="spellEnd"/>
      <w:r>
        <w:t>, D. W., Monahan, J., et al. (1993).</w:t>
      </w:r>
      <w:proofErr w:type="gramEnd"/>
      <w:r>
        <w:t xml:space="preserve"> Two scales for measuring patients’ perceptions of coercion during mental hospital admission. </w:t>
      </w:r>
      <w:r>
        <w:rPr>
          <w:i/>
          <w:iCs/>
        </w:rPr>
        <w:t xml:space="preserve">Behavioral Sciences and the Law, 11 (3), </w:t>
      </w:r>
      <w:r>
        <w:t>307-321.</w:t>
      </w:r>
    </w:p>
    <w:p w:rsidR="00C84716" w:rsidRDefault="00C84716" w:rsidP="00C84716">
      <w:pPr>
        <w:spacing w:before="240"/>
        <w:ind w:left="720" w:hanging="720"/>
      </w:pPr>
      <w:proofErr w:type="gramStart"/>
      <w:r w:rsidRPr="006072FE">
        <w:t>Greenwood, R.M., Schaefer-</w:t>
      </w:r>
      <w:proofErr w:type="spellStart"/>
      <w:r w:rsidRPr="006072FE">
        <w:t>McDanile</w:t>
      </w:r>
      <w:proofErr w:type="spellEnd"/>
      <w:r w:rsidRPr="006072FE">
        <w:t xml:space="preserve">, N.J., </w:t>
      </w:r>
      <w:proofErr w:type="spellStart"/>
      <w:r w:rsidRPr="006072FE">
        <w:t>Winkel</w:t>
      </w:r>
      <w:proofErr w:type="spellEnd"/>
      <w:r w:rsidRPr="006072FE">
        <w:t>, G., &amp; Tsemberis, S.J. (2005).</w:t>
      </w:r>
      <w:proofErr w:type="gramEnd"/>
      <w:r w:rsidRPr="006072FE">
        <w:t xml:space="preserve"> </w:t>
      </w:r>
      <w:proofErr w:type="gramStart"/>
      <w:r w:rsidRPr="006072FE">
        <w:t>Decreasing psychiatric symptoms by increasing choice in services for adults with histories of homelessness.</w:t>
      </w:r>
      <w:proofErr w:type="gramEnd"/>
      <w:r w:rsidRPr="006072FE">
        <w:t xml:space="preserve"> </w:t>
      </w:r>
      <w:r w:rsidRPr="006072FE">
        <w:rPr>
          <w:i/>
          <w:iCs/>
        </w:rPr>
        <w:t>American Journal of Community Psychology, 36,</w:t>
      </w:r>
      <w:r w:rsidRPr="006072FE">
        <w:t xml:space="preserve"> 223-238.</w:t>
      </w:r>
    </w:p>
    <w:p w:rsidR="00C84716" w:rsidRDefault="00C84716" w:rsidP="00C84716">
      <w:pPr>
        <w:spacing w:before="240"/>
        <w:ind w:left="720" w:hanging="720"/>
      </w:pPr>
      <w:proofErr w:type="gramStart"/>
      <w:r w:rsidRPr="00E1219B">
        <w:t>Goodman, L., Saxe, L., &amp; Harvey, M. (1991).</w:t>
      </w:r>
      <w:proofErr w:type="gramEnd"/>
      <w:r w:rsidRPr="00E1219B">
        <w:t xml:space="preserve"> </w:t>
      </w:r>
      <w:proofErr w:type="gramStart"/>
      <w:r w:rsidRPr="00E1219B">
        <w:t>Homelessness as psychological trauma.</w:t>
      </w:r>
      <w:proofErr w:type="gramEnd"/>
      <w:r w:rsidRPr="00E1219B">
        <w:t xml:space="preserve"> </w:t>
      </w:r>
      <w:r w:rsidRPr="00E1219B">
        <w:rPr>
          <w:i/>
          <w:iCs/>
        </w:rPr>
        <w:t>American Psychologist, 46,</w:t>
      </w:r>
      <w:r w:rsidRPr="00E1219B">
        <w:t xml:space="preserve"> 1219-1225.</w:t>
      </w:r>
    </w:p>
    <w:p w:rsidR="00C84716" w:rsidRDefault="00C84716" w:rsidP="00C84716">
      <w:pPr>
        <w:spacing w:before="240"/>
        <w:ind w:left="720" w:hanging="720"/>
      </w:pPr>
      <w:proofErr w:type="spellStart"/>
      <w:r w:rsidRPr="00E1219B">
        <w:lastRenderedPageBreak/>
        <w:t>Gulcur</w:t>
      </w:r>
      <w:proofErr w:type="spellEnd"/>
      <w:r w:rsidRPr="00E1219B">
        <w:t>,</w:t>
      </w:r>
      <w:r>
        <w:t xml:space="preserve"> L., Tsemberis, S., </w:t>
      </w:r>
      <w:proofErr w:type="spellStart"/>
      <w:r>
        <w:t>Stefancic</w:t>
      </w:r>
      <w:proofErr w:type="spellEnd"/>
      <w:r>
        <w:t xml:space="preserve">, A., &amp; Greenwood, R. M. (2007). </w:t>
      </w:r>
      <w:proofErr w:type="gramStart"/>
      <w:r>
        <w:t>Community integration of adults with psychiatric disabilities and histories of homelessness.</w:t>
      </w:r>
      <w:proofErr w:type="gramEnd"/>
      <w:r>
        <w:t xml:space="preserve"> </w:t>
      </w:r>
      <w:r>
        <w:rPr>
          <w:i/>
          <w:iCs/>
        </w:rPr>
        <w:t>Community Mental Health Journal, 43 (3),</w:t>
      </w:r>
      <w:r>
        <w:t xml:space="preserve"> 211-228.</w:t>
      </w:r>
    </w:p>
    <w:p w:rsidR="00C84716" w:rsidRPr="00141F0F" w:rsidRDefault="00C84716" w:rsidP="00C84716">
      <w:pPr>
        <w:spacing w:before="240"/>
        <w:ind w:left="720" w:hanging="720"/>
      </w:pPr>
      <w:proofErr w:type="spellStart"/>
      <w:proofErr w:type="gramStart"/>
      <w:r>
        <w:t>Hasson</w:t>
      </w:r>
      <w:proofErr w:type="spellEnd"/>
      <w:r>
        <w:t xml:space="preserve">, D. &amp; </w:t>
      </w:r>
      <w:proofErr w:type="spellStart"/>
      <w:r>
        <w:t>Arnetz</w:t>
      </w:r>
      <w:proofErr w:type="spellEnd"/>
      <w:r>
        <w:t>, B. B. (2005).</w:t>
      </w:r>
      <w:proofErr w:type="gramEnd"/>
      <w:r>
        <w:t xml:space="preserve"> </w:t>
      </w:r>
      <w:proofErr w:type="gramStart"/>
      <w:r>
        <w:t xml:space="preserve">Validation and findings comparing VAS vs. </w:t>
      </w:r>
      <w:proofErr w:type="spellStart"/>
      <w:r>
        <w:t>Likert</w:t>
      </w:r>
      <w:proofErr w:type="spellEnd"/>
      <w:r>
        <w:t xml:space="preserve"> scales for psychosocial measurements.</w:t>
      </w:r>
      <w:proofErr w:type="gramEnd"/>
      <w:r>
        <w:t xml:space="preserve"> </w:t>
      </w:r>
      <w:r>
        <w:rPr>
          <w:i/>
          <w:iCs/>
        </w:rPr>
        <w:t xml:space="preserve">International Electronic Journal of Health Education, 8, </w:t>
      </w:r>
      <w:r>
        <w:t>178-192.</w:t>
      </w:r>
    </w:p>
    <w:p w:rsidR="00C84716" w:rsidRDefault="00C84716" w:rsidP="00C84716">
      <w:pPr>
        <w:spacing w:before="240"/>
        <w:ind w:left="720" w:hanging="720"/>
      </w:pPr>
      <w:r w:rsidRPr="006072FE">
        <w:t xml:space="preserve">Keane, T., Newman, E., &amp; </w:t>
      </w:r>
      <w:proofErr w:type="spellStart"/>
      <w:r w:rsidRPr="006072FE">
        <w:t>Orsillo</w:t>
      </w:r>
      <w:proofErr w:type="spellEnd"/>
      <w:r w:rsidRPr="006072FE">
        <w:t xml:space="preserve">, S. M. (1997). </w:t>
      </w:r>
      <w:proofErr w:type="gramStart"/>
      <w:r w:rsidRPr="006072FE">
        <w:t>Assessment of military-related posttraumatic stress disorder.</w:t>
      </w:r>
      <w:proofErr w:type="gramEnd"/>
      <w:r w:rsidRPr="006072FE">
        <w:t xml:space="preserve"> In J. Wilson, T. Keane, J. Wilson, T. Keane (Eds.</w:t>
      </w:r>
      <w:proofErr w:type="gramStart"/>
      <w:r w:rsidRPr="006072FE">
        <w:t>) ,</w:t>
      </w:r>
      <w:proofErr w:type="gramEnd"/>
      <w:r w:rsidRPr="006072FE">
        <w:t xml:space="preserve"> </w:t>
      </w:r>
      <w:r w:rsidRPr="006072FE">
        <w:rPr>
          <w:i/>
          <w:iCs/>
        </w:rPr>
        <w:t>Assessing psychological trauma and PTSD</w:t>
      </w:r>
      <w:r w:rsidRPr="006072FE">
        <w:t xml:space="preserve"> (pp. 267-290). New York, NY US: Guilford Press. </w:t>
      </w:r>
    </w:p>
    <w:p w:rsidR="00C84716" w:rsidRDefault="00C84716" w:rsidP="00C84716">
      <w:pPr>
        <w:spacing w:before="240"/>
        <w:ind w:left="720" w:hanging="720"/>
      </w:pPr>
      <w:proofErr w:type="gramStart"/>
      <w:r w:rsidRPr="00E1219B">
        <w:t xml:space="preserve">Kline, A., Callahan, L., Butler, M., St. Hill, L., </w:t>
      </w:r>
      <w:proofErr w:type="spellStart"/>
      <w:r w:rsidRPr="00E1219B">
        <w:t>Losonczy</w:t>
      </w:r>
      <w:proofErr w:type="spellEnd"/>
      <w:r w:rsidRPr="00E1219B">
        <w:t>, M. F., &amp; Smelson, D. A. (2009).</w:t>
      </w:r>
      <w:proofErr w:type="gramEnd"/>
      <w:r w:rsidRPr="00E1219B">
        <w:t xml:space="preserve"> The relationship between military service era and psychosocial treatment needs among homeless veterans with a co-occurring substance abuse and mental health disorder. </w:t>
      </w:r>
      <w:r w:rsidRPr="00E1219B">
        <w:rPr>
          <w:i/>
          <w:iCs/>
        </w:rPr>
        <w:t>Journal of Dual Diagnosis</w:t>
      </w:r>
      <w:r w:rsidRPr="00E1219B">
        <w:t xml:space="preserve">, </w:t>
      </w:r>
      <w:r w:rsidRPr="00E1219B">
        <w:rPr>
          <w:i/>
          <w:iCs/>
        </w:rPr>
        <w:t>5,</w:t>
      </w:r>
      <w:r w:rsidRPr="00E1219B">
        <w:t xml:space="preserve"> 357–374</w:t>
      </w:r>
      <w:r w:rsidRPr="00E1219B">
        <w:rPr>
          <w:i/>
          <w:iCs/>
        </w:rPr>
        <w:t>.</w:t>
      </w:r>
    </w:p>
    <w:p w:rsidR="00C84716" w:rsidRDefault="00C84716" w:rsidP="00C84716">
      <w:pPr>
        <w:spacing w:before="240"/>
        <w:ind w:left="720" w:hanging="720"/>
      </w:pPr>
      <w:r w:rsidRPr="000251D2">
        <w:t xml:space="preserve">Koenig, H. G., </w:t>
      </w:r>
      <w:proofErr w:type="spellStart"/>
      <w:r w:rsidRPr="000251D2">
        <w:t>Westlund</w:t>
      </w:r>
      <w:proofErr w:type="spellEnd"/>
      <w:r w:rsidRPr="000251D2">
        <w:t xml:space="preserve">, R. E., George, L. K., &amp; Hughes, D. C. (1993). </w:t>
      </w:r>
      <w:proofErr w:type="gramStart"/>
      <w:r w:rsidRPr="000251D2">
        <w:t>Abbreviating the Duke Social Support Index for use in chronically ill elderly individuals.</w:t>
      </w:r>
      <w:proofErr w:type="gramEnd"/>
      <w:r w:rsidRPr="000251D2">
        <w:t xml:space="preserve"> </w:t>
      </w:r>
      <w:r w:rsidRPr="000251D2">
        <w:rPr>
          <w:i/>
          <w:iCs/>
        </w:rPr>
        <w:t>Psychosomatics: Journal of Consultation Liaison Psychiatry</w:t>
      </w:r>
      <w:r w:rsidRPr="000251D2">
        <w:t xml:space="preserve">, </w:t>
      </w:r>
      <w:r w:rsidRPr="0074716A">
        <w:rPr>
          <w:i/>
          <w:iCs/>
        </w:rPr>
        <w:t>34(1),</w:t>
      </w:r>
      <w:r w:rsidRPr="000251D2">
        <w:t xml:space="preserve"> 61-69. </w:t>
      </w:r>
    </w:p>
    <w:p w:rsidR="00C84716" w:rsidRDefault="00C84716" w:rsidP="00C84716">
      <w:pPr>
        <w:spacing w:before="240"/>
        <w:ind w:left="720" w:hanging="720"/>
      </w:pPr>
      <w:proofErr w:type="gramStart"/>
      <w:r w:rsidRPr="0074716A">
        <w:t>Lang, A. J., &amp; Stein, M. B. (2005).</w:t>
      </w:r>
      <w:proofErr w:type="gramEnd"/>
      <w:r w:rsidRPr="0074716A">
        <w:t xml:space="preserve"> </w:t>
      </w:r>
      <w:proofErr w:type="gramStart"/>
      <w:r w:rsidRPr="0074716A">
        <w:t>An abbreviated PTSD checklist for use as a screening instrument in primary care.</w:t>
      </w:r>
      <w:proofErr w:type="gramEnd"/>
      <w:r w:rsidRPr="0074716A">
        <w:t xml:space="preserve"> </w:t>
      </w:r>
      <w:proofErr w:type="spellStart"/>
      <w:r w:rsidRPr="0074716A">
        <w:rPr>
          <w:i/>
          <w:iCs/>
        </w:rPr>
        <w:t>Behaviour</w:t>
      </w:r>
      <w:proofErr w:type="spellEnd"/>
      <w:r w:rsidRPr="0074716A">
        <w:rPr>
          <w:i/>
          <w:iCs/>
        </w:rPr>
        <w:t xml:space="preserve"> Research and Therapy, 43,</w:t>
      </w:r>
      <w:r w:rsidRPr="0074716A">
        <w:t xml:space="preserve"> 585–594.</w:t>
      </w:r>
    </w:p>
    <w:p w:rsidR="00CB7992" w:rsidRPr="00CB7992" w:rsidRDefault="00CB7992" w:rsidP="00CB7992">
      <w:pPr>
        <w:autoSpaceDE w:val="0"/>
        <w:autoSpaceDN w:val="0"/>
        <w:adjustRightInd w:val="0"/>
        <w:spacing w:after="0" w:line="240" w:lineRule="auto"/>
        <w:ind w:left="720" w:hanging="720"/>
      </w:pPr>
      <w:r w:rsidRPr="00CB7992">
        <w:rPr>
          <w:rFonts w:cs="NewCenturySchlbk-Roman"/>
        </w:rPr>
        <w:t xml:space="preserve">Lattimore, P. K., </w:t>
      </w:r>
      <w:proofErr w:type="spellStart"/>
      <w:r w:rsidRPr="00CB7992">
        <w:rPr>
          <w:rFonts w:cs="NewCenturySchlbk-Roman"/>
        </w:rPr>
        <w:t>Visher</w:t>
      </w:r>
      <w:proofErr w:type="spellEnd"/>
      <w:r w:rsidRPr="00CB7992">
        <w:rPr>
          <w:rFonts w:cs="NewCenturySchlbk-Roman"/>
        </w:rPr>
        <w:t xml:space="preserve">, C. A., </w:t>
      </w:r>
      <w:proofErr w:type="spellStart"/>
      <w:r w:rsidRPr="00CB7992">
        <w:rPr>
          <w:rFonts w:cs="NewCenturySchlbk-Roman"/>
        </w:rPr>
        <w:t>Winterfield</w:t>
      </w:r>
      <w:proofErr w:type="spellEnd"/>
      <w:r w:rsidRPr="00CB7992">
        <w:rPr>
          <w:rFonts w:cs="NewCenturySchlbk-Roman"/>
        </w:rPr>
        <w:t xml:space="preserve">, L., Lindquist, C., &amp; Brumbaugh, S. (2005). Implementation of prisoner reentry programs: Findings from the Serious and Violent Offender Reentry Initiative multi-site evaluation. </w:t>
      </w:r>
      <w:r w:rsidRPr="00CB7992">
        <w:rPr>
          <w:rFonts w:cs="NewCenturySchlbk-Italic"/>
          <w:i/>
          <w:iCs/>
        </w:rPr>
        <w:t>Justice Research and Policy</w:t>
      </w:r>
      <w:r w:rsidRPr="00CB7992">
        <w:rPr>
          <w:rFonts w:cs="NewCenturySchlbk-Roman"/>
        </w:rPr>
        <w:t xml:space="preserve">, </w:t>
      </w:r>
      <w:r w:rsidRPr="00CB7992">
        <w:rPr>
          <w:rFonts w:cs="NewCenturySchlbk-Italic"/>
          <w:i/>
          <w:iCs/>
        </w:rPr>
        <w:t>7</w:t>
      </w:r>
      <w:r w:rsidRPr="00CB7992">
        <w:rPr>
          <w:rFonts w:cs="NewCenturySchlbk-Roman"/>
        </w:rPr>
        <w:t>(2), 87–109.</w:t>
      </w:r>
    </w:p>
    <w:p w:rsidR="00C84716" w:rsidRDefault="00C84716" w:rsidP="00C84716">
      <w:pPr>
        <w:spacing w:before="240"/>
        <w:ind w:left="720" w:hanging="720"/>
      </w:pPr>
      <w:r w:rsidRPr="00CB7992">
        <w:t xml:space="preserve">Le Fauve, C. (2009, Feb.). </w:t>
      </w:r>
      <w:r w:rsidRPr="00CB7992">
        <w:rPr>
          <w:i/>
          <w:iCs/>
        </w:rPr>
        <w:t>Lessons</w:t>
      </w:r>
      <w:r w:rsidRPr="00B74FF7">
        <w:rPr>
          <w:i/>
          <w:iCs/>
        </w:rPr>
        <w:t xml:space="preserve"> learned from the Center for Substance Abuse Treatment homeless portfolio. </w:t>
      </w:r>
      <w:proofErr w:type="gramStart"/>
      <w:r w:rsidRPr="00B74FF7">
        <w:t>Presented</w:t>
      </w:r>
      <w:r>
        <w:t xml:space="preserve"> </w:t>
      </w:r>
      <w:r w:rsidRPr="00B74FF7">
        <w:t>at the CADCA Forum XIX, National Harbor, MD.</w:t>
      </w:r>
      <w:proofErr w:type="gramEnd"/>
    </w:p>
    <w:p w:rsidR="00C84716" w:rsidRDefault="00C84716" w:rsidP="00C84716">
      <w:pPr>
        <w:spacing w:before="240"/>
        <w:ind w:left="720" w:hanging="720"/>
      </w:pPr>
      <w:r>
        <w:t>Lehman, A.</w:t>
      </w:r>
      <w:r w:rsidRPr="003A3320">
        <w:t xml:space="preserve"> </w:t>
      </w:r>
      <w:r>
        <w:t xml:space="preserve">F. </w:t>
      </w:r>
      <w:r w:rsidRPr="003A3320">
        <w:t xml:space="preserve">(1988). A Quality of Life Interview for the </w:t>
      </w:r>
      <w:r>
        <w:t>c</w:t>
      </w:r>
      <w:r w:rsidRPr="003A3320">
        <w:t xml:space="preserve">hronically </w:t>
      </w:r>
      <w:r>
        <w:t>m</w:t>
      </w:r>
      <w:r w:rsidRPr="003A3320">
        <w:t xml:space="preserve">entally </w:t>
      </w:r>
      <w:r>
        <w:t>ill</w:t>
      </w:r>
      <w:r w:rsidRPr="003A3320">
        <w:t xml:space="preserve">. </w:t>
      </w:r>
      <w:proofErr w:type="gramStart"/>
      <w:r w:rsidRPr="003A3320">
        <w:rPr>
          <w:i/>
          <w:iCs/>
        </w:rPr>
        <w:t>Evaluation and Program Planning</w:t>
      </w:r>
      <w:r>
        <w:rPr>
          <w:i/>
          <w:iCs/>
        </w:rPr>
        <w:t>,</w:t>
      </w:r>
      <w:r w:rsidRPr="003A3320">
        <w:rPr>
          <w:i/>
          <w:iCs/>
        </w:rPr>
        <w:t xml:space="preserve"> 11,</w:t>
      </w:r>
      <w:r w:rsidRPr="003A3320">
        <w:t xml:space="preserve"> 51</w:t>
      </w:r>
      <w:r w:rsidRPr="003A3320">
        <w:noBreakHyphen/>
        <w:t>62.</w:t>
      </w:r>
      <w:proofErr w:type="gramEnd"/>
    </w:p>
    <w:p w:rsidR="00C84716" w:rsidRDefault="00C84716" w:rsidP="00C84716">
      <w:pPr>
        <w:spacing w:before="240"/>
        <w:ind w:left="720" w:hanging="720"/>
      </w:pPr>
      <w:proofErr w:type="gramStart"/>
      <w:r w:rsidRPr="0074716A">
        <w:t>Lehman, A. F., Slaughter, J. G., &amp; Myers, C. (1991).</w:t>
      </w:r>
      <w:proofErr w:type="gramEnd"/>
      <w:r w:rsidRPr="0074716A">
        <w:t xml:space="preserve"> </w:t>
      </w:r>
      <w:proofErr w:type="gramStart"/>
      <w:r w:rsidRPr="0074716A">
        <w:t>Quality of life in alternative residential settings.</w:t>
      </w:r>
      <w:proofErr w:type="gramEnd"/>
      <w:r w:rsidRPr="0074716A">
        <w:t xml:space="preserve"> </w:t>
      </w:r>
      <w:r w:rsidRPr="0074716A">
        <w:rPr>
          <w:i/>
          <w:iCs/>
        </w:rPr>
        <w:t>Psychiatric Quarterly</w:t>
      </w:r>
      <w:r w:rsidRPr="0074716A">
        <w:t xml:space="preserve">, </w:t>
      </w:r>
      <w:r w:rsidRPr="003A3320">
        <w:rPr>
          <w:i/>
          <w:iCs/>
        </w:rPr>
        <w:t>62(1),</w:t>
      </w:r>
      <w:r w:rsidRPr="0074716A">
        <w:t xml:space="preserve"> 35-49. </w:t>
      </w:r>
    </w:p>
    <w:p w:rsidR="00C84716" w:rsidRDefault="00C84716" w:rsidP="00C84716">
      <w:pPr>
        <w:spacing w:before="240"/>
        <w:ind w:left="720" w:hanging="720"/>
      </w:pPr>
      <w:proofErr w:type="spellStart"/>
      <w:proofErr w:type="gramStart"/>
      <w:r w:rsidRPr="004D5778">
        <w:t>McEvoy</w:t>
      </w:r>
      <w:proofErr w:type="spellEnd"/>
      <w:r w:rsidRPr="004D5778">
        <w:t xml:space="preserve">, J. P., </w:t>
      </w:r>
      <w:proofErr w:type="spellStart"/>
      <w:r w:rsidRPr="004D5778">
        <w:t>Apperson</w:t>
      </w:r>
      <w:proofErr w:type="spellEnd"/>
      <w:r w:rsidRPr="004D5778">
        <w:t xml:space="preserve">, L., </w:t>
      </w:r>
      <w:proofErr w:type="spellStart"/>
      <w:r w:rsidRPr="004D5778">
        <w:t>Appelbaum</w:t>
      </w:r>
      <w:proofErr w:type="spellEnd"/>
      <w:r w:rsidRPr="004D5778">
        <w:t xml:space="preserve">, P. S., &amp; </w:t>
      </w:r>
      <w:proofErr w:type="spellStart"/>
      <w:r w:rsidRPr="004D5778">
        <w:t>Ortlip</w:t>
      </w:r>
      <w:proofErr w:type="spellEnd"/>
      <w:r w:rsidRPr="004D5778">
        <w:t>, P. (1989).</w:t>
      </w:r>
      <w:proofErr w:type="gramEnd"/>
      <w:r w:rsidRPr="004D5778">
        <w:t xml:space="preserve"> Insight in schizophrenia: Its relationship to acute psychopathology. </w:t>
      </w:r>
      <w:r w:rsidRPr="004D5778">
        <w:rPr>
          <w:i/>
          <w:iCs/>
        </w:rPr>
        <w:t>Journal of Nervous and Mental Disease</w:t>
      </w:r>
      <w:r w:rsidRPr="004D5778">
        <w:t>,</w:t>
      </w:r>
      <w:r w:rsidRPr="004D5778">
        <w:rPr>
          <w:i/>
          <w:iCs/>
        </w:rPr>
        <w:t xml:space="preserve"> 177(1)</w:t>
      </w:r>
      <w:r w:rsidRPr="004D5778">
        <w:t xml:space="preserve">, 43-47. </w:t>
      </w:r>
    </w:p>
    <w:p w:rsidR="00C84716" w:rsidRDefault="00C84716" w:rsidP="00C84716">
      <w:pPr>
        <w:spacing w:before="240"/>
        <w:ind w:left="720" w:hanging="720"/>
      </w:pPr>
      <w:proofErr w:type="spellStart"/>
      <w:proofErr w:type="gramStart"/>
      <w:r w:rsidRPr="004E0874">
        <w:t>Milby</w:t>
      </w:r>
      <w:proofErr w:type="spellEnd"/>
      <w:r w:rsidRPr="004E0874">
        <w:t>, J. B., Wallace, D., Ward, C. L., Schumacher, J.E., &amp; Michael, M. (2005).</w:t>
      </w:r>
      <w:proofErr w:type="gramEnd"/>
      <w:r w:rsidRPr="004E0874">
        <w:t xml:space="preserve"> Towards a more sensitive assessment of homelessness: The Homelessness Severity Scale. </w:t>
      </w:r>
      <w:r w:rsidRPr="004E0874">
        <w:rPr>
          <w:i/>
          <w:iCs/>
        </w:rPr>
        <w:t>Journal of Social Distress and Homelessness, 14</w:t>
      </w:r>
      <w:r w:rsidRPr="004E0874">
        <w:t>(3/4), 151–169.</w:t>
      </w:r>
    </w:p>
    <w:p w:rsidR="00AE2D32" w:rsidRPr="00AE2D32" w:rsidRDefault="00AE2D32" w:rsidP="00AE2D32">
      <w:pPr>
        <w:ind w:left="720" w:hanging="720"/>
      </w:pPr>
      <w:proofErr w:type="gramStart"/>
      <w:r w:rsidRPr="00AE2D32">
        <w:rPr>
          <w:rFonts w:ascii="Times New Roman" w:hAnsi="Times New Roman"/>
          <w:color w:val="4A4A4A"/>
        </w:rPr>
        <w:lastRenderedPageBreak/>
        <w:t>Naples, M., Morris, L.S. &amp; Henry J. Steadman, H.J. (2007).</w:t>
      </w:r>
      <w:proofErr w:type="gramEnd"/>
      <w:r w:rsidRPr="00AE2D32">
        <w:rPr>
          <w:rFonts w:ascii="Times New Roman" w:hAnsi="Times New Roman"/>
          <w:color w:val="4A4A4A"/>
        </w:rPr>
        <w:t xml:space="preserve"> Factors in disproportionate representation among persons recommended by programs and accepted by courts for jail diversion. </w:t>
      </w:r>
      <w:r w:rsidRPr="00AE2D32">
        <w:rPr>
          <w:rFonts w:ascii="Times New Roman" w:hAnsi="Times New Roman"/>
          <w:i/>
          <w:iCs/>
          <w:color w:val="4A4A4A"/>
        </w:rPr>
        <w:t>Psychiatric Services</w:t>
      </w:r>
      <w:r w:rsidRPr="00AE2D32">
        <w:rPr>
          <w:rFonts w:ascii="Times New Roman" w:hAnsi="Times New Roman"/>
          <w:color w:val="4A4A4A"/>
        </w:rPr>
        <w:t>, 58, 1095-1101.</w:t>
      </w:r>
    </w:p>
    <w:p w:rsidR="00C84716" w:rsidRPr="004E0874" w:rsidRDefault="00C84716" w:rsidP="00C84716">
      <w:pPr>
        <w:spacing w:before="240"/>
        <w:ind w:left="720" w:hanging="720"/>
      </w:pPr>
      <w:r w:rsidRPr="004E0874">
        <w:t xml:space="preserve">North, C. S., </w:t>
      </w:r>
      <w:proofErr w:type="spellStart"/>
      <w:r w:rsidRPr="004E0874">
        <w:t>Eyrich</w:t>
      </w:r>
      <w:proofErr w:type="spellEnd"/>
      <w:r w:rsidRPr="004E0874">
        <w:t xml:space="preserve">, K. M., </w:t>
      </w:r>
      <w:proofErr w:type="spellStart"/>
      <w:r w:rsidRPr="004E0874">
        <w:t>Pollio</w:t>
      </w:r>
      <w:proofErr w:type="spellEnd"/>
      <w:r w:rsidRPr="004E0874">
        <w:t xml:space="preserve">, D. E., &amp; </w:t>
      </w:r>
      <w:proofErr w:type="spellStart"/>
      <w:r w:rsidRPr="004E0874">
        <w:t>Spitznagel</w:t>
      </w:r>
      <w:proofErr w:type="spellEnd"/>
      <w:r w:rsidRPr="004E0874">
        <w:t xml:space="preserve">, E. L. (2004). Are rates of psychiatric disorders in the homeless population changing? </w:t>
      </w:r>
      <w:r w:rsidRPr="004E0874">
        <w:rPr>
          <w:i/>
          <w:iCs/>
        </w:rPr>
        <w:t>American Journal of Public Health</w:t>
      </w:r>
      <w:r w:rsidRPr="004E0874">
        <w:t xml:space="preserve">, </w:t>
      </w:r>
      <w:r w:rsidRPr="004E0874">
        <w:rPr>
          <w:i/>
          <w:iCs/>
        </w:rPr>
        <w:t>94</w:t>
      </w:r>
      <w:r w:rsidRPr="004E0874">
        <w:t>, 103–108.</w:t>
      </w:r>
    </w:p>
    <w:p w:rsidR="00C84716" w:rsidRPr="00502911" w:rsidRDefault="00C84716" w:rsidP="00C84716">
      <w:pPr>
        <w:spacing w:before="240"/>
        <w:ind w:left="720" w:hanging="720"/>
      </w:pPr>
      <w:proofErr w:type="gramStart"/>
      <w:r w:rsidRPr="00502911">
        <w:t>Overall, J.E., &amp; Gorham, D.R. (1988).</w:t>
      </w:r>
      <w:proofErr w:type="gramEnd"/>
      <w:r w:rsidRPr="00502911">
        <w:t xml:space="preserve"> The Brief Psychiatric Rating Scale (BPRS): Recent developments in ascertainment and scaling. </w:t>
      </w:r>
      <w:r w:rsidRPr="00502911">
        <w:rPr>
          <w:i/>
        </w:rPr>
        <w:t xml:space="preserve">Psychopharmacology Bulletin, 24, </w:t>
      </w:r>
      <w:r w:rsidRPr="00502911">
        <w:t>97-99.</w:t>
      </w:r>
    </w:p>
    <w:p w:rsidR="00C84716" w:rsidRPr="00D0164E" w:rsidRDefault="00C84716" w:rsidP="00C84716">
      <w:pPr>
        <w:spacing w:before="240"/>
        <w:ind w:left="720" w:hanging="720"/>
      </w:pPr>
      <w:proofErr w:type="gramStart"/>
      <w:r>
        <w:t xml:space="preserve">Patterson, R. L., O’Sullivan, M. J., &amp; </w:t>
      </w:r>
      <w:proofErr w:type="spellStart"/>
      <w:r>
        <w:t>Spielberger</w:t>
      </w:r>
      <w:proofErr w:type="spellEnd"/>
      <w:r>
        <w:t>, C. D. (1980).</w:t>
      </w:r>
      <w:proofErr w:type="gramEnd"/>
      <w:r>
        <w:t xml:space="preserve"> </w:t>
      </w:r>
      <w:proofErr w:type="gramStart"/>
      <w:r w:rsidRPr="00D0164E">
        <w:t>Measurement of state and trait anxiety in elderly mental health clients.</w:t>
      </w:r>
      <w:proofErr w:type="gramEnd"/>
      <w:r>
        <w:t xml:space="preserve"> </w:t>
      </w:r>
      <w:r>
        <w:rPr>
          <w:i/>
          <w:iCs/>
        </w:rPr>
        <w:t>Journal of Psychopathology and Behavioral Assessment, 2 (2),</w:t>
      </w:r>
      <w:r>
        <w:t xml:space="preserve"> 89-97.</w:t>
      </w:r>
    </w:p>
    <w:p w:rsidR="00C84716" w:rsidRPr="006B41C1" w:rsidRDefault="00C84716" w:rsidP="00C84716">
      <w:pPr>
        <w:spacing w:before="240"/>
        <w:ind w:left="720" w:hanging="720"/>
      </w:pPr>
      <w:proofErr w:type="gramStart"/>
      <w:r w:rsidRPr="006B41C1">
        <w:t xml:space="preserve">Peters, R.H., </w:t>
      </w:r>
      <w:proofErr w:type="spellStart"/>
      <w:r w:rsidRPr="006B41C1">
        <w:t>Bartoi</w:t>
      </w:r>
      <w:proofErr w:type="spellEnd"/>
      <w:r w:rsidRPr="006B41C1">
        <w:t>, M.G., &amp; Sherman, P.B. (2008).</w:t>
      </w:r>
      <w:proofErr w:type="gramEnd"/>
      <w:r w:rsidRPr="006B41C1">
        <w:t xml:space="preserve"> </w:t>
      </w:r>
      <w:proofErr w:type="gramStart"/>
      <w:r w:rsidRPr="006B41C1">
        <w:t>Screening and assessment of co-occurring disorders in the justice system.</w:t>
      </w:r>
      <w:proofErr w:type="gramEnd"/>
      <w:r w:rsidRPr="006B41C1">
        <w:t xml:space="preserve"> Delmar, NY: CMHS National GAINS Center.</w:t>
      </w:r>
    </w:p>
    <w:p w:rsidR="00C84716" w:rsidRDefault="00C84716" w:rsidP="00C84716">
      <w:pPr>
        <w:spacing w:before="240"/>
        <w:ind w:left="720" w:hanging="720"/>
      </w:pPr>
      <w:proofErr w:type="gramStart"/>
      <w:r w:rsidRPr="00502911">
        <w:t>Peters, R.H., &amp; Wexler, H.K. (Editors) (2005).</w:t>
      </w:r>
      <w:proofErr w:type="gramEnd"/>
      <w:r w:rsidRPr="00502911">
        <w:t xml:space="preserve"> </w:t>
      </w:r>
      <w:proofErr w:type="gramStart"/>
      <w:r w:rsidRPr="00502911">
        <w:rPr>
          <w:i/>
          <w:iCs/>
        </w:rPr>
        <w:t>Substance abuse treatment for adults in the criminal Justice system.</w:t>
      </w:r>
      <w:proofErr w:type="gramEnd"/>
      <w:r w:rsidRPr="00502911">
        <w:rPr>
          <w:i/>
          <w:iCs/>
        </w:rPr>
        <w:t xml:space="preserve"> Treatment Improvement Protocol (TIP) 44</w:t>
      </w:r>
      <w:r w:rsidRPr="00502911">
        <w:t>. Substance Abuse and Mental Health Services Administration, Center for Substance Abuse Treatment.</w:t>
      </w:r>
    </w:p>
    <w:p w:rsidR="00C84716" w:rsidRPr="00A74905" w:rsidRDefault="00C84716" w:rsidP="00C84716">
      <w:pPr>
        <w:spacing w:before="240"/>
        <w:ind w:left="720" w:hanging="720"/>
      </w:pPr>
      <w:proofErr w:type="gramStart"/>
      <w:r w:rsidRPr="006B41C1">
        <w:t>Robbins, P. C., Callahan, L., &amp; Monahan, J. (2009).</w:t>
      </w:r>
      <w:proofErr w:type="gramEnd"/>
      <w:r w:rsidRPr="006B41C1">
        <w:t xml:space="preserve"> </w:t>
      </w:r>
      <w:proofErr w:type="gramStart"/>
      <w:r w:rsidRPr="006B41C1">
        <w:t>Perceived coercion to treatment and housing satisfaction in housing-first and supportive housing programs.</w:t>
      </w:r>
      <w:proofErr w:type="gramEnd"/>
      <w:r w:rsidRPr="006B41C1">
        <w:t xml:space="preserve"> </w:t>
      </w:r>
      <w:r w:rsidRPr="006B41C1">
        <w:rPr>
          <w:i/>
        </w:rPr>
        <w:t>Psychiatric Services, 60</w:t>
      </w:r>
      <w:r w:rsidRPr="006B41C1">
        <w:t>, 1251–</w:t>
      </w:r>
      <w:r w:rsidRPr="00A74905">
        <w:t>1253.</w:t>
      </w:r>
    </w:p>
    <w:p w:rsidR="00C84716" w:rsidRPr="00A74905" w:rsidRDefault="00C84716" w:rsidP="00C84716">
      <w:pPr>
        <w:spacing w:before="240"/>
        <w:ind w:left="720" w:hanging="720"/>
      </w:pPr>
      <w:proofErr w:type="spellStart"/>
      <w:r w:rsidRPr="00A74905">
        <w:t>Rog</w:t>
      </w:r>
      <w:proofErr w:type="spellEnd"/>
      <w:r w:rsidRPr="00A74905">
        <w:t xml:space="preserve">, D. J., &amp; Buckner, J. C. (2007). </w:t>
      </w:r>
      <w:proofErr w:type="gramStart"/>
      <w:r w:rsidRPr="00A74905">
        <w:t>Homeless Families and Children.</w:t>
      </w:r>
      <w:proofErr w:type="gramEnd"/>
      <w:r w:rsidRPr="00A74905">
        <w:t xml:space="preserve"> In D. Dennis, G. Locke, &amp; J. </w:t>
      </w:r>
      <w:proofErr w:type="spellStart"/>
      <w:r w:rsidRPr="00A74905">
        <w:t>Khadduri</w:t>
      </w:r>
      <w:proofErr w:type="spellEnd"/>
      <w:r w:rsidRPr="00A74905">
        <w:t xml:space="preserve"> (Eds.), </w:t>
      </w:r>
      <w:r w:rsidRPr="00A74905">
        <w:rPr>
          <w:i/>
          <w:iCs/>
        </w:rPr>
        <w:t>2007 Symposium on Homelessness Research</w:t>
      </w:r>
      <w:r w:rsidRPr="00A74905">
        <w:t xml:space="preserve"> (pp. 5-1 through 5-33). </w:t>
      </w:r>
      <w:smartTag w:uri="urn:schemas-microsoft-com:office:smarttags" w:element="City">
        <w:r w:rsidRPr="00A74905">
          <w:t>Washington</w:t>
        </w:r>
      </w:smartTag>
      <w:r w:rsidRPr="00A74905">
        <w:t xml:space="preserve">, </w:t>
      </w:r>
      <w:smartTag w:uri="urn:schemas-microsoft-com:office:smarttags" w:element="State">
        <w:r w:rsidRPr="00A74905">
          <w:t>DC</w:t>
        </w:r>
      </w:smartTag>
      <w:r w:rsidRPr="00A74905">
        <w:t xml:space="preserve">: </w:t>
      </w:r>
      <w:smartTag w:uri="urn:schemas-microsoft-com:office:smarttags" w:element="country-region">
        <w:r w:rsidRPr="00A74905">
          <w:t>U.S.</w:t>
        </w:r>
      </w:smartTag>
      <w:r w:rsidRPr="00A74905">
        <w:t xml:space="preserve"> Department of Health and Human Services and </w:t>
      </w:r>
      <w:smartTag w:uri="urn:schemas-microsoft-com:office:smarttags" w:element="place">
        <w:smartTag w:uri="urn:schemas-microsoft-com:office:smarttags" w:element="country-region">
          <w:r w:rsidRPr="00A74905">
            <w:t>U.S.</w:t>
          </w:r>
        </w:smartTag>
      </w:smartTag>
      <w:r w:rsidRPr="00A74905">
        <w:t xml:space="preserve"> Department of Housing and Urban Development. </w:t>
      </w:r>
      <w:proofErr w:type="gramStart"/>
      <w:r w:rsidRPr="00A74905">
        <w:t>Retrieved on October 26, 2009, from</w:t>
      </w:r>
      <w:r w:rsidRPr="00A74905">
        <w:rPr>
          <w:i/>
          <w:iCs/>
        </w:rPr>
        <w:t xml:space="preserve"> </w:t>
      </w:r>
      <w:hyperlink r:id="rId10" w:history="1">
        <w:r w:rsidRPr="00A74905">
          <w:rPr>
            <w:rStyle w:val="Hyperlink"/>
          </w:rPr>
          <w:t>http://aspe.</w:t>
        </w:r>
        <w:proofErr w:type="gramEnd"/>
        <w:r w:rsidRPr="00A74905">
          <w:rPr>
            <w:rStyle w:val="Hyperlink"/>
          </w:rPr>
          <w:t xml:space="preserve"> </w:t>
        </w:r>
        <w:proofErr w:type="spellStart"/>
        <w:r w:rsidRPr="00A74905">
          <w:rPr>
            <w:rStyle w:val="Hyperlink"/>
          </w:rPr>
          <w:t>hhs</w:t>
        </w:r>
        <w:proofErr w:type="spellEnd"/>
        <w:r w:rsidRPr="00A74905">
          <w:rPr>
            <w:rStyle w:val="Hyperlink"/>
          </w:rPr>
          <w:t xml:space="preserve">. </w:t>
        </w:r>
        <w:proofErr w:type="spellStart"/>
        <w:proofErr w:type="gramStart"/>
        <w:r w:rsidRPr="00A74905">
          <w:rPr>
            <w:rStyle w:val="Hyperlink"/>
          </w:rPr>
          <w:t>gov</w:t>
        </w:r>
        <w:proofErr w:type="spellEnd"/>
        <w:r w:rsidRPr="00A74905">
          <w:rPr>
            <w:rStyle w:val="Hyperlink"/>
          </w:rPr>
          <w:t>/</w:t>
        </w:r>
        <w:proofErr w:type="spellStart"/>
        <w:r w:rsidRPr="00A74905">
          <w:rPr>
            <w:rStyle w:val="Hyperlink"/>
          </w:rPr>
          <w:t>hsp</w:t>
        </w:r>
        <w:proofErr w:type="spellEnd"/>
        <w:r w:rsidRPr="00A74905">
          <w:rPr>
            <w:rStyle w:val="Hyperlink"/>
          </w:rPr>
          <w:t>/homelessness/symposium07/</w:t>
        </w:r>
        <w:proofErr w:type="spellStart"/>
      </w:hyperlink>
      <w:r w:rsidRPr="00A74905">
        <w:t>rog</w:t>
      </w:r>
      <w:proofErr w:type="spellEnd"/>
      <w:proofErr w:type="gramEnd"/>
      <w:r w:rsidRPr="00A74905">
        <w:t>/</w:t>
      </w:r>
    </w:p>
    <w:p w:rsidR="00C84716" w:rsidRPr="00A74905" w:rsidRDefault="00C84716" w:rsidP="00C84716">
      <w:pPr>
        <w:spacing w:before="240" w:after="0" w:line="240" w:lineRule="auto"/>
        <w:ind w:left="720" w:hanging="720"/>
      </w:pPr>
      <w:proofErr w:type="spellStart"/>
      <w:r w:rsidRPr="00A74905">
        <w:t>Rog</w:t>
      </w:r>
      <w:proofErr w:type="spellEnd"/>
      <w:r w:rsidRPr="00A74905">
        <w:t xml:space="preserve">, D. J., </w:t>
      </w:r>
      <w:proofErr w:type="spellStart"/>
      <w:r w:rsidRPr="00A74905">
        <w:t>Holupka</w:t>
      </w:r>
      <w:proofErr w:type="spellEnd"/>
      <w:r w:rsidRPr="00A74905">
        <w:t xml:space="preserve">, C., &amp; McCombs-Thornton, K. L. (1995). Implementation of the Homeless Families Program: 1. Service models and preliminary outcomes. </w:t>
      </w:r>
      <w:r w:rsidRPr="00A74905">
        <w:rPr>
          <w:i/>
          <w:iCs/>
        </w:rPr>
        <w:t>American Journal of Orthopsychiatry</w:t>
      </w:r>
      <w:r w:rsidRPr="00A74905">
        <w:t xml:space="preserve">, </w:t>
      </w:r>
      <w:r w:rsidRPr="00A74905">
        <w:rPr>
          <w:i/>
          <w:iCs/>
        </w:rPr>
        <w:t>65(4)</w:t>
      </w:r>
      <w:r w:rsidRPr="00A74905">
        <w:t xml:space="preserve">, 502-513. </w:t>
      </w:r>
      <w:proofErr w:type="gramStart"/>
      <w:r w:rsidRPr="00A74905">
        <w:t>doi:</w:t>
      </w:r>
      <w:proofErr w:type="gramEnd"/>
      <w:r w:rsidRPr="00A74905">
        <w:t>10.1037/h0085057</w:t>
      </w:r>
    </w:p>
    <w:p w:rsidR="00C84716" w:rsidRPr="00026C94" w:rsidRDefault="00C84716" w:rsidP="00C84716">
      <w:pPr>
        <w:spacing w:before="240" w:after="0" w:line="240" w:lineRule="auto"/>
        <w:ind w:left="720" w:hanging="720"/>
        <w:rPr>
          <w:lang w:val="en"/>
        </w:rPr>
      </w:pPr>
      <w:proofErr w:type="spellStart"/>
      <w:r w:rsidRPr="00A74905">
        <w:rPr>
          <w:lang w:val="en"/>
        </w:rPr>
        <w:t>Rog</w:t>
      </w:r>
      <w:proofErr w:type="spellEnd"/>
      <w:r w:rsidRPr="00A74905">
        <w:rPr>
          <w:lang w:val="en"/>
        </w:rPr>
        <w:t>, D. J., McCombs-Thornton, K. L., Gilbert-</w:t>
      </w:r>
      <w:proofErr w:type="spellStart"/>
      <w:r w:rsidRPr="00A74905">
        <w:rPr>
          <w:lang w:val="en"/>
        </w:rPr>
        <w:t>Mongelli</w:t>
      </w:r>
      <w:proofErr w:type="spellEnd"/>
      <w:r w:rsidRPr="00A74905">
        <w:rPr>
          <w:lang w:val="en"/>
        </w:rPr>
        <w:t xml:space="preserve">, A. M., </w:t>
      </w:r>
      <w:proofErr w:type="spellStart"/>
      <w:r w:rsidRPr="00A74905">
        <w:rPr>
          <w:lang w:val="en"/>
        </w:rPr>
        <w:t>Brito</w:t>
      </w:r>
      <w:proofErr w:type="spellEnd"/>
      <w:r w:rsidRPr="00A74905">
        <w:rPr>
          <w:lang w:val="en"/>
        </w:rPr>
        <w:t xml:space="preserve">, M. C., &amp; </w:t>
      </w:r>
      <w:proofErr w:type="spellStart"/>
      <w:r w:rsidRPr="00A74905">
        <w:rPr>
          <w:lang w:val="en"/>
        </w:rPr>
        <w:t>Holupka</w:t>
      </w:r>
      <w:proofErr w:type="spellEnd"/>
      <w:r w:rsidRPr="00A74905">
        <w:rPr>
          <w:lang w:val="en"/>
        </w:rPr>
        <w:t xml:space="preserve">, C. S. (1995). </w:t>
      </w:r>
      <w:r w:rsidRPr="00A74905">
        <w:t>Implementation of the Homeless Families Program</w:t>
      </w:r>
      <w:r w:rsidRPr="00A74905">
        <w:rPr>
          <w:lang w:val="en"/>
        </w:rPr>
        <w:t xml:space="preserve">: 2. Characteristics, Strengths, and Needs of Participant Families. </w:t>
      </w:r>
      <w:r w:rsidRPr="00A74905">
        <w:rPr>
          <w:i/>
          <w:iCs/>
          <w:lang w:val="en"/>
        </w:rPr>
        <w:t>American Journal of Orthopsychiatry, 65,</w:t>
      </w:r>
      <w:r w:rsidRPr="00A74905">
        <w:rPr>
          <w:lang w:val="en"/>
        </w:rPr>
        <w:t xml:space="preserve"> 514–528. </w:t>
      </w:r>
      <w:proofErr w:type="spellStart"/>
      <w:proofErr w:type="gramStart"/>
      <w:r w:rsidRPr="00A74905">
        <w:rPr>
          <w:lang w:val="en"/>
        </w:rPr>
        <w:t>doi</w:t>
      </w:r>
      <w:proofErr w:type="spellEnd"/>
      <w:proofErr w:type="gramEnd"/>
      <w:r w:rsidRPr="00A74905">
        <w:rPr>
          <w:lang w:val="en"/>
        </w:rPr>
        <w:t>: 10.1037/h0079675</w:t>
      </w:r>
    </w:p>
    <w:p w:rsidR="00C84716" w:rsidRDefault="00C84716" w:rsidP="00C84716">
      <w:pPr>
        <w:spacing w:before="240"/>
        <w:ind w:left="720" w:hanging="720"/>
      </w:pPr>
      <w:proofErr w:type="spellStart"/>
      <w:proofErr w:type="gramStart"/>
      <w:r w:rsidRPr="004941A2">
        <w:t>Rollnick</w:t>
      </w:r>
      <w:proofErr w:type="spellEnd"/>
      <w:r w:rsidRPr="004941A2">
        <w:t>, S., Heather, N., &amp; Bell, A. (1992).</w:t>
      </w:r>
      <w:proofErr w:type="gramEnd"/>
      <w:r w:rsidRPr="004941A2">
        <w:t xml:space="preserve"> </w:t>
      </w:r>
      <w:proofErr w:type="gramStart"/>
      <w:r w:rsidRPr="004941A2">
        <w:t xml:space="preserve">Negotiating </w:t>
      </w:r>
      <w:proofErr w:type="spellStart"/>
      <w:r w:rsidRPr="004941A2">
        <w:t>behaviour</w:t>
      </w:r>
      <w:proofErr w:type="spellEnd"/>
      <w:r w:rsidRPr="004941A2">
        <w:t xml:space="preserve"> change in medical settings: The development of brief motivational interviewing.</w:t>
      </w:r>
      <w:proofErr w:type="gramEnd"/>
      <w:r w:rsidRPr="004941A2">
        <w:t xml:space="preserve"> </w:t>
      </w:r>
      <w:r w:rsidRPr="004941A2">
        <w:rPr>
          <w:i/>
          <w:iCs/>
        </w:rPr>
        <w:t xml:space="preserve">Journal of Mental Health, 1, </w:t>
      </w:r>
      <w:r w:rsidRPr="004941A2">
        <w:t>25–37.</w:t>
      </w:r>
    </w:p>
    <w:p w:rsidR="00C84716" w:rsidRDefault="00C84716" w:rsidP="00C84716">
      <w:pPr>
        <w:spacing w:before="240"/>
        <w:ind w:left="720" w:hanging="720"/>
      </w:pPr>
      <w:proofErr w:type="gramStart"/>
      <w:r w:rsidRPr="000251D2">
        <w:t xml:space="preserve">Ruggiero, K., Del Ben, K., </w:t>
      </w:r>
      <w:proofErr w:type="spellStart"/>
      <w:r w:rsidRPr="000251D2">
        <w:t>Scotti</w:t>
      </w:r>
      <w:proofErr w:type="spellEnd"/>
      <w:r w:rsidRPr="000251D2">
        <w:t xml:space="preserve">, J., &amp; </w:t>
      </w:r>
      <w:proofErr w:type="spellStart"/>
      <w:r w:rsidRPr="000251D2">
        <w:t>Rabalais</w:t>
      </w:r>
      <w:proofErr w:type="spellEnd"/>
      <w:r w:rsidRPr="000251D2">
        <w:t>, A. (2003).</w:t>
      </w:r>
      <w:proofErr w:type="gramEnd"/>
      <w:r w:rsidRPr="000251D2">
        <w:t xml:space="preserve"> </w:t>
      </w:r>
      <w:proofErr w:type="gramStart"/>
      <w:r w:rsidRPr="000251D2">
        <w:t>Psychometric properties of the PTSD Checklist-Civilian Version.</w:t>
      </w:r>
      <w:proofErr w:type="gramEnd"/>
      <w:r w:rsidRPr="000251D2">
        <w:t xml:space="preserve"> </w:t>
      </w:r>
      <w:r w:rsidRPr="000251D2">
        <w:rPr>
          <w:i/>
          <w:iCs/>
        </w:rPr>
        <w:t xml:space="preserve">Journal </w:t>
      </w:r>
      <w:r>
        <w:rPr>
          <w:i/>
          <w:iCs/>
        </w:rPr>
        <w:t>o</w:t>
      </w:r>
      <w:r w:rsidRPr="000251D2">
        <w:rPr>
          <w:i/>
          <w:iCs/>
        </w:rPr>
        <w:t>f Traumatic Stress</w:t>
      </w:r>
      <w:r w:rsidRPr="000251D2">
        <w:t xml:space="preserve">, </w:t>
      </w:r>
      <w:r w:rsidRPr="0074716A">
        <w:rPr>
          <w:i/>
          <w:iCs/>
        </w:rPr>
        <w:t>16(5)</w:t>
      </w:r>
      <w:r w:rsidRPr="000251D2">
        <w:t xml:space="preserve">, 495-502. </w:t>
      </w:r>
    </w:p>
    <w:p w:rsidR="00C84716" w:rsidRDefault="00C84716" w:rsidP="00C84716">
      <w:pPr>
        <w:spacing w:before="240"/>
        <w:ind w:left="720" w:hanging="720"/>
      </w:pPr>
      <w:r w:rsidRPr="004E0874">
        <w:lastRenderedPageBreak/>
        <w:t>Sacks, J</w:t>
      </w:r>
      <w:r>
        <w:t>.</w:t>
      </w:r>
      <w:r w:rsidRPr="004E0874">
        <w:t>A</w:t>
      </w:r>
      <w:r>
        <w:t>.</w:t>
      </w:r>
      <w:proofErr w:type="gramStart"/>
      <w:r w:rsidRPr="004E0874">
        <w:t>,  Drake</w:t>
      </w:r>
      <w:proofErr w:type="gramEnd"/>
      <w:r w:rsidRPr="004E0874">
        <w:t xml:space="preserve">, R., Williams, V.F., Banks. </w:t>
      </w:r>
      <w:proofErr w:type="gramStart"/>
      <w:r w:rsidRPr="004E0874">
        <w:t xml:space="preserve">S.M., </w:t>
      </w:r>
      <w:r>
        <w:t xml:space="preserve">&amp; </w:t>
      </w:r>
      <w:proofErr w:type="spellStart"/>
      <w:r w:rsidRPr="004E0874">
        <w:t>Herrell</w:t>
      </w:r>
      <w:proofErr w:type="spellEnd"/>
      <w:r w:rsidRPr="004E0874">
        <w:t>, J. M. (2003).</w:t>
      </w:r>
      <w:proofErr w:type="gramEnd"/>
      <w:r w:rsidRPr="004E0874">
        <w:t xml:space="preserve"> </w:t>
      </w:r>
      <w:proofErr w:type="gramStart"/>
      <w:r w:rsidRPr="004E0874">
        <w:t xml:space="preserve">Utility of the Time-Line Follow-Back to </w:t>
      </w:r>
      <w:r>
        <w:t>a</w:t>
      </w:r>
      <w:r w:rsidRPr="004E0874">
        <w:t xml:space="preserve">ssess </w:t>
      </w:r>
      <w:r>
        <w:t>s</w:t>
      </w:r>
      <w:r w:rsidRPr="004E0874">
        <w:t xml:space="preserve">ubstance </w:t>
      </w:r>
      <w:r>
        <w:t>use a</w:t>
      </w:r>
      <w:r w:rsidRPr="004E0874">
        <w:t xml:space="preserve">mong </w:t>
      </w:r>
      <w:r>
        <w:t>h</w:t>
      </w:r>
      <w:r w:rsidRPr="004E0874">
        <w:t>omeless</w:t>
      </w:r>
      <w:r>
        <w:t xml:space="preserve"> a</w:t>
      </w:r>
      <w:r w:rsidRPr="004E0874">
        <w:t>dults</w:t>
      </w:r>
      <w:r w:rsidRPr="004E0874">
        <w:rPr>
          <w:i/>
          <w:iCs/>
        </w:rPr>
        <w:t>.</w:t>
      </w:r>
      <w:proofErr w:type="gramEnd"/>
      <w:r w:rsidRPr="004E0874">
        <w:rPr>
          <w:i/>
          <w:iCs/>
        </w:rPr>
        <w:t xml:space="preserve"> </w:t>
      </w:r>
      <w:proofErr w:type="gramStart"/>
      <w:r w:rsidRPr="004E0874">
        <w:rPr>
          <w:i/>
          <w:iCs/>
        </w:rPr>
        <w:t>Journal of Nervous &amp; Mental Disease</w:t>
      </w:r>
      <w:r w:rsidRPr="004E0874">
        <w:t>.</w:t>
      </w:r>
      <w:proofErr w:type="gramEnd"/>
      <w:r w:rsidRPr="004E0874">
        <w:t xml:space="preserve"> </w:t>
      </w:r>
      <w:r w:rsidRPr="004E0874">
        <w:rPr>
          <w:i/>
          <w:iCs/>
        </w:rPr>
        <w:t>191(3)</w:t>
      </w:r>
      <w:r>
        <w:rPr>
          <w:i/>
          <w:iCs/>
        </w:rPr>
        <w:t>,</w:t>
      </w:r>
      <w:r w:rsidRPr="004E0874">
        <w:t xml:space="preserve"> 145-153.</w:t>
      </w:r>
    </w:p>
    <w:p w:rsidR="00C84716" w:rsidRDefault="00C84716" w:rsidP="00C84716">
      <w:pPr>
        <w:spacing w:before="240"/>
        <w:ind w:left="720" w:hanging="720"/>
      </w:pPr>
      <w:proofErr w:type="spellStart"/>
      <w:proofErr w:type="gramStart"/>
      <w:r w:rsidRPr="00F3787A">
        <w:t>Saltstone</w:t>
      </w:r>
      <w:proofErr w:type="spellEnd"/>
      <w:r w:rsidRPr="00F3787A">
        <w:t xml:space="preserve">, R., </w:t>
      </w:r>
      <w:proofErr w:type="spellStart"/>
      <w:r w:rsidRPr="00F3787A">
        <w:t>Halliwell</w:t>
      </w:r>
      <w:proofErr w:type="spellEnd"/>
      <w:r w:rsidRPr="00F3787A">
        <w:t xml:space="preserve">, S., &amp; </w:t>
      </w:r>
      <w:proofErr w:type="spellStart"/>
      <w:r w:rsidRPr="00F3787A">
        <w:t>Hayslip</w:t>
      </w:r>
      <w:proofErr w:type="spellEnd"/>
      <w:r w:rsidRPr="00F3787A">
        <w:t>, M. (1994).</w:t>
      </w:r>
      <w:proofErr w:type="gramEnd"/>
      <w:r w:rsidRPr="00F3787A">
        <w:t xml:space="preserve"> </w:t>
      </w:r>
      <w:proofErr w:type="gramStart"/>
      <w:r w:rsidRPr="00F3787A">
        <w:t>A multivariate evaluation of the Michigan Alcoholism Screening Test and the Drug Abuse Screening Test in a female offender population.</w:t>
      </w:r>
      <w:proofErr w:type="gramEnd"/>
      <w:r w:rsidRPr="00F3787A">
        <w:t xml:space="preserve"> </w:t>
      </w:r>
      <w:r>
        <w:rPr>
          <w:i/>
        </w:rPr>
        <w:t xml:space="preserve">Addictive Behaviors, </w:t>
      </w:r>
      <w:r w:rsidRPr="00F3787A">
        <w:rPr>
          <w:i/>
        </w:rPr>
        <w:t>19</w:t>
      </w:r>
      <w:r>
        <w:rPr>
          <w:i/>
        </w:rPr>
        <w:t>(</w:t>
      </w:r>
      <w:r w:rsidRPr="00F3787A">
        <w:rPr>
          <w:i/>
        </w:rPr>
        <w:t>5</w:t>
      </w:r>
      <w:r>
        <w:rPr>
          <w:i/>
        </w:rPr>
        <w:t>)</w:t>
      </w:r>
      <w:r w:rsidRPr="00F3787A">
        <w:t>, 455-462.</w:t>
      </w:r>
    </w:p>
    <w:p w:rsidR="00C84716" w:rsidRDefault="00C84716" w:rsidP="00C84716">
      <w:pPr>
        <w:spacing w:before="240"/>
        <w:ind w:left="720" w:hanging="720"/>
      </w:pPr>
      <w:proofErr w:type="spellStart"/>
      <w:proofErr w:type="gramStart"/>
      <w:r w:rsidRPr="00F3787A">
        <w:t>Shern</w:t>
      </w:r>
      <w:proofErr w:type="spellEnd"/>
      <w:r w:rsidRPr="00F3787A">
        <w:t xml:space="preserve">, D.L., </w:t>
      </w:r>
      <w:r>
        <w:t xml:space="preserve">&amp; </w:t>
      </w:r>
      <w:r w:rsidRPr="00F3787A">
        <w:t>Wilson, N.Z. (1994).</w:t>
      </w:r>
      <w:proofErr w:type="gramEnd"/>
      <w:r w:rsidRPr="00F3787A">
        <w:t xml:space="preserve"> Client outcomes II: Longitudinal client data from the Colorado Treatment Outcome Study. </w:t>
      </w:r>
      <w:r w:rsidRPr="00F3787A">
        <w:rPr>
          <w:i/>
        </w:rPr>
        <w:t xml:space="preserve">Milbank Quarterly, 72, </w:t>
      </w:r>
      <w:r w:rsidRPr="00F3787A">
        <w:t>123-148.</w:t>
      </w:r>
    </w:p>
    <w:p w:rsidR="00C84716" w:rsidRDefault="00C84716" w:rsidP="00C84716">
      <w:pPr>
        <w:spacing w:before="240"/>
        <w:ind w:left="720" w:hanging="720"/>
      </w:pPr>
      <w:smartTag w:uri="urn:schemas-microsoft-com:office:smarttags" w:element="City">
        <w:r w:rsidRPr="00E1219B">
          <w:t>Shelton</w:t>
        </w:r>
      </w:smartTag>
      <w:r w:rsidRPr="00E1219B">
        <w:t xml:space="preserve">, K., </w:t>
      </w:r>
      <w:smartTag w:uri="urn:schemas-microsoft-com:office:smarttags" w:element="place">
        <w:smartTag w:uri="urn:schemas-microsoft-com:office:smarttags" w:element="City">
          <w:r w:rsidRPr="00E1219B">
            <w:t>Taylor</w:t>
          </w:r>
        </w:smartTag>
      </w:smartTag>
      <w:r w:rsidRPr="00E1219B">
        <w:t xml:space="preserve">, P., Bonner, A., &amp; van den Bree, M. (2009). Risk factors for homelessness: Evidence from a population-based study. </w:t>
      </w:r>
      <w:r w:rsidRPr="00E1219B">
        <w:rPr>
          <w:i/>
          <w:iCs/>
        </w:rPr>
        <w:t>Psychiatric Services, 60,</w:t>
      </w:r>
      <w:r w:rsidRPr="00E1219B">
        <w:t xml:space="preserve"> 465–472. doi:10.1176/appi.ps.60.4.465</w:t>
      </w:r>
    </w:p>
    <w:p w:rsidR="00C84716" w:rsidRPr="00FB11D8" w:rsidRDefault="00C84716" w:rsidP="00C84716">
      <w:pPr>
        <w:spacing w:before="240"/>
        <w:ind w:left="720" w:hanging="720"/>
      </w:pPr>
      <w:proofErr w:type="gramStart"/>
      <w:r w:rsidRPr="00413B48">
        <w:t xml:space="preserve">Shields, B. J., Cohen, D. M., </w:t>
      </w:r>
      <w:proofErr w:type="spellStart"/>
      <w:r w:rsidRPr="00413B48">
        <w:t>Harbeck</w:t>
      </w:r>
      <w:proofErr w:type="spellEnd"/>
      <w:r w:rsidRPr="00413B48">
        <w:t>-Weber, C., Powers, J. D., &amp; Smith, G. A. (2003).</w:t>
      </w:r>
      <w:proofErr w:type="gramEnd"/>
      <w:r w:rsidRPr="00413B48">
        <w:t xml:space="preserve"> Pediatric pain measurement using a visual analogue scale: A comparison of two teaching methods. </w:t>
      </w:r>
      <w:r w:rsidRPr="00413B48">
        <w:rPr>
          <w:i/>
          <w:iCs/>
        </w:rPr>
        <w:t>Clinical Pediatrics, 42(3),</w:t>
      </w:r>
      <w:r w:rsidRPr="00413B48">
        <w:t xml:space="preserve"> 227-234.</w:t>
      </w:r>
    </w:p>
    <w:p w:rsidR="00C84716" w:rsidRPr="00AF6486" w:rsidRDefault="00C84716" w:rsidP="00C84716">
      <w:pPr>
        <w:spacing w:before="240"/>
        <w:ind w:left="720" w:hanging="720"/>
      </w:pPr>
      <w:r w:rsidRPr="00AF6486">
        <w:t xml:space="preserve">Skinner, H.A. (1982). </w:t>
      </w:r>
      <w:proofErr w:type="gramStart"/>
      <w:r w:rsidRPr="00AF6486">
        <w:t>Drug abuse screening test.</w:t>
      </w:r>
      <w:proofErr w:type="gramEnd"/>
      <w:r w:rsidRPr="00AF6486">
        <w:t xml:space="preserve"> </w:t>
      </w:r>
      <w:r w:rsidRPr="00AF6486">
        <w:rPr>
          <w:i/>
        </w:rPr>
        <w:t xml:space="preserve">Addictive Behavior, 7, </w:t>
      </w:r>
      <w:r w:rsidRPr="00AF6486">
        <w:t>263-371.</w:t>
      </w:r>
    </w:p>
    <w:p w:rsidR="00C84716" w:rsidRDefault="00C84716" w:rsidP="00C84716">
      <w:pPr>
        <w:spacing w:before="240"/>
        <w:ind w:left="720" w:hanging="720"/>
      </w:pPr>
      <w:proofErr w:type="gramStart"/>
      <w:r w:rsidRPr="00F24628">
        <w:t xml:space="preserve">Smith, E. M., North, C. S., &amp; </w:t>
      </w:r>
      <w:proofErr w:type="spellStart"/>
      <w:r w:rsidRPr="00F24628">
        <w:t>Spitznagel</w:t>
      </w:r>
      <w:proofErr w:type="spellEnd"/>
      <w:r w:rsidRPr="00F24628">
        <w:t>, E. L. (1992).</w:t>
      </w:r>
      <w:proofErr w:type="gramEnd"/>
      <w:r w:rsidRPr="00F24628">
        <w:t xml:space="preserve"> </w:t>
      </w:r>
      <w:proofErr w:type="gramStart"/>
      <w:r w:rsidRPr="00F24628">
        <w:t>A systematic study of mental illness, substance abuse, and treatment in 600 men.</w:t>
      </w:r>
      <w:proofErr w:type="gramEnd"/>
      <w:r w:rsidRPr="00F24628">
        <w:t xml:space="preserve"> </w:t>
      </w:r>
      <w:r w:rsidRPr="00F24628">
        <w:rPr>
          <w:i/>
          <w:iCs/>
        </w:rPr>
        <w:t xml:space="preserve">Annals of Clinical Psychiatry, 4, </w:t>
      </w:r>
      <w:r w:rsidRPr="00F24628">
        <w:t>111–120.</w:t>
      </w:r>
    </w:p>
    <w:p w:rsidR="00C84716" w:rsidRDefault="00C84716" w:rsidP="00C84716">
      <w:pPr>
        <w:spacing w:before="240"/>
        <w:ind w:left="720" w:hanging="720"/>
      </w:pPr>
      <w:proofErr w:type="spellStart"/>
      <w:proofErr w:type="gramStart"/>
      <w:r w:rsidRPr="00F24628">
        <w:t>Sobell</w:t>
      </w:r>
      <w:proofErr w:type="spellEnd"/>
      <w:r w:rsidRPr="00F24628">
        <w:t xml:space="preserve">, L. C., &amp; </w:t>
      </w:r>
      <w:proofErr w:type="spellStart"/>
      <w:r w:rsidRPr="00F24628">
        <w:t>Sobell</w:t>
      </w:r>
      <w:proofErr w:type="spellEnd"/>
      <w:r w:rsidRPr="00F24628">
        <w:t>, M. B. (1992).</w:t>
      </w:r>
      <w:proofErr w:type="gramEnd"/>
      <w:r w:rsidRPr="00F24628">
        <w:t xml:space="preserve"> Timeline follow-back: A technique for assessing self-reported alcohol consumption. In R. Z. </w:t>
      </w:r>
      <w:proofErr w:type="spellStart"/>
      <w:r w:rsidRPr="00F24628">
        <w:t>Litten</w:t>
      </w:r>
      <w:proofErr w:type="spellEnd"/>
      <w:r w:rsidRPr="00F24628">
        <w:t xml:space="preserve">, J. P. Allen, R. Z. </w:t>
      </w:r>
      <w:proofErr w:type="spellStart"/>
      <w:r w:rsidRPr="00F24628">
        <w:t>Litten</w:t>
      </w:r>
      <w:proofErr w:type="spellEnd"/>
      <w:r w:rsidRPr="00F24628">
        <w:t xml:space="preserve">, J. P. Allen (Eds.) , </w:t>
      </w:r>
      <w:r w:rsidRPr="00F24628">
        <w:rPr>
          <w:i/>
          <w:iCs/>
        </w:rPr>
        <w:t>Measuring alcohol consumption: Psychosocial and biochemical methods</w:t>
      </w:r>
      <w:r w:rsidRPr="00F24628">
        <w:t xml:space="preserve"> (pp. 41-72). Totowa, NJ US: Humana Press. </w:t>
      </w:r>
    </w:p>
    <w:p w:rsidR="00C84716" w:rsidRPr="00151FA0" w:rsidRDefault="00C84716" w:rsidP="00C84716">
      <w:pPr>
        <w:spacing w:before="240"/>
        <w:ind w:left="720" w:hanging="720"/>
      </w:pPr>
      <w:proofErr w:type="spellStart"/>
      <w:proofErr w:type="gramStart"/>
      <w:r>
        <w:t>Sobell</w:t>
      </w:r>
      <w:proofErr w:type="spellEnd"/>
      <w:r>
        <w:t xml:space="preserve">, L. C., &amp; </w:t>
      </w:r>
      <w:proofErr w:type="spellStart"/>
      <w:r>
        <w:t>Sobell</w:t>
      </w:r>
      <w:proofErr w:type="spellEnd"/>
      <w:r>
        <w:t>, M. B. (1995).</w:t>
      </w:r>
      <w:proofErr w:type="gramEnd"/>
      <w:r>
        <w:t xml:space="preserve"> </w:t>
      </w:r>
      <w:proofErr w:type="gramStart"/>
      <w:r>
        <w:t>Alcohol consumption measures.</w:t>
      </w:r>
      <w:proofErr w:type="gramEnd"/>
      <w:r>
        <w:t xml:space="preserve"> In J. P. Allen, M. Columbus (Eds.), </w:t>
      </w:r>
      <w:r>
        <w:rPr>
          <w:i/>
          <w:iCs/>
        </w:rPr>
        <w:t>Assessing alcohol problems: A guide for clinicians and researchers.</w:t>
      </w:r>
      <w:r>
        <w:t xml:space="preserve"> (pp. 55-73). NIH Pub. No. 95-3745, Bethesda, Maryland: U.S. Department of Health and Human Services. </w:t>
      </w:r>
    </w:p>
    <w:p w:rsidR="00C84716" w:rsidRPr="0086694F" w:rsidRDefault="00C84716" w:rsidP="00C84716">
      <w:pPr>
        <w:spacing w:before="240"/>
        <w:ind w:left="720" w:hanging="720"/>
      </w:pPr>
      <w:r w:rsidRPr="0086694F">
        <w:t xml:space="preserve">Spies, </w:t>
      </w:r>
      <w:proofErr w:type="gramStart"/>
      <w:r w:rsidRPr="0086694F">
        <w:t xml:space="preserve">R.A </w:t>
      </w:r>
      <w:r>
        <w:t>.</w:t>
      </w:r>
      <w:proofErr w:type="gramEnd"/>
      <w:r>
        <w:t xml:space="preserve">, </w:t>
      </w:r>
      <w:proofErr w:type="spellStart"/>
      <w:r w:rsidRPr="0086694F">
        <w:t>Plake</w:t>
      </w:r>
      <w:proofErr w:type="spellEnd"/>
      <w:r w:rsidRPr="0086694F">
        <w:t xml:space="preserve">, B.S., </w:t>
      </w:r>
      <w:proofErr w:type="spellStart"/>
      <w:r w:rsidRPr="0086694F">
        <w:t>Geisinger</w:t>
      </w:r>
      <w:proofErr w:type="spellEnd"/>
      <w:r w:rsidRPr="0086694F">
        <w:t>, K.F., &amp; Carlson, J.F. (</w:t>
      </w:r>
      <w:proofErr w:type="spellStart"/>
      <w:r w:rsidRPr="0086694F">
        <w:t>Eds</w:t>
      </w:r>
      <w:proofErr w:type="spellEnd"/>
      <w:r w:rsidRPr="0086694F">
        <w:t xml:space="preserve">) (2007). </w:t>
      </w:r>
      <w:proofErr w:type="gramStart"/>
      <w:r w:rsidRPr="0086694F">
        <w:rPr>
          <w:i/>
          <w:iCs/>
        </w:rPr>
        <w:t>The Seventeenth Mental Measurements Yearbook.</w:t>
      </w:r>
      <w:proofErr w:type="gramEnd"/>
      <w:r w:rsidRPr="0086694F">
        <w:t xml:space="preserve"> </w:t>
      </w:r>
      <w:proofErr w:type="spellStart"/>
      <w:proofErr w:type="gramStart"/>
      <w:r w:rsidRPr="0086694F">
        <w:t>Buros</w:t>
      </w:r>
      <w:proofErr w:type="spellEnd"/>
      <w:r w:rsidRPr="0086694F">
        <w:t xml:space="preserve"> Institute of Mental Measurements</w:t>
      </w:r>
      <w:r>
        <w:t>.</w:t>
      </w:r>
      <w:proofErr w:type="gramEnd"/>
      <w:r w:rsidRPr="0086694F">
        <w:t xml:space="preserve"> </w:t>
      </w:r>
    </w:p>
    <w:p w:rsidR="00C84716" w:rsidRPr="00A74905" w:rsidRDefault="00C84716" w:rsidP="00C84716">
      <w:pPr>
        <w:spacing w:before="240"/>
        <w:ind w:left="720" w:hanging="720"/>
      </w:pPr>
      <w:proofErr w:type="spellStart"/>
      <w:proofErr w:type="gramStart"/>
      <w:r w:rsidRPr="00F3787A">
        <w:t>Srebnik</w:t>
      </w:r>
      <w:proofErr w:type="spellEnd"/>
      <w:r w:rsidRPr="00F3787A">
        <w:t>, D., Livingston, J., Gordon, L., &amp; King, D. (1995).</w:t>
      </w:r>
      <w:proofErr w:type="gramEnd"/>
      <w:r w:rsidRPr="00F3787A">
        <w:t xml:space="preserve"> </w:t>
      </w:r>
      <w:proofErr w:type="gramStart"/>
      <w:r w:rsidRPr="00F3787A">
        <w:t>Housing choice and community success for individuals with serious and persistent mental illness.</w:t>
      </w:r>
      <w:proofErr w:type="gramEnd"/>
      <w:r w:rsidRPr="00F3787A">
        <w:t xml:space="preserve"> </w:t>
      </w:r>
      <w:r w:rsidRPr="00F3787A">
        <w:rPr>
          <w:i/>
          <w:iCs/>
        </w:rPr>
        <w:t>Community Mental Health Journal, 31(2)</w:t>
      </w:r>
      <w:r w:rsidRPr="00F3787A">
        <w:t xml:space="preserve">, </w:t>
      </w:r>
      <w:r w:rsidRPr="00A74905">
        <w:t xml:space="preserve">139-152. </w:t>
      </w:r>
    </w:p>
    <w:p w:rsidR="00C84716" w:rsidRPr="00CA0F4A" w:rsidRDefault="00C84716" w:rsidP="00C84716">
      <w:pPr>
        <w:spacing w:before="240"/>
        <w:ind w:left="720" w:hanging="720"/>
      </w:pPr>
      <w:proofErr w:type="gramStart"/>
      <w:r w:rsidRPr="00A74905">
        <w:t>Steadman, H. J. &amp; Naples, M. (2005).</w:t>
      </w:r>
      <w:proofErr w:type="gramEnd"/>
      <w:r w:rsidRPr="00A74905">
        <w:t xml:space="preserve"> Assessing the effectiveness of jail diversion programs for persons with serious mental illness and co-occurring substance use disorders. </w:t>
      </w:r>
      <w:r w:rsidRPr="00A74905">
        <w:rPr>
          <w:i/>
          <w:iCs/>
        </w:rPr>
        <w:t xml:space="preserve">Behavioral Sciences and the Law, 23(2), </w:t>
      </w:r>
      <w:r w:rsidRPr="00A74905">
        <w:t>163-170.</w:t>
      </w:r>
    </w:p>
    <w:p w:rsidR="00C84716" w:rsidRPr="00F3787A" w:rsidRDefault="00C84716" w:rsidP="00C84716">
      <w:pPr>
        <w:spacing w:before="240"/>
        <w:ind w:left="720" w:hanging="720"/>
      </w:pPr>
      <w:proofErr w:type="spellStart"/>
      <w:proofErr w:type="gramStart"/>
      <w:r w:rsidRPr="00F3787A">
        <w:lastRenderedPageBreak/>
        <w:t>Storgaard</w:t>
      </w:r>
      <w:proofErr w:type="spellEnd"/>
      <w:r w:rsidRPr="00F3787A">
        <w:t xml:space="preserve">, H., Nielsen, S.D., &amp; </w:t>
      </w:r>
      <w:proofErr w:type="spellStart"/>
      <w:r w:rsidRPr="00F3787A">
        <w:t>Gluud</w:t>
      </w:r>
      <w:proofErr w:type="spellEnd"/>
      <w:r w:rsidRPr="00F3787A">
        <w:t>, C. (1994).</w:t>
      </w:r>
      <w:proofErr w:type="gramEnd"/>
      <w:r w:rsidRPr="00F3787A">
        <w:t xml:space="preserve"> </w:t>
      </w:r>
      <w:proofErr w:type="gramStart"/>
      <w:r w:rsidRPr="00F3787A">
        <w:t>The validity of the Michigan Alcoholism Screening Test (MAST).</w:t>
      </w:r>
      <w:proofErr w:type="gramEnd"/>
      <w:r w:rsidRPr="00F3787A">
        <w:t xml:space="preserve"> </w:t>
      </w:r>
      <w:r w:rsidRPr="00F3787A">
        <w:rPr>
          <w:i/>
          <w:iCs/>
        </w:rPr>
        <w:t>Alcohol &amp; Alcoholism</w:t>
      </w:r>
      <w:r w:rsidRPr="00F3787A">
        <w:t xml:space="preserve">, </w:t>
      </w:r>
      <w:r w:rsidRPr="00F3787A">
        <w:rPr>
          <w:i/>
          <w:iCs/>
        </w:rPr>
        <w:t>29(5)</w:t>
      </w:r>
      <w:r w:rsidRPr="00F3787A">
        <w:t>, 493-502.</w:t>
      </w:r>
    </w:p>
    <w:p w:rsidR="00C84716" w:rsidRDefault="00C84716" w:rsidP="00C84716">
      <w:pPr>
        <w:spacing w:before="240"/>
        <w:ind w:left="720" w:hanging="720"/>
      </w:pPr>
      <w:proofErr w:type="spellStart"/>
      <w:proofErr w:type="gramStart"/>
      <w:r>
        <w:t>Tansella</w:t>
      </w:r>
      <w:proofErr w:type="spellEnd"/>
      <w:r>
        <w:t xml:space="preserve">, M. &amp; </w:t>
      </w:r>
      <w:proofErr w:type="spellStart"/>
      <w:r>
        <w:t>Thornicroft</w:t>
      </w:r>
      <w:proofErr w:type="spellEnd"/>
      <w:r>
        <w:t>, G. (Eds.).</w:t>
      </w:r>
      <w:proofErr w:type="gramEnd"/>
      <w:r>
        <w:t xml:space="preserve"> (2001). </w:t>
      </w:r>
      <w:r>
        <w:rPr>
          <w:i/>
          <w:iCs/>
        </w:rPr>
        <w:t xml:space="preserve">Mental Health Outcome Measures </w:t>
      </w:r>
      <w:r w:rsidRPr="002F03A8">
        <w:t>(2</w:t>
      </w:r>
      <w:r w:rsidRPr="002F03A8">
        <w:rPr>
          <w:vertAlign w:val="superscript"/>
        </w:rPr>
        <w:t xml:space="preserve">nd </w:t>
      </w:r>
      <w:proofErr w:type="gramStart"/>
      <w:r w:rsidRPr="002F03A8">
        <w:t>ed</w:t>
      </w:r>
      <w:proofErr w:type="gramEnd"/>
      <w:r w:rsidRPr="002F03A8">
        <w:t>.)</w:t>
      </w:r>
      <w:r>
        <w:rPr>
          <w:i/>
          <w:iCs/>
        </w:rPr>
        <w:t>.</w:t>
      </w:r>
      <w:r>
        <w:t xml:space="preserve"> London: Royal College of Psychiatrists, Gaskell.</w:t>
      </w:r>
    </w:p>
    <w:p w:rsidR="00C84716" w:rsidRPr="00302976" w:rsidRDefault="00C84716" w:rsidP="00C84716">
      <w:pPr>
        <w:spacing w:before="240"/>
        <w:ind w:left="720" w:hanging="720"/>
      </w:pPr>
      <w:proofErr w:type="spellStart"/>
      <w:proofErr w:type="gramStart"/>
      <w:r>
        <w:t>Trestman</w:t>
      </w:r>
      <w:proofErr w:type="spellEnd"/>
      <w:r>
        <w:t xml:space="preserve">, R. L., Ford, J., Zhang, W., &amp; </w:t>
      </w:r>
      <w:proofErr w:type="spellStart"/>
      <w:r>
        <w:t>Wiesbrock</w:t>
      </w:r>
      <w:proofErr w:type="spellEnd"/>
      <w:r>
        <w:t>, V. (2007).</w:t>
      </w:r>
      <w:proofErr w:type="gramEnd"/>
      <w:r>
        <w:t xml:space="preserve"> Current and lifetime psychiatric illness among inmates not identified as acutely mentally ill at intake in Connecticut’s jails. </w:t>
      </w:r>
      <w:r>
        <w:rPr>
          <w:i/>
          <w:iCs/>
        </w:rPr>
        <w:t>Journal of the American Academy of Psychiatry and Law, 35(4),</w:t>
      </w:r>
      <w:r>
        <w:t xml:space="preserve"> 490-500.</w:t>
      </w:r>
    </w:p>
    <w:p w:rsidR="00C84716" w:rsidRPr="00EB4800" w:rsidRDefault="00C84716" w:rsidP="00C84716">
      <w:pPr>
        <w:spacing w:before="240"/>
        <w:ind w:left="720" w:hanging="720"/>
      </w:pPr>
      <w:r w:rsidRPr="00EB4800">
        <w:t xml:space="preserve">Tsemberis, S., </w:t>
      </w:r>
      <w:proofErr w:type="spellStart"/>
      <w:r w:rsidRPr="00EB4800">
        <w:t>Gulcur</w:t>
      </w:r>
      <w:proofErr w:type="spellEnd"/>
      <w:r w:rsidRPr="00EB4800">
        <w:t xml:space="preserve">, L., &amp; </w:t>
      </w:r>
      <w:proofErr w:type="spellStart"/>
      <w:r w:rsidRPr="00EB4800">
        <w:t>Nakae</w:t>
      </w:r>
      <w:proofErr w:type="spellEnd"/>
      <w:r w:rsidRPr="00EB4800">
        <w:t xml:space="preserve">, M. (2004). Housing First, consumer choice, and harm reduction for homeless individuals with a dual diagnosis. </w:t>
      </w:r>
      <w:r w:rsidRPr="00EB4800">
        <w:rPr>
          <w:i/>
          <w:iCs/>
        </w:rPr>
        <w:t>American Journal of Public Health, 94,</w:t>
      </w:r>
      <w:r w:rsidRPr="00EB4800">
        <w:t xml:space="preserve"> 651–656.</w:t>
      </w:r>
    </w:p>
    <w:p w:rsidR="00C84716" w:rsidRDefault="00C84716" w:rsidP="00C84716">
      <w:pPr>
        <w:spacing w:before="240"/>
        <w:ind w:left="720" w:hanging="720"/>
      </w:pPr>
      <w:r w:rsidRPr="00BC7151">
        <w:t xml:space="preserve">Tsemberis, S., Moran, L., Shinn, M., </w:t>
      </w:r>
      <w:proofErr w:type="spellStart"/>
      <w:r w:rsidRPr="00BC7151">
        <w:t>Asmussen</w:t>
      </w:r>
      <w:proofErr w:type="spellEnd"/>
      <w:r w:rsidRPr="00BC7151">
        <w:t xml:space="preserve">, S.M., &amp; </w:t>
      </w:r>
      <w:proofErr w:type="spellStart"/>
      <w:r w:rsidRPr="00BC7151">
        <w:t>Shern</w:t>
      </w:r>
      <w:proofErr w:type="spellEnd"/>
      <w:r w:rsidRPr="00BC7151">
        <w:t xml:space="preserve">, D. L. (2003). Consumer preference programs for individuals who are homeless and have psychiatric disabilities: A drop-in center and a supported housing program. </w:t>
      </w:r>
      <w:r w:rsidRPr="00BC7151">
        <w:rPr>
          <w:i/>
          <w:iCs/>
        </w:rPr>
        <w:t>American Journal of Community Psychology, 32,</w:t>
      </w:r>
      <w:r w:rsidRPr="00BC7151">
        <w:t xml:space="preserve"> 305-317.</w:t>
      </w:r>
    </w:p>
    <w:p w:rsidR="00C84716" w:rsidRDefault="00C84716" w:rsidP="00C84716">
      <w:pPr>
        <w:spacing w:before="240"/>
        <w:ind w:left="720" w:hanging="720"/>
      </w:pPr>
      <w:r w:rsidRPr="000B4CC2">
        <w:t xml:space="preserve">Tsemberis, S., </w:t>
      </w:r>
      <w:proofErr w:type="spellStart"/>
      <w:r w:rsidRPr="000B4CC2">
        <w:t>McHugo</w:t>
      </w:r>
      <w:proofErr w:type="spellEnd"/>
      <w:r w:rsidRPr="000B4CC2">
        <w:t xml:space="preserve">, G., Williams, V., </w:t>
      </w:r>
      <w:proofErr w:type="spellStart"/>
      <w:r w:rsidRPr="000B4CC2">
        <w:t>Hanrahan</w:t>
      </w:r>
      <w:proofErr w:type="spellEnd"/>
      <w:r w:rsidRPr="000B4CC2">
        <w:t xml:space="preserve">, P., &amp; </w:t>
      </w:r>
      <w:proofErr w:type="spellStart"/>
      <w:r w:rsidRPr="000B4CC2">
        <w:t>Stefancic</w:t>
      </w:r>
      <w:proofErr w:type="spellEnd"/>
      <w:r w:rsidRPr="000B4CC2">
        <w:t xml:space="preserve">, A. (2007) Measuring homelessness and residential stability: The residential time-ling follow-back inventory. </w:t>
      </w:r>
      <w:r w:rsidRPr="000B4CC2">
        <w:rPr>
          <w:i/>
          <w:iCs/>
        </w:rPr>
        <w:t xml:space="preserve">Journal of Community Psychology, 35, </w:t>
      </w:r>
      <w:r w:rsidRPr="000B4CC2">
        <w:t>(29-42).</w:t>
      </w:r>
    </w:p>
    <w:p w:rsidR="00C84716" w:rsidRDefault="00C84716" w:rsidP="00C84716">
      <w:pPr>
        <w:spacing w:before="240"/>
        <w:ind w:left="720" w:hanging="720"/>
      </w:pPr>
      <w:proofErr w:type="gramStart"/>
      <w:r w:rsidRPr="00E1219B">
        <w:t>U.S. Department of Housing and Urban Development, Office of Community Planning and Development.</w:t>
      </w:r>
      <w:proofErr w:type="gramEnd"/>
      <w:r w:rsidRPr="00E1219B">
        <w:t xml:space="preserve"> (2009). </w:t>
      </w:r>
      <w:proofErr w:type="gramStart"/>
      <w:r w:rsidRPr="00E1219B">
        <w:rPr>
          <w:i/>
          <w:iCs/>
        </w:rPr>
        <w:t>The</w:t>
      </w:r>
      <w:proofErr w:type="gramEnd"/>
      <w:r w:rsidRPr="00E1219B">
        <w:rPr>
          <w:i/>
          <w:iCs/>
        </w:rPr>
        <w:t xml:space="preserve"> 2008 annual homeless assessment report to Congress</w:t>
      </w:r>
      <w:r w:rsidRPr="00E1219B">
        <w:t xml:space="preserve">. </w:t>
      </w:r>
      <w:smartTag w:uri="urn:schemas-microsoft-com:office:smarttags" w:element="place">
        <w:smartTag w:uri="urn:schemas-microsoft-com:office:smarttags" w:element="City">
          <w:r w:rsidRPr="00E1219B">
            <w:t>Washington</w:t>
          </w:r>
        </w:smartTag>
        <w:r w:rsidRPr="00E1219B">
          <w:t xml:space="preserve">, </w:t>
        </w:r>
        <w:smartTag w:uri="urn:schemas-microsoft-com:office:smarttags" w:element="State">
          <w:r w:rsidRPr="00E1219B">
            <w:t>DC</w:t>
          </w:r>
        </w:smartTag>
      </w:smartTag>
      <w:r w:rsidRPr="00E1219B">
        <w:t>: Author.</w:t>
      </w:r>
    </w:p>
    <w:p w:rsidR="00C84716" w:rsidRPr="005F314D" w:rsidRDefault="00C84716" w:rsidP="00C84716">
      <w:pPr>
        <w:spacing w:before="240" w:after="0" w:line="240" w:lineRule="auto"/>
        <w:ind w:left="720" w:hanging="720"/>
        <w:rPr>
          <w:lang w:val="en"/>
        </w:rPr>
      </w:pPr>
      <w:proofErr w:type="gramStart"/>
      <w:r w:rsidRPr="005F314D">
        <w:rPr>
          <w:lang w:val="en"/>
        </w:rPr>
        <w:t>van</w:t>
      </w:r>
      <w:proofErr w:type="gramEnd"/>
      <w:r w:rsidRPr="005F314D">
        <w:rPr>
          <w:lang w:val="en"/>
        </w:rPr>
        <w:t xml:space="preserve"> </w:t>
      </w:r>
      <w:proofErr w:type="spellStart"/>
      <w:r w:rsidRPr="005F314D">
        <w:rPr>
          <w:lang w:val="en"/>
        </w:rPr>
        <w:t>Laerhoven</w:t>
      </w:r>
      <w:proofErr w:type="spellEnd"/>
      <w:r w:rsidRPr="005F314D">
        <w:rPr>
          <w:lang w:val="en"/>
        </w:rPr>
        <w:t xml:space="preserve">, H., van der </w:t>
      </w:r>
      <w:proofErr w:type="spellStart"/>
      <w:r w:rsidRPr="005F314D">
        <w:rPr>
          <w:lang w:val="en"/>
        </w:rPr>
        <w:t>Zaag-L</w:t>
      </w:r>
      <w:r>
        <w:rPr>
          <w:lang w:val="en"/>
        </w:rPr>
        <w:t>oonen</w:t>
      </w:r>
      <w:proofErr w:type="spellEnd"/>
      <w:r>
        <w:rPr>
          <w:lang w:val="en"/>
        </w:rPr>
        <w:t xml:space="preserve">, H., &amp; </w:t>
      </w:r>
      <w:proofErr w:type="spellStart"/>
      <w:r>
        <w:rPr>
          <w:lang w:val="en"/>
        </w:rPr>
        <w:t>Derkx</w:t>
      </w:r>
      <w:proofErr w:type="spellEnd"/>
      <w:r>
        <w:rPr>
          <w:lang w:val="en"/>
        </w:rPr>
        <w:t>, B. (2004).</w:t>
      </w:r>
      <w:r w:rsidRPr="005F314D">
        <w:rPr>
          <w:lang w:val="en"/>
        </w:rPr>
        <w:t xml:space="preserve"> A comparison of </w:t>
      </w:r>
      <w:proofErr w:type="spellStart"/>
      <w:r w:rsidRPr="005F314D">
        <w:rPr>
          <w:lang w:val="en"/>
        </w:rPr>
        <w:t>Likert</w:t>
      </w:r>
      <w:proofErr w:type="spellEnd"/>
      <w:r w:rsidRPr="005F314D">
        <w:rPr>
          <w:lang w:val="en"/>
        </w:rPr>
        <w:t xml:space="preserve"> scale and visual analogue scales as response options in children's questionnaires. </w:t>
      </w:r>
      <w:proofErr w:type="spellStart"/>
      <w:r w:rsidRPr="005F314D">
        <w:rPr>
          <w:i/>
          <w:iCs/>
          <w:lang w:val="en"/>
        </w:rPr>
        <w:t>Acta</w:t>
      </w:r>
      <w:proofErr w:type="spellEnd"/>
      <w:r w:rsidRPr="005F314D">
        <w:rPr>
          <w:i/>
          <w:iCs/>
          <w:lang w:val="en"/>
        </w:rPr>
        <w:t xml:space="preserve"> </w:t>
      </w:r>
      <w:proofErr w:type="spellStart"/>
      <w:r w:rsidRPr="005F314D">
        <w:rPr>
          <w:i/>
          <w:iCs/>
          <w:lang w:val="en"/>
        </w:rPr>
        <w:t>Paediatrica</w:t>
      </w:r>
      <w:proofErr w:type="spellEnd"/>
      <w:r w:rsidRPr="005F314D">
        <w:rPr>
          <w:i/>
          <w:iCs/>
          <w:lang w:val="en"/>
        </w:rPr>
        <w:t>, 93</w:t>
      </w:r>
      <w:r>
        <w:rPr>
          <w:i/>
          <w:iCs/>
          <w:lang w:val="en"/>
        </w:rPr>
        <w:t>,</w:t>
      </w:r>
      <w:r w:rsidRPr="005F314D">
        <w:rPr>
          <w:lang w:val="en"/>
        </w:rPr>
        <w:t xml:space="preserve"> 830–835. </w:t>
      </w:r>
      <w:proofErr w:type="spellStart"/>
      <w:proofErr w:type="gramStart"/>
      <w:r w:rsidRPr="005F314D">
        <w:rPr>
          <w:lang w:val="en"/>
        </w:rPr>
        <w:t>doi</w:t>
      </w:r>
      <w:proofErr w:type="spellEnd"/>
      <w:proofErr w:type="gramEnd"/>
      <w:r w:rsidRPr="005F314D">
        <w:rPr>
          <w:lang w:val="en"/>
        </w:rPr>
        <w:t>: 10.1111/j.1651-2227.2004.tb03026.x</w:t>
      </w:r>
    </w:p>
    <w:p w:rsidR="00C84716" w:rsidRDefault="00C84716" w:rsidP="00C84716">
      <w:pPr>
        <w:spacing w:before="240"/>
        <w:ind w:left="720" w:hanging="720"/>
      </w:pPr>
      <w:r>
        <w:t>Vickers, A. J.</w:t>
      </w:r>
      <w:r w:rsidRPr="005F314D">
        <w:t xml:space="preserve"> </w:t>
      </w:r>
      <w:r>
        <w:t>(</w:t>
      </w:r>
      <w:r w:rsidRPr="005F314D">
        <w:t>1999</w:t>
      </w:r>
      <w:r>
        <w:t>)</w:t>
      </w:r>
      <w:r w:rsidRPr="005F314D">
        <w:t xml:space="preserve">. </w:t>
      </w:r>
      <w:proofErr w:type="gramStart"/>
      <w:r w:rsidRPr="005F314D">
        <w:t>Comparison of an ordinal and a continuous outcome measure of muscle soreness.</w:t>
      </w:r>
      <w:proofErr w:type="gramEnd"/>
      <w:r w:rsidRPr="005F314D">
        <w:t xml:space="preserve"> </w:t>
      </w:r>
      <w:r w:rsidRPr="005F314D">
        <w:rPr>
          <w:i/>
          <w:iCs/>
        </w:rPr>
        <w:t>International Journal of Technology Assessment in Health Care, 15,</w:t>
      </w:r>
      <w:r w:rsidRPr="005F314D">
        <w:t xml:space="preserve"> 709-716.</w:t>
      </w:r>
    </w:p>
    <w:p w:rsidR="00C84716" w:rsidRDefault="00C84716" w:rsidP="00C84716">
      <w:pPr>
        <w:spacing w:before="240"/>
        <w:ind w:left="720" w:hanging="720"/>
      </w:pPr>
      <w:proofErr w:type="gramStart"/>
      <w:r w:rsidRPr="00BC7151">
        <w:t xml:space="preserve">Weathers, F. W., </w:t>
      </w:r>
      <w:proofErr w:type="spellStart"/>
      <w:r w:rsidRPr="00BC7151">
        <w:t>Litz</w:t>
      </w:r>
      <w:proofErr w:type="spellEnd"/>
      <w:r w:rsidRPr="00BC7151">
        <w:t xml:space="preserve">, B. T., </w:t>
      </w:r>
      <w:proofErr w:type="spellStart"/>
      <w:r w:rsidRPr="00BC7151">
        <w:t>Huska</w:t>
      </w:r>
      <w:proofErr w:type="spellEnd"/>
      <w:r w:rsidRPr="00BC7151">
        <w:t>, J. A., &amp; Keane, T. M. (1994).</w:t>
      </w:r>
      <w:proofErr w:type="gramEnd"/>
      <w:r w:rsidRPr="00BC7151">
        <w:t xml:space="preserve"> </w:t>
      </w:r>
      <w:proofErr w:type="gramStart"/>
      <w:r w:rsidRPr="00BC7151">
        <w:rPr>
          <w:i/>
          <w:iCs/>
        </w:rPr>
        <w:t>PCL Checklist-Civilian Version</w:t>
      </w:r>
      <w:r w:rsidRPr="00BC7151">
        <w:t>.</w:t>
      </w:r>
      <w:proofErr w:type="gramEnd"/>
      <w:r w:rsidRPr="00BC7151">
        <w:t xml:space="preserve"> Boston: National Center for PTSD, Behavioral Science Division.</w:t>
      </w:r>
    </w:p>
    <w:p w:rsidR="00C84716" w:rsidRDefault="00C84716" w:rsidP="00C84716">
      <w:pPr>
        <w:spacing w:before="240"/>
        <w:ind w:left="720" w:hanging="720"/>
      </w:pPr>
      <w:proofErr w:type="gramStart"/>
      <w:r w:rsidRPr="00822887">
        <w:t>Weiner, I. (Ed.), &amp; Craighead, W. (Ed</w:t>
      </w:r>
      <w:r>
        <w:t>s</w:t>
      </w:r>
      <w:r w:rsidRPr="00822887">
        <w:t>.).</w:t>
      </w:r>
      <w:proofErr w:type="gramEnd"/>
      <w:r w:rsidRPr="00822887">
        <w:t xml:space="preserve"> (2010). </w:t>
      </w:r>
      <w:r w:rsidRPr="00822887">
        <w:rPr>
          <w:i/>
          <w:iCs/>
        </w:rPr>
        <w:t xml:space="preserve">The </w:t>
      </w:r>
      <w:proofErr w:type="spellStart"/>
      <w:r w:rsidRPr="00822887">
        <w:rPr>
          <w:i/>
          <w:iCs/>
        </w:rPr>
        <w:t>Corsini</w:t>
      </w:r>
      <w:proofErr w:type="spellEnd"/>
      <w:r w:rsidRPr="00822887">
        <w:rPr>
          <w:i/>
          <w:iCs/>
        </w:rPr>
        <w:t xml:space="preserve"> encyclopedia of psychology, </w:t>
      </w:r>
      <w:proofErr w:type="spellStart"/>
      <w:r w:rsidRPr="00822887">
        <w:rPr>
          <w:i/>
          <w:iCs/>
        </w:rPr>
        <w:t>Vol</w:t>
      </w:r>
      <w:proofErr w:type="spellEnd"/>
      <w:r w:rsidRPr="00822887">
        <w:rPr>
          <w:i/>
          <w:iCs/>
        </w:rPr>
        <w:t xml:space="preserve"> 2 D–L </w:t>
      </w:r>
      <w:r w:rsidRPr="002F03A8">
        <w:t xml:space="preserve">(4th </w:t>
      </w:r>
      <w:proofErr w:type="gramStart"/>
      <w:r w:rsidRPr="002F03A8">
        <w:t>ed</w:t>
      </w:r>
      <w:proofErr w:type="gramEnd"/>
      <w:r w:rsidRPr="002F03A8">
        <w:t>.)</w:t>
      </w:r>
      <w:r>
        <w:t>. Hoboken, NJ</w:t>
      </w:r>
      <w:r w:rsidRPr="00822887">
        <w:t>: John Wiley &amp; Sons Inc.</w:t>
      </w:r>
    </w:p>
    <w:p w:rsidR="00CB7992" w:rsidRPr="00CB7992" w:rsidRDefault="00CB7992" w:rsidP="00CB7992">
      <w:pPr>
        <w:autoSpaceDE w:val="0"/>
        <w:autoSpaceDN w:val="0"/>
        <w:adjustRightInd w:val="0"/>
        <w:spacing w:after="0" w:line="240" w:lineRule="auto"/>
        <w:ind w:left="720" w:hanging="720"/>
      </w:pPr>
      <w:proofErr w:type="spellStart"/>
      <w:proofErr w:type="gramStart"/>
      <w:r w:rsidRPr="00CB7992">
        <w:rPr>
          <w:rFonts w:cs="NewCenturySchlbk-Roman"/>
        </w:rPr>
        <w:t>Winterfield</w:t>
      </w:r>
      <w:proofErr w:type="spellEnd"/>
      <w:r w:rsidRPr="00CB7992">
        <w:rPr>
          <w:rFonts w:cs="NewCenturySchlbk-Roman"/>
        </w:rPr>
        <w:t>, L., Lattimore, P. K., Steffey, D. M., Brumbaugh, S. M., &amp; Lindquist, C. H. (2006).</w:t>
      </w:r>
      <w:proofErr w:type="gramEnd"/>
      <w:r w:rsidRPr="00CB7992">
        <w:rPr>
          <w:rFonts w:cs="NewCenturySchlbk-Roman"/>
        </w:rPr>
        <w:t xml:space="preserve"> The serious and violent offender reentry initiative: Measuring the effects on service delivery. </w:t>
      </w:r>
      <w:r w:rsidRPr="00CB7992">
        <w:rPr>
          <w:rFonts w:cs="NewCenturySchlbk-Italic"/>
          <w:i/>
          <w:iCs/>
        </w:rPr>
        <w:t>Western Criminology Review</w:t>
      </w:r>
      <w:r w:rsidRPr="00CB7992">
        <w:rPr>
          <w:rFonts w:cs="NewCenturySchlbk-Roman"/>
        </w:rPr>
        <w:t xml:space="preserve">, </w:t>
      </w:r>
      <w:r w:rsidRPr="00CB7992">
        <w:rPr>
          <w:rFonts w:cs="NewCenturySchlbk-Italic"/>
          <w:i/>
          <w:iCs/>
        </w:rPr>
        <w:t>7</w:t>
      </w:r>
      <w:r w:rsidRPr="00CB7992">
        <w:rPr>
          <w:rFonts w:cs="NewCenturySchlbk-Roman"/>
        </w:rPr>
        <w:t>(2), 3–19.</w:t>
      </w:r>
    </w:p>
    <w:p w:rsidR="00C84716" w:rsidRDefault="00C84716" w:rsidP="00C84716">
      <w:pPr>
        <w:spacing w:before="240"/>
        <w:ind w:left="720" w:hanging="720"/>
      </w:pPr>
      <w:proofErr w:type="spellStart"/>
      <w:r w:rsidRPr="00AF6486">
        <w:t>Zung</w:t>
      </w:r>
      <w:proofErr w:type="spellEnd"/>
      <w:r w:rsidRPr="00AF6486">
        <w:t xml:space="preserve">, B.J. (1979). </w:t>
      </w:r>
      <w:proofErr w:type="gramStart"/>
      <w:r w:rsidRPr="00AF6486">
        <w:t>Psychometric properties of the MAST and two briefer versions.</w:t>
      </w:r>
      <w:proofErr w:type="gramEnd"/>
      <w:r w:rsidRPr="00AF6486">
        <w:t xml:space="preserve"> </w:t>
      </w:r>
      <w:r w:rsidRPr="00AF6486">
        <w:rPr>
          <w:i/>
        </w:rPr>
        <w:t>Journal of Studies on Alcohol, 40</w:t>
      </w:r>
      <w:r w:rsidRPr="00AF6486">
        <w:rPr>
          <w:i/>
          <w:iCs/>
        </w:rPr>
        <w:t>(9)</w:t>
      </w:r>
      <w:r w:rsidRPr="00AF6486">
        <w:t>, 845-859.</w:t>
      </w:r>
    </w:p>
    <w:p w:rsidR="00C84716" w:rsidRPr="00F25254" w:rsidRDefault="00C84716" w:rsidP="00C84716">
      <w:pPr>
        <w:pStyle w:val="NoSpacing"/>
      </w:pPr>
    </w:p>
    <w:p w:rsidR="00E67D0A" w:rsidRPr="006E6E49" w:rsidRDefault="00C9204B" w:rsidP="00D54538">
      <w:pPr>
        <w:pStyle w:val="NoSpacing"/>
        <w:jc w:val="both"/>
        <w:rPr>
          <w:b/>
          <w:bCs/>
        </w:rPr>
      </w:pPr>
      <w:r w:rsidRPr="00F25254">
        <w:br w:type="page"/>
      </w:r>
      <w:r w:rsidRPr="006E6E49">
        <w:rPr>
          <w:b/>
          <w:bCs/>
        </w:rPr>
        <w:lastRenderedPageBreak/>
        <w:t>Attachments:</w:t>
      </w:r>
    </w:p>
    <w:p w:rsidR="00C9204B" w:rsidRPr="006E6E49" w:rsidRDefault="00C9204B" w:rsidP="00913557">
      <w:pPr>
        <w:pStyle w:val="NoSpacing"/>
        <w:jc w:val="both"/>
        <w:rPr>
          <w:b/>
          <w:bCs/>
        </w:rPr>
      </w:pPr>
    </w:p>
    <w:p w:rsidR="00C9204B" w:rsidRPr="006E6E49" w:rsidRDefault="00C9204B" w:rsidP="00913557">
      <w:pPr>
        <w:pStyle w:val="NoSpacing"/>
        <w:jc w:val="both"/>
      </w:pPr>
      <w:r w:rsidRPr="006E6E49">
        <w:t>IRB Approvals</w:t>
      </w:r>
    </w:p>
    <w:p w:rsidR="00C9204B" w:rsidRPr="00F25254" w:rsidRDefault="006E6E49" w:rsidP="00913557">
      <w:pPr>
        <w:pStyle w:val="NoSpacing"/>
        <w:jc w:val="both"/>
      </w:pPr>
      <w:r>
        <w:t>Baseline and 6-Month Follow-up Client Survey</w:t>
      </w:r>
    </w:p>
    <w:sectPr w:rsidR="00C9204B" w:rsidRPr="00F25254" w:rsidSect="00DD62D7">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1A4" w:rsidRDefault="007E21A4" w:rsidP="00187728">
      <w:pPr>
        <w:spacing w:after="0" w:line="240" w:lineRule="auto"/>
      </w:pPr>
      <w:r>
        <w:separator/>
      </w:r>
    </w:p>
  </w:endnote>
  <w:endnote w:type="continuationSeparator" w:id="0">
    <w:p w:rsidR="007E21A4" w:rsidRDefault="007E21A4" w:rsidP="00187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vPTimes">
    <w:panose1 w:val="00000000000000000000"/>
    <w:charset w:val="00"/>
    <w:family w:val="roman"/>
    <w:notTrueType/>
    <w:pitch w:val="default"/>
    <w:sig w:usb0="00000003" w:usb1="00000000" w:usb2="00000000" w:usb3="00000000" w:csb0="00000001" w:csb1="00000000"/>
  </w:font>
  <w:font w:name="AdvP4493B6">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 w:name="NewCenturySchlbk-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182662"/>
      <w:docPartObj>
        <w:docPartGallery w:val="Page Numbers (Bottom of Page)"/>
        <w:docPartUnique/>
      </w:docPartObj>
    </w:sdtPr>
    <w:sdtEndPr>
      <w:rPr>
        <w:noProof/>
      </w:rPr>
    </w:sdtEndPr>
    <w:sdtContent>
      <w:p w:rsidR="00DD62D7" w:rsidRDefault="00DD62D7">
        <w:pPr>
          <w:pStyle w:val="Footer"/>
          <w:jc w:val="right"/>
        </w:pPr>
        <w:r>
          <w:fldChar w:fldCharType="begin"/>
        </w:r>
        <w:r>
          <w:instrText xml:space="preserve"> PAGE   \* MERGEFORMAT </w:instrText>
        </w:r>
        <w:r>
          <w:fldChar w:fldCharType="separate"/>
        </w:r>
        <w:r w:rsidR="00273A25">
          <w:rPr>
            <w:noProof/>
          </w:rPr>
          <w:t>1</w:t>
        </w:r>
        <w:r>
          <w:rPr>
            <w:noProof/>
          </w:rPr>
          <w:fldChar w:fldCharType="end"/>
        </w:r>
      </w:p>
    </w:sdtContent>
  </w:sdt>
  <w:p w:rsidR="00DD62D7" w:rsidRDefault="00DD62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1A4" w:rsidRDefault="007E21A4" w:rsidP="00187728">
      <w:pPr>
        <w:spacing w:after="0" w:line="240" w:lineRule="auto"/>
      </w:pPr>
      <w:r>
        <w:separator/>
      </w:r>
    </w:p>
  </w:footnote>
  <w:footnote w:type="continuationSeparator" w:id="0">
    <w:p w:rsidR="007E21A4" w:rsidRDefault="007E21A4" w:rsidP="001877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744E"/>
    <w:multiLevelType w:val="hybridMultilevel"/>
    <w:tmpl w:val="8E98C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D5DFF"/>
    <w:multiLevelType w:val="hybridMultilevel"/>
    <w:tmpl w:val="18584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B14BB"/>
    <w:multiLevelType w:val="hybridMultilevel"/>
    <w:tmpl w:val="F3500A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759D2"/>
    <w:multiLevelType w:val="hybridMultilevel"/>
    <w:tmpl w:val="7D04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25729A"/>
    <w:multiLevelType w:val="hybridMultilevel"/>
    <w:tmpl w:val="91CEF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CB11B1"/>
    <w:multiLevelType w:val="hybridMultilevel"/>
    <w:tmpl w:val="7C5C6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492FBA"/>
    <w:multiLevelType w:val="hybridMultilevel"/>
    <w:tmpl w:val="4DE6C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C34803"/>
    <w:multiLevelType w:val="hybridMultilevel"/>
    <w:tmpl w:val="67B88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860CE7"/>
    <w:multiLevelType w:val="hybridMultilevel"/>
    <w:tmpl w:val="7F1E3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9048CC"/>
    <w:multiLevelType w:val="hybridMultilevel"/>
    <w:tmpl w:val="9A262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DE4C3B"/>
    <w:multiLevelType w:val="hybridMultilevel"/>
    <w:tmpl w:val="4DBA4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1220F1"/>
    <w:multiLevelType w:val="hybridMultilevel"/>
    <w:tmpl w:val="E79CF1C0"/>
    <w:lvl w:ilvl="0" w:tplc="1AAEEC8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301FF1"/>
    <w:multiLevelType w:val="hybridMultilevel"/>
    <w:tmpl w:val="1F706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3E51E3"/>
    <w:multiLevelType w:val="hybridMultilevel"/>
    <w:tmpl w:val="FE48C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3406E6"/>
    <w:multiLevelType w:val="hybridMultilevel"/>
    <w:tmpl w:val="59348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30F09"/>
    <w:multiLevelType w:val="multilevel"/>
    <w:tmpl w:val="FFE0E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090039"/>
    <w:multiLevelType w:val="hybridMultilevel"/>
    <w:tmpl w:val="393E8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BD0AFE"/>
    <w:multiLevelType w:val="hybridMultilevel"/>
    <w:tmpl w:val="4DBA4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4A7E17"/>
    <w:multiLevelType w:val="hybridMultilevel"/>
    <w:tmpl w:val="D3309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0"/>
  </w:num>
  <w:num w:numId="4">
    <w:abstractNumId w:val="4"/>
  </w:num>
  <w:num w:numId="5">
    <w:abstractNumId w:val="6"/>
  </w:num>
  <w:num w:numId="6">
    <w:abstractNumId w:val="7"/>
  </w:num>
  <w:num w:numId="7">
    <w:abstractNumId w:val="13"/>
  </w:num>
  <w:num w:numId="8">
    <w:abstractNumId w:val="0"/>
  </w:num>
  <w:num w:numId="9">
    <w:abstractNumId w:val="3"/>
  </w:num>
  <w:num w:numId="10">
    <w:abstractNumId w:val="9"/>
  </w:num>
  <w:num w:numId="11">
    <w:abstractNumId w:val="16"/>
  </w:num>
  <w:num w:numId="12">
    <w:abstractNumId w:val="14"/>
  </w:num>
  <w:num w:numId="13">
    <w:abstractNumId w:val="5"/>
  </w:num>
  <w:num w:numId="14">
    <w:abstractNumId w:val="12"/>
  </w:num>
  <w:num w:numId="15">
    <w:abstractNumId w:val="11"/>
  </w:num>
  <w:num w:numId="16">
    <w:abstractNumId w:val="1"/>
  </w:num>
  <w:num w:numId="17">
    <w:abstractNumId w:val="2"/>
  </w:num>
  <w:num w:numId="18">
    <w:abstractNumId w:val="17"/>
  </w:num>
  <w:num w:numId="19">
    <w:abstractNumId w:val="15"/>
    <w:lvlOverride w:ilvl="0">
      <w:startOverride w:val="15"/>
    </w:lvlOverride>
  </w:num>
  <w:num w:numId="20">
    <w:abstractNumId w:val="15"/>
    <w:lvlOverride w:ilvl="0">
      <w:startOverride w:val="1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8C"/>
    <w:rsid w:val="00001DF3"/>
    <w:rsid w:val="000334C6"/>
    <w:rsid w:val="0003775F"/>
    <w:rsid w:val="000413E8"/>
    <w:rsid w:val="0004224E"/>
    <w:rsid w:val="00054128"/>
    <w:rsid w:val="000557C5"/>
    <w:rsid w:val="00062B2C"/>
    <w:rsid w:val="00066AAA"/>
    <w:rsid w:val="00071A27"/>
    <w:rsid w:val="000925C5"/>
    <w:rsid w:val="000943D9"/>
    <w:rsid w:val="000A0A52"/>
    <w:rsid w:val="000A3B02"/>
    <w:rsid w:val="000A4F0F"/>
    <w:rsid w:val="000A7178"/>
    <w:rsid w:val="000E7B7D"/>
    <w:rsid w:val="000F69F7"/>
    <w:rsid w:val="00107600"/>
    <w:rsid w:val="0011317E"/>
    <w:rsid w:val="001133CD"/>
    <w:rsid w:val="00114D9F"/>
    <w:rsid w:val="0011729D"/>
    <w:rsid w:val="0012493B"/>
    <w:rsid w:val="001258A1"/>
    <w:rsid w:val="00126AB4"/>
    <w:rsid w:val="00133049"/>
    <w:rsid w:val="00135D89"/>
    <w:rsid w:val="0014081C"/>
    <w:rsid w:val="00142BAF"/>
    <w:rsid w:val="00151F38"/>
    <w:rsid w:val="00153779"/>
    <w:rsid w:val="00160619"/>
    <w:rsid w:val="0016769B"/>
    <w:rsid w:val="00174A27"/>
    <w:rsid w:val="0018087A"/>
    <w:rsid w:val="00180C5A"/>
    <w:rsid w:val="00183B23"/>
    <w:rsid w:val="00186633"/>
    <w:rsid w:val="00187728"/>
    <w:rsid w:val="00187AF1"/>
    <w:rsid w:val="001A37B9"/>
    <w:rsid w:val="001A42D5"/>
    <w:rsid w:val="001A7981"/>
    <w:rsid w:val="001B0C2B"/>
    <w:rsid w:val="001C02CA"/>
    <w:rsid w:val="001D235D"/>
    <w:rsid w:val="001F01DE"/>
    <w:rsid w:val="001F57F4"/>
    <w:rsid w:val="001F5B03"/>
    <w:rsid w:val="001F6082"/>
    <w:rsid w:val="00204DDA"/>
    <w:rsid w:val="00205C49"/>
    <w:rsid w:val="002258A4"/>
    <w:rsid w:val="0024349F"/>
    <w:rsid w:val="00246814"/>
    <w:rsid w:val="00250545"/>
    <w:rsid w:val="00252C25"/>
    <w:rsid w:val="00253D8D"/>
    <w:rsid w:val="00254C28"/>
    <w:rsid w:val="0026538E"/>
    <w:rsid w:val="00273A25"/>
    <w:rsid w:val="00284F71"/>
    <w:rsid w:val="002A1651"/>
    <w:rsid w:val="002A448F"/>
    <w:rsid w:val="002A7997"/>
    <w:rsid w:val="002B1288"/>
    <w:rsid w:val="002B2A17"/>
    <w:rsid w:val="002B473A"/>
    <w:rsid w:val="002D3901"/>
    <w:rsid w:val="002D7CAD"/>
    <w:rsid w:val="002E049C"/>
    <w:rsid w:val="002E0728"/>
    <w:rsid w:val="002E6447"/>
    <w:rsid w:val="002E67D3"/>
    <w:rsid w:val="002F58A2"/>
    <w:rsid w:val="002F730A"/>
    <w:rsid w:val="00300166"/>
    <w:rsid w:val="00302F10"/>
    <w:rsid w:val="00311F67"/>
    <w:rsid w:val="003358BC"/>
    <w:rsid w:val="00337F89"/>
    <w:rsid w:val="003736CD"/>
    <w:rsid w:val="003778AC"/>
    <w:rsid w:val="003838D3"/>
    <w:rsid w:val="00385180"/>
    <w:rsid w:val="003A1C4C"/>
    <w:rsid w:val="003B5C1A"/>
    <w:rsid w:val="003C0205"/>
    <w:rsid w:val="003C0B7C"/>
    <w:rsid w:val="003C55C1"/>
    <w:rsid w:val="003C5CD3"/>
    <w:rsid w:val="003C6655"/>
    <w:rsid w:val="003D2E3A"/>
    <w:rsid w:val="003D6CD9"/>
    <w:rsid w:val="003E0797"/>
    <w:rsid w:val="003E4788"/>
    <w:rsid w:val="003E6907"/>
    <w:rsid w:val="003E6997"/>
    <w:rsid w:val="003F2CAF"/>
    <w:rsid w:val="00404F26"/>
    <w:rsid w:val="00412334"/>
    <w:rsid w:val="00414B82"/>
    <w:rsid w:val="004211EF"/>
    <w:rsid w:val="00424727"/>
    <w:rsid w:val="004263DE"/>
    <w:rsid w:val="0043617B"/>
    <w:rsid w:val="004376C0"/>
    <w:rsid w:val="00440528"/>
    <w:rsid w:val="004442C7"/>
    <w:rsid w:val="00446277"/>
    <w:rsid w:val="00457768"/>
    <w:rsid w:val="004629AB"/>
    <w:rsid w:val="004705D2"/>
    <w:rsid w:val="00470869"/>
    <w:rsid w:val="004727B8"/>
    <w:rsid w:val="00474B25"/>
    <w:rsid w:val="00485D46"/>
    <w:rsid w:val="0048794A"/>
    <w:rsid w:val="0049111A"/>
    <w:rsid w:val="0049392F"/>
    <w:rsid w:val="004962AC"/>
    <w:rsid w:val="00496A3B"/>
    <w:rsid w:val="004A0424"/>
    <w:rsid w:val="004A6011"/>
    <w:rsid w:val="004A7581"/>
    <w:rsid w:val="004B019A"/>
    <w:rsid w:val="004B3F62"/>
    <w:rsid w:val="004B7376"/>
    <w:rsid w:val="004C5237"/>
    <w:rsid w:val="004D2E91"/>
    <w:rsid w:val="004D3C37"/>
    <w:rsid w:val="004D4B73"/>
    <w:rsid w:val="004D5D9E"/>
    <w:rsid w:val="004D7B73"/>
    <w:rsid w:val="004F4377"/>
    <w:rsid w:val="00500339"/>
    <w:rsid w:val="00501337"/>
    <w:rsid w:val="00503986"/>
    <w:rsid w:val="00506827"/>
    <w:rsid w:val="005139B7"/>
    <w:rsid w:val="00514C31"/>
    <w:rsid w:val="005178BB"/>
    <w:rsid w:val="00537ED5"/>
    <w:rsid w:val="00544FBD"/>
    <w:rsid w:val="005561BB"/>
    <w:rsid w:val="00557473"/>
    <w:rsid w:val="00565501"/>
    <w:rsid w:val="005761F4"/>
    <w:rsid w:val="005825CA"/>
    <w:rsid w:val="005841E6"/>
    <w:rsid w:val="0058607E"/>
    <w:rsid w:val="00586E34"/>
    <w:rsid w:val="0059372E"/>
    <w:rsid w:val="005A3647"/>
    <w:rsid w:val="005A4621"/>
    <w:rsid w:val="005D4CDC"/>
    <w:rsid w:val="005F0D6E"/>
    <w:rsid w:val="005F24E9"/>
    <w:rsid w:val="005F2D5D"/>
    <w:rsid w:val="00613B42"/>
    <w:rsid w:val="00616861"/>
    <w:rsid w:val="00623A00"/>
    <w:rsid w:val="0062569D"/>
    <w:rsid w:val="006258AF"/>
    <w:rsid w:val="006262B6"/>
    <w:rsid w:val="00627085"/>
    <w:rsid w:val="0063035F"/>
    <w:rsid w:val="0063507B"/>
    <w:rsid w:val="0063520E"/>
    <w:rsid w:val="00643C98"/>
    <w:rsid w:val="00647B06"/>
    <w:rsid w:val="00654390"/>
    <w:rsid w:val="006561A6"/>
    <w:rsid w:val="00663012"/>
    <w:rsid w:val="0068062F"/>
    <w:rsid w:val="006810C3"/>
    <w:rsid w:val="00681837"/>
    <w:rsid w:val="0068435D"/>
    <w:rsid w:val="00690095"/>
    <w:rsid w:val="0069165E"/>
    <w:rsid w:val="006973E0"/>
    <w:rsid w:val="006A0850"/>
    <w:rsid w:val="006A4171"/>
    <w:rsid w:val="006A4271"/>
    <w:rsid w:val="006B189A"/>
    <w:rsid w:val="006C201F"/>
    <w:rsid w:val="006C692E"/>
    <w:rsid w:val="006C6A30"/>
    <w:rsid w:val="006D5961"/>
    <w:rsid w:val="006E3170"/>
    <w:rsid w:val="006E6E49"/>
    <w:rsid w:val="006F171C"/>
    <w:rsid w:val="006F3704"/>
    <w:rsid w:val="00710DE7"/>
    <w:rsid w:val="00717D73"/>
    <w:rsid w:val="00730E17"/>
    <w:rsid w:val="00737305"/>
    <w:rsid w:val="0074023E"/>
    <w:rsid w:val="007503C9"/>
    <w:rsid w:val="00757CE7"/>
    <w:rsid w:val="007645DD"/>
    <w:rsid w:val="00773FE0"/>
    <w:rsid w:val="007755F1"/>
    <w:rsid w:val="00792736"/>
    <w:rsid w:val="007A6D87"/>
    <w:rsid w:val="007B3600"/>
    <w:rsid w:val="007B55D4"/>
    <w:rsid w:val="007B67A0"/>
    <w:rsid w:val="007E21A4"/>
    <w:rsid w:val="007F26BE"/>
    <w:rsid w:val="007F784F"/>
    <w:rsid w:val="007F78E2"/>
    <w:rsid w:val="00802453"/>
    <w:rsid w:val="00802D3A"/>
    <w:rsid w:val="0080649B"/>
    <w:rsid w:val="00810F62"/>
    <w:rsid w:val="008266A0"/>
    <w:rsid w:val="00836036"/>
    <w:rsid w:val="00860155"/>
    <w:rsid w:val="00861C08"/>
    <w:rsid w:val="00865871"/>
    <w:rsid w:val="00875308"/>
    <w:rsid w:val="00875320"/>
    <w:rsid w:val="008906C2"/>
    <w:rsid w:val="00894451"/>
    <w:rsid w:val="008B27D4"/>
    <w:rsid w:val="008B4F38"/>
    <w:rsid w:val="008B79E6"/>
    <w:rsid w:val="008C5880"/>
    <w:rsid w:val="008D0F79"/>
    <w:rsid w:val="008D1B7F"/>
    <w:rsid w:val="008D211D"/>
    <w:rsid w:val="008D3043"/>
    <w:rsid w:val="008D79D4"/>
    <w:rsid w:val="008E497D"/>
    <w:rsid w:val="008F2231"/>
    <w:rsid w:val="009079A9"/>
    <w:rsid w:val="00913557"/>
    <w:rsid w:val="0091533A"/>
    <w:rsid w:val="0092388F"/>
    <w:rsid w:val="00923E27"/>
    <w:rsid w:val="00924B41"/>
    <w:rsid w:val="00926994"/>
    <w:rsid w:val="009331CB"/>
    <w:rsid w:val="009369C5"/>
    <w:rsid w:val="00946945"/>
    <w:rsid w:val="00947545"/>
    <w:rsid w:val="009477BD"/>
    <w:rsid w:val="009553A9"/>
    <w:rsid w:val="00955DB4"/>
    <w:rsid w:val="00962F62"/>
    <w:rsid w:val="009724CA"/>
    <w:rsid w:val="009737AE"/>
    <w:rsid w:val="00973B09"/>
    <w:rsid w:val="00980F92"/>
    <w:rsid w:val="00982F4F"/>
    <w:rsid w:val="0098511E"/>
    <w:rsid w:val="0098562A"/>
    <w:rsid w:val="009A2F70"/>
    <w:rsid w:val="009B4910"/>
    <w:rsid w:val="009B5065"/>
    <w:rsid w:val="009C63F7"/>
    <w:rsid w:val="009E020F"/>
    <w:rsid w:val="009E1C88"/>
    <w:rsid w:val="009E3209"/>
    <w:rsid w:val="009E3A4E"/>
    <w:rsid w:val="009E5863"/>
    <w:rsid w:val="009F7B08"/>
    <w:rsid w:val="00A14536"/>
    <w:rsid w:val="00A15966"/>
    <w:rsid w:val="00A15B0C"/>
    <w:rsid w:val="00A203F1"/>
    <w:rsid w:val="00A23ADE"/>
    <w:rsid w:val="00A31919"/>
    <w:rsid w:val="00A31D7C"/>
    <w:rsid w:val="00A41F20"/>
    <w:rsid w:val="00A42008"/>
    <w:rsid w:val="00A46195"/>
    <w:rsid w:val="00A538FE"/>
    <w:rsid w:val="00A60020"/>
    <w:rsid w:val="00A620DE"/>
    <w:rsid w:val="00A66C67"/>
    <w:rsid w:val="00A743C0"/>
    <w:rsid w:val="00A74905"/>
    <w:rsid w:val="00A861E1"/>
    <w:rsid w:val="00A9070C"/>
    <w:rsid w:val="00AA29E4"/>
    <w:rsid w:val="00AA4009"/>
    <w:rsid w:val="00AA4291"/>
    <w:rsid w:val="00AB1D60"/>
    <w:rsid w:val="00AB3C07"/>
    <w:rsid w:val="00AE2D32"/>
    <w:rsid w:val="00AF4F26"/>
    <w:rsid w:val="00AF65BD"/>
    <w:rsid w:val="00B00B95"/>
    <w:rsid w:val="00B0284B"/>
    <w:rsid w:val="00B0457F"/>
    <w:rsid w:val="00B06B9E"/>
    <w:rsid w:val="00B13DDD"/>
    <w:rsid w:val="00B14AA8"/>
    <w:rsid w:val="00B1660E"/>
    <w:rsid w:val="00B17FBE"/>
    <w:rsid w:val="00B201A1"/>
    <w:rsid w:val="00B21D6D"/>
    <w:rsid w:val="00B24A89"/>
    <w:rsid w:val="00B34259"/>
    <w:rsid w:val="00B34773"/>
    <w:rsid w:val="00B423DD"/>
    <w:rsid w:val="00B45B37"/>
    <w:rsid w:val="00B525A6"/>
    <w:rsid w:val="00B551E8"/>
    <w:rsid w:val="00B7310F"/>
    <w:rsid w:val="00B7374A"/>
    <w:rsid w:val="00B77981"/>
    <w:rsid w:val="00B90623"/>
    <w:rsid w:val="00BB77D6"/>
    <w:rsid w:val="00BC73CE"/>
    <w:rsid w:val="00BD4A36"/>
    <w:rsid w:val="00BE2092"/>
    <w:rsid w:val="00BF55D4"/>
    <w:rsid w:val="00BF5B74"/>
    <w:rsid w:val="00C04508"/>
    <w:rsid w:val="00C2201A"/>
    <w:rsid w:val="00C30F41"/>
    <w:rsid w:val="00C34C06"/>
    <w:rsid w:val="00C459A7"/>
    <w:rsid w:val="00C52D80"/>
    <w:rsid w:val="00C57BA9"/>
    <w:rsid w:val="00C65567"/>
    <w:rsid w:val="00C672B0"/>
    <w:rsid w:val="00C732A8"/>
    <w:rsid w:val="00C76B0B"/>
    <w:rsid w:val="00C804FF"/>
    <w:rsid w:val="00C84716"/>
    <w:rsid w:val="00C9204B"/>
    <w:rsid w:val="00C92A17"/>
    <w:rsid w:val="00C93AC7"/>
    <w:rsid w:val="00C94236"/>
    <w:rsid w:val="00CA569A"/>
    <w:rsid w:val="00CB7992"/>
    <w:rsid w:val="00CC1AF4"/>
    <w:rsid w:val="00CC1CE4"/>
    <w:rsid w:val="00CC413D"/>
    <w:rsid w:val="00CC42BC"/>
    <w:rsid w:val="00CD0E6B"/>
    <w:rsid w:val="00CD5BEE"/>
    <w:rsid w:val="00CE17A3"/>
    <w:rsid w:val="00CE3DB0"/>
    <w:rsid w:val="00CE7BB5"/>
    <w:rsid w:val="00CF1E8C"/>
    <w:rsid w:val="00D127A6"/>
    <w:rsid w:val="00D13F66"/>
    <w:rsid w:val="00D17032"/>
    <w:rsid w:val="00D20840"/>
    <w:rsid w:val="00D30B96"/>
    <w:rsid w:val="00D36159"/>
    <w:rsid w:val="00D37182"/>
    <w:rsid w:val="00D37F48"/>
    <w:rsid w:val="00D52EBD"/>
    <w:rsid w:val="00D54538"/>
    <w:rsid w:val="00D579E1"/>
    <w:rsid w:val="00D600C3"/>
    <w:rsid w:val="00D7347B"/>
    <w:rsid w:val="00D755F4"/>
    <w:rsid w:val="00D86594"/>
    <w:rsid w:val="00D918BE"/>
    <w:rsid w:val="00D94CCF"/>
    <w:rsid w:val="00DB4AC7"/>
    <w:rsid w:val="00DB7874"/>
    <w:rsid w:val="00DC10E7"/>
    <w:rsid w:val="00DD2D3E"/>
    <w:rsid w:val="00DD49D7"/>
    <w:rsid w:val="00DD62D7"/>
    <w:rsid w:val="00DD6735"/>
    <w:rsid w:val="00DD7978"/>
    <w:rsid w:val="00DD7D24"/>
    <w:rsid w:val="00DE035D"/>
    <w:rsid w:val="00DE0A71"/>
    <w:rsid w:val="00DE2C73"/>
    <w:rsid w:val="00DF209C"/>
    <w:rsid w:val="00DF4AA3"/>
    <w:rsid w:val="00DF7191"/>
    <w:rsid w:val="00E00740"/>
    <w:rsid w:val="00E01C33"/>
    <w:rsid w:val="00E074C1"/>
    <w:rsid w:val="00E17BB2"/>
    <w:rsid w:val="00E2571F"/>
    <w:rsid w:val="00E269EC"/>
    <w:rsid w:val="00E31263"/>
    <w:rsid w:val="00E53A5C"/>
    <w:rsid w:val="00E56272"/>
    <w:rsid w:val="00E6333F"/>
    <w:rsid w:val="00E64F29"/>
    <w:rsid w:val="00E67064"/>
    <w:rsid w:val="00E67D0A"/>
    <w:rsid w:val="00E74236"/>
    <w:rsid w:val="00E8430A"/>
    <w:rsid w:val="00E92C51"/>
    <w:rsid w:val="00E93A0E"/>
    <w:rsid w:val="00EA0E0F"/>
    <w:rsid w:val="00EA332E"/>
    <w:rsid w:val="00EA7507"/>
    <w:rsid w:val="00EB4783"/>
    <w:rsid w:val="00EB652E"/>
    <w:rsid w:val="00ED0F85"/>
    <w:rsid w:val="00ED5568"/>
    <w:rsid w:val="00EE0155"/>
    <w:rsid w:val="00EE22DF"/>
    <w:rsid w:val="00EE4CAA"/>
    <w:rsid w:val="00EF615D"/>
    <w:rsid w:val="00F16FBE"/>
    <w:rsid w:val="00F220B5"/>
    <w:rsid w:val="00F25254"/>
    <w:rsid w:val="00F30A5F"/>
    <w:rsid w:val="00F451AE"/>
    <w:rsid w:val="00F50DD1"/>
    <w:rsid w:val="00F52AAB"/>
    <w:rsid w:val="00F56747"/>
    <w:rsid w:val="00F707B2"/>
    <w:rsid w:val="00F72747"/>
    <w:rsid w:val="00F81494"/>
    <w:rsid w:val="00F826B2"/>
    <w:rsid w:val="00F85435"/>
    <w:rsid w:val="00FA363A"/>
    <w:rsid w:val="00FA728B"/>
    <w:rsid w:val="00FB0406"/>
    <w:rsid w:val="00FB3C8C"/>
    <w:rsid w:val="00FC579C"/>
    <w:rsid w:val="00FC6218"/>
    <w:rsid w:val="00FC6500"/>
    <w:rsid w:val="00FC6D97"/>
    <w:rsid w:val="00FD38D4"/>
    <w:rsid w:val="00FD43BD"/>
    <w:rsid w:val="00FD697E"/>
    <w:rsid w:val="00FE3F5E"/>
    <w:rsid w:val="00FF0CED"/>
    <w:rsid w:val="00FF1196"/>
    <w:rsid w:val="00FF76AE"/>
    <w:rsid w:val="00FF77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092"/>
    <w:pPr>
      <w:spacing w:after="200" w:line="276" w:lineRule="auto"/>
    </w:pPr>
    <w:rPr>
      <w:sz w:val="22"/>
      <w:szCs w:val="22"/>
    </w:rPr>
  </w:style>
  <w:style w:type="paragraph" w:styleId="Heading1">
    <w:name w:val="heading 1"/>
    <w:basedOn w:val="Normal"/>
    <w:link w:val="Heading1Char"/>
    <w:uiPriority w:val="9"/>
    <w:qFormat/>
    <w:rsid w:val="004B019A"/>
    <w:pPr>
      <w:spacing w:before="100" w:beforeAutospacing="1" w:after="100" w:afterAutospacing="1" w:line="288" w:lineRule="atLeast"/>
      <w:outlineLvl w:val="0"/>
    </w:pPr>
    <w:rPr>
      <w:rFonts w:ascii="Times New Roman" w:eastAsia="Times New Roman" w:hAnsi="Times New Roman"/>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1E8C"/>
    <w:rPr>
      <w:sz w:val="22"/>
      <w:szCs w:val="22"/>
    </w:rPr>
  </w:style>
  <w:style w:type="paragraph" w:styleId="BalloonText">
    <w:name w:val="Balloon Text"/>
    <w:basedOn w:val="Normal"/>
    <w:link w:val="BalloonTextChar"/>
    <w:uiPriority w:val="99"/>
    <w:semiHidden/>
    <w:unhideWhenUsed/>
    <w:rsid w:val="001A3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7B9"/>
    <w:rPr>
      <w:rFonts w:ascii="Tahoma" w:hAnsi="Tahoma" w:cs="Tahoma"/>
      <w:sz w:val="16"/>
      <w:szCs w:val="16"/>
    </w:rPr>
  </w:style>
  <w:style w:type="character" w:styleId="CommentReference">
    <w:name w:val="annotation reference"/>
    <w:basedOn w:val="DefaultParagraphFont"/>
    <w:uiPriority w:val="99"/>
    <w:semiHidden/>
    <w:unhideWhenUsed/>
    <w:rsid w:val="001A37B9"/>
    <w:rPr>
      <w:sz w:val="16"/>
      <w:szCs w:val="16"/>
    </w:rPr>
  </w:style>
  <w:style w:type="paragraph" w:styleId="CommentText">
    <w:name w:val="annotation text"/>
    <w:basedOn w:val="Normal"/>
    <w:link w:val="CommentTextChar"/>
    <w:uiPriority w:val="99"/>
    <w:semiHidden/>
    <w:unhideWhenUsed/>
    <w:rsid w:val="001A37B9"/>
    <w:rPr>
      <w:sz w:val="20"/>
      <w:szCs w:val="20"/>
    </w:rPr>
  </w:style>
  <w:style w:type="character" w:customStyle="1" w:styleId="CommentTextChar">
    <w:name w:val="Comment Text Char"/>
    <w:basedOn w:val="DefaultParagraphFont"/>
    <w:link w:val="CommentText"/>
    <w:uiPriority w:val="99"/>
    <w:semiHidden/>
    <w:rsid w:val="001A37B9"/>
  </w:style>
  <w:style w:type="paragraph" w:styleId="CommentSubject">
    <w:name w:val="annotation subject"/>
    <w:basedOn w:val="CommentText"/>
    <w:next w:val="CommentText"/>
    <w:link w:val="CommentSubjectChar"/>
    <w:uiPriority w:val="99"/>
    <w:semiHidden/>
    <w:unhideWhenUsed/>
    <w:rsid w:val="001A37B9"/>
    <w:rPr>
      <w:b/>
      <w:bCs/>
    </w:rPr>
  </w:style>
  <w:style w:type="character" w:customStyle="1" w:styleId="CommentSubjectChar">
    <w:name w:val="Comment Subject Char"/>
    <w:basedOn w:val="CommentTextChar"/>
    <w:link w:val="CommentSubject"/>
    <w:uiPriority w:val="99"/>
    <w:semiHidden/>
    <w:rsid w:val="001A37B9"/>
    <w:rPr>
      <w:b/>
      <w:bCs/>
    </w:rPr>
  </w:style>
  <w:style w:type="paragraph" w:styleId="Revision">
    <w:name w:val="Revision"/>
    <w:hidden/>
    <w:uiPriority w:val="99"/>
    <w:semiHidden/>
    <w:rsid w:val="00DB7874"/>
    <w:rPr>
      <w:sz w:val="22"/>
      <w:szCs w:val="22"/>
    </w:rPr>
  </w:style>
  <w:style w:type="paragraph" w:customStyle="1" w:styleId="Default">
    <w:name w:val="Default"/>
    <w:rsid w:val="007F78E2"/>
    <w:pPr>
      <w:autoSpaceDE w:val="0"/>
      <w:autoSpaceDN w:val="0"/>
      <w:adjustRightInd w:val="0"/>
    </w:pPr>
    <w:rPr>
      <w:rFonts w:ascii="Times New Roman" w:hAnsi="Times New Roman"/>
      <w:color w:val="000000"/>
      <w:sz w:val="24"/>
      <w:szCs w:val="24"/>
    </w:rPr>
  </w:style>
  <w:style w:type="character" w:styleId="Emphasis">
    <w:name w:val="Emphasis"/>
    <w:basedOn w:val="DefaultParagraphFont"/>
    <w:uiPriority w:val="20"/>
    <w:qFormat/>
    <w:rsid w:val="00FD43BD"/>
    <w:rPr>
      <w:i/>
      <w:iCs/>
    </w:rPr>
  </w:style>
  <w:style w:type="table" w:styleId="TableGrid">
    <w:name w:val="Table Grid"/>
    <w:basedOn w:val="TableNormal"/>
    <w:uiPriority w:val="59"/>
    <w:rsid w:val="009E0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Default"/>
    <w:next w:val="Default"/>
    <w:uiPriority w:val="99"/>
    <w:rsid w:val="00D54538"/>
    <w:pPr>
      <w:spacing w:line="281" w:lineRule="atLeast"/>
    </w:pPr>
    <w:rPr>
      <w:rFonts w:ascii="Univers LT Std 45 Light" w:hAnsi="Univers LT Std 45 Light"/>
      <w:color w:val="auto"/>
    </w:rPr>
  </w:style>
  <w:style w:type="paragraph" w:customStyle="1" w:styleId="BodyText1">
    <w:name w:val="Body Text1"/>
    <w:basedOn w:val="Normal"/>
    <w:link w:val="bodytextChar"/>
    <w:rsid w:val="00FA363A"/>
    <w:pPr>
      <w:spacing w:after="240" w:line="300" w:lineRule="exact"/>
      <w:ind w:firstLine="720"/>
    </w:pPr>
    <w:rPr>
      <w:rFonts w:ascii="Times New Roman" w:eastAsia="Times New Roman" w:hAnsi="Times New Roman"/>
      <w:szCs w:val="20"/>
    </w:rPr>
  </w:style>
  <w:style w:type="character" w:customStyle="1" w:styleId="bodytextChar">
    <w:name w:val="body text Char"/>
    <w:basedOn w:val="DefaultParagraphFont"/>
    <w:link w:val="BodyText1"/>
    <w:rsid w:val="00FA363A"/>
    <w:rPr>
      <w:rFonts w:ascii="Times New Roman" w:eastAsia="Times New Roman" w:hAnsi="Times New Roman"/>
      <w:sz w:val="22"/>
    </w:rPr>
  </w:style>
  <w:style w:type="paragraph" w:styleId="Header">
    <w:name w:val="header"/>
    <w:basedOn w:val="Normal"/>
    <w:link w:val="HeaderChar"/>
    <w:uiPriority w:val="99"/>
    <w:unhideWhenUsed/>
    <w:rsid w:val="00187728"/>
    <w:pPr>
      <w:tabs>
        <w:tab w:val="center" w:pos="4680"/>
        <w:tab w:val="right" w:pos="9360"/>
      </w:tabs>
    </w:pPr>
  </w:style>
  <w:style w:type="character" w:customStyle="1" w:styleId="HeaderChar">
    <w:name w:val="Header Char"/>
    <w:basedOn w:val="DefaultParagraphFont"/>
    <w:link w:val="Header"/>
    <w:uiPriority w:val="99"/>
    <w:rsid w:val="00187728"/>
    <w:rPr>
      <w:sz w:val="22"/>
      <w:szCs w:val="22"/>
    </w:rPr>
  </w:style>
  <w:style w:type="paragraph" w:styleId="Footer">
    <w:name w:val="footer"/>
    <w:basedOn w:val="Normal"/>
    <w:link w:val="FooterChar"/>
    <w:uiPriority w:val="99"/>
    <w:unhideWhenUsed/>
    <w:rsid w:val="00187728"/>
    <w:pPr>
      <w:tabs>
        <w:tab w:val="center" w:pos="4680"/>
        <w:tab w:val="right" w:pos="9360"/>
      </w:tabs>
    </w:pPr>
  </w:style>
  <w:style w:type="character" w:customStyle="1" w:styleId="FooterChar">
    <w:name w:val="Footer Char"/>
    <w:basedOn w:val="DefaultParagraphFont"/>
    <w:link w:val="Footer"/>
    <w:uiPriority w:val="99"/>
    <w:rsid w:val="00187728"/>
    <w:rPr>
      <w:sz w:val="22"/>
      <w:szCs w:val="22"/>
    </w:rPr>
  </w:style>
  <w:style w:type="character" w:customStyle="1" w:styleId="addmd1">
    <w:name w:val="addmd1"/>
    <w:basedOn w:val="DefaultParagraphFont"/>
    <w:rsid w:val="00FB3C8C"/>
    <w:rPr>
      <w:sz w:val="20"/>
      <w:szCs w:val="20"/>
    </w:rPr>
  </w:style>
  <w:style w:type="character" w:customStyle="1" w:styleId="Heading1Char">
    <w:name w:val="Heading 1 Char"/>
    <w:basedOn w:val="DefaultParagraphFont"/>
    <w:link w:val="Heading1"/>
    <w:uiPriority w:val="9"/>
    <w:rsid w:val="004B019A"/>
    <w:rPr>
      <w:rFonts w:ascii="Times New Roman" w:eastAsia="Times New Roman" w:hAnsi="Times New Roman"/>
      <w:kern w:val="36"/>
      <w:sz w:val="36"/>
      <w:szCs w:val="36"/>
    </w:rPr>
  </w:style>
  <w:style w:type="paragraph" w:customStyle="1" w:styleId="Bio-Articles">
    <w:name w:val="Bio-Articles"/>
    <w:basedOn w:val="Normal"/>
    <w:rsid w:val="004B019A"/>
    <w:pPr>
      <w:keepLines/>
      <w:autoSpaceDE w:val="0"/>
      <w:autoSpaceDN w:val="0"/>
      <w:spacing w:after="0" w:line="240" w:lineRule="auto"/>
      <w:ind w:left="360" w:hanging="360"/>
    </w:pPr>
    <w:rPr>
      <w:rFonts w:ascii="Arial" w:eastAsia="Times New Roman" w:hAnsi="Arial" w:cs="Arial"/>
    </w:rPr>
  </w:style>
  <w:style w:type="paragraph" w:styleId="NormalWeb">
    <w:name w:val="Normal (Web)"/>
    <w:basedOn w:val="Normal"/>
    <w:uiPriority w:val="99"/>
    <w:semiHidden/>
    <w:unhideWhenUsed/>
    <w:rsid w:val="00B0284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0284B"/>
    <w:rPr>
      <w:b/>
      <w:bCs/>
    </w:rPr>
  </w:style>
  <w:style w:type="character" w:customStyle="1" w:styleId="apple-converted-space">
    <w:name w:val="apple-converted-space"/>
    <w:basedOn w:val="DefaultParagraphFont"/>
    <w:rsid w:val="00B0284B"/>
  </w:style>
  <w:style w:type="character" w:styleId="Hyperlink">
    <w:name w:val="Hyperlink"/>
    <w:basedOn w:val="DefaultParagraphFont"/>
    <w:uiPriority w:val="99"/>
    <w:semiHidden/>
    <w:unhideWhenUsed/>
    <w:rsid w:val="00B0284B"/>
    <w:rPr>
      <w:color w:val="0000FF"/>
      <w:u w:val="single"/>
    </w:rPr>
  </w:style>
  <w:style w:type="character" w:customStyle="1" w:styleId="printhide">
    <w:name w:val="printhide"/>
    <w:basedOn w:val="DefaultParagraphFont"/>
    <w:rsid w:val="00B0284B"/>
  </w:style>
  <w:style w:type="character" w:customStyle="1" w:styleId="apple-style-span">
    <w:name w:val="apple-style-span"/>
    <w:basedOn w:val="DefaultParagraphFont"/>
    <w:rsid w:val="00B0284B"/>
  </w:style>
  <w:style w:type="paragraph" w:customStyle="1" w:styleId="SBIRTTables">
    <w:name w:val="SBIRT_Tables"/>
    <w:basedOn w:val="Normal"/>
    <w:rsid w:val="00982F4F"/>
    <w:pPr>
      <w:spacing w:after="0" w:line="240" w:lineRule="auto"/>
      <w:jc w:val="center"/>
    </w:pPr>
    <w:rPr>
      <w:rFonts w:ascii="Arial" w:hAnsi="Arial"/>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092"/>
    <w:pPr>
      <w:spacing w:after="200" w:line="276" w:lineRule="auto"/>
    </w:pPr>
    <w:rPr>
      <w:sz w:val="22"/>
      <w:szCs w:val="22"/>
    </w:rPr>
  </w:style>
  <w:style w:type="paragraph" w:styleId="Heading1">
    <w:name w:val="heading 1"/>
    <w:basedOn w:val="Normal"/>
    <w:link w:val="Heading1Char"/>
    <w:uiPriority w:val="9"/>
    <w:qFormat/>
    <w:rsid w:val="004B019A"/>
    <w:pPr>
      <w:spacing w:before="100" w:beforeAutospacing="1" w:after="100" w:afterAutospacing="1" w:line="288" w:lineRule="atLeast"/>
      <w:outlineLvl w:val="0"/>
    </w:pPr>
    <w:rPr>
      <w:rFonts w:ascii="Times New Roman" w:eastAsia="Times New Roman" w:hAnsi="Times New Roman"/>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1E8C"/>
    <w:rPr>
      <w:sz w:val="22"/>
      <w:szCs w:val="22"/>
    </w:rPr>
  </w:style>
  <w:style w:type="paragraph" w:styleId="BalloonText">
    <w:name w:val="Balloon Text"/>
    <w:basedOn w:val="Normal"/>
    <w:link w:val="BalloonTextChar"/>
    <w:uiPriority w:val="99"/>
    <w:semiHidden/>
    <w:unhideWhenUsed/>
    <w:rsid w:val="001A3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7B9"/>
    <w:rPr>
      <w:rFonts w:ascii="Tahoma" w:hAnsi="Tahoma" w:cs="Tahoma"/>
      <w:sz w:val="16"/>
      <w:szCs w:val="16"/>
    </w:rPr>
  </w:style>
  <w:style w:type="character" w:styleId="CommentReference">
    <w:name w:val="annotation reference"/>
    <w:basedOn w:val="DefaultParagraphFont"/>
    <w:uiPriority w:val="99"/>
    <w:semiHidden/>
    <w:unhideWhenUsed/>
    <w:rsid w:val="001A37B9"/>
    <w:rPr>
      <w:sz w:val="16"/>
      <w:szCs w:val="16"/>
    </w:rPr>
  </w:style>
  <w:style w:type="paragraph" w:styleId="CommentText">
    <w:name w:val="annotation text"/>
    <w:basedOn w:val="Normal"/>
    <w:link w:val="CommentTextChar"/>
    <w:uiPriority w:val="99"/>
    <w:semiHidden/>
    <w:unhideWhenUsed/>
    <w:rsid w:val="001A37B9"/>
    <w:rPr>
      <w:sz w:val="20"/>
      <w:szCs w:val="20"/>
    </w:rPr>
  </w:style>
  <w:style w:type="character" w:customStyle="1" w:styleId="CommentTextChar">
    <w:name w:val="Comment Text Char"/>
    <w:basedOn w:val="DefaultParagraphFont"/>
    <w:link w:val="CommentText"/>
    <w:uiPriority w:val="99"/>
    <w:semiHidden/>
    <w:rsid w:val="001A37B9"/>
  </w:style>
  <w:style w:type="paragraph" w:styleId="CommentSubject">
    <w:name w:val="annotation subject"/>
    <w:basedOn w:val="CommentText"/>
    <w:next w:val="CommentText"/>
    <w:link w:val="CommentSubjectChar"/>
    <w:uiPriority w:val="99"/>
    <w:semiHidden/>
    <w:unhideWhenUsed/>
    <w:rsid w:val="001A37B9"/>
    <w:rPr>
      <w:b/>
      <w:bCs/>
    </w:rPr>
  </w:style>
  <w:style w:type="character" w:customStyle="1" w:styleId="CommentSubjectChar">
    <w:name w:val="Comment Subject Char"/>
    <w:basedOn w:val="CommentTextChar"/>
    <w:link w:val="CommentSubject"/>
    <w:uiPriority w:val="99"/>
    <w:semiHidden/>
    <w:rsid w:val="001A37B9"/>
    <w:rPr>
      <w:b/>
      <w:bCs/>
    </w:rPr>
  </w:style>
  <w:style w:type="paragraph" w:styleId="Revision">
    <w:name w:val="Revision"/>
    <w:hidden/>
    <w:uiPriority w:val="99"/>
    <w:semiHidden/>
    <w:rsid w:val="00DB7874"/>
    <w:rPr>
      <w:sz w:val="22"/>
      <w:szCs w:val="22"/>
    </w:rPr>
  </w:style>
  <w:style w:type="paragraph" w:customStyle="1" w:styleId="Default">
    <w:name w:val="Default"/>
    <w:rsid w:val="007F78E2"/>
    <w:pPr>
      <w:autoSpaceDE w:val="0"/>
      <w:autoSpaceDN w:val="0"/>
      <w:adjustRightInd w:val="0"/>
    </w:pPr>
    <w:rPr>
      <w:rFonts w:ascii="Times New Roman" w:hAnsi="Times New Roman"/>
      <w:color w:val="000000"/>
      <w:sz w:val="24"/>
      <w:szCs w:val="24"/>
    </w:rPr>
  </w:style>
  <w:style w:type="character" w:styleId="Emphasis">
    <w:name w:val="Emphasis"/>
    <w:basedOn w:val="DefaultParagraphFont"/>
    <w:uiPriority w:val="20"/>
    <w:qFormat/>
    <w:rsid w:val="00FD43BD"/>
    <w:rPr>
      <w:i/>
      <w:iCs/>
    </w:rPr>
  </w:style>
  <w:style w:type="table" w:styleId="TableGrid">
    <w:name w:val="Table Grid"/>
    <w:basedOn w:val="TableNormal"/>
    <w:uiPriority w:val="59"/>
    <w:rsid w:val="009E0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Default"/>
    <w:next w:val="Default"/>
    <w:uiPriority w:val="99"/>
    <w:rsid w:val="00D54538"/>
    <w:pPr>
      <w:spacing w:line="281" w:lineRule="atLeast"/>
    </w:pPr>
    <w:rPr>
      <w:rFonts w:ascii="Univers LT Std 45 Light" w:hAnsi="Univers LT Std 45 Light"/>
      <w:color w:val="auto"/>
    </w:rPr>
  </w:style>
  <w:style w:type="paragraph" w:customStyle="1" w:styleId="BodyText1">
    <w:name w:val="Body Text1"/>
    <w:basedOn w:val="Normal"/>
    <w:link w:val="bodytextChar"/>
    <w:rsid w:val="00FA363A"/>
    <w:pPr>
      <w:spacing w:after="240" w:line="300" w:lineRule="exact"/>
      <w:ind w:firstLine="720"/>
    </w:pPr>
    <w:rPr>
      <w:rFonts w:ascii="Times New Roman" w:eastAsia="Times New Roman" w:hAnsi="Times New Roman"/>
      <w:szCs w:val="20"/>
    </w:rPr>
  </w:style>
  <w:style w:type="character" w:customStyle="1" w:styleId="bodytextChar">
    <w:name w:val="body text Char"/>
    <w:basedOn w:val="DefaultParagraphFont"/>
    <w:link w:val="BodyText1"/>
    <w:rsid w:val="00FA363A"/>
    <w:rPr>
      <w:rFonts w:ascii="Times New Roman" w:eastAsia="Times New Roman" w:hAnsi="Times New Roman"/>
      <w:sz w:val="22"/>
    </w:rPr>
  </w:style>
  <w:style w:type="paragraph" w:styleId="Header">
    <w:name w:val="header"/>
    <w:basedOn w:val="Normal"/>
    <w:link w:val="HeaderChar"/>
    <w:uiPriority w:val="99"/>
    <w:unhideWhenUsed/>
    <w:rsid w:val="00187728"/>
    <w:pPr>
      <w:tabs>
        <w:tab w:val="center" w:pos="4680"/>
        <w:tab w:val="right" w:pos="9360"/>
      </w:tabs>
    </w:pPr>
  </w:style>
  <w:style w:type="character" w:customStyle="1" w:styleId="HeaderChar">
    <w:name w:val="Header Char"/>
    <w:basedOn w:val="DefaultParagraphFont"/>
    <w:link w:val="Header"/>
    <w:uiPriority w:val="99"/>
    <w:rsid w:val="00187728"/>
    <w:rPr>
      <w:sz w:val="22"/>
      <w:szCs w:val="22"/>
    </w:rPr>
  </w:style>
  <w:style w:type="paragraph" w:styleId="Footer">
    <w:name w:val="footer"/>
    <w:basedOn w:val="Normal"/>
    <w:link w:val="FooterChar"/>
    <w:uiPriority w:val="99"/>
    <w:unhideWhenUsed/>
    <w:rsid w:val="00187728"/>
    <w:pPr>
      <w:tabs>
        <w:tab w:val="center" w:pos="4680"/>
        <w:tab w:val="right" w:pos="9360"/>
      </w:tabs>
    </w:pPr>
  </w:style>
  <w:style w:type="character" w:customStyle="1" w:styleId="FooterChar">
    <w:name w:val="Footer Char"/>
    <w:basedOn w:val="DefaultParagraphFont"/>
    <w:link w:val="Footer"/>
    <w:uiPriority w:val="99"/>
    <w:rsid w:val="00187728"/>
    <w:rPr>
      <w:sz w:val="22"/>
      <w:szCs w:val="22"/>
    </w:rPr>
  </w:style>
  <w:style w:type="character" w:customStyle="1" w:styleId="addmd1">
    <w:name w:val="addmd1"/>
    <w:basedOn w:val="DefaultParagraphFont"/>
    <w:rsid w:val="00FB3C8C"/>
    <w:rPr>
      <w:sz w:val="20"/>
      <w:szCs w:val="20"/>
    </w:rPr>
  </w:style>
  <w:style w:type="character" w:customStyle="1" w:styleId="Heading1Char">
    <w:name w:val="Heading 1 Char"/>
    <w:basedOn w:val="DefaultParagraphFont"/>
    <w:link w:val="Heading1"/>
    <w:uiPriority w:val="9"/>
    <w:rsid w:val="004B019A"/>
    <w:rPr>
      <w:rFonts w:ascii="Times New Roman" w:eastAsia="Times New Roman" w:hAnsi="Times New Roman"/>
      <w:kern w:val="36"/>
      <w:sz w:val="36"/>
      <w:szCs w:val="36"/>
    </w:rPr>
  </w:style>
  <w:style w:type="paragraph" w:customStyle="1" w:styleId="Bio-Articles">
    <w:name w:val="Bio-Articles"/>
    <w:basedOn w:val="Normal"/>
    <w:rsid w:val="004B019A"/>
    <w:pPr>
      <w:keepLines/>
      <w:autoSpaceDE w:val="0"/>
      <w:autoSpaceDN w:val="0"/>
      <w:spacing w:after="0" w:line="240" w:lineRule="auto"/>
      <w:ind w:left="360" w:hanging="360"/>
    </w:pPr>
    <w:rPr>
      <w:rFonts w:ascii="Arial" w:eastAsia="Times New Roman" w:hAnsi="Arial" w:cs="Arial"/>
    </w:rPr>
  </w:style>
  <w:style w:type="paragraph" w:styleId="NormalWeb">
    <w:name w:val="Normal (Web)"/>
    <w:basedOn w:val="Normal"/>
    <w:uiPriority w:val="99"/>
    <w:semiHidden/>
    <w:unhideWhenUsed/>
    <w:rsid w:val="00B0284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0284B"/>
    <w:rPr>
      <w:b/>
      <w:bCs/>
    </w:rPr>
  </w:style>
  <w:style w:type="character" w:customStyle="1" w:styleId="apple-converted-space">
    <w:name w:val="apple-converted-space"/>
    <w:basedOn w:val="DefaultParagraphFont"/>
    <w:rsid w:val="00B0284B"/>
  </w:style>
  <w:style w:type="character" w:styleId="Hyperlink">
    <w:name w:val="Hyperlink"/>
    <w:basedOn w:val="DefaultParagraphFont"/>
    <w:uiPriority w:val="99"/>
    <w:semiHidden/>
    <w:unhideWhenUsed/>
    <w:rsid w:val="00B0284B"/>
    <w:rPr>
      <w:color w:val="0000FF"/>
      <w:u w:val="single"/>
    </w:rPr>
  </w:style>
  <w:style w:type="character" w:customStyle="1" w:styleId="printhide">
    <w:name w:val="printhide"/>
    <w:basedOn w:val="DefaultParagraphFont"/>
    <w:rsid w:val="00B0284B"/>
  </w:style>
  <w:style w:type="character" w:customStyle="1" w:styleId="apple-style-span">
    <w:name w:val="apple-style-span"/>
    <w:basedOn w:val="DefaultParagraphFont"/>
    <w:rsid w:val="00B0284B"/>
  </w:style>
  <w:style w:type="paragraph" w:customStyle="1" w:styleId="SBIRTTables">
    <w:name w:val="SBIRT_Tables"/>
    <w:basedOn w:val="Normal"/>
    <w:rsid w:val="00982F4F"/>
    <w:pPr>
      <w:spacing w:after="0" w:line="240" w:lineRule="auto"/>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53394">
      <w:bodyDiv w:val="1"/>
      <w:marLeft w:val="0"/>
      <w:marRight w:val="0"/>
      <w:marTop w:val="0"/>
      <w:marBottom w:val="0"/>
      <w:divBdr>
        <w:top w:val="none" w:sz="0" w:space="0" w:color="auto"/>
        <w:left w:val="none" w:sz="0" w:space="0" w:color="auto"/>
        <w:bottom w:val="none" w:sz="0" w:space="0" w:color="auto"/>
        <w:right w:val="none" w:sz="0" w:space="0" w:color="auto"/>
      </w:divBdr>
    </w:div>
    <w:div w:id="619262642">
      <w:bodyDiv w:val="1"/>
      <w:marLeft w:val="0"/>
      <w:marRight w:val="0"/>
      <w:marTop w:val="0"/>
      <w:marBottom w:val="0"/>
      <w:divBdr>
        <w:top w:val="none" w:sz="0" w:space="0" w:color="auto"/>
        <w:left w:val="none" w:sz="0" w:space="0" w:color="auto"/>
        <w:bottom w:val="none" w:sz="0" w:space="0" w:color="auto"/>
        <w:right w:val="none" w:sz="0" w:space="0" w:color="auto"/>
      </w:divBdr>
      <w:divsChild>
        <w:div w:id="843473982">
          <w:marLeft w:val="0"/>
          <w:marRight w:val="0"/>
          <w:marTop w:val="0"/>
          <w:marBottom w:val="0"/>
          <w:divBdr>
            <w:top w:val="none" w:sz="0" w:space="0" w:color="auto"/>
            <w:left w:val="none" w:sz="0" w:space="0" w:color="auto"/>
            <w:bottom w:val="none" w:sz="0" w:space="0" w:color="auto"/>
            <w:right w:val="none" w:sz="0" w:space="0" w:color="auto"/>
          </w:divBdr>
        </w:div>
        <w:div w:id="1025595195">
          <w:marLeft w:val="0"/>
          <w:marRight w:val="0"/>
          <w:marTop w:val="0"/>
          <w:marBottom w:val="0"/>
          <w:divBdr>
            <w:top w:val="none" w:sz="0" w:space="0" w:color="auto"/>
            <w:left w:val="none" w:sz="0" w:space="0" w:color="auto"/>
            <w:bottom w:val="none" w:sz="0" w:space="0" w:color="auto"/>
            <w:right w:val="none" w:sz="0" w:space="0" w:color="auto"/>
          </w:divBdr>
        </w:div>
        <w:div w:id="1269316777">
          <w:marLeft w:val="0"/>
          <w:marRight w:val="0"/>
          <w:marTop w:val="0"/>
          <w:marBottom w:val="0"/>
          <w:divBdr>
            <w:top w:val="none" w:sz="0" w:space="0" w:color="auto"/>
            <w:left w:val="none" w:sz="0" w:space="0" w:color="auto"/>
            <w:bottom w:val="none" w:sz="0" w:space="0" w:color="auto"/>
            <w:right w:val="none" w:sz="0" w:space="0" w:color="auto"/>
          </w:divBdr>
        </w:div>
        <w:div w:id="1784495033">
          <w:marLeft w:val="0"/>
          <w:marRight w:val="0"/>
          <w:marTop w:val="0"/>
          <w:marBottom w:val="0"/>
          <w:divBdr>
            <w:top w:val="none" w:sz="0" w:space="0" w:color="auto"/>
            <w:left w:val="none" w:sz="0" w:space="0" w:color="auto"/>
            <w:bottom w:val="none" w:sz="0" w:space="0" w:color="auto"/>
            <w:right w:val="none" w:sz="0" w:space="0" w:color="auto"/>
          </w:divBdr>
        </w:div>
        <w:div w:id="1881360598">
          <w:marLeft w:val="0"/>
          <w:marRight w:val="0"/>
          <w:marTop w:val="0"/>
          <w:marBottom w:val="0"/>
          <w:divBdr>
            <w:top w:val="none" w:sz="0" w:space="0" w:color="auto"/>
            <w:left w:val="none" w:sz="0" w:space="0" w:color="auto"/>
            <w:bottom w:val="none" w:sz="0" w:space="0" w:color="auto"/>
            <w:right w:val="none" w:sz="0" w:space="0" w:color="auto"/>
          </w:divBdr>
        </w:div>
      </w:divsChild>
    </w:div>
    <w:div w:id="1101530381">
      <w:bodyDiv w:val="1"/>
      <w:marLeft w:val="0"/>
      <w:marRight w:val="0"/>
      <w:marTop w:val="0"/>
      <w:marBottom w:val="0"/>
      <w:divBdr>
        <w:top w:val="none" w:sz="0" w:space="0" w:color="auto"/>
        <w:left w:val="none" w:sz="0" w:space="0" w:color="auto"/>
        <w:bottom w:val="none" w:sz="0" w:space="0" w:color="auto"/>
        <w:right w:val="none" w:sz="0" w:space="0" w:color="auto"/>
      </w:divBdr>
      <w:divsChild>
        <w:div w:id="610089910">
          <w:marLeft w:val="0"/>
          <w:marRight w:val="0"/>
          <w:marTop w:val="0"/>
          <w:marBottom w:val="0"/>
          <w:divBdr>
            <w:top w:val="none" w:sz="0" w:space="0" w:color="auto"/>
            <w:left w:val="none" w:sz="0" w:space="0" w:color="auto"/>
            <w:bottom w:val="none" w:sz="0" w:space="0" w:color="auto"/>
            <w:right w:val="none" w:sz="0" w:space="0" w:color="auto"/>
          </w:divBdr>
          <w:divsChild>
            <w:div w:id="332412572">
              <w:marLeft w:val="0"/>
              <w:marRight w:val="0"/>
              <w:marTop w:val="0"/>
              <w:marBottom w:val="0"/>
              <w:divBdr>
                <w:top w:val="none" w:sz="0" w:space="0" w:color="auto"/>
                <w:left w:val="none" w:sz="0" w:space="0" w:color="auto"/>
                <w:bottom w:val="none" w:sz="0" w:space="0" w:color="auto"/>
                <w:right w:val="none" w:sz="0" w:space="0" w:color="auto"/>
              </w:divBdr>
            </w:div>
            <w:div w:id="601647416">
              <w:marLeft w:val="0"/>
              <w:marRight w:val="0"/>
              <w:marTop w:val="0"/>
              <w:marBottom w:val="0"/>
              <w:divBdr>
                <w:top w:val="none" w:sz="0" w:space="0" w:color="auto"/>
                <w:left w:val="none" w:sz="0" w:space="0" w:color="auto"/>
                <w:bottom w:val="none" w:sz="0" w:space="0" w:color="auto"/>
                <w:right w:val="none" w:sz="0" w:space="0" w:color="auto"/>
              </w:divBdr>
            </w:div>
          </w:divsChild>
        </w:div>
        <w:div w:id="1790077560">
          <w:marLeft w:val="0"/>
          <w:marRight w:val="0"/>
          <w:marTop w:val="0"/>
          <w:marBottom w:val="0"/>
          <w:divBdr>
            <w:top w:val="none" w:sz="0" w:space="0" w:color="auto"/>
            <w:left w:val="none" w:sz="0" w:space="0" w:color="auto"/>
            <w:bottom w:val="none" w:sz="0" w:space="0" w:color="auto"/>
            <w:right w:val="none" w:sz="0" w:space="0" w:color="auto"/>
          </w:divBdr>
          <w:divsChild>
            <w:div w:id="65426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5102">
      <w:bodyDiv w:val="1"/>
      <w:marLeft w:val="0"/>
      <w:marRight w:val="0"/>
      <w:marTop w:val="0"/>
      <w:marBottom w:val="0"/>
      <w:divBdr>
        <w:top w:val="none" w:sz="0" w:space="0" w:color="auto"/>
        <w:left w:val="none" w:sz="0" w:space="0" w:color="auto"/>
        <w:bottom w:val="none" w:sz="0" w:space="0" w:color="auto"/>
        <w:right w:val="none" w:sz="0" w:space="0" w:color="auto"/>
      </w:divBdr>
    </w:div>
    <w:div w:id="190147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aspe.hhs.gov/hsp/homelessness/symposium07/"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A1E58-1A51-4413-88B3-186E217CB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43</Pages>
  <Words>19872</Words>
  <Characters>113272</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EOP Desktop Image V5.1</Company>
  <LinksUpToDate>false</LinksUpToDate>
  <CharactersWithSpaces>132879</CharactersWithSpaces>
  <SharedDoc>false</SharedDoc>
  <HLinks>
    <vt:vector size="6" baseType="variant">
      <vt:variant>
        <vt:i4>393242</vt:i4>
      </vt:variant>
      <vt:variant>
        <vt:i4>0</vt:i4>
      </vt:variant>
      <vt:variant>
        <vt:i4>0</vt:i4>
      </vt:variant>
      <vt:variant>
        <vt:i4>5</vt:i4>
      </vt:variant>
      <vt:variant>
        <vt:lpwstr>http://aspe.hhs.gov/hsp/homelessness/symposium07/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oneill_ge</dc:creator>
  <cp:lastModifiedBy>Elizabeth Tibaduiza</cp:lastModifiedBy>
  <cp:revision>4</cp:revision>
  <cp:lastPrinted>2011-03-03T16:54:00Z</cp:lastPrinted>
  <dcterms:created xsi:type="dcterms:W3CDTF">2013-12-01T21:00:00Z</dcterms:created>
  <dcterms:modified xsi:type="dcterms:W3CDTF">2013-12-03T17:21:00Z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