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716F94">
      <w:pPr>
        <w:spacing w:after="0"/>
        <w:rPr>
          <w:rFonts w:asciiTheme="majorHAnsi" w:hAnsiTheme="majorHAnsi"/>
          <w:b/>
        </w:rPr>
      </w:pPr>
      <w:bookmarkStart w:id="0" w:name="_GoBack"/>
      <w:bookmarkEnd w:id="0"/>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170FCA" w:rsidRPr="009B4A51" w:rsidRDefault="00170FCA" w:rsidP="00170FCA">
      <w:pPr>
        <w:spacing w:after="0"/>
        <w:jc w:val="center"/>
        <w:rPr>
          <w:rFonts w:asciiTheme="majorHAnsi" w:hAnsiTheme="majorHAnsi"/>
          <w:b/>
          <w:sz w:val="40"/>
        </w:rPr>
      </w:pPr>
      <w:r>
        <w:rPr>
          <w:rFonts w:asciiTheme="majorHAnsi" w:hAnsiTheme="majorHAnsi"/>
          <w:b/>
          <w:sz w:val="40"/>
        </w:rPr>
        <w:t>Building Capacity to Use Linked Early Childhood Administrative Data for Program Improvement and Broader Research Initiatives (</w:t>
      </w:r>
      <w:r w:rsidR="00AD670E">
        <w:rPr>
          <w:rFonts w:asciiTheme="majorHAnsi" w:hAnsiTheme="majorHAnsi"/>
          <w:b/>
          <w:sz w:val="40"/>
        </w:rPr>
        <w:t>BCULD</w:t>
      </w:r>
      <w:r>
        <w:rPr>
          <w:rFonts w:asciiTheme="majorHAnsi" w:hAnsiTheme="majorHAnsi"/>
          <w:b/>
          <w:sz w:val="40"/>
        </w:rPr>
        <w:t>)</w:t>
      </w:r>
    </w:p>
    <w:p w:rsidR="00AA3192" w:rsidRDefault="00AA3192" w:rsidP="00484011">
      <w:pPr>
        <w:spacing w:after="0"/>
        <w:jc w:val="center"/>
        <w:rPr>
          <w:rFonts w:asciiTheme="majorHAnsi" w:hAnsiTheme="majorHAnsi"/>
          <w:b/>
        </w:rPr>
      </w:pPr>
    </w:p>
    <w:p w:rsidR="00716F94" w:rsidRPr="00AA3192" w:rsidRDefault="00FD7941" w:rsidP="00484011">
      <w:pPr>
        <w:spacing w:after="0"/>
        <w:jc w:val="center"/>
        <w:rPr>
          <w:rFonts w:asciiTheme="majorHAnsi" w:hAnsiTheme="majorHAnsi"/>
        </w:rPr>
      </w:pPr>
      <w:r>
        <w:rPr>
          <w:rFonts w:asciiTheme="majorHAnsi" w:hAnsiTheme="majorHAnsi"/>
        </w:rPr>
        <w:t>ASPE</w:t>
      </w:r>
      <w:r w:rsidR="00484011" w:rsidRPr="00AA3192">
        <w:rPr>
          <w:rFonts w:asciiTheme="majorHAnsi" w:hAnsiTheme="majorHAnsi"/>
        </w:rPr>
        <w:t xml:space="preserve"> Generic Information C</w:t>
      </w:r>
      <w:r w:rsidR="00230CEF">
        <w:rPr>
          <w:rFonts w:asciiTheme="majorHAnsi" w:hAnsiTheme="majorHAnsi"/>
        </w:rPr>
        <w:t>ollection</w:t>
      </w:r>
      <w:r w:rsidR="00484011" w:rsidRPr="00AA3192">
        <w:rPr>
          <w:rFonts w:asciiTheme="majorHAnsi" w:hAnsiTheme="majorHAnsi"/>
        </w:rPr>
        <w:t xml:space="preserve"> Request</w:t>
      </w:r>
    </w:p>
    <w:p w:rsidR="00484011" w:rsidRPr="00FD7941" w:rsidRDefault="00484011" w:rsidP="00484011">
      <w:pPr>
        <w:pStyle w:val="Header"/>
        <w:tabs>
          <w:tab w:val="clear" w:pos="4680"/>
        </w:tabs>
        <w:jc w:val="center"/>
        <w:rPr>
          <w:rFonts w:ascii="Times New Roman" w:hAnsi="Times New Roman" w:cs="Times New Roman"/>
          <w:sz w:val="24"/>
          <w:szCs w:val="24"/>
        </w:rPr>
      </w:pPr>
      <w:r w:rsidRPr="001F6CCC">
        <w:t>OMB No. 09</w:t>
      </w:r>
      <w:r w:rsidR="001F6CCC">
        <w:t>90</w:t>
      </w:r>
      <w:r w:rsidR="00FD7941" w:rsidRPr="001F6CCC">
        <w:t>-</w:t>
      </w:r>
      <w:r w:rsidR="001F6CCC">
        <w:t>0421</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 xml:space="preserve">Supporting Statement – Section </w:t>
      </w:r>
      <w:r w:rsidR="00601392">
        <w:rPr>
          <w:rFonts w:asciiTheme="majorHAnsi" w:hAnsiTheme="majorHAnsi"/>
          <w:b/>
          <w:sz w:val="32"/>
        </w:rPr>
        <w:t>B</w:t>
      </w:r>
    </w:p>
    <w:p w:rsidR="009B4A51" w:rsidRDefault="009B4A51" w:rsidP="00716F94">
      <w:pPr>
        <w:spacing w:after="0"/>
        <w:rPr>
          <w:rFonts w:asciiTheme="majorHAnsi" w:hAnsiTheme="majorHAnsi"/>
          <w:b/>
        </w:rPr>
      </w:pPr>
    </w:p>
    <w:p w:rsidR="00484011" w:rsidRDefault="00484011"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187D5A" w:rsidRDefault="00187D5A" w:rsidP="00716F94">
      <w:pPr>
        <w:spacing w:after="0"/>
        <w:rPr>
          <w:rFonts w:asciiTheme="majorHAnsi" w:hAnsiTheme="majorHAnsi"/>
          <w:b/>
        </w:rPr>
      </w:pPr>
    </w:p>
    <w:p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FD7941">
        <w:rPr>
          <w:rFonts w:asciiTheme="majorHAnsi" w:hAnsiTheme="majorHAnsi"/>
        </w:rPr>
        <w:t>February 25, 2015</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667C89" w:rsidRPr="00667C89" w:rsidRDefault="00716F94" w:rsidP="00716F94">
      <w:pPr>
        <w:spacing w:after="0"/>
        <w:rPr>
          <w:rFonts w:asciiTheme="majorHAnsi" w:hAnsiTheme="majorHAnsi"/>
          <w:b/>
          <w:u w:val="single"/>
        </w:rPr>
      </w:pPr>
      <w:r w:rsidRPr="00667C89">
        <w:rPr>
          <w:rFonts w:asciiTheme="majorHAnsi" w:hAnsiTheme="majorHAnsi"/>
          <w:b/>
          <w:u w:val="single"/>
        </w:rPr>
        <w:t>P</w:t>
      </w:r>
      <w:r w:rsidR="00667C89" w:rsidRPr="00667C89">
        <w:rPr>
          <w:rFonts w:asciiTheme="majorHAnsi" w:hAnsiTheme="majorHAnsi"/>
          <w:b/>
          <w:u w:val="single"/>
        </w:rPr>
        <w:t>rogram Official/Project Officer</w:t>
      </w:r>
    </w:p>
    <w:p w:rsidR="0001433C" w:rsidRPr="008324E6" w:rsidRDefault="0001433C" w:rsidP="0001433C">
      <w:pPr>
        <w:spacing w:after="0" w:line="240" w:lineRule="auto"/>
        <w:rPr>
          <w:rFonts w:ascii="Times New Roman" w:hAnsi="Times New Roman" w:cs="Times New Roman"/>
          <w:bCs/>
        </w:rPr>
      </w:pPr>
      <w:r w:rsidRPr="008324E6">
        <w:rPr>
          <w:rFonts w:ascii="Times New Roman" w:hAnsi="Times New Roman" w:cs="Times New Roman"/>
          <w:bCs/>
        </w:rPr>
        <w:t>Lindsey Hutchison, Ph.D.</w:t>
      </w:r>
    </w:p>
    <w:p w:rsidR="0001433C" w:rsidRPr="008324E6" w:rsidRDefault="0001433C" w:rsidP="0001433C">
      <w:pPr>
        <w:spacing w:after="0" w:line="240" w:lineRule="auto"/>
        <w:rPr>
          <w:rFonts w:ascii="Times New Roman" w:hAnsi="Times New Roman" w:cs="Times New Roman"/>
        </w:rPr>
      </w:pPr>
      <w:r w:rsidRPr="008324E6">
        <w:rPr>
          <w:rFonts w:ascii="Times New Roman" w:hAnsi="Times New Roman" w:cs="Times New Roman"/>
        </w:rPr>
        <w:t>Social Science Analyst</w:t>
      </w:r>
    </w:p>
    <w:p w:rsidR="0001433C" w:rsidRPr="008324E6" w:rsidRDefault="0001433C" w:rsidP="0001433C">
      <w:pPr>
        <w:spacing w:after="0" w:line="240" w:lineRule="auto"/>
        <w:rPr>
          <w:rFonts w:ascii="Times New Roman" w:hAnsi="Times New Roman" w:cs="Times New Roman"/>
        </w:rPr>
      </w:pPr>
      <w:r w:rsidRPr="008324E6">
        <w:rPr>
          <w:rFonts w:ascii="Times New Roman" w:hAnsi="Times New Roman" w:cs="Times New Roman"/>
        </w:rPr>
        <w:t>U.S. Department of Health and Human Services</w:t>
      </w:r>
    </w:p>
    <w:p w:rsidR="0001433C" w:rsidRPr="008324E6" w:rsidRDefault="0001433C" w:rsidP="0001433C">
      <w:pPr>
        <w:spacing w:after="0" w:line="240" w:lineRule="auto"/>
        <w:rPr>
          <w:rFonts w:ascii="Times New Roman" w:hAnsi="Times New Roman" w:cs="Times New Roman"/>
        </w:rPr>
      </w:pPr>
      <w:r w:rsidRPr="008324E6">
        <w:rPr>
          <w:rFonts w:ascii="Times New Roman" w:hAnsi="Times New Roman" w:cs="Times New Roman"/>
        </w:rPr>
        <w:t>Office of the Assistant Secretary for Planning and Evaluation</w:t>
      </w:r>
    </w:p>
    <w:p w:rsidR="0001433C" w:rsidRPr="008324E6" w:rsidRDefault="0001433C" w:rsidP="0001433C">
      <w:pPr>
        <w:spacing w:after="0" w:line="240" w:lineRule="auto"/>
        <w:rPr>
          <w:rFonts w:ascii="Times New Roman" w:hAnsi="Times New Roman" w:cs="Times New Roman"/>
        </w:rPr>
      </w:pPr>
      <w:r w:rsidRPr="008324E6">
        <w:rPr>
          <w:rFonts w:ascii="Times New Roman" w:hAnsi="Times New Roman" w:cs="Times New Roman"/>
        </w:rPr>
        <w:t>200 Independence Avenue SW, Washington DC 20201</w:t>
      </w:r>
    </w:p>
    <w:p w:rsidR="0001433C" w:rsidRPr="008324E6" w:rsidRDefault="0001433C" w:rsidP="0001433C">
      <w:pPr>
        <w:spacing w:after="0" w:line="240" w:lineRule="auto"/>
        <w:rPr>
          <w:rFonts w:ascii="Times New Roman" w:hAnsi="Times New Roman" w:cs="Times New Roman"/>
        </w:rPr>
      </w:pPr>
      <w:r w:rsidRPr="008324E6">
        <w:rPr>
          <w:rFonts w:ascii="Times New Roman" w:hAnsi="Times New Roman" w:cs="Times New Roman"/>
        </w:rPr>
        <w:t xml:space="preserve">(202) </w:t>
      </w:r>
      <w:r w:rsidR="0006311D">
        <w:rPr>
          <w:rFonts w:ascii="Times New Roman" w:hAnsi="Times New Roman" w:cs="Times New Roman"/>
        </w:rPr>
        <w:t>260-6610</w:t>
      </w:r>
    </w:p>
    <w:p w:rsidR="0001433C" w:rsidRPr="008324E6" w:rsidRDefault="0001433C" w:rsidP="0001433C">
      <w:pPr>
        <w:spacing w:after="0" w:line="240" w:lineRule="auto"/>
        <w:rPr>
          <w:rFonts w:ascii="Times New Roman" w:hAnsi="Times New Roman" w:cs="Times New Roman"/>
        </w:rPr>
      </w:pPr>
      <w:r w:rsidRPr="008324E6">
        <w:rPr>
          <w:rFonts w:ascii="Times New Roman" w:hAnsi="Times New Roman" w:cs="Times New Roman"/>
        </w:rPr>
        <w:t>(202) 690-6562</w:t>
      </w:r>
    </w:p>
    <w:p w:rsidR="0001433C" w:rsidRPr="008324E6" w:rsidRDefault="0001433C" w:rsidP="0001433C">
      <w:pPr>
        <w:spacing w:after="0" w:line="240" w:lineRule="auto"/>
        <w:rPr>
          <w:rFonts w:ascii="Times New Roman" w:hAnsi="Times New Roman" w:cs="Times New Roman"/>
        </w:rPr>
      </w:pPr>
      <w:r w:rsidRPr="008324E6">
        <w:rPr>
          <w:rFonts w:ascii="Times New Roman" w:hAnsi="Times New Roman" w:cs="Times New Roman"/>
        </w:rPr>
        <w:t>Lindsey.Hutchison@hhs.gov</w:t>
      </w:r>
    </w:p>
    <w:p w:rsidR="00B12F51" w:rsidRPr="00F52BCC" w:rsidRDefault="00B12F51" w:rsidP="00B12F51">
      <w:pPr>
        <w:spacing w:after="0"/>
        <w:rPr>
          <w:rFonts w:asciiTheme="majorHAnsi" w:hAnsiTheme="majorHAnsi"/>
          <w:sz w:val="28"/>
        </w:rPr>
      </w:pPr>
      <w:r w:rsidRPr="00F52BCC">
        <w:rPr>
          <w:rFonts w:asciiTheme="majorHAnsi" w:hAnsiTheme="majorHAnsi"/>
          <w:b/>
          <w:sz w:val="28"/>
        </w:rPr>
        <w:lastRenderedPageBreak/>
        <w:t xml:space="preserve">Section B – </w:t>
      </w:r>
      <w:r w:rsidR="00287E2F" w:rsidRPr="00F52BCC">
        <w:rPr>
          <w:rFonts w:asciiTheme="majorHAnsi" w:hAnsiTheme="majorHAnsi"/>
          <w:b/>
          <w:sz w:val="28"/>
        </w:rPr>
        <w:t>Data Collection Procedures</w:t>
      </w:r>
    </w:p>
    <w:p w:rsidR="00287E2F" w:rsidRDefault="00287E2F" w:rsidP="00B12F51">
      <w:pPr>
        <w:spacing w:after="0"/>
        <w:rPr>
          <w:rFonts w:asciiTheme="majorHAnsi" w:hAnsiTheme="majorHAnsi"/>
        </w:rPr>
      </w:pPr>
    </w:p>
    <w:p w:rsidR="00A75D1C" w:rsidRPr="009759F3" w:rsidRDefault="009759F3" w:rsidP="009759F3">
      <w:pPr>
        <w:pStyle w:val="ListParagraph"/>
        <w:numPr>
          <w:ilvl w:val="0"/>
          <w:numId w:val="3"/>
        </w:numPr>
        <w:spacing w:after="0"/>
        <w:rPr>
          <w:rFonts w:asciiTheme="majorHAnsi" w:hAnsiTheme="majorHAnsi"/>
          <w:b/>
        </w:rPr>
      </w:pPr>
      <w:r w:rsidRPr="009759F3">
        <w:rPr>
          <w:rFonts w:asciiTheme="majorHAnsi" w:hAnsiTheme="majorHAnsi"/>
          <w:b/>
          <w:bCs/>
        </w:rPr>
        <w:t>Respondent Universe and Sampling Methods</w:t>
      </w:r>
      <w:r w:rsidR="00A305CE" w:rsidRPr="009759F3">
        <w:rPr>
          <w:rFonts w:asciiTheme="majorHAnsi" w:hAnsiTheme="majorHAnsi"/>
        </w:rPr>
        <w:t xml:space="preserve"> </w:t>
      </w:r>
    </w:p>
    <w:p w:rsidR="00A75D1C" w:rsidRDefault="002E0AB4" w:rsidP="00F52BCC">
      <w:pPr>
        <w:pStyle w:val="ListParagraph"/>
        <w:spacing w:after="0"/>
        <w:rPr>
          <w:rFonts w:asciiTheme="majorHAnsi" w:hAnsiTheme="majorHAnsi"/>
        </w:rPr>
      </w:pPr>
      <w:r>
        <w:rPr>
          <w:rFonts w:asciiTheme="majorHAnsi" w:hAnsiTheme="majorHAnsi"/>
        </w:rPr>
        <w:t xml:space="preserve">The </w:t>
      </w:r>
      <w:r w:rsidR="0006311D">
        <w:rPr>
          <w:rFonts w:asciiTheme="majorHAnsi" w:hAnsiTheme="majorHAnsi"/>
        </w:rPr>
        <w:t>large group discussion held at the NHSA conference in March</w:t>
      </w:r>
      <w:r>
        <w:rPr>
          <w:rFonts w:asciiTheme="majorHAnsi" w:hAnsiTheme="majorHAnsi"/>
        </w:rPr>
        <w:t xml:space="preserve"> </w:t>
      </w:r>
      <w:r w:rsidR="004D28BF">
        <w:rPr>
          <w:rFonts w:asciiTheme="majorHAnsi" w:hAnsiTheme="majorHAnsi"/>
        </w:rPr>
        <w:t xml:space="preserve">will </w:t>
      </w:r>
      <w:r>
        <w:rPr>
          <w:rFonts w:asciiTheme="majorHAnsi" w:hAnsiTheme="majorHAnsi"/>
        </w:rPr>
        <w:t>constitute a sample of convenience</w:t>
      </w:r>
      <w:r w:rsidR="0006311D">
        <w:rPr>
          <w:rFonts w:asciiTheme="majorHAnsi" w:hAnsiTheme="majorHAnsi"/>
        </w:rPr>
        <w:t>.  Participants will include whichever conference attendees decide to participate in the conference session during their time at the conference.  Possible participants include</w:t>
      </w:r>
      <w:r>
        <w:rPr>
          <w:rFonts w:asciiTheme="majorHAnsi" w:hAnsiTheme="majorHAnsi"/>
        </w:rPr>
        <w:t xml:space="preserve"> Head Start and other </w:t>
      </w:r>
      <w:r w:rsidR="0006311D">
        <w:rPr>
          <w:rFonts w:asciiTheme="majorHAnsi" w:hAnsiTheme="majorHAnsi"/>
        </w:rPr>
        <w:t>ECE program directors and staff,</w:t>
      </w:r>
      <w:r>
        <w:rPr>
          <w:rFonts w:asciiTheme="majorHAnsi" w:hAnsiTheme="majorHAnsi"/>
        </w:rPr>
        <w:t xml:space="preserve"> </w:t>
      </w:r>
      <w:r w:rsidR="0006311D">
        <w:rPr>
          <w:rFonts w:asciiTheme="majorHAnsi" w:hAnsiTheme="majorHAnsi"/>
        </w:rPr>
        <w:t xml:space="preserve">other </w:t>
      </w:r>
      <w:r>
        <w:rPr>
          <w:rFonts w:asciiTheme="majorHAnsi" w:hAnsiTheme="majorHAnsi"/>
        </w:rPr>
        <w:t xml:space="preserve">educators, </w:t>
      </w:r>
      <w:r w:rsidR="0006311D">
        <w:rPr>
          <w:rFonts w:asciiTheme="majorHAnsi" w:hAnsiTheme="majorHAnsi"/>
        </w:rPr>
        <w:t xml:space="preserve">technical assistance providers, </w:t>
      </w:r>
      <w:r>
        <w:rPr>
          <w:rFonts w:asciiTheme="majorHAnsi" w:hAnsiTheme="majorHAnsi"/>
        </w:rPr>
        <w:t xml:space="preserve">and </w:t>
      </w:r>
      <w:r w:rsidR="0006311D">
        <w:rPr>
          <w:rFonts w:asciiTheme="majorHAnsi" w:hAnsiTheme="majorHAnsi"/>
        </w:rPr>
        <w:t xml:space="preserve">other relevant </w:t>
      </w:r>
      <w:r>
        <w:rPr>
          <w:rFonts w:asciiTheme="majorHAnsi" w:hAnsiTheme="majorHAnsi"/>
        </w:rPr>
        <w:t>partners</w:t>
      </w:r>
      <w:r w:rsidR="0006311D">
        <w:rPr>
          <w:rFonts w:asciiTheme="majorHAnsi" w:hAnsiTheme="majorHAnsi"/>
        </w:rPr>
        <w:t xml:space="preserve"> (such as NHSA staff)</w:t>
      </w:r>
      <w:r>
        <w:rPr>
          <w:rFonts w:asciiTheme="majorHAnsi" w:hAnsiTheme="majorHAnsi"/>
        </w:rPr>
        <w:t>.</w:t>
      </w:r>
      <w:r w:rsidR="0006311D">
        <w:rPr>
          <w:rFonts w:asciiTheme="majorHAnsi" w:hAnsiTheme="majorHAnsi"/>
        </w:rPr>
        <w:t xml:space="preserve">  We selected this as the mechanism for data collection in order to capitalize on the fact that several ECE program staff would be in the same location at the same time for the annual NHSA conference.  We anticipate no more than 100 participants in the session. </w:t>
      </w:r>
    </w:p>
    <w:p w:rsidR="00F52BCC" w:rsidRPr="00AD670E" w:rsidRDefault="00F52BCC" w:rsidP="00AD670E">
      <w:pPr>
        <w:pStyle w:val="ListParagraph"/>
        <w:spacing w:after="0"/>
        <w:rPr>
          <w:rFonts w:asciiTheme="majorHAnsi" w:hAnsiTheme="majorHAnsi"/>
        </w:rPr>
      </w:pPr>
    </w:p>
    <w:p w:rsidR="00287E2F" w:rsidRPr="000F453E" w:rsidRDefault="00287E2F" w:rsidP="009759F3">
      <w:pPr>
        <w:pStyle w:val="ListParagraph"/>
        <w:numPr>
          <w:ilvl w:val="0"/>
          <w:numId w:val="3"/>
        </w:numPr>
        <w:spacing w:after="0"/>
        <w:rPr>
          <w:rFonts w:asciiTheme="majorHAnsi" w:hAnsiTheme="majorHAnsi"/>
          <w:b/>
        </w:rPr>
      </w:pPr>
      <w:r w:rsidRPr="000F453E">
        <w:rPr>
          <w:rFonts w:asciiTheme="majorHAnsi" w:hAnsiTheme="majorHAnsi"/>
          <w:b/>
        </w:rPr>
        <w:t xml:space="preserve">Procedures for </w:t>
      </w:r>
      <w:r w:rsidR="009759F3" w:rsidRPr="000F453E">
        <w:rPr>
          <w:rFonts w:asciiTheme="majorHAnsi" w:hAnsiTheme="majorHAnsi"/>
          <w:b/>
        </w:rPr>
        <w:t xml:space="preserve">the </w:t>
      </w:r>
      <w:r w:rsidRPr="000F453E">
        <w:rPr>
          <w:rFonts w:asciiTheme="majorHAnsi" w:hAnsiTheme="majorHAnsi"/>
          <w:b/>
        </w:rPr>
        <w:t>Collecti</w:t>
      </w:r>
      <w:r w:rsidR="009759F3" w:rsidRPr="000F453E">
        <w:rPr>
          <w:rFonts w:asciiTheme="majorHAnsi" w:hAnsiTheme="majorHAnsi"/>
          <w:b/>
        </w:rPr>
        <w:t>on</w:t>
      </w:r>
      <w:r w:rsidRPr="000F453E">
        <w:rPr>
          <w:rFonts w:asciiTheme="majorHAnsi" w:hAnsiTheme="majorHAnsi"/>
          <w:b/>
        </w:rPr>
        <w:t xml:space="preserve"> of Information</w:t>
      </w:r>
      <w:r w:rsidR="00F725B5" w:rsidRPr="000F453E">
        <w:rPr>
          <w:rFonts w:asciiTheme="majorHAnsi" w:hAnsiTheme="majorHAnsi"/>
          <w:b/>
        </w:rPr>
        <w:t xml:space="preserve"> </w:t>
      </w:r>
      <w:r w:rsidR="009759F3" w:rsidRPr="000F453E">
        <w:rPr>
          <w:rFonts w:asciiTheme="majorHAnsi" w:hAnsiTheme="majorHAnsi"/>
          <w:b/>
        </w:rPr>
        <w:t xml:space="preserve">  </w:t>
      </w:r>
    </w:p>
    <w:p w:rsidR="000F453E" w:rsidRDefault="000F453E" w:rsidP="009759F3">
      <w:pPr>
        <w:pStyle w:val="ListParagraph"/>
        <w:spacing w:after="0"/>
        <w:rPr>
          <w:rFonts w:asciiTheme="majorHAnsi" w:hAnsiTheme="majorHAnsi"/>
        </w:rPr>
      </w:pPr>
      <w:r w:rsidRPr="007049F9">
        <w:rPr>
          <w:rFonts w:asciiTheme="majorHAnsi" w:hAnsiTheme="majorHAnsi"/>
        </w:rPr>
        <w:t>The data collection will be conducted through a large group discussion during a se</w:t>
      </w:r>
      <w:r>
        <w:rPr>
          <w:rFonts w:asciiTheme="majorHAnsi" w:hAnsiTheme="majorHAnsi"/>
        </w:rPr>
        <w:t>ssion at a research conference</w:t>
      </w:r>
      <w:r w:rsidRPr="007049F9">
        <w:rPr>
          <w:rFonts w:asciiTheme="majorHAnsi" w:hAnsiTheme="majorHAnsi"/>
        </w:rPr>
        <w:t>.  The large group discussion will be held at the National Head Start Association’s</w:t>
      </w:r>
      <w:r>
        <w:rPr>
          <w:rFonts w:asciiTheme="majorHAnsi" w:hAnsiTheme="majorHAnsi"/>
        </w:rPr>
        <w:t xml:space="preserve"> (NHSA)</w:t>
      </w:r>
      <w:r w:rsidRPr="007049F9">
        <w:rPr>
          <w:rFonts w:asciiTheme="majorHAnsi" w:hAnsiTheme="majorHAnsi"/>
        </w:rPr>
        <w:t xml:space="preserve"> </w:t>
      </w:r>
      <w:r w:rsidRPr="007049F9">
        <w:rPr>
          <w:rFonts w:asciiTheme="majorHAnsi" w:hAnsiTheme="majorHAnsi"/>
          <w:i/>
        </w:rPr>
        <w:t>42</w:t>
      </w:r>
      <w:r w:rsidRPr="007049F9">
        <w:rPr>
          <w:rFonts w:asciiTheme="majorHAnsi" w:hAnsiTheme="majorHAnsi"/>
          <w:i/>
          <w:vertAlign w:val="superscript"/>
        </w:rPr>
        <w:t>nd</w:t>
      </w:r>
      <w:r w:rsidRPr="007049F9">
        <w:rPr>
          <w:rFonts w:asciiTheme="majorHAnsi" w:hAnsiTheme="majorHAnsi"/>
          <w:i/>
        </w:rPr>
        <w:t xml:space="preserve"> Annual Head Start Conference and Expo </w:t>
      </w:r>
      <w:r w:rsidRPr="007049F9">
        <w:rPr>
          <w:rFonts w:asciiTheme="majorHAnsi" w:hAnsiTheme="majorHAnsi"/>
        </w:rPr>
        <w:t xml:space="preserve">taking place in Washington DC on March 31, 2015.  The session will be structured in a way where the session facilitator will pose open-ended </w:t>
      </w:r>
      <w:r>
        <w:rPr>
          <w:rFonts w:asciiTheme="majorHAnsi" w:hAnsiTheme="majorHAnsi"/>
        </w:rPr>
        <w:t xml:space="preserve">questions </w:t>
      </w:r>
      <w:r w:rsidRPr="007049F9">
        <w:rPr>
          <w:rFonts w:asciiTheme="majorHAnsi" w:hAnsiTheme="majorHAnsi"/>
        </w:rPr>
        <w:t>to the session attendees, and session attendees will be invited to respond.</w:t>
      </w:r>
      <w:r>
        <w:rPr>
          <w:rFonts w:asciiTheme="majorHAnsi" w:hAnsiTheme="majorHAnsi"/>
        </w:rPr>
        <w:t xml:space="preserve">  </w:t>
      </w:r>
      <w:r w:rsidRPr="007049F9">
        <w:rPr>
          <w:rFonts w:asciiTheme="majorHAnsi" w:hAnsiTheme="majorHAnsi"/>
        </w:rPr>
        <w:t>Session attendees may also be broken up into smaller groups to brainstorm</w:t>
      </w:r>
      <w:r>
        <w:rPr>
          <w:rFonts w:asciiTheme="majorHAnsi" w:hAnsiTheme="majorHAnsi"/>
        </w:rPr>
        <w:t xml:space="preserve"> on</w:t>
      </w:r>
      <w:r w:rsidRPr="007049F9">
        <w:rPr>
          <w:rFonts w:asciiTheme="majorHAnsi" w:hAnsiTheme="majorHAnsi"/>
        </w:rPr>
        <w:t xml:space="preserve"> their responses, and then report out to the larger group later in the session.  </w:t>
      </w:r>
      <w:r>
        <w:rPr>
          <w:rFonts w:asciiTheme="majorHAnsi" w:hAnsiTheme="majorHAnsi"/>
        </w:rPr>
        <w:t>Attendance at the session (and subsequent voicing of response from attendees) will be completely voluntary.</w:t>
      </w:r>
      <w:r w:rsidRPr="007049F9">
        <w:rPr>
          <w:rFonts w:asciiTheme="majorHAnsi" w:hAnsiTheme="majorHAnsi"/>
        </w:rPr>
        <w:t xml:space="preserve">  </w:t>
      </w:r>
      <w:r>
        <w:rPr>
          <w:rFonts w:asciiTheme="majorHAnsi" w:hAnsiTheme="majorHAnsi"/>
        </w:rPr>
        <w:t xml:space="preserve"> </w:t>
      </w:r>
      <w:r w:rsidRPr="007049F9">
        <w:rPr>
          <w:rFonts w:asciiTheme="majorHAnsi" w:hAnsiTheme="majorHAnsi"/>
        </w:rPr>
        <w:t xml:space="preserve">The questions </w:t>
      </w:r>
      <w:r>
        <w:rPr>
          <w:rFonts w:asciiTheme="majorHAnsi" w:hAnsiTheme="majorHAnsi"/>
        </w:rPr>
        <w:t xml:space="preserve">to be </w:t>
      </w:r>
      <w:r w:rsidRPr="007049F9">
        <w:rPr>
          <w:rFonts w:asciiTheme="majorHAnsi" w:hAnsiTheme="majorHAnsi"/>
        </w:rPr>
        <w:t>posed by the facilitator during the large group discussion have been developed and revised prior to the session (see Attachment A).  The discussion questions were developed by ASPE’s contractor for this work, Child Trends, in consultation with the</w:t>
      </w:r>
      <w:r>
        <w:rPr>
          <w:rFonts w:asciiTheme="majorHAnsi" w:hAnsiTheme="majorHAnsi"/>
        </w:rPr>
        <w:t xml:space="preserve"> ASPE</w:t>
      </w:r>
      <w:r w:rsidRPr="007049F9">
        <w:rPr>
          <w:rFonts w:asciiTheme="majorHAnsi" w:hAnsiTheme="majorHAnsi"/>
        </w:rPr>
        <w:t xml:space="preserve"> federal project officers.  Child Trends staff will also facilitate the large group discussion, with the two</w:t>
      </w:r>
      <w:r>
        <w:rPr>
          <w:rFonts w:asciiTheme="majorHAnsi" w:hAnsiTheme="majorHAnsi"/>
        </w:rPr>
        <w:t xml:space="preserve"> ASPE</w:t>
      </w:r>
      <w:r w:rsidRPr="007049F9">
        <w:rPr>
          <w:rFonts w:asciiTheme="majorHAnsi" w:hAnsiTheme="majorHAnsi"/>
        </w:rPr>
        <w:t xml:space="preserve"> federal project officers attending to take notes and assist as needed.</w:t>
      </w:r>
      <w:r>
        <w:rPr>
          <w:rFonts w:asciiTheme="majorHAnsi" w:hAnsiTheme="majorHAnsi"/>
        </w:rPr>
        <w:t xml:space="preserve">  Hard copies of the questions will also be distributed in person at the session, so that attendees can jot down their thoughts in writing, if this is preferable over voicing their thoughts out loud during the session.  The hard copies will not request any personally identifiable information.  The data will be collected qualitatively in written note form by session scribes (the federal project offices will serve as the session scribes).  After the conference session, Child Trends staff will analyze the data qualitatively by reviewing the session notes and pulling out the main themes from the discussion.  Child Trends staff will note if particular issues (for example, concerns with understanding privacy laws for sharing administrative data) seemed to be raised more often, or of greater importance, to the session participants. </w:t>
      </w:r>
    </w:p>
    <w:p w:rsidR="00AD670E" w:rsidRPr="009759F3" w:rsidRDefault="00AD670E" w:rsidP="009759F3">
      <w:pPr>
        <w:pStyle w:val="ListParagraph"/>
        <w:spacing w:after="0"/>
        <w:rPr>
          <w:rFonts w:asciiTheme="majorHAnsi" w:hAnsiTheme="majorHAnsi"/>
        </w:rPr>
      </w:pPr>
    </w:p>
    <w:p w:rsidR="009759F3" w:rsidRPr="009759F3" w:rsidRDefault="00287E2F" w:rsidP="009759F3">
      <w:pPr>
        <w:pStyle w:val="ListParagraph"/>
        <w:numPr>
          <w:ilvl w:val="0"/>
          <w:numId w:val="3"/>
        </w:numPr>
        <w:spacing w:after="0"/>
        <w:rPr>
          <w:rFonts w:asciiTheme="majorHAnsi" w:hAnsiTheme="majorHAnsi"/>
          <w:b/>
        </w:rPr>
      </w:pPr>
      <w:r w:rsidRPr="00D26A64">
        <w:rPr>
          <w:rFonts w:asciiTheme="majorHAnsi" w:hAnsiTheme="majorHAnsi"/>
          <w:b/>
        </w:rPr>
        <w:t>Methods to Maximize Response Rates</w:t>
      </w:r>
      <w:r w:rsidR="00F725B5">
        <w:rPr>
          <w:rFonts w:asciiTheme="majorHAnsi" w:hAnsiTheme="majorHAnsi"/>
          <w:b/>
        </w:rPr>
        <w:t xml:space="preserve"> </w:t>
      </w:r>
      <w:r w:rsidRPr="00D26A64">
        <w:rPr>
          <w:rFonts w:asciiTheme="majorHAnsi" w:hAnsiTheme="majorHAnsi"/>
          <w:b/>
        </w:rPr>
        <w:t xml:space="preserve"> </w:t>
      </w:r>
      <w:r w:rsidR="009759F3" w:rsidRPr="009759F3">
        <w:rPr>
          <w:rFonts w:asciiTheme="majorHAnsi" w:hAnsiTheme="majorHAnsi"/>
          <w:b/>
          <w:bCs/>
        </w:rPr>
        <w:t>Deal with Nonresponse</w:t>
      </w:r>
    </w:p>
    <w:p w:rsidR="003A4C0B" w:rsidRPr="003A4C0B" w:rsidRDefault="0006311D" w:rsidP="00DC6EB9">
      <w:pPr>
        <w:spacing w:after="0"/>
        <w:ind w:left="720"/>
        <w:rPr>
          <w:rFonts w:asciiTheme="majorHAnsi" w:hAnsiTheme="majorHAnsi"/>
        </w:rPr>
      </w:pPr>
      <w:r>
        <w:rPr>
          <w:rFonts w:asciiTheme="majorHAnsi" w:hAnsiTheme="majorHAnsi"/>
        </w:rPr>
        <w:t xml:space="preserve">Specific reminder emails about the large group discussion will </w:t>
      </w:r>
      <w:r w:rsidRPr="0006311D">
        <w:rPr>
          <w:rFonts w:asciiTheme="majorHAnsi" w:hAnsiTheme="majorHAnsi"/>
          <w:i/>
        </w:rPr>
        <w:t>not</w:t>
      </w:r>
      <w:r>
        <w:rPr>
          <w:rFonts w:asciiTheme="majorHAnsi" w:hAnsiTheme="majorHAnsi"/>
        </w:rPr>
        <w:t xml:space="preserve"> be sent out to potential respondents in advance of the NHSA conference session.  However, the session will be listed in the conference handbook, so</w:t>
      </w:r>
      <w:r w:rsidR="00DC6EB9">
        <w:rPr>
          <w:rFonts w:asciiTheme="majorHAnsi" w:hAnsiTheme="majorHAnsi"/>
        </w:rPr>
        <w:t xml:space="preserve"> that </w:t>
      </w:r>
      <w:r>
        <w:rPr>
          <w:rFonts w:asciiTheme="majorHAnsi" w:hAnsiTheme="majorHAnsi"/>
        </w:rPr>
        <w:t>potential</w:t>
      </w:r>
      <w:r w:rsidR="003A4C0B">
        <w:rPr>
          <w:rFonts w:asciiTheme="majorHAnsi" w:hAnsiTheme="majorHAnsi"/>
        </w:rPr>
        <w:t xml:space="preserve"> respondents will be </w:t>
      </w:r>
      <w:r>
        <w:rPr>
          <w:rFonts w:asciiTheme="majorHAnsi" w:hAnsiTheme="majorHAnsi"/>
        </w:rPr>
        <w:t>aware of</w:t>
      </w:r>
      <w:r w:rsidR="003A4C0B">
        <w:rPr>
          <w:rFonts w:asciiTheme="majorHAnsi" w:hAnsiTheme="majorHAnsi"/>
        </w:rPr>
        <w:t xml:space="preserve"> the opportunity to </w:t>
      </w:r>
      <w:r>
        <w:rPr>
          <w:rFonts w:asciiTheme="majorHAnsi" w:hAnsiTheme="majorHAnsi"/>
        </w:rPr>
        <w:t>participate in the session</w:t>
      </w:r>
      <w:r w:rsidR="00DC6EB9">
        <w:rPr>
          <w:rFonts w:asciiTheme="majorHAnsi" w:hAnsiTheme="majorHAnsi"/>
        </w:rPr>
        <w:t xml:space="preserve"> (see Attachment B)</w:t>
      </w:r>
      <w:r w:rsidR="003A4C0B">
        <w:rPr>
          <w:rFonts w:asciiTheme="majorHAnsi" w:hAnsiTheme="majorHAnsi"/>
        </w:rPr>
        <w:t>.  The method of data collection also optimizes response rate</w:t>
      </w:r>
      <w:r w:rsidR="002E0AB4">
        <w:rPr>
          <w:rFonts w:asciiTheme="majorHAnsi" w:hAnsiTheme="majorHAnsi"/>
        </w:rPr>
        <w:t>s</w:t>
      </w:r>
      <w:r>
        <w:rPr>
          <w:rFonts w:asciiTheme="majorHAnsi" w:hAnsiTheme="majorHAnsi"/>
        </w:rPr>
        <w:t xml:space="preserve"> (because participants are all gathered in person at the same </w:t>
      </w:r>
      <w:r>
        <w:rPr>
          <w:rFonts w:asciiTheme="majorHAnsi" w:hAnsiTheme="majorHAnsi"/>
        </w:rPr>
        <w:lastRenderedPageBreak/>
        <w:t xml:space="preserve">location at the same time). </w:t>
      </w:r>
      <w:r w:rsidR="00DC6EB9">
        <w:rPr>
          <w:rFonts w:asciiTheme="majorHAnsi" w:hAnsiTheme="majorHAnsi"/>
        </w:rPr>
        <w:t xml:space="preserve"> </w:t>
      </w:r>
      <w:r>
        <w:rPr>
          <w:rFonts w:asciiTheme="majorHAnsi" w:hAnsiTheme="majorHAnsi"/>
        </w:rPr>
        <w:t xml:space="preserve">Given </w:t>
      </w:r>
      <w:r w:rsidR="00A4281B">
        <w:rPr>
          <w:rFonts w:asciiTheme="majorHAnsi" w:hAnsiTheme="majorHAnsi"/>
        </w:rPr>
        <w:t xml:space="preserve">that this </w:t>
      </w:r>
      <w:r>
        <w:rPr>
          <w:rFonts w:asciiTheme="majorHAnsi" w:hAnsiTheme="majorHAnsi"/>
        </w:rPr>
        <w:t>will be</w:t>
      </w:r>
      <w:r w:rsidR="00A4281B">
        <w:rPr>
          <w:rFonts w:asciiTheme="majorHAnsi" w:hAnsiTheme="majorHAnsi"/>
        </w:rPr>
        <w:t xml:space="preserve"> a sample of convenience, </w:t>
      </w:r>
      <w:r>
        <w:rPr>
          <w:rFonts w:asciiTheme="majorHAnsi" w:hAnsiTheme="majorHAnsi"/>
        </w:rPr>
        <w:t>we will not deal with nonresponse.  The</w:t>
      </w:r>
      <w:r w:rsidR="00A4281B">
        <w:rPr>
          <w:rFonts w:asciiTheme="majorHAnsi" w:hAnsiTheme="majorHAnsi"/>
        </w:rPr>
        <w:t xml:space="preserve"> </w:t>
      </w:r>
      <w:r>
        <w:rPr>
          <w:rFonts w:asciiTheme="majorHAnsi" w:hAnsiTheme="majorHAnsi"/>
        </w:rPr>
        <w:t>main themes (i.e. results)</w:t>
      </w:r>
      <w:r w:rsidR="00A4281B">
        <w:rPr>
          <w:rFonts w:asciiTheme="majorHAnsi" w:hAnsiTheme="majorHAnsi"/>
        </w:rPr>
        <w:t xml:space="preserve"> </w:t>
      </w:r>
      <w:r>
        <w:rPr>
          <w:rFonts w:asciiTheme="majorHAnsi" w:hAnsiTheme="majorHAnsi"/>
        </w:rPr>
        <w:t xml:space="preserve">that emerge from the large group discussion </w:t>
      </w:r>
      <w:r w:rsidR="00A4281B">
        <w:rPr>
          <w:rFonts w:asciiTheme="majorHAnsi" w:hAnsiTheme="majorHAnsi"/>
        </w:rPr>
        <w:t xml:space="preserve">will not be generalizable </w:t>
      </w:r>
      <w:r>
        <w:rPr>
          <w:rFonts w:asciiTheme="majorHAnsi" w:hAnsiTheme="majorHAnsi"/>
        </w:rPr>
        <w:t xml:space="preserve">to all ECE </w:t>
      </w:r>
      <w:r w:rsidR="00DC6EB9">
        <w:rPr>
          <w:rFonts w:asciiTheme="majorHAnsi" w:hAnsiTheme="majorHAnsi"/>
        </w:rPr>
        <w:t xml:space="preserve">or Head Start </w:t>
      </w:r>
      <w:r>
        <w:rPr>
          <w:rFonts w:asciiTheme="majorHAnsi" w:hAnsiTheme="majorHAnsi"/>
        </w:rPr>
        <w:t xml:space="preserve">programs </w:t>
      </w:r>
      <w:r w:rsidR="00A4281B">
        <w:rPr>
          <w:rFonts w:asciiTheme="majorHAnsi" w:hAnsiTheme="majorHAnsi"/>
        </w:rPr>
        <w:t>and this will be acknowledged in any project materials.</w:t>
      </w:r>
    </w:p>
    <w:p w:rsidR="00F52BCC" w:rsidRPr="009759F3" w:rsidRDefault="00F52BCC" w:rsidP="009759F3">
      <w:pPr>
        <w:spacing w:after="0"/>
        <w:rPr>
          <w:rFonts w:asciiTheme="majorHAnsi" w:hAnsiTheme="majorHAnsi"/>
        </w:rPr>
      </w:pPr>
    </w:p>
    <w:p w:rsidR="00F52BCC" w:rsidRPr="000F453E" w:rsidRDefault="00287E2F" w:rsidP="009759F3">
      <w:pPr>
        <w:pStyle w:val="ListParagraph"/>
        <w:numPr>
          <w:ilvl w:val="0"/>
          <w:numId w:val="3"/>
        </w:numPr>
        <w:spacing w:after="0"/>
        <w:rPr>
          <w:rFonts w:asciiTheme="majorHAnsi" w:hAnsiTheme="majorHAnsi"/>
          <w:b/>
        </w:rPr>
      </w:pPr>
      <w:r w:rsidRPr="000F453E">
        <w:rPr>
          <w:rFonts w:asciiTheme="majorHAnsi" w:hAnsiTheme="majorHAnsi"/>
          <w:b/>
        </w:rPr>
        <w:t xml:space="preserve">Test of Procedures </w:t>
      </w:r>
      <w:r w:rsidR="009759F3" w:rsidRPr="000F453E">
        <w:rPr>
          <w:rFonts w:asciiTheme="majorHAnsi" w:hAnsiTheme="majorHAnsi"/>
          <w:b/>
          <w:bCs/>
        </w:rPr>
        <w:t>or Methods to be Undertaken</w:t>
      </w:r>
    </w:p>
    <w:p w:rsidR="00A4281B" w:rsidRDefault="00A4281B" w:rsidP="00F52BCC">
      <w:pPr>
        <w:pStyle w:val="ListParagraph"/>
        <w:spacing w:after="0"/>
        <w:rPr>
          <w:rFonts w:asciiTheme="majorHAnsi" w:hAnsiTheme="majorHAnsi"/>
        </w:rPr>
      </w:pPr>
      <w:r>
        <w:rPr>
          <w:rFonts w:asciiTheme="majorHAnsi" w:hAnsiTheme="majorHAnsi"/>
        </w:rPr>
        <w:t xml:space="preserve">Over the past few years, ASPE staff engaged in preliminary exploration of the issues that will be discussed in the </w:t>
      </w:r>
      <w:r w:rsidR="00DC6EB9">
        <w:rPr>
          <w:rFonts w:asciiTheme="majorHAnsi" w:hAnsiTheme="majorHAnsi"/>
        </w:rPr>
        <w:t>conference session</w:t>
      </w:r>
      <w:r>
        <w:rPr>
          <w:rFonts w:asciiTheme="majorHAnsi" w:hAnsiTheme="majorHAnsi"/>
        </w:rPr>
        <w:t xml:space="preserve">.  The </w:t>
      </w:r>
      <w:r w:rsidR="00DC6EB9">
        <w:rPr>
          <w:rFonts w:asciiTheme="majorHAnsi" w:hAnsiTheme="majorHAnsi"/>
        </w:rPr>
        <w:t>conference session discussion</w:t>
      </w:r>
      <w:r>
        <w:rPr>
          <w:rFonts w:asciiTheme="majorHAnsi" w:hAnsiTheme="majorHAnsi"/>
        </w:rPr>
        <w:t xml:space="preserve"> will build on knowledge of the field that was built by ASPE staff through research and one-on-one conversations with experts.</w:t>
      </w:r>
      <w:r w:rsidR="00DC6EB9">
        <w:rPr>
          <w:rFonts w:asciiTheme="majorHAnsi" w:hAnsiTheme="majorHAnsi"/>
        </w:rPr>
        <w:t xml:space="preserve">  The specific discussion questions to be used for the large group discussion at the conference have not been </w:t>
      </w:r>
      <w:r w:rsidR="000F453E">
        <w:rPr>
          <w:rFonts w:asciiTheme="majorHAnsi" w:hAnsiTheme="majorHAnsi"/>
        </w:rPr>
        <w:t xml:space="preserve">specifically </w:t>
      </w:r>
      <w:r w:rsidR="00DC6EB9">
        <w:rPr>
          <w:rFonts w:asciiTheme="majorHAnsi" w:hAnsiTheme="majorHAnsi"/>
        </w:rPr>
        <w:t>piloted before (see Attachment A).</w:t>
      </w:r>
    </w:p>
    <w:p w:rsidR="00A4281B" w:rsidRPr="00A4281B" w:rsidRDefault="00A4281B" w:rsidP="00A4281B">
      <w:pPr>
        <w:pStyle w:val="ListParagraph"/>
        <w:spacing w:after="0"/>
        <w:rPr>
          <w:rFonts w:asciiTheme="majorHAnsi" w:hAnsiTheme="majorHAnsi"/>
          <w:b/>
        </w:rPr>
      </w:pPr>
    </w:p>
    <w:p w:rsidR="009759F3" w:rsidRPr="009759F3" w:rsidRDefault="009759F3" w:rsidP="009759F3">
      <w:pPr>
        <w:pStyle w:val="ListParagraph"/>
        <w:numPr>
          <w:ilvl w:val="0"/>
          <w:numId w:val="3"/>
        </w:numPr>
        <w:spacing w:after="0"/>
        <w:rPr>
          <w:rFonts w:asciiTheme="majorHAnsi" w:hAnsiTheme="majorHAnsi"/>
          <w:b/>
        </w:rPr>
      </w:pPr>
      <w:r w:rsidRPr="009759F3">
        <w:rPr>
          <w:rFonts w:asciiTheme="majorHAnsi" w:hAnsiTheme="majorHAnsi"/>
          <w:b/>
          <w:bCs/>
        </w:rPr>
        <w:t>Individuals Consulted on Statistical Aspects and Individuals Collecting and/or Analyzing Data</w:t>
      </w:r>
    </w:p>
    <w:p w:rsidR="00287E2F" w:rsidRPr="00A4281B" w:rsidRDefault="00A4281B" w:rsidP="009759F3">
      <w:pPr>
        <w:pStyle w:val="ListParagraph"/>
        <w:spacing w:after="0"/>
        <w:rPr>
          <w:rFonts w:asciiTheme="majorHAnsi" w:hAnsiTheme="majorHAnsi"/>
        </w:rPr>
      </w:pPr>
      <w:r>
        <w:rPr>
          <w:rFonts w:asciiTheme="majorHAnsi" w:hAnsiTheme="majorHAnsi"/>
        </w:rPr>
        <w:t>ASPE subject matter experts with statistical and technical expertise</w:t>
      </w:r>
      <w:r w:rsidR="00DC6EB9" w:rsidRPr="00DC6EB9">
        <w:rPr>
          <w:rFonts w:asciiTheme="majorHAnsi" w:hAnsiTheme="majorHAnsi"/>
        </w:rPr>
        <w:t xml:space="preserve"> </w:t>
      </w:r>
      <w:r w:rsidR="00DC6EB9">
        <w:rPr>
          <w:rFonts w:asciiTheme="majorHAnsi" w:hAnsiTheme="majorHAnsi"/>
        </w:rPr>
        <w:t>were consulted on the development of this exploratory data collection.  This includes:</w:t>
      </w:r>
      <w:r>
        <w:rPr>
          <w:rFonts w:asciiTheme="majorHAnsi" w:hAnsiTheme="majorHAnsi"/>
        </w:rPr>
        <w:t xml:space="preserve"> </w:t>
      </w:r>
      <w:r w:rsidR="00DC6EB9">
        <w:rPr>
          <w:rFonts w:asciiTheme="majorHAnsi" w:hAnsiTheme="majorHAnsi"/>
        </w:rPr>
        <w:t xml:space="preserve">(1) </w:t>
      </w:r>
      <w:r>
        <w:rPr>
          <w:rFonts w:asciiTheme="majorHAnsi" w:hAnsiTheme="majorHAnsi"/>
        </w:rPr>
        <w:t>Lindsey Hutchison</w:t>
      </w:r>
      <w:r w:rsidR="00DC6EB9">
        <w:rPr>
          <w:rFonts w:asciiTheme="majorHAnsi" w:hAnsiTheme="majorHAnsi"/>
        </w:rPr>
        <w:t xml:space="preserve">, Social Science Analyst at HHS/ASPE, email: </w:t>
      </w:r>
      <w:hyperlink r:id="rId9" w:history="1">
        <w:r w:rsidR="00DC6EB9" w:rsidRPr="001E1DDE">
          <w:rPr>
            <w:rStyle w:val="Hyperlink"/>
            <w:rFonts w:asciiTheme="majorHAnsi" w:hAnsiTheme="majorHAnsi"/>
          </w:rPr>
          <w:t>Lindsey.Hutchison@hhs.gov</w:t>
        </w:r>
      </w:hyperlink>
      <w:r w:rsidR="00DC6EB9">
        <w:rPr>
          <w:rFonts w:asciiTheme="majorHAnsi" w:hAnsiTheme="majorHAnsi"/>
        </w:rPr>
        <w:t>, phone: 202-260-6610; and (2)</w:t>
      </w:r>
      <w:r>
        <w:rPr>
          <w:rFonts w:asciiTheme="majorHAnsi" w:hAnsiTheme="majorHAnsi"/>
        </w:rPr>
        <w:t xml:space="preserve"> Kim Burgess,</w:t>
      </w:r>
      <w:r w:rsidR="00DC6EB9">
        <w:rPr>
          <w:rFonts w:asciiTheme="majorHAnsi" w:hAnsiTheme="majorHAnsi"/>
        </w:rPr>
        <w:t xml:space="preserve"> Social Science Analyst at HHS/ASPE, email: </w:t>
      </w:r>
      <w:hyperlink r:id="rId10" w:history="1">
        <w:r w:rsidR="00DC6EB9" w:rsidRPr="001E1DDE">
          <w:rPr>
            <w:rStyle w:val="Hyperlink"/>
            <w:rFonts w:asciiTheme="majorHAnsi" w:hAnsiTheme="majorHAnsi"/>
          </w:rPr>
          <w:t>Kimberly.Burgess@hhs.gov</w:t>
        </w:r>
      </w:hyperlink>
      <w:r w:rsidR="00DC6EB9">
        <w:rPr>
          <w:rFonts w:asciiTheme="majorHAnsi" w:hAnsiTheme="majorHAnsi"/>
        </w:rPr>
        <w:t>, phone: 202-260-6623.</w:t>
      </w:r>
    </w:p>
    <w:p w:rsidR="00E24C20" w:rsidRDefault="00E24C20">
      <w:pPr>
        <w:rPr>
          <w:rFonts w:asciiTheme="majorHAnsi" w:hAnsiTheme="majorHAnsi"/>
          <w:b/>
          <w:sz w:val="28"/>
        </w:rPr>
      </w:pPr>
    </w:p>
    <w:p w:rsidR="00A36419" w:rsidRDefault="00A36419" w:rsidP="00A36419">
      <w:pPr>
        <w:spacing w:after="0"/>
        <w:rPr>
          <w:rFonts w:asciiTheme="majorHAnsi" w:hAnsiTheme="majorHAnsi"/>
          <w:b/>
          <w:sz w:val="28"/>
        </w:rPr>
      </w:pPr>
      <w:r>
        <w:rPr>
          <w:rFonts w:asciiTheme="majorHAnsi" w:hAnsiTheme="majorHAnsi"/>
          <w:b/>
          <w:sz w:val="28"/>
        </w:rPr>
        <w:t>LIST OF ATTACHMENTS</w:t>
      </w:r>
      <w:r w:rsidR="00E24C20">
        <w:rPr>
          <w:rFonts w:asciiTheme="majorHAnsi" w:hAnsiTheme="majorHAnsi"/>
          <w:b/>
          <w:sz w:val="28"/>
        </w:rPr>
        <w:t xml:space="preserve"> – Section B</w:t>
      </w:r>
    </w:p>
    <w:p w:rsidR="006B5E55" w:rsidRDefault="006B5E55" w:rsidP="006B5E55">
      <w:pPr>
        <w:spacing w:after="0"/>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rsidR="0006311D" w:rsidRDefault="0006311D" w:rsidP="00EE054C">
      <w:pPr>
        <w:spacing w:after="0"/>
        <w:rPr>
          <w:rFonts w:asciiTheme="majorHAnsi" w:hAnsiTheme="majorHAnsi"/>
        </w:rPr>
      </w:pPr>
    </w:p>
    <w:p w:rsidR="00EE054C" w:rsidRPr="00DC6EB9" w:rsidRDefault="00DC6EB9" w:rsidP="00DC6EB9">
      <w:pPr>
        <w:pStyle w:val="ListParagraph"/>
        <w:numPr>
          <w:ilvl w:val="0"/>
          <w:numId w:val="24"/>
        </w:numPr>
        <w:spacing w:after="0"/>
        <w:rPr>
          <w:rFonts w:asciiTheme="majorHAnsi" w:hAnsiTheme="majorHAnsi"/>
        </w:rPr>
      </w:pPr>
      <w:r>
        <w:rPr>
          <w:rFonts w:asciiTheme="majorHAnsi" w:hAnsiTheme="majorHAnsi"/>
        </w:rPr>
        <w:t>Description of Conference Session in NHSA Program Book</w:t>
      </w:r>
    </w:p>
    <w:p w:rsidR="00A36419" w:rsidRPr="00A36419" w:rsidRDefault="00A36419" w:rsidP="00A36419">
      <w:pPr>
        <w:spacing w:after="0" w:line="360" w:lineRule="auto"/>
        <w:rPr>
          <w:rFonts w:asciiTheme="majorHAnsi" w:hAnsiTheme="majorHAnsi"/>
          <w:b/>
        </w:rPr>
      </w:pPr>
    </w:p>
    <w:p w:rsidR="000E6577" w:rsidRPr="000E6577" w:rsidRDefault="000E6577" w:rsidP="000E6577">
      <w:pPr>
        <w:spacing w:line="360" w:lineRule="auto"/>
        <w:rPr>
          <w:rFonts w:asciiTheme="majorHAnsi" w:hAnsiTheme="majorHAnsi"/>
          <w:b/>
        </w:rPr>
      </w:pPr>
    </w:p>
    <w:sectPr w:rsidR="000E6577" w:rsidRPr="000E6577" w:rsidSect="003E5D57">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CED" w:rsidRDefault="001E0CED" w:rsidP="00716F94">
      <w:pPr>
        <w:spacing w:after="0" w:line="240" w:lineRule="auto"/>
      </w:pPr>
      <w:r>
        <w:separator/>
      </w:r>
    </w:p>
  </w:endnote>
  <w:endnote w:type="continuationSeparator" w:id="0">
    <w:p w:rsidR="001E0CED" w:rsidRDefault="001E0CED"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rsidR="00783A3C" w:rsidRDefault="00783A3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F3543">
              <w:rPr>
                <w:b/>
                <w:noProof/>
              </w:rPr>
              <w:t>3</w:t>
            </w:r>
            <w:r>
              <w:rPr>
                <w:b/>
                <w:sz w:val="24"/>
                <w:szCs w:val="24"/>
              </w:rPr>
              <w:fldChar w:fldCharType="end"/>
            </w:r>
            <w:r>
              <w:t xml:space="preserve"> of </w:t>
            </w:r>
            <w:r>
              <w:rPr>
                <w:b/>
                <w:szCs w:val="24"/>
              </w:rPr>
              <w:t>3</w:t>
            </w:r>
          </w:p>
        </w:sdtContent>
      </w:sdt>
    </w:sdtContent>
  </w:sdt>
  <w:p w:rsidR="00783A3C" w:rsidRDefault="00783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CED" w:rsidRDefault="001E0CED" w:rsidP="00716F94">
      <w:pPr>
        <w:spacing w:after="0" w:line="240" w:lineRule="auto"/>
      </w:pPr>
      <w:r>
        <w:separator/>
      </w:r>
    </w:p>
  </w:footnote>
  <w:footnote w:type="continuationSeparator" w:id="0">
    <w:p w:rsidR="001E0CED" w:rsidRDefault="001E0CED"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Pr="00716F94" w:rsidRDefault="00783A3C"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24E2B"/>
    <w:multiLevelType w:val="hybridMultilevel"/>
    <w:tmpl w:val="39862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A3486F"/>
    <w:multiLevelType w:val="hybridMultilevel"/>
    <w:tmpl w:val="2F566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7">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C53276"/>
    <w:multiLevelType w:val="hybridMultilevel"/>
    <w:tmpl w:val="1592F47A"/>
    <w:lvl w:ilvl="0" w:tplc="06DC5E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21"/>
  </w:num>
  <w:num w:numId="4">
    <w:abstractNumId w:val="11"/>
  </w:num>
  <w:num w:numId="5">
    <w:abstractNumId w:val="16"/>
  </w:num>
  <w:num w:numId="6">
    <w:abstractNumId w:val="8"/>
  </w:num>
  <w:num w:numId="7">
    <w:abstractNumId w:val="0"/>
  </w:num>
  <w:num w:numId="8">
    <w:abstractNumId w:val="5"/>
  </w:num>
  <w:num w:numId="9">
    <w:abstractNumId w:val="10"/>
  </w:num>
  <w:num w:numId="10">
    <w:abstractNumId w:val="17"/>
  </w:num>
  <w:num w:numId="11">
    <w:abstractNumId w:val="2"/>
  </w:num>
  <w:num w:numId="12">
    <w:abstractNumId w:val="20"/>
  </w:num>
  <w:num w:numId="13">
    <w:abstractNumId w:val="6"/>
  </w:num>
  <w:num w:numId="14">
    <w:abstractNumId w:val="3"/>
  </w:num>
  <w:num w:numId="15">
    <w:abstractNumId w:val="18"/>
  </w:num>
  <w:num w:numId="16">
    <w:abstractNumId w:val="23"/>
  </w:num>
  <w:num w:numId="17">
    <w:abstractNumId w:val="9"/>
  </w:num>
  <w:num w:numId="18">
    <w:abstractNumId w:val="13"/>
  </w:num>
  <w:num w:numId="19">
    <w:abstractNumId w:val="4"/>
  </w:num>
  <w:num w:numId="20">
    <w:abstractNumId w:val="14"/>
  </w:num>
  <w:num w:numId="21">
    <w:abstractNumId w:val="22"/>
  </w:num>
  <w:num w:numId="22">
    <w:abstractNumId w:val="12"/>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3C"/>
    <w:rsid w:val="00014361"/>
    <w:rsid w:val="000474FB"/>
    <w:rsid w:val="00053A92"/>
    <w:rsid w:val="0005605E"/>
    <w:rsid w:val="00057F36"/>
    <w:rsid w:val="0006311D"/>
    <w:rsid w:val="000A1F30"/>
    <w:rsid w:val="000E6577"/>
    <w:rsid w:val="000E7A19"/>
    <w:rsid w:val="000F453E"/>
    <w:rsid w:val="00104A1B"/>
    <w:rsid w:val="001177DD"/>
    <w:rsid w:val="001308EB"/>
    <w:rsid w:val="001412D4"/>
    <w:rsid w:val="00144F64"/>
    <w:rsid w:val="00151567"/>
    <w:rsid w:val="001624AC"/>
    <w:rsid w:val="00163E17"/>
    <w:rsid w:val="00166F9E"/>
    <w:rsid w:val="00170FCA"/>
    <w:rsid w:val="00187D5A"/>
    <w:rsid w:val="001972D7"/>
    <w:rsid w:val="001A28F6"/>
    <w:rsid w:val="001A42DB"/>
    <w:rsid w:val="001B2831"/>
    <w:rsid w:val="001C0493"/>
    <w:rsid w:val="001C28AD"/>
    <w:rsid w:val="001D7FCB"/>
    <w:rsid w:val="001E0CED"/>
    <w:rsid w:val="001E2B99"/>
    <w:rsid w:val="001E69B6"/>
    <w:rsid w:val="001F4DBB"/>
    <w:rsid w:val="001F6CCC"/>
    <w:rsid w:val="001F7C89"/>
    <w:rsid w:val="0020312D"/>
    <w:rsid w:val="0020495F"/>
    <w:rsid w:val="00206E33"/>
    <w:rsid w:val="00210519"/>
    <w:rsid w:val="00230CEF"/>
    <w:rsid w:val="00241B17"/>
    <w:rsid w:val="00241C81"/>
    <w:rsid w:val="00257A1C"/>
    <w:rsid w:val="0027234C"/>
    <w:rsid w:val="00272E03"/>
    <w:rsid w:val="00281795"/>
    <w:rsid w:val="002850E3"/>
    <w:rsid w:val="00287E2F"/>
    <w:rsid w:val="002A1948"/>
    <w:rsid w:val="002C0877"/>
    <w:rsid w:val="002C2AE2"/>
    <w:rsid w:val="002D0DCE"/>
    <w:rsid w:val="002E0AB4"/>
    <w:rsid w:val="002E2B10"/>
    <w:rsid w:val="002F1502"/>
    <w:rsid w:val="002F169D"/>
    <w:rsid w:val="002F2069"/>
    <w:rsid w:val="002F6F92"/>
    <w:rsid w:val="003041AD"/>
    <w:rsid w:val="0031279F"/>
    <w:rsid w:val="00336D96"/>
    <w:rsid w:val="00344F07"/>
    <w:rsid w:val="003469C8"/>
    <w:rsid w:val="00355EA4"/>
    <w:rsid w:val="003635BE"/>
    <w:rsid w:val="00366B5E"/>
    <w:rsid w:val="00372844"/>
    <w:rsid w:val="00375624"/>
    <w:rsid w:val="003A4C0B"/>
    <w:rsid w:val="003C31C9"/>
    <w:rsid w:val="003C4961"/>
    <w:rsid w:val="003C7C5D"/>
    <w:rsid w:val="003D0AD2"/>
    <w:rsid w:val="003E4E7D"/>
    <w:rsid w:val="003E5D57"/>
    <w:rsid w:val="003F5913"/>
    <w:rsid w:val="004024F8"/>
    <w:rsid w:val="0041159A"/>
    <w:rsid w:val="004305A8"/>
    <w:rsid w:val="0043417A"/>
    <w:rsid w:val="00443CA0"/>
    <w:rsid w:val="00450541"/>
    <w:rsid w:val="00450E14"/>
    <w:rsid w:val="00462C65"/>
    <w:rsid w:val="00467B14"/>
    <w:rsid w:val="00474EDA"/>
    <w:rsid w:val="0047536D"/>
    <w:rsid w:val="004824FA"/>
    <w:rsid w:val="00484011"/>
    <w:rsid w:val="004841F1"/>
    <w:rsid w:val="004A1E3A"/>
    <w:rsid w:val="004C4AEA"/>
    <w:rsid w:val="004D28BF"/>
    <w:rsid w:val="004E003C"/>
    <w:rsid w:val="004E16EB"/>
    <w:rsid w:val="004E6665"/>
    <w:rsid w:val="004F634E"/>
    <w:rsid w:val="004F67A8"/>
    <w:rsid w:val="00522A50"/>
    <w:rsid w:val="00527225"/>
    <w:rsid w:val="0053557D"/>
    <w:rsid w:val="005463DE"/>
    <w:rsid w:val="00546DC2"/>
    <w:rsid w:val="005542E8"/>
    <w:rsid w:val="00556630"/>
    <w:rsid w:val="0055686D"/>
    <w:rsid w:val="005800EE"/>
    <w:rsid w:val="005869D6"/>
    <w:rsid w:val="005A33F6"/>
    <w:rsid w:val="005A59E5"/>
    <w:rsid w:val="005B7440"/>
    <w:rsid w:val="005C6E9D"/>
    <w:rsid w:val="005E2150"/>
    <w:rsid w:val="005E2995"/>
    <w:rsid w:val="005F3FEF"/>
    <w:rsid w:val="00601392"/>
    <w:rsid w:val="00607F7C"/>
    <w:rsid w:val="006102DA"/>
    <w:rsid w:val="00621F93"/>
    <w:rsid w:val="006315A3"/>
    <w:rsid w:val="00637CC1"/>
    <w:rsid w:val="006579A2"/>
    <w:rsid w:val="00667C89"/>
    <w:rsid w:val="006711EE"/>
    <w:rsid w:val="006809BB"/>
    <w:rsid w:val="006809FD"/>
    <w:rsid w:val="00691D1F"/>
    <w:rsid w:val="00697BAE"/>
    <w:rsid w:val="006B4DDC"/>
    <w:rsid w:val="006B5E55"/>
    <w:rsid w:val="006D25A1"/>
    <w:rsid w:val="006F6856"/>
    <w:rsid w:val="007145D0"/>
    <w:rsid w:val="00716F94"/>
    <w:rsid w:val="00760E12"/>
    <w:rsid w:val="00763CF3"/>
    <w:rsid w:val="00772293"/>
    <w:rsid w:val="00783A3C"/>
    <w:rsid w:val="00783C75"/>
    <w:rsid w:val="00784619"/>
    <w:rsid w:val="0078627B"/>
    <w:rsid w:val="00794E32"/>
    <w:rsid w:val="007B305A"/>
    <w:rsid w:val="00800993"/>
    <w:rsid w:val="00815C7D"/>
    <w:rsid w:val="00817941"/>
    <w:rsid w:val="008261AB"/>
    <w:rsid w:val="00835CA7"/>
    <w:rsid w:val="008370D4"/>
    <w:rsid w:val="008414AD"/>
    <w:rsid w:val="008428D9"/>
    <w:rsid w:val="00884DB9"/>
    <w:rsid w:val="0089676F"/>
    <w:rsid w:val="008A5AE7"/>
    <w:rsid w:val="008C67D2"/>
    <w:rsid w:val="008E0683"/>
    <w:rsid w:val="008F3543"/>
    <w:rsid w:val="00902DD9"/>
    <w:rsid w:val="00911486"/>
    <w:rsid w:val="009129CA"/>
    <w:rsid w:val="009206B6"/>
    <w:rsid w:val="009263C1"/>
    <w:rsid w:val="00931C02"/>
    <w:rsid w:val="00941B4F"/>
    <w:rsid w:val="00963CE3"/>
    <w:rsid w:val="00964F18"/>
    <w:rsid w:val="00974424"/>
    <w:rsid w:val="009759F3"/>
    <w:rsid w:val="00987F76"/>
    <w:rsid w:val="00993088"/>
    <w:rsid w:val="0099664F"/>
    <w:rsid w:val="00997D5D"/>
    <w:rsid w:val="009A0447"/>
    <w:rsid w:val="009B034F"/>
    <w:rsid w:val="009B4A51"/>
    <w:rsid w:val="009C28B1"/>
    <w:rsid w:val="009C61AD"/>
    <w:rsid w:val="009D373D"/>
    <w:rsid w:val="009E1D05"/>
    <w:rsid w:val="00A11B0C"/>
    <w:rsid w:val="00A305CE"/>
    <w:rsid w:val="00A33B35"/>
    <w:rsid w:val="00A36419"/>
    <w:rsid w:val="00A4281B"/>
    <w:rsid w:val="00A578C2"/>
    <w:rsid w:val="00A72652"/>
    <w:rsid w:val="00A75D1C"/>
    <w:rsid w:val="00A809AA"/>
    <w:rsid w:val="00A849B3"/>
    <w:rsid w:val="00A8510D"/>
    <w:rsid w:val="00A86AF3"/>
    <w:rsid w:val="00A90BDC"/>
    <w:rsid w:val="00A95477"/>
    <w:rsid w:val="00A975A9"/>
    <w:rsid w:val="00AA3192"/>
    <w:rsid w:val="00AB3608"/>
    <w:rsid w:val="00AC5C48"/>
    <w:rsid w:val="00AD670E"/>
    <w:rsid w:val="00AF0CF4"/>
    <w:rsid w:val="00AF2252"/>
    <w:rsid w:val="00B1129F"/>
    <w:rsid w:val="00B11D61"/>
    <w:rsid w:val="00B12F51"/>
    <w:rsid w:val="00B2751E"/>
    <w:rsid w:val="00B3650C"/>
    <w:rsid w:val="00B64BFA"/>
    <w:rsid w:val="00B85DE4"/>
    <w:rsid w:val="00B91A31"/>
    <w:rsid w:val="00BA6DB4"/>
    <w:rsid w:val="00BC3F3C"/>
    <w:rsid w:val="00BC5BB2"/>
    <w:rsid w:val="00BF3F54"/>
    <w:rsid w:val="00C00697"/>
    <w:rsid w:val="00C0376C"/>
    <w:rsid w:val="00C06D77"/>
    <w:rsid w:val="00C14BA6"/>
    <w:rsid w:val="00C347E7"/>
    <w:rsid w:val="00C3485C"/>
    <w:rsid w:val="00CA2004"/>
    <w:rsid w:val="00CB334D"/>
    <w:rsid w:val="00CB56D5"/>
    <w:rsid w:val="00CD0771"/>
    <w:rsid w:val="00CD1EA8"/>
    <w:rsid w:val="00CF5ABD"/>
    <w:rsid w:val="00CF63CE"/>
    <w:rsid w:val="00D067C1"/>
    <w:rsid w:val="00D13B13"/>
    <w:rsid w:val="00D16E78"/>
    <w:rsid w:val="00D201D3"/>
    <w:rsid w:val="00D26A64"/>
    <w:rsid w:val="00D328FA"/>
    <w:rsid w:val="00D330DD"/>
    <w:rsid w:val="00D4221A"/>
    <w:rsid w:val="00D52B9A"/>
    <w:rsid w:val="00D5367E"/>
    <w:rsid w:val="00D7285C"/>
    <w:rsid w:val="00D861ED"/>
    <w:rsid w:val="00D873E0"/>
    <w:rsid w:val="00D94F8B"/>
    <w:rsid w:val="00DA4EA9"/>
    <w:rsid w:val="00DA5988"/>
    <w:rsid w:val="00DC317C"/>
    <w:rsid w:val="00DC4FF2"/>
    <w:rsid w:val="00DC6EB9"/>
    <w:rsid w:val="00DC79CC"/>
    <w:rsid w:val="00E134F4"/>
    <w:rsid w:val="00E23568"/>
    <w:rsid w:val="00E245B5"/>
    <w:rsid w:val="00E24C20"/>
    <w:rsid w:val="00E33E1B"/>
    <w:rsid w:val="00E34D3E"/>
    <w:rsid w:val="00E81C5E"/>
    <w:rsid w:val="00E83B3C"/>
    <w:rsid w:val="00E8736B"/>
    <w:rsid w:val="00E90275"/>
    <w:rsid w:val="00E925D4"/>
    <w:rsid w:val="00E97226"/>
    <w:rsid w:val="00EB63B3"/>
    <w:rsid w:val="00ED6878"/>
    <w:rsid w:val="00EE054C"/>
    <w:rsid w:val="00EF0EC8"/>
    <w:rsid w:val="00EF33CD"/>
    <w:rsid w:val="00F300CB"/>
    <w:rsid w:val="00F42C3A"/>
    <w:rsid w:val="00F52BCC"/>
    <w:rsid w:val="00F5313F"/>
    <w:rsid w:val="00F57581"/>
    <w:rsid w:val="00F725B5"/>
    <w:rsid w:val="00F81A48"/>
    <w:rsid w:val="00FD17C9"/>
    <w:rsid w:val="00FD1EF0"/>
    <w:rsid w:val="00FD2A5B"/>
    <w:rsid w:val="00FD7941"/>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imberly.Burgess@hhs.gov" TargetMode="External"/><Relationship Id="rId4" Type="http://schemas.microsoft.com/office/2007/relationships/stylesWithEffects" Target="stylesWithEffects.xml"/><Relationship Id="rId9" Type="http://schemas.openxmlformats.org/officeDocument/2006/relationships/hyperlink" Target="mailto:Lindsey.Hutchison@h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86E37-D126-4A71-8DEA-638EE7CD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Funn, Sherrette (OS/ASA/OCIO/OEA)</cp:lastModifiedBy>
  <cp:revision>2</cp:revision>
  <cp:lastPrinted>2015-02-25T20:19:00Z</cp:lastPrinted>
  <dcterms:created xsi:type="dcterms:W3CDTF">2015-02-25T20:19:00Z</dcterms:created>
  <dcterms:modified xsi:type="dcterms:W3CDTF">2015-02-25T20:19:00Z</dcterms:modified>
</cp:coreProperties>
</file>