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5E801" w14:textId="77777777" w:rsidR="00716F94" w:rsidRDefault="00716F94" w:rsidP="00096441">
      <w:pPr>
        <w:pStyle w:val="B1BodyCopy"/>
      </w:pPr>
    </w:p>
    <w:p w14:paraId="0C0232DA" w14:textId="77777777" w:rsidR="009B4A51" w:rsidRDefault="009B4A51" w:rsidP="00716F94">
      <w:pPr>
        <w:spacing w:after="0"/>
        <w:rPr>
          <w:rFonts w:asciiTheme="majorHAnsi" w:hAnsiTheme="majorHAnsi"/>
          <w:b/>
        </w:rPr>
      </w:pPr>
    </w:p>
    <w:p w14:paraId="4B65896C" w14:textId="77777777" w:rsidR="009B4A51" w:rsidRDefault="009B4A51" w:rsidP="009B4A51">
      <w:pPr>
        <w:spacing w:after="0"/>
        <w:jc w:val="center"/>
        <w:rPr>
          <w:rFonts w:asciiTheme="majorHAnsi" w:hAnsiTheme="majorHAnsi"/>
          <w:b/>
        </w:rPr>
      </w:pPr>
    </w:p>
    <w:p w14:paraId="1155BEDE" w14:textId="77777777" w:rsidR="009B4A51" w:rsidRDefault="009B4A51" w:rsidP="009B4A51">
      <w:pPr>
        <w:spacing w:after="0"/>
        <w:jc w:val="center"/>
        <w:rPr>
          <w:rFonts w:asciiTheme="majorHAnsi" w:hAnsiTheme="majorHAnsi"/>
          <w:b/>
        </w:rPr>
      </w:pPr>
    </w:p>
    <w:p w14:paraId="2187FAD4" w14:textId="77777777" w:rsidR="009B4A51" w:rsidRDefault="009B4A51" w:rsidP="009B4A51">
      <w:pPr>
        <w:spacing w:after="0"/>
        <w:jc w:val="center"/>
        <w:rPr>
          <w:rFonts w:asciiTheme="majorHAnsi" w:hAnsiTheme="majorHAnsi"/>
          <w:color w:val="0033CC"/>
          <w:sz w:val="28"/>
        </w:rPr>
      </w:pPr>
    </w:p>
    <w:p w14:paraId="78AE68FC" w14:textId="77777777" w:rsidR="00667C89" w:rsidRDefault="00667C89" w:rsidP="009B4A51">
      <w:pPr>
        <w:spacing w:after="0"/>
        <w:jc w:val="center"/>
        <w:rPr>
          <w:rFonts w:asciiTheme="majorHAnsi" w:hAnsiTheme="majorHAnsi"/>
          <w:color w:val="0033CC"/>
          <w:sz w:val="28"/>
        </w:rPr>
      </w:pPr>
    </w:p>
    <w:p w14:paraId="55FE80CF" w14:textId="77777777" w:rsidR="009B4A51" w:rsidRDefault="009B4A51" w:rsidP="009B4A51">
      <w:pPr>
        <w:spacing w:after="0"/>
        <w:jc w:val="center"/>
        <w:rPr>
          <w:rFonts w:asciiTheme="majorHAnsi" w:hAnsiTheme="majorHAnsi"/>
          <w:sz w:val="32"/>
        </w:rPr>
      </w:pPr>
    </w:p>
    <w:p w14:paraId="1FA06961" w14:textId="77777777" w:rsidR="009B4A51" w:rsidRDefault="009B4A51" w:rsidP="009B4A51">
      <w:pPr>
        <w:spacing w:after="0"/>
        <w:jc w:val="center"/>
        <w:rPr>
          <w:rFonts w:asciiTheme="majorHAnsi" w:hAnsiTheme="majorHAnsi"/>
          <w:sz w:val="32"/>
        </w:rPr>
      </w:pPr>
    </w:p>
    <w:p w14:paraId="67F78275" w14:textId="77777777" w:rsidR="0052393C" w:rsidRPr="009B4A51" w:rsidRDefault="00552FDC" w:rsidP="0052393C">
      <w:pPr>
        <w:spacing w:after="0"/>
        <w:jc w:val="center"/>
        <w:rPr>
          <w:rFonts w:asciiTheme="majorHAnsi" w:hAnsiTheme="majorHAnsi"/>
          <w:b/>
          <w:sz w:val="40"/>
        </w:rPr>
      </w:pPr>
      <w:r>
        <w:rPr>
          <w:rFonts w:asciiTheme="majorHAnsi" w:hAnsiTheme="majorHAnsi"/>
          <w:b/>
          <w:sz w:val="40"/>
        </w:rPr>
        <w:t>A Scan of the Status of States’ Integration of Human Services and Health Insurance Programs</w:t>
      </w:r>
    </w:p>
    <w:p w14:paraId="1D54A2A4" w14:textId="77777777" w:rsidR="00AA3192" w:rsidRDefault="00AA3192" w:rsidP="00484011">
      <w:pPr>
        <w:spacing w:after="0"/>
        <w:jc w:val="center"/>
        <w:rPr>
          <w:rFonts w:asciiTheme="majorHAnsi" w:hAnsiTheme="majorHAnsi"/>
          <w:b/>
        </w:rPr>
      </w:pPr>
    </w:p>
    <w:p w14:paraId="52F022C7" w14:textId="77777777" w:rsidR="00716F94" w:rsidRPr="00AA3192" w:rsidRDefault="004331EC" w:rsidP="00484011">
      <w:pPr>
        <w:spacing w:after="0"/>
        <w:jc w:val="center"/>
        <w:rPr>
          <w:rFonts w:asciiTheme="majorHAnsi" w:hAnsiTheme="majorHAnsi"/>
        </w:rPr>
      </w:pPr>
      <w:proofErr w:type="spellStart"/>
      <w:r>
        <w:rPr>
          <w:rFonts w:asciiTheme="majorHAnsi" w:hAnsiTheme="majorHAnsi"/>
        </w:rPr>
        <w:t>ASPE</w:t>
      </w:r>
      <w:proofErr w:type="spellEnd"/>
      <w:r>
        <w:rPr>
          <w:rFonts w:asciiTheme="majorHAnsi" w:hAnsiTheme="majorHAnsi"/>
        </w:rPr>
        <w:t xml:space="preserve"> </w:t>
      </w:r>
      <w:r w:rsidR="00316F00">
        <w:rPr>
          <w:rFonts w:asciiTheme="majorHAnsi" w:hAnsiTheme="majorHAnsi"/>
        </w:rPr>
        <w:t>Generic Information Collection</w:t>
      </w:r>
      <w:r w:rsidR="00484011" w:rsidRPr="00AA3192">
        <w:rPr>
          <w:rFonts w:asciiTheme="majorHAnsi" w:hAnsiTheme="majorHAnsi"/>
        </w:rPr>
        <w:t xml:space="preserve"> Request</w:t>
      </w:r>
    </w:p>
    <w:p w14:paraId="617304C8" w14:textId="77777777" w:rsidR="00484011" w:rsidRPr="00AA3192" w:rsidRDefault="00484011" w:rsidP="00484011">
      <w:pPr>
        <w:pStyle w:val="Header"/>
        <w:tabs>
          <w:tab w:val="clear" w:pos="4680"/>
        </w:tabs>
        <w:jc w:val="center"/>
      </w:pPr>
      <w:r w:rsidRPr="00AA3192">
        <w:t>OMB No.</w:t>
      </w:r>
      <w:r w:rsidR="00050D67">
        <w:t xml:space="preserve"> 0990-0421</w:t>
      </w:r>
    </w:p>
    <w:p w14:paraId="148B5A5B" w14:textId="77777777" w:rsidR="009B4A51" w:rsidRDefault="009B4A51" w:rsidP="00716F94">
      <w:pPr>
        <w:spacing w:after="0"/>
        <w:rPr>
          <w:rFonts w:asciiTheme="majorHAnsi" w:hAnsiTheme="majorHAnsi"/>
          <w:b/>
        </w:rPr>
      </w:pPr>
    </w:p>
    <w:p w14:paraId="4116058A" w14:textId="77777777" w:rsidR="009B4A51" w:rsidRDefault="009B4A51" w:rsidP="00716F94">
      <w:pPr>
        <w:spacing w:after="0"/>
        <w:rPr>
          <w:rFonts w:asciiTheme="majorHAnsi" w:hAnsiTheme="majorHAnsi"/>
          <w:b/>
        </w:rPr>
      </w:pPr>
    </w:p>
    <w:p w14:paraId="04DF469E" w14:textId="77777777" w:rsidR="00AA3192" w:rsidRDefault="00AA3192" w:rsidP="00716F94">
      <w:pPr>
        <w:spacing w:after="0"/>
        <w:rPr>
          <w:rFonts w:asciiTheme="majorHAnsi" w:hAnsiTheme="majorHAnsi"/>
          <w:b/>
        </w:rPr>
      </w:pPr>
    </w:p>
    <w:p w14:paraId="04A4D9D1" w14:textId="77777777" w:rsidR="00AA3192" w:rsidRDefault="00AA3192" w:rsidP="00716F94">
      <w:pPr>
        <w:spacing w:after="0"/>
        <w:rPr>
          <w:rFonts w:asciiTheme="majorHAnsi" w:hAnsiTheme="majorHAnsi"/>
          <w:b/>
        </w:rPr>
      </w:pPr>
    </w:p>
    <w:p w14:paraId="4344E62A"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14:paraId="453EBEC9" w14:textId="77777777" w:rsidR="009B4A51" w:rsidRDefault="009B4A51" w:rsidP="00716F94">
      <w:pPr>
        <w:spacing w:after="0"/>
        <w:rPr>
          <w:rFonts w:asciiTheme="majorHAnsi" w:hAnsiTheme="majorHAnsi"/>
          <w:b/>
        </w:rPr>
      </w:pPr>
    </w:p>
    <w:p w14:paraId="132A0395" w14:textId="77777777" w:rsidR="00484011" w:rsidRDefault="00484011" w:rsidP="00716F94">
      <w:pPr>
        <w:spacing w:after="0"/>
        <w:rPr>
          <w:rFonts w:asciiTheme="majorHAnsi" w:hAnsiTheme="majorHAnsi"/>
          <w:b/>
        </w:rPr>
      </w:pPr>
    </w:p>
    <w:p w14:paraId="4DD82772" w14:textId="77777777" w:rsidR="00AA3192" w:rsidRDefault="00AA3192" w:rsidP="00716F94">
      <w:pPr>
        <w:spacing w:after="0"/>
        <w:rPr>
          <w:rFonts w:asciiTheme="majorHAnsi" w:hAnsiTheme="majorHAnsi"/>
          <w:b/>
        </w:rPr>
      </w:pPr>
    </w:p>
    <w:p w14:paraId="786E22B8" w14:textId="77777777" w:rsidR="009B4A51" w:rsidRDefault="009B4A51" w:rsidP="00716F94">
      <w:pPr>
        <w:spacing w:after="0"/>
        <w:rPr>
          <w:rFonts w:asciiTheme="majorHAnsi" w:hAnsiTheme="majorHAnsi"/>
          <w:b/>
        </w:rPr>
      </w:pPr>
    </w:p>
    <w:p w14:paraId="3436D2AC" w14:textId="77777777" w:rsidR="009B4A51" w:rsidRDefault="009B4A51" w:rsidP="00716F94">
      <w:pPr>
        <w:spacing w:after="0"/>
        <w:rPr>
          <w:rFonts w:asciiTheme="majorHAnsi" w:hAnsiTheme="majorHAnsi"/>
          <w:b/>
        </w:rPr>
      </w:pPr>
    </w:p>
    <w:p w14:paraId="363CE4A1" w14:textId="77777777" w:rsidR="00187D5A" w:rsidRDefault="00187D5A" w:rsidP="00716F94">
      <w:pPr>
        <w:spacing w:after="0"/>
        <w:rPr>
          <w:rFonts w:asciiTheme="majorHAnsi" w:hAnsiTheme="majorHAnsi"/>
          <w:b/>
        </w:rPr>
      </w:pPr>
    </w:p>
    <w:p w14:paraId="591BCDA7" w14:textId="2442AB70"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3C0149">
        <w:rPr>
          <w:rFonts w:asciiTheme="majorHAnsi" w:hAnsiTheme="majorHAnsi"/>
        </w:rPr>
        <w:t>March 1</w:t>
      </w:r>
      <w:r w:rsidR="00951E8F">
        <w:rPr>
          <w:rFonts w:asciiTheme="majorHAnsi" w:hAnsiTheme="majorHAnsi"/>
        </w:rPr>
        <w:t>4</w:t>
      </w:r>
      <w:r w:rsidR="003C0149">
        <w:rPr>
          <w:rFonts w:asciiTheme="majorHAnsi" w:hAnsiTheme="majorHAnsi"/>
        </w:rPr>
        <w:t>, 2016</w:t>
      </w:r>
    </w:p>
    <w:p w14:paraId="1AAD5F5B" w14:textId="77777777" w:rsidR="009B4A51" w:rsidRDefault="009B4A51" w:rsidP="00716F94">
      <w:pPr>
        <w:spacing w:after="0"/>
        <w:rPr>
          <w:rFonts w:asciiTheme="majorHAnsi" w:hAnsiTheme="majorHAnsi"/>
          <w:b/>
        </w:rPr>
      </w:pPr>
    </w:p>
    <w:p w14:paraId="082FD7D1" w14:textId="77777777" w:rsidR="009B4A51" w:rsidRDefault="009B4A51" w:rsidP="00716F94">
      <w:pPr>
        <w:spacing w:after="0"/>
        <w:rPr>
          <w:rFonts w:asciiTheme="majorHAnsi" w:hAnsiTheme="majorHAnsi"/>
          <w:b/>
        </w:rPr>
      </w:pPr>
    </w:p>
    <w:p w14:paraId="2E77116B" w14:textId="77777777" w:rsidR="009B4A51" w:rsidRDefault="009B4A51" w:rsidP="00716F94">
      <w:pPr>
        <w:spacing w:after="0"/>
        <w:rPr>
          <w:rFonts w:asciiTheme="majorHAnsi" w:hAnsiTheme="majorHAnsi"/>
          <w:b/>
        </w:rPr>
      </w:pPr>
    </w:p>
    <w:p w14:paraId="28E3FAF5" w14:textId="77777777" w:rsidR="00AA3192" w:rsidRDefault="00AA3192" w:rsidP="00716F94">
      <w:pPr>
        <w:spacing w:after="0"/>
        <w:rPr>
          <w:rFonts w:asciiTheme="majorHAnsi" w:hAnsiTheme="majorHAnsi"/>
          <w:b/>
        </w:rPr>
      </w:pPr>
    </w:p>
    <w:p w14:paraId="4D1F4E9D" w14:textId="77777777" w:rsidR="009B4A51" w:rsidRDefault="009B4A51" w:rsidP="00716F94">
      <w:pPr>
        <w:spacing w:after="0"/>
        <w:rPr>
          <w:rFonts w:asciiTheme="majorHAnsi" w:hAnsiTheme="majorHAnsi"/>
          <w:b/>
        </w:rPr>
      </w:pPr>
    </w:p>
    <w:p w14:paraId="4517AD0F" w14:textId="77777777" w:rsidR="00321B51" w:rsidRPr="006E4E73" w:rsidRDefault="00716F94" w:rsidP="000B0962">
      <w:pPr>
        <w:spacing w:after="0"/>
        <w:rPr>
          <w:rFonts w:asciiTheme="majorHAnsi" w:hAnsiTheme="majorHAnsi"/>
          <w:b/>
          <w:u w:val="single"/>
        </w:rPr>
      </w:pPr>
      <w:r w:rsidRPr="006E4E73">
        <w:rPr>
          <w:rFonts w:asciiTheme="majorHAnsi" w:hAnsiTheme="majorHAnsi"/>
          <w:b/>
          <w:u w:val="single"/>
        </w:rPr>
        <w:t>P</w:t>
      </w:r>
      <w:r w:rsidR="00667C89" w:rsidRPr="006E4E73">
        <w:rPr>
          <w:rFonts w:asciiTheme="majorHAnsi" w:hAnsiTheme="majorHAnsi"/>
          <w:b/>
          <w:u w:val="single"/>
        </w:rPr>
        <w:t>rogram Official/Project Officer</w:t>
      </w:r>
    </w:p>
    <w:p w14:paraId="3856F1FD" w14:textId="77777777" w:rsidR="00E17E0B" w:rsidRPr="006E4E73" w:rsidRDefault="00552FDC" w:rsidP="00E17E0B">
      <w:pPr>
        <w:spacing w:after="0" w:line="240" w:lineRule="auto"/>
        <w:rPr>
          <w:rFonts w:asciiTheme="majorHAnsi" w:hAnsiTheme="majorHAnsi" w:cs="Times New Roman"/>
          <w:bCs/>
        </w:rPr>
      </w:pPr>
      <w:r w:rsidRPr="006E4E73">
        <w:rPr>
          <w:rFonts w:asciiTheme="majorHAnsi" w:hAnsiTheme="majorHAnsi" w:cs="Times New Roman"/>
          <w:bCs/>
        </w:rPr>
        <w:t>Alana Landey</w:t>
      </w:r>
    </w:p>
    <w:p w14:paraId="7A8E5312" w14:textId="77777777" w:rsidR="00E17E0B" w:rsidRPr="006E4E73" w:rsidRDefault="00E17E0B" w:rsidP="00E17E0B">
      <w:pPr>
        <w:spacing w:after="0" w:line="240" w:lineRule="auto"/>
        <w:rPr>
          <w:rFonts w:asciiTheme="majorHAnsi" w:hAnsiTheme="majorHAnsi" w:cs="Times New Roman"/>
        </w:rPr>
      </w:pPr>
      <w:r w:rsidRPr="006E4E73">
        <w:rPr>
          <w:rFonts w:asciiTheme="majorHAnsi" w:hAnsiTheme="majorHAnsi" w:cs="Times New Roman"/>
        </w:rPr>
        <w:t>Social Science Analyst</w:t>
      </w:r>
    </w:p>
    <w:p w14:paraId="4115C36A" w14:textId="77777777" w:rsidR="00E17E0B" w:rsidRPr="006E4E73" w:rsidRDefault="00E17E0B" w:rsidP="00E17E0B">
      <w:pPr>
        <w:spacing w:after="0" w:line="240" w:lineRule="auto"/>
        <w:rPr>
          <w:rFonts w:asciiTheme="majorHAnsi" w:hAnsiTheme="majorHAnsi" w:cs="Times New Roman"/>
        </w:rPr>
      </w:pPr>
      <w:r w:rsidRPr="006E4E73">
        <w:rPr>
          <w:rFonts w:asciiTheme="majorHAnsi" w:hAnsiTheme="majorHAnsi" w:cs="Times New Roman"/>
        </w:rPr>
        <w:t>U.S. Department of Health and Human Services</w:t>
      </w:r>
    </w:p>
    <w:p w14:paraId="7AF6864E" w14:textId="77777777" w:rsidR="00E17E0B" w:rsidRPr="006E4E73" w:rsidRDefault="00E17E0B" w:rsidP="00E17E0B">
      <w:pPr>
        <w:spacing w:after="0" w:line="240" w:lineRule="auto"/>
        <w:rPr>
          <w:rFonts w:asciiTheme="majorHAnsi" w:hAnsiTheme="majorHAnsi" w:cs="Times New Roman"/>
        </w:rPr>
      </w:pPr>
      <w:r w:rsidRPr="006E4E73">
        <w:rPr>
          <w:rFonts w:asciiTheme="majorHAnsi" w:hAnsiTheme="majorHAnsi" w:cs="Times New Roman"/>
        </w:rPr>
        <w:t>Office of the Assistant Secretary for Planning and Evaluation</w:t>
      </w:r>
    </w:p>
    <w:p w14:paraId="5E8B6581" w14:textId="77777777" w:rsidR="00E17E0B" w:rsidRPr="006E4E73" w:rsidRDefault="00E17E0B" w:rsidP="00E17E0B">
      <w:pPr>
        <w:spacing w:after="0" w:line="240" w:lineRule="auto"/>
        <w:rPr>
          <w:rFonts w:asciiTheme="majorHAnsi" w:hAnsiTheme="majorHAnsi" w:cs="Times New Roman"/>
        </w:rPr>
      </w:pPr>
      <w:r w:rsidRPr="006E4E73">
        <w:rPr>
          <w:rFonts w:asciiTheme="majorHAnsi" w:hAnsiTheme="majorHAnsi" w:cs="Times New Roman"/>
        </w:rPr>
        <w:t>200 Independence Avenue SW, Washington DC 20201</w:t>
      </w:r>
    </w:p>
    <w:p w14:paraId="24C1F9C8" w14:textId="77777777" w:rsidR="00E17E0B" w:rsidRPr="006E4E73" w:rsidRDefault="00E17E0B" w:rsidP="00E17E0B">
      <w:pPr>
        <w:spacing w:after="0" w:line="240" w:lineRule="auto"/>
        <w:rPr>
          <w:rFonts w:asciiTheme="majorHAnsi" w:hAnsiTheme="majorHAnsi" w:cs="Times New Roman"/>
        </w:rPr>
      </w:pPr>
      <w:r w:rsidRPr="006E4E73">
        <w:rPr>
          <w:rFonts w:asciiTheme="majorHAnsi" w:hAnsiTheme="majorHAnsi" w:cs="Times New Roman"/>
        </w:rPr>
        <w:t xml:space="preserve">(202) </w:t>
      </w:r>
      <w:r w:rsidR="00552FDC" w:rsidRPr="006E4E73">
        <w:rPr>
          <w:rFonts w:asciiTheme="majorHAnsi" w:hAnsiTheme="majorHAnsi" w:cs="Times New Roman"/>
        </w:rPr>
        <w:t xml:space="preserve">401-6636 </w:t>
      </w:r>
    </w:p>
    <w:p w14:paraId="4098210F" w14:textId="77777777" w:rsidR="00E17E0B" w:rsidRPr="006E4E73" w:rsidRDefault="00404ADA" w:rsidP="00E17E0B">
      <w:pPr>
        <w:spacing w:after="0" w:line="240" w:lineRule="auto"/>
        <w:rPr>
          <w:rFonts w:asciiTheme="majorHAnsi" w:hAnsiTheme="majorHAnsi" w:cs="Times New Roman"/>
        </w:rPr>
      </w:pPr>
      <w:hyperlink r:id="rId12" w:history="1">
        <w:r w:rsidR="00552FDC" w:rsidRPr="006E4E73">
          <w:rPr>
            <w:rStyle w:val="Hyperlink"/>
            <w:rFonts w:asciiTheme="majorHAnsi" w:hAnsiTheme="majorHAnsi" w:cs="Times New Roman"/>
          </w:rPr>
          <w:t>alana.landey@hhs.gov</w:t>
        </w:r>
      </w:hyperlink>
    </w:p>
    <w:p w14:paraId="27390728" w14:textId="77777777" w:rsidR="00552FDC" w:rsidRDefault="00552FDC" w:rsidP="00E17E0B">
      <w:pPr>
        <w:spacing w:after="0" w:line="240" w:lineRule="auto"/>
        <w:rPr>
          <w:rFonts w:ascii="Times New Roman" w:hAnsi="Times New Roman" w:cs="Times New Roman"/>
        </w:rPr>
      </w:pPr>
    </w:p>
    <w:p w14:paraId="51D440AD" w14:textId="77777777" w:rsidR="00552FDC" w:rsidRDefault="00552FDC" w:rsidP="00E17E0B">
      <w:pPr>
        <w:spacing w:after="0" w:line="240" w:lineRule="auto"/>
        <w:rPr>
          <w:rFonts w:ascii="Times New Roman" w:hAnsi="Times New Roman" w:cs="Times New Roman"/>
        </w:rPr>
      </w:pPr>
    </w:p>
    <w:p w14:paraId="56C2210F" w14:textId="77777777" w:rsidR="00552FDC" w:rsidRPr="008324E6" w:rsidRDefault="00552FDC" w:rsidP="00E17E0B">
      <w:pPr>
        <w:spacing w:after="0" w:line="240" w:lineRule="auto"/>
        <w:rPr>
          <w:rFonts w:ascii="Times New Roman" w:hAnsi="Times New Roman" w:cs="Times New Roman"/>
        </w:rPr>
      </w:pPr>
    </w:p>
    <w:p w14:paraId="707B3216" w14:textId="77777777" w:rsidR="00CD1EA8" w:rsidRPr="00F52BCC" w:rsidRDefault="00CD1EA8" w:rsidP="00716F94">
      <w:pPr>
        <w:spacing w:after="0"/>
        <w:rPr>
          <w:rFonts w:asciiTheme="majorHAnsi" w:hAnsiTheme="majorHAnsi"/>
          <w:b/>
          <w:sz w:val="28"/>
        </w:rPr>
      </w:pPr>
      <w:r w:rsidRPr="00F52BCC">
        <w:rPr>
          <w:rFonts w:asciiTheme="majorHAnsi" w:hAnsiTheme="majorHAnsi"/>
          <w:b/>
          <w:sz w:val="28"/>
        </w:rPr>
        <w:lastRenderedPageBreak/>
        <w:t xml:space="preserve">Section </w:t>
      </w:r>
      <w:proofErr w:type="gramStart"/>
      <w:r w:rsidRPr="00F52BCC">
        <w:rPr>
          <w:rFonts w:asciiTheme="majorHAnsi" w:hAnsiTheme="majorHAnsi"/>
          <w:b/>
          <w:sz w:val="28"/>
        </w:rPr>
        <w:t>A</w:t>
      </w:r>
      <w:proofErr w:type="gramEnd"/>
      <w:r w:rsidR="00B12F51" w:rsidRPr="00F52BCC">
        <w:rPr>
          <w:rFonts w:asciiTheme="majorHAnsi" w:hAnsiTheme="majorHAnsi"/>
          <w:b/>
          <w:sz w:val="28"/>
        </w:rPr>
        <w:t xml:space="preserve"> – Justification</w:t>
      </w:r>
    </w:p>
    <w:p w14:paraId="413D5693" w14:textId="77777777" w:rsidR="00B12F51" w:rsidRDefault="00B12F51" w:rsidP="00716F94">
      <w:pPr>
        <w:spacing w:after="0"/>
        <w:rPr>
          <w:rFonts w:asciiTheme="majorHAnsi" w:hAnsiTheme="majorHAnsi"/>
          <w:b/>
        </w:rPr>
      </w:pPr>
    </w:p>
    <w:p w14:paraId="692F247C" w14:textId="77777777" w:rsidR="00CD1EA8" w:rsidRPr="000014EA" w:rsidRDefault="00B12F51" w:rsidP="000014EA">
      <w:pPr>
        <w:pStyle w:val="ListParagraph"/>
        <w:numPr>
          <w:ilvl w:val="0"/>
          <w:numId w:val="34"/>
        </w:numPr>
        <w:spacing w:after="0"/>
        <w:rPr>
          <w:rFonts w:asciiTheme="majorHAnsi" w:hAnsiTheme="majorHAnsi"/>
          <w:b/>
        </w:rPr>
      </w:pPr>
      <w:r w:rsidRPr="000014EA">
        <w:rPr>
          <w:rFonts w:asciiTheme="majorHAnsi" w:hAnsiTheme="majorHAnsi"/>
          <w:b/>
        </w:rPr>
        <w:t>Circumstances Making the Collection of Information Necessary</w:t>
      </w:r>
    </w:p>
    <w:p w14:paraId="50979624" w14:textId="77777777" w:rsidR="00E33E1B" w:rsidRDefault="00E33E1B" w:rsidP="009D373D">
      <w:pPr>
        <w:spacing w:after="0"/>
        <w:ind w:left="720"/>
        <w:rPr>
          <w:rFonts w:asciiTheme="majorHAnsi" w:hAnsiTheme="majorHAnsi"/>
          <w:b/>
        </w:rPr>
      </w:pPr>
    </w:p>
    <w:p w14:paraId="6267CEE6" w14:textId="77777777" w:rsidR="00F82F7A" w:rsidRPr="008B1891" w:rsidRDefault="00F82F7A" w:rsidP="00F82F7A">
      <w:pPr>
        <w:rPr>
          <w:rFonts w:asciiTheme="majorHAnsi" w:hAnsiTheme="majorHAnsi"/>
        </w:rPr>
      </w:pPr>
      <w:r w:rsidRPr="008B1891">
        <w:rPr>
          <w:rFonts w:asciiTheme="majorHAnsi" w:hAnsiTheme="majorHAnsi"/>
        </w:rPr>
        <w:t xml:space="preserve">The Patient Protection and Affordable Care Act </w:t>
      </w:r>
      <w:r w:rsidR="00E2340D">
        <w:rPr>
          <w:rFonts w:asciiTheme="majorHAnsi" w:hAnsiTheme="majorHAnsi"/>
        </w:rPr>
        <w:t xml:space="preserve">of 2010 </w:t>
      </w:r>
      <w:r w:rsidR="00E2340D" w:rsidRPr="008B1891">
        <w:rPr>
          <w:rFonts w:asciiTheme="majorHAnsi" w:hAnsiTheme="majorHAnsi"/>
        </w:rPr>
        <w:t>(</w:t>
      </w:r>
      <w:r w:rsidR="00E2340D">
        <w:rPr>
          <w:rFonts w:asciiTheme="majorHAnsi" w:hAnsiTheme="majorHAnsi"/>
        </w:rPr>
        <w:t xml:space="preserve">the </w:t>
      </w:r>
      <w:proofErr w:type="spellStart"/>
      <w:r w:rsidR="00E2340D" w:rsidRPr="008B1891">
        <w:rPr>
          <w:rFonts w:asciiTheme="majorHAnsi" w:hAnsiTheme="majorHAnsi"/>
        </w:rPr>
        <w:t>ACA</w:t>
      </w:r>
      <w:proofErr w:type="spellEnd"/>
      <w:r w:rsidR="00E2340D" w:rsidRPr="008B1891">
        <w:rPr>
          <w:rFonts w:asciiTheme="majorHAnsi" w:hAnsiTheme="majorHAnsi"/>
        </w:rPr>
        <w:t xml:space="preserve">) </w:t>
      </w:r>
      <w:r w:rsidRPr="008B1891">
        <w:rPr>
          <w:rFonts w:asciiTheme="majorHAnsi" w:hAnsiTheme="majorHAnsi"/>
        </w:rPr>
        <w:t>established or expanded health insurance affordability programs that the Congressional Budget Office expects to cover an estimated 29 million people by 2016.</w:t>
      </w:r>
      <w:r w:rsidRPr="008B1891">
        <w:rPr>
          <w:rStyle w:val="FootnoteReference"/>
          <w:rFonts w:asciiTheme="majorHAnsi" w:hAnsiTheme="majorHAnsi"/>
        </w:rPr>
        <w:footnoteReference w:id="1"/>
      </w:r>
      <w:r w:rsidRPr="008B1891">
        <w:rPr>
          <w:rFonts w:asciiTheme="majorHAnsi" w:hAnsiTheme="majorHAnsi"/>
        </w:rPr>
        <w:t xml:space="preserve"> Thirteen million additional people are projected to join Medicaid and the Children’s Health Insurance Program, 16 million will receive subsidies through newly created state health insurance Marketplaces, and 24 million more people will be insured than without the law.</w:t>
      </w:r>
      <w:r w:rsidRPr="008B1891">
        <w:rPr>
          <w:rStyle w:val="FootnoteReference"/>
          <w:rFonts w:asciiTheme="majorHAnsi" w:hAnsiTheme="majorHAnsi"/>
        </w:rPr>
        <w:footnoteReference w:id="2"/>
      </w:r>
      <w:r w:rsidRPr="008B1891">
        <w:rPr>
          <w:rFonts w:asciiTheme="majorHAnsi" w:hAnsiTheme="majorHAnsi"/>
        </w:rPr>
        <w:t xml:space="preserve"> Enacted against a background of growing public- and private-sector interest in integrating enrollment, retention, and eligibility determination across health and human services programs, the </w:t>
      </w:r>
      <w:proofErr w:type="spellStart"/>
      <w:r w:rsidRPr="008B1891">
        <w:rPr>
          <w:rFonts w:asciiTheme="majorHAnsi" w:hAnsiTheme="majorHAnsi"/>
        </w:rPr>
        <w:t>ACA</w:t>
      </w:r>
      <w:proofErr w:type="spellEnd"/>
      <w:r w:rsidRPr="008B1891">
        <w:rPr>
          <w:rFonts w:asciiTheme="majorHAnsi" w:hAnsiTheme="majorHAnsi"/>
        </w:rPr>
        <w:t xml:space="preserve"> also placed new emphasis on the importance of cross-program data sharing and integrated eligibility determination and enrollment processes.</w:t>
      </w:r>
      <w:r w:rsidRPr="008B1891">
        <w:rPr>
          <w:rStyle w:val="FootnoteReference"/>
          <w:rFonts w:asciiTheme="majorHAnsi" w:hAnsiTheme="majorHAnsi"/>
        </w:rPr>
        <w:footnoteReference w:id="3"/>
      </w:r>
      <w:r w:rsidRPr="008B1891">
        <w:rPr>
          <w:rFonts w:asciiTheme="majorHAnsi" w:hAnsiTheme="majorHAnsi"/>
        </w:rPr>
        <w:t xml:space="preserve"> The law encourages the use of electronic data (including data from other need-based programs) to qualify consumers for assistance whenever possible, and promotes program integration through the use of up-to-date information technology (IT) to improve consumer experience and streamline enrollment while lowering administrative costs and protecting program integrity.  </w:t>
      </w:r>
    </w:p>
    <w:p w14:paraId="43793601" w14:textId="77777777" w:rsidR="00F82F7A" w:rsidRPr="008B1891" w:rsidRDefault="00F82F7A" w:rsidP="00F82F7A">
      <w:pPr>
        <w:rPr>
          <w:rFonts w:asciiTheme="majorHAnsi" w:hAnsiTheme="majorHAnsi"/>
        </w:rPr>
      </w:pPr>
      <w:r w:rsidRPr="008B1891">
        <w:rPr>
          <w:rFonts w:asciiTheme="majorHAnsi" w:hAnsiTheme="majorHAnsi"/>
        </w:rPr>
        <w:t xml:space="preserve">Recent changes to federal rules further underline the key role of integration in achieving the goals of the </w:t>
      </w:r>
      <w:proofErr w:type="spellStart"/>
      <w:r w:rsidRPr="008B1891">
        <w:rPr>
          <w:rFonts w:asciiTheme="majorHAnsi" w:hAnsiTheme="majorHAnsi"/>
        </w:rPr>
        <w:t>ACA</w:t>
      </w:r>
      <w:proofErr w:type="spellEnd"/>
      <w:r w:rsidRPr="008B1891">
        <w:rPr>
          <w:rFonts w:asciiTheme="majorHAnsi" w:hAnsiTheme="majorHAnsi"/>
        </w:rPr>
        <w:t>. HHS recently announced a permanent extension of the enhanced 90 percent federal funding for multi-program eligibility and enrollment systems modernization, as well as an extension through 2018 of cost-allocation exceptions that relieve human services agencies of the need to share the costs of IT upgrades that improve eligibility determination for both health and human services programs.</w:t>
      </w:r>
      <w:r w:rsidRPr="008B1891">
        <w:rPr>
          <w:rStyle w:val="FootnoteReference"/>
          <w:rFonts w:asciiTheme="majorHAnsi" w:hAnsiTheme="majorHAnsi"/>
        </w:rPr>
        <w:footnoteReference w:id="4"/>
      </w:r>
      <w:r w:rsidRPr="008B1891">
        <w:rPr>
          <w:rFonts w:asciiTheme="majorHAnsi" w:hAnsiTheme="majorHAnsi"/>
        </w:rPr>
        <w:t xml:space="preserve"> HHS’ Centers for Medicare and Medicaid Services (CMS) issued guidance encouraging targeted strategies for enrolling eligible individuals in Medicaid, including the use of Supplemental Nutrition Assistance Program (SNAP) data to get SNAP recipients enrolled, an approach that is now being used by several states.</w:t>
      </w:r>
      <w:r w:rsidRPr="008B1891">
        <w:rPr>
          <w:rStyle w:val="FootnoteReference"/>
          <w:rFonts w:asciiTheme="majorHAnsi" w:hAnsiTheme="majorHAnsi"/>
        </w:rPr>
        <w:footnoteReference w:id="5"/>
      </w:r>
      <w:r w:rsidRPr="008B1891">
        <w:rPr>
          <w:rFonts w:asciiTheme="majorHAnsi" w:hAnsiTheme="majorHAnsi"/>
        </w:rPr>
        <w:t xml:space="preserve">  </w:t>
      </w:r>
    </w:p>
    <w:p w14:paraId="1C19A626" w14:textId="77777777" w:rsidR="00F82F7A" w:rsidRPr="008B1891" w:rsidRDefault="00F82F7A" w:rsidP="00F82F7A">
      <w:pPr>
        <w:rPr>
          <w:rFonts w:asciiTheme="majorHAnsi" w:hAnsiTheme="majorHAnsi"/>
        </w:rPr>
      </w:pPr>
      <w:r w:rsidRPr="008B1891">
        <w:rPr>
          <w:rFonts w:asciiTheme="majorHAnsi" w:hAnsiTheme="majorHAnsi"/>
        </w:rPr>
        <w:t>The growing commitment to cross-program integration is reflected in many other efforts as well, including the American Public Human Services Association’s National Collaborative for the Integration of Health and Human Services (previously the National Workgroup on Integration),</w:t>
      </w:r>
      <w:r w:rsidRPr="008B1891">
        <w:rPr>
          <w:rStyle w:val="FootnoteReference"/>
          <w:rFonts w:asciiTheme="majorHAnsi" w:hAnsiTheme="majorHAnsi"/>
        </w:rPr>
        <w:footnoteReference w:id="6"/>
      </w:r>
      <w:r w:rsidRPr="008B1891">
        <w:rPr>
          <w:rFonts w:asciiTheme="majorHAnsi" w:hAnsiTheme="majorHAnsi"/>
        </w:rPr>
        <w:t xml:space="preserve">  the Work Support Strategies Project supported by the Ford Foundation and other philanthropies,</w:t>
      </w:r>
      <w:r w:rsidRPr="008B1891">
        <w:rPr>
          <w:rStyle w:val="FootnoteReference"/>
          <w:rFonts w:asciiTheme="majorHAnsi" w:hAnsiTheme="majorHAnsi"/>
        </w:rPr>
        <w:footnoteReference w:id="7"/>
      </w:r>
      <w:r w:rsidRPr="008B1891">
        <w:rPr>
          <w:rFonts w:asciiTheme="majorHAnsi" w:hAnsiTheme="majorHAnsi"/>
        </w:rPr>
        <w:t xml:space="preserve"> </w:t>
      </w:r>
      <w:proofErr w:type="spellStart"/>
      <w:r w:rsidRPr="008B1891">
        <w:rPr>
          <w:rFonts w:asciiTheme="majorHAnsi" w:hAnsiTheme="majorHAnsi"/>
        </w:rPr>
        <w:t>ACF’s</w:t>
      </w:r>
      <w:proofErr w:type="spellEnd"/>
      <w:r w:rsidRPr="008B1891">
        <w:rPr>
          <w:rFonts w:asciiTheme="majorHAnsi" w:hAnsiTheme="majorHAnsi"/>
        </w:rPr>
        <w:t xml:space="preserve"> National Human Services Interoperability Architecture, the OMB Partnership Fund for </w:t>
      </w:r>
      <w:r w:rsidRPr="008B1891">
        <w:rPr>
          <w:rFonts w:asciiTheme="majorHAnsi" w:hAnsiTheme="majorHAnsi"/>
        </w:rPr>
        <w:lastRenderedPageBreak/>
        <w:t>Program Integrity Innovation, and the National Information Exchange Model. The Center on Budget and Policy Priorities recently profiled several states that are using technology and services innovations to support multi-program integration.</w:t>
      </w:r>
      <w:r w:rsidRPr="008B1891">
        <w:rPr>
          <w:rStyle w:val="FootnoteReference"/>
          <w:rFonts w:asciiTheme="majorHAnsi" w:hAnsiTheme="majorHAnsi"/>
        </w:rPr>
        <w:footnoteReference w:id="8"/>
      </w:r>
      <w:r w:rsidRPr="008B1891">
        <w:rPr>
          <w:rFonts w:asciiTheme="majorHAnsi" w:hAnsiTheme="majorHAnsi"/>
        </w:rPr>
        <w:t xml:space="preserve"> HHS/ASPE has invested in a body of research into cross-program integration,</w:t>
      </w:r>
      <w:r w:rsidRPr="008B1891">
        <w:rPr>
          <w:rStyle w:val="FootnoteReference"/>
          <w:rFonts w:asciiTheme="majorHAnsi" w:hAnsiTheme="majorHAnsi"/>
        </w:rPr>
        <w:footnoteReference w:id="9"/>
      </w:r>
      <w:r w:rsidRPr="008B1891">
        <w:rPr>
          <w:rFonts w:asciiTheme="majorHAnsi" w:hAnsiTheme="majorHAnsi"/>
        </w:rPr>
        <w:t xml:space="preserve"> on which the current </w:t>
      </w:r>
      <w:r w:rsidR="00050D67">
        <w:rPr>
          <w:rFonts w:asciiTheme="majorHAnsi" w:hAnsiTheme="majorHAnsi"/>
        </w:rPr>
        <w:t>information collection effort will build</w:t>
      </w:r>
      <w:r w:rsidRPr="008B1891">
        <w:rPr>
          <w:rFonts w:asciiTheme="majorHAnsi" w:hAnsiTheme="majorHAnsi"/>
        </w:rPr>
        <w:t xml:space="preserve">.  </w:t>
      </w:r>
    </w:p>
    <w:p w14:paraId="1F07B4DB" w14:textId="77777777" w:rsidR="00F82F7A" w:rsidRPr="008B1891" w:rsidRDefault="00F82F7A" w:rsidP="00F82F7A">
      <w:pPr>
        <w:rPr>
          <w:rFonts w:asciiTheme="majorHAnsi" w:hAnsiTheme="majorHAnsi"/>
        </w:rPr>
      </w:pPr>
      <w:r w:rsidRPr="008B1891">
        <w:rPr>
          <w:rFonts w:asciiTheme="majorHAnsi" w:hAnsiTheme="majorHAnsi"/>
        </w:rPr>
        <w:t>Data on program population overlaps underscore the importance and potential of multi-program integration. If all states expanded Medicaid eligibility, 96 percent of (SNAP) recipients and 99 percent of Temporary Assistance for Needy Families (</w:t>
      </w:r>
      <w:proofErr w:type="spellStart"/>
      <w:r w:rsidRPr="008B1891">
        <w:rPr>
          <w:rFonts w:asciiTheme="majorHAnsi" w:hAnsiTheme="majorHAnsi"/>
        </w:rPr>
        <w:t>TANF</w:t>
      </w:r>
      <w:proofErr w:type="spellEnd"/>
      <w:r w:rsidRPr="008B1891">
        <w:rPr>
          <w:rFonts w:asciiTheme="majorHAnsi" w:hAnsiTheme="majorHAnsi"/>
        </w:rPr>
        <w:t>) recipients would be eligible for Medicaid. The Earned Income Tax Credit (</w:t>
      </w:r>
      <w:proofErr w:type="spellStart"/>
      <w:r w:rsidRPr="008B1891">
        <w:rPr>
          <w:rFonts w:asciiTheme="majorHAnsi" w:hAnsiTheme="majorHAnsi"/>
        </w:rPr>
        <w:t>EITC</w:t>
      </w:r>
      <w:proofErr w:type="spellEnd"/>
      <w:r w:rsidRPr="008B1891">
        <w:rPr>
          <w:rFonts w:asciiTheme="majorHAnsi" w:hAnsiTheme="majorHAnsi"/>
        </w:rPr>
        <w:t>), SNAP, and the Low Income Home Energy Assistance Program (</w:t>
      </w:r>
      <w:proofErr w:type="spellStart"/>
      <w:r w:rsidRPr="008B1891">
        <w:rPr>
          <w:rFonts w:asciiTheme="majorHAnsi" w:hAnsiTheme="majorHAnsi"/>
        </w:rPr>
        <w:t>LIHEAP</w:t>
      </w:r>
      <w:proofErr w:type="spellEnd"/>
      <w:r w:rsidRPr="008B1891">
        <w:rPr>
          <w:rFonts w:asciiTheme="majorHAnsi" w:hAnsiTheme="majorHAnsi"/>
        </w:rPr>
        <w:t>) would serve 40, 39, and 15 percent of newly eligible Medicaid adults, respectively.</w:t>
      </w:r>
      <w:r w:rsidRPr="008B1891">
        <w:rPr>
          <w:rStyle w:val="FootnoteReference"/>
          <w:rFonts w:asciiTheme="majorHAnsi" w:hAnsiTheme="majorHAnsi"/>
        </w:rPr>
        <w:footnoteReference w:id="10"/>
      </w:r>
      <w:r w:rsidRPr="008B1891">
        <w:rPr>
          <w:rFonts w:asciiTheme="majorHAnsi" w:hAnsiTheme="majorHAnsi"/>
        </w:rPr>
        <w:t xml:space="preserve"> These overlaps provide opportunities for targeted outreach and enrollment efforts to reduce the number of uninsured Americans and help eligible individuals get the human services benefits for which they qualify.  </w:t>
      </w:r>
    </w:p>
    <w:p w14:paraId="05B2001E" w14:textId="77777777" w:rsidR="00CB7F01" w:rsidRDefault="005217B0" w:rsidP="00CB7F01">
      <w:pPr>
        <w:rPr>
          <w:rFonts w:asciiTheme="majorHAnsi" w:hAnsiTheme="majorHAnsi"/>
        </w:rPr>
      </w:pPr>
      <w:r>
        <w:rPr>
          <w:rFonts w:asciiTheme="majorHAnsi" w:hAnsiTheme="majorHAnsi"/>
        </w:rPr>
        <w:t>A</w:t>
      </w:r>
      <w:r w:rsidR="00F82F7A" w:rsidRPr="008B1891">
        <w:rPr>
          <w:rFonts w:asciiTheme="majorHAnsi" w:hAnsiTheme="majorHAnsi"/>
        </w:rPr>
        <w:t xml:space="preserve"> number of states have achieved considerable success at integrating program arenas before, during and after the two health insurance open enrollment periods of 2014 and 2015.</w:t>
      </w:r>
      <w:r w:rsidR="00F82F7A" w:rsidRPr="008B1891">
        <w:rPr>
          <w:rStyle w:val="FootnoteReference"/>
          <w:rFonts w:asciiTheme="majorHAnsi" w:hAnsiTheme="majorHAnsi"/>
        </w:rPr>
        <w:footnoteReference w:id="11"/>
      </w:r>
      <w:r w:rsidR="00F82F7A" w:rsidRPr="008B1891">
        <w:rPr>
          <w:rFonts w:asciiTheme="majorHAnsi" w:hAnsiTheme="majorHAnsi"/>
        </w:rPr>
        <w:t xml:space="preserve"> As states take advantage of the extended enhanced funding and cost allocation exception and continue to evolve administrative capacity to help their low-income clients obtain a comprehensive range of supports, more states will be able to focus additional resources on integration activities. Many of the state human services agencies utilizing the cost allocation exception have carried out much of the work required to modernize shared eligibility systems.</w:t>
      </w:r>
      <w:r w:rsidR="00F82F7A" w:rsidRPr="008B1891">
        <w:rPr>
          <w:rStyle w:val="FootnoteReference"/>
          <w:rFonts w:asciiTheme="majorHAnsi" w:hAnsiTheme="majorHAnsi"/>
        </w:rPr>
        <w:footnoteReference w:id="12"/>
      </w:r>
      <w:r w:rsidR="00F82F7A" w:rsidRPr="008B1891">
        <w:rPr>
          <w:rFonts w:asciiTheme="majorHAnsi" w:hAnsiTheme="majorHAnsi"/>
        </w:rPr>
        <w:t xml:space="preserve">   </w:t>
      </w:r>
    </w:p>
    <w:p w14:paraId="18BB281D" w14:textId="76EBC84C" w:rsidR="00CB7F01" w:rsidRPr="008B1891" w:rsidRDefault="00CB7F01" w:rsidP="00F82F7A">
      <w:pPr>
        <w:rPr>
          <w:rFonts w:asciiTheme="majorHAnsi" w:hAnsiTheme="majorHAnsi"/>
        </w:rPr>
      </w:pPr>
      <w:r>
        <w:rPr>
          <w:rFonts w:asciiTheme="majorHAnsi" w:hAnsiTheme="majorHAnsi"/>
        </w:rPr>
        <w:t xml:space="preserve">In 2015, </w:t>
      </w:r>
      <w:proofErr w:type="spellStart"/>
      <w:r>
        <w:rPr>
          <w:rFonts w:asciiTheme="majorHAnsi" w:hAnsiTheme="majorHAnsi"/>
        </w:rPr>
        <w:t>ASPE</w:t>
      </w:r>
      <w:proofErr w:type="spellEnd"/>
      <w:r>
        <w:rPr>
          <w:rFonts w:asciiTheme="majorHAnsi" w:hAnsiTheme="majorHAnsi"/>
        </w:rPr>
        <w:t xml:space="preserve"> and HHS’ Administration for Children and Families (ACF) co-</w:t>
      </w:r>
      <w:proofErr w:type="spellStart"/>
      <w:r>
        <w:rPr>
          <w:rFonts w:asciiTheme="majorHAnsi" w:hAnsiTheme="majorHAnsi"/>
        </w:rPr>
        <w:t>funded</w:t>
      </w:r>
      <w:proofErr w:type="spellEnd"/>
      <w:r>
        <w:rPr>
          <w:rFonts w:asciiTheme="majorHAnsi" w:hAnsiTheme="majorHAnsi"/>
        </w:rPr>
        <w:t xml:space="preserve"> a new project, “A Scan of the Status of States’ Integration of Human Services and Health Insurance Programs” to assess the extent of states’ cross-program integration activities.  A key componen</w:t>
      </w:r>
      <w:r w:rsidR="003C0149">
        <w:rPr>
          <w:rFonts w:asciiTheme="majorHAnsi" w:hAnsiTheme="majorHAnsi"/>
        </w:rPr>
        <w:t>t of this project is an online assessment</w:t>
      </w:r>
      <w:r>
        <w:rPr>
          <w:rFonts w:asciiTheme="majorHAnsi" w:hAnsiTheme="majorHAnsi"/>
        </w:rPr>
        <w:t xml:space="preserve"> of state human services agency officials that will collect qualitative information on the current</w:t>
      </w:r>
      <w:r w:rsidRPr="008B1891">
        <w:rPr>
          <w:rFonts w:asciiTheme="majorHAnsi" w:hAnsiTheme="majorHAnsi"/>
        </w:rPr>
        <w:t xml:space="preserve"> status of </w:t>
      </w:r>
      <w:r>
        <w:rPr>
          <w:rFonts w:asciiTheme="majorHAnsi" w:hAnsiTheme="majorHAnsi"/>
        </w:rPr>
        <w:t xml:space="preserve">states’ </w:t>
      </w:r>
      <w:r w:rsidRPr="008B1891">
        <w:rPr>
          <w:rFonts w:asciiTheme="majorHAnsi" w:hAnsiTheme="majorHAnsi"/>
        </w:rPr>
        <w:t xml:space="preserve">integration efforts, goals for further integration, and </w:t>
      </w:r>
      <w:r>
        <w:rPr>
          <w:rFonts w:asciiTheme="majorHAnsi" w:hAnsiTheme="majorHAnsi"/>
        </w:rPr>
        <w:t xml:space="preserve">information on </w:t>
      </w:r>
      <w:r w:rsidRPr="008B1891">
        <w:rPr>
          <w:rFonts w:asciiTheme="majorHAnsi" w:hAnsiTheme="majorHAnsi"/>
        </w:rPr>
        <w:t>the kinds of technical assistance and other supports states most need from the federal government to help meet those goals</w:t>
      </w:r>
      <w:r>
        <w:rPr>
          <w:rFonts w:asciiTheme="majorHAnsi" w:hAnsiTheme="majorHAnsi"/>
        </w:rPr>
        <w:t xml:space="preserve">.  Senior political leadership in </w:t>
      </w:r>
      <w:proofErr w:type="spellStart"/>
      <w:r>
        <w:rPr>
          <w:rFonts w:asciiTheme="majorHAnsi" w:hAnsiTheme="majorHAnsi"/>
        </w:rPr>
        <w:t>ASPE</w:t>
      </w:r>
      <w:proofErr w:type="spellEnd"/>
      <w:r>
        <w:rPr>
          <w:rFonts w:asciiTheme="majorHAnsi" w:hAnsiTheme="majorHAnsi"/>
        </w:rPr>
        <w:t xml:space="preserve"> and ACF </w:t>
      </w:r>
      <w:r w:rsidR="00563547">
        <w:rPr>
          <w:rFonts w:asciiTheme="majorHAnsi" w:hAnsiTheme="majorHAnsi"/>
        </w:rPr>
        <w:t>has</w:t>
      </w:r>
      <w:r>
        <w:rPr>
          <w:rFonts w:asciiTheme="majorHAnsi" w:hAnsiTheme="majorHAnsi"/>
        </w:rPr>
        <w:t xml:space="preserve"> guided the focus of this work to inform these high-priority issues.  This information collection request seeks OMB’s approval to conduct</w:t>
      </w:r>
      <w:r w:rsidR="00563547">
        <w:rPr>
          <w:rFonts w:asciiTheme="majorHAnsi" w:hAnsiTheme="majorHAnsi"/>
        </w:rPr>
        <w:t xml:space="preserve"> the qualitative </w:t>
      </w:r>
      <w:r>
        <w:rPr>
          <w:rFonts w:asciiTheme="majorHAnsi" w:hAnsiTheme="majorHAnsi"/>
        </w:rPr>
        <w:t xml:space="preserve">online </w:t>
      </w:r>
      <w:r w:rsidR="003C0149">
        <w:rPr>
          <w:rFonts w:asciiTheme="majorHAnsi" w:hAnsiTheme="majorHAnsi"/>
        </w:rPr>
        <w:t>assessment via questionnaire</w:t>
      </w:r>
      <w:r>
        <w:rPr>
          <w:rFonts w:asciiTheme="majorHAnsi" w:hAnsiTheme="majorHAnsi"/>
        </w:rPr>
        <w:t xml:space="preserve">. </w:t>
      </w:r>
    </w:p>
    <w:p w14:paraId="5EFE9043" w14:textId="77777777" w:rsidR="00E2340D" w:rsidRPr="00E2340D" w:rsidRDefault="00E2340D" w:rsidP="00E2340D">
      <w:pPr>
        <w:pStyle w:val="ListParagraph"/>
        <w:numPr>
          <w:ilvl w:val="0"/>
          <w:numId w:val="34"/>
        </w:numPr>
        <w:spacing w:after="0"/>
        <w:rPr>
          <w:rFonts w:asciiTheme="majorHAnsi" w:hAnsiTheme="majorHAnsi"/>
          <w:b/>
        </w:rPr>
      </w:pPr>
      <w:r w:rsidRPr="00E2340D">
        <w:rPr>
          <w:rFonts w:asciiTheme="majorHAnsi" w:hAnsiTheme="majorHAnsi"/>
          <w:b/>
        </w:rPr>
        <w:t>Purpose and Use of the Information Collection</w:t>
      </w:r>
    </w:p>
    <w:p w14:paraId="66F14F3A" w14:textId="77777777" w:rsidR="00E2340D" w:rsidRDefault="00E2340D" w:rsidP="00E2340D">
      <w:pPr>
        <w:spacing w:after="0"/>
        <w:rPr>
          <w:rFonts w:asciiTheme="majorHAnsi" w:hAnsiTheme="majorHAnsi"/>
        </w:rPr>
      </w:pPr>
    </w:p>
    <w:p w14:paraId="52794BB2" w14:textId="77777777" w:rsidR="00E2340D" w:rsidRDefault="00E2340D" w:rsidP="00E2340D">
      <w:pPr>
        <w:spacing w:after="0"/>
        <w:rPr>
          <w:rFonts w:asciiTheme="majorHAnsi" w:hAnsiTheme="majorHAnsi"/>
        </w:rPr>
      </w:pPr>
      <w:r>
        <w:rPr>
          <w:rFonts w:asciiTheme="majorHAnsi" w:hAnsiTheme="majorHAnsi"/>
        </w:rPr>
        <w:t>The purposes of this data collection are to:</w:t>
      </w:r>
    </w:p>
    <w:p w14:paraId="1259CD86" w14:textId="77777777" w:rsidR="00E2340D" w:rsidRDefault="000F2039" w:rsidP="00E2340D">
      <w:pPr>
        <w:pStyle w:val="ListParagraph"/>
        <w:numPr>
          <w:ilvl w:val="0"/>
          <w:numId w:val="36"/>
        </w:numPr>
        <w:spacing w:after="0"/>
        <w:rPr>
          <w:rFonts w:asciiTheme="majorHAnsi" w:hAnsiTheme="majorHAnsi"/>
        </w:rPr>
      </w:pPr>
      <w:r>
        <w:rPr>
          <w:rFonts w:asciiTheme="majorHAnsi" w:hAnsiTheme="majorHAnsi"/>
        </w:rPr>
        <w:lastRenderedPageBreak/>
        <w:t xml:space="preserve">Identify the extent to which state human services agencies are currently integrating their </w:t>
      </w:r>
      <w:r w:rsidR="00816706">
        <w:rPr>
          <w:rFonts w:asciiTheme="majorHAnsi" w:hAnsiTheme="majorHAnsi"/>
        </w:rPr>
        <w:t xml:space="preserve">enrollment and eligibility systems and program entry processes across human services </w:t>
      </w:r>
      <w:r>
        <w:rPr>
          <w:rFonts w:asciiTheme="majorHAnsi" w:hAnsiTheme="majorHAnsi"/>
        </w:rPr>
        <w:t xml:space="preserve">programs </w:t>
      </w:r>
      <w:r w:rsidR="00816706">
        <w:rPr>
          <w:rFonts w:asciiTheme="majorHAnsi" w:hAnsiTheme="majorHAnsi"/>
        </w:rPr>
        <w:t xml:space="preserve">and </w:t>
      </w:r>
      <w:r>
        <w:rPr>
          <w:rFonts w:asciiTheme="majorHAnsi" w:hAnsiTheme="majorHAnsi"/>
        </w:rPr>
        <w:t>with Medicaid and state health insurance Marketplaces.</w:t>
      </w:r>
    </w:p>
    <w:p w14:paraId="1A2E49B3" w14:textId="77777777" w:rsidR="000F2039" w:rsidRDefault="000F2039" w:rsidP="00E2340D">
      <w:pPr>
        <w:pStyle w:val="ListParagraph"/>
        <w:numPr>
          <w:ilvl w:val="0"/>
          <w:numId w:val="36"/>
        </w:numPr>
        <w:spacing w:after="0"/>
        <w:rPr>
          <w:rFonts w:asciiTheme="majorHAnsi" w:hAnsiTheme="majorHAnsi"/>
        </w:rPr>
      </w:pPr>
      <w:r>
        <w:rPr>
          <w:rFonts w:asciiTheme="majorHAnsi" w:hAnsiTheme="majorHAnsi"/>
        </w:rPr>
        <w:t>Identify plans states have to further integrate across program areas.</w:t>
      </w:r>
    </w:p>
    <w:p w14:paraId="7CCE1E75" w14:textId="6F672C2E" w:rsidR="000F2039" w:rsidRDefault="000F2039" w:rsidP="00E2340D">
      <w:pPr>
        <w:pStyle w:val="ListParagraph"/>
        <w:numPr>
          <w:ilvl w:val="0"/>
          <w:numId w:val="36"/>
        </w:numPr>
        <w:spacing w:after="0"/>
        <w:rPr>
          <w:rFonts w:asciiTheme="majorHAnsi" w:hAnsiTheme="majorHAnsi"/>
        </w:rPr>
      </w:pPr>
      <w:r>
        <w:rPr>
          <w:rFonts w:asciiTheme="majorHAnsi" w:hAnsiTheme="majorHAnsi"/>
        </w:rPr>
        <w:t xml:space="preserve">Gain insight into state human services agencies’ governance and leadership approaches to </w:t>
      </w:r>
      <w:r w:rsidR="00816706">
        <w:rPr>
          <w:rFonts w:asciiTheme="majorHAnsi" w:hAnsiTheme="majorHAnsi"/>
        </w:rPr>
        <w:t>sharing data across programs</w:t>
      </w:r>
      <w:r>
        <w:rPr>
          <w:rFonts w:asciiTheme="majorHAnsi" w:hAnsiTheme="majorHAnsi"/>
        </w:rPr>
        <w:t xml:space="preserve">.  </w:t>
      </w:r>
    </w:p>
    <w:p w14:paraId="0A7364D2" w14:textId="77777777" w:rsidR="000F2039" w:rsidRDefault="000F2039" w:rsidP="00E2340D">
      <w:pPr>
        <w:pStyle w:val="ListParagraph"/>
        <w:numPr>
          <w:ilvl w:val="0"/>
          <w:numId w:val="36"/>
        </w:numPr>
        <w:spacing w:after="0"/>
        <w:rPr>
          <w:rFonts w:asciiTheme="majorHAnsi" w:hAnsiTheme="majorHAnsi"/>
        </w:rPr>
      </w:pPr>
      <w:r>
        <w:rPr>
          <w:rFonts w:asciiTheme="majorHAnsi" w:hAnsiTheme="majorHAnsi"/>
        </w:rPr>
        <w:t>Determine state human services agencies’ needs for technical assistance to further advance their integration efforts.</w:t>
      </w:r>
    </w:p>
    <w:p w14:paraId="07EF7893" w14:textId="77777777" w:rsidR="00A12C43" w:rsidRDefault="00A12C43" w:rsidP="00A12C43">
      <w:pPr>
        <w:spacing w:after="0"/>
        <w:rPr>
          <w:rFonts w:asciiTheme="majorHAnsi" w:hAnsiTheme="majorHAnsi"/>
        </w:rPr>
      </w:pPr>
    </w:p>
    <w:p w14:paraId="08F1604B" w14:textId="2BC04E43" w:rsidR="00A12C43" w:rsidRDefault="00A12C43" w:rsidP="00A12C43">
      <w:pPr>
        <w:spacing w:after="0"/>
        <w:rPr>
          <w:rFonts w:asciiTheme="majorHAnsi" w:hAnsiTheme="majorHAnsi"/>
        </w:rPr>
      </w:pPr>
      <w:r>
        <w:rPr>
          <w:rFonts w:asciiTheme="majorHAnsi" w:hAnsiTheme="majorHAnsi"/>
        </w:rPr>
        <w:t xml:space="preserve">We will collect this </w:t>
      </w:r>
      <w:r w:rsidR="003C0149">
        <w:rPr>
          <w:rFonts w:asciiTheme="majorHAnsi" w:hAnsiTheme="majorHAnsi"/>
        </w:rPr>
        <w:t>i</w:t>
      </w:r>
      <w:r>
        <w:rPr>
          <w:rFonts w:asciiTheme="majorHAnsi" w:hAnsiTheme="majorHAnsi"/>
        </w:rPr>
        <w:t xml:space="preserve">nformation from state human services agency officials through a Web-based, electronic </w:t>
      </w:r>
      <w:r w:rsidR="003C0149">
        <w:rPr>
          <w:rFonts w:asciiTheme="majorHAnsi" w:hAnsiTheme="majorHAnsi"/>
        </w:rPr>
        <w:t>questionnaire</w:t>
      </w:r>
      <w:r>
        <w:rPr>
          <w:rFonts w:asciiTheme="majorHAnsi" w:hAnsiTheme="majorHAnsi"/>
        </w:rPr>
        <w:t xml:space="preserve"> using a mix of closed-ended and some open-ended questions.  Respondents will be directors of state human services agencies or their designees, and possibly additional </w:t>
      </w:r>
      <w:proofErr w:type="gramStart"/>
      <w:r>
        <w:rPr>
          <w:rFonts w:asciiTheme="majorHAnsi" w:hAnsiTheme="majorHAnsi"/>
        </w:rPr>
        <w:t>staff</w:t>
      </w:r>
      <w:proofErr w:type="gramEnd"/>
      <w:r>
        <w:rPr>
          <w:rFonts w:asciiTheme="majorHAnsi" w:hAnsiTheme="majorHAnsi"/>
        </w:rPr>
        <w:t xml:space="preserve"> who may be asked to respond to specific items.  </w:t>
      </w:r>
      <w:r w:rsidR="00CB7F01">
        <w:rPr>
          <w:rFonts w:asciiTheme="majorHAnsi" w:hAnsiTheme="majorHAnsi"/>
        </w:rPr>
        <w:t xml:space="preserve">A team of contractors will oversee administration, follow-up, and analysis of results.  </w:t>
      </w:r>
    </w:p>
    <w:p w14:paraId="2F07DC43" w14:textId="77777777" w:rsidR="00CB7F01" w:rsidRDefault="00CB7F01" w:rsidP="00A12C43">
      <w:pPr>
        <w:spacing w:after="0"/>
        <w:rPr>
          <w:rFonts w:asciiTheme="majorHAnsi" w:hAnsiTheme="majorHAnsi"/>
        </w:rPr>
      </w:pPr>
    </w:p>
    <w:p w14:paraId="5B99C6F6" w14:textId="5D8599C1" w:rsidR="00CB7F01" w:rsidRDefault="00CB7F01" w:rsidP="00A12C43">
      <w:pPr>
        <w:spacing w:after="0"/>
        <w:rPr>
          <w:rFonts w:asciiTheme="majorHAnsi" w:hAnsiTheme="majorHAnsi"/>
        </w:rPr>
      </w:pPr>
      <w:r>
        <w:rPr>
          <w:rFonts w:asciiTheme="majorHAnsi" w:hAnsiTheme="majorHAnsi"/>
        </w:rPr>
        <w:t>This work will not be used to inform federal policy decisions</w:t>
      </w:r>
      <w:r w:rsidR="00563547">
        <w:rPr>
          <w:rFonts w:asciiTheme="majorHAnsi" w:hAnsiTheme="majorHAnsi"/>
        </w:rPr>
        <w:t>.  I</w:t>
      </w:r>
      <w:r>
        <w:rPr>
          <w:rFonts w:asciiTheme="majorHAnsi" w:hAnsiTheme="majorHAnsi"/>
        </w:rPr>
        <w:t xml:space="preserve">t is </w:t>
      </w:r>
      <w:proofErr w:type="gramStart"/>
      <w:r w:rsidR="00563547">
        <w:rPr>
          <w:rFonts w:asciiTheme="majorHAnsi" w:hAnsiTheme="majorHAnsi"/>
        </w:rPr>
        <w:t>an</w:t>
      </w:r>
      <w:r>
        <w:rPr>
          <w:rFonts w:asciiTheme="majorHAnsi" w:hAnsiTheme="majorHAnsi"/>
        </w:rPr>
        <w:t xml:space="preserve"> effort to help HHS better</w:t>
      </w:r>
      <w:r w:rsidR="00A41D7B">
        <w:rPr>
          <w:rFonts w:asciiTheme="majorHAnsi" w:hAnsiTheme="majorHAnsi"/>
        </w:rPr>
        <w:t xml:space="preserve"> </w:t>
      </w:r>
      <w:r>
        <w:rPr>
          <w:rFonts w:asciiTheme="majorHAnsi" w:hAnsiTheme="majorHAnsi"/>
        </w:rPr>
        <w:t>understand</w:t>
      </w:r>
      <w:proofErr w:type="gramEnd"/>
      <w:r>
        <w:rPr>
          <w:rFonts w:asciiTheme="majorHAnsi" w:hAnsiTheme="majorHAnsi"/>
        </w:rPr>
        <w:t xml:space="preserve"> the current status of cross-program integration and states’ ongoing challenges and technical assistance needs.  </w:t>
      </w:r>
    </w:p>
    <w:p w14:paraId="3572B64A" w14:textId="77777777" w:rsidR="006102DA" w:rsidRDefault="006102DA" w:rsidP="00F52BCC">
      <w:pPr>
        <w:pStyle w:val="ListParagraph"/>
        <w:spacing w:after="0"/>
        <w:rPr>
          <w:rFonts w:asciiTheme="majorHAnsi" w:hAnsiTheme="majorHAnsi"/>
        </w:rPr>
      </w:pPr>
    </w:p>
    <w:p w14:paraId="0CC81671" w14:textId="77777777" w:rsidR="00B47055" w:rsidRPr="007049F9" w:rsidRDefault="00B47055" w:rsidP="00E2340D">
      <w:pPr>
        <w:pStyle w:val="ListParagraph"/>
        <w:numPr>
          <w:ilvl w:val="0"/>
          <w:numId w:val="34"/>
        </w:numPr>
        <w:spacing w:after="0"/>
        <w:rPr>
          <w:rFonts w:asciiTheme="majorHAnsi" w:hAnsiTheme="majorHAnsi"/>
          <w:b/>
        </w:rPr>
      </w:pPr>
      <w:r w:rsidRPr="007049F9">
        <w:rPr>
          <w:rFonts w:asciiTheme="majorHAnsi" w:hAnsiTheme="majorHAnsi"/>
          <w:b/>
          <w:bCs/>
        </w:rPr>
        <w:t>Use of Improved Information Technology and Burden Reduction</w:t>
      </w:r>
    </w:p>
    <w:p w14:paraId="7311B38E" w14:textId="77777777" w:rsidR="00B12F51" w:rsidRDefault="00B12F51" w:rsidP="00315F4C">
      <w:pPr>
        <w:spacing w:after="0"/>
        <w:rPr>
          <w:rFonts w:asciiTheme="majorHAnsi" w:hAnsiTheme="majorHAnsi"/>
          <w:b/>
        </w:rPr>
      </w:pPr>
    </w:p>
    <w:p w14:paraId="09224BDF" w14:textId="5C24BDAA" w:rsidR="00315F4C" w:rsidRPr="00315F4C" w:rsidRDefault="00315F4C" w:rsidP="00315F4C">
      <w:pPr>
        <w:spacing w:after="0"/>
        <w:rPr>
          <w:rFonts w:asciiTheme="majorHAnsi" w:hAnsiTheme="majorHAnsi"/>
        </w:rPr>
      </w:pPr>
      <w:r>
        <w:rPr>
          <w:rFonts w:asciiTheme="majorHAnsi" w:hAnsiTheme="majorHAnsi"/>
        </w:rPr>
        <w:t xml:space="preserve">This information collection </w:t>
      </w:r>
      <w:r w:rsidR="003C0149">
        <w:rPr>
          <w:rFonts w:asciiTheme="majorHAnsi" w:hAnsiTheme="majorHAnsi"/>
        </w:rPr>
        <w:t>will use the</w:t>
      </w:r>
      <w:r>
        <w:rPr>
          <w:rFonts w:asciiTheme="majorHAnsi" w:hAnsiTheme="majorHAnsi"/>
        </w:rPr>
        <w:t xml:space="preserve"> online tool, </w:t>
      </w:r>
      <w:proofErr w:type="spellStart"/>
      <w:r w:rsidR="003C0149">
        <w:rPr>
          <w:rFonts w:asciiTheme="majorHAnsi" w:hAnsiTheme="majorHAnsi"/>
        </w:rPr>
        <w:t>SurveyMonkey</w:t>
      </w:r>
      <w:proofErr w:type="spellEnd"/>
      <w:r w:rsidR="003C0149">
        <w:rPr>
          <w:rFonts w:asciiTheme="majorHAnsi" w:hAnsiTheme="majorHAnsi"/>
        </w:rPr>
        <w:t>, which</w:t>
      </w:r>
      <w:r>
        <w:rPr>
          <w:rFonts w:asciiTheme="majorHAnsi" w:hAnsiTheme="majorHAnsi"/>
        </w:rPr>
        <w:t xml:space="preserve"> minimizes respondent burden </w:t>
      </w:r>
      <w:r w:rsidRPr="005217B0">
        <w:rPr>
          <w:rFonts w:asciiTheme="majorHAnsi" w:hAnsiTheme="majorHAnsi"/>
        </w:rPr>
        <w:t xml:space="preserve">through skip options, ease of navigation, </w:t>
      </w:r>
      <w:r w:rsidR="005217B0">
        <w:rPr>
          <w:rFonts w:asciiTheme="majorHAnsi" w:hAnsiTheme="majorHAnsi"/>
        </w:rPr>
        <w:t xml:space="preserve">simplicity of presentation, standard </w:t>
      </w:r>
      <w:r w:rsidR="00E210EB">
        <w:rPr>
          <w:rFonts w:asciiTheme="majorHAnsi" w:hAnsiTheme="majorHAnsi"/>
        </w:rPr>
        <w:t>W</w:t>
      </w:r>
      <w:r w:rsidR="005217B0">
        <w:rPr>
          <w:rFonts w:asciiTheme="majorHAnsi" w:hAnsiTheme="majorHAnsi"/>
        </w:rPr>
        <w:t xml:space="preserve">eb formatting, and accessibility via the internet at </w:t>
      </w:r>
      <w:r w:rsidR="00E210EB">
        <w:rPr>
          <w:rFonts w:asciiTheme="majorHAnsi" w:hAnsiTheme="majorHAnsi"/>
        </w:rPr>
        <w:t xml:space="preserve">the user’s </w:t>
      </w:r>
      <w:r w:rsidR="005217B0">
        <w:rPr>
          <w:rFonts w:asciiTheme="majorHAnsi" w:hAnsiTheme="majorHAnsi"/>
        </w:rPr>
        <w:t xml:space="preserve">convenience.  </w:t>
      </w:r>
      <w:r>
        <w:rPr>
          <w:rFonts w:asciiTheme="majorHAnsi" w:hAnsiTheme="majorHAnsi"/>
        </w:rPr>
        <w:t xml:space="preserve">Respondents can answer questions whenever </w:t>
      </w:r>
      <w:r w:rsidR="00E210EB">
        <w:rPr>
          <w:rFonts w:asciiTheme="majorHAnsi" w:hAnsiTheme="majorHAnsi"/>
        </w:rPr>
        <w:t>they choose</w:t>
      </w:r>
      <w:r w:rsidR="00735DF2">
        <w:rPr>
          <w:rFonts w:asciiTheme="majorHAnsi" w:hAnsiTheme="majorHAnsi"/>
        </w:rPr>
        <w:t>,</w:t>
      </w:r>
      <w:r>
        <w:rPr>
          <w:rFonts w:asciiTheme="majorHAnsi" w:hAnsiTheme="majorHAnsi"/>
        </w:rPr>
        <w:t xml:space="preserve"> and </w:t>
      </w:r>
      <w:r w:rsidR="00735DF2">
        <w:rPr>
          <w:rFonts w:asciiTheme="majorHAnsi" w:hAnsiTheme="majorHAnsi"/>
        </w:rPr>
        <w:t xml:space="preserve">can </w:t>
      </w:r>
      <w:r>
        <w:rPr>
          <w:rFonts w:asciiTheme="majorHAnsi" w:hAnsiTheme="majorHAnsi"/>
        </w:rPr>
        <w:t xml:space="preserve">save, close and return to the </w:t>
      </w:r>
      <w:r w:rsidR="003C0149">
        <w:rPr>
          <w:rFonts w:asciiTheme="majorHAnsi" w:hAnsiTheme="majorHAnsi"/>
        </w:rPr>
        <w:t>questionnaire</w:t>
      </w:r>
      <w:r>
        <w:rPr>
          <w:rFonts w:asciiTheme="majorHAnsi" w:hAnsiTheme="majorHAnsi"/>
        </w:rPr>
        <w:t xml:space="preserve"> as needed before submitting their answers.  Multiple individuals can access the link if the initial respondent wants to delegate some answers to other staff members or offices.  </w:t>
      </w:r>
    </w:p>
    <w:p w14:paraId="03C5521A" w14:textId="77777777" w:rsidR="007F0276" w:rsidRDefault="007F0276" w:rsidP="00F52BCC">
      <w:pPr>
        <w:pStyle w:val="ListParagraph"/>
        <w:spacing w:after="0"/>
        <w:rPr>
          <w:rFonts w:asciiTheme="majorHAnsi" w:hAnsiTheme="majorHAnsi"/>
        </w:rPr>
      </w:pPr>
    </w:p>
    <w:p w14:paraId="43EB69BD" w14:textId="77777777" w:rsidR="00B47055" w:rsidRPr="007049F9" w:rsidRDefault="00B47055" w:rsidP="00E2340D">
      <w:pPr>
        <w:pStyle w:val="ListParagraph"/>
        <w:numPr>
          <w:ilvl w:val="0"/>
          <w:numId w:val="34"/>
        </w:numPr>
        <w:spacing w:after="0"/>
        <w:rPr>
          <w:rFonts w:asciiTheme="majorHAnsi" w:hAnsiTheme="majorHAnsi"/>
          <w:b/>
        </w:rPr>
      </w:pPr>
      <w:r w:rsidRPr="007049F9">
        <w:rPr>
          <w:rFonts w:asciiTheme="majorHAnsi" w:hAnsiTheme="majorHAnsi"/>
          <w:b/>
          <w:bCs/>
        </w:rPr>
        <w:t>Efforts to Identify Duplication and Use of Similar Information</w:t>
      </w:r>
    </w:p>
    <w:p w14:paraId="39445DA3" w14:textId="77777777" w:rsidR="00751CEB" w:rsidRDefault="00751CEB" w:rsidP="00B1589A">
      <w:pPr>
        <w:pStyle w:val="ListParagraph"/>
        <w:spacing w:after="0"/>
        <w:rPr>
          <w:rFonts w:asciiTheme="majorHAnsi" w:hAnsiTheme="majorHAnsi"/>
        </w:rPr>
      </w:pPr>
    </w:p>
    <w:p w14:paraId="0EC91839" w14:textId="0F5ADA5A" w:rsidR="00E33E1B" w:rsidRDefault="00197FEE" w:rsidP="00723C32">
      <w:pPr>
        <w:spacing w:after="0"/>
        <w:rPr>
          <w:rFonts w:asciiTheme="majorHAnsi" w:hAnsiTheme="majorHAnsi"/>
        </w:rPr>
      </w:pPr>
      <w:proofErr w:type="spellStart"/>
      <w:r>
        <w:rPr>
          <w:rFonts w:asciiTheme="majorHAnsi" w:hAnsiTheme="majorHAnsi"/>
        </w:rPr>
        <w:t>ASPE</w:t>
      </w:r>
      <w:proofErr w:type="spellEnd"/>
      <w:r>
        <w:rPr>
          <w:rFonts w:asciiTheme="majorHAnsi" w:hAnsiTheme="majorHAnsi"/>
        </w:rPr>
        <w:t xml:space="preserve"> is partnering with the leading association of state human services agencies, </w:t>
      </w:r>
      <w:proofErr w:type="spellStart"/>
      <w:r>
        <w:rPr>
          <w:rFonts w:asciiTheme="majorHAnsi" w:hAnsiTheme="majorHAnsi"/>
        </w:rPr>
        <w:t>APHSA</w:t>
      </w:r>
      <w:proofErr w:type="spellEnd"/>
      <w:r>
        <w:rPr>
          <w:rFonts w:asciiTheme="majorHAnsi" w:hAnsiTheme="majorHAnsi"/>
        </w:rPr>
        <w:t xml:space="preserve">, to ensure complementarity with the information they collect from member agencies.  The information collected </w:t>
      </w:r>
      <w:r w:rsidR="003C0149">
        <w:rPr>
          <w:rFonts w:asciiTheme="majorHAnsi" w:hAnsiTheme="majorHAnsi"/>
        </w:rPr>
        <w:t xml:space="preserve">by </w:t>
      </w:r>
      <w:proofErr w:type="spellStart"/>
      <w:r w:rsidR="003C0149">
        <w:rPr>
          <w:rFonts w:asciiTheme="majorHAnsi" w:hAnsiTheme="majorHAnsi"/>
        </w:rPr>
        <w:t>ASPE</w:t>
      </w:r>
      <w:proofErr w:type="spellEnd"/>
      <w:r w:rsidR="003C0149">
        <w:rPr>
          <w:rFonts w:asciiTheme="majorHAnsi" w:hAnsiTheme="majorHAnsi"/>
        </w:rPr>
        <w:t xml:space="preserve"> </w:t>
      </w:r>
      <w:r>
        <w:rPr>
          <w:rFonts w:asciiTheme="majorHAnsi" w:hAnsiTheme="majorHAnsi"/>
        </w:rPr>
        <w:t xml:space="preserve">will build on and update past </w:t>
      </w:r>
      <w:proofErr w:type="spellStart"/>
      <w:r>
        <w:rPr>
          <w:rFonts w:asciiTheme="majorHAnsi" w:hAnsiTheme="majorHAnsi"/>
        </w:rPr>
        <w:t>ASPE</w:t>
      </w:r>
      <w:proofErr w:type="spellEnd"/>
      <w:r>
        <w:rPr>
          <w:rFonts w:asciiTheme="majorHAnsi" w:hAnsiTheme="majorHAnsi"/>
        </w:rPr>
        <w:t xml:space="preserve"> and other research efforts detailed in the </w:t>
      </w:r>
      <w:r w:rsidR="003C0149">
        <w:rPr>
          <w:rFonts w:asciiTheme="majorHAnsi" w:hAnsiTheme="majorHAnsi"/>
        </w:rPr>
        <w:t>b</w:t>
      </w:r>
      <w:r>
        <w:rPr>
          <w:rFonts w:asciiTheme="majorHAnsi" w:hAnsiTheme="majorHAnsi"/>
        </w:rPr>
        <w:t xml:space="preserve">ackground section, and will not duplicate them.  This information collection will help federal officials better understand how states are implementing the integration elements of the </w:t>
      </w:r>
      <w:proofErr w:type="spellStart"/>
      <w:r>
        <w:rPr>
          <w:rFonts w:asciiTheme="majorHAnsi" w:hAnsiTheme="majorHAnsi"/>
        </w:rPr>
        <w:t>ACA</w:t>
      </w:r>
      <w:proofErr w:type="spellEnd"/>
      <w:r>
        <w:rPr>
          <w:rFonts w:asciiTheme="majorHAnsi" w:hAnsiTheme="majorHAnsi"/>
        </w:rPr>
        <w:t xml:space="preserve">, one of the Administration’s highest priorities. </w:t>
      </w:r>
    </w:p>
    <w:p w14:paraId="28A4E02E" w14:textId="77777777" w:rsidR="00E67510" w:rsidRDefault="00E67510" w:rsidP="00723C32">
      <w:pPr>
        <w:spacing w:after="0"/>
        <w:rPr>
          <w:rFonts w:asciiTheme="majorHAnsi" w:hAnsiTheme="majorHAnsi"/>
        </w:rPr>
      </w:pPr>
    </w:p>
    <w:p w14:paraId="622DB147" w14:textId="6128B86F" w:rsidR="00E67510" w:rsidRDefault="002B5482" w:rsidP="00723C32">
      <w:pPr>
        <w:spacing w:after="0"/>
        <w:rPr>
          <w:rFonts w:asciiTheme="majorHAnsi" w:hAnsiTheme="majorHAnsi"/>
        </w:rPr>
      </w:pPr>
      <w:r>
        <w:rPr>
          <w:rFonts w:asciiTheme="majorHAnsi" w:hAnsiTheme="majorHAnsi"/>
        </w:rPr>
        <w:t>To our knowledge, there are no substantially overlapping information collection efforts</w:t>
      </w:r>
      <w:r w:rsidR="001B1BDD">
        <w:rPr>
          <w:rFonts w:asciiTheme="majorHAnsi" w:hAnsiTheme="majorHAnsi"/>
        </w:rPr>
        <w:t xml:space="preserve">.  </w:t>
      </w:r>
      <w:proofErr w:type="spellStart"/>
      <w:r w:rsidR="00E67510">
        <w:rPr>
          <w:rFonts w:asciiTheme="majorHAnsi" w:hAnsiTheme="majorHAnsi"/>
        </w:rPr>
        <w:t>ASPE</w:t>
      </w:r>
      <w:proofErr w:type="spellEnd"/>
      <w:r w:rsidR="00E67510">
        <w:rPr>
          <w:rFonts w:asciiTheme="majorHAnsi" w:hAnsiTheme="majorHAnsi"/>
        </w:rPr>
        <w:t xml:space="preserve"> has identified two related information collection efforts currently being planned</w:t>
      </w:r>
      <w:r>
        <w:rPr>
          <w:rFonts w:asciiTheme="majorHAnsi" w:hAnsiTheme="majorHAnsi"/>
        </w:rPr>
        <w:t xml:space="preserve"> </w:t>
      </w:r>
      <w:r w:rsidR="001B1BDD">
        <w:rPr>
          <w:rFonts w:asciiTheme="majorHAnsi" w:hAnsiTheme="majorHAnsi"/>
        </w:rPr>
        <w:t xml:space="preserve">that </w:t>
      </w:r>
      <w:r>
        <w:rPr>
          <w:rFonts w:asciiTheme="majorHAnsi" w:hAnsiTheme="majorHAnsi"/>
        </w:rPr>
        <w:t>touch on similar topics</w:t>
      </w:r>
      <w:r w:rsidR="00E67510">
        <w:rPr>
          <w:rFonts w:asciiTheme="majorHAnsi" w:hAnsiTheme="majorHAnsi"/>
        </w:rPr>
        <w:t xml:space="preserve">. One is a Department of Agriculture Food and Nutrition Service </w:t>
      </w:r>
      <w:r>
        <w:rPr>
          <w:rFonts w:asciiTheme="majorHAnsi" w:hAnsiTheme="majorHAnsi"/>
        </w:rPr>
        <w:t>(</w:t>
      </w:r>
      <w:proofErr w:type="spellStart"/>
      <w:r>
        <w:rPr>
          <w:rFonts w:asciiTheme="majorHAnsi" w:hAnsiTheme="majorHAnsi"/>
        </w:rPr>
        <w:t>FNS</w:t>
      </w:r>
      <w:proofErr w:type="spellEnd"/>
      <w:r>
        <w:rPr>
          <w:rFonts w:asciiTheme="majorHAnsi" w:hAnsiTheme="majorHAnsi"/>
        </w:rPr>
        <w:t xml:space="preserve">) </w:t>
      </w:r>
      <w:r w:rsidR="003C0149">
        <w:rPr>
          <w:rFonts w:asciiTheme="majorHAnsi" w:hAnsiTheme="majorHAnsi"/>
        </w:rPr>
        <w:t>assessment</w:t>
      </w:r>
      <w:r w:rsidR="00E67510">
        <w:rPr>
          <w:rFonts w:asciiTheme="majorHAnsi" w:hAnsiTheme="majorHAnsi"/>
        </w:rPr>
        <w:t xml:space="preserve"> of Supplemental Nutrition Assistance Program (SNAP) agency leaders</w:t>
      </w:r>
      <w:r>
        <w:rPr>
          <w:rFonts w:asciiTheme="majorHAnsi" w:hAnsiTheme="majorHAnsi"/>
        </w:rPr>
        <w:t xml:space="preserve">, focused on </w:t>
      </w:r>
      <w:r w:rsidR="00E67510">
        <w:rPr>
          <w:rFonts w:asciiTheme="majorHAnsi" w:hAnsiTheme="majorHAnsi"/>
        </w:rPr>
        <w:t>agency business and administrative practices</w:t>
      </w:r>
      <w:r w:rsidR="001B1BDD">
        <w:rPr>
          <w:rFonts w:asciiTheme="majorHAnsi" w:hAnsiTheme="majorHAnsi"/>
        </w:rPr>
        <w:t xml:space="preserve"> and alignment between SNAP and Medicaid</w:t>
      </w:r>
      <w:r>
        <w:rPr>
          <w:rFonts w:asciiTheme="majorHAnsi" w:hAnsiTheme="majorHAnsi"/>
        </w:rPr>
        <w:t xml:space="preserve">. </w:t>
      </w:r>
      <w:r w:rsidR="00E67510">
        <w:rPr>
          <w:rFonts w:asciiTheme="majorHAnsi" w:hAnsiTheme="majorHAnsi"/>
        </w:rPr>
        <w:t xml:space="preserve">The other is a Government Accountability Office </w:t>
      </w:r>
      <w:r>
        <w:rPr>
          <w:rFonts w:asciiTheme="majorHAnsi" w:hAnsiTheme="majorHAnsi"/>
        </w:rPr>
        <w:t xml:space="preserve">(GAO) </w:t>
      </w:r>
      <w:r w:rsidR="00E67510">
        <w:rPr>
          <w:rFonts w:asciiTheme="majorHAnsi" w:hAnsiTheme="majorHAnsi"/>
        </w:rPr>
        <w:t xml:space="preserve">survey of </w:t>
      </w:r>
      <w:r w:rsidR="001B1BDD">
        <w:rPr>
          <w:rFonts w:asciiTheme="majorHAnsi" w:hAnsiTheme="majorHAnsi"/>
        </w:rPr>
        <w:t xml:space="preserve">income </w:t>
      </w:r>
      <w:r w:rsidR="00E67510">
        <w:rPr>
          <w:rFonts w:asciiTheme="majorHAnsi" w:hAnsiTheme="majorHAnsi"/>
        </w:rPr>
        <w:t xml:space="preserve">data </w:t>
      </w:r>
      <w:r w:rsidR="001B1BDD">
        <w:rPr>
          <w:rFonts w:asciiTheme="majorHAnsi" w:hAnsiTheme="majorHAnsi"/>
        </w:rPr>
        <w:t>matching</w:t>
      </w:r>
      <w:r w:rsidR="00E67510">
        <w:rPr>
          <w:rFonts w:asciiTheme="majorHAnsi" w:hAnsiTheme="majorHAnsi"/>
        </w:rPr>
        <w:t xml:space="preserve"> in SNAP</w:t>
      </w:r>
      <w:r>
        <w:rPr>
          <w:rFonts w:asciiTheme="majorHAnsi" w:hAnsiTheme="majorHAnsi"/>
        </w:rPr>
        <w:t xml:space="preserve">. Each includes a </w:t>
      </w:r>
      <w:r>
        <w:rPr>
          <w:rFonts w:asciiTheme="majorHAnsi" w:hAnsiTheme="majorHAnsi"/>
        </w:rPr>
        <w:lastRenderedPageBreak/>
        <w:t xml:space="preserve">small number of questions similar to </w:t>
      </w:r>
      <w:proofErr w:type="spellStart"/>
      <w:r>
        <w:rPr>
          <w:rFonts w:asciiTheme="majorHAnsi" w:hAnsiTheme="majorHAnsi"/>
        </w:rPr>
        <w:t>ASPE’s</w:t>
      </w:r>
      <w:proofErr w:type="spellEnd"/>
      <w:r>
        <w:rPr>
          <w:rFonts w:asciiTheme="majorHAnsi" w:hAnsiTheme="majorHAnsi"/>
        </w:rPr>
        <w:t xml:space="preserve"> </w:t>
      </w:r>
      <w:r w:rsidR="003C0149">
        <w:rPr>
          <w:rFonts w:asciiTheme="majorHAnsi" w:hAnsiTheme="majorHAnsi"/>
        </w:rPr>
        <w:t>questionnaire</w:t>
      </w:r>
      <w:r>
        <w:rPr>
          <w:rFonts w:asciiTheme="majorHAnsi" w:hAnsiTheme="majorHAnsi"/>
        </w:rPr>
        <w:t xml:space="preserve">, but with a specific focus on the SNAP program rather than on human services program integration </w:t>
      </w:r>
      <w:r w:rsidR="001B1BDD">
        <w:rPr>
          <w:rFonts w:asciiTheme="majorHAnsi" w:hAnsiTheme="majorHAnsi"/>
        </w:rPr>
        <w:t xml:space="preserve">and systems </w:t>
      </w:r>
      <w:r>
        <w:rPr>
          <w:rFonts w:asciiTheme="majorHAnsi" w:hAnsiTheme="majorHAnsi"/>
        </w:rPr>
        <w:t xml:space="preserve">overall. </w:t>
      </w:r>
      <w:proofErr w:type="spellStart"/>
      <w:r>
        <w:rPr>
          <w:rFonts w:asciiTheme="majorHAnsi" w:hAnsiTheme="majorHAnsi"/>
        </w:rPr>
        <w:t>ASPE</w:t>
      </w:r>
      <w:proofErr w:type="spellEnd"/>
      <w:r>
        <w:rPr>
          <w:rFonts w:asciiTheme="majorHAnsi" w:hAnsiTheme="majorHAnsi"/>
        </w:rPr>
        <w:t xml:space="preserve"> </w:t>
      </w:r>
      <w:r w:rsidR="001B1BDD">
        <w:rPr>
          <w:rFonts w:asciiTheme="majorHAnsi" w:hAnsiTheme="majorHAnsi"/>
        </w:rPr>
        <w:t>is</w:t>
      </w:r>
      <w:r>
        <w:rPr>
          <w:rFonts w:asciiTheme="majorHAnsi" w:hAnsiTheme="majorHAnsi"/>
        </w:rPr>
        <w:t xml:space="preserve"> coordinating with </w:t>
      </w:r>
      <w:proofErr w:type="spellStart"/>
      <w:r>
        <w:rPr>
          <w:rFonts w:asciiTheme="majorHAnsi" w:hAnsiTheme="majorHAnsi"/>
        </w:rPr>
        <w:t>FNS</w:t>
      </w:r>
      <w:proofErr w:type="spellEnd"/>
      <w:r>
        <w:rPr>
          <w:rFonts w:asciiTheme="majorHAnsi" w:hAnsiTheme="majorHAnsi"/>
        </w:rPr>
        <w:t xml:space="preserve"> and GAO regarding these efforts, </w:t>
      </w:r>
      <w:r w:rsidR="00865DF6">
        <w:rPr>
          <w:rFonts w:asciiTheme="majorHAnsi" w:hAnsiTheme="majorHAnsi"/>
        </w:rPr>
        <w:t xml:space="preserve">and the three agencies are sharing their instruments.  </w:t>
      </w:r>
      <w:proofErr w:type="spellStart"/>
      <w:r>
        <w:rPr>
          <w:rFonts w:asciiTheme="majorHAnsi" w:hAnsiTheme="majorHAnsi"/>
        </w:rPr>
        <w:t>APHSA</w:t>
      </w:r>
      <w:proofErr w:type="spellEnd"/>
      <w:r>
        <w:rPr>
          <w:rFonts w:asciiTheme="majorHAnsi" w:hAnsiTheme="majorHAnsi"/>
        </w:rPr>
        <w:t xml:space="preserve"> is involved with all </w:t>
      </w:r>
      <w:r w:rsidR="00865DF6">
        <w:rPr>
          <w:rFonts w:asciiTheme="majorHAnsi" w:hAnsiTheme="majorHAnsi"/>
        </w:rPr>
        <w:t>three projects,</w:t>
      </w:r>
      <w:r>
        <w:rPr>
          <w:rFonts w:asciiTheme="majorHAnsi" w:hAnsiTheme="majorHAnsi"/>
        </w:rPr>
        <w:t xml:space="preserve"> and </w:t>
      </w:r>
      <w:r w:rsidR="001B1BDD">
        <w:rPr>
          <w:rFonts w:asciiTheme="majorHAnsi" w:hAnsiTheme="majorHAnsi"/>
        </w:rPr>
        <w:t>is h</w:t>
      </w:r>
      <w:r>
        <w:rPr>
          <w:rFonts w:asciiTheme="majorHAnsi" w:hAnsiTheme="majorHAnsi"/>
        </w:rPr>
        <w:t>elp</w:t>
      </w:r>
      <w:r w:rsidR="001B1BDD">
        <w:rPr>
          <w:rFonts w:asciiTheme="majorHAnsi" w:hAnsiTheme="majorHAnsi"/>
        </w:rPr>
        <w:t xml:space="preserve">ing ensure minimal overlap in substance </w:t>
      </w:r>
      <w:r w:rsidR="00865DF6">
        <w:rPr>
          <w:rFonts w:asciiTheme="majorHAnsi" w:hAnsiTheme="majorHAnsi"/>
        </w:rPr>
        <w:t xml:space="preserve">between the SNAP-focused </w:t>
      </w:r>
      <w:r w:rsidR="003C0149">
        <w:rPr>
          <w:rFonts w:asciiTheme="majorHAnsi" w:hAnsiTheme="majorHAnsi"/>
        </w:rPr>
        <w:t>assessments</w:t>
      </w:r>
      <w:r w:rsidR="00865DF6">
        <w:rPr>
          <w:rFonts w:asciiTheme="majorHAnsi" w:hAnsiTheme="majorHAnsi"/>
        </w:rPr>
        <w:t xml:space="preserve"> and the HHS </w:t>
      </w:r>
      <w:r w:rsidR="003C0149">
        <w:rPr>
          <w:rFonts w:asciiTheme="majorHAnsi" w:hAnsiTheme="majorHAnsi"/>
        </w:rPr>
        <w:t>assessment</w:t>
      </w:r>
      <w:r w:rsidR="00865DF6">
        <w:rPr>
          <w:rFonts w:asciiTheme="majorHAnsi" w:hAnsiTheme="majorHAnsi"/>
        </w:rPr>
        <w:t xml:space="preserve">.  The fielding periods will not overlap.  </w:t>
      </w:r>
      <w:r w:rsidR="003C0149">
        <w:rPr>
          <w:rFonts w:asciiTheme="majorHAnsi" w:hAnsiTheme="majorHAnsi"/>
        </w:rPr>
        <w:t xml:space="preserve">We included a message in </w:t>
      </w:r>
      <w:r w:rsidR="001B1BDD">
        <w:rPr>
          <w:rFonts w:asciiTheme="majorHAnsi" w:hAnsiTheme="majorHAnsi"/>
        </w:rPr>
        <w:t xml:space="preserve">Attachment </w:t>
      </w:r>
      <w:r w:rsidR="00865DF6">
        <w:rPr>
          <w:rFonts w:asciiTheme="majorHAnsi" w:hAnsiTheme="majorHAnsi"/>
        </w:rPr>
        <w:t xml:space="preserve">D </w:t>
      </w:r>
      <w:r w:rsidR="003C0149">
        <w:rPr>
          <w:rFonts w:asciiTheme="majorHAnsi" w:hAnsiTheme="majorHAnsi"/>
        </w:rPr>
        <w:t>that</w:t>
      </w:r>
      <w:r w:rsidR="00865DF6">
        <w:rPr>
          <w:rFonts w:asciiTheme="majorHAnsi" w:hAnsiTheme="majorHAnsi"/>
        </w:rPr>
        <w:t xml:space="preserve"> </w:t>
      </w:r>
      <w:proofErr w:type="spellStart"/>
      <w:r w:rsidR="00865DF6">
        <w:rPr>
          <w:rFonts w:asciiTheme="majorHAnsi" w:hAnsiTheme="majorHAnsi"/>
        </w:rPr>
        <w:t>APHSA</w:t>
      </w:r>
      <w:proofErr w:type="spellEnd"/>
      <w:r w:rsidR="00865DF6">
        <w:rPr>
          <w:rFonts w:asciiTheme="majorHAnsi" w:hAnsiTheme="majorHAnsi"/>
        </w:rPr>
        <w:t xml:space="preserve"> sent to their membership alerting them to the three </w:t>
      </w:r>
      <w:r w:rsidR="003C0149">
        <w:rPr>
          <w:rFonts w:asciiTheme="majorHAnsi" w:hAnsiTheme="majorHAnsi"/>
        </w:rPr>
        <w:t>questionnaires</w:t>
      </w:r>
      <w:r w:rsidR="00865DF6">
        <w:rPr>
          <w:rFonts w:asciiTheme="majorHAnsi" w:hAnsiTheme="majorHAnsi"/>
        </w:rPr>
        <w:t xml:space="preserve">, explaining their differences, and encouraging responses.  </w:t>
      </w:r>
    </w:p>
    <w:p w14:paraId="53B30CA9" w14:textId="77777777" w:rsidR="00563547" w:rsidRPr="007049F9" w:rsidRDefault="00563547" w:rsidP="00723C32">
      <w:pPr>
        <w:spacing w:after="0"/>
        <w:rPr>
          <w:rFonts w:asciiTheme="majorHAnsi" w:hAnsiTheme="majorHAnsi"/>
        </w:rPr>
      </w:pPr>
    </w:p>
    <w:p w14:paraId="16F993F3" w14:textId="77777777" w:rsidR="00B12F51" w:rsidRPr="007049F9" w:rsidRDefault="00B47055" w:rsidP="00E2340D">
      <w:pPr>
        <w:pStyle w:val="ListParagraph"/>
        <w:numPr>
          <w:ilvl w:val="0"/>
          <w:numId w:val="34"/>
        </w:numPr>
        <w:spacing w:after="0"/>
        <w:rPr>
          <w:rFonts w:asciiTheme="majorHAnsi" w:hAnsiTheme="majorHAnsi"/>
          <w:b/>
        </w:rPr>
      </w:pPr>
      <w:r w:rsidRPr="007049F9">
        <w:rPr>
          <w:rFonts w:asciiTheme="majorHAnsi" w:hAnsiTheme="majorHAnsi"/>
          <w:b/>
          <w:bCs/>
        </w:rPr>
        <w:t>Impact on Small Businesses or Other Small Entities</w:t>
      </w:r>
    </w:p>
    <w:p w14:paraId="7FADA1F9" w14:textId="77777777" w:rsidR="00197FEE" w:rsidRDefault="00197FEE" w:rsidP="00197FEE">
      <w:pPr>
        <w:spacing w:after="0"/>
        <w:rPr>
          <w:rFonts w:asciiTheme="majorHAnsi" w:hAnsiTheme="majorHAnsi"/>
        </w:rPr>
      </w:pPr>
    </w:p>
    <w:p w14:paraId="432BBF59" w14:textId="77777777" w:rsidR="0053557D" w:rsidRPr="00197FEE" w:rsidRDefault="00D26A64" w:rsidP="00197FEE">
      <w:pPr>
        <w:spacing w:after="0"/>
        <w:rPr>
          <w:rFonts w:asciiTheme="majorHAnsi" w:hAnsiTheme="majorHAnsi"/>
        </w:rPr>
      </w:pPr>
      <w:r w:rsidRPr="00197FEE">
        <w:rPr>
          <w:rFonts w:asciiTheme="majorHAnsi" w:hAnsiTheme="majorHAnsi"/>
        </w:rPr>
        <w:t>N</w:t>
      </w:r>
      <w:r w:rsidR="00AF2252" w:rsidRPr="00197FEE">
        <w:rPr>
          <w:rFonts w:asciiTheme="majorHAnsi" w:hAnsiTheme="majorHAnsi"/>
        </w:rPr>
        <w:t xml:space="preserve">o small businesses will be involved in </w:t>
      </w:r>
      <w:r w:rsidR="00BC225D">
        <w:rPr>
          <w:rFonts w:asciiTheme="majorHAnsi" w:hAnsiTheme="majorHAnsi"/>
        </w:rPr>
        <w:t xml:space="preserve">responding to </w:t>
      </w:r>
      <w:r w:rsidR="00AF2252" w:rsidRPr="00197FEE">
        <w:rPr>
          <w:rFonts w:asciiTheme="majorHAnsi" w:hAnsiTheme="majorHAnsi"/>
        </w:rPr>
        <w:t>this data collection</w:t>
      </w:r>
      <w:r w:rsidRPr="00197FEE">
        <w:rPr>
          <w:rFonts w:asciiTheme="majorHAnsi" w:hAnsiTheme="majorHAnsi"/>
        </w:rPr>
        <w:t>.</w:t>
      </w:r>
    </w:p>
    <w:p w14:paraId="005896C6" w14:textId="77777777" w:rsidR="007C007C" w:rsidRPr="007049F9" w:rsidRDefault="007C007C" w:rsidP="00D95FBF">
      <w:pPr>
        <w:pStyle w:val="ListParagraph"/>
        <w:spacing w:after="0"/>
        <w:rPr>
          <w:rFonts w:asciiTheme="majorHAnsi" w:hAnsiTheme="majorHAnsi"/>
        </w:rPr>
      </w:pPr>
    </w:p>
    <w:p w14:paraId="619CCA72" w14:textId="77777777" w:rsidR="00B12F51" w:rsidRPr="007049F9" w:rsidRDefault="00B47055" w:rsidP="00E2340D">
      <w:pPr>
        <w:pStyle w:val="ListParagraph"/>
        <w:numPr>
          <w:ilvl w:val="0"/>
          <w:numId w:val="34"/>
        </w:numPr>
        <w:spacing w:after="0"/>
        <w:rPr>
          <w:rFonts w:asciiTheme="majorHAnsi" w:hAnsiTheme="majorHAnsi"/>
          <w:b/>
        </w:rPr>
      </w:pPr>
      <w:r w:rsidRPr="007049F9">
        <w:rPr>
          <w:rFonts w:asciiTheme="majorHAnsi" w:hAnsiTheme="majorHAnsi"/>
          <w:b/>
          <w:bCs/>
        </w:rPr>
        <w:t>Consequences of Collecting the Information Less Frequently</w:t>
      </w:r>
      <w:r w:rsidRPr="007049F9">
        <w:rPr>
          <w:rFonts w:asciiTheme="majorHAnsi" w:hAnsiTheme="majorHAnsi"/>
          <w:b/>
        </w:rPr>
        <w:t xml:space="preserve"> </w:t>
      </w:r>
      <w:r w:rsidR="00D95FBF" w:rsidRPr="007049F9">
        <w:rPr>
          <w:rFonts w:asciiTheme="majorHAnsi" w:hAnsiTheme="majorHAnsi"/>
          <w:b/>
        </w:rPr>
        <w:t xml:space="preserve">   </w:t>
      </w:r>
    </w:p>
    <w:p w14:paraId="570F712C" w14:textId="77777777" w:rsidR="00197FEE" w:rsidRDefault="00197FEE" w:rsidP="00197FEE">
      <w:pPr>
        <w:spacing w:after="0"/>
        <w:rPr>
          <w:rFonts w:asciiTheme="majorHAnsi" w:hAnsiTheme="majorHAnsi"/>
        </w:rPr>
      </w:pPr>
    </w:p>
    <w:p w14:paraId="06759395" w14:textId="77777777" w:rsidR="00565E48" w:rsidRPr="007049F9" w:rsidRDefault="00607F7C" w:rsidP="00197FEE">
      <w:pPr>
        <w:spacing w:after="0"/>
        <w:rPr>
          <w:rFonts w:asciiTheme="majorHAnsi" w:hAnsiTheme="majorHAnsi"/>
        </w:rPr>
      </w:pPr>
      <w:r w:rsidRPr="00197FEE">
        <w:rPr>
          <w:rFonts w:asciiTheme="majorHAnsi" w:hAnsiTheme="majorHAnsi"/>
        </w:rPr>
        <w:t xml:space="preserve">This request is for </w:t>
      </w:r>
      <w:r w:rsidR="00667C89" w:rsidRPr="00197FEE">
        <w:rPr>
          <w:rFonts w:asciiTheme="majorHAnsi" w:hAnsiTheme="majorHAnsi"/>
        </w:rPr>
        <w:t xml:space="preserve">a </w:t>
      </w:r>
      <w:r w:rsidR="00BC5BB2" w:rsidRPr="00197FEE">
        <w:rPr>
          <w:rFonts w:asciiTheme="majorHAnsi" w:hAnsiTheme="majorHAnsi"/>
        </w:rPr>
        <w:t>one</w:t>
      </w:r>
      <w:r w:rsidR="00197FEE">
        <w:rPr>
          <w:rFonts w:asciiTheme="majorHAnsi" w:hAnsiTheme="majorHAnsi"/>
        </w:rPr>
        <w:t>-</w:t>
      </w:r>
      <w:r w:rsidR="00BC5BB2" w:rsidRPr="00197FEE">
        <w:rPr>
          <w:rFonts w:asciiTheme="majorHAnsi" w:hAnsiTheme="majorHAnsi"/>
        </w:rPr>
        <w:t>time data collection</w:t>
      </w:r>
      <w:r w:rsidR="00197FEE">
        <w:rPr>
          <w:rFonts w:asciiTheme="majorHAnsi" w:hAnsiTheme="majorHAnsi"/>
        </w:rPr>
        <w:t xml:space="preserve"> where the data have not been previously collected elsewhere</w:t>
      </w:r>
      <w:r w:rsidR="00BC5BB2" w:rsidRPr="00197FEE">
        <w:rPr>
          <w:rFonts w:asciiTheme="majorHAnsi" w:hAnsiTheme="majorHAnsi"/>
        </w:rPr>
        <w:t>.</w:t>
      </w:r>
      <w:r w:rsidR="0053557D" w:rsidRPr="00197FEE">
        <w:rPr>
          <w:rFonts w:asciiTheme="majorHAnsi" w:hAnsiTheme="majorHAnsi"/>
        </w:rPr>
        <w:t xml:space="preserve">  </w:t>
      </w:r>
    </w:p>
    <w:p w14:paraId="67AB7280" w14:textId="77777777" w:rsidR="00BF11A1" w:rsidRPr="007049F9" w:rsidRDefault="00BF11A1" w:rsidP="00C768E5">
      <w:pPr>
        <w:spacing w:after="0"/>
        <w:rPr>
          <w:rFonts w:asciiTheme="majorHAnsi" w:hAnsiTheme="majorHAnsi"/>
        </w:rPr>
      </w:pPr>
    </w:p>
    <w:p w14:paraId="37547B42" w14:textId="77777777" w:rsidR="00B12F51" w:rsidRPr="007049F9" w:rsidRDefault="00B47055" w:rsidP="00E2340D">
      <w:pPr>
        <w:pStyle w:val="ListParagraph"/>
        <w:numPr>
          <w:ilvl w:val="0"/>
          <w:numId w:val="34"/>
        </w:numPr>
        <w:spacing w:after="0"/>
        <w:rPr>
          <w:rFonts w:asciiTheme="majorHAnsi" w:hAnsiTheme="majorHAnsi"/>
          <w:b/>
        </w:rPr>
      </w:pPr>
      <w:r w:rsidRPr="007049F9">
        <w:rPr>
          <w:rFonts w:asciiTheme="majorHAnsi" w:hAnsiTheme="majorHAnsi"/>
          <w:b/>
          <w:bCs/>
        </w:rPr>
        <w:t xml:space="preserve">Special Circumstances Relating to the Guidelines of 5 </w:t>
      </w:r>
      <w:proofErr w:type="spellStart"/>
      <w:r w:rsidRPr="007049F9">
        <w:rPr>
          <w:rFonts w:asciiTheme="majorHAnsi" w:hAnsiTheme="majorHAnsi"/>
          <w:b/>
          <w:bCs/>
        </w:rPr>
        <w:t>CFR</w:t>
      </w:r>
      <w:proofErr w:type="spellEnd"/>
      <w:r w:rsidRPr="007049F9">
        <w:rPr>
          <w:rFonts w:asciiTheme="majorHAnsi" w:hAnsiTheme="majorHAnsi"/>
          <w:b/>
          <w:bCs/>
        </w:rPr>
        <w:t xml:space="preserve"> 1320.5</w:t>
      </w:r>
    </w:p>
    <w:p w14:paraId="3F0955E3" w14:textId="77777777" w:rsidR="00197FEE" w:rsidRDefault="00197FEE" w:rsidP="00197FEE">
      <w:pPr>
        <w:spacing w:after="0"/>
        <w:rPr>
          <w:rFonts w:asciiTheme="majorHAnsi" w:hAnsiTheme="majorHAnsi"/>
        </w:rPr>
      </w:pPr>
    </w:p>
    <w:p w14:paraId="6430C72B" w14:textId="77777777" w:rsidR="00F52BCC" w:rsidRPr="00197FEE" w:rsidRDefault="00A809AA" w:rsidP="00197FEE">
      <w:pPr>
        <w:spacing w:after="0"/>
        <w:rPr>
          <w:rFonts w:asciiTheme="majorHAnsi" w:hAnsiTheme="majorHAnsi"/>
        </w:rPr>
      </w:pPr>
      <w:r w:rsidRPr="00197FEE">
        <w:rPr>
          <w:rFonts w:asciiTheme="majorHAnsi" w:hAnsiTheme="majorHAnsi"/>
        </w:rPr>
        <w:t xml:space="preserve">There are no special circumstances with this information collection package. </w:t>
      </w:r>
      <w:r w:rsidR="00835CA7" w:rsidRPr="00197FEE">
        <w:rPr>
          <w:rFonts w:asciiTheme="majorHAnsi" w:hAnsiTheme="majorHAnsi"/>
        </w:rPr>
        <w:t xml:space="preserve">This request fully complies with the regulation 5 </w:t>
      </w:r>
      <w:proofErr w:type="spellStart"/>
      <w:r w:rsidR="00835CA7" w:rsidRPr="00197FEE">
        <w:rPr>
          <w:rFonts w:asciiTheme="majorHAnsi" w:hAnsiTheme="majorHAnsi"/>
        </w:rPr>
        <w:t>CFR</w:t>
      </w:r>
      <w:proofErr w:type="spellEnd"/>
      <w:r w:rsidR="00835CA7" w:rsidRPr="00197FEE">
        <w:rPr>
          <w:rFonts w:asciiTheme="majorHAnsi" w:hAnsiTheme="majorHAnsi"/>
        </w:rPr>
        <w:t xml:space="preserve"> 1320.5</w:t>
      </w:r>
      <w:r w:rsidR="00D95FBF" w:rsidRPr="00197FEE">
        <w:rPr>
          <w:rFonts w:asciiTheme="majorHAnsi" w:hAnsiTheme="majorHAnsi"/>
        </w:rPr>
        <w:t xml:space="preserve"> and will be voluntary</w:t>
      </w:r>
      <w:r w:rsidR="00835CA7" w:rsidRPr="00197FEE">
        <w:rPr>
          <w:rFonts w:asciiTheme="majorHAnsi" w:hAnsiTheme="majorHAnsi"/>
        </w:rPr>
        <w:t>.</w:t>
      </w:r>
    </w:p>
    <w:p w14:paraId="3E55B76E" w14:textId="77777777" w:rsidR="00F52BCC" w:rsidRPr="007049F9" w:rsidRDefault="00F52BCC" w:rsidP="00F52BCC">
      <w:pPr>
        <w:pStyle w:val="ListParagraph"/>
        <w:spacing w:after="0"/>
        <w:rPr>
          <w:rFonts w:asciiTheme="majorHAnsi" w:hAnsiTheme="majorHAnsi"/>
        </w:rPr>
      </w:pPr>
    </w:p>
    <w:p w14:paraId="796AC5A2" w14:textId="77777777" w:rsidR="00B12F51" w:rsidRPr="007049F9" w:rsidRDefault="0088467A" w:rsidP="00E2340D">
      <w:pPr>
        <w:pStyle w:val="ListParagraph"/>
        <w:numPr>
          <w:ilvl w:val="0"/>
          <w:numId w:val="34"/>
        </w:numPr>
        <w:spacing w:after="0"/>
        <w:rPr>
          <w:rFonts w:asciiTheme="majorHAnsi" w:hAnsiTheme="majorHAnsi"/>
          <w:b/>
          <w:bCs/>
        </w:rPr>
      </w:pPr>
      <w:r w:rsidRPr="007049F9">
        <w:rPr>
          <w:rFonts w:asciiTheme="majorHAnsi" w:hAnsiTheme="majorHAnsi"/>
          <w:b/>
          <w:bCs/>
        </w:rPr>
        <w:t>Comments in Response to the Federal Register Notice and Efforts to Consult Outside the Agency</w:t>
      </w:r>
    </w:p>
    <w:p w14:paraId="102CCD6B" w14:textId="77777777" w:rsidR="00735DF2" w:rsidRDefault="00735DF2" w:rsidP="00197FEE">
      <w:pPr>
        <w:autoSpaceDE w:val="0"/>
        <w:autoSpaceDN w:val="0"/>
        <w:adjustRightInd w:val="0"/>
        <w:ind w:right="720"/>
        <w:rPr>
          <w:rFonts w:asciiTheme="majorHAnsi" w:hAnsiTheme="majorHAnsi"/>
        </w:rPr>
      </w:pPr>
    </w:p>
    <w:p w14:paraId="21D13533" w14:textId="77777777" w:rsidR="00A809AA" w:rsidRPr="00197FEE" w:rsidRDefault="00C768E5" w:rsidP="00197FEE">
      <w:pPr>
        <w:autoSpaceDE w:val="0"/>
        <w:autoSpaceDN w:val="0"/>
        <w:adjustRightInd w:val="0"/>
        <w:ind w:right="720"/>
        <w:rPr>
          <w:rFonts w:asciiTheme="majorHAnsi" w:hAnsiTheme="majorHAnsi"/>
        </w:rPr>
      </w:pPr>
      <w:r w:rsidRPr="00197FEE">
        <w:rPr>
          <w:rFonts w:asciiTheme="majorHAnsi" w:hAnsiTheme="majorHAnsi"/>
        </w:rPr>
        <w:t xml:space="preserve">This data collection is being conducted using the Generic Information Collection mechanism </w:t>
      </w:r>
      <w:r w:rsidR="004331EC" w:rsidRPr="00197FEE">
        <w:rPr>
          <w:rFonts w:asciiTheme="majorHAnsi" w:hAnsiTheme="majorHAnsi"/>
        </w:rPr>
        <w:t xml:space="preserve">through </w:t>
      </w:r>
      <w:proofErr w:type="spellStart"/>
      <w:r w:rsidR="004331EC" w:rsidRPr="00197FEE">
        <w:rPr>
          <w:rFonts w:asciiTheme="majorHAnsi" w:hAnsiTheme="majorHAnsi"/>
        </w:rPr>
        <w:t>ASPE</w:t>
      </w:r>
      <w:proofErr w:type="spellEnd"/>
      <w:r w:rsidR="004331EC" w:rsidRPr="00197FEE">
        <w:rPr>
          <w:rFonts w:asciiTheme="majorHAnsi" w:hAnsiTheme="majorHAnsi"/>
        </w:rPr>
        <w:t xml:space="preserve"> </w:t>
      </w:r>
      <w:r w:rsidRPr="00197FEE">
        <w:rPr>
          <w:rFonts w:asciiTheme="majorHAnsi" w:hAnsiTheme="majorHAnsi"/>
        </w:rPr>
        <w:t>– OMB No. 09</w:t>
      </w:r>
      <w:r w:rsidR="00890A23" w:rsidRPr="00197FEE">
        <w:rPr>
          <w:rFonts w:asciiTheme="majorHAnsi" w:hAnsiTheme="majorHAnsi"/>
        </w:rPr>
        <w:t>90</w:t>
      </w:r>
      <w:r w:rsidRPr="00197FEE">
        <w:rPr>
          <w:rFonts w:asciiTheme="majorHAnsi" w:hAnsiTheme="majorHAnsi"/>
        </w:rPr>
        <w:t>-</w:t>
      </w:r>
      <w:r w:rsidR="00890A23" w:rsidRPr="00197FEE">
        <w:rPr>
          <w:rFonts w:asciiTheme="majorHAnsi" w:hAnsiTheme="majorHAnsi"/>
        </w:rPr>
        <w:t>0421</w:t>
      </w:r>
      <w:r w:rsidR="0010078A">
        <w:rPr>
          <w:rFonts w:asciiTheme="majorHAnsi" w:hAnsiTheme="majorHAnsi"/>
        </w:rPr>
        <w:t>, therefore no Federal Register notice is required.</w:t>
      </w:r>
    </w:p>
    <w:p w14:paraId="71F2A943" w14:textId="77777777" w:rsidR="00F52BCC" w:rsidRPr="007049F9" w:rsidRDefault="00F52BCC" w:rsidP="00F52BCC">
      <w:pPr>
        <w:pStyle w:val="ListParagraph"/>
        <w:spacing w:after="0"/>
        <w:rPr>
          <w:rFonts w:asciiTheme="majorHAnsi" w:hAnsiTheme="majorHAnsi"/>
        </w:rPr>
      </w:pPr>
    </w:p>
    <w:p w14:paraId="055450FA" w14:textId="77777777" w:rsidR="00B12F51" w:rsidRPr="007049F9" w:rsidRDefault="0088467A" w:rsidP="00E2340D">
      <w:pPr>
        <w:pStyle w:val="ListParagraph"/>
        <w:numPr>
          <w:ilvl w:val="0"/>
          <w:numId w:val="34"/>
        </w:numPr>
        <w:spacing w:after="0"/>
        <w:rPr>
          <w:rFonts w:asciiTheme="majorHAnsi" w:hAnsiTheme="majorHAnsi"/>
          <w:b/>
        </w:rPr>
      </w:pPr>
      <w:r w:rsidRPr="007049F9">
        <w:rPr>
          <w:rFonts w:asciiTheme="majorHAnsi" w:hAnsiTheme="majorHAnsi"/>
          <w:b/>
          <w:bCs/>
        </w:rPr>
        <w:t>Explanation of Any Payment or Gift to Respondents</w:t>
      </w:r>
    </w:p>
    <w:p w14:paraId="0EB32E03" w14:textId="77777777" w:rsidR="00557BF0" w:rsidRDefault="00557BF0" w:rsidP="00557BF0">
      <w:pPr>
        <w:spacing w:after="0"/>
        <w:rPr>
          <w:rFonts w:asciiTheme="majorHAnsi" w:hAnsiTheme="majorHAnsi"/>
        </w:rPr>
      </w:pPr>
    </w:p>
    <w:p w14:paraId="0AF8DC7F" w14:textId="77777777" w:rsidR="00F52BCC" w:rsidRPr="00557BF0" w:rsidRDefault="00FA1F78" w:rsidP="00557BF0">
      <w:pPr>
        <w:spacing w:after="0"/>
        <w:rPr>
          <w:rFonts w:asciiTheme="majorHAnsi" w:hAnsiTheme="majorHAnsi"/>
        </w:rPr>
      </w:pPr>
      <w:proofErr w:type="spellStart"/>
      <w:r w:rsidRPr="00557BF0">
        <w:rPr>
          <w:rFonts w:asciiTheme="majorHAnsi" w:hAnsiTheme="majorHAnsi"/>
        </w:rPr>
        <w:t>ASPE</w:t>
      </w:r>
      <w:proofErr w:type="spellEnd"/>
      <w:r w:rsidRPr="00557BF0">
        <w:rPr>
          <w:rFonts w:asciiTheme="majorHAnsi" w:hAnsiTheme="majorHAnsi"/>
        </w:rPr>
        <w:t xml:space="preserve"> </w:t>
      </w:r>
      <w:r w:rsidR="00A809AA" w:rsidRPr="00557BF0">
        <w:rPr>
          <w:rFonts w:asciiTheme="majorHAnsi" w:hAnsiTheme="majorHAnsi"/>
        </w:rPr>
        <w:t xml:space="preserve">will not provide </w:t>
      </w:r>
      <w:r w:rsidR="00735DF2">
        <w:rPr>
          <w:rFonts w:asciiTheme="majorHAnsi" w:hAnsiTheme="majorHAnsi"/>
        </w:rPr>
        <w:t xml:space="preserve">any </w:t>
      </w:r>
      <w:r w:rsidR="00A809AA" w:rsidRPr="00557BF0">
        <w:rPr>
          <w:rFonts w:asciiTheme="majorHAnsi" w:hAnsiTheme="majorHAnsi"/>
        </w:rPr>
        <w:t>p</w:t>
      </w:r>
      <w:r w:rsidR="00D26A64" w:rsidRPr="00557BF0">
        <w:rPr>
          <w:rFonts w:asciiTheme="majorHAnsi" w:hAnsiTheme="majorHAnsi"/>
        </w:rPr>
        <w:t>ayments or gifts to respondents.</w:t>
      </w:r>
    </w:p>
    <w:p w14:paraId="082F987B" w14:textId="77777777" w:rsidR="00F52BCC" w:rsidRPr="007049F9" w:rsidRDefault="00F52BCC" w:rsidP="00F52BCC">
      <w:pPr>
        <w:pStyle w:val="ListParagraph"/>
        <w:spacing w:after="0"/>
        <w:rPr>
          <w:rFonts w:asciiTheme="majorHAnsi" w:hAnsiTheme="majorHAnsi"/>
        </w:rPr>
      </w:pPr>
    </w:p>
    <w:p w14:paraId="24F95DD5" w14:textId="77777777" w:rsidR="00B12F51" w:rsidRPr="007049F9" w:rsidRDefault="0088467A" w:rsidP="00E2340D">
      <w:pPr>
        <w:pStyle w:val="ListParagraph"/>
        <w:numPr>
          <w:ilvl w:val="0"/>
          <w:numId w:val="34"/>
        </w:numPr>
        <w:spacing w:after="0"/>
        <w:rPr>
          <w:rFonts w:asciiTheme="majorHAnsi" w:hAnsiTheme="majorHAnsi"/>
          <w:b/>
        </w:rPr>
      </w:pPr>
      <w:r w:rsidRPr="007049F9">
        <w:rPr>
          <w:rFonts w:asciiTheme="majorHAnsi" w:hAnsiTheme="majorHAnsi"/>
          <w:b/>
        </w:rPr>
        <w:t xml:space="preserve"> </w:t>
      </w:r>
      <w:r w:rsidRPr="007049F9">
        <w:rPr>
          <w:rFonts w:asciiTheme="majorHAnsi" w:hAnsiTheme="majorHAnsi"/>
          <w:b/>
          <w:bCs/>
        </w:rPr>
        <w:t>Assurance of Confidentiality Provided to Respondents</w:t>
      </w:r>
    </w:p>
    <w:p w14:paraId="0D91823C" w14:textId="77777777" w:rsidR="0052651A" w:rsidRDefault="0052651A" w:rsidP="0052651A">
      <w:pPr>
        <w:autoSpaceDE w:val="0"/>
        <w:autoSpaceDN w:val="0"/>
        <w:adjustRightInd w:val="0"/>
        <w:spacing w:after="0"/>
        <w:rPr>
          <w:rFonts w:asciiTheme="majorHAnsi" w:hAnsiTheme="majorHAnsi"/>
        </w:rPr>
      </w:pPr>
    </w:p>
    <w:p w14:paraId="223DE0B6" w14:textId="1F30B1AC" w:rsidR="003C31C9" w:rsidRPr="00557BF0" w:rsidRDefault="003C31C9" w:rsidP="0052651A">
      <w:pPr>
        <w:autoSpaceDE w:val="0"/>
        <w:autoSpaceDN w:val="0"/>
        <w:adjustRightInd w:val="0"/>
        <w:spacing w:after="0"/>
        <w:rPr>
          <w:rFonts w:asciiTheme="majorHAnsi" w:hAnsiTheme="majorHAnsi"/>
        </w:rPr>
      </w:pPr>
      <w:r w:rsidRPr="00557BF0">
        <w:rPr>
          <w:rFonts w:asciiTheme="majorHAnsi" w:hAnsiTheme="majorHAnsi"/>
        </w:rPr>
        <w:t xml:space="preserve">The Privacy Act does not apply to this data collection.  </w:t>
      </w:r>
      <w:r w:rsidR="006D69F9">
        <w:rPr>
          <w:rFonts w:asciiTheme="majorHAnsi" w:hAnsiTheme="majorHAnsi"/>
        </w:rPr>
        <w:t xml:space="preserve">State human services officials and any staff who answer questions </w:t>
      </w:r>
      <w:r w:rsidRPr="00557BF0">
        <w:rPr>
          <w:rFonts w:asciiTheme="majorHAnsi" w:hAnsiTheme="majorHAnsi"/>
        </w:rPr>
        <w:t xml:space="preserve">will be </w:t>
      </w:r>
      <w:r w:rsidR="006D69F9">
        <w:rPr>
          <w:rFonts w:asciiTheme="majorHAnsi" w:hAnsiTheme="majorHAnsi"/>
        </w:rPr>
        <w:t xml:space="preserve">answering in </w:t>
      </w:r>
      <w:r w:rsidRPr="00557BF0">
        <w:rPr>
          <w:rFonts w:asciiTheme="majorHAnsi" w:hAnsiTheme="majorHAnsi"/>
        </w:rPr>
        <w:t>their official roles and will not be asked</w:t>
      </w:r>
      <w:r w:rsidR="002A25BF" w:rsidRPr="00557BF0">
        <w:rPr>
          <w:rFonts w:asciiTheme="majorHAnsi" w:hAnsiTheme="majorHAnsi"/>
        </w:rPr>
        <w:t xml:space="preserve"> about</w:t>
      </w:r>
      <w:r w:rsidRPr="00557BF0">
        <w:rPr>
          <w:rFonts w:asciiTheme="majorHAnsi" w:hAnsiTheme="majorHAnsi"/>
        </w:rPr>
        <w:t>, nor will they provide</w:t>
      </w:r>
      <w:r w:rsidR="007C007C" w:rsidRPr="00557BF0">
        <w:rPr>
          <w:rFonts w:asciiTheme="majorHAnsi" w:hAnsiTheme="majorHAnsi"/>
        </w:rPr>
        <w:t>,</w:t>
      </w:r>
      <w:r w:rsidRPr="00557BF0">
        <w:rPr>
          <w:rFonts w:asciiTheme="majorHAnsi" w:hAnsiTheme="majorHAnsi"/>
        </w:rPr>
        <w:t xml:space="preserve"> </w:t>
      </w:r>
      <w:r w:rsidR="00735DF2">
        <w:rPr>
          <w:rFonts w:asciiTheme="majorHAnsi" w:hAnsiTheme="majorHAnsi"/>
        </w:rPr>
        <w:t xml:space="preserve">sensitive </w:t>
      </w:r>
      <w:r w:rsidRPr="00557BF0">
        <w:rPr>
          <w:rFonts w:asciiTheme="majorHAnsi" w:hAnsiTheme="majorHAnsi"/>
        </w:rPr>
        <w:t xml:space="preserve">individually identifiable information.  </w:t>
      </w:r>
    </w:p>
    <w:p w14:paraId="3AE26056" w14:textId="77777777" w:rsidR="0052651A" w:rsidRDefault="0052651A" w:rsidP="0052651A">
      <w:pPr>
        <w:spacing w:after="0"/>
        <w:rPr>
          <w:rFonts w:asciiTheme="majorHAnsi" w:hAnsiTheme="majorHAnsi"/>
        </w:rPr>
      </w:pPr>
    </w:p>
    <w:p w14:paraId="1996A241" w14:textId="77777777" w:rsidR="00B12F51" w:rsidRPr="007049F9" w:rsidRDefault="0088467A" w:rsidP="00E2340D">
      <w:pPr>
        <w:pStyle w:val="ListParagraph"/>
        <w:numPr>
          <w:ilvl w:val="0"/>
          <w:numId w:val="34"/>
        </w:numPr>
        <w:spacing w:after="0"/>
        <w:rPr>
          <w:rFonts w:asciiTheme="majorHAnsi" w:hAnsiTheme="majorHAnsi"/>
          <w:b/>
        </w:rPr>
      </w:pPr>
      <w:r w:rsidRPr="007049F9">
        <w:rPr>
          <w:rFonts w:asciiTheme="majorHAnsi" w:hAnsiTheme="majorHAnsi"/>
          <w:b/>
          <w:bCs/>
        </w:rPr>
        <w:t>Justification for Sensitive Questions</w:t>
      </w:r>
    </w:p>
    <w:p w14:paraId="42DB5761" w14:textId="77777777" w:rsidR="000D6E2B" w:rsidRDefault="000D6E2B" w:rsidP="000D6E2B">
      <w:pPr>
        <w:spacing w:after="0"/>
        <w:rPr>
          <w:rFonts w:asciiTheme="majorHAnsi" w:hAnsiTheme="majorHAnsi"/>
        </w:rPr>
      </w:pPr>
    </w:p>
    <w:p w14:paraId="73B3EDD1" w14:textId="77777777" w:rsidR="00F52BCC" w:rsidRPr="000D6E2B" w:rsidRDefault="003C31C9" w:rsidP="000D6E2B">
      <w:pPr>
        <w:spacing w:after="0"/>
        <w:rPr>
          <w:rFonts w:asciiTheme="majorHAnsi" w:hAnsiTheme="majorHAnsi"/>
        </w:rPr>
      </w:pPr>
      <w:r w:rsidRPr="000D6E2B">
        <w:rPr>
          <w:rFonts w:asciiTheme="majorHAnsi" w:hAnsiTheme="majorHAnsi"/>
        </w:rPr>
        <w:t>No information will be collected</w:t>
      </w:r>
      <w:r w:rsidR="00616090" w:rsidRPr="000D6E2B">
        <w:rPr>
          <w:rFonts w:asciiTheme="majorHAnsi" w:hAnsiTheme="majorHAnsi"/>
        </w:rPr>
        <w:t xml:space="preserve"> that are of </w:t>
      </w:r>
      <w:r w:rsidR="00735DF2">
        <w:rPr>
          <w:rFonts w:asciiTheme="majorHAnsi" w:hAnsiTheme="majorHAnsi"/>
        </w:rPr>
        <w:t xml:space="preserve">a </w:t>
      </w:r>
      <w:r w:rsidR="00616090" w:rsidRPr="000D6E2B">
        <w:rPr>
          <w:rFonts w:asciiTheme="majorHAnsi" w:hAnsiTheme="majorHAnsi"/>
        </w:rPr>
        <w:t>personal or sensitive nature</w:t>
      </w:r>
      <w:r w:rsidR="00D26A64" w:rsidRPr="000D6E2B">
        <w:rPr>
          <w:rFonts w:asciiTheme="majorHAnsi" w:hAnsiTheme="majorHAnsi"/>
        </w:rPr>
        <w:t>.</w:t>
      </w:r>
    </w:p>
    <w:p w14:paraId="58B75300" w14:textId="77777777" w:rsidR="00616090" w:rsidRPr="007049F9" w:rsidRDefault="00616090" w:rsidP="0088467A">
      <w:pPr>
        <w:spacing w:after="0"/>
        <w:rPr>
          <w:rFonts w:asciiTheme="majorHAnsi" w:hAnsiTheme="majorHAnsi"/>
        </w:rPr>
      </w:pPr>
    </w:p>
    <w:p w14:paraId="0BF80C62" w14:textId="77777777" w:rsidR="00B64BFA" w:rsidRPr="007049F9" w:rsidRDefault="0088467A" w:rsidP="00E2340D">
      <w:pPr>
        <w:pStyle w:val="ListParagraph"/>
        <w:numPr>
          <w:ilvl w:val="0"/>
          <w:numId w:val="34"/>
        </w:numPr>
        <w:spacing w:after="0"/>
        <w:rPr>
          <w:rFonts w:asciiTheme="majorHAnsi" w:hAnsiTheme="majorHAnsi"/>
          <w:b/>
        </w:rPr>
      </w:pPr>
      <w:r w:rsidRPr="007049F9">
        <w:rPr>
          <w:rFonts w:asciiTheme="majorHAnsi" w:hAnsiTheme="majorHAnsi"/>
          <w:b/>
          <w:bCs/>
        </w:rPr>
        <w:lastRenderedPageBreak/>
        <w:t>Estimates of Annualized Burden Hours and Costs</w:t>
      </w:r>
    </w:p>
    <w:p w14:paraId="45FFB5DC" w14:textId="77777777" w:rsidR="000D6E2B" w:rsidRDefault="000D6E2B" w:rsidP="000D6E2B">
      <w:pPr>
        <w:autoSpaceDE w:val="0"/>
        <w:autoSpaceDN w:val="0"/>
        <w:adjustRightInd w:val="0"/>
        <w:rPr>
          <w:rFonts w:asciiTheme="majorHAnsi" w:hAnsiTheme="majorHAnsi"/>
          <w:color w:val="000000"/>
        </w:rPr>
      </w:pPr>
    </w:p>
    <w:p w14:paraId="322BB38A" w14:textId="476B459B" w:rsidR="00445C27" w:rsidRDefault="009A4930" w:rsidP="000D6E2B">
      <w:pPr>
        <w:autoSpaceDE w:val="0"/>
        <w:autoSpaceDN w:val="0"/>
        <w:adjustRightInd w:val="0"/>
        <w:rPr>
          <w:rFonts w:asciiTheme="majorHAnsi" w:hAnsiTheme="majorHAnsi"/>
          <w:color w:val="000000"/>
        </w:rPr>
      </w:pPr>
      <w:r>
        <w:rPr>
          <w:rFonts w:asciiTheme="majorHAnsi" w:hAnsiTheme="majorHAnsi"/>
          <w:color w:val="000000"/>
        </w:rPr>
        <w:t>The estimate of burden hours is based on a</w:t>
      </w:r>
      <w:r w:rsidR="00FE2AE1">
        <w:rPr>
          <w:rFonts w:asciiTheme="majorHAnsi" w:hAnsiTheme="majorHAnsi"/>
          <w:color w:val="000000"/>
        </w:rPr>
        <w:t>n average</w:t>
      </w:r>
      <w:r>
        <w:rPr>
          <w:rFonts w:asciiTheme="majorHAnsi" w:hAnsiTheme="majorHAnsi"/>
          <w:color w:val="000000"/>
        </w:rPr>
        <w:t xml:space="preserve"> response time of</w:t>
      </w:r>
      <w:r w:rsidR="009B5731">
        <w:rPr>
          <w:rFonts w:asciiTheme="majorHAnsi" w:hAnsiTheme="majorHAnsi"/>
          <w:color w:val="000000"/>
        </w:rPr>
        <w:t xml:space="preserve"> 45 </w:t>
      </w:r>
      <w:r>
        <w:rPr>
          <w:rFonts w:asciiTheme="majorHAnsi" w:hAnsiTheme="majorHAnsi"/>
          <w:color w:val="000000"/>
        </w:rPr>
        <w:t>minutes per respon</w:t>
      </w:r>
      <w:r w:rsidR="006F6719">
        <w:rPr>
          <w:rFonts w:asciiTheme="majorHAnsi" w:hAnsiTheme="majorHAnsi"/>
          <w:color w:val="000000"/>
        </w:rPr>
        <w:t>se</w:t>
      </w:r>
      <w:r w:rsidR="009B5731">
        <w:rPr>
          <w:rFonts w:asciiTheme="majorHAnsi" w:hAnsiTheme="majorHAnsi"/>
          <w:color w:val="000000"/>
        </w:rPr>
        <w:t>.</w:t>
      </w:r>
      <w:r>
        <w:rPr>
          <w:rFonts w:asciiTheme="majorHAnsi" w:hAnsiTheme="majorHAnsi"/>
          <w:color w:val="000000"/>
        </w:rPr>
        <w:t xml:space="preserve"> </w:t>
      </w:r>
      <w:r w:rsidR="006F6719">
        <w:rPr>
          <w:rFonts w:asciiTheme="majorHAnsi" w:hAnsiTheme="majorHAnsi"/>
          <w:color w:val="000000"/>
        </w:rPr>
        <w:t xml:space="preserve">The researchers </w:t>
      </w:r>
      <w:r w:rsidR="00445C27">
        <w:rPr>
          <w:rFonts w:asciiTheme="majorHAnsi" w:hAnsiTheme="majorHAnsi"/>
          <w:color w:val="000000"/>
        </w:rPr>
        <w:t xml:space="preserve">developed </w:t>
      </w:r>
      <w:r w:rsidR="006F6719">
        <w:rPr>
          <w:rFonts w:asciiTheme="majorHAnsi" w:hAnsiTheme="majorHAnsi"/>
          <w:color w:val="000000"/>
        </w:rPr>
        <w:t xml:space="preserve">this estimate based on past experience with similar </w:t>
      </w:r>
      <w:r w:rsidR="0065256D">
        <w:rPr>
          <w:rFonts w:asciiTheme="majorHAnsi" w:hAnsiTheme="majorHAnsi"/>
          <w:color w:val="000000"/>
        </w:rPr>
        <w:t>questionnaire</w:t>
      </w:r>
      <w:r w:rsidR="006F6719">
        <w:rPr>
          <w:rFonts w:asciiTheme="majorHAnsi" w:hAnsiTheme="majorHAnsi"/>
          <w:color w:val="000000"/>
        </w:rPr>
        <w:t xml:space="preserve">s, including </w:t>
      </w:r>
      <w:proofErr w:type="spellStart"/>
      <w:r w:rsidR="006F6719">
        <w:rPr>
          <w:rFonts w:asciiTheme="majorHAnsi" w:hAnsiTheme="majorHAnsi"/>
          <w:color w:val="000000"/>
        </w:rPr>
        <w:t>MEF</w:t>
      </w:r>
      <w:proofErr w:type="spellEnd"/>
      <w:r w:rsidR="006F6719">
        <w:rPr>
          <w:rFonts w:asciiTheme="majorHAnsi" w:hAnsiTheme="majorHAnsi"/>
          <w:color w:val="000000"/>
        </w:rPr>
        <w:t xml:space="preserve"> Associates’ experiences with online </w:t>
      </w:r>
      <w:r w:rsidR="0065256D">
        <w:rPr>
          <w:rFonts w:asciiTheme="majorHAnsi" w:hAnsiTheme="majorHAnsi"/>
          <w:color w:val="000000"/>
        </w:rPr>
        <w:t>assessments</w:t>
      </w:r>
      <w:r w:rsidR="006F6719">
        <w:rPr>
          <w:rFonts w:asciiTheme="majorHAnsi" w:hAnsiTheme="majorHAnsi"/>
          <w:color w:val="000000"/>
        </w:rPr>
        <w:t xml:space="preserve"> of county </w:t>
      </w:r>
      <w:proofErr w:type="spellStart"/>
      <w:r w:rsidR="006F6719">
        <w:rPr>
          <w:rFonts w:asciiTheme="majorHAnsi" w:hAnsiTheme="majorHAnsi"/>
          <w:color w:val="000000"/>
        </w:rPr>
        <w:t>TANF</w:t>
      </w:r>
      <w:proofErr w:type="spellEnd"/>
      <w:r w:rsidR="006F6719">
        <w:rPr>
          <w:rFonts w:asciiTheme="majorHAnsi" w:hAnsiTheme="majorHAnsi"/>
          <w:color w:val="000000"/>
        </w:rPr>
        <w:t xml:space="preserve"> directors in Colorado and </w:t>
      </w:r>
      <w:r w:rsidR="00CE3064">
        <w:rPr>
          <w:rFonts w:asciiTheme="majorHAnsi" w:hAnsiTheme="majorHAnsi"/>
          <w:color w:val="000000"/>
        </w:rPr>
        <w:t>s</w:t>
      </w:r>
      <w:r w:rsidR="006F6719">
        <w:rPr>
          <w:rFonts w:asciiTheme="majorHAnsi" w:hAnsiTheme="majorHAnsi"/>
          <w:color w:val="000000"/>
        </w:rPr>
        <w:t xml:space="preserve">tate </w:t>
      </w:r>
      <w:r w:rsidR="00CE3064">
        <w:rPr>
          <w:rFonts w:asciiTheme="majorHAnsi" w:hAnsiTheme="majorHAnsi"/>
          <w:color w:val="000000"/>
        </w:rPr>
        <w:t>r</w:t>
      </w:r>
      <w:r w:rsidR="006F6719">
        <w:rPr>
          <w:rFonts w:asciiTheme="majorHAnsi" w:hAnsiTheme="majorHAnsi"/>
          <w:color w:val="000000"/>
        </w:rPr>
        <w:t xml:space="preserve">efugee </w:t>
      </w:r>
      <w:r w:rsidR="00CE3064">
        <w:rPr>
          <w:rFonts w:asciiTheme="majorHAnsi" w:hAnsiTheme="majorHAnsi"/>
          <w:color w:val="000000"/>
        </w:rPr>
        <w:t>c</w:t>
      </w:r>
      <w:r w:rsidR="006F6719">
        <w:rPr>
          <w:rFonts w:asciiTheme="majorHAnsi" w:hAnsiTheme="majorHAnsi"/>
          <w:color w:val="000000"/>
        </w:rPr>
        <w:t xml:space="preserve">oordinators, and </w:t>
      </w:r>
      <w:proofErr w:type="spellStart"/>
      <w:r w:rsidR="006F6719">
        <w:rPr>
          <w:rFonts w:asciiTheme="majorHAnsi" w:hAnsiTheme="majorHAnsi"/>
          <w:color w:val="000000"/>
        </w:rPr>
        <w:t>APHSA’s</w:t>
      </w:r>
      <w:proofErr w:type="spellEnd"/>
      <w:r w:rsidR="006F6719">
        <w:rPr>
          <w:rFonts w:asciiTheme="majorHAnsi" w:hAnsiTheme="majorHAnsi"/>
          <w:color w:val="000000"/>
        </w:rPr>
        <w:t xml:space="preserve"> State Integration </w:t>
      </w:r>
      <w:r w:rsidR="00445C27">
        <w:rPr>
          <w:rFonts w:asciiTheme="majorHAnsi" w:hAnsiTheme="majorHAnsi"/>
          <w:color w:val="000000"/>
        </w:rPr>
        <w:t>Self-Assessment</w:t>
      </w:r>
      <w:r w:rsidR="00CE3064">
        <w:rPr>
          <w:rFonts w:asciiTheme="majorHAnsi" w:hAnsiTheme="majorHAnsi"/>
          <w:color w:val="000000"/>
        </w:rPr>
        <w:t xml:space="preserve">.  </w:t>
      </w:r>
      <w:proofErr w:type="spellStart"/>
      <w:r w:rsidR="00CE3064">
        <w:rPr>
          <w:rFonts w:asciiTheme="majorHAnsi" w:hAnsiTheme="majorHAnsi"/>
          <w:color w:val="000000"/>
        </w:rPr>
        <w:t>MEF</w:t>
      </w:r>
      <w:proofErr w:type="spellEnd"/>
      <w:r w:rsidR="00CE3064">
        <w:rPr>
          <w:rFonts w:asciiTheme="majorHAnsi" w:hAnsiTheme="majorHAnsi"/>
          <w:color w:val="000000"/>
        </w:rPr>
        <w:t xml:space="preserve"> Associates also </w:t>
      </w:r>
      <w:r w:rsidR="00445C27">
        <w:rPr>
          <w:rFonts w:asciiTheme="majorHAnsi" w:hAnsiTheme="majorHAnsi"/>
          <w:color w:val="000000"/>
        </w:rPr>
        <w:t>tim</w:t>
      </w:r>
      <w:r w:rsidR="00CE3064">
        <w:rPr>
          <w:rFonts w:asciiTheme="majorHAnsi" w:hAnsiTheme="majorHAnsi"/>
          <w:color w:val="000000"/>
        </w:rPr>
        <w:t>ed</w:t>
      </w:r>
      <w:r w:rsidR="00445C27">
        <w:rPr>
          <w:rFonts w:asciiTheme="majorHAnsi" w:hAnsiTheme="majorHAnsi"/>
          <w:color w:val="000000"/>
        </w:rPr>
        <w:t xml:space="preserve"> a simulated </w:t>
      </w:r>
      <w:r w:rsidR="0065256D">
        <w:rPr>
          <w:rFonts w:asciiTheme="majorHAnsi" w:hAnsiTheme="majorHAnsi"/>
          <w:color w:val="000000"/>
        </w:rPr>
        <w:t>questionnaire</w:t>
      </w:r>
      <w:r w:rsidR="00445C27">
        <w:rPr>
          <w:rFonts w:asciiTheme="majorHAnsi" w:hAnsiTheme="majorHAnsi"/>
          <w:color w:val="000000"/>
        </w:rPr>
        <w:t xml:space="preserve"> completion by project team members</w:t>
      </w:r>
      <w:r w:rsidR="00CE3064">
        <w:rPr>
          <w:rFonts w:asciiTheme="majorHAnsi" w:hAnsiTheme="majorHAnsi"/>
          <w:color w:val="000000"/>
        </w:rPr>
        <w:t xml:space="preserve"> that demonstrated </w:t>
      </w:r>
      <w:r w:rsidR="0094253F">
        <w:rPr>
          <w:rFonts w:asciiTheme="majorHAnsi" w:hAnsiTheme="majorHAnsi"/>
          <w:color w:val="000000"/>
        </w:rPr>
        <w:t>it</w:t>
      </w:r>
      <w:r w:rsidR="00CE3064">
        <w:rPr>
          <w:rFonts w:asciiTheme="majorHAnsi" w:hAnsiTheme="majorHAnsi"/>
          <w:color w:val="000000"/>
        </w:rPr>
        <w:t xml:space="preserve"> can be completed within the estimate</w:t>
      </w:r>
      <w:r w:rsidR="00445C27">
        <w:rPr>
          <w:rFonts w:asciiTheme="majorHAnsi" w:hAnsiTheme="majorHAnsi"/>
          <w:color w:val="000000"/>
        </w:rPr>
        <w:t xml:space="preserve">. </w:t>
      </w:r>
      <w:r w:rsidR="006F6719">
        <w:rPr>
          <w:rFonts w:asciiTheme="majorHAnsi" w:hAnsiTheme="majorHAnsi"/>
          <w:color w:val="000000"/>
        </w:rPr>
        <w:t xml:space="preserve"> </w:t>
      </w:r>
    </w:p>
    <w:p w14:paraId="7DF0A3D7" w14:textId="124474FF" w:rsidR="009A4930" w:rsidRDefault="00445C27" w:rsidP="000D6E2B">
      <w:pPr>
        <w:autoSpaceDE w:val="0"/>
        <w:autoSpaceDN w:val="0"/>
        <w:adjustRightInd w:val="0"/>
        <w:rPr>
          <w:rFonts w:asciiTheme="majorHAnsi" w:hAnsiTheme="majorHAnsi"/>
          <w:color w:val="000000"/>
        </w:rPr>
      </w:pPr>
      <w:r>
        <w:rPr>
          <w:rFonts w:asciiTheme="majorHAnsi" w:hAnsiTheme="majorHAnsi"/>
          <w:color w:val="000000"/>
        </w:rPr>
        <w:t xml:space="preserve">The researchers anticipate that in some states, the primary respondent </w:t>
      </w:r>
      <w:r w:rsidR="009B5731">
        <w:rPr>
          <w:rFonts w:asciiTheme="majorHAnsi" w:hAnsiTheme="majorHAnsi"/>
          <w:color w:val="000000"/>
        </w:rPr>
        <w:t>(</w:t>
      </w:r>
      <w:r w:rsidR="009B5731">
        <w:rPr>
          <w:rFonts w:asciiTheme="majorHAnsi" w:hAnsiTheme="majorHAnsi"/>
        </w:rPr>
        <w:t xml:space="preserve">state human services program officials) </w:t>
      </w:r>
      <w:r w:rsidR="009B5731">
        <w:rPr>
          <w:rFonts w:asciiTheme="majorHAnsi" w:hAnsiTheme="majorHAnsi"/>
          <w:color w:val="000000"/>
        </w:rPr>
        <w:t xml:space="preserve">will share the </w:t>
      </w:r>
      <w:r w:rsidR="0094253F">
        <w:rPr>
          <w:rFonts w:asciiTheme="majorHAnsi" w:hAnsiTheme="majorHAnsi"/>
          <w:color w:val="000000"/>
        </w:rPr>
        <w:t>questionnaire</w:t>
      </w:r>
      <w:r w:rsidR="009B5731">
        <w:rPr>
          <w:rFonts w:asciiTheme="majorHAnsi" w:hAnsiTheme="majorHAnsi"/>
          <w:color w:val="000000"/>
        </w:rPr>
        <w:t xml:space="preserve"> with other staff, such as those responsible for IT policy, to complete some questions. We estimate that on average, two respondents will contribute to each response, for </w:t>
      </w:r>
      <w:r w:rsidR="009A4930">
        <w:rPr>
          <w:rFonts w:asciiTheme="majorHAnsi" w:hAnsiTheme="majorHAnsi"/>
          <w:color w:val="000000"/>
        </w:rPr>
        <w:t xml:space="preserve">an estimate of </w:t>
      </w:r>
      <w:r w:rsidR="009B5731">
        <w:rPr>
          <w:rFonts w:asciiTheme="majorHAnsi" w:hAnsiTheme="majorHAnsi"/>
          <w:color w:val="000000"/>
        </w:rPr>
        <w:t xml:space="preserve">102 </w:t>
      </w:r>
      <w:r w:rsidR="009A4930">
        <w:rPr>
          <w:rFonts w:asciiTheme="majorHAnsi" w:hAnsiTheme="majorHAnsi"/>
          <w:color w:val="000000"/>
        </w:rPr>
        <w:t xml:space="preserve">total </w:t>
      </w:r>
      <w:r w:rsidR="00C30B44">
        <w:rPr>
          <w:rFonts w:asciiTheme="majorHAnsi" w:hAnsiTheme="majorHAnsi"/>
          <w:color w:val="000000"/>
        </w:rPr>
        <w:t xml:space="preserve">potential </w:t>
      </w:r>
      <w:r w:rsidR="009A4930">
        <w:rPr>
          <w:rFonts w:asciiTheme="majorHAnsi" w:hAnsiTheme="majorHAnsi"/>
          <w:color w:val="000000"/>
        </w:rPr>
        <w:t>respondents</w:t>
      </w:r>
      <w:r w:rsidR="00C30B44">
        <w:rPr>
          <w:rFonts w:asciiTheme="majorHAnsi" w:hAnsiTheme="majorHAnsi"/>
          <w:color w:val="000000"/>
        </w:rPr>
        <w:t xml:space="preserve"> from the 50 states and DC</w:t>
      </w:r>
      <w:r w:rsidR="009A4930">
        <w:rPr>
          <w:rFonts w:asciiTheme="majorHAnsi" w:hAnsiTheme="majorHAnsi"/>
          <w:color w:val="000000"/>
        </w:rPr>
        <w:t xml:space="preserve">. The </w:t>
      </w:r>
      <w:r w:rsidR="00FE2AE1">
        <w:rPr>
          <w:rFonts w:asciiTheme="majorHAnsi" w:hAnsiTheme="majorHAnsi"/>
          <w:color w:val="000000"/>
        </w:rPr>
        <w:t xml:space="preserve">burden </w:t>
      </w:r>
      <w:r w:rsidR="009A4930">
        <w:rPr>
          <w:rFonts w:asciiTheme="majorHAnsi" w:hAnsiTheme="majorHAnsi"/>
          <w:color w:val="000000"/>
        </w:rPr>
        <w:t xml:space="preserve">estimate reflects </w:t>
      </w:r>
      <w:r w:rsidR="00FE2AE1">
        <w:rPr>
          <w:rFonts w:asciiTheme="majorHAnsi" w:hAnsiTheme="majorHAnsi"/>
          <w:color w:val="000000"/>
        </w:rPr>
        <w:t xml:space="preserve">an assumed 90 </w:t>
      </w:r>
      <w:r w:rsidR="009A4930">
        <w:rPr>
          <w:rFonts w:asciiTheme="majorHAnsi" w:hAnsiTheme="majorHAnsi"/>
          <w:color w:val="000000"/>
        </w:rPr>
        <w:t>percent response rate</w:t>
      </w:r>
      <w:r w:rsidR="00FE2AE1">
        <w:rPr>
          <w:rFonts w:asciiTheme="majorHAnsi" w:hAnsiTheme="majorHAnsi"/>
          <w:color w:val="000000"/>
        </w:rPr>
        <w:t xml:space="preserve">, or 92 </w:t>
      </w:r>
      <w:r w:rsidR="00C30B44">
        <w:rPr>
          <w:rFonts w:asciiTheme="majorHAnsi" w:hAnsiTheme="majorHAnsi"/>
          <w:color w:val="000000"/>
        </w:rPr>
        <w:t xml:space="preserve">actual </w:t>
      </w:r>
      <w:r w:rsidR="00FE2AE1">
        <w:rPr>
          <w:rFonts w:asciiTheme="majorHAnsi" w:hAnsiTheme="majorHAnsi"/>
          <w:color w:val="000000"/>
        </w:rPr>
        <w:t>respondents</w:t>
      </w:r>
      <w:r w:rsidR="009A4930">
        <w:rPr>
          <w:rFonts w:asciiTheme="majorHAnsi" w:hAnsiTheme="majorHAnsi"/>
          <w:color w:val="000000"/>
        </w:rPr>
        <w:t xml:space="preserve">.    </w:t>
      </w:r>
    </w:p>
    <w:p w14:paraId="13CA7707" w14:textId="77777777" w:rsidR="009A4930" w:rsidRDefault="009A4930" w:rsidP="009A4930">
      <w:pPr>
        <w:autoSpaceDE w:val="0"/>
        <w:autoSpaceDN w:val="0"/>
        <w:adjustRightInd w:val="0"/>
        <w:rPr>
          <w:rFonts w:ascii="Tahoma" w:hAnsi="Tahoma" w:cs="Tahoma"/>
          <w:sz w:val="20"/>
          <w:szCs w:val="20"/>
        </w:rPr>
      </w:pPr>
      <w:r w:rsidRPr="009A4930">
        <w:rPr>
          <w:rFonts w:asciiTheme="majorHAnsi" w:hAnsiTheme="majorHAnsi"/>
          <w:color w:val="000000"/>
        </w:rPr>
        <w:t>E</w:t>
      </w:r>
      <w:r w:rsidR="00B64BFA" w:rsidRPr="009A4930">
        <w:rPr>
          <w:rFonts w:asciiTheme="majorHAnsi" w:hAnsiTheme="majorHAnsi"/>
          <w:color w:val="000000"/>
        </w:rPr>
        <w:t xml:space="preserve">stimates for the </w:t>
      </w:r>
      <w:r w:rsidR="00816822" w:rsidRPr="009A4930">
        <w:rPr>
          <w:rFonts w:asciiTheme="majorHAnsi" w:hAnsiTheme="majorHAnsi"/>
          <w:color w:val="000000"/>
        </w:rPr>
        <w:t>median</w:t>
      </w:r>
      <w:r w:rsidR="00B64BFA" w:rsidRPr="009A4930">
        <w:rPr>
          <w:rFonts w:asciiTheme="majorHAnsi" w:hAnsiTheme="majorHAnsi"/>
          <w:color w:val="000000"/>
        </w:rPr>
        <w:t xml:space="preserve"> hourly wage for respondents are based on the Department of Labor (</w:t>
      </w:r>
      <w:proofErr w:type="spellStart"/>
      <w:r w:rsidR="00B64BFA" w:rsidRPr="009A4930">
        <w:rPr>
          <w:rFonts w:asciiTheme="majorHAnsi" w:hAnsiTheme="majorHAnsi"/>
          <w:color w:val="000000"/>
        </w:rPr>
        <w:t>DOL</w:t>
      </w:r>
      <w:proofErr w:type="spellEnd"/>
      <w:r w:rsidR="00B64BFA" w:rsidRPr="009A4930">
        <w:rPr>
          <w:rFonts w:asciiTheme="majorHAnsi" w:hAnsiTheme="majorHAnsi"/>
          <w:color w:val="000000"/>
        </w:rPr>
        <w:t xml:space="preserve">) </w:t>
      </w:r>
      <w:r w:rsidR="005423D7">
        <w:rPr>
          <w:rFonts w:asciiTheme="majorHAnsi" w:hAnsiTheme="majorHAnsi"/>
          <w:color w:val="000000"/>
        </w:rPr>
        <w:t xml:space="preserve">May 2014 estimates </w:t>
      </w:r>
      <w:r w:rsidR="00B64BFA" w:rsidRPr="009A4930">
        <w:rPr>
          <w:rFonts w:asciiTheme="majorHAnsi" w:hAnsiTheme="majorHAnsi"/>
          <w:color w:val="000000"/>
        </w:rPr>
        <w:t>for</w:t>
      </w:r>
      <w:r w:rsidR="005423D7">
        <w:rPr>
          <w:rFonts w:asciiTheme="majorHAnsi" w:hAnsiTheme="majorHAnsi"/>
          <w:color w:val="000000"/>
        </w:rPr>
        <w:t xml:space="preserve"> the </w:t>
      </w:r>
      <w:r w:rsidR="005423D7" w:rsidRPr="00B76238">
        <w:rPr>
          <w:rFonts w:asciiTheme="majorHAnsi" w:hAnsiTheme="majorHAnsi"/>
          <w:color w:val="000000"/>
        </w:rPr>
        <w:t>mean hourly wage of  social and community service managers</w:t>
      </w:r>
      <w:r w:rsidR="005423D7" w:rsidRPr="00A41D7B">
        <w:rPr>
          <w:rFonts w:asciiTheme="majorHAnsi" w:hAnsiTheme="majorHAnsi"/>
          <w:color w:val="000000"/>
        </w:rPr>
        <w:t>:</w:t>
      </w:r>
      <w:r w:rsidR="005423D7">
        <w:rPr>
          <w:rFonts w:asciiTheme="majorHAnsi" w:hAnsiTheme="majorHAnsi"/>
          <w:color w:val="000000"/>
        </w:rPr>
        <w:t xml:space="preserve">   </w:t>
      </w:r>
      <w:r w:rsidR="005423D7">
        <w:rPr>
          <w:rFonts w:ascii="Tahoma" w:hAnsi="Tahoma" w:cs="Tahoma"/>
          <w:sz w:val="20"/>
          <w:szCs w:val="20"/>
        </w:rPr>
        <w:t xml:space="preserve">$32.56  </w:t>
      </w:r>
      <w:hyperlink r:id="rId13" w:history="1">
        <w:r w:rsidR="005423D7" w:rsidRPr="006B7D80">
          <w:rPr>
            <w:rStyle w:val="Hyperlink"/>
            <w:rFonts w:ascii="Tahoma" w:hAnsi="Tahoma" w:cs="Tahoma"/>
            <w:sz w:val="20"/>
            <w:szCs w:val="20"/>
          </w:rPr>
          <w:t>http://www.bls.gov/oes/current/oes119151.htm</w:t>
        </w:r>
      </w:hyperlink>
    </w:p>
    <w:p w14:paraId="59450E33" w14:textId="5C4651EB" w:rsidR="00B64BFA" w:rsidRPr="009A4930" w:rsidRDefault="005423D7" w:rsidP="009A4930">
      <w:pPr>
        <w:autoSpaceDE w:val="0"/>
        <w:autoSpaceDN w:val="0"/>
        <w:adjustRightInd w:val="0"/>
        <w:rPr>
          <w:rFonts w:asciiTheme="majorHAnsi" w:hAnsiTheme="majorHAnsi"/>
          <w:color w:val="000000"/>
        </w:rPr>
      </w:pPr>
      <w:r>
        <w:rPr>
          <w:rFonts w:asciiTheme="majorHAnsi" w:hAnsiTheme="majorHAnsi"/>
          <w:color w:val="000000"/>
        </w:rPr>
        <w:t xml:space="preserve">The average is used as </w:t>
      </w:r>
      <w:r w:rsidR="00DD1CC3" w:rsidRPr="009A4930">
        <w:rPr>
          <w:rFonts w:asciiTheme="majorHAnsi" w:hAnsiTheme="majorHAnsi"/>
          <w:color w:val="000000"/>
        </w:rPr>
        <w:t>the hourly wage</w:t>
      </w:r>
      <w:r w:rsidR="00B64BFA" w:rsidRPr="009A4930">
        <w:rPr>
          <w:rFonts w:asciiTheme="majorHAnsi" w:hAnsiTheme="majorHAnsi"/>
          <w:color w:val="000000"/>
        </w:rPr>
        <w:t xml:space="preserve"> for all </w:t>
      </w:r>
      <w:r>
        <w:rPr>
          <w:rFonts w:asciiTheme="majorHAnsi" w:hAnsiTheme="majorHAnsi"/>
          <w:color w:val="000000"/>
        </w:rPr>
        <w:t xml:space="preserve">estimated </w:t>
      </w:r>
      <w:r w:rsidR="00FE2AE1">
        <w:rPr>
          <w:rFonts w:asciiTheme="majorHAnsi" w:hAnsiTheme="majorHAnsi"/>
          <w:color w:val="000000"/>
        </w:rPr>
        <w:t>9</w:t>
      </w:r>
      <w:r w:rsidR="009B5731">
        <w:rPr>
          <w:rFonts w:asciiTheme="majorHAnsi" w:hAnsiTheme="majorHAnsi"/>
          <w:color w:val="000000"/>
        </w:rPr>
        <w:t>2</w:t>
      </w:r>
      <w:r w:rsidR="009B5731" w:rsidRPr="009A4930">
        <w:rPr>
          <w:rFonts w:asciiTheme="majorHAnsi" w:hAnsiTheme="majorHAnsi"/>
          <w:color w:val="000000"/>
        </w:rPr>
        <w:t xml:space="preserve"> </w:t>
      </w:r>
      <w:r w:rsidR="00816822" w:rsidRPr="009A4930">
        <w:rPr>
          <w:rFonts w:asciiTheme="majorHAnsi" w:hAnsiTheme="majorHAnsi"/>
          <w:color w:val="000000"/>
        </w:rPr>
        <w:t xml:space="preserve">respondents.  </w:t>
      </w:r>
      <w:r w:rsidR="00A578C2" w:rsidRPr="009A4930">
        <w:rPr>
          <w:rFonts w:asciiTheme="majorHAnsi" w:hAnsiTheme="majorHAnsi"/>
          <w:color w:val="000000"/>
        </w:rPr>
        <w:t>Table A-12 shows estimated burden and cost information.</w:t>
      </w:r>
    </w:p>
    <w:p w14:paraId="493E9F61" w14:textId="77777777" w:rsidR="00751CEB" w:rsidRPr="007049F9" w:rsidRDefault="00751CEB" w:rsidP="00B64BFA">
      <w:pPr>
        <w:pStyle w:val="ListParagraph"/>
        <w:autoSpaceDE w:val="0"/>
        <w:autoSpaceDN w:val="0"/>
        <w:adjustRightInd w:val="0"/>
        <w:rPr>
          <w:rFonts w:asciiTheme="majorHAnsi" w:hAnsiTheme="majorHAnsi"/>
          <w:color w:val="000000"/>
        </w:rPr>
      </w:pPr>
    </w:p>
    <w:p w14:paraId="027538D0" w14:textId="77777777" w:rsidR="005A59E5" w:rsidRPr="007049F9" w:rsidRDefault="005A59E5" w:rsidP="005A59E5">
      <w:pPr>
        <w:pStyle w:val="ListParagraph"/>
        <w:autoSpaceDE w:val="0"/>
        <w:autoSpaceDN w:val="0"/>
        <w:adjustRightInd w:val="0"/>
        <w:ind w:left="0" w:right="720"/>
        <w:rPr>
          <w:rFonts w:asciiTheme="majorHAnsi" w:hAnsiTheme="majorHAnsi"/>
        </w:rPr>
      </w:pPr>
      <w:r w:rsidRPr="007049F9">
        <w:rPr>
          <w:rFonts w:asciiTheme="majorHAnsi" w:hAnsiTheme="majorHAnsi"/>
          <w:b/>
          <w:u w:val="single"/>
        </w:rPr>
        <w:t>Table A-12</w:t>
      </w:r>
      <w:r w:rsidRPr="007049F9">
        <w:rPr>
          <w:rFonts w:asciiTheme="majorHAnsi" w:hAnsiTheme="majorHAnsi"/>
          <w:b/>
        </w:rPr>
        <w:t>:</w:t>
      </w:r>
      <w:r w:rsidRPr="007049F9">
        <w:rPr>
          <w:rFonts w:asciiTheme="majorHAnsi" w:hAnsiTheme="majorHAnsi"/>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14:paraId="066DA6C8" w14:textId="77777777" w:rsidTr="00C0376C">
        <w:trPr>
          <w:trHeight w:val="1493"/>
        </w:trPr>
        <w:tc>
          <w:tcPr>
            <w:tcW w:w="1620" w:type="dxa"/>
            <w:tcBorders>
              <w:bottom w:val="single" w:sz="12" w:space="0" w:color="000000"/>
            </w:tcBorders>
            <w:shd w:val="clear" w:color="auto" w:fill="D9D9D9" w:themeFill="background1" w:themeFillShade="D9"/>
            <w:vAlign w:val="center"/>
          </w:tcPr>
          <w:p w14:paraId="66113E9B" w14:textId="77777777"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14:paraId="3E9B9F3F" w14:textId="77777777"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14:paraId="733903AF" w14:textId="77777777"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14:paraId="6D4F3B92" w14:textId="77777777"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14:paraId="13AD3891" w14:textId="77777777"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14:paraId="775FD522" w14:textId="77777777"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14:paraId="32807DFA" w14:textId="77777777"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0A1F30" w:rsidRPr="006F6856" w14:paraId="1501EAA9" w14:textId="77777777" w:rsidTr="00C0376C">
        <w:tc>
          <w:tcPr>
            <w:tcW w:w="1620" w:type="dxa"/>
            <w:tcBorders>
              <w:top w:val="single" w:sz="12" w:space="0" w:color="000000"/>
            </w:tcBorders>
            <w:vAlign w:val="center"/>
          </w:tcPr>
          <w:p w14:paraId="37A3FAA8" w14:textId="77777777" w:rsidR="00E134F4" w:rsidRPr="006F6856" w:rsidRDefault="00735DF2" w:rsidP="00816822">
            <w:pPr>
              <w:jc w:val="center"/>
              <w:rPr>
                <w:rFonts w:asciiTheme="majorHAnsi" w:hAnsiTheme="majorHAnsi"/>
                <w:sz w:val="20"/>
              </w:rPr>
            </w:pPr>
            <w:r>
              <w:rPr>
                <w:rFonts w:asciiTheme="majorHAnsi" w:hAnsiTheme="majorHAnsi"/>
                <w:sz w:val="20"/>
              </w:rPr>
              <w:t>State human services agency official or other employee</w:t>
            </w:r>
          </w:p>
        </w:tc>
        <w:tc>
          <w:tcPr>
            <w:tcW w:w="1440" w:type="dxa"/>
            <w:tcBorders>
              <w:top w:val="single" w:sz="12" w:space="0" w:color="000000"/>
            </w:tcBorders>
            <w:vAlign w:val="center"/>
          </w:tcPr>
          <w:p w14:paraId="28D3DB1F" w14:textId="4FB2541C" w:rsidR="000A1F30" w:rsidRPr="006F6856" w:rsidRDefault="00FE2AE1" w:rsidP="00816822">
            <w:pPr>
              <w:jc w:val="center"/>
              <w:rPr>
                <w:rFonts w:asciiTheme="majorHAnsi" w:hAnsiTheme="majorHAnsi"/>
                <w:sz w:val="20"/>
              </w:rPr>
            </w:pPr>
            <w:r>
              <w:rPr>
                <w:rFonts w:asciiTheme="majorHAnsi" w:hAnsiTheme="majorHAnsi"/>
                <w:sz w:val="20"/>
              </w:rPr>
              <w:t>92</w:t>
            </w:r>
          </w:p>
        </w:tc>
        <w:tc>
          <w:tcPr>
            <w:tcW w:w="1800" w:type="dxa"/>
            <w:tcBorders>
              <w:top w:val="single" w:sz="12" w:space="0" w:color="000000"/>
            </w:tcBorders>
            <w:vAlign w:val="center"/>
          </w:tcPr>
          <w:p w14:paraId="6289F0CD" w14:textId="10C18362" w:rsidR="000A1F30" w:rsidRPr="006F6856" w:rsidRDefault="00FE2AE1" w:rsidP="00FE2AE1">
            <w:pPr>
              <w:jc w:val="center"/>
              <w:rPr>
                <w:rFonts w:asciiTheme="majorHAnsi" w:hAnsiTheme="majorHAnsi"/>
                <w:sz w:val="20"/>
              </w:rPr>
            </w:pPr>
            <w:r>
              <w:rPr>
                <w:rFonts w:asciiTheme="majorHAnsi" w:hAnsiTheme="majorHAnsi"/>
                <w:sz w:val="20"/>
              </w:rPr>
              <w:t>0.5</w:t>
            </w:r>
          </w:p>
        </w:tc>
        <w:tc>
          <w:tcPr>
            <w:tcW w:w="1260" w:type="dxa"/>
            <w:tcBorders>
              <w:top w:val="single" w:sz="12" w:space="0" w:color="000000"/>
            </w:tcBorders>
            <w:vAlign w:val="center"/>
          </w:tcPr>
          <w:p w14:paraId="60E7DFAF" w14:textId="5D66912B" w:rsidR="000A1F30" w:rsidRPr="00817941" w:rsidRDefault="00951E8F" w:rsidP="00404ADA">
            <w:pPr>
              <w:jc w:val="center"/>
              <w:rPr>
                <w:rFonts w:asciiTheme="majorHAnsi" w:hAnsiTheme="majorHAnsi"/>
                <w:sz w:val="20"/>
              </w:rPr>
            </w:pPr>
            <w:r>
              <w:rPr>
                <w:rFonts w:asciiTheme="majorHAnsi" w:hAnsiTheme="majorHAnsi"/>
                <w:sz w:val="20"/>
              </w:rPr>
              <w:t>45</w:t>
            </w:r>
            <w:r w:rsidR="00404ADA">
              <w:rPr>
                <w:rFonts w:asciiTheme="majorHAnsi" w:hAnsiTheme="majorHAnsi"/>
                <w:sz w:val="20"/>
              </w:rPr>
              <w:t>/60</w:t>
            </w:r>
            <w:bookmarkStart w:id="0" w:name="_GoBack"/>
            <w:bookmarkEnd w:id="0"/>
          </w:p>
        </w:tc>
        <w:tc>
          <w:tcPr>
            <w:tcW w:w="1080" w:type="dxa"/>
            <w:tcBorders>
              <w:top w:val="single" w:sz="12" w:space="0" w:color="000000"/>
            </w:tcBorders>
            <w:vAlign w:val="center"/>
          </w:tcPr>
          <w:p w14:paraId="3A7D160A" w14:textId="396BB964" w:rsidR="000A1F30" w:rsidRPr="00817941" w:rsidRDefault="00FE2AE1" w:rsidP="00816822">
            <w:pPr>
              <w:jc w:val="center"/>
              <w:rPr>
                <w:rFonts w:asciiTheme="majorHAnsi" w:hAnsiTheme="majorHAnsi"/>
                <w:sz w:val="20"/>
              </w:rPr>
            </w:pPr>
            <w:r>
              <w:rPr>
                <w:rFonts w:asciiTheme="majorHAnsi" w:hAnsiTheme="majorHAnsi"/>
                <w:sz w:val="20"/>
              </w:rPr>
              <w:t>34.5</w:t>
            </w:r>
          </w:p>
        </w:tc>
        <w:tc>
          <w:tcPr>
            <w:tcW w:w="990" w:type="dxa"/>
            <w:tcBorders>
              <w:top w:val="single" w:sz="12" w:space="0" w:color="000000"/>
            </w:tcBorders>
            <w:vAlign w:val="center"/>
          </w:tcPr>
          <w:p w14:paraId="6BC352D3" w14:textId="77777777" w:rsidR="000A1F30" w:rsidRPr="00817941" w:rsidRDefault="00735DF2" w:rsidP="00A72EA1">
            <w:pPr>
              <w:jc w:val="center"/>
              <w:rPr>
                <w:rFonts w:asciiTheme="majorHAnsi" w:hAnsiTheme="majorHAnsi"/>
                <w:sz w:val="20"/>
              </w:rPr>
            </w:pPr>
            <w:r>
              <w:rPr>
                <w:rFonts w:asciiTheme="majorHAnsi" w:hAnsiTheme="majorHAnsi"/>
                <w:sz w:val="20"/>
              </w:rPr>
              <w:t>$32.56</w:t>
            </w:r>
          </w:p>
        </w:tc>
        <w:tc>
          <w:tcPr>
            <w:tcW w:w="1368" w:type="dxa"/>
            <w:tcBorders>
              <w:top w:val="single" w:sz="12" w:space="0" w:color="000000"/>
            </w:tcBorders>
            <w:vAlign w:val="center"/>
          </w:tcPr>
          <w:p w14:paraId="3F4D56A6" w14:textId="0AEFDBB3" w:rsidR="000A1F30" w:rsidRPr="00817941" w:rsidRDefault="00FE2AE1" w:rsidP="00A72EA1">
            <w:pPr>
              <w:jc w:val="center"/>
              <w:rPr>
                <w:rFonts w:asciiTheme="majorHAnsi" w:hAnsiTheme="majorHAnsi"/>
                <w:sz w:val="20"/>
              </w:rPr>
            </w:pPr>
            <w:r>
              <w:rPr>
                <w:rFonts w:asciiTheme="majorHAnsi" w:hAnsiTheme="majorHAnsi"/>
                <w:sz w:val="20"/>
              </w:rPr>
              <w:t>1,123,32</w:t>
            </w:r>
          </w:p>
        </w:tc>
      </w:tr>
      <w:tr w:rsidR="00C0376C" w:rsidRPr="006F6856" w14:paraId="48BF4BDE" w14:textId="77777777" w:rsidTr="00C0376C">
        <w:trPr>
          <w:trHeight w:hRule="exact" w:val="432"/>
        </w:trPr>
        <w:tc>
          <w:tcPr>
            <w:tcW w:w="1620" w:type="dxa"/>
            <w:vAlign w:val="center"/>
          </w:tcPr>
          <w:p w14:paraId="05940C65" w14:textId="77777777"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14:paraId="1BAC3E9C" w14:textId="644B1F96" w:rsidR="00C0376C" w:rsidRPr="00816822" w:rsidRDefault="00CA5B99" w:rsidP="005423D7">
            <w:pPr>
              <w:spacing w:after="0"/>
              <w:jc w:val="center"/>
              <w:rPr>
                <w:rFonts w:asciiTheme="majorHAnsi" w:hAnsiTheme="majorHAnsi"/>
                <w:sz w:val="20"/>
              </w:rPr>
            </w:pPr>
            <w:r w:rsidRPr="00816822">
              <w:rPr>
                <w:rFonts w:asciiTheme="majorHAnsi" w:hAnsiTheme="majorHAnsi"/>
                <w:sz w:val="20"/>
              </w:rPr>
              <w:t xml:space="preserve"> </w:t>
            </w:r>
            <w:r w:rsidR="00FE2AE1">
              <w:rPr>
                <w:rFonts w:asciiTheme="majorHAnsi" w:hAnsiTheme="majorHAnsi"/>
                <w:sz w:val="20"/>
              </w:rPr>
              <w:t>92</w:t>
            </w:r>
          </w:p>
        </w:tc>
        <w:tc>
          <w:tcPr>
            <w:tcW w:w="1800" w:type="dxa"/>
            <w:shd w:val="clear" w:color="auto" w:fill="auto"/>
            <w:vAlign w:val="center"/>
          </w:tcPr>
          <w:p w14:paraId="39EA97D3" w14:textId="6ADA11D4" w:rsidR="00C0376C" w:rsidRPr="00816822" w:rsidRDefault="00FE2AE1" w:rsidP="00FE2AE1">
            <w:pPr>
              <w:spacing w:after="0"/>
              <w:jc w:val="center"/>
              <w:rPr>
                <w:rFonts w:asciiTheme="majorHAnsi" w:hAnsiTheme="majorHAnsi"/>
                <w:sz w:val="20"/>
              </w:rPr>
            </w:pPr>
            <w:r>
              <w:rPr>
                <w:rFonts w:asciiTheme="majorHAnsi" w:hAnsiTheme="majorHAnsi"/>
                <w:sz w:val="20"/>
              </w:rPr>
              <w:t>0.5</w:t>
            </w:r>
          </w:p>
        </w:tc>
        <w:tc>
          <w:tcPr>
            <w:tcW w:w="1260" w:type="dxa"/>
            <w:shd w:val="clear" w:color="auto" w:fill="D9D9D9" w:themeFill="background1" w:themeFillShade="D9"/>
            <w:vAlign w:val="center"/>
          </w:tcPr>
          <w:p w14:paraId="77CF597C" w14:textId="77777777" w:rsidR="00C0376C" w:rsidRPr="00817941" w:rsidRDefault="00C0376C" w:rsidP="00C0376C">
            <w:pPr>
              <w:spacing w:after="0"/>
              <w:jc w:val="center"/>
              <w:rPr>
                <w:rFonts w:asciiTheme="majorHAnsi" w:hAnsiTheme="majorHAnsi"/>
                <w:b/>
                <w:sz w:val="20"/>
              </w:rPr>
            </w:pPr>
          </w:p>
        </w:tc>
        <w:tc>
          <w:tcPr>
            <w:tcW w:w="1080" w:type="dxa"/>
            <w:vAlign w:val="center"/>
          </w:tcPr>
          <w:p w14:paraId="68A8D019" w14:textId="4AEAD9F1" w:rsidR="00C0376C" w:rsidRPr="00816822" w:rsidRDefault="00FE2AE1" w:rsidP="00FE2AE1">
            <w:pPr>
              <w:spacing w:after="0"/>
              <w:jc w:val="center"/>
              <w:rPr>
                <w:rFonts w:asciiTheme="majorHAnsi" w:hAnsiTheme="majorHAnsi"/>
                <w:sz w:val="20"/>
              </w:rPr>
            </w:pPr>
            <w:r>
              <w:rPr>
                <w:rFonts w:asciiTheme="majorHAnsi" w:hAnsiTheme="majorHAnsi"/>
                <w:sz w:val="20"/>
              </w:rPr>
              <w:t>34.5</w:t>
            </w:r>
          </w:p>
        </w:tc>
        <w:tc>
          <w:tcPr>
            <w:tcW w:w="990" w:type="dxa"/>
            <w:shd w:val="clear" w:color="auto" w:fill="D9D9D9" w:themeFill="background1" w:themeFillShade="D9"/>
            <w:vAlign w:val="center"/>
          </w:tcPr>
          <w:p w14:paraId="2F443835" w14:textId="77777777" w:rsidR="00C0376C" w:rsidRPr="00817941" w:rsidRDefault="00C0376C" w:rsidP="00C0376C">
            <w:pPr>
              <w:spacing w:after="0"/>
              <w:jc w:val="center"/>
              <w:rPr>
                <w:rFonts w:asciiTheme="majorHAnsi" w:hAnsiTheme="majorHAnsi"/>
                <w:b/>
                <w:sz w:val="20"/>
              </w:rPr>
            </w:pPr>
          </w:p>
        </w:tc>
        <w:tc>
          <w:tcPr>
            <w:tcW w:w="1368" w:type="dxa"/>
            <w:vAlign w:val="center"/>
          </w:tcPr>
          <w:p w14:paraId="672D1D06" w14:textId="0A0E17DA" w:rsidR="00C0376C" w:rsidRPr="00817941" w:rsidRDefault="00FE2AE1" w:rsidP="00A72EA1">
            <w:pPr>
              <w:spacing w:after="0"/>
              <w:jc w:val="center"/>
              <w:rPr>
                <w:rFonts w:asciiTheme="majorHAnsi" w:hAnsiTheme="majorHAnsi"/>
                <w:b/>
                <w:sz w:val="20"/>
              </w:rPr>
            </w:pPr>
            <w:r>
              <w:rPr>
                <w:rFonts w:asciiTheme="majorHAnsi" w:hAnsiTheme="majorHAnsi"/>
                <w:b/>
                <w:sz w:val="20"/>
              </w:rPr>
              <w:t>1,123.32</w:t>
            </w:r>
          </w:p>
        </w:tc>
      </w:tr>
    </w:tbl>
    <w:p w14:paraId="6DCE5192" w14:textId="77777777" w:rsidR="003C31C9" w:rsidRDefault="003C31C9" w:rsidP="003C31C9">
      <w:pPr>
        <w:pStyle w:val="Default"/>
        <w:ind w:left="720"/>
        <w:rPr>
          <w:rFonts w:asciiTheme="majorHAnsi" w:hAnsiTheme="majorHAnsi" w:cs="Times New Roman"/>
          <w:sz w:val="22"/>
          <w:szCs w:val="22"/>
        </w:rPr>
      </w:pPr>
    </w:p>
    <w:p w14:paraId="1F1C4AA6" w14:textId="77777777" w:rsidR="002F1502" w:rsidRDefault="002F1502" w:rsidP="008E0683">
      <w:pPr>
        <w:pStyle w:val="ListParagraph"/>
        <w:autoSpaceDE w:val="0"/>
        <w:autoSpaceDN w:val="0"/>
        <w:adjustRightInd w:val="0"/>
        <w:ind w:right="720"/>
        <w:rPr>
          <w:rFonts w:asciiTheme="majorHAnsi" w:hAnsiTheme="majorHAnsi"/>
          <w:u w:val="single"/>
        </w:rPr>
      </w:pPr>
    </w:p>
    <w:p w14:paraId="1B68787B" w14:textId="77777777" w:rsidR="00B12F51" w:rsidRPr="0088467A" w:rsidRDefault="0088467A" w:rsidP="00E2340D">
      <w:pPr>
        <w:pStyle w:val="ListParagraph"/>
        <w:numPr>
          <w:ilvl w:val="0"/>
          <w:numId w:val="34"/>
        </w:numPr>
        <w:spacing w:after="0"/>
        <w:rPr>
          <w:rFonts w:asciiTheme="majorHAnsi" w:hAnsiTheme="majorHAnsi"/>
          <w:b/>
          <w:bCs/>
        </w:rPr>
      </w:pPr>
      <w:r w:rsidRPr="0088467A">
        <w:rPr>
          <w:rFonts w:asciiTheme="majorHAnsi" w:hAnsiTheme="majorHAnsi"/>
          <w:b/>
          <w:bCs/>
        </w:rPr>
        <w:t>Estimates of Other Total Annual Cost Burden to Respondents or Record Keepers</w:t>
      </w:r>
    </w:p>
    <w:p w14:paraId="11E2C6AD" w14:textId="77777777" w:rsidR="005423D7" w:rsidRDefault="005423D7" w:rsidP="005423D7">
      <w:pPr>
        <w:pStyle w:val="CM89"/>
        <w:spacing w:line="228" w:lineRule="atLeast"/>
        <w:rPr>
          <w:rFonts w:asciiTheme="majorHAnsi" w:hAnsiTheme="majorHAnsi" w:cs="Times New Roman"/>
          <w:color w:val="000000"/>
          <w:sz w:val="22"/>
        </w:rPr>
      </w:pPr>
    </w:p>
    <w:p w14:paraId="43EC92F8" w14:textId="77777777" w:rsidR="00D75750" w:rsidRPr="00401E76" w:rsidRDefault="003C31C9" w:rsidP="005423D7">
      <w:pPr>
        <w:pStyle w:val="CM89"/>
        <w:spacing w:line="228" w:lineRule="atLeast"/>
        <w:rPr>
          <w:rFonts w:asciiTheme="majorHAnsi" w:hAnsiTheme="majorHAnsi" w:cs="Times New Roman"/>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w:t>
      </w:r>
      <w:r w:rsidR="00816822">
        <w:rPr>
          <w:rFonts w:asciiTheme="majorHAnsi" w:hAnsiTheme="majorHAnsi" w:cs="Times New Roman"/>
          <w:color w:val="000000"/>
          <w:sz w:val="22"/>
        </w:rPr>
        <w:t xml:space="preserve">in the </w:t>
      </w:r>
      <w:r w:rsidR="00525E61" w:rsidRPr="00401E76">
        <w:rPr>
          <w:rFonts w:asciiTheme="majorHAnsi" w:hAnsiTheme="majorHAnsi" w:cs="Times New Roman"/>
          <w:sz w:val="22"/>
        </w:rPr>
        <w:t>data collection</w:t>
      </w:r>
      <w:r w:rsidR="00816822" w:rsidRPr="00401E76">
        <w:rPr>
          <w:rFonts w:asciiTheme="majorHAnsi" w:hAnsiTheme="majorHAnsi" w:cs="Times New Roman"/>
          <w:sz w:val="22"/>
        </w:rPr>
        <w:t>.</w:t>
      </w:r>
    </w:p>
    <w:p w14:paraId="65CF0FCE" w14:textId="77777777" w:rsidR="00D75750" w:rsidRPr="00911486" w:rsidRDefault="00D75750" w:rsidP="00911486">
      <w:pPr>
        <w:pStyle w:val="Default"/>
        <w:ind w:left="720"/>
      </w:pPr>
    </w:p>
    <w:p w14:paraId="539E3843" w14:textId="77777777" w:rsidR="00B12F51" w:rsidRPr="0088467A" w:rsidRDefault="0088467A" w:rsidP="00E2340D">
      <w:pPr>
        <w:pStyle w:val="ListParagraph"/>
        <w:numPr>
          <w:ilvl w:val="0"/>
          <w:numId w:val="34"/>
        </w:numPr>
        <w:spacing w:after="0"/>
        <w:rPr>
          <w:rFonts w:asciiTheme="majorHAnsi" w:hAnsiTheme="majorHAnsi"/>
          <w:b/>
        </w:rPr>
      </w:pPr>
      <w:r w:rsidRPr="0088467A">
        <w:rPr>
          <w:rFonts w:asciiTheme="majorHAnsi" w:hAnsiTheme="majorHAnsi"/>
          <w:b/>
          <w:bCs/>
        </w:rPr>
        <w:t>Annualized Cost to the Government</w:t>
      </w:r>
      <w:r w:rsidR="00D75750">
        <w:rPr>
          <w:rFonts w:asciiTheme="majorHAnsi" w:hAnsiTheme="majorHAnsi"/>
          <w:b/>
          <w:bCs/>
        </w:rPr>
        <w:t xml:space="preserve"> </w:t>
      </w:r>
    </w:p>
    <w:p w14:paraId="77E147CA" w14:textId="77777777" w:rsidR="0010078A" w:rsidRDefault="0010078A" w:rsidP="0010078A">
      <w:pPr>
        <w:autoSpaceDE w:val="0"/>
        <w:autoSpaceDN w:val="0"/>
        <w:adjustRightInd w:val="0"/>
        <w:spacing w:after="0"/>
        <w:ind w:right="720"/>
        <w:rPr>
          <w:rFonts w:asciiTheme="majorHAnsi" w:hAnsiTheme="majorHAnsi"/>
        </w:rPr>
      </w:pPr>
    </w:p>
    <w:p w14:paraId="188C0E57" w14:textId="2A1CD02E" w:rsidR="0010078A" w:rsidRDefault="0010078A" w:rsidP="0010078A">
      <w:pPr>
        <w:autoSpaceDE w:val="0"/>
        <w:autoSpaceDN w:val="0"/>
        <w:adjustRightInd w:val="0"/>
        <w:spacing w:after="0"/>
        <w:ind w:right="720"/>
        <w:rPr>
          <w:rFonts w:asciiTheme="majorHAnsi" w:hAnsiTheme="majorHAnsi"/>
        </w:rPr>
      </w:pPr>
      <w:r>
        <w:rPr>
          <w:rFonts w:asciiTheme="majorHAnsi" w:hAnsiTheme="majorHAnsi"/>
        </w:rPr>
        <w:lastRenderedPageBreak/>
        <w:t xml:space="preserve">The cost of the government task order attributable to the work is $86,195.  </w:t>
      </w:r>
    </w:p>
    <w:p w14:paraId="500EE01E" w14:textId="77777777" w:rsidR="0010078A" w:rsidRPr="0010078A" w:rsidRDefault="0010078A" w:rsidP="0010078A">
      <w:pPr>
        <w:autoSpaceDE w:val="0"/>
        <w:autoSpaceDN w:val="0"/>
        <w:adjustRightInd w:val="0"/>
        <w:spacing w:after="0"/>
        <w:ind w:right="720"/>
        <w:rPr>
          <w:rFonts w:asciiTheme="majorHAnsi" w:hAnsiTheme="majorHAnsi"/>
        </w:rPr>
      </w:pPr>
    </w:p>
    <w:p w14:paraId="65B8C7CC" w14:textId="77777777" w:rsidR="003C31C9" w:rsidRPr="00D75750" w:rsidRDefault="00321B51" w:rsidP="00D75750">
      <w:pPr>
        <w:pStyle w:val="ListParagraph"/>
        <w:autoSpaceDE w:val="0"/>
        <w:autoSpaceDN w:val="0"/>
        <w:adjustRightInd w:val="0"/>
        <w:ind w:right="720"/>
        <w:rPr>
          <w:rFonts w:asciiTheme="majorHAnsi" w:hAnsiTheme="majorHAnsi"/>
        </w:rPr>
      </w:pPr>
      <w:r>
        <w:rPr>
          <w:rFonts w:asciiTheme="majorHAnsi" w:hAnsiTheme="majorHAnsi"/>
          <w:color w:val="000000"/>
        </w:rPr>
        <w:t xml:space="preserve"> </w:t>
      </w:r>
      <w:r w:rsidR="008E0683" w:rsidRPr="00241B17">
        <w:rPr>
          <w:rFonts w:asciiTheme="majorHAnsi" w:hAnsiTheme="majorHAnsi"/>
          <w:b/>
          <w:u w:val="single"/>
        </w:rPr>
        <w:t>Table A-14</w:t>
      </w:r>
      <w:r w:rsidR="008E0683" w:rsidRPr="00241B17">
        <w:rPr>
          <w:rFonts w:asciiTheme="majorHAnsi" w:hAnsiTheme="majorHAnsi"/>
          <w:b/>
        </w:rPr>
        <w:t>:</w:t>
      </w:r>
      <w:r w:rsidR="008E0683" w:rsidRPr="008E0683">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4841F1" w14:paraId="735723F3" w14:textId="77777777" w:rsidTr="006C4DA7">
        <w:trPr>
          <w:trHeight w:val="593"/>
        </w:trPr>
        <w:tc>
          <w:tcPr>
            <w:tcW w:w="4518" w:type="dxa"/>
            <w:tcBorders>
              <w:bottom w:val="single" w:sz="12" w:space="0" w:color="auto"/>
            </w:tcBorders>
            <w:shd w:val="clear" w:color="auto" w:fill="D9D9D9" w:themeFill="background1" w:themeFillShade="D9"/>
            <w:vAlign w:val="center"/>
          </w:tcPr>
          <w:p w14:paraId="7CD5C256" w14:textId="77777777" w:rsidR="004841F1" w:rsidRPr="004841F1" w:rsidRDefault="004841F1" w:rsidP="004824FA">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14:paraId="2F8D464B" w14:textId="77777777"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14:paraId="59CE7832" w14:textId="77777777"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14:paraId="60E604E8" w14:textId="77777777"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14:paraId="03B11D55" w14:textId="77777777" w:rsidTr="006C4DA7">
        <w:tc>
          <w:tcPr>
            <w:tcW w:w="4518" w:type="dxa"/>
            <w:tcBorders>
              <w:top w:val="single" w:sz="12" w:space="0" w:color="auto"/>
            </w:tcBorders>
          </w:tcPr>
          <w:p w14:paraId="710B2227" w14:textId="20520E2F" w:rsidR="004841F1" w:rsidRPr="004841F1" w:rsidRDefault="00A41D7B" w:rsidP="00AC2C43">
            <w:pPr>
              <w:jc w:val="center"/>
              <w:rPr>
                <w:rFonts w:asciiTheme="majorHAnsi" w:hAnsiTheme="majorHAnsi"/>
                <w:sz w:val="20"/>
              </w:rPr>
            </w:pPr>
            <w:r>
              <w:rPr>
                <w:rFonts w:asciiTheme="majorHAnsi" w:hAnsiTheme="majorHAnsi"/>
                <w:sz w:val="20"/>
              </w:rPr>
              <w:t xml:space="preserve">Social Science Analyst, </w:t>
            </w:r>
            <w:proofErr w:type="spellStart"/>
            <w:r>
              <w:rPr>
                <w:rFonts w:asciiTheme="majorHAnsi" w:hAnsiTheme="majorHAnsi"/>
                <w:sz w:val="20"/>
              </w:rPr>
              <w:t>GS</w:t>
            </w:r>
            <w:proofErr w:type="spellEnd"/>
            <w:r>
              <w:rPr>
                <w:rFonts w:asciiTheme="majorHAnsi" w:hAnsiTheme="majorHAnsi"/>
                <w:sz w:val="20"/>
              </w:rPr>
              <w:t xml:space="preserve"> 14</w:t>
            </w:r>
          </w:p>
        </w:tc>
        <w:tc>
          <w:tcPr>
            <w:tcW w:w="1980" w:type="dxa"/>
            <w:tcBorders>
              <w:top w:val="single" w:sz="12" w:space="0" w:color="auto"/>
            </w:tcBorders>
          </w:tcPr>
          <w:p w14:paraId="532A1C31" w14:textId="06F6E9C2" w:rsidR="004841F1" w:rsidRPr="004841F1" w:rsidRDefault="00A41D7B" w:rsidP="004824FA">
            <w:pPr>
              <w:jc w:val="center"/>
              <w:rPr>
                <w:rFonts w:asciiTheme="majorHAnsi" w:hAnsiTheme="majorHAnsi"/>
                <w:sz w:val="20"/>
              </w:rPr>
            </w:pPr>
            <w:r>
              <w:rPr>
                <w:rFonts w:asciiTheme="majorHAnsi" w:hAnsiTheme="majorHAnsi"/>
                <w:sz w:val="20"/>
              </w:rPr>
              <w:t>30</w:t>
            </w:r>
          </w:p>
        </w:tc>
        <w:tc>
          <w:tcPr>
            <w:tcW w:w="1620" w:type="dxa"/>
            <w:tcBorders>
              <w:top w:val="single" w:sz="12" w:space="0" w:color="auto"/>
            </w:tcBorders>
          </w:tcPr>
          <w:p w14:paraId="11885E8B" w14:textId="4972724C" w:rsidR="004841F1" w:rsidRPr="004841F1" w:rsidRDefault="00A41D7B" w:rsidP="00A72EA1">
            <w:pPr>
              <w:jc w:val="center"/>
              <w:rPr>
                <w:rFonts w:asciiTheme="majorHAnsi" w:hAnsiTheme="majorHAnsi"/>
                <w:sz w:val="20"/>
              </w:rPr>
            </w:pPr>
            <w:r>
              <w:rPr>
                <w:rFonts w:asciiTheme="majorHAnsi" w:hAnsiTheme="majorHAnsi"/>
                <w:sz w:val="20"/>
              </w:rPr>
              <w:t>67.00</w:t>
            </w:r>
          </w:p>
        </w:tc>
        <w:tc>
          <w:tcPr>
            <w:tcW w:w="1458" w:type="dxa"/>
            <w:tcBorders>
              <w:top w:val="single" w:sz="12" w:space="0" w:color="auto"/>
            </w:tcBorders>
          </w:tcPr>
          <w:p w14:paraId="379FACB3" w14:textId="469797A3" w:rsidR="004841F1" w:rsidRPr="004841F1" w:rsidRDefault="00A41D7B" w:rsidP="00A72EA1">
            <w:pPr>
              <w:jc w:val="center"/>
              <w:rPr>
                <w:rFonts w:asciiTheme="majorHAnsi" w:hAnsiTheme="majorHAnsi"/>
                <w:sz w:val="20"/>
              </w:rPr>
            </w:pPr>
            <w:r>
              <w:rPr>
                <w:rFonts w:asciiTheme="majorHAnsi" w:hAnsiTheme="majorHAnsi"/>
                <w:sz w:val="20"/>
              </w:rPr>
              <w:t>$2,010</w:t>
            </w:r>
          </w:p>
        </w:tc>
      </w:tr>
      <w:tr w:rsidR="00AC2C43" w:rsidRPr="004841F1" w14:paraId="19B40502" w14:textId="77777777" w:rsidTr="006C4DA7">
        <w:trPr>
          <w:trHeight w:val="332"/>
        </w:trPr>
        <w:tc>
          <w:tcPr>
            <w:tcW w:w="8118" w:type="dxa"/>
            <w:gridSpan w:val="3"/>
            <w:vAlign w:val="center"/>
          </w:tcPr>
          <w:p w14:paraId="17B7AABC" w14:textId="71762AB7" w:rsidR="00AC2C43" w:rsidRPr="007B305A" w:rsidRDefault="00AC2C43" w:rsidP="006B4DDC">
            <w:pPr>
              <w:jc w:val="right"/>
              <w:rPr>
                <w:rFonts w:asciiTheme="majorHAnsi" w:hAnsiTheme="majorHAnsi"/>
                <w:b/>
                <w:sz w:val="20"/>
              </w:rPr>
            </w:pPr>
            <w:r w:rsidRPr="007B305A">
              <w:rPr>
                <w:rFonts w:asciiTheme="majorHAnsi" w:hAnsiTheme="majorHAnsi"/>
                <w:b/>
                <w:sz w:val="20"/>
              </w:rPr>
              <w:t>Estimated Total Cost of Information Collection</w:t>
            </w:r>
            <w:r w:rsidR="00A41D7B">
              <w:rPr>
                <w:rFonts w:asciiTheme="majorHAnsi" w:hAnsiTheme="majorHAnsi"/>
                <w:b/>
                <w:sz w:val="20"/>
              </w:rPr>
              <w:t xml:space="preserve"> (contract cost plus federal FTE cost)</w:t>
            </w:r>
          </w:p>
        </w:tc>
        <w:tc>
          <w:tcPr>
            <w:tcW w:w="1458" w:type="dxa"/>
            <w:vAlign w:val="center"/>
          </w:tcPr>
          <w:p w14:paraId="7C1DAE48" w14:textId="034AA63E" w:rsidR="00AC2C43" w:rsidRPr="007B305A" w:rsidRDefault="00A41D7B" w:rsidP="00A72EA1">
            <w:pPr>
              <w:jc w:val="center"/>
              <w:rPr>
                <w:rFonts w:asciiTheme="majorHAnsi" w:hAnsiTheme="majorHAnsi"/>
                <w:b/>
                <w:sz w:val="20"/>
              </w:rPr>
            </w:pPr>
            <w:r>
              <w:rPr>
                <w:rFonts w:asciiTheme="majorHAnsi" w:hAnsiTheme="majorHAnsi"/>
                <w:b/>
                <w:sz w:val="20"/>
              </w:rPr>
              <w:t>$88,205</w:t>
            </w:r>
          </w:p>
        </w:tc>
      </w:tr>
    </w:tbl>
    <w:p w14:paraId="2A30D327" w14:textId="77777777" w:rsidR="004841F1" w:rsidRDefault="004841F1" w:rsidP="00241B17">
      <w:pPr>
        <w:spacing w:after="0"/>
        <w:rPr>
          <w:rFonts w:asciiTheme="majorHAnsi" w:hAnsiTheme="majorHAnsi"/>
        </w:rPr>
      </w:pPr>
    </w:p>
    <w:p w14:paraId="2E214634" w14:textId="77777777" w:rsidR="00B12F51" w:rsidRPr="00D75750" w:rsidRDefault="00D75750" w:rsidP="00E2340D">
      <w:pPr>
        <w:pStyle w:val="ListParagraph"/>
        <w:numPr>
          <w:ilvl w:val="0"/>
          <w:numId w:val="34"/>
        </w:numPr>
        <w:spacing w:after="0"/>
        <w:rPr>
          <w:rFonts w:asciiTheme="majorHAnsi" w:hAnsiTheme="majorHAnsi"/>
          <w:b/>
        </w:rPr>
      </w:pPr>
      <w:r w:rsidRPr="00D75750">
        <w:rPr>
          <w:rFonts w:asciiTheme="majorHAnsi" w:hAnsiTheme="majorHAnsi"/>
          <w:b/>
          <w:bCs/>
        </w:rPr>
        <w:t>Explanation for Program Changes or Adjustments</w:t>
      </w:r>
    </w:p>
    <w:p w14:paraId="4D8EF3DC" w14:textId="77777777" w:rsidR="00CF52B3" w:rsidRDefault="00CF52B3" w:rsidP="00F52BCC">
      <w:pPr>
        <w:pStyle w:val="ListParagraph"/>
        <w:spacing w:after="0"/>
        <w:rPr>
          <w:rFonts w:asciiTheme="majorHAnsi" w:hAnsiTheme="majorHAnsi"/>
        </w:rPr>
      </w:pPr>
    </w:p>
    <w:p w14:paraId="002E16E4" w14:textId="77777777" w:rsidR="00F52BCC" w:rsidRDefault="003C7C5D" w:rsidP="00F52BCC">
      <w:pPr>
        <w:pStyle w:val="ListParagraph"/>
        <w:spacing w:after="0"/>
        <w:rPr>
          <w:rFonts w:asciiTheme="majorHAnsi" w:hAnsiTheme="majorHAnsi"/>
        </w:rPr>
      </w:pPr>
      <w:r>
        <w:rPr>
          <w:rFonts w:asciiTheme="majorHAnsi" w:hAnsiTheme="majorHAnsi"/>
        </w:rPr>
        <w:t>This is a new data collection.</w:t>
      </w:r>
    </w:p>
    <w:p w14:paraId="0330E5C0" w14:textId="77777777" w:rsidR="00F52BCC" w:rsidRDefault="00F52BCC" w:rsidP="00F52BCC">
      <w:pPr>
        <w:pStyle w:val="ListParagraph"/>
        <w:spacing w:after="0"/>
        <w:rPr>
          <w:rFonts w:asciiTheme="majorHAnsi" w:hAnsiTheme="majorHAnsi"/>
        </w:rPr>
      </w:pPr>
    </w:p>
    <w:p w14:paraId="05EA9DB8" w14:textId="77777777" w:rsidR="00B12F51" w:rsidRPr="001B35D6" w:rsidRDefault="00616090" w:rsidP="00E2340D">
      <w:pPr>
        <w:pStyle w:val="ListParagraph"/>
        <w:numPr>
          <w:ilvl w:val="0"/>
          <w:numId w:val="34"/>
        </w:numPr>
        <w:spacing w:after="0"/>
        <w:rPr>
          <w:rFonts w:asciiTheme="majorHAnsi" w:hAnsiTheme="majorHAnsi"/>
          <w:b/>
        </w:rPr>
      </w:pPr>
      <w:r w:rsidRPr="001B35D6">
        <w:rPr>
          <w:rFonts w:asciiTheme="majorHAnsi" w:hAnsiTheme="majorHAnsi"/>
          <w:b/>
        </w:rPr>
        <w:t>Plan</w:t>
      </w:r>
      <w:r w:rsidR="00D75750" w:rsidRPr="001B35D6">
        <w:rPr>
          <w:rFonts w:asciiTheme="majorHAnsi" w:hAnsiTheme="majorHAnsi"/>
          <w:b/>
        </w:rPr>
        <w:t>s</w:t>
      </w:r>
      <w:r w:rsidR="00D75750" w:rsidRPr="001B35D6">
        <w:rPr>
          <w:rFonts w:asciiTheme="majorHAnsi" w:hAnsiTheme="majorHAnsi"/>
          <w:b/>
          <w:bCs/>
        </w:rPr>
        <w:t xml:space="preserve"> for Tabulation and Publication and Project Time Schedule</w:t>
      </w:r>
    </w:p>
    <w:p w14:paraId="14B148B8" w14:textId="77777777" w:rsidR="002F1502" w:rsidRDefault="002F1502" w:rsidP="00F52BCC">
      <w:pPr>
        <w:pStyle w:val="ListParagraph"/>
        <w:spacing w:after="0"/>
        <w:rPr>
          <w:rFonts w:asciiTheme="majorHAnsi" w:hAnsiTheme="majorHAnsi"/>
        </w:rPr>
      </w:pPr>
    </w:p>
    <w:p w14:paraId="703F66DD" w14:textId="1BA03B0A" w:rsidR="00751CEB" w:rsidRDefault="00751CEB" w:rsidP="00F52BCC">
      <w:pPr>
        <w:pStyle w:val="ListParagraph"/>
        <w:spacing w:after="0"/>
        <w:rPr>
          <w:rFonts w:asciiTheme="majorHAnsi" w:hAnsiTheme="majorHAnsi"/>
        </w:rPr>
      </w:pPr>
      <w:r>
        <w:rPr>
          <w:rFonts w:asciiTheme="majorHAnsi" w:hAnsiTheme="majorHAnsi"/>
        </w:rPr>
        <w:t xml:space="preserve">The qualitative information gathered from the </w:t>
      </w:r>
      <w:r w:rsidR="00642594">
        <w:rPr>
          <w:rFonts w:asciiTheme="majorHAnsi" w:hAnsiTheme="majorHAnsi"/>
        </w:rPr>
        <w:t xml:space="preserve">online </w:t>
      </w:r>
      <w:r w:rsidR="0094253F">
        <w:rPr>
          <w:rFonts w:asciiTheme="majorHAnsi" w:hAnsiTheme="majorHAnsi"/>
        </w:rPr>
        <w:t>questionnaire</w:t>
      </w:r>
      <w:r w:rsidR="00642594">
        <w:rPr>
          <w:rFonts w:asciiTheme="majorHAnsi" w:hAnsiTheme="majorHAnsi"/>
        </w:rPr>
        <w:t xml:space="preserve"> </w:t>
      </w:r>
      <w:r>
        <w:rPr>
          <w:rFonts w:asciiTheme="majorHAnsi" w:hAnsiTheme="majorHAnsi"/>
        </w:rPr>
        <w:t xml:space="preserve">will be </w:t>
      </w:r>
      <w:r w:rsidR="00642594">
        <w:rPr>
          <w:rFonts w:asciiTheme="majorHAnsi" w:hAnsiTheme="majorHAnsi"/>
        </w:rPr>
        <w:t xml:space="preserve">analyzed and </w:t>
      </w:r>
      <w:r>
        <w:rPr>
          <w:rFonts w:asciiTheme="majorHAnsi" w:hAnsiTheme="majorHAnsi"/>
        </w:rPr>
        <w:t xml:space="preserve">summarized by </w:t>
      </w:r>
      <w:proofErr w:type="spellStart"/>
      <w:r>
        <w:rPr>
          <w:rFonts w:asciiTheme="majorHAnsi" w:hAnsiTheme="majorHAnsi"/>
        </w:rPr>
        <w:t>ASPE’s</w:t>
      </w:r>
      <w:proofErr w:type="spellEnd"/>
      <w:r>
        <w:rPr>
          <w:rFonts w:asciiTheme="majorHAnsi" w:hAnsiTheme="majorHAnsi"/>
        </w:rPr>
        <w:t xml:space="preserve"> contractor for this work</w:t>
      </w:r>
      <w:r w:rsidR="00642594">
        <w:rPr>
          <w:rFonts w:asciiTheme="majorHAnsi" w:hAnsiTheme="majorHAnsi"/>
        </w:rPr>
        <w:t xml:space="preserve">, </w:t>
      </w:r>
      <w:proofErr w:type="spellStart"/>
      <w:r w:rsidR="00642594">
        <w:rPr>
          <w:rFonts w:asciiTheme="majorHAnsi" w:hAnsiTheme="majorHAnsi"/>
        </w:rPr>
        <w:t>MEF</w:t>
      </w:r>
      <w:proofErr w:type="spellEnd"/>
      <w:r w:rsidR="00642594">
        <w:rPr>
          <w:rFonts w:asciiTheme="majorHAnsi" w:hAnsiTheme="majorHAnsi"/>
        </w:rPr>
        <w:t xml:space="preserve"> Associates and their subcontractors, </w:t>
      </w:r>
      <w:proofErr w:type="spellStart"/>
      <w:r w:rsidR="00642594">
        <w:rPr>
          <w:rFonts w:asciiTheme="majorHAnsi" w:hAnsiTheme="majorHAnsi"/>
        </w:rPr>
        <w:t>APHSA</w:t>
      </w:r>
      <w:proofErr w:type="spellEnd"/>
      <w:r w:rsidR="00642594">
        <w:rPr>
          <w:rFonts w:asciiTheme="majorHAnsi" w:hAnsiTheme="majorHAnsi"/>
        </w:rPr>
        <w:t xml:space="preserve"> and RIG.  The </w:t>
      </w:r>
      <w:proofErr w:type="spellStart"/>
      <w:r w:rsidR="00642594">
        <w:rPr>
          <w:rFonts w:asciiTheme="majorHAnsi" w:hAnsiTheme="majorHAnsi"/>
        </w:rPr>
        <w:t>MEF</w:t>
      </w:r>
      <w:proofErr w:type="spellEnd"/>
      <w:r w:rsidR="00642594">
        <w:rPr>
          <w:rFonts w:asciiTheme="majorHAnsi" w:hAnsiTheme="majorHAnsi"/>
        </w:rPr>
        <w:t xml:space="preserve"> team </w:t>
      </w:r>
      <w:r>
        <w:rPr>
          <w:rFonts w:asciiTheme="majorHAnsi" w:hAnsiTheme="majorHAnsi"/>
        </w:rPr>
        <w:t xml:space="preserve">will </w:t>
      </w:r>
      <w:r w:rsidR="00642594">
        <w:rPr>
          <w:rFonts w:asciiTheme="majorHAnsi" w:hAnsiTheme="majorHAnsi"/>
        </w:rPr>
        <w:t xml:space="preserve">track completion rates across respondents, do follow-ups to increase the response rate, analyze all information received, and identify main themes across states, including commonalities across lessons learned, challenges confronted and overcome, plans for further integration, and identified technical assistance needs.  </w:t>
      </w:r>
      <w:r w:rsidR="00425551">
        <w:rPr>
          <w:rFonts w:asciiTheme="majorHAnsi" w:hAnsiTheme="majorHAnsi"/>
        </w:rPr>
        <w:t xml:space="preserve">The contractor will produce tables presenting response frequencies and distributions of responses.  </w:t>
      </w:r>
      <w:r w:rsidR="00642594">
        <w:rPr>
          <w:rFonts w:asciiTheme="majorHAnsi" w:hAnsiTheme="majorHAnsi"/>
        </w:rPr>
        <w:t xml:space="preserve">Together with the project officer, the contractor team will consider how best to summarize and present this information at a webinar to which state officials and other stakeholders will be invited to learn about results and share experiences.  A final research brief, which may be made public, will summarize the overall project, including results, webinar takeaways, and possible further work needed to support states’ integration efforts under the </w:t>
      </w:r>
      <w:proofErr w:type="spellStart"/>
      <w:r w:rsidR="00642594">
        <w:rPr>
          <w:rFonts w:asciiTheme="majorHAnsi" w:hAnsiTheme="majorHAnsi"/>
        </w:rPr>
        <w:t>ACA</w:t>
      </w:r>
      <w:proofErr w:type="spellEnd"/>
      <w:r w:rsidR="00642594">
        <w:rPr>
          <w:rFonts w:asciiTheme="majorHAnsi" w:hAnsiTheme="majorHAnsi"/>
        </w:rPr>
        <w:t xml:space="preserve">.  </w:t>
      </w:r>
    </w:p>
    <w:p w14:paraId="4B5A0E54" w14:textId="77777777" w:rsidR="00751CEB" w:rsidRDefault="00751CEB" w:rsidP="00F52BCC">
      <w:pPr>
        <w:pStyle w:val="ListParagraph"/>
        <w:spacing w:after="0"/>
        <w:rPr>
          <w:rFonts w:asciiTheme="majorHAnsi" w:hAnsiTheme="majorHAnsi"/>
        </w:rPr>
      </w:pPr>
    </w:p>
    <w:p w14:paraId="58E48D3F" w14:textId="77777777" w:rsidR="000A71DF" w:rsidRPr="000A71DF" w:rsidRDefault="000A71DF" w:rsidP="000A71DF">
      <w:pPr>
        <w:spacing w:after="0"/>
        <w:ind w:firstLine="720"/>
        <w:rPr>
          <w:rFonts w:asciiTheme="majorHAnsi" w:hAnsiTheme="majorHAnsi"/>
          <w:sz w:val="24"/>
          <w:u w:val="single"/>
        </w:rPr>
      </w:pPr>
      <w:r>
        <w:rPr>
          <w:rFonts w:asciiTheme="majorHAnsi" w:hAnsiTheme="majorHAnsi"/>
          <w:sz w:val="24"/>
          <w:u w:val="single"/>
        </w:rPr>
        <w:t>Project Time Schedule</w:t>
      </w:r>
    </w:p>
    <w:p w14:paraId="530B96D5" w14:textId="0CE0D592" w:rsidR="001B35D6" w:rsidRPr="001B1BDD" w:rsidRDefault="006F6719" w:rsidP="001F5E16">
      <w:pPr>
        <w:pStyle w:val="ListParagraph"/>
        <w:numPr>
          <w:ilvl w:val="0"/>
          <w:numId w:val="28"/>
        </w:numPr>
        <w:tabs>
          <w:tab w:val="right" w:leader="dot" w:pos="9360"/>
        </w:tabs>
        <w:spacing w:after="0"/>
        <w:rPr>
          <w:rFonts w:asciiTheme="majorHAnsi" w:hAnsiTheme="majorHAnsi"/>
        </w:rPr>
      </w:pPr>
      <w:r w:rsidRPr="001B1BDD">
        <w:rPr>
          <w:rFonts w:asciiTheme="majorHAnsi" w:hAnsiTheme="majorHAnsi"/>
        </w:rPr>
        <w:t>March-April</w:t>
      </w:r>
      <w:r w:rsidR="00C65BF7" w:rsidRPr="001B1BDD">
        <w:rPr>
          <w:rFonts w:asciiTheme="majorHAnsi" w:hAnsiTheme="majorHAnsi"/>
        </w:rPr>
        <w:t xml:space="preserve"> </w:t>
      </w:r>
      <w:r w:rsidR="00F03E42" w:rsidRPr="001B1BDD">
        <w:rPr>
          <w:rFonts w:asciiTheme="majorHAnsi" w:hAnsiTheme="majorHAnsi"/>
        </w:rPr>
        <w:t xml:space="preserve">2016: online </w:t>
      </w:r>
      <w:r w:rsidR="0094253F">
        <w:rPr>
          <w:rFonts w:asciiTheme="majorHAnsi" w:hAnsiTheme="majorHAnsi"/>
        </w:rPr>
        <w:t>questionnaire</w:t>
      </w:r>
      <w:r w:rsidR="00F03E42" w:rsidRPr="001B1BDD">
        <w:rPr>
          <w:rFonts w:asciiTheme="majorHAnsi" w:hAnsiTheme="majorHAnsi"/>
        </w:rPr>
        <w:t xml:space="preserve"> administered to states.</w:t>
      </w:r>
    </w:p>
    <w:p w14:paraId="7EA64743" w14:textId="286DFA03" w:rsidR="00F03E42" w:rsidRPr="001B1BDD" w:rsidRDefault="00C65BF7" w:rsidP="001F5E16">
      <w:pPr>
        <w:pStyle w:val="ListParagraph"/>
        <w:numPr>
          <w:ilvl w:val="0"/>
          <w:numId w:val="28"/>
        </w:numPr>
        <w:tabs>
          <w:tab w:val="right" w:leader="dot" w:pos="9360"/>
        </w:tabs>
        <w:spacing w:after="0"/>
        <w:rPr>
          <w:rFonts w:asciiTheme="majorHAnsi" w:hAnsiTheme="majorHAnsi"/>
        </w:rPr>
      </w:pPr>
      <w:r w:rsidRPr="001B1BDD">
        <w:rPr>
          <w:rFonts w:asciiTheme="majorHAnsi" w:hAnsiTheme="majorHAnsi"/>
        </w:rPr>
        <w:t>April-</w:t>
      </w:r>
      <w:r w:rsidR="00FE2AE1" w:rsidRPr="001B1BDD">
        <w:rPr>
          <w:rFonts w:asciiTheme="majorHAnsi" w:hAnsiTheme="majorHAnsi"/>
        </w:rPr>
        <w:t>early June</w:t>
      </w:r>
      <w:r w:rsidRPr="001B1BDD">
        <w:rPr>
          <w:rFonts w:asciiTheme="majorHAnsi" w:hAnsiTheme="majorHAnsi"/>
        </w:rPr>
        <w:t xml:space="preserve"> </w:t>
      </w:r>
      <w:r w:rsidR="00F03E42" w:rsidRPr="001B1BDD">
        <w:rPr>
          <w:rFonts w:asciiTheme="majorHAnsi" w:hAnsiTheme="majorHAnsi"/>
        </w:rPr>
        <w:t xml:space="preserve">2016:  Contractor team analyzes information received, prepares a codebook, and prepares draft, revised, and final versions of an internal results memo for </w:t>
      </w:r>
      <w:proofErr w:type="spellStart"/>
      <w:r w:rsidR="00F03E42" w:rsidRPr="001B1BDD">
        <w:rPr>
          <w:rFonts w:asciiTheme="majorHAnsi" w:hAnsiTheme="majorHAnsi"/>
        </w:rPr>
        <w:t>ASPE</w:t>
      </w:r>
      <w:proofErr w:type="spellEnd"/>
      <w:r w:rsidR="00F03E42" w:rsidRPr="001B1BDD">
        <w:rPr>
          <w:rFonts w:asciiTheme="majorHAnsi" w:hAnsiTheme="majorHAnsi"/>
        </w:rPr>
        <w:t xml:space="preserve"> and ACF.  </w:t>
      </w:r>
    </w:p>
    <w:p w14:paraId="4C08C608" w14:textId="628219E7" w:rsidR="00F03E42" w:rsidRPr="001B1BDD" w:rsidRDefault="00FE2AE1" w:rsidP="001F5E16">
      <w:pPr>
        <w:pStyle w:val="ListParagraph"/>
        <w:numPr>
          <w:ilvl w:val="0"/>
          <w:numId w:val="28"/>
        </w:numPr>
        <w:tabs>
          <w:tab w:val="right" w:leader="dot" w:pos="9360"/>
        </w:tabs>
        <w:spacing w:after="0"/>
        <w:rPr>
          <w:rFonts w:asciiTheme="majorHAnsi" w:hAnsiTheme="majorHAnsi"/>
        </w:rPr>
      </w:pPr>
      <w:r w:rsidRPr="001B1BDD">
        <w:rPr>
          <w:rFonts w:asciiTheme="majorHAnsi" w:hAnsiTheme="majorHAnsi"/>
        </w:rPr>
        <w:t>July</w:t>
      </w:r>
      <w:r w:rsidR="00C65BF7" w:rsidRPr="001B1BDD">
        <w:rPr>
          <w:rFonts w:asciiTheme="majorHAnsi" w:hAnsiTheme="majorHAnsi"/>
        </w:rPr>
        <w:t xml:space="preserve"> </w:t>
      </w:r>
      <w:r w:rsidR="00F03E42" w:rsidRPr="001B1BDD">
        <w:rPr>
          <w:rFonts w:asciiTheme="majorHAnsi" w:hAnsiTheme="majorHAnsi"/>
        </w:rPr>
        <w:t>2016:  Webinar held.</w:t>
      </w:r>
    </w:p>
    <w:p w14:paraId="07A201F1" w14:textId="58B99DE3" w:rsidR="000A71DF" w:rsidRPr="001B1BDD" w:rsidRDefault="00F03E42" w:rsidP="00F03E42">
      <w:pPr>
        <w:pStyle w:val="ListParagraph"/>
        <w:numPr>
          <w:ilvl w:val="0"/>
          <w:numId w:val="28"/>
        </w:numPr>
        <w:tabs>
          <w:tab w:val="right" w:leader="dot" w:pos="9360"/>
        </w:tabs>
        <w:spacing w:after="0"/>
        <w:rPr>
          <w:rFonts w:asciiTheme="majorHAnsi" w:hAnsiTheme="majorHAnsi"/>
        </w:rPr>
      </w:pPr>
      <w:r w:rsidRPr="001B1BDD">
        <w:rPr>
          <w:rFonts w:asciiTheme="majorHAnsi" w:hAnsiTheme="majorHAnsi"/>
        </w:rPr>
        <w:t>July</w:t>
      </w:r>
      <w:r w:rsidR="00C65BF7" w:rsidRPr="001B1BDD">
        <w:rPr>
          <w:rFonts w:asciiTheme="majorHAnsi" w:hAnsiTheme="majorHAnsi"/>
        </w:rPr>
        <w:t>-Sept</w:t>
      </w:r>
      <w:r w:rsidR="00C30B44">
        <w:rPr>
          <w:rFonts w:asciiTheme="majorHAnsi" w:hAnsiTheme="majorHAnsi"/>
        </w:rPr>
        <w:t>ember</w:t>
      </w:r>
      <w:r w:rsidR="00C65BF7" w:rsidRPr="001B1BDD">
        <w:rPr>
          <w:rFonts w:asciiTheme="majorHAnsi" w:hAnsiTheme="majorHAnsi"/>
        </w:rPr>
        <w:t xml:space="preserve"> </w:t>
      </w:r>
      <w:r w:rsidRPr="001B1BDD">
        <w:rPr>
          <w:rFonts w:asciiTheme="majorHAnsi" w:hAnsiTheme="majorHAnsi"/>
        </w:rPr>
        <w:t>2016:  Contractor te</w:t>
      </w:r>
      <w:r w:rsidR="00780844" w:rsidRPr="001B1BDD">
        <w:rPr>
          <w:rFonts w:asciiTheme="majorHAnsi" w:hAnsiTheme="majorHAnsi"/>
        </w:rPr>
        <w:t>am drafts and finalizes a final report.</w:t>
      </w:r>
      <w:r w:rsidRPr="001B1BDD">
        <w:rPr>
          <w:rFonts w:asciiTheme="majorHAnsi" w:hAnsiTheme="majorHAnsi"/>
        </w:rPr>
        <w:t xml:space="preserve">  </w:t>
      </w:r>
    </w:p>
    <w:p w14:paraId="6D3136A4" w14:textId="77777777" w:rsidR="00F03E42" w:rsidRDefault="00F03E42" w:rsidP="00F03E42">
      <w:pPr>
        <w:pStyle w:val="ListParagraph"/>
        <w:tabs>
          <w:tab w:val="right" w:leader="dot" w:pos="9360"/>
        </w:tabs>
        <w:spacing w:after="0"/>
        <w:ind w:left="1170"/>
        <w:rPr>
          <w:rFonts w:asciiTheme="majorHAnsi" w:hAnsiTheme="majorHAnsi"/>
        </w:rPr>
      </w:pPr>
    </w:p>
    <w:p w14:paraId="140A2558" w14:textId="77777777" w:rsidR="00B12F51" w:rsidRPr="00D75750" w:rsidRDefault="00D75750" w:rsidP="00E2340D">
      <w:pPr>
        <w:pStyle w:val="ListParagraph"/>
        <w:numPr>
          <w:ilvl w:val="0"/>
          <w:numId w:val="34"/>
        </w:numPr>
        <w:spacing w:after="0"/>
        <w:rPr>
          <w:rFonts w:asciiTheme="majorHAnsi" w:hAnsiTheme="majorHAnsi"/>
          <w:b/>
        </w:rPr>
      </w:pPr>
      <w:r w:rsidRPr="00D75750">
        <w:rPr>
          <w:rFonts w:asciiTheme="majorHAnsi" w:hAnsiTheme="majorHAnsi"/>
          <w:b/>
          <w:bCs/>
        </w:rPr>
        <w:t xml:space="preserve">Reason(s) Display of OMB Expiration </w:t>
      </w:r>
      <w:r>
        <w:rPr>
          <w:rFonts w:asciiTheme="majorHAnsi" w:hAnsiTheme="majorHAnsi"/>
          <w:b/>
        </w:rPr>
        <w:t xml:space="preserve">Date </w:t>
      </w:r>
      <w:r w:rsidRPr="00D75750">
        <w:rPr>
          <w:rFonts w:asciiTheme="majorHAnsi" w:hAnsiTheme="majorHAnsi"/>
          <w:b/>
          <w:bCs/>
        </w:rPr>
        <w:t>is Inappropriate</w:t>
      </w:r>
    </w:p>
    <w:p w14:paraId="64476CDF" w14:textId="77777777" w:rsidR="00CF52B3" w:rsidRDefault="00CF52B3" w:rsidP="00F52BCC">
      <w:pPr>
        <w:pStyle w:val="ListParagraph"/>
        <w:spacing w:after="0"/>
        <w:rPr>
          <w:rFonts w:asciiTheme="majorHAnsi" w:hAnsiTheme="majorHAnsi"/>
        </w:rPr>
      </w:pPr>
    </w:p>
    <w:p w14:paraId="232880EE" w14:textId="77777777" w:rsidR="00F52BCC" w:rsidRDefault="00180D45" w:rsidP="00F52BCC">
      <w:pPr>
        <w:pStyle w:val="ListParagraph"/>
        <w:spacing w:after="0"/>
        <w:rPr>
          <w:rFonts w:asciiTheme="majorHAnsi" w:hAnsiTheme="majorHAnsi"/>
        </w:rPr>
      </w:pPr>
      <w:r>
        <w:rPr>
          <w:rFonts w:asciiTheme="majorHAnsi" w:hAnsiTheme="majorHAnsi"/>
        </w:rPr>
        <w:t>We are requesting no exemption.</w:t>
      </w:r>
    </w:p>
    <w:p w14:paraId="63E6DCBC" w14:textId="77777777" w:rsidR="00F52BCC" w:rsidRDefault="00F52BCC" w:rsidP="00F52BCC">
      <w:pPr>
        <w:pStyle w:val="ListParagraph"/>
        <w:spacing w:after="0"/>
        <w:rPr>
          <w:rFonts w:asciiTheme="majorHAnsi" w:hAnsiTheme="majorHAnsi"/>
        </w:rPr>
      </w:pPr>
    </w:p>
    <w:p w14:paraId="2AAF13EE" w14:textId="77777777" w:rsidR="00B12F51" w:rsidRPr="00D26A64" w:rsidRDefault="00B12F51" w:rsidP="00E2340D">
      <w:pPr>
        <w:pStyle w:val="ListParagraph"/>
        <w:numPr>
          <w:ilvl w:val="0"/>
          <w:numId w:val="34"/>
        </w:numPr>
        <w:spacing w:after="0"/>
        <w:rPr>
          <w:rFonts w:asciiTheme="majorHAnsi" w:hAnsiTheme="majorHAnsi"/>
          <w:b/>
        </w:rPr>
      </w:pPr>
      <w:r w:rsidRPr="00D26A64">
        <w:rPr>
          <w:rFonts w:asciiTheme="majorHAnsi" w:hAnsiTheme="majorHAnsi"/>
          <w:b/>
        </w:rPr>
        <w:t>Exceptions to Certification for Paperwork Reduction Act Submissions</w:t>
      </w:r>
    </w:p>
    <w:p w14:paraId="199C6010" w14:textId="77777777" w:rsidR="00CF52B3" w:rsidRDefault="00CF52B3" w:rsidP="00F52BCC">
      <w:pPr>
        <w:pStyle w:val="ListParagraph"/>
        <w:spacing w:after="0"/>
        <w:rPr>
          <w:rFonts w:asciiTheme="majorHAnsi" w:hAnsiTheme="majorHAnsi"/>
        </w:rPr>
      </w:pPr>
    </w:p>
    <w:p w14:paraId="1F1E0E0C" w14:textId="77777777" w:rsidR="00F52BCC" w:rsidRDefault="0031279F" w:rsidP="00F52BCC">
      <w:pPr>
        <w:pStyle w:val="ListParagraph"/>
        <w:spacing w:after="0"/>
        <w:rPr>
          <w:rFonts w:asciiTheme="majorHAnsi" w:hAnsiTheme="majorHAnsi"/>
        </w:rPr>
      </w:pPr>
      <w:r>
        <w:rPr>
          <w:rFonts w:asciiTheme="majorHAnsi" w:hAnsiTheme="majorHAnsi"/>
        </w:rPr>
        <w:lastRenderedPageBreak/>
        <w:t>There are no exceptions to the certification.</w:t>
      </w:r>
      <w:r w:rsidR="00180D45">
        <w:rPr>
          <w:rFonts w:asciiTheme="majorHAnsi" w:hAnsiTheme="majorHAnsi"/>
        </w:rPr>
        <w:t xml:space="preserve">  These activities comply with the requirements in 5 </w:t>
      </w:r>
      <w:proofErr w:type="spellStart"/>
      <w:r w:rsidR="00180D45">
        <w:rPr>
          <w:rFonts w:asciiTheme="majorHAnsi" w:hAnsiTheme="majorHAnsi"/>
        </w:rPr>
        <w:t>CFR</w:t>
      </w:r>
      <w:proofErr w:type="spellEnd"/>
      <w:r w:rsidR="00180D45">
        <w:rPr>
          <w:rFonts w:asciiTheme="majorHAnsi" w:hAnsiTheme="majorHAnsi"/>
        </w:rPr>
        <w:t xml:space="preserve"> 1320.9.</w:t>
      </w:r>
    </w:p>
    <w:p w14:paraId="5F0D99BB" w14:textId="77777777" w:rsidR="00701D48" w:rsidRDefault="00701D48" w:rsidP="00701D48">
      <w:pPr>
        <w:rPr>
          <w:rFonts w:asciiTheme="majorHAnsi" w:hAnsiTheme="majorHAnsi"/>
          <w:b/>
          <w:sz w:val="28"/>
        </w:rPr>
      </w:pPr>
    </w:p>
    <w:p w14:paraId="27CF7DB1" w14:textId="77777777" w:rsidR="001B35D6" w:rsidRDefault="00A36419" w:rsidP="001B35D6">
      <w:pPr>
        <w:rPr>
          <w:rFonts w:asciiTheme="majorHAnsi" w:hAnsiTheme="majorHAnsi"/>
          <w:b/>
          <w:sz w:val="28"/>
        </w:rPr>
      </w:pPr>
      <w:r>
        <w:rPr>
          <w:rFonts w:asciiTheme="majorHAnsi" w:hAnsiTheme="majorHAnsi"/>
          <w:b/>
          <w:sz w:val="28"/>
        </w:rPr>
        <w:t>LIST OF ATTACHMENTS</w:t>
      </w:r>
      <w:r w:rsidR="00A33E90">
        <w:rPr>
          <w:rFonts w:asciiTheme="majorHAnsi" w:hAnsiTheme="majorHAnsi"/>
          <w:b/>
          <w:sz w:val="28"/>
        </w:rPr>
        <w:t xml:space="preserve"> – Section A</w:t>
      </w:r>
    </w:p>
    <w:p w14:paraId="5E15B236" w14:textId="77777777" w:rsidR="006B5E55" w:rsidRPr="001B35D6" w:rsidRDefault="006B5E55" w:rsidP="001B35D6">
      <w:pPr>
        <w:rPr>
          <w:rFonts w:asciiTheme="majorHAnsi" w:hAnsiTheme="majorHAnsi"/>
          <w:b/>
          <w:sz w:val="28"/>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14:paraId="0162A354" w14:textId="5C6996F4" w:rsidR="001B35D6" w:rsidRDefault="005A491D" w:rsidP="00870B85">
      <w:pPr>
        <w:pStyle w:val="ListParagraph"/>
        <w:numPr>
          <w:ilvl w:val="0"/>
          <w:numId w:val="31"/>
        </w:numPr>
        <w:spacing w:after="0"/>
        <w:rPr>
          <w:rFonts w:asciiTheme="majorHAnsi" w:hAnsiTheme="majorHAnsi"/>
        </w:rPr>
      </w:pPr>
      <w:r>
        <w:rPr>
          <w:rFonts w:asciiTheme="majorHAnsi" w:hAnsiTheme="majorHAnsi"/>
        </w:rPr>
        <w:t xml:space="preserve">Online </w:t>
      </w:r>
      <w:r w:rsidR="0094253F">
        <w:rPr>
          <w:rFonts w:asciiTheme="majorHAnsi" w:hAnsiTheme="majorHAnsi"/>
        </w:rPr>
        <w:t>questionnaire</w:t>
      </w:r>
    </w:p>
    <w:p w14:paraId="40207B99" w14:textId="34FB87FB" w:rsidR="00425551" w:rsidRDefault="00425551" w:rsidP="00870B85">
      <w:pPr>
        <w:pStyle w:val="ListParagraph"/>
        <w:numPr>
          <w:ilvl w:val="0"/>
          <w:numId w:val="31"/>
        </w:numPr>
        <w:spacing w:after="0"/>
        <w:rPr>
          <w:rFonts w:asciiTheme="majorHAnsi" w:hAnsiTheme="majorHAnsi"/>
        </w:rPr>
      </w:pPr>
      <w:r>
        <w:rPr>
          <w:rFonts w:asciiTheme="majorHAnsi" w:hAnsiTheme="majorHAnsi"/>
        </w:rPr>
        <w:t xml:space="preserve">Copy of letter </w:t>
      </w:r>
      <w:r w:rsidR="001B1BDD">
        <w:rPr>
          <w:rFonts w:asciiTheme="majorHAnsi" w:hAnsiTheme="majorHAnsi"/>
        </w:rPr>
        <w:t xml:space="preserve">from HHS and </w:t>
      </w:r>
      <w:proofErr w:type="spellStart"/>
      <w:r w:rsidR="001B1BDD">
        <w:rPr>
          <w:rFonts w:asciiTheme="majorHAnsi" w:hAnsiTheme="majorHAnsi"/>
        </w:rPr>
        <w:t>APHSA</w:t>
      </w:r>
      <w:proofErr w:type="spellEnd"/>
      <w:r w:rsidR="001B1BDD">
        <w:rPr>
          <w:rFonts w:asciiTheme="majorHAnsi" w:hAnsiTheme="majorHAnsi"/>
        </w:rPr>
        <w:t xml:space="preserve"> </w:t>
      </w:r>
      <w:r>
        <w:rPr>
          <w:rFonts w:asciiTheme="majorHAnsi" w:hAnsiTheme="majorHAnsi"/>
        </w:rPr>
        <w:t>to be sent in advance to state respondents</w:t>
      </w:r>
    </w:p>
    <w:p w14:paraId="1269E05F" w14:textId="6724DE98" w:rsidR="00E67510" w:rsidRDefault="00E67510" w:rsidP="00870B85">
      <w:pPr>
        <w:pStyle w:val="ListParagraph"/>
        <w:numPr>
          <w:ilvl w:val="0"/>
          <w:numId w:val="31"/>
        </w:numPr>
        <w:spacing w:after="0"/>
        <w:rPr>
          <w:rFonts w:asciiTheme="majorHAnsi" w:hAnsiTheme="majorHAnsi"/>
        </w:rPr>
      </w:pPr>
      <w:r>
        <w:rPr>
          <w:rFonts w:asciiTheme="majorHAnsi" w:hAnsiTheme="majorHAnsi"/>
        </w:rPr>
        <w:t>Copy of invitation email</w:t>
      </w:r>
      <w:r w:rsidR="00C30B44">
        <w:rPr>
          <w:rFonts w:asciiTheme="majorHAnsi" w:hAnsiTheme="majorHAnsi"/>
        </w:rPr>
        <w:t xml:space="preserve"> with link to </w:t>
      </w:r>
      <w:r w:rsidR="0094253F">
        <w:rPr>
          <w:rFonts w:asciiTheme="majorHAnsi" w:hAnsiTheme="majorHAnsi"/>
        </w:rPr>
        <w:t>questionnaire</w:t>
      </w:r>
    </w:p>
    <w:p w14:paraId="002FF9FE" w14:textId="1765949F" w:rsidR="00865DF6" w:rsidRPr="00EC40F3" w:rsidRDefault="00865DF6" w:rsidP="00870B85">
      <w:pPr>
        <w:pStyle w:val="ListParagraph"/>
        <w:numPr>
          <w:ilvl w:val="0"/>
          <w:numId w:val="31"/>
        </w:numPr>
        <w:spacing w:after="0"/>
        <w:rPr>
          <w:rFonts w:asciiTheme="majorHAnsi" w:hAnsiTheme="majorHAnsi"/>
        </w:rPr>
      </w:pPr>
      <w:r>
        <w:rPr>
          <w:rFonts w:asciiTheme="majorHAnsi" w:hAnsiTheme="majorHAnsi"/>
        </w:rPr>
        <w:t xml:space="preserve">Copy of </w:t>
      </w:r>
      <w:proofErr w:type="spellStart"/>
      <w:r>
        <w:rPr>
          <w:rFonts w:asciiTheme="majorHAnsi" w:hAnsiTheme="majorHAnsi"/>
        </w:rPr>
        <w:t>APHSA</w:t>
      </w:r>
      <w:proofErr w:type="spellEnd"/>
      <w:r>
        <w:rPr>
          <w:rFonts w:asciiTheme="majorHAnsi" w:hAnsiTheme="majorHAnsi"/>
        </w:rPr>
        <w:t xml:space="preserve"> message to its membership alerting them to GAO, </w:t>
      </w:r>
      <w:proofErr w:type="spellStart"/>
      <w:r>
        <w:rPr>
          <w:rFonts w:asciiTheme="majorHAnsi" w:hAnsiTheme="majorHAnsi"/>
        </w:rPr>
        <w:t>FNS</w:t>
      </w:r>
      <w:proofErr w:type="spellEnd"/>
      <w:r>
        <w:rPr>
          <w:rFonts w:asciiTheme="majorHAnsi" w:hAnsiTheme="majorHAnsi"/>
        </w:rPr>
        <w:t xml:space="preserve"> and HHS </w:t>
      </w:r>
      <w:r w:rsidR="0094253F">
        <w:rPr>
          <w:rFonts w:asciiTheme="majorHAnsi" w:hAnsiTheme="majorHAnsi"/>
        </w:rPr>
        <w:t>activities</w:t>
      </w:r>
    </w:p>
    <w:p w14:paraId="39326B42" w14:textId="77777777" w:rsidR="00A36419" w:rsidRPr="00A36419" w:rsidRDefault="00A36419" w:rsidP="00A36419">
      <w:pPr>
        <w:spacing w:after="0" w:line="360" w:lineRule="auto"/>
        <w:rPr>
          <w:rFonts w:asciiTheme="majorHAnsi" w:hAnsiTheme="majorHAnsi"/>
          <w:b/>
        </w:rPr>
      </w:pPr>
    </w:p>
    <w:p w14:paraId="5E499DA3" w14:textId="77777777" w:rsidR="000E6577" w:rsidRPr="000E6577" w:rsidRDefault="000E6577" w:rsidP="000E6577">
      <w:pPr>
        <w:spacing w:line="360" w:lineRule="auto"/>
        <w:rPr>
          <w:rFonts w:asciiTheme="majorHAnsi" w:hAnsiTheme="majorHAnsi"/>
          <w:b/>
        </w:rPr>
      </w:pPr>
    </w:p>
    <w:sectPr w:rsidR="000E6577" w:rsidRPr="000E6577" w:rsidSect="00385BB5">
      <w:headerReference w:type="default" r:id="rId14"/>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7AA1E" w14:textId="77777777" w:rsidR="00E67510" w:rsidRDefault="00E67510" w:rsidP="00716F94">
      <w:pPr>
        <w:spacing w:after="0" w:line="240" w:lineRule="auto"/>
      </w:pPr>
      <w:r>
        <w:separator/>
      </w:r>
    </w:p>
  </w:endnote>
  <w:endnote w:type="continuationSeparator" w:id="0">
    <w:p w14:paraId="6C7B5901" w14:textId="77777777" w:rsidR="00E67510" w:rsidRDefault="00E67510"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60C4950E" w14:textId="626BF310" w:rsidR="00E67510" w:rsidRDefault="00E6751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04ADA">
              <w:rPr>
                <w:b/>
                <w:noProof/>
              </w:rPr>
              <w:t>6</w:t>
            </w:r>
            <w:r>
              <w:rPr>
                <w:b/>
                <w:sz w:val="24"/>
                <w:szCs w:val="24"/>
              </w:rPr>
              <w:fldChar w:fldCharType="end"/>
            </w:r>
            <w:r>
              <w:t xml:space="preserve"> of </w:t>
            </w:r>
            <w:fldSimple w:instr=" NUMPAGES   \* MERGEFORMAT ">
              <w:r w:rsidR="00404ADA">
                <w:rPr>
                  <w:noProof/>
                </w:rPr>
                <w:t>8</w:t>
              </w:r>
            </w:fldSimple>
          </w:p>
        </w:sdtContent>
      </w:sdt>
    </w:sdtContent>
  </w:sdt>
  <w:p w14:paraId="70973723" w14:textId="77777777" w:rsidR="00E67510" w:rsidRDefault="00E67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29391" w14:textId="77777777" w:rsidR="00E67510" w:rsidRPr="006226FB" w:rsidRDefault="00E67510" w:rsidP="006226FB">
    <w:pPr>
      <w:spacing w:after="0"/>
      <w:rPr>
        <w:rFonts w:ascii="Times New Roman" w:hAnsi="Times New Roman" w:cs="Times New Roman"/>
        <w:sz w:val="18"/>
        <w:szCs w:val="18"/>
      </w:rPr>
    </w:pPr>
    <w:proofErr w:type="spellStart"/>
    <w:r w:rsidRPr="006226FB">
      <w:rPr>
        <w:rFonts w:ascii="Times New Roman" w:hAnsi="Times New Roman" w:cs="Times New Roman"/>
        <w:sz w:val="18"/>
        <w:szCs w:val="18"/>
      </w:rPr>
      <w:t>ASPE</w:t>
    </w:r>
    <w:proofErr w:type="spellEnd"/>
    <w:r w:rsidRPr="006226FB">
      <w:rPr>
        <w:rFonts w:ascii="Times New Roman" w:hAnsi="Times New Roman" w:cs="Times New Roman"/>
        <w:sz w:val="18"/>
        <w:szCs w:val="18"/>
      </w:rPr>
      <w:t xml:space="preserve"> Generic Information Collection Request, OMB No. 0990-0421</w:t>
    </w:r>
  </w:p>
  <w:p w14:paraId="2724069B" w14:textId="77777777" w:rsidR="00E67510" w:rsidRDefault="00E67510" w:rsidP="00622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D9BD3" w14:textId="77777777" w:rsidR="00E67510" w:rsidRDefault="00E67510" w:rsidP="00716F94">
      <w:pPr>
        <w:spacing w:after="0" w:line="240" w:lineRule="auto"/>
      </w:pPr>
      <w:r>
        <w:separator/>
      </w:r>
    </w:p>
  </w:footnote>
  <w:footnote w:type="continuationSeparator" w:id="0">
    <w:p w14:paraId="2BFA017E" w14:textId="77777777" w:rsidR="00E67510" w:rsidRDefault="00E67510" w:rsidP="00716F94">
      <w:pPr>
        <w:spacing w:after="0" w:line="240" w:lineRule="auto"/>
      </w:pPr>
      <w:r>
        <w:continuationSeparator/>
      </w:r>
    </w:p>
  </w:footnote>
  <w:footnote w:id="1">
    <w:p w14:paraId="1C4AA331" w14:textId="77777777" w:rsidR="00E67510" w:rsidRDefault="00E67510" w:rsidP="00F82F7A">
      <w:pPr>
        <w:pStyle w:val="FootnoteText"/>
      </w:pPr>
      <w:r>
        <w:rPr>
          <w:rStyle w:val="FootnoteReference"/>
        </w:rPr>
        <w:footnoteRef/>
      </w:r>
      <w:r>
        <w:t xml:space="preserve"> </w:t>
      </w:r>
      <w:proofErr w:type="gramStart"/>
      <w:r>
        <w:t>Congressional Budget Office.</w:t>
      </w:r>
      <w:proofErr w:type="gramEnd"/>
      <w:r>
        <w:t xml:space="preserve"> </w:t>
      </w:r>
      <w:proofErr w:type="gramStart"/>
      <w:r>
        <w:t>Updated Estimates for the Insurance Coverage Provisions of the Affordable Care Act, April 2014 – January 2015 Baseline.</w:t>
      </w:r>
      <w:proofErr w:type="gramEnd"/>
    </w:p>
  </w:footnote>
  <w:footnote w:id="2">
    <w:p w14:paraId="76634412" w14:textId="77777777" w:rsidR="00E67510" w:rsidRDefault="00E67510" w:rsidP="00F82F7A">
      <w:pPr>
        <w:pStyle w:val="FootnoteText"/>
      </w:pPr>
      <w:r>
        <w:rPr>
          <w:rStyle w:val="FootnoteReference"/>
        </w:rPr>
        <w:footnoteRef/>
      </w:r>
      <w:r>
        <w:t xml:space="preserve"> Ibid.</w:t>
      </w:r>
    </w:p>
  </w:footnote>
  <w:footnote w:id="3">
    <w:p w14:paraId="59376C5C" w14:textId="77777777" w:rsidR="00E67510" w:rsidRDefault="00E67510" w:rsidP="00F82F7A">
      <w:pPr>
        <w:pStyle w:val="FootnoteText"/>
      </w:pPr>
      <w:r>
        <w:rPr>
          <w:rStyle w:val="FootnoteReference"/>
        </w:rPr>
        <w:footnoteRef/>
      </w:r>
      <w:r>
        <w:t xml:space="preserve"> </w:t>
      </w:r>
      <w:proofErr w:type="gramStart"/>
      <w:r>
        <w:t>Dorn, Stan and Elizabeth Lower-</w:t>
      </w:r>
      <w:proofErr w:type="spellStart"/>
      <w:r>
        <w:t>Basch</w:t>
      </w:r>
      <w:proofErr w:type="spellEnd"/>
      <w:r>
        <w:t>.</w:t>
      </w:r>
      <w:proofErr w:type="gramEnd"/>
      <w:r>
        <w:t xml:space="preserve"> 2012. “Moving to 21st-Century Public Benefits: Emerging Options, Great Promise, and Key Challenges. </w:t>
      </w:r>
      <w:proofErr w:type="gramStart"/>
      <w:r>
        <w:t>Prepared by the Urban Institute for the Coalition for Access and Opportunity.”</w:t>
      </w:r>
      <w:proofErr w:type="gramEnd"/>
    </w:p>
  </w:footnote>
  <w:footnote w:id="4">
    <w:p w14:paraId="3E44EF25" w14:textId="77777777" w:rsidR="00E67510" w:rsidRDefault="00E67510" w:rsidP="00F82F7A">
      <w:pPr>
        <w:pStyle w:val="FootnoteText"/>
      </w:pPr>
      <w:r>
        <w:rPr>
          <w:rStyle w:val="FootnoteReference"/>
        </w:rPr>
        <w:footnoteRef/>
      </w:r>
      <w:r>
        <w:t xml:space="preserve"> Letter from CMS to the American Public Human Services Association, October 28, 2014.</w:t>
      </w:r>
    </w:p>
  </w:footnote>
  <w:footnote w:id="5">
    <w:p w14:paraId="75974397" w14:textId="77777777" w:rsidR="00E67510" w:rsidRDefault="00E67510" w:rsidP="00F82F7A">
      <w:pPr>
        <w:pStyle w:val="FootnoteText"/>
      </w:pPr>
      <w:r>
        <w:rPr>
          <w:rStyle w:val="FootnoteReference"/>
        </w:rPr>
        <w:footnoteRef/>
      </w:r>
      <w:r>
        <w:t xml:space="preserve"> </w:t>
      </w:r>
      <w:proofErr w:type="gramStart"/>
      <w:r>
        <w:t>CMS.</w:t>
      </w:r>
      <w:proofErr w:type="gramEnd"/>
      <w:r>
        <w:t xml:space="preserve"> </w:t>
      </w:r>
      <w:proofErr w:type="gramStart"/>
      <w:r>
        <w:t>“Targeted Enrollment Strategies,” available at http://www.medicaid.gov/medicaid-chip-</w:t>
      </w:r>
      <w:r>
        <w:br/>
        <w:t>program-information/program-information/targeted-enrollment-strategies/targeted-enrollment-strategies.html.</w:t>
      </w:r>
      <w:proofErr w:type="gramEnd"/>
    </w:p>
  </w:footnote>
  <w:footnote w:id="6">
    <w:p w14:paraId="4709004D" w14:textId="77777777" w:rsidR="00E67510" w:rsidRDefault="00E67510" w:rsidP="00F82F7A">
      <w:pPr>
        <w:pStyle w:val="FootnoteText"/>
      </w:pPr>
      <w:r>
        <w:rPr>
          <w:rStyle w:val="FootnoteReference"/>
        </w:rPr>
        <w:footnoteRef/>
      </w:r>
      <w:r>
        <w:t xml:space="preserve"> </w:t>
      </w:r>
      <w:proofErr w:type="spellStart"/>
      <w:proofErr w:type="gramStart"/>
      <w:r>
        <w:t>APHSA</w:t>
      </w:r>
      <w:proofErr w:type="spellEnd"/>
      <w:r>
        <w:t>.</w:t>
      </w:r>
      <w:proofErr w:type="gramEnd"/>
      <w:r>
        <w:t xml:space="preserve"> “About the National Workgroup on Integration,” available </w:t>
      </w:r>
      <w:proofErr w:type="gramStart"/>
      <w:r>
        <w:t>at  http</w:t>
      </w:r>
      <w:proofErr w:type="gramEnd"/>
      <w:r>
        <w:t>://www.aphsa.org/content/</w:t>
      </w:r>
      <w:r>
        <w:br/>
      </w:r>
      <w:proofErr w:type="spellStart"/>
      <w:r>
        <w:t>APHSA</w:t>
      </w:r>
      <w:proofErr w:type="spellEnd"/>
      <w:r>
        <w:t>/</w:t>
      </w:r>
      <w:proofErr w:type="spellStart"/>
      <w:r>
        <w:t>en</w:t>
      </w:r>
      <w:proofErr w:type="spellEnd"/>
      <w:r>
        <w:t>/pathways/</w:t>
      </w:r>
      <w:proofErr w:type="spellStart"/>
      <w:r>
        <w:t>NWI</w:t>
      </w:r>
      <w:proofErr w:type="spellEnd"/>
      <w:r>
        <w:t>/ABOUT.html.</w:t>
      </w:r>
    </w:p>
  </w:footnote>
  <w:footnote w:id="7">
    <w:p w14:paraId="3F5D5AF8" w14:textId="77777777" w:rsidR="00E67510" w:rsidRDefault="00E67510" w:rsidP="00F82F7A">
      <w:pPr>
        <w:pStyle w:val="FootnoteText"/>
      </w:pPr>
      <w:r>
        <w:rPr>
          <w:rStyle w:val="FootnoteReference"/>
        </w:rPr>
        <w:footnoteRef/>
      </w:r>
      <w:r>
        <w:t xml:space="preserve"> “Work Support Strategies: Streamlining Access, Strengthening Families.” Washington, DC. </w:t>
      </w:r>
      <w:proofErr w:type="gramStart"/>
      <w:r>
        <w:t>The Ford Foundation, the Open Society Foundations, and the Annie E. Casey Foundation., available at http://www.clasp.org/issues/work-support-strategies.</w:t>
      </w:r>
      <w:proofErr w:type="gramEnd"/>
    </w:p>
  </w:footnote>
  <w:footnote w:id="8">
    <w:p w14:paraId="7B77C37E" w14:textId="77777777" w:rsidR="00E67510" w:rsidRDefault="00E67510" w:rsidP="00F82F7A">
      <w:pPr>
        <w:pStyle w:val="FootnoteText"/>
      </w:pPr>
      <w:r>
        <w:rPr>
          <w:rStyle w:val="FootnoteReference"/>
        </w:rPr>
        <w:footnoteRef/>
      </w:r>
      <w:r>
        <w:t xml:space="preserve"> </w:t>
      </w:r>
      <w:proofErr w:type="gramStart"/>
      <w:r>
        <w:t>Center on Budget and Policy Priorities and Social Interest Solutions.</w:t>
      </w:r>
      <w:proofErr w:type="gramEnd"/>
      <w:r>
        <w:t xml:space="preserve"> “State Innovations in Horizontal Integration: Leveraging Technology for Health and Human Services.” </w:t>
      </w:r>
      <w:proofErr w:type="gramStart"/>
      <w:r>
        <w:t>Updated March 24, 2015.</w:t>
      </w:r>
      <w:proofErr w:type="gramEnd"/>
    </w:p>
  </w:footnote>
  <w:footnote w:id="9">
    <w:p w14:paraId="3C93AC17" w14:textId="77777777" w:rsidR="00E67510" w:rsidRDefault="00E67510" w:rsidP="00F82F7A">
      <w:pPr>
        <w:pStyle w:val="FootnoteText"/>
      </w:pPr>
      <w:r>
        <w:rPr>
          <w:rStyle w:val="FootnoteReference"/>
        </w:rPr>
        <w:footnoteRef/>
      </w:r>
      <w:r>
        <w:t xml:space="preserve"> </w:t>
      </w:r>
      <w:proofErr w:type="gramStart"/>
      <w:r>
        <w:t>HHS/</w:t>
      </w:r>
      <w:proofErr w:type="spellStart"/>
      <w:r>
        <w:t>ASPE</w:t>
      </w:r>
      <w:proofErr w:type="spellEnd"/>
      <w:r>
        <w:t>.</w:t>
      </w:r>
      <w:proofErr w:type="gramEnd"/>
      <w:r>
        <w:t xml:space="preserve"> “Integrating Health and Human Services Programs and Reaching Eligible Individuals under the Affordable Care Act,” available at  http://aspe.hhs.gov/hsp/14/integrationproject/</w:t>
      </w:r>
      <w:r>
        <w:br/>
      </w:r>
      <w:proofErr w:type="spellStart"/>
      <w:r>
        <w:t>rpt_integrationproject.cfm</w:t>
      </w:r>
      <w:proofErr w:type="spellEnd"/>
    </w:p>
  </w:footnote>
  <w:footnote w:id="10">
    <w:p w14:paraId="083DB6D1" w14:textId="77777777" w:rsidR="00E67510" w:rsidRDefault="00E67510" w:rsidP="00F82F7A">
      <w:pPr>
        <w:pStyle w:val="FootnoteText"/>
      </w:pPr>
      <w:r>
        <w:rPr>
          <w:rStyle w:val="FootnoteReference"/>
        </w:rPr>
        <w:footnoteRef/>
      </w:r>
      <w:r>
        <w:t xml:space="preserve"> </w:t>
      </w:r>
      <w:proofErr w:type="gramStart"/>
      <w:r>
        <w:t>HHS/</w:t>
      </w:r>
      <w:proofErr w:type="spellStart"/>
      <w:r>
        <w:t>ASPE</w:t>
      </w:r>
      <w:proofErr w:type="spellEnd"/>
      <w:r>
        <w:t>.</w:t>
      </w:r>
      <w:proofErr w:type="gramEnd"/>
      <w:r>
        <w:t xml:space="preserve"> “Integrating Health and Human Services Programs and Reaching Eligible Individuals under the Affordable Care Act: Final Report,” February 2015.</w:t>
      </w:r>
    </w:p>
  </w:footnote>
  <w:footnote w:id="11">
    <w:p w14:paraId="429B15D7" w14:textId="77777777" w:rsidR="00E67510" w:rsidRDefault="00E67510" w:rsidP="00F82F7A">
      <w:pPr>
        <w:pStyle w:val="FootnoteText"/>
      </w:pPr>
      <w:r>
        <w:rPr>
          <w:rStyle w:val="FootnoteReference"/>
        </w:rPr>
        <w:footnoteRef/>
      </w:r>
      <w:r>
        <w:t xml:space="preserve"> </w:t>
      </w:r>
      <w:proofErr w:type="gramStart"/>
      <w:r>
        <w:t>HHS/</w:t>
      </w:r>
      <w:proofErr w:type="spellStart"/>
      <w:r>
        <w:t>ASPE</w:t>
      </w:r>
      <w:proofErr w:type="spellEnd"/>
      <w:r>
        <w:t>.</w:t>
      </w:r>
      <w:proofErr w:type="gramEnd"/>
      <w:r>
        <w:t xml:space="preserve"> “Examples of Promising Practices for Integrating and Coordinating Eligibility, Enrollment and Retention: Human Services and Health Programs </w:t>
      </w:r>
      <w:proofErr w:type="gramStart"/>
      <w:r>
        <w:t>Under</w:t>
      </w:r>
      <w:proofErr w:type="gramEnd"/>
      <w:r>
        <w:t xml:space="preserve"> the Affordable Care Act.” July 2014.</w:t>
      </w:r>
    </w:p>
  </w:footnote>
  <w:footnote w:id="12">
    <w:p w14:paraId="52A1AF7F" w14:textId="77777777" w:rsidR="00E67510" w:rsidRDefault="00E67510" w:rsidP="00F82F7A">
      <w:pPr>
        <w:pStyle w:val="FootnoteText"/>
      </w:pPr>
      <w:r>
        <w:rPr>
          <w:rStyle w:val="FootnoteReference"/>
        </w:rPr>
        <w:footnoteRef/>
      </w:r>
      <w:r>
        <w:t xml:space="preserve"> Jessica Kahn, CMS, personal communication with Stan Dorn, Urban Institute,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6A368" w14:textId="77777777" w:rsidR="00E67510" w:rsidRPr="00716F94" w:rsidRDefault="00E6751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67A43"/>
    <w:multiLevelType w:val="hybridMultilevel"/>
    <w:tmpl w:val="4D9A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05ECF"/>
    <w:multiLevelType w:val="hybridMultilevel"/>
    <w:tmpl w:val="759C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61945"/>
    <w:multiLevelType w:val="hybridMultilevel"/>
    <w:tmpl w:val="4A96D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E469FA"/>
    <w:multiLevelType w:val="hybridMultilevel"/>
    <w:tmpl w:val="759C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CA746B"/>
    <w:multiLevelType w:val="hybridMultilevel"/>
    <w:tmpl w:val="C1824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F004DF"/>
    <w:multiLevelType w:val="hybridMultilevel"/>
    <w:tmpl w:val="FE104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30166"/>
    <w:multiLevelType w:val="hybridMultilevel"/>
    <w:tmpl w:val="971CB3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4"/>
  </w:num>
  <w:num w:numId="4">
    <w:abstractNumId w:val="11"/>
  </w:num>
  <w:num w:numId="5">
    <w:abstractNumId w:val="23"/>
  </w:num>
  <w:num w:numId="6">
    <w:abstractNumId w:val="8"/>
  </w:num>
  <w:num w:numId="7">
    <w:abstractNumId w:val="0"/>
  </w:num>
  <w:num w:numId="8">
    <w:abstractNumId w:val="5"/>
  </w:num>
  <w:num w:numId="9">
    <w:abstractNumId w:val="10"/>
  </w:num>
  <w:num w:numId="10">
    <w:abstractNumId w:val="26"/>
  </w:num>
  <w:num w:numId="11">
    <w:abstractNumId w:val="2"/>
  </w:num>
  <w:num w:numId="12">
    <w:abstractNumId w:val="33"/>
  </w:num>
  <w:num w:numId="13">
    <w:abstractNumId w:val="7"/>
  </w:num>
  <w:num w:numId="14">
    <w:abstractNumId w:val="3"/>
  </w:num>
  <w:num w:numId="15">
    <w:abstractNumId w:val="28"/>
  </w:num>
  <w:num w:numId="16">
    <w:abstractNumId w:val="29"/>
  </w:num>
  <w:num w:numId="17">
    <w:abstractNumId w:val="31"/>
  </w:num>
  <w:num w:numId="18">
    <w:abstractNumId w:val="13"/>
  </w:num>
  <w:num w:numId="19">
    <w:abstractNumId w:val="35"/>
  </w:num>
  <w:num w:numId="20">
    <w:abstractNumId w:val="25"/>
  </w:num>
  <w:num w:numId="21">
    <w:abstractNumId w:val="27"/>
  </w:num>
  <w:num w:numId="22">
    <w:abstractNumId w:val="24"/>
  </w:num>
  <w:num w:numId="23">
    <w:abstractNumId w:val="6"/>
  </w:num>
  <w:num w:numId="24">
    <w:abstractNumId w:val="12"/>
  </w:num>
  <w:num w:numId="25">
    <w:abstractNumId w:val="20"/>
  </w:num>
  <w:num w:numId="26">
    <w:abstractNumId w:val="30"/>
  </w:num>
  <w:num w:numId="27">
    <w:abstractNumId w:val="22"/>
  </w:num>
  <w:num w:numId="28">
    <w:abstractNumId w:val="1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2"/>
  </w:num>
  <w:num w:numId="32">
    <w:abstractNumId w:val="21"/>
  </w:num>
  <w:num w:numId="33">
    <w:abstractNumId w:val="17"/>
  </w:num>
  <w:num w:numId="34">
    <w:abstractNumId w:val="19"/>
  </w:num>
  <w:num w:numId="35">
    <w:abstractNumId w:val="9"/>
  </w:num>
  <w:num w:numId="3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w15:presenceInfo w15:providerId="None" w15:userId="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14EA"/>
    <w:rsid w:val="00011A98"/>
    <w:rsid w:val="00011F8D"/>
    <w:rsid w:val="000130B4"/>
    <w:rsid w:val="00014361"/>
    <w:rsid w:val="00031C50"/>
    <w:rsid w:val="000474FB"/>
    <w:rsid w:val="000506DF"/>
    <w:rsid w:val="00050D67"/>
    <w:rsid w:val="00053A92"/>
    <w:rsid w:val="00054839"/>
    <w:rsid w:val="00057F36"/>
    <w:rsid w:val="000928AC"/>
    <w:rsid w:val="00096441"/>
    <w:rsid w:val="000A1F30"/>
    <w:rsid w:val="000A2D0C"/>
    <w:rsid w:val="000A71DF"/>
    <w:rsid w:val="000B0962"/>
    <w:rsid w:val="000B2CBC"/>
    <w:rsid w:val="000D6E2B"/>
    <w:rsid w:val="000E6577"/>
    <w:rsid w:val="000E7A19"/>
    <w:rsid w:val="000F2039"/>
    <w:rsid w:val="0010078A"/>
    <w:rsid w:val="00104A1B"/>
    <w:rsid w:val="00116824"/>
    <w:rsid w:val="001177DD"/>
    <w:rsid w:val="00135334"/>
    <w:rsid w:val="001412D4"/>
    <w:rsid w:val="00144F64"/>
    <w:rsid w:val="00145D62"/>
    <w:rsid w:val="00151567"/>
    <w:rsid w:val="00163E17"/>
    <w:rsid w:val="00166F9E"/>
    <w:rsid w:val="00167880"/>
    <w:rsid w:val="00176A4C"/>
    <w:rsid w:val="00180D45"/>
    <w:rsid w:val="00187870"/>
    <w:rsid w:val="00187D5A"/>
    <w:rsid w:val="001972D7"/>
    <w:rsid w:val="00197FEE"/>
    <w:rsid w:val="001A28F6"/>
    <w:rsid w:val="001B1BDD"/>
    <w:rsid w:val="001B2831"/>
    <w:rsid w:val="001B35D6"/>
    <w:rsid w:val="001B4065"/>
    <w:rsid w:val="001C0493"/>
    <w:rsid w:val="001C1089"/>
    <w:rsid w:val="001C28AD"/>
    <w:rsid w:val="001D7FCB"/>
    <w:rsid w:val="001E2B99"/>
    <w:rsid w:val="001E69B6"/>
    <w:rsid w:val="001F4CAA"/>
    <w:rsid w:val="001F4DBB"/>
    <w:rsid w:val="001F5E16"/>
    <w:rsid w:val="002006E7"/>
    <w:rsid w:val="00202D07"/>
    <w:rsid w:val="0020312D"/>
    <w:rsid w:val="002053C2"/>
    <w:rsid w:val="00206E33"/>
    <w:rsid w:val="00210519"/>
    <w:rsid w:val="00213CB1"/>
    <w:rsid w:val="00227259"/>
    <w:rsid w:val="002312AA"/>
    <w:rsid w:val="00241B17"/>
    <w:rsid w:val="00241C81"/>
    <w:rsid w:val="00257A1C"/>
    <w:rsid w:val="0027234C"/>
    <w:rsid w:val="00281795"/>
    <w:rsid w:val="002850E3"/>
    <w:rsid w:val="00287E2F"/>
    <w:rsid w:val="002A1948"/>
    <w:rsid w:val="002A25BF"/>
    <w:rsid w:val="002B5482"/>
    <w:rsid w:val="002B7E45"/>
    <w:rsid w:val="002C0877"/>
    <w:rsid w:val="002C2AE2"/>
    <w:rsid w:val="002D0DCE"/>
    <w:rsid w:val="002E2B10"/>
    <w:rsid w:val="002E73B0"/>
    <w:rsid w:val="002F1502"/>
    <w:rsid w:val="002F2069"/>
    <w:rsid w:val="002F71A2"/>
    <w:rsid w:val="003041AD"/>
    <w:rsid w:val="0031279F"/>
    <w:rsid w:val="003132F5"/>
    <w:rsid w:val="00315F4C"/>
    <w:rsid w:val="00316CFF"/>
    <w:rsid w:val="00316F00"/>
    <w:rsid w:val="00321B51"/>
    <w:rsid w:val="00336D96"/>
    <w:rsid w:val="00341171"/>
    <w:rsid w:val="00344F07"/>
    <w:rsid w:val="003469C8"/>
    <w:rsid w:val="00350C8C"/>
    <w:rsid w:val="00355EA4"/>
    <w:rsid w:val="00362900"/>
    <w:rsid w:val="003635BE"/>
    <w:rsid w:val="00365045"/>
    <w:rsid w:val="00366B5E"/>
    <w:rsid w:val="0037593C"/>
    <w:rsid w:val="00385BB5"/>
    <w:rsid w:val="00386BC2"/>
    <w:rsid w:val="003B125E"/>
    <w:rsid w:val="003C0149"/>
    <w:rsid w:val="003C31C9"/>
    <w:rsid w:val="003C4961"/>
    <w:rsid w:val="003C7C5D"/>
    <w:rsid w:val="003D0AD2"/>
    <w:rsid w:val="003E35AB"/>
    <w:rsid w:val="003F5913"/>
    <w:rsid w:val="00401E76"/>
    <w:rsid w:val="004024F8"/>
    <w:rsid w:val="00404ADA"/>
    <w:rsid w:val="00405696"/>
    <w:rsid w:val="0041159A"/>
    <w:rsid w:val="004151E9"/>
    <w:rsid w:val="00425551"/>
    <w:rsid w:val="004305A8"/>
    <w:rsid w:val="004331EC"/>
    <w:rsid w:val="004353D5"/>
    <w:rsid w:val="00443CA0"/>
    <w:rsid w:val="00445C27"/>
    <w:rsid w:val="00450E14"/>
    <w:rsid w:val="00462C65"/>
    <w:rsid w:val="004674E7"/>
    <w:rsid w:val="00467B14"/>
    <w:rsid w:val="00474EDA"/>
    <w:rsid w:val="004770D3"/>
    <w:rsid w:val="00480F31"/>
    <w:rsid w:val="004824FA"/>
    <w:rsid w:val="00482649"/>
    <w:rsid w:val="00484011"/>
    <w:rsid w:val="004841F1"/>
    <w:rsid w:val="004A1E3A"/>
    <w:rsid w:val="004B46D6"/>
    <w:rsid w:val="004C0BF6"/>
    <w:rsid w:val="004C4464"/>
    <w:rsid w:val="004C4AEA"/>
    <w:rsid w:val="004D0430"/>
    <w:rsid w:val="004D1DAA"/>
    <w:rsid w:val="004D4EB1"/>
    <w:rsid w:val="004E003C"/>
    <w:rsid w:val="004E16EB"/>
    <w:rsid w:val="004E6665"/>
    <w:rsid w:val="004F634E"/>
    <w:rsid w:val="004F67A8"/>
    <w:rsid w:val="005070F6"/>
    <w:rsid w:val="0051582C"/>
    <w:rsid w:val="005217B0"/>
    <w:rsid w:val="00522A50"/>
    <w:rsid w:val="0052393C"/>
    <w:rsid w:val="00525E61"/>
    <w:rsid w:val="0052651A"/>
    <w:rsid w:val="00527225"/>
    <w:rsid w:val="0053557D"/>
    <w:rsid w:val="005410E3"/>
    <w:rsid w:val="005423D7"/>
    <w:rsid w:val="005463DE"/>
    <w:rsid w:val="00546DC2"/>
    <w:rsid w:val="00552FDC"/>
    <w:rsid w:val="005542E8"/>
    <w:rsid w:val="00556630"/>
    <w:rsid w:val="0055686D"/>
    <w:rsid w:val="00557BF0"/>
    <w:rsid w:val="00563547"/>
    <w:rsid w:val="00565E48"/>
    <w:rsid w:val="005800EE"/>
    <w:rsid w:val="00581BC8"/>
    <w:rsid w:val="005869D6"/>
    <w:rsid w:val="0059331E"/>
    <w:rsid w:val="00594619"/>
    <w:rsid w:val="005A2EBB"/>
    <w:rsid w:val="005A33F6"/>
    <w:rsid w:val="005A491D"/>
    <w:rsid w:val="005A59E5"/>
    <w:rsid w:val="005B7440"/>
    <w:rsid w:val="005E2150"/>
    <w:rsid w:val="005E2995"/>
    <w:rsid w:val="005F3FEF"/>
    <w:rsid w:val="00600C4F"/>
    <w:rsid w:val="00607F7C"/>
    <w:rsid w:val="006102DA"/>
    <w:rsid w:val="00616090"/>
    <w:rsid w:val="006226FB"/>
    <w:rsid w:val="006315A3"/>
    <w:rsid w:val="00642594"/>
    <w:rsid w:val="0065256D"/>
    <w:rsid w:val="006579A2"/>
    <w:rsid w:val="00667C89"/>
    <w:rsid w:val="006711EE"/>
    <w:rsid w:val="006809BB"/>
    <w:rsid w:val="006809FD"/>
    <w:rsid w:val="00691D1F"/>
    <w:rsid w:val="00697BAE"/>
    <w:rsid w:val="006B09B8"/>
    <w:rsid w:val="006B4DDC"/>
    <w:rsid w:val="006B5E55"/>
    <w:rsid w:val="006C4DA7"/>
    <w:rsid w:val="006D25A1"/>
    <w:rsid w:val="006D57F2"/>
    <w:rsid w:val="006D69F9"/>
    <w:rsid w:val="006E14E9"/>
    <w:rsid w:val="006E4E73"/>
    <w:rsid w:val="006F09A2"/>
    <w:rsid w:val="006F6719"/>
    <w:rsid w:val="006F6856"/>
    <w:rsid w:val="006F734A"/>
    <w:rsid w:val="00701D48"/>
    <w:rsid w:val="007049F9"/>
    <w:rsid w:val="00705490"/>
    <w:rsid w:val="007145D0"/>
    <w:rsid w:val="00716F94"/>
    <w:rsid w:val="00723C32"/>
    <w:rsid w:val="00735DF2"/>
    <w:rsid w:val="00736E32"/>
    <w:rsid w:val="0075188E"/>
    <w:rsid w:val="00751CEB"/>
    <w:rsid w:val="0076001C"/>
    <w:rsid w:val="00760E12"/>
    <w:rsid w:val="00763CF3"/>
    <w:rsid w:val="00772293"/>
    <w:rsid w:val="00776981"/>
    <w:rsid w:val="00780844"/>
    <w:rsid w:val="00781AE3"/>
    <w:rsid w:val="00781DE5"/>
    <w:rsid w:val="00783C75"/>
    <w:rsid w:val="00784619"/>
    <w:rsid w:val="0078627B"/>
    <w:rsid w:val="0078765B"/>
    <w:rsid w:val="00794E32"/>
    <w:rsid w:val="007A0D73"/>
    <w:rsid w:val="007A3A29"/>
    <w:rsid w:val="007B305A"/>
    <w:rsid w:val="007C007C"/>
    <w:rsid w:val="007D16C0"/>
    <w:rsid w:val="007E575D"/>
    <w:rsid w:val="007E6AEF"/>
    <w:rsid w:val="007F0276"/>
    <w:rsid w:val="008141C7"/>
    <w:rsid w:val="00815C7D"/>
    <w:rsid w:val="00816706"/>
    <w:rsid w:val="00816822"/>
    <w:rsid w:val="00817941"/>
    <w:rsid w:val="008229E4"/>
    <w:rsid w:val="00823547"/>
    <w:rsid w:val="008261AB"/>
    <w:rsid w:val="008269AB"/>
    <w:rsid w:val="00834C91"/>
    <w:rsid w:val="00835CA7"/>
    <w:rsid w:val="008370D4"/>
    <w:rsid w:val="008414AD"/>
    <w:rsid w:val="008428D9"/>
    <w:rsid w:val="00865DF6"/>
    <w:rsid w:val="00870B85"/>
    <w:rsid w:val="0088467A"/>
    <w:rsid w:val="00884DB9"/>
    <w:rsid w:val="00890961"/>
    <w:rsid w:val="00890A23"/>
    <w:rsid w:val="008A598D"/>
    <w:rsid w:val="008B1891"/>
    <w:rsid w:val="008C67D2"/>
    <w:rsid w:val="008E0683"/>
    <w:rsid w:val="00902DD9"/>
    <w:rsid w:val="00903C62"/>
    <w:rsid w:val="00910628"/>
    <w:rsid w:val="00911486"/>
    <w:rsid w:val="009129CA"/>
    <w:rsid w:val="009206B6"/>
    <w:rsid w:val="009252DC"/>
    <w:rsid w:val="009263C1"/>
    <w:rsid w:val="00941B4F"/>
    <w:rsid w:val="0094253F"/>
    <w:rsid w:val="00947DAA"/>
    <w:rsid w:val="009518C0"/>
    <w:rsid w:val="00951E8F"/>
    <w:rsid w:val="00955A4F"/>
    <w:rsid w:val="00963CE3"/>
    <w:rsid w:val="00964F18"/>
    <w:rsid w:val="00974424"/>
    <w:rsid w:val="00987F76"/>
    <w:rsid w:val="009917F5"/>
    <w:rsid w:val="00993088"/>
    <w:rsid w:val="0099664F"/>
    <w:rsid w:val="00997D5D"/>
    <w:rsid w:val="009A0447"/>
    <w:rsid w:val="009A2CE5"/>
    <w:rsid w:val="009A4930"/>
    <w:rsid w:val="009A4B59"/>
    <w:rsid w:val="009B1436"/>
    <w:rsid w:val="009B4756"/>
    <w:rsid w:val="009B4A51"/>
    <w:rsid w:val="009B5731"/>
    <w:rsid w:val="009C1CA3"/>
    <w:rsid w:val="009C28B1"/>
    <w:rsid w:val="009C61AD"/>
    <w:rsid w:val="009C6697"/>
    <w:rsid w:val="009D373D"/>
    <w:rsid w:val="009D436B"/>
    <w:rsid w:val="009D7B2C"/>
    <w:rsid w:val="009E0801"/>
    <w:rsid w:val="009E1D05"/>
    <w:rsid w:val="009F7DE0"/>
    <w:rsid w:val="00A05973"/>
    <w:rsid w:val="00A06A71"/>
    <w:rsid w:val="00A11B0C"/>
    <w:rsid w:val="00A12C43"/>
    <w:rsid w:val="00A33B35"/>
    <w:rsid w:val="00A33E90"/>
    <w:rsid w:val="00A36419"/>
    <w:rsid w:val="00A41D7B"/>
    <w:rsid w:val="00A44921"/>
    <w:rsid w:val="00A578C2"/>
    <w:rsid w:val="00A61B29"/>
    <w:rsid w:val="00A72652"/>
    <w:rsid w:val="00A72EA1"/>
    <w:rsid w:val="00A7395C"/>
    <w:rsid w:val="00A75D1C"/>
    <w:rsid w:val="00A809AA"/>
    <w:rsid w:val="00A849B3"/>
    <w:rsid w:val="00A8510D"/>
    <w:rsid w:val="00A86AF3"/>
    <w:rsid w:val="00A90AFF"/>
    <w:rsid w:val="00A90BDC"/>
    <w:rsid w:val="00A95477"/>
    <w:rsid w:val="00A975A9"/>
    <w:rsid w:val="00AA3192"/>
    <w:rsid w:val="00AB0486"/>
    <w:rsid w:val="00AB251E"/>
    <w:rsid w:val="00AB3608"/>
    <w:rsid w:val="00AC2C43"/>
    <w:rsid w:val="00AC5C48"/>
    <w:rsid w:val="00AC63E3"/>
    <w:rsid w:val="00AF0CF4"/>
    <w:rsid w:val="00AF2252"/>
    <w:rsid w:val="00B00B12"/>
    <w:rsid w:val="00B01198"/>
    <w:rsid w:val="00B07C91"/>
    <w:rsid w:val="00B1129F"/>
    <w:rsid w:val="00B11D61"/>
    <w:rsid w:val="00B12F51"/>
    <w:rsid w:val="00B1589A"/>
    <w:rsid w:val="00B2751E"/>
    <w:rsid w:val="00B3650C"/>
    <w:rsid w:val="00B36775"/>
    <w:rsid w:val="00B41CDB"/>
    <w:rsid w:val="00B47055"/>
    <w:rsid w:val="00B50341"/>
    <w:rsid w:val="00B64BFA"/>
    <w:rsid w:val="00B71E63"/>
    <w:rsid w:val="00B76238"/>
    <w:rsid w:val="00B83212"/>
    <w:rsid w:val="00B85DE4"/>
    <w:rsid w:val="00B87AAD"/>
    <w:rsid w:val="00B91A31"/>
    <w:rsid w:val="00BA6C28"/>
    <w:rsid w:val="00BA6DB4"/>
    <w:rsid w:val="00BC225D"/>
    <w:rsid w:val="00BC3F3C"/>
    <w:rsid w:val="00BC5BB2"/>
    <w:rsid w:val="00BE738E"/>
    <w:rsid w:val="00BF11A1"/>
    <w:rsid w:val="00BF2CE2"/>
    <w:rsid w:val="00BF3F54"/>
    <w:rsid w:val="00C00697"/>
    <w:rsid w:val="00C0376C"/>
    <w:rsid w:val="00C06D77"/>
    <w:rsid w:val="00C14BA6"/>
    <w:rsid w:val="00C30B44"/>
    <w:rsid w:val="00C3485C"/>
    <w:rsid w:val="00C46808"/>
    <w:rsid w:val="00C544A4"/>
    <w:rsid w:val="00C65BF7"/>
    <w:rsid w:val="00C768E5"/>
    <w:rsid w:val="00CA2004"/>
    <w:rsid w:val="00CA5B99"/>
    <w:rsid w:val="00CB0933"/>
    <w:rsid w:val="00CB334D"/>
    <w:rsid w:val="00CB56D5"/>
    <w:rsid w:val="00CB7F01"/>
    <w:rsid w:val="00CD1EA8"/>
    <w:rsid w:val="00CE3064"/>
    <w:rsid w:val="00CF23C1"/>
    <w:rsid w:val="00CF52B3"/>
    <w:rsid w:val="00CF5ABD"/>
    <w:rsid w:val="00CF63CE"/>
    <w:rsid w:val="00D048A1"/>
    <w:rsid w:val="00D067C1"/>
    <w:rsid w:val="00D13B13"/>
    <w:rsid w:val="00D16E78"/>
    <w:rsid w:val="00D201D3"/>
    <w:rsid w:val="00D267D5"/>
    <w:rsid w:val="00D26A64"/>
    <w:rsid w:val="00D31720"/>
    <w:rsid w:val="00D52B9A"/>
    <w:rsid w:val="00D5367E"/>
    <w:rsid w:val="00D53B1E"/>
    <w:rsid w:val="00D74CEE"/>
    <w:rsid w:val="00D75750"/>
    <w:rsid w:val="00D83B5F"/>
    <w:rsid w:val="00D84EF0"/>
    <w:rsid w:val="00D861ED"/>
    <w:rsid w:val="00D873E0"/>
    <w:rsid w:val="00D94F8B"/>
    <w:rsid w:val="00D95FBF"/>
    <w:rsid w:val="00DA5988"/>
    <w:rsid w:val="00DB7F78"/>
    <w:rsid w:val="00DC0184"/>
    <w:rsid w:val="00DC317C"/>
    <w:rsid w:val="00DC4FF2"/>
    <w:rsid w:val="00DC79CC"/>
    <w:rsid w:val="00DD1CC3"/>
    <w:rsid w:val="00E04BA5"/>
    <w:rsid w:val="00E10D39"/>
    <w:rsid w:val="00E134F4"/>
    <w:rsid w:val="00E1581B"/>
    <w:rsid w:val="00E162E0"/>
    <w:rsid w:val="00E17E0B"/>
    <w:rsid w:val="00E210EB"/>
    <w:rsid w:val="00E2340D"/>
    <w:rsid w:val="00E23568"/>
    <w:rsid w:val="00E245B5"/>
    <w:rsid w:val="00E322F7"/>
    <w:rsid w:val="00E33E1B"/>
    <w:rsid w:val="00E34D3E"/>
    <w:rsid w:val="00E4521D"/>
    <w:rsid w:val="00E5763B"/>
    <w:rsid w:val="00E67510"/>
    <w:rsid w:val="00E720E9"/>
    <w:rsid w:val="00E81C5E"/>
    <w:rsid w:val="00E83B3C"/>
    <w:rsid w:val="00E8736B"/>
    <w:rsid w:val="00E90275"/>
    <w:rsid w:val="00E925D4"/>
    <w:rsid w:val="00E97226"/>
    <w:rsid w:val="00EA2B44"/>
    <w:rsid w:val="00EA33EF"/>
    <w:rsid w:val="00EC40F3"/>
    <w:rsid w:val="00EC4FFD"/>
    <w:rsid w:val="00EC58F5"/>
    <w:rsid w:val="00EC5EFC"/>
    <w:rsid w:val="00ED6DF6"/>
    <w:rsid w:val="00EE51B6"/>
    <w:rsid w:val="00EF33CD"/>
    <w:rsid w:val="00F035CE"/>
    <w:rsid w:val="00F03E42"/>
    <w:rsid w:val="00F12924"/>
    <w:rsid w:val="00F20C9B"/>
    <w:rsid w:val="00F300CB"/>
    <w:rsid w:val="00F42C3A"/>
    <w:rsid w:val="00F42E5E"/>
    <w:rsid w:val="00F52BCC"/>
    <w:rsid w:val="00F5313F"/>
    <w:rsid w:val="00F55FD5"/>
    <w:rsid w:val="00F81135"/>
    <w:rsid w:val="00F81A48"/>
    <w:rsid w:val="00F82F7A"/>
    <w:rsid w:val="00FA1F78"/>
    <w:rsid w:val="00FB62BC"/>
    <w:rsid w:val="00FD17C9"/>
    <w:rsid w:val="00FD2A5B"/>
    <w:rsid w:val="00FD731A"/>
    <w:rsid w:val="00FE2AE1"/>
    <w:rsid w:val="00FE6A5C"/>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character" w:customStyle="1" w:styleId="Heading1Char">
    <w:name w:val="Heading 1 Char"/>
    <w:basedOn w:val="DefaultParagraphFont"/>
    <w:link w:val="Heading1"/>
    <w:uiPriority w:val="9"/>
    <w:rsid w:val="00F82F7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82F7A"/>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82F7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82F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character" w:customStyle="1" w:styleId="Heading1Char">
    <w:name w:val="Heading 1 Char"/>
    <w:basedOn w:val="DefaultParagraphFont"/>
    <w:link w:val="Heading1"/>
    <w:uiPriority w:val="9"/>
    <w:rsid w:val="00F82F7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82F7A"/>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82F7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82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7032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es/current/oes11915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lana.landey@h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D0296BAA4E94AA869245249EE5204" ma:contentTypeVersion="2" ma:contentTypeDescription="Create a new document." ma:contentTypeScope="" ma:versionID="2f76f3418d6ef70e2bc0583c43198b4a">
  <xsd:schema xmlns:xsd="http://www.w3.org/2001/XMLSchema" xmlns:xs="http://www.w3.org/2001/XMLSchema" xmlns:p="http://schemas.microsoft.com/office/2006/metadata/properties" xmlns:ns2="166fd782-24a1-4c18-b023-e227e68e1b62" targetNamespace="http://schemas.microsoft.com/office/2006/metadata/properties" ma:root="true" ma:fieldsID="4ba29eeb49d84946d2ae543796d58544" ns2:_="">
    <xsd:import namespace="166fd782-24a1-4c18-b023-e227e68e1b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BA06-AD10-4BD4-A8DD-7AD08600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7AE3F-3FA7-4D05-8EE1-E0014E6B35D8}">
  <ds:schemaRefs>
    <ds:schemaRef ds:uri="http://schemas.microsoft.com/sharepoint/v3/contenttype/forms"/>
  </ds:schemaRefs>
</ds:datastoreItem>
</file>

<file path=customXml/itemProps3.xml><?xml version="1.0" encoding="utf-8"?>
<ds:datastoreItem xmlns:ds="http://schemas.openxmlformats.org/officeDocument/2006/customXml" ds:itemID="{3C82C617-5BFA-4A0B-AE95-A4BC43149C85}">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purl.org/dc/dcmitype/"/>
    <ds:schemaRef ds:uri="166fd782-24a1-4c18-b023-e227e68e1b62"/>
    <ds:schemaRef ds:uri="http://schemas.microsoft.com/office/infopath/2007/PartnerControls"/>
  </ds:schemaRefs>
</ds:datastoreItem>
</file>

<file path=customXml/itemProps4.xml><?xml version="1.0" encoding="utf-8"?>
<ds:datastoreItem xmlns:ds="http://schemas.openxmlformats.org/officeDocument/2006/customXml" ds:itemID="{E3A977CE-1702-43DA-9E51-7460ACCF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2301</Words>
  <Characters>13121</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2</cp:revision>
  <cp:lastPrinted>2011-06-07T15:53:00Z</cp:lastPrinted>
  <dcterms:created xsi:type="dcterms:W3CDTF">2016-03-14T16:51:00Z</dcterms:created>
  <dcterms:modified xsi:type="dcterms:W3CDTF">2016-03-14T16:51:00Z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0x0101001FCD0296BAA4E94AA869245249EE5204</vt:lpwstr>
  </property>
</Properties>
</file>