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0B" w:rsidRDefault="00497860" w:rsidP="00A3460B">
      <w:pPr>
        <w:pStyle w:val="Heading2"/>
        <w:spacing w:before="0" w:line="240" w:lineRule="auto"/>
        <w:jc w:val="center"/>
        <w:rPr>
          <w:rFonts w:asciiTheme="minorHAnsi" w:hAnsiTheme="minorHAnsi" w:cstheme="minorHAnsi"/>
          <w:color w:val="660000"/>
          <w:sz w:val="28"/>
          <w:szCs w:val="28"/>
        </w:rPr>
      </w:pPr>
      <w:bookmarkStart w:id="0" w:name="_Toc345671836"/>
      <w:r>
        <w:rPr>
          <w:rFonts w:asciiTheme="minorHAnsi" w:hAnsiTheme="minorHAnsi" w:cstheme="minorHAnsi"/>
          <w:color w:val="660000"/>
          <w:sz w:val="28"/>
          <w:szCs w:val="28"/>
        </w:rPr>
        <w:t xml:space="preserve">ATTACHMENT </w:t>
      </w:r>
      <w:r w:rsidR="006C1E2F">
        <w:rPr>
          <w:rFonts w:asciiTheme="minorHAnsi" w:hAnsiTheme="minorHAnsi" w:cstheme="minorHAnsi"/>
          <w:color w:val="660000"/>
          <w:sz w:val="28"/>
          <w:szCs w:val="28"/>
        </w:rPr>
        <w:t>E</w:t>
      </w:r>
      <w:r w:rsidR="00476058">
        <w:rPr>
          <w:rFonts w:asciiTheme="minorHAnsi" w:hAnsiTheme="minorHAnsi" w:cstheme="minorHAnsi"/>
          <w:color w:val="660000"/>
          <w:sz w:val="28"/>
          <w:szCs w:val="28"/>
        </w:rPr>
        <w:t>.</w:t>
      </w:r>
      <w:r w:rsidR="00A3460B" w:rsidRPr="00970955">
        <w:rPr>
          <w:rFonts w:asciiTheme="minorHAnsi" w:hAnsiTheme="minorHAnsi" w:cstheme="minorHAnsi"/>
          <w:color w:val="660000"/>
          <w:sz w:val="28"/>
          <w:szCs w:val="28"/>
        </w:rPr>
        <w:t xml:space="preserve"> </w:t>
      </w:r>
    </w:p>
    <w:p w:rsidR="0072592A" w:rsidRPr="00970955" w:rsidRDefault="00777084" w:rsidP="00A3460B">
      <w:pPr>
        <w:pStyle w:val="Heading2"/>
        <w:pBdr>
          <w:bottom w:val="single" w:sz="4" w:space="1" w:color="660000"/>
        </w:pBdr>
        <w:spacing w:before="0" w:line="240" w:lineRule="auto"/>
        <w:jc w:val="center"/>
        <w:rPr>
          <w:rFonts w:asciiTheme="minorHAnsi" w:hAnsiTheme="minorHAnsi" w:cstheme="minorHAnsi"/>
          <w:color w:val="660000"/>
          <w:sz w:val="28"/>
          <w:szCs w:val="28"/>
        </w:rPr>
      </w:pPr>
      <w:r>
        <w:rPr>
          <w:rFonts w:asciiTheme="minorHAnsi" w:hAnsiTheme="minorHAnsi" w:cstheme="minorHAnsi"/>
          <w:color w:val="660000"/>
          <w:sz w:val="28"/>
          <w:szCs w:val="28"/>
        </w:rPr>
        <w:t xml:space="preserve">POWER ANALYSIS AND </w:t>
      </w:r>
      <w:r w:rsidR="00A3460B" w:rsidRPr="00970955">
        <w:rPr>
          <w:rFonts w:asciiTheme="minorHAnsi" w:hAnsiTheme="minorHAnsi" w:cstheme="minorHAnsi"/>
          <w:color w:val="660000"/>
          <w:sz w:val="28"/>
          <w:szCs w:val="28"/>
        </w:rPr>
        <w:t xml:space="preserve">SIMULATION </w:t>
      </w:r>
      <w:r w:rsidR="00A3460B">
        <w:rPr>
          <w:rFonts w:asciiTheme="minorHAnsi" w:hAnsiTheme="minorHAnsi" w:cstheme="minorHAnsi"/>
          <w:color w:val="660000"/>
          <w:sz w:val="28"/>
          <w:szCs w:val="28"/>
        </w:rPr>
        <w:t>S</w:t>
      </w:r>
      <w:r w:rsidR="00A3460B" w:rsidRPr="00970955">
        <w:rPr>
          <w:rFonts w:asciiTheme="minorHAnsi" w:hAnsiTheme="minorHAnsi" w:cstheme="minorHAnsi"/>
          <w:color w:val="660000"/>
          <w:sz w:val="28"/>
          <w:szCs w:val="28"/>
        </w:rPr>
        <w:t>TUDY</w:t>
      </w:r>
      <w:bookmarkEnd w:id="0"/>
    </w:p>
    <w:p w:rsidR="00E241C9" w:rsidRDefault="00E241C9" w:rsidP="006821C1">
      <w:pPr>
        <w:spacing w:after="0" w:line="240" w:lineRule="auto"/>
        <w:jc w:val="both"/>
        <w:rPr>
          <w:sz w:val="24"/>
        </w:rPr>
      </w:pPr>
    </w:p>
    <w:p w:rsidR="00777084" w:rsidRPr="006821C1" w:rsidRDefault="006821C1" w:rsidP="006821C1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r w:rsidRPr="006821C1">
        <w:rPr>
          <w:b/>
          <w:sz w:val="24"/>
          <w:szCs w:val="24"/>
        </w:rPr>
        <w:t>1.</w:t>
      </w:r>
      <w:r w:rsidRPr="006821C1">
        <w:rPr>
          <w:b/>
          <w:sz w:val="24"/>
          <w:szCs w:val="24"/>
        </w:rPr>
        <w:tab/>
      </w:r>
      <w:r w:rsidR="00777084" w:rsidRPr="006821C1">
        <w:rPr>
          <w:b/>
          <w:sz w:val="24"/>
          <w:szCs w:val="24"/>
        </w:rPr>
        <w:t>Power Analysis</w:t>
      </w:r>
    </w:p>
    <w:p w:rsidR="006821C1" w:rsidRDefault="006821C1" w:rsidP="006821C1">
      <w:pPr>
        <w:spacing w:after="0" w:line="240" w:lineRule="auto"/>
        <w:rPr>
          <w:sz w:val="24"/>
        </w:rPr>
      </w:pPr>
    </w:p>
    <w:p w:rsidR="00777084" w:rsidRPr="00E241C9" w:rsidRDefault="00777084" w:rsidP="006821C1">
      <w:pPr>
        <w:spacing w:after="0" w:line="240" w:lineRule="auto"/>
        <w:rPr>
          <w:sz w:val="24"/>
        </w:rPr>
      </w:pPr>
      <w:r w:rsidRPr="00E241C9">
        <w:rPr>
          <w:sz w:val="24"/>
        </w:rPr>
        <w:t>A base sample size is computed based on the following conditions.</w:t>
      </w:r>
    </w:p>
    <w:p w:rsidR="00777084" w:rsidRPr="00E241C9" w:rsidRDefault="00777084" w:rsidP="006821C1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</w:rPr>
      </w:pPr>
      <w:r w:rsidRPr="00E241C9">
        <w:rPr>
          <w:sz w:val="24"/>
        </w:rPr>
        <w:t>Binary measure of accessibility or variance in population (10%, 20% and 25%), which is an expected proportion of accessible AJC;</w:t>
      </w:r>
    </w:p>
    <w:p w:rsidR="00777084" w:rsidRPr="00E241C9" w:rsidRDefault="00777084" w:rsidP="006821C1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</w:rPr>
      </w:pPr>
      <w:r w:rsidRPr="00E241C9">
        <w:rPr>
          <w:sz w:val="24"/>
        </w:rPr>
        <w:t>+/- 3 and +/- 5 percent margin of error or precision;</w:t>
      </w:r>
    </w:p>
    <w:p w:rsidR="00777084" w:rsidRPr="00E241C9" w:rsidRDefault="00777084" w:rsidP="006821C1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</w:rPr>
      </w:pPr>
      <w:r w:rsidRPr="00E241C9">
        <w:rPr>
          <w:sz w:val="24"/>
        </w:rPr>
        <w:t xml:space="preserve">Confidence level of 95%; </w:t>
      </w:r>
    </w:p>
    <w:p w:rsidR="00777084" w:rsidRPr="00E241C9" w:rsidRDefault="00777084" w:rsidP="006821C1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</w:rPr>
      </w:pPr>
      <w:r w:rsidRPr="00E241C9">
        <w:rPr>
          <w:sz w:val="24"/>
        </w:rPr>
        <w:t>Expected response rate (50%, 60%, 70%, 80% and 90%); and</w:t>
      </w:r>
    </w:p>
    <w:p w:rsidR="00777084" w:rsidRPr="00E241C9" w:rsidRDefault="00777084" w:rsidP="006821C1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</w:rPr>
      </w:pPr>
      <w:r w:rsidRPr="00E241C9">
        <w:rPr>
          <w:sz w:val="24"/>
        </w:rPr>
        <w:t>Population size of 2,700.</w:t>
      </w:r>
    </w:p>
    <w:p w:rsidR="006821C1" w:rsidRDefault="006821C1" w:rsidP="006821C1">
      <w:pPr>
        <w:spacing w:after="0" w:line="240" w:lineRule="auto"/>
        <w:rPr>
          <w:sz w:val="24"/>
          <w:szCs w:val="24"/>
        </w:rPr>
      </w:pPr>
    </w:p>
    <w:p w:rsidR="00777084" w:rsidRPr="00E241C9" w:rsidRDefault="00777084" w:rsidP="006821C1">
      <w:pPr>
        <w:spacing w:after="0" w:line="240" w:lineRule="auto"/>
        <w:rPr>
          <w:sz w:val="24"/>
          <w:szCs w:val="24"/>
        </w:rPr>
      </w:pPr>
      <w:r w:rsidRPr="00E241C9">
        <w:rPr>
          <w:sz w:val="24"/>
          <w:szCs w:val="24"/>
        </w:rPr>
        <w:t>A required sample size, n, is computed by an equation:</w:t>
      </w:r>
    </w:p>
    <w:p w:rsidR="00777084" w:rsidRPr="00E241C9" w:rsidRDefault="00777084" w:rsidP="00777084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n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V[1-V]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V[1-V]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den>
                  </m:f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</m:oMath>
      </m:oMathPara>
    </w:p>
    <w:p w:rsidR="00777084" w:rsidRDefault="00777084" w:rsidP="006821C1">
      <w:pPr>
        <w:spacing w:after="0" w:line="240" w:lineRule="auto"/>
        <w:rPr>
          <w:rFonts w:eastAsiaTheme="minorEastAsia"/>
          <w:sz w:val="24"/>
          <w:szCs w:val="24"/>
        </w:rPr>
      </w:pPr>
      <w:r w:rsidRPr="00E241C9">
        <w:rPr>
          <w:rFonts w:eastAsiaTheme="minorEastAsia"/>
          <w:sz w:val="24"/>
          <w:szCs w:val="24"/>
        </w:rPr>
        <w:t xml:space="preserve">where N is a population size, V is a binary measure of accessibility, P is a precision (margin of error), and Z is a confidence level, and R is an estimated response rate. </w:t>
      </w:r>
      <w:r w:rsidR="006821C1">
        <w:rPr>
          <w:rFonts w:eastAsiaTheme="minorEastAsia"/>
          <w:sz w:val="24"/>
          <w:szCs w:val="24"/>
        </w:rPr>
        <w:t xml:space="preserve"> Table 1</w:t>
      </w:r>
      <w:r w:rsidRPr="00E241C9">
        <w:rPr>
          <w:rFonts w:eastAsiaTheme="minorEastAsia"/>
          <w:sz w:val="24"/>
          <w:szCs w:val="24"/>
        </w:rPr>
        <w:t xml:space="preserve"> shows the required sample size based on different conditions.</w:t>
      </w:r>
    </w:p>
    <w:p w:rsidR="006821C1" w:rsidRDefault="006821C1" w:rsidP="006821C1">
      <w:pPr>
        <w:spacing w:after="0" w:line="240" w:lineRule="auto"/>
        <w:rPr>
          <w:rFonts w:eastAsiaTheme="minorEastAsia"/>
          <w:sz w:val="24"/>
          <w:szCs w:val="24"/>
        </w:rPr>
      </w:pPr>
    </w:p>
    <w:p w:rsidR="006821C1" w:rsidRPr="006821C1" w:rsidRDefault="006821C1" w:rsidP="006821C1">
      <w:pPr>
        <w:spacing w:after="0" w:line="240" w:lineRule="auto"/>
        <w:jc w:val="center"/>
        <w:rPr>
          <w:rFonts w:eastAsiaTheme="minorEastAsia"/>
          <w:b/>
          <w:sz w:val="24"/>
          <w:szCs w:val="24"/>
        </w:rPr>
      </w:pPr>
      <w:r w:rsidRPr="006821C1">
        <w:rPr>
          <w:rFonts w:eastAsiaTheme="minorEastAsia"/>
          <w:b/>
          <w:sz w:val="24"/>
          <w:szCs w:val="24"/>
        </w:rPr>
        <w:t>Table 1.</w:t>
      </w:r>
    </w:p>
    <w:tbl>
      <w:tblPr>
        <w:tblW w:w="8387" w:type="dxa"/>
        <w:tblInd w:w="93" w:type="dxa"/>
        <w:tblLook w:val="04A0" w:firstRow="1" w:lastRow="0" w:firstColumn="1" w:lastColumn="0" w:noHBand="0" w:noVBand="1"/>
      </w:tblPr>
      <w:tblGrid>
        <w:gridCol w:w="1028"/>
        <w:gridCol w:w="1599"/>
        <w:gridCol w:w="960"/>
        <w:gridCol w:w="960"/>
        <w:gridCol w:w="960"/>
        <w:gridCol w:w="960"/>
        <w:gridCol w:w="960"/>
        <w:gridCol w:w="960"/>
      </w:tblGrid>
      <w:tr w:rsidR="00777084" w:rsidRPr="00B10124" w:rsidTr="006821C1">
        <w:trPr>
          <w:trHeight w:val="30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6821C1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Binary Measure of Accessibility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Precision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Response rate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+/- 5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561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673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+/- 3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956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1093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1275</w:t>
            </w:r>
          </w:p>
        </w:tc>
      </w:tr>
      <w:tr w:rsidR="00777084" w:rsidRPr="00B10124" w:rsidTr="008710E1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4" w:rsidRPr="00B10124" w:rsidRDefault="00777084" w:rsidP="0087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124">
              <w:rPr>
                <w:rFonts w:ascii="Calibri" w:eastAsia="Times New Roman" w:hAnsi="Calibri" w:cs="Calibri"/>
                <w:color w:val="000000"/>
              </w:rPr>
              <w:t>1530</w:t>
            </w:r>
          </w:p>
        </w:tc>
      </w:tr>
    </w:tbl>
    <w:p w:rsidR="00777084" w:rsidRDefault="00777084" w:rsidP="00CC072D">
      <w:pPr>
        <w:jc w:val="both"/>
        <w:rPr>
          <w:sz w:val="24"/>
        </w:rPr>
      </w:pPr>
    </w:p>
    <w:p w:rsidR="00777084" w:rsidRDefault="00777084" w:rsidP="00CC072D">
      <w:pPr>
        <w:jc w:val="both"/>
        <w:rPr>
          <w:sz w:val="24"/>
        </w:rPr>
      </w:pPr>
      <w:bookmarkStart w:id="1" w:name="_GoBack"/>
      <w:bookmarkEnd w:id="1"/>
    </w:p>
    <w:p w:rsidR="00777084" w:rsidRPr="006821C1" w:rsidRDefault="006821C1" w:rsidP="006821C1">
      <w:p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 w:rsidRPr="006821C1">
        <w:rPr>
          <w:b/>
          <w:sz w:val="24"/>
          <w:szCs w:val="24"/>
        </w:rPr>
        <w:lastRenderedPageBreak/>
        <w:t>2.</w:t>
      </w:r>
      <w:r w:rsidRPr="006821C1">
        <w:rPr>
          <w:b/>
          <w:sz w:val="24"/>
          <w:szCs w:val="24"/>
        </w:rPr>
        <w:tab/>
      </w:r>
      <w:r w:rsidR="00777084" w:rsidRPr="006821C1">
        <w:rPr>
          <w:b/>
          <w:sz w:val="24"/>
          <w:szCs w:val="24"/>
        </w:rPr>
        <w:t>Simulation Study</w:t>
      </w:r>
    </w:p>
    <w:p w:rsidR="006821C1" w:rsidRDefault="006821C1" w:rsidP="006821C1">
      <w:pPr>
        <w:spacing w:after="0" w:line="240" w:lineRule="auto"/>
        <w:jc w:val="both"/>
        <w:rPr>
          <w:sz w:val="24"/>
          <w:szCs w:val="24"/>
        </w:rPr>
      </w:pPr>
    </w:p>
    <w:p w:rsidR="002A5526" w:rsidRPr="006821C1" w:rsidRDefault="004C1254" w:rsidP="006821C1">
      <w:pPr>
        <w:spacing w:after="0" w:line="240" w:lineRule="auto"/>
        <w:jc w:val="both"/>
        <w:rPr>
          <w:sz w:val="24"/>
          <w:szCs w:val="24"/>
        </w:rPr>
      </w:pPr>
      <w:r w:rsidRPr="006821C1">
        <w:rPr>
          <w:sz w:val="24"/>
          <w:szCs w:val="24"/>
        </w:rPr>
        <w:t>The IMPAQ team has conducted s</w:t>
      </w:r>
      <w:r w:rsidR="007A4ECA" w:rsidRPr="006821C1">
        <w:rPr>
          <w:sz w:val="24"/>
          <w:szCs w:val="24"/>
        </w:rPr>
        <w:t xml:space="preserve">imulation studies to </w:t>
      </w:r>
      <w:r w:rsidR="00C62E35" w:rsidRPr="006821C1">
        <w:rPr>
          <w:sz w:val="24"/>
          <w:szCs w:val="24"/>
        </w:rPr>
        <w:t>evaluate the</w:t>
      </w:r>
      <w:r w:rsidRPr="006821C1">
        <w:rPr>
          <w:sz w:val="24"/>
          <w:szCs w:val="24"/>
        </w:rPr>
        <w:t xml:space="preserve"> impact of</w:t>
      </w:r>
      <w:r w:rsidR="00C62E35" w:rsidRPr="006821C1">
        <w:rPr>
          <w:sz w:val="24"/>
          <w:szCs w:val="24"/>
        </w:rPr>
        <w:t xml:space="preserve"> </w:t>
      </w:r>
      <w:r w:rsidR="00CC072D" w:rsidRPr="006821C1">
        <w:rPr>
          <w:sz w:val="24"/>
          <w:szCs w:val="24"/>
        </w:rPr>
        <w:t>the number of site visits</w:t>
      </w:r>
      <w:r w:rsidRPr="006821C1">
        <w:rPr>
          <w:sz w:val="24"/>
          <w:szCs w:val="24"/>
        </w:rPr>
        <w:t xml:space="preserve"> </w:t>
      </w:r>
      <w:r w:rsidR="00C62E35" w:rsidRPr="006821C1">
        <w:rPr>
          <w:sz w:val="24"/>
          <w:szCs w:val="24"/>
        </w:rPr>
        <w:t>based on the</w:t>
      </w:r>
      <w:r w:rsidR="00D57390" w:rsidRPr="006821C1">
        <w:rPr>
          <w:sz w:val="24"/>
          <w:szCs w:val="24"/>
        </w:rPr>
        <w:t xml:space="preserve"> proposed analytical framework</w:t>
      </w:r>
      <w:r w:rsidR="00CC072D" w:rsidRPr="006821C1">
        <w:rPr>
          <w:sz w:val="24"/>
          <w:szCs w:val="24"/>
        </w:rPr>
        <w:t>, Facet model,</w:t>
      </w:r>
      <w:r w:rsidR="00D57390" w:rsidRPr="006821C1">
        <w:rPr>
          <w:sz w:val="24"/>
          <w:szCs w:val="24"/>
        </w:rPr>
        <w:t xml:space="preserve"> </w:t>
      </w:r>
      <w:r w:rsidR="008F1976" w:rsidRPr="006821C1">
        <w:rPr>
          <w:sz w:val="24"/>
          <w:szCs w:val="24"/>
        </w:rPr>
        <w:t xml:space="preserve">in terms of the bias and precision of the latent construct measure </w:t>
      </w:r>
      <w:r w:rsidR="00CC072D" w:rsidRPr="006821C1">
        <w:rPr>
          <w:sz w:val="24"/>
          <w:szCs w:val="24"/>
        </w:rPr>
        <w:t>and the respondent effects (as facet) of AJC survey.</w:t>
      </w:r>
      <w:r w:rsidR="002A5526" w:rsidRPr="006821C1">
        <w:rPr>
          <w:sz w:val="24"/>
          <w:szCs w:val="24"/>
        </w:rPr>
        <w:t xml:space="preserve"> </w:t>
      </w:r>
    </w:p>
    <w:p w:rsidR="006821C1" w:rsidRDefault="006821C1" w:rsidP="006821C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07D31" w:rsidRPr="006821C1" w:rsidRDefault="00007D31" w:rsidP="006821C1">
      <w:pPr>
        <w:spacing w:after="0" w:line="240" w:lineRule="auto"/>
        <w:jc w:val="both"/>
        <w:rPr>
          <w:sz w:val="24"/>
          <w:szCs w:val="24"/>
        </w:rPr>
      </w:pPr>
      <w:r w:rsidRPr="006821C1">
        <w:rPr>
          <w:rFonts w:cs="Calibri"/>
          <w:sz w:val="24"/>
          <w:szCs w:val="24"/>
        </w:rPr>
        <w:t>Survey responses are generated over 2,000 respondents, which is approximately 75% of total AJCs (including both comprehensive and satellite centers) in addition to varied number (i.e. 10-100) of site visits. The parameters of interests, accessibility level was generated from the standard normal distribution and the SDR effect (or respondent effect) had -0.5 for 2,000 respondent simulating the expected SDR bias by center directors and +0.5 by site visitors.</w:t>
      </w:r>
    </w:p>
    <w:p w:rsidR="006821C1" w:rsidRDefault="006821C1" w:rsidP="006821C1">
      <w:pPr>
        <w:spacing w:after="0" w:line="240" w:lineRule="auto"/>
        <w:jc w:val="both"/>
        <w:rPr>
          <w:sz w:val="24"/>
          <w:szCs w:val="24"/>
        </w:rPr>
      </w:pPr>
    </w:p>
    <w:p w:rsidR="00413464" w:rsidRDefault="00413464" w:rsidP="006821C1">
      <w:pPr>
        <w:spacing w:after="0" w:line="240" w:lineRule="auto"/>
        <w:jc w:val="both"/>
        <w:rPr>
          <w:sz w:val="24"/>
          <w:szCs w:val="24"/>
        </w:rPr>
      </w:pPr>
      <w:r w:rsidRPr="006821C1">
        <w:rPr>
          <w:sz w:val="24"/>
          <w:szCs w:val="24"/>
        </w:rPr>
        <w:t xml:space="preserve">For both simulation studies, data was generated based on </w:t>
      </w:r>
      <w:r w:rsidR="006821C1">
        <w:rPr>
          <w:sz w:val="24"/>
          <w:szCs w:val="24"/>
        </w:rPr>
        <w:t xml:space="preserve">a </w:t>
      </w:r>
      <w:r w:rsidR="00007D31" w:rsidRPr="006821C1">
        <w:rPr>
          <w:sz w:val="24"/>
          <w:szCs w:val="24"/>
        </w:rPr>
        <w:t>Facet Model</w:t>
      </w:r>
      <w:r w:rsidRPr="006821C1">
        <w:rPr>
          <w:sz w:val="24"/>
          <w:szCs w:val="24"/>
        </w:rPr>
        <w:t xml:space="preserve"> </w:t>
      </w:r>
      <w:r w:rsidR="00007D31" w:rsidRPr="006821C1">
        <w:rPr>
          <w:sz w:val="24"/>
          <w:szCs w:val="24"/>
        </w:rPr>
        <w:t>with</w:t>
      </w:r>
      <w:r w:rsidRPr="006821C1">
        <w:rPr>
          <w:sz w:val="24"/>
          <w:szCs w:val="24"/>
        </w:rPr>
        <w:t xml:space="preserve"> </w:t>
      </w:r>
      <w:r w:rsidR="00007D31" w:rsidRPr="006821C1">
        <w:rPr>
          <w:rFonts w:cs="Calibri"/>
          <w:sz w:val="24"/>
          <w:szCs w:val="24"/>
        </w:rPr>
        <w:t>a total of 32 questions (16 binary questions and 16 rating scale items) based on the specifications of communication domain of current AJC surveys.</w:t>
      </w:r>
      <w:r w:rsidRPr="006821C1">
        <w:rPr>
          <w:sz w:val="24"/>
          <w:szCs w:val="24"/>
        </w:rPr>
        <w:t xml:space="preserve"> A simulation condition of three step parameters,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1:3</m:t>
            </m:r>
          </m:sub>
        </m:sSub>
      </m:oMath>
      <w:r w:rsidRPr="006821C1">
        <w:rPr>
          <w:rFonts w:eastAsiaTheme="minorEastAsia"/>
          <w:sz w:val="24"/>
          <w:szCs w:val="24"/>
        </w:rPr>
        <w:t xml:space="preserve">, for </w:t>
      </w:r>
      <w:r w:rsidR="00CC072D" w:rsidRPr="006821C1">
        <w:rPr>
          <w:rFonts w:eastAsiaTheme="minorEastAsia"/>
          <w:sz w:val="24"/>
          <w:szCs w:val="24"/>
        </w:rPr>
        <w:t>s</w:t>
      </w:r>
      <w:r w:rsidRPr="006821C1">
        <w:rPr>
          <w:sz w:val="24"/>
          <w:szCs w:val="24"/>
        </w:rPr>
        <w:t xml:space="preserve">urvey item </w:t>
      </w:r>
      <w:r w:rsidR="00CC072D" w:rsidRPr="006821C1">
        <w:rPr>
          <w:sz w:val="24"/>
          <w:szCs w:val="24"/>
        </w:rPr>
        <w:t xml:space="preserve">with rating scale </w:t>
      </w:r>
      <w:r w:rsidRPr="006821C1">
        <w:rPr>
          <w:sz w:val="24"/>
          <w:szCs w:val="24"/>
        </w:rPr>
        <w:t>is:</w:t>
      </w:r>
    </w:p>
    <w:p w:rsidR="006821C1" w:rsidRPr="006821C1" w:rsidRDefault="006821C1" w:rsidP="006821C1">
      <w:pPr>
        <w:spacing w:after="0" w:line="240" w:lineRule="auto"/>
        <w:jc w:val="both"/>
        <w:rPr>
          <w:sz w:val="24"/>
          <w:szCs w:val="24"/>
        </w:rPr>
      </w:pPr>
    </w:p>
    <w:p w:rsidR="00413464" w:rsidRPr="00E241C9" w:rsidRDefault="006C1E2F" w:rsidP="00E241C9">
      <w:pPr>
        <w:pStyle w:val="ListParagraph"/>
        <w:numPr>
          <w:ilvl w:val="0"/>
          <w:numId w:val="2"/>
        </w:numPr>
        <w:jc w:val="both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~N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-0.75, 0.25</m:t>
            </m:r>
          </m:e>
        </m:d>
      </m:oMath>
    </w:p>
    <w:p w:rsidR="00413464" w:rsidRPr="00E241C9" w:rsidRDefault="006C1E2F" w:rsidP="00E241C9">
      <w:pPr>
        <w:pStyle w:val="ListParagraph"/>
        <w:numPr>
          <w:ilvl w:val="0"/>
          <w:numId w:val="2"/>
        </w:numPr>
        <w:jc w:val="both"/>
        <w:rPr>
          <w:rFonts w:ascii="Cambria Math" w:hAnsi="Cambria Math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~N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0, 0.25</m:t>
            </m:r>
          </m:e>
        </m:d>
      </m:oMath>
    </w:p>
    <w:p w:rsidR="002A5526" w:rsidRDefault="006C1E2F" w:rsidP="00E241C9">
      <w:pPr>
        <w:pStyle w:val="ListParagraph"/>
        <w:numPr>
          <w:ilvl w:val="0"/>
          <w:numId w:val="2"/>
        </w:numPr>
        <w:jc w:val="both"/>
        <w:rPr>
          <w:rFonts w:ascii="Cambria Math" w:hAnsi="Cambria Math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~N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0.75, 0.25</m:t>
            </m:r>
          </m:e>
        </m:d>
      </m:oMath>
    </w:p>
    <w:p w:rsidR="00CC072D" w:rsidRDefault="00CC072D" w:rsidP="00CC072D">
      <w:pPr>
        <w:jc w:val="both"/>
        <w:rPr>
          <w:sz w:val="24"/>
        </w:rPr>
      </w:pPr>
      <w:r>
        <w:rPr>
          <w:sz w:val="24"/>
        </w:rPr>
        <w:t>a</w:t>
      </w:r>
      <w:r w:rsidRPr="00CC072D">
        <w:rPr>
          <w:sz w:val="24"/>
        </w:rPr>
        <w:t xml:space="preserve">nd </w:t>
      </w:r>
      <w:r>
        <w:rPr>
          <w:sz w:val="24"/>
        </w:rPr>
        <w:t>for a dichotomous survey item is:</w:t>
      </w:r>
    </w:p>
    <w:p w:rsidR="00CC072D" w:rsidRPr="00E241C9" w:rsidRDefault="00CC072D" w:rsidP="00CC072D">
      <w:pPr>
        <w:pStyle w:val="ListParagraph"/>
        <w:numPr>
          <w:ilvl w:val="0"/>
          <w:numId w:val="2"/>
        </w:numPr>
        <w:jc w:val="both"/>
        <w:rPr>
          <w:rFonts w:ascii="Cambria Math" w:hAnsi="Cambria Math"/>
          <w:i/>
          <w:sz w:val="24"/>
        </w:rPr>
      </w:pPr>
      <m:oMath>
        <m:r>
          <w:rPr>
            <w:rFonts w:ascii="Cambria Math" w:hAnsi="Cambria Math"/>
            <w:sz w:val="24"/>
          </w:rPr>
          <m:t>δ~N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0,1</m:t>
            </m:r>
          </m:e>
        </m:d>
        <m:r>
          <w:rPr>
            <w:rFonts w:ascii="Cambria Math" w:hAnsi="Cambria Math"/>
            <w:sz w:val="24"/>
          </w:rPr>
          <m:t>.</m:t>
        </m:r>
      </m:oMath>
    </w:p>
    <w:p w:rsidR="00413464" w:rsidRDefault="00413464" w:rsidP="006821C1">
      <w:pPr>
        <w:spacing w:after="0" w:line="240" w:lineRule="auto"/>
        <w:jc w:val="both"/>
        <w:rPr>
          <w:sz w:val="24"/>
        </w:rPr>
      </w:pPr>
      <w:r w:rsidRPr="006821C1">
        <w:rPr>
          <w:sz w:val="24"/>
        </w:rPr>
        <w:t>The latent construct score</w:t>
      </w:r>
      <w:r w:rsidR="003D004B" w:rsidRPr="006821C1">
        <w:rPr>
          <w:sz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3D004B" w:rsidRPr="006821C1">
        <w:rPr>
          <w:rFonts w:eastAsiaTheme="minorEastAsia"/>
          <w:sz w:val="24"/>
        </w:rPr>
        <w:t>,</w:t>
      </w:r>
      <w:r w:rsidRPr="006821C1">
        <w:rPr>
          <w:sz w:val="24"/>
        </w:rPr>
        <w:t xml:space="preserve"> (e.g AJC accessibility level)</w:t>
      </w:r>
      <w:r w:rsidR="003D004B" w:rsidRPr="006821C1">
        <w:rPr>
          <w:sz w:val="24"/>
        </w:rPr>
        <w:t xml:space="preserve"> used </w:t>
      </w:r>
      <w:r w:rsidR="00CC072D" w:rsidRPr="006821C1">
        <w:rPr>
          <w:sz w:val="24"/>
        </w:rPr>
        <w:t xml:space="preserve">a following </w:t>
      </w:r>
      <w:r w:rsidR="003D004B" w:rsidRPr="006821C1">
        <w:rPr>
          <w:sz w:val="24"/>
        </w:rPr>
        <w:t>condition:</w:t>
      </w:r>
    </w:p>
    <w:p w:rsidR="006821C1" w:rsidRPr="006821C1" w:rsidRDefault="006821C1" w:rsidP="006821C1">
      <w:pPr>
        <w:spacing w:after="0" w:line="240" w:lineRule="auto"/>
        <w:jc w:val="both"/>
        <w:rPr>
          <w:sz w:val="24"/>
        </w:rPr>
      </w:pPr>
    </w:p>
    <w:p w:rsidR="003D004B" w:rsidRPr="00E241C9" w:rsidRDefault="006C1E2F" w:rsidP="00E241C9">
      <w:pPr>
        <w:pStyle w:val="ListParagraph"/>
        <w:numPr>
          <w:ilvl w:val="0"/>
          <w:numId w:val="2"/>
        </w:numPr>
        <w:jc w:val="both"/>
        <w:rPr>
          <w:rFonts w:ascii="Cambria Math" w:hAnsi="Cambria Math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~N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0, 1</m:t>
            </m:r>
          </m:e>
        </m:d>
      </m:oMath>
      <w:r w:rsidR="008F1976" w:rsidRPr="00E241C9">
        <w:rPr>
          <w:rFonts w:ascii="Cambria Math" w:hAnsi="Cambria Math"/>
          <w:i/>
          <w:sz w:val="24"/>
        </w:rPr>
        <w:t xml:space="preserve"> </w:t>
      </w:r>
    </w:p>
    <w:p w:rsidR="003D004B" w:rsidRDefault="003D004B" w:rsidP="006821C1">
      <w:pPr>
        <w:spacing w:after="0" w:line="240" w:lineRule="auto"/>
        <w:jc w:val="both"/>
        <w:rPr>
          <w:sz w:val="24"/>
        </w:rPr>
      </w:pPr>
      <w:r w:rsidRPr="00E241C9">
        <w:rPr>
          <w:sz w:val="24"/>
        </w:rPr>
        <w:t>A bias of the latent construct estimates is defined as:</w:t>
      </w:r>
    </w:p>
    <w:p w:rsidR="006821C1" w:rsidRPr="00E241C9" w:rsidRDefault="006821C1" w:rsidP="006821C1">
      <w:pPr>
        <w:spacing w:after="0" w:line="240" w:lineRule="auto"/>
        <w:jc w:val="both"/>
        <w:rPr>
          <w:sz w:val="24"/>
        </w:rPr>
      </w:pPr>
    </w:p>
    <w:p w:rsidR="003D004B" w:rsidRPr="006821C1" w:rsidRDefault="003D004B" w:rsidP="006821C1">
      <w:pPr>
        <w:ind w:left="360"/>
        <w:jc w:val="center"/>
        <w:rPr>
          <w:rFonts w:eastAsiaTheme="minorEastAsia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Bias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θ</m:t>
              </m:r>
            </m:e>
          </m:d>
          <m:r>
            <w:rPr>
              <w:rFonts w:ascii="Cambria Math" w:hAnsi="Cambria Math"/>
              <w:sz w:val="24"/>
            </w:rPr>
            <m:t>=θ-</m:t>
          </m:r>
          <m:acc>
            <m:accPr>
              <m:ctrlPr>
                <w:rPr>
                  <w:rFonts w:ascii="Cambria Math" w:hAnsi="Cambria Math"/>
                  <w:i/>
                  <w:sz w:val="24"/>
                </w:rPr>
              </m:ctrlPr>
            </m:accPr>
            <m:e>
              <m:r>
                <w:rPr>
                  <w:rFonts w:ascii="Cambria Math" w:hAnsi="Cambria Math"/>
                  <w:sz w:val="24"/>
                </w:rPr>
                <m:t>θ</m:t>
              </m:r>
            </m:e>
          </m:acc>
        </m:oMath>
      </m:oMathPara>
    </w:p>
    <w:p w:rsidR="003D004B" w:rsidRPr="00E241C9" w:rsidRDefault="003D004B" w:rsidP="006821C1">
      <w:pPr>
        <w:spacing w:after="0" w:line="240" w:lineRule="auto"/>
        <w:rPr>
          <w:sz w:val="24"/>
        </w:rPr>
      </w:pPr>
      <w:r w:rsidRPr="00E241C9">
        <w:rPr>
          <w:rFonts w:eastAsiaTheme="minorEastAsia"/>
          <w:sz w:val="24"/>
        </w:rPr>
        <w:t xml:space="preserve">where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θ</m:t>
            </m:r>
          </m:e>
        </m:acc>
      </m:oMath>
      <w:r w:rsidRPr="00E241C9">
        <w:rPr>
          <w:rFonts w:eastAsiaTheme="minorEastAsia"/>
          <w:sz w:val="24"/>
        </w:rPr>
        <w:t xml:space="preserve"> is the estimated latent construct score. </w:t>
      </w:r>
    </w:p>
    <w:p w:rsidR="006821C1" w:rsidRDefault="006821C1" w:rsidP="006821C1">
      <w:pPr>
        <w:spacing w:after="0" w:line="240" w:lineRule="auto"/>
        <w:jc w:val="both"/>
        <w:rPr>
          <w:sz w:val="24"/>
        </w:rPr>
      </w:pPr>
    </w:p>
    <w:p w:rsidR="00A06CC2" w:rsidRPr="00B10124" w:rsidRDefault="00A06CC2" w:rsidP="006821C1">
      <w:pPr>
        <w:spacing w:after="0" w:line="240" w:lineRule="auto"/>
        <w:jc w:val="both"/>
      </w:pPr>
      <w:r w:rsidRPr="00E241C9">
        <w:rPr>
          <w:sz w:val="24"/>
        </w:rPr>
        <w:t xml:space="preserve">Table </w:t>
      </w:r>
      <w:r w:rsidR="006821C1">
        <w:rPr>
          <w:sz w:val="24"/>
        </w:rPr>
        <w:t>2</w:t>
      </w:r>
      <w:r w:rsidRPr="00E241C9">
        <w:rPr>
          <w:sz w:val="24"/>
        </w:rPr>
        <w:t xml:space="preserve"> shows t</w:t>
      </w:r>
      <w:r w:rsidR="008F1976" w:rsidRPr="00E241C9">
        <w:rPr>
          <w:sz w:val="24"/>
        </w:rPr>
        <w:t xml:space="preserve">he mean, standard deviation, </w:t>
      </w:r>
      <w:r w:rsidR="00007D31">
        <w:rPr>
          <w:sz w:val="24"/>
        </w:rPr>
        <w:t>2.5</w:t>
      </w:r>
      <w:r w:rsidR="008F1976" w:rsidRPr="00E241C9">
        <w:rPr>
          <w:sz w:val="24"/>
          <w:vertAlign w:val="superscript"/>
        </w:rPr>
        <w:t>th</w:t>
      </w:r>
      <w:r w:rsidR="008F1976" w:rsidRPr="00E241C9">
        <w:rPr>
          <w:sz w:val="24"/>
        </w:rPr>
        <w:t xml:space="preserve"> percentile, and 9</w:t>
      </w:r>
      <w:r w:rsidR="00007D31">
        <w:rPr>
          <w:sz w:val="24"/>
        </w:rPr>
        <w:t>7.5</w:t>
      </w:r>
      <w:r w:rsidR="008F1976" w:rsidRPr="00E241C9">
        <w:rPr>
          <w:sz w:val="24"/>
          <w:vertAlign w:val="superscript"/>
        </w:rPr>
        <w:t>th</w:t>
      </w:r>
      <w:r w:rsidR="008F1976" w:rsidRPr="00E241C9">
        <w:rPr>
          <w:sz w:val="24"/>
        </w:rPr>
        <w:t xml:space="preserve"> percentile </w:t>
      </w:r>
      <w:r w:rsidR="00007D31">
        <w:rPr>
          <w:sz w:val="24"/>
        </w:rPr>
        <w:t xml:space="preserve">bias </w:t>
      </w:r>
      <w:r w:rsidR="008F1976" w:rsidRPr="00E241C9">
        <w:rPr>
          <w:sz w:val="24"/>
        </w:rPr>
        <w:t xml:space="preserve">values for </w:t>
      </w:r>
      <w:r w:rsidR="00007D31">
        <w:rPr>
          <w:sz w:val="24"/>
        </w:rPr>
        <w:t>the latent construct and respondent effect estimates.</w:t>
      </w:r>
      <w:r w:rsidRPr="00B10124">
        <w:br w:type="page"/>
      </w:r>
    </w:p>
    <w:p w:rsidR="00A06CC2" w:rsidRPr="00E241C9" w:rsidRDefault="00A06CC2" w:rsidP="00E241C9">
      <w:pPr>
        <w:jc w:val="center"/>
        <w:rPr>
          <w:b/>
          <w:sz w:val="24"/>
        </w:rPr>
      </w:pPr>
      <w:r w:rsidRPr="00E241C9">
        <w:rPr>
          <w:b/>
          <w:sz w:val="24"/>
        </w:rPr>
        <w:lastRenderedPageBreak/>
        <w:t xml:space="preserve">Table </w:t>
      </w:r>
      <w:r w:rsidR="006821C1">
        <w:rPr>
          <w:b/>
          <w:sz w:val="24"/>
        </w:rPr>
        <w:t>2</w:t>
      </w:r>
      <w:r w:rsidRPr="00E241C9">
        <w:rPr>
          <w:b/>
          <w:sz w:val="24"/>
        </w:rPr>
        <w:t>: Bias and Standard error of the latent construct estimates</w:t>
      </w:r>
    </w:p>
    <w:tbl>
      <w:tblPr>
        <w:tblW w:w="9044" w:type="dxa"/>
        <w:tblInd w:w="108" w:type="dxa"/>
        <w:tblLook w:val="04A0" w:firstRow="1" w:lastRow="0" w:firstColumn="1" w:lastColumn="0" w:noHBand="0" w:noVBand="1"/>
      </w:tblPr>
      <w:tblGrid>
        <w:gridCol w:w="1530"/>
        <w:gridCol w:w="735"/>
        <w:gridCol w:w="933"/>
        <w:gridCol w:w="1057"/>
        <w:gridCol w:w="933"/>
        <w:gridCol w:w="964"/>
        <w:gridCol w:w="964"/>
        <w:gridCol w:w="964"/>
        <w:gridCol w:w="964"/>
      </w:tblGrid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A06CC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007D31">
            <w:pPr>
              <w:spacing w:after="0" w:line="240" w:lineRule="auto"/>
              <w:jc w:val="center"/>
            </w:pPr>
            <w:r>
              <w:t xml:space="preserve">Accessibility Estimates </w:t>
            </w:r>
            <w:r w:rsidRPr="00B10124">
              <w:t>Bias</w:t>
            </w:r>
          </w:p>
        </w:tc>
        <w:tc>
          <w:tcPr>
            <w:tcW w:w="3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007D31">
            <w:pPr>
              <w:spacing w:after="0" w:line="240" w:lineRule="auto"/>
              <w:jc w:val="center"/>
            </w:pPr>
            <w:r>
              <w:t>Respondent Effect Estimates Bias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BF5515" w:rsidP="00A06CC2">
            <w:pPr>
              <w:spacing w:after="0" w:line="240" w:lineRule="auto"/>
              <w:jc w:val="center"/>
            </w:pPr>
            <w:r>
              <w:t xml:space="preserve"># of </w:t>
            </w:r>
            <w:r w:rsidR="00007D31" w:rsidRPr="00B10124">
              <w:t>site visits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A06CC2">
            <w:pPr>
              <w:spacing w:after="0" w:line="240" w:lineRule="auto"/>
              <w:jc w:val="center"/>
            </w:pPr>
            <w:r w:rsidRPr="00B10124">
              <w:t>Mean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A06CC2">
            <w:pPr>
              <w:spacing w:after="0" w:line="240" w:lineRule="auto"/>
              <w:jc w:val="center"/>
            </w:pPr>
            <w:r w:rsidRPr="00B10124">
              <w:t>SD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007D31">
            <w:pPr>
              <w:spacing w:after="0" w:line="240" w:lineRule="auto"/>
              <w:jc w:val="center"/>
            </w:pPr>
            <w:r w:rsidRPr="00B10124">
              <w:t>P</w:t>
            </w:r>
            <w:r>
              <w:t>2.5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007D31">
            <w:pPr>
              <w:spacing w:after="0" w:line="240" w:lineRule="auto"/>
              <w:jc w:val="center"/>
            </w:pPr>
            <w:r w:rsidRPr="00B10124">
              <w:t>P9</w:t>
            </w:r>
            <w:r>
              <w:t>7.5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A06CC2">
            <w:pPr>
              <w:spacing w:after="0" w:line="240" w:lineRule="auto"/>
              <w:jc w:val="center"/>
            </w:pPr>
            <w:r w:rsidRPr="00B10124">
              <w:t>Mean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A06CC2">
            <w:pPr>
              <w:spacing w:after="0" w:line="240" w:lineRule="auto"/>
              <w:jc w:val="center"/>
            </w:pPr>
            <w:r w:rsidRPr="00B10124">
              <w:t>SD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007D31">
            <w:pPr>
              <w:spacing w:after="0" w:line="240" w:lineRule="auto"/>
              <w:jc w:val="center"/>
            </w:pPr>
            <w:r w:rsidRPr="00B10124">
              <w:t>P</w:t>
            </w:r>
            <w:r>
              <w:t>2.5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7D31" w:rsidRPr="00B10124" w:rsidRDefault="00007D31" w:rsidP="00007D31">
            <w:pPr>
              <w:spacing w:after="0" w:line="240" w:lineRule="auto"/>
              <w:jc w:val="center"/>
            </w:pPr>
            <w:r w:rsidRPr="00B10124">
              <w:t>P9</w:t>
            </w:r>
            <w:r>
              <w:t>7.5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0.055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-0.148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0.148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-0.157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0.157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0.165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0.042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0.093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-0.158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0.158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0.121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0.038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0.121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0.039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0.114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0.108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90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0.045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0.022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0.004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0.089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0.074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-0.102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0.102</w:t>
            </w:r>
          </w:p>
        </w:tc>
      </w:tr>
      <w:tr w:rsidR="00007D31" w:rsidRPr="00B10124" w:rsidTr="00BF5515">
        <w:trPr>
          <w:trHeight w:val="315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100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0.043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0.023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-0.004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0.085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0.000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0.074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Pr="00FC490B" w:rsidRDefault="00007D31" w:rsidP="00007D31">
            <w:pPr>
              <w:pStyle w:val="NoSpacing"/>
              <w:jc w:val="center"/>
            </w:pPr>
            <w:r w:rsidRPr="00FC490B">
              <w:t>-0.097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07D31" w:rsidRDefault="00007D31" w:rsidP="00007D31">
            <w:pPr>
              <w:pStyle w:val="NoSpacing"/>
              <w:jc w:val="center"/>
            </w:pPr>
            <w:r w:rsidRPr="00FC490B">
              <w:t>0.097</w:t>
            </w:r>
          </w:p>
        </w:tc>
      </w:tr>
    </w:tbl>
    <w:p w:rsidR="00A06CC2" w:rsidRPr="00E241C9" w:rsidRDefault="00A06CC2" w:rsidP="00111C14">
      <w:pPr>
        <w:jc w:val="both"/>
        <w:rPr>
          <w:sz w:val="24"/>
        </w:rPr>
      </w:pPr>
    </w:p>
    <w:sectPr w:rsidR="00A06CC2" w:rsidRPr="00E241C9" w:rsidSect="0027246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BC" w:rsidRDefault="007475BC" w:rsidP="00442BFE">
      <w:pPr>
        <w:spacing w:after="0" w:line="240" w:lineRule="auto"/>
      </w:pPr>
      <w:r>
        <w:separator/>
      </w:r>
    </w:p>
  </w:endnote>
  <w:endnote w:type="continuationSeparator" w:id="0">
    <w:p w:rsidR="007475BC" w:rsidRDefault="007475BC" w:rsidP="004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BC" w:rsidRPr="006821C1" w:rsidRDefault="006821C1" w:rsidP="006821C1">
    <w:pPr>
      <w:pStyle w:val="Footer"/>
      <w:pBdr>
        <w:top w:val="single" w:sz="4" w:space="1" w:color="660000"/>
      </w:pBdr>
      <w:rPr>
        <w:sz w:val="20"/>
        <w:szCs w:val="20"/>
      </w:rPr>
    </w:pPr>
    <w:r w:rsidRPr="006821C1">
      <w:rPr>
        <w:sz w:val="20"/>
        <w:szCs w:val="20"/>
      </w:rPr>
      <w:t>OMB Part B</w:t>
    </w:r>
    <w:r w:rsidRPr="006821C1">
      <w:rPr>
        <w:sz w:val="20"/>
        <w:szCs w:val="20"/>
      </w:rPr>
      <w:tab/>
      <w:t xml:space="preserve">Attachment </w:t>
    </w:r>
    <w:r w:rsidR="003F2686">
      <w:rPr>
        <w:sz w:val="20"/>
        <w:szCs w:val="20"/>
      </w:rPr>
      <w:t>D</w:t>
    </w:r>
    <w:r w:rsidRPr="006821C1">
      <w:rPr>
        <w:sz w:val="20"/>
        <w:szCs w:val="20"/>
      </w:rPr>
      <w:t xml:space="preserve"> – Page </w:t>
    </w:r>
    <w:r w:rsidRPr="006821C1">
      <w:rPr>
        <w:sz w:val="20"/>
        <w:szCs w:val="20"/>
      </w:rPr>
      <w:fldChar w:fldCharType="begin"/>
    </w:r>
    <w:r w:rsidRPr="006821C1">
      <w:rPr>
        <w:sz w:val="20"/>
        <w:szCs w:val="20"/>
      </w:rPr>
      <w:instrText xml:space="preserve"> PAGE   \* MERGEFORMAT </w:instrText>
    </w:r>
    <w:r w:rsidRPr="006821C1">
      <w:rPr>
        <w:sz w:val="20"/>
        <w:szCs w:val="20"/>
      </w:rPr>
      <w:fldChar w:fldCharType="separate"/>
    </w:r>
    <w:r w:rsidR="006C1E2F">
      <w:rPr>
        <w:noProof/>
        <w:sz w:val="20"/>
        <w:szCs w:val="20"/>
      </w:rPr>
      <w:t>2</w:t>
    </w:r>
    <w:r w:rsidRPr="006821C1">
      <w:rPr>
        <w:noProof/>
        <w:sz w:val="20"/>
        <w:szCs w:val="20"/>
      </w:rPr>
      <w:fldChar w:fldCharType="end"/>
    </w:r>
    <w:r w:rsidRPr="006821C1">
      <w:rPr>
        <w:noProof/>
        <w:sz w:val="20"/>
        <w:szCs w:val="20"/>
      </w:rPr>
      <w:tab/>
    </w:r>
    <w:r w:rsidR="006C1E2F">
      <w:rPr>
        <w:noProof/>
        <w:sz w:val="20"/>
        <w:szCs w:val="20"/>
      </w:rPr>
      <w:t>February 4</w:t>
    </w:r>
    <w:r w:rsidRPr="006821C1">
      <w:rPr>
        <w:noProof/>
        <w:sz w:val="20"/>
        <w:szCs w:val="20"/>
      </w:rPr>
      <w:t>, 201</w:t>
    </w:r>
    <w:r w:rsidR="006C1E2F">
      <w:rPr>
        <w:noProof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BC" w:rsidRDefault="007475BC" w:rsidP="00442BFE">
      <w:pPr>
        <w:spacing w:after="0" w:line="240" w:lineRule="auto"/>
      </w:pPr>
      <w:r>
        <w:separator/>
      </w:r>
    </w:p>
  </w:footnote>
  <w:footnote w:type="continuationSeparator" w:id="0">
    <w:p w:rsidR="007475BC" w:rsidRDefault="007475BC" w:rsidP="0044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8DE"/>
    <w:multiLevelType w:val="hybridMultilevel"/>
    <w:tmpl w:val="49804132"/>
    <w:lvl w:ilvl="0" w:tplc="123E11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63F0C"/>
    <w:multiLevelType w:val="hybridMultilevel"/>
    <w:tmpl w:val="CB32C9D6"/>
    <w:lvl w:ilvl="0" w:tplc="BF48DEBA">
      <w:start w:val="1"/>
      <w:numFmt w:val="low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48"/>
    <w:multiLevelType w:val="hybridMultilevel"/>
    <w:tmpl w:val="9A260BE8"/>
    <w:lvl w:ilvl="0" w:tplc="E24C09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5048"/>
    <w:multiLevelType w:val="hybridMultilevel"/>
    <w:tmpl w:val="A99C5488"/>
    <w:lvl w:ilvl="0" w:tplc="85DCBD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68C"/>
    <w:multiLevelType w:val="hybridMultilevel"/>
    <w:tmpl w:val="BA0CF0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00EFD"/>
    <w:multiLevelType w:val="hybridMultilevel"/>
    <w:tmpl w:val="4588D132"/>
    <w:lvl w:ilvl="0" w:tplc="8794BB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56C4B"/>
    <w:multiLevelType w:val="hybridMultilevel"/>
    <w:tmpl w:val="82C09502"/>
    <w:lvl w:ilvl="0" w:tplc="8794BB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0186C"/>
    <w:multiLevelType w:val="hybridMultilevel"/>
    <w:tmpl w:val="F5381ABC"/>
    <w:lvl w:ilvl="0" w:tplc="2AA8CF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61B0A"/>
    <w:multiLevelType w:val="hybridMultilevel"/>
    <w:tmpl w:val="CDD8860C"/>
    <w:lvl w:ilvl="0" w:tplc="ECE828E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5F351B5"/>
    <w:multiLevelType w:val="hybridMultilevel"/>
    <w:tmpl w:val="ABB23A68"/>
    <w:lvl w:ilvl="0" w:tplc="D75C76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41BD4"/>
    <w:multiLevelType w:val="multilevel"/>
    <w:tmpl w:val="B4245D3C"/>
    <w:styleLink w:val="Style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D03D12"/>
    <w:multiLevelType w:val="hybridMultilevel"/>
    <w:tmpl w:val="E0EC4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92E"/>
    <w:multiLevelType w:val="hybridMultilevel"/>
    <w:tmpl w:val="6CC2EBC2"/>
    <w:lvl w:ilvl="0" w:tplc="8794BB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220475"/>
    <w:multiLevelType w:val="hybridMultilevel"/>
    <w:tmpl w:val="5E3A4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122A5"/>
    <w:multiLevelType w:val="multilevel"/>
    <w:tmpl w:val="B4245D3C"/>
    <w:numStyleLink w:val="Style1"/>
  </w:abstractNum>
  <w:abstractNum w:abstractNumId="15">
    <w:nsid w:val="23A47BCC"/>
    <w:multiLevelType w:val="hybridMultilevel"/>
    <w:tmpl w:val="2FBCA780"/>
    <w:lvl w:ilvl="0" w:tplc="B5CE26D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C5D8D"/>
    <w:multiLevelType w:val="hybridMultilevel"/>
    <w:tmpl w:val="2194A4AC"/>
    <w:lvl w:ilvl="0" w:tplc="D0282F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756CC"/>
    <w:multiLevelType w:val="hybridMultilevel"/>
    <w:tmpl w:val="E3ACF62A"/>
    <w:lvl w:ilvl="0" w:tplc="2E3C1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D44D6"/>
    <w:multiLevelType w:val="hybridMultilevel"/>
    <w:tmpl w:val="167E55A6"/>
    <w:lvl w:ilvl="0" w:tplc="92400670">
      <w:start w:val="3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E133D"/>
    <w:multiLevelType w:val="hybridMultilevel"/>
    <w:tmpl w:val="970E9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100D2C"/>
    <w:multiLevelType w:val="hybridMultilevel"/>
    <w:tmpl w:val="970E9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432AC2"/>
    <w:multiLevelType w:val="hybridMultilevel"/>
    <w:tmpl w:val="0E0EB154"/>
    <w:lvl w:ilvl="0" w:tplc="6E541A94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3101CB"/>
    <w:multiLevelType w:val="hybridMultilevel"/>
    <w:tmpl w:val="404645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9245443"/>
    <w:multiLevelType w:val="hybridMultilevel"/>
    <w:tmpl w:val="AEA45EB4"/>
    <w:lvl w:ilvl="0" w:tplc="E24C09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B4A83"/>
    <w:multiLevelType w:val="hybridMultilevel"/>
    <w:tmpl w:val="71B825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784ADD"/>
    <w:multiLevelType w:val="hybridMultilevel"/>
    <w:tmpl w:val="00E6D412"/>
    <w:lvl w:ilvl="0" w:tplc="3C666F9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F1D99"/>
    <w:multiLevelType w:val="hybridMultilevel"/>
    <w:tmpl w:val="C1F45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922E7"/>
    <w:multiLevelType w:val="hybridMultilevel"/>
    <w:tmpl w:val="4F5E431C"/>
    <w:lvl w:ilvl="0" w:tplc="4100E6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3704A"/>
    <w:multiLevelType w:val="hybridMultilevel"/>
    <w:tmpl w:val="1A2211D4"/>
    <w:lvl w:ilvl="0" w:tplc="0A6E786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622D3"/>
    <w:multiLevelType w:val="hybridMultilevel"/>
    <w:tmpl w:val="602A7F1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64A852D6"/>
    <w:multiLevelType w:val="hybridMultilevel"/>
    <w:tmpl w:val="3962F17E"/>
    <w:lvl w:ilvl="0" w:tplc="5E0EBDF4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F595D"/>
    <w:multiLevelType w:val="hybridMultilevel"/>
    <w:tmpl w:val="73167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45F9E"/>
    <w:multiLevelType w:val="multilevel"/>
    <w:tmpl w:val="45007AA6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>
    <w:nsid w:val="6D484054"/>
    <w:multiLevelType w:val="hybridMultilevel"/>
    <w:tmpl w:val="E0EC4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B78D7"/>
    <w:multiLevelType w:val="hybridMultilevel"/>
    <w:tmpl w:val="E0EC4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C2C60"/>
    <w:multiLevelType w:val="hybridMultilevel"/>
    <w:tmpl w:val="2EC4756A"/>
    <w:lvl w:ilvl="0" w:tplc="B630D0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34415"/>
    <w:multiLevelType w:val="hybridMultilevel"/>
    <w:tmpl w:val="2B92F2D2"/>
    <w:lvl w:ilvl="0" w:tplc="E24C09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C37476"/>
    <w:multiLevelType w:val="hybridMultilevel"/>
    <w:tmpl w:val="35FC77E4"/>
    <w:lvl w:ilvl="0" w:tplc="8794BB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F8513E"/>
    <w:multiLevelType w:val="hybridMultilevel"/>
    <w:tmpl w:val="A204F360"/>
    <w:lvl w:ilvl="0" w:tplc="FACABF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9"/>
  </w:num>
  <w:num w:numId="4">
    <w:abstractNumId w:val="9"/>
  </w:num>
  <w:num w:numId="5">
    <w:abstractNumId w:val="5"/>
  </w:num>
  <w:num w:numId="6">
    <w:abstractNumId w:val="6"/>
  </w:num>
  <w:num w:numId="7">
    <w:abstractNumId w:val="32"/>
  </w:num>
  <w:num w:numId="8">
    <w:abstractNumId w:val="12"/>
  </w:num>
  <w:num w:numId="9">
    <w:abstractNumId w:val="37"/>
  </w:num>
  <w:num w:numId="10">
    <w:abstractNumId w:val="22"/>
  </w:num>
  <w:num w:numId="11">
    <w:abstractNumId w:val="19"/>
  </w:num>
  <w:num w:numId="12">
    <w:abstractNumId w:val="21"/>
  </w:num>
  <w:num w:numId="13">
    <w:abstractNumId w:val="4"/>
  </w:num>
  <w:num w:numId="14">
    <w:abstractNumId w:val="31"/>
  </w:num>
  <w:num w:numId="15">
    <w:abstractNumId w:val="24"/>
  </w:num>
  <w:num w:numId="16">
    <w:abstractNumId w:val="2"/>
  </w:num>
  <w:num w:numId="17">
    <w:abstractNumId w:val="1"/>
  </w:num>
  <w:num w:numId="18">
    <w:abstractNumId w:val="13"/>
  </w:num>
  <w:num w:numId="19">
    <w:abstractNumId w:val="8"/>
  </w:num>
  <w:num w:numId="20">
    <w:abstractNumId w:val="35"/>
  </w:num>
  <w:num w:numId="21">
    <w:abstractNumId w:val="27"/>
  </w:num>
  <w:num w:numId="22">
    <w:abstractNumId w:val="20"/>
  </w:num>
  <w:num w:numId="23">
    <w:abstractNumId w:val="10"/>
  </w:num>
  <w:num w:numId="24">
    <w:abstractNumId w:val="14"/>
  </w:num>
  <w:num w:numId="25">
    <w:abstractNumId w:val="38"/>
  </w:num>
  <w:num w:numId="26">
    <w:abstractNumId w:val="15"/>
  </w:num>
  <w:num w:numId="27">
    <w:abstractNumId w:val="36"/>
  </w:num>
  <w:num w:numId="28">
    <w:abstractNumId w:val="23"/>
  </w:num>
  <w:num w:numId="29">
    <w:abstractNumId w:val="3"/>
  </w:num>
  <w:num w:numId="30">
    <w:abstractNumId w:val="7"/>
  </w:num>
  <w:num w:numId="31">
    <w:abstractNumId w:val="25"/>
  </w:num>
  <w:num w:numId="32">
    <w:abstractNumId w:val="0"/>
  </w:num>
  <w:num w:numId="33">
    <w:abstractNumId w:val="30"/>
  </w:num>
  <w:num w:numId="34">
    <w:abstractNumId w:val="18"/>
  </w:num>
  <w:num w:numId="35">
    <w:abstractNumId w:val="28"/>
  </w:num>
  <w:num w:numId="36">
    <w:abstractNumId w:val="34"/>
  </w:num>
  <w:num w:numId="37">
    <w:abstractNumId w:val="33"/>
  </w:num>
  <w:num w:numId="38">
    <w:abstractNumId w:val="11"/>
  </w:num>
  <w:num w:numId="39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AF"/>
    <w:rsid w:val="00004DE7"/>
    <w:rsid w:val="0000620B"/>
    <w:rsid w:val="00007D31"/>
    <w:rsid w:val="0005506F"/>
    <w:rsid w:val="0008575F"/>
    <w:rsid w:val="000B2BFA"/>
    <w:rsid w:val="000E7F5A"/>
    <w:rsid w:val="00110195"/>
    <w:rsid w:val="00111C14"/>
    <w:rsid w:val="001549EB"/>
    <w:rsid w:val="00162150"/>
    <w:rsid w:val="001841A1"/>
    <w:rsid w:val="001B1F0A"/>
    <w:rsid w:val="001C0072"/>
    <w:rsid w:val="001C36E2"/>
    <w:rsid w:val="002626F0"/>
    <w:rsid w:val="00272469"/>
    <w:rsid w:val="002A5526"/>
    <w:rsid w:val="002B0EB5"/>
    <w:rsid w:val="002B7DA7"/>
    <w:rsid w:val="00352F88"/>
    <w:rsid w:val="0036072C"/>
    <w:rsid w:val="003878ED"/>
    <w:rsid w:val="003A593B"/>
    <w:rsid w:val="003D004B"/>
    <w:rsid w:val="003D54D6"/>
    <w:rsid w:val="003F2686"/>
    <w:rsid w:val="00404DF2"/>
    <w:rsid w:val="0041007C"/>
    <w:rsid w:val="0041318E"/>
    <w:rsid w:val="00413464"/>
    <w:rsid w:val="00413D1D"/>
    <w:rsid w:val="00425DBE"/>
    <w:rsid w:val="00442BFE"/>
    <w:rsid w:val="00444005"/>
    <w:rsid w:val="004520E8"/>
    <w:rsid w:val="00465A98"/>
    <w:rsid w:val="00476058"/>
    <w:rsid w:val="00484067"/>
    <w:rsid w:val="00497860"/>
    <w:rsid w:val="004C1254"/>
    <w:rsid w:val="004E0E26"/>
    <w:rsid w:val="004F53A9"/>
    <w:rsid w:val="00544B5E"/>
    <w:rsid w:val="005516C5"/>
    <w:rsid w:val="00581F22"/>
    <w:rsid w:val="005D3945"/>
    <w:rsid w:val="00606BD1"/>
    <w:rsid w:val="0062323E"/>
    <w:rsid w:val="006326AC"/>
    <w:rsid w:val="00640DB6"/>
    <w:rsid w:val="00641402"/>
    <w:rsid w:val="006821C1"/>
    <w:rsid w:val="006B7F02"/>
    <w:rsid w:val="006C1E2F"/>
    <w:rsid w:val="00702FD0"/>
    <w:rsid w:val="0072592A"/>
    <w:rsid w:val="00731B44"/>
    <w:rsid w:val="007475BC"/>
    <w:rsid w:val="007607FF"/>
    <w:rsid w:val="00774187"/>
    <w:rsid w:val="00777084"/>
    <w:rsid w:val="007A4ECA"/>
    <w:rsid w:val="007C1D47"/>
    <w:rsid w:val="007F61FB"/>
    <w:rsid w:val="007F6B05"/>
    <w:rsid w:val="00820DD3"/>
    <w:rsid w:val="008535A3"/>
    <w:rsid w:val="008D3CDA"/>
    <w:rsid w:val="008F1976"/>
    <w:rsid w:val="0091164E"/>
    <w:rsid w:val="00913FAF"/>
    <w:rsid w:val="00940CDB"/>
    <w:rsid w:val="00951466"/>
    <w:rsid w:val="00956C32"/>
    <w:rsid w:val="00970955"/>
    <w:rsid w:val="00970B74"/>
    <w:rsid w:val="009D3B51"/>
    <w:rsid w:val="00A06CC2"/>
    <w:rsid w:val="00A3460B"/>
    <w:rsid w:val="00A9321D"/>
    <w:rsid w:val="00B10124"/>
    <w:rsid w:val="00B677DE"/>
    <w:rsid w:val="00B87F7A"/>
    <w:rsid w:val="00B97D9D"/>
    <w:rsid w:val="00BD0D89"/>
    <w:rsid w:val="00BE09B8"/>
    <w:rsid w:val="00BE51FD"/>
    <w:rsid w:val="00BF5515"/>
    <w:rsid w:val="00C21E16"/>
    <w:rsid w:val="00C62E35"/>
    <w:rsid w:val="00CC072D"/>
    <w:rsid w:val="00CD4438"/>
    <w:rsid w:val="00D24399"/>
    <w:rsid w:val="00D57390"/>
    <w:rsid w:val="00D9703C"/>
    <w:rsid w:val="00E241C9"/>
    <w:rsid w:val="00E440A6"/>
    <w:rsid w:val="00E83111"/>
    <w:rsid w:val="00EE756E"/>
    <w:rsid w:val="00F7570A"/>
    <w:rsid w:val="00F92B5F"/>
    <w:rsid w:val="00FE226C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40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FAF"/>
    <w:rPr>
      <w:color w:val="808080"/>
    </w:rPr>
  </w:style>
  <w:style w:type="paragraph" w:styleId="ListParagraph">
    <w:name w:val="List Paragraph"/>
    <w:basedOn w:val="Normal"/>
    <w:uiPriority w:val="34"/>
    <w:qFormat/>
    <w:rsid w:val="006B7F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42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ootnote Text Char Char Char Char Char"/>
    <w:basedOn w:val="Normal"/>
    <w:link w:val="Footnote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 Char Char"/>
    <w:basedOn w:val="DefaultParagraphFont"/>
    <w:link w:val="Footnote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42B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940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4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40CD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0CDB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0CDB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40CDB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40C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69"/>
  </w:style>
  <w:style w:type="paragraph" w:styleId="Footer">
    <w:name w:val="footer"/>
    <w:basedOn w:val="Normal"/>
    <w:link w:val="Foot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69"/>
  </w:style>
  <w:style w:type="paragraph" w:styleId="NoSpacing">
    <w:name w:val="No Spacing"/>
    <w:uiPriority w:val="1"/>
    <w:qFormat/>
    <w:rsid w:val="00007D31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BD0D89"/>
  </w:style>
  <w:style w:type="paragraph" w:styleId="Title">
    <w:name w:val="Title"/>
    <w:basedOn w:val="Normal"/>
    <w:next w:val="Normal"/>
    <w:link w:val="TitleChar"/>
    <w:qFormat/>
    <w:rsid w:val="00BD0D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D0D89"/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D0D89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D0D8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D0D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BD0D89"/>
    <w:rPr>
      <w:i/>
      <w:iCs/>
    </w:rPr>
  </w:style>
  <w:style w:type="character" w:styleId="HTMLCode">
    <w:name w:val="HTML Code"/>
    <w:uiPriority w:val="99"/>
    <w:unhideWhenUsed/>
    <w:rsid w:val="00BD0D89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Style1">
    <w:name w:val="Style1"/>
    <w:rsid w:val="00BD0D89"/>
    <w:pPr>
      <w:numPr>
        <w:numId w:val="23"/>
      </w:numPr>
    </w:pPr>
  </w:style>
  <w:style w:type="paragraph" w:styleId="EndnoteText">
    <w:name w:val="endnote text"/>
    <w:basedOn w:val="Normal"/>
    <w:link w:val="EndnoteTextChar"/>
    <w:rsid w:val="00BD0D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BD0D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rsid w:val="00BD0D89"/>
    <w:rPr>
      <w:vertAlign w:val="superscript"/>
    </w:rPr>
  </w:style>
  <w:style w:type="table" w:customStyle="1" w:styleId="TableGrid1">
    <w:name w:val="Table Grid1"/>
    <w:basedOn w:val="TableNormal"/>
    <w:next w:val="TableGrid"/>
    <w:locked/>
    <w:rsid w:val="00BD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40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FAF"/>
    <w:rPr>
      <w:color w:val="808080"/>
    </w:rPr>
  </w:style>
  <w:style w:type="paragraph" w:styleId="ListParagraph">
    <w:name w:val="List Paragraph"/>
    <w:basedOn w:val="Normal"/>
    <w:uiPriority w:val="34"/>
    <w:qFormat/>
    <w:rsid w:val="006B7F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42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ootnote Text Char Char Char Char Char"/>
    <w:basedOn w:val="Normal"/>
    <w:link w:val="Footnote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 Char Char"/>
    <w:basedOn w:val="DefaultParagraphFont"/>
    <w:link w:val="Footnote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42B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940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4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40CD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0CDB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0CDB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40CDB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40C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69"/>
  </w:style>
  <w:style w:type="paragraph" w:styleId="Footer">
    <w:name w:val="footer"/>
    <w:basedOn w:val="Normal"/>
    <w:link w:val="Foot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69"/>
  </w:style>
  <w:style w:type="paragraph" w:styleId="NoSpacing">
    <w:name w:val="No Spacing"/>
    <w:uiPriority w:val="1"/>
    <w:qFormat/>
    <w:rsid w:val="00007D31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BD0D89"/>
  </w:style>
  <w:style w:type="paragraph" w:styleId="Title">
    <w:name w:val="Title"/>
    <w:basedOn w:val="Normal"/>
    <w:next w:val="Normal"/>
    <w:link w:val="TitleChar"/>
    <w:qFormat/>
    <w:rsid w:val="00BD0D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D0D89"/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D0D89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D0D8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D0D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BD0D89"/>
    <w:rPr>
      <w:i/>
      <w:iCs/>
    </w:rPr>
  </w:style>
  <w:style w:type="character" w:styleId="HTMLCode">
    <w:name w:val="HTML Code"/>
    <w:uiPriority w:val="99"/>
    <w:unhideWhenUsed/>
    <w:rsid w:val="00BD0D89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Style1">
    <w:name w:val="Style1"/>
    <w:rsid w:val="00BD0D89"/>
    <w:pPr>
      <w:numPr>
        <w:numId w:val="23"/>
      </w:numPr>
    </w:pPr>
  </w:style>
  <w:style w:type="paragraph" w:styleId="EndnoteText">
    <w:name w:val="endnote text"/>
    <w:basedOn w:val="Normal"/>
    <w:link w:val="EndnoteTextChar"/>
    <w:rsid w:val="00BD0D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BD0D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rsid w:val="00BD0D89"/>
    <w:rPr>
      <w:vertAlign w:val="superscript"/>
    </w:rPr>
  </w:style>
  <w:style w:type="table" w:customStyle="1" w:styleId="TableGrid1">
    <w:name w:val="Table Grid1"/>
    <w:basedOn w:val="TableNormal"/>
    <w:next w:val="TableGrid"/>
    <w:locked/>
    <w:rsid w:val="00BD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0D6F-2C04-4DD6-ABA2-31783E32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 Yumoto</dc:creator>
  <cp:lastModifiedBy>Eileen Poe Yamagata</cp:lastModifiedBy>
  <cp:revision>2</cp:revision>
  <cp:lastPrinted>2013-01-11T22:03:00Z</cp:lastPrinted>
  <dcterms:created xsi:type="dcterms:W3CDTF">2014-02-03T20:39:00Z</dcterms:created>
  <dcterms:modified xsi:type="dcterms:W3CDTF">2014-02-03T20:39:00Z</dcterms:modified>
</cp:coreProperties>
</file>