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591" w:rsidRPr="00A26EF3" w:rsidRDefault="00E55591" w:rsidP="00A858B3">
      <w:pPr>
        <w:jc w:val="center"/>
        <w:rPr>
          <w:rFonts w:ascii="Arial" w:hAnsi="Arial" w:cs="Arial"/>
          <w:b/>
          <w:bCs/>
        </w:rPr>
      </w:pPr>
      <w:r w:rsidRPr="00A26EF3">
        <w:rPr>
          <w:rFonts w:ascii="Arial" w:hAnsi="Arial" w:cs="Arial"/>
          <w:b/>
          <w:bCs/>
        </w:rPr>
        <w:t>SUPPORTING STATEMENT</w:t>
      </w:r>
    </w:p>
    <w:p w:rsidR="00E55591" w:rsidRPr="00A26EF3" w:rsidRDefault="00E55591" w:rsidP="00A858B3">
      <w:pPr>
        <w:jc w:val="center"/>
        <w:rPr>
          <w:rFonts w:ascii="Arial" w:hAnsi="Arial" w:cs="Arial"/>
          <w:b/>
          <w:bCs/>
        </w:rPr>
      </w:pPr>
      <w:r w:rsidRPr="00A26EF3">
        <w:rPr>
          <w:rFonts w:ascii="Arial" w:hAnsi="Arial" w:cs="Arial"/>
          <w:b/>
          <w:bCs/>
        </w:rPr>
        <w:t>(Form 8609</w:t>
      </w:r>
      <w:r w:rsidR="00620F74" w:rsidRPr="00A26EF3">
        <w:rPr>
          <w:rFonts w:ascii="Arial" w:hAnsi="Arial" w:cs="Arial"/>
          <w:b/>
          <w:bCs/>
        </w:rPr>
        <w:t>, 8609-A</w:t>
      </w:r>
      <w:r w:rsidRPr="00A26EF3">
        <w:rPr>
          <w:rFonts w:ascii="Arial" w:hAnsi="Arial" w:cs="Arial"/>
          <w:b/>
          <w:bCs/>
        </w:rPr>
        <w:t>)</w:t>
      </w:r>
    </w:p>
    <w:p w:rsidR="00E55591" w:rsidRPr="00A26EF3" w:rsidRDefault="00430296" w:rsidP="00A26EF3">
      <w:pPr>
        <w:jc w:val="center"/>
        <w:rPr>
          <w:rFonts w:ascii="Arial" w:hAnsi="Arial" w:cs="Arial"/>
          <w:b/>
          <w:bCs/>
        </w:rPr>
      </w:pPr>
      <w:r>
        <w:rPr>
          <w:rFonts w:ascii="Arial" w:hAnsi="Arial" w:cs="Arial"/>
          <w:b/>
          <w:bCs/>
        </w:rPr>
        <w:t>OMB #</w:t>
      </w:r>
      <w:r w:rsidR="00A26EF3" w:rsidRPr="00A26EF3">
        <w:rPr>
          <w:rFonts w:ascii="Arial" w:hAnsi="Arial" w:cs="Arial"/>
          <w:b/>
          <w:bCs/>
        </w:rPr>
        <w:t>1545-0988</w:t>
      </w:r>
    </w:p>
    <w:p w:rsidR="00E55591" w:rsidRPr="00A26EF3" w:rsidRDefault="00E55591">
      <w:pPr>
        <w:rPr>
          <w:rFonts w:ascii="Arial" w:hAnsi="Arial" w:cs="Arial"/>
          <w:b/>
          <w:bCs/>
        </w:rPr>
      </w:pPr>
    </w:p>
    <w:p w:rsidR="00E55591" w:rsidRPr="00A26EF3" w:rsidRDefault="00E55591" w:rsidP="00326664">
      <w:pPr>
        <w:pStyle w:val="Level1"/>
        <w:rPr>
          <w:rFonts w:ascii="Arial" w:hAnsi="Arial" w:cs="Arial"/>
        </w:rPr>
      </w:pPr>
      <w:r w:rsidRPr="00A26EF3">
        <w:rPr>
          <w:rFonts w:ascii="Arial" w:hAnsi="Arial" w:cs="Arial"/>
          <w:u w:val="single"/>
        </w:rPr>
        <w:t>CIRCUMSTANCES NECESSITATING COLLECTION OF INFORMATION</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Section 38 of the Internal Revenue Code allows a credit under section 42 of the Code to owners of certain low-income residential rental property.  To qualify for this credit, the owner of the building(s) applies to the state housing credit agency for an allocation of the state's ceiling of the low-income housing credit.  The housing credit agency issues the allocation to the owner using Part I of Form 8609.  The building owner makes copies of the Form 8609 received from the state housing credit agency, completes all of Part II in the year the building is placed in service, certifies that the building continues to qualify for the credit each year of the compliance period (usually 15 years), and attaches the copy of Form 8609 to the building owner's income tax return.</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USE OF DATA</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The information on these forms is used by the IRS to compute and verify the tax credit claimed for low-income housing.</w:t>
      </w:r>
    </w:p>
    <w:p w:rsidR="00E55591" w:rsidRPr="00A26EF3" w:rsidRDefault="00FD3AD0">
      <w:pPr>
        <w:rPr>
          <w:rFonts w:ascii="Arial" w:hAnsi="Arial" w:cs="Arial"/>
        </w:rPr>
      </w:pPr>
      <w:r>
        <w:rPr>
          <w:rFonts w:ascii="Arial" w:hAnsi="Arial" w:cs="Arial"/>
        </w:rPr>
        <w:t xml:space="preserve"> </w:t>
      </w:r>
    </w:p>
    <w:p w:rsidR="00E55591" w:rsidRPr="00A26EF3" w:rsidRDefault="00E55591" w:rsidP="00326664">
      <w:pPr>
        <w:pStyle w:val="Level1"/>
        <w:rPr>
          <w:rFonts w:ascii="Arial" w:hAnsi="Arial" w:cs="Arial"/>
        </w:rPr>
      </w:pPr>
      <w:r w:rsidRPr="00A26EF3">
        <w:rPr>
          <w:rFonts w:ascii="Arial" w:hAnsi="Arial" w:cs="Arial"/>
          <w:u w:val="single"/>
        </w:rPr>
        <w:t>USE OF IMPROVED INFORMATION TECHNOLOGY TO REDUCE BURDEN</w:t>
      </w:r>
    </w:p>
    <w:p w:rsidR="00E55591" w:rsidRPr="00A26EF3" w:rsidRDefault="00E55591">
      <w:pPr>
        <w:rPr>
          <w:rFonts w:ascii="Arial" w:hAnsi="Arial" w:cs="Arial"/>
        </w:rPr>
      </w:pPr>
    </w:p>
    <w:p w:rsidR="001A3C56" w:rsidRDefault="001A3C56" w:rsidP="001A3C56">
      <w:pPr>
        <w:ind w:left="720"/>
        <w:rPr>
          <w:rFonts w:ascii="Arial" w:hAnsi="Arial" w:cs="Arial"/>
        </w:rPr>
      </w:pPr>
      <w:r w:rsidRPr="001A3C56">
        <w:rPr>
          <w:rFonts w:ascii="Arial" w:hAnsi="Arial" w:cs="Arial"/>
        </w:rPr>
        <w:t>We have no plans at this time to offer electronic filing because of the low volume compared to the cost of electronic enabling</w:t>
      </w:r>
    </w:p>
    <w:p w:rsidR="00E55591" w:rsidRPr="00A26EF3" w:rsidRDefault="001A3C56" w:rsidP="001A3C56">
      <w:pPr>
        <w:ind w:left="720"/>
        <w:rPr>
          <w:rFonts w:ascii="Arial" w:hAnsi="Arial" w:cs="Arial"/>
        </w:rPr>
      </w:pPr>
      <w:bookmarkStart w:id="0" w:name="_GoBack"/>
      <w:bookmarkEnd w:id="0"/>
      <w:r w:rsidRPr="001A3C56">
        <w:rPr>
          <w:rFonts w:ascii="Arial" w:hAnsi="Arial" w:cs="Arial"/>
        </w:rPr>
        <w:t>.</w:t>
      </w:r>
    </w:p>
    <w:p w:rsidR="00E55591" w:rsidRPr="00A26EF3" w:rsidRDefault="00E55591" w:rsidP="00326664">
      <w:pPr>
        <w:pStyle w:val="Level1"/>
        <w:rPr>
          <w:rFonts w:ascii="Arial" w:hAnsi="Arial" w:cs="Arial"/>
        </w:rPr>
      </w:pPr>
      <w:r w:rsidRPr="00A26EF3">
        <w:rPr>
          <w:rFonts w:ascii="Arial" w:hAnsi="Arial" w:cs="Arial"/>
          <w:u w:val="single"/>
        </w:rPr>
        <w:t>EFFORTS TO IDENTIFY DUPLICATION</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We have attempted to eliminate duplication within the agency wherever possible.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METHODS TO MINIMIZE BURDEN ON SMALL BUSINESSES OR OTHER</w:t>
      </w:r>
      <w:r w:rsidR="00A858B3">
        <w:rPr>
          <w:rFonts w:ascii="Arial" w:hAnsi="Arial" w:cs="Arial"/>
        </w:rPr>
        <w:t xml:space="preserve"> </w:t>
      </w:r>
      <w:r w:rsidRPr="00A26EF3">
        <w:rPr>
          <w:rFonts w:ascii="Arial" w:hAnsi="Arial" w:cs="Arial"/>
          <w:u w:val="single"/>
        </w:rPr>
        <w:t>SMALL ENTITIES</w:t>
      </w:r>
    </w:p>
    <w:p w:rsidR="00E55591" w:rsidRPr="00A26EF3" w:rsidRDefault="00E55591">
      <w:pPr>
        <w:rPr>
          <w:rFonts w:ascii="Arial" w:hAnsi="Arial" w:cs="Arial"/>
        </w:rPr>
      </w:pPr>
    </w:p>
    <w:p w:rsidR="00E55591" w:rsidRPr="00A26EF3" w:rsidRDefault="00E55591" w:rsidP="00D825E8">
      <w:pPr>
        <w:ind w:left="720"/>
        <w:rPr>
          <w:rFonts w:ascii="Arial" w:hAnsi="Arial" w:cs="Arial"/>
        </w:rPr>
      </w:pPr>
      <w:r w:rsidRPr="00A26EF3">
        <w:rPr>
          <w:rFonts w:ascii="Arial" w:hAnsi="Arial" w:cs="Arial"/>
        </w:rPr>
        <w:t>Not applicable.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CONSEQUENCES OF LESS FREQUENT COLLECTION ON FEDERAL PROGRAMS OR POLICY ACTIVITIES</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Not applicable.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SPECIAL CIRCUMSTANCES REQUIRING DATA COLLECTION TO BE</w:t>
      </w:r>
      <w:r w:rsidRPr="00A26EF3">
        <w:rPr>
          <w:rFonts w:ascii="Arial" w:hAnsi="Arial" w:cs="Arial"/>
        </w:rPr>
        <w:t xml:space="preserve"> </w:t>
      </w:r>
      <w:r w:rsidRPr="00A26EF3">
        <w:rPr>
          <w:rFonts w:ascii="Arial" w:hAnsi="Arial" w:cs="Arial"/>
          <w:u w:val="single"/>
        </w:rPr>
        <w:t>INCONSISTENT WITH GUIDELINES IN 5 CFR 1320.5(d)(2)</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Not applicable.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CONSULTATION WITH INDIVIDUALS OUTSIDE OF THE AGENCY ON</w:t>
      </w:r>
      <w:r w:rsidRPr="00A26EF3">
        <w:rPr>
          <w:rFonts w:ascii="Arial" w:hAnsi="Arial" w:cs="Arial"/>
        </w:rPr>
        <w:t xml:space="preserve"> </w:t>
      </w:r>
      <w:r w:rsidRPr="00A26EF3">
        <w:rPr>
          <w:rFonts w:ascii="Arial" w:hAnsi="Arial" w:cs="Arial"/>
          <w:u w:val="single"/>
        </w:rPr>
        <w:t>AVAILABILITY OF DATA, FREQUENCY OF COLLECTION, CLARITY OF INSTRUCTIONS AND FORMS, AND DATA ELEMENTS</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Periodic meetings are held between IRS personnel and representatives of the American Bar Association, the National Society of Public Accountants, the American Institute of Certified Public Accountants, and other professional groups to discuss tax law and tax forms.  During these meetings, there is an opportunity for those attending to make comments regarding Form 8609.</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 xml:space="preserve">In response to the </w:t>
      </w:r>
      <w:r w:rsidRPr="00A26EF3">
        <w:rPr>
          <w:rFonts w:ascii="Arial" w:hAnsi="Arial" w:cs="Arial"/>
          <w:bCs/>
          <w:i/>
        </w:rPr>
        <w:t>Federal</w:t>
      </w:r>
      <w:r w:rsidRPr="00A26EF3">
        <w:rPr>
          <w:rFonts w:ascii="Arial" w:hAnsi="Arial" w:cs="Arial"/>
          <w:i/>
        </w:rPr>
        <w:t xml:space="preserve"> </w:t>
      </w:r>
      <w:r w:rsidRPr="00A26EF3">
        <w:rPr>
          <w:rFonts w:ascii="Arial" w:hAnsi="Arial" w:cs="Arial"/>
          <w:bCs/>
          <w:i/>
        </w:rPr>
        <w:t>Register</w:t>
      </w:r>
      <w:r w:rsidRPr="00A26EF3">
        <w:rPr>
          <w:rFonts w:ascii="Arial" w:hAnsi="Arial" w:cs="Arial"/>
        </w:rPr>
        <w:t xml:space="preserve"> notice</w:t>
      </w:r>
      <w:r w:rsidR="00FD3AD0">
        <w:rPr>
          <w:rFonts w:ascii="Arial" w:hAnsi="Arial" w:cs="Arial"/>
        </w:rPr>
        <w:t>,</w:t>
      </w:r>
      <w:r w:rsidRPr="00A26EF3">
        <w:rPr>
          <w:rFonts w:ascii="Arial" w:hAnsi="Arial" w:cs="Arial"/>
        </w:rPr>
        <w:t xml:space="preserve"> </w:t>
      </w:r>
      <w:r w:rsidR="00FD3AD0">
        <w:rPr>
          <w:rFonts w:ascii="Arial" w:hAnsi="Arial" w:cs="Arial"/>
        </w:rPr>
        <w:t>(79 FR</w:t>
      </w:r>
      <w:r w:rsidR="00FD3AD0" w:rsidRPr="00FD3AD0">
        <w:rPr>
          <w:rFonts w:ascii="Arial" w:hAnsi="Arial" w:cs="Arial"/>
        </w:rPr>
        <w:t>10231</w:t>
      </w:r>
      <w:proofErr w:type="gramStart"/>
      <w:r w:rsidR="00FD3AD0">
        <w:rPr>
          <w:rFonts w:ascii="Arial" w:hAnsi="Arial" w:cs="Arial"/>
        </w:rPr>
        <w:t>) ,</w:t>
      </w:r>
      <w:proofErr w:type="gramEnd"/>
      <w:r w:rsidR="00FD3AD0">
        <w:rPr>
          <w:rFonts w:ascii="Arial" w:hAnsi="Arial" w:cs="Arial"/>
        </w:rPr>
        <w:t xml:space="preserve"> dated February 24, 2014</w:t>
      </w:r>
      <w:r w:rsidRPr="00A26EF3">
        <w:rPr>
          <w:rFonts w:ascii="Arial" w:hAnsi="Arial" w:cs="Arial"/>
        </w:rPr>
        <w:t>, we received no comments during the comment period regarding Form 8609</w:t>
      </w:r>
      <w:r w:rsidR="00E526A3" w:rsidRPr="00A26EF3">
        <w:rPr>
          <w:rFonts w:ascii="Arial" w:hAnsi="Arial" w:cs="Arial"/>
        </w:rPr>
        <w:t xml:space="preserve"> or Form 8609-A</w:t>
      </w:r>
      <w:r w:rsidRPr="00A26EF3">
        <w:rPr>
          <w:rFonts w:ascii="Arial" w:hAnsi="Arial" w:cs="Arial"/>
        </w:rPr>
        <w:t>.</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EXPLANATION OF DECISION TO PROVIDE ANY PAYMENT OR GIFT TO</w:t>
      </w:r>
      <w:r w:rsidRPr="00A26EF3">
        <w:rPr>
          <w:rFonts w:ascii="Arial" w:hAnsi="Arial" w:cs="Arial"/>
        </w:rPr>
        <w:t xml:space="preserve"> </w:t>
      </w:r>
      <w:r w:rsidRPr="00A26EF3">
        <w:rPr>
          <w:rFonts w:ascii="Arial" w:hAnsi="Arial" w:cs="Arial"/>
          <w:u w:val="single"/>
        </w:rPr>
        <w:t>RESPONDENTS</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Not applicable.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ASSURANCE OF CONFIDENTIALITY OF RESPONSES</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Generally, tax returns and tax return information are confidential as required by 26 USC 6103.</w:t>
      </w:r>
    </w:p>
    <w:p w:rsidR="00E55591" w:rsidRPr="00A26EF3" w:rsidRDefault="00E55591">
      <w:pPr>
        <w:rPr>
          <w:rFonts w:ascii="Arial" w:hAnsi="Arial" w:cs="Arial"/>
        </w:rPr>
      </w:pPr>
    </w:p>
    <w:p w:rsidR="00E55591" w:rsidRPr="00A26EF3" w:rsidRDefault="00E55591" w:rsidP="00326664">
      <w:pPr>
        <w:pStyle w:val="Level1"/>
        <w:rPr>
          <w:rFonts w:ascii="Arial" w:hAnsi="Arial" w:cs="Arial"/>
          <w:u w:val="single"/>
        </w:rPr>
      </w:pPr>
      <w:r w:rsidRPr="00A26EF3">
        <w:rPr>
          <w:rFonts w:ascii="Arial" w:hAnsi="Arial" w:cs="Arial"/>
          <w:u w:val="single"/>
        </w:rPr>
        <w:t>JUSTIFICATION OF SENSITIVE QUESTIONS</w:t>
      </w:r>
    </w:p>
    <w:p w:rsidR="00E55591" w:rsidRPr="00A26EF3" w:rsidRDefault="00E55591" w:rsidP="00430296">
      <w:pPr>
        <w:rPr>
          <w:rFonts w:ascii="Arial" w:hAnsi="Arial" w:cs="Arial"/>
          <w:u w:val="single"/>
        </w:rPr>
      </w:pPr>
    </w:p>
    <w:p w:rsidR="00E526A3" w:rsidRPr="00A26EF3" w:rsidRDefault="00E526A3" w:rsidP="00E526A3">
      <w:pPr>
        <w:ind w:left="720"/>
        <w:rPr>
          <w:rFonts w:ascii="Arial" w:hAnsi="Arial" w:cs="Arial"/>
        </w:rPr>
      </w:pPr>
      <w:r w:rsidRPr="00A26EF3">
        <w:rPr>
          <w:rFonts w:ascii="Arial" w:hAnsi="Arial" w:cs="Arial"/>
        </w:rPr>
        <w:t>In accordance with the Privacy Act of 1974, Treasury has published its complete Privacy Act systems of records notices, which include all maintained records systems as of January 2, 2014; six systems have been amended, altered, or added since April 20, 2010, when the complete notices were last published. See 79 F.R. 209-261 and 79 F.R. 183-206, which was published on January 2, 2014.</w:t>
      </w:r>
    </w:p>
    <w:p w:rsidR="00E526A3" w:rsidRPr="00A26EF3" w:rsidRDefault="00E526A3" w:rsidP="00A858B3">
      <w:pPr>
        <w:rPr>
          <w:rFonts w:ascii="Arial" w:hAnsi="Arial" w:cs="Arial"/>
        </w:rPr>
      </w:pPr>
    </w:p>
    <w:p w:rsidR="00E526A3" w:rsidRPr="00A26EF3" w:rsidRDefault="00E526A3" w:rsidP="00E526A3">
      <w:pPr>
        <w:ind w:left="720"/>
        <w:rPr>
          <w:rFonts w:ascii="Arial" w:hAnsi="Arial" w:cs="Arial"/>
        </w:rPr>
      </w:pPr>
      <w:r w:rsidRPr="00A26EF3">
        <w:rPr>
          <w:rFonts w:ascii="Arial" w:hAnsi="Arial" w:cs="Arial"/>
        </w:rPr>
        <w:t>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Department of Treasury PIAs can be found at http://www.treasury.gov/privacy/PIAs/Pages/default.aspx.</w:t>
      </w:r>
    </w:p>
    <w:p w:rsidR="00E526A3" w:rsidRPr="00A26EF3" w:rsidRDefault="00E526A3" w:rsidP="00A858B3">
      <w:pPr>
        <w:rPr>
          <w:rFonts w:ascii="Arial" w:hAnsi="Arial" w:cs="Arial"/>
        </w:rPr>
      </w:pPr>
    </w:p>
    <w:p w:rsidR="00E526A3" w:rsidRPr="00A26EF3" w:rsidRDefault="00E526A3" w:rsidP="00E526A3">
      <w:pPr>
        <w:ind w:left="720"/>
        <w:rPr>
          <w:rFonts w:ascii="Arial" w:hAnsi="Arial" w:cs="Arial"/>
        </w:rPr>
      </w:pPr>
      <w:r w:rsidRPr="00A26EF3">
        <w:rPr>
          <w:rFonts w:ascii="Arial" w:hAnsi="Arial" w:cs="Arial"/>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E55591" w:rsidRPr="00A26EF3" w:rsidRDefault="00E55591">
      <w:pPr>
        <w:rPr>
          <w:rFonts w:ascii="Arial" w:hAnsi="Arial" w:cs="Arial"/>
        </w:rPr>
      </w:pPr>
    </w:p>
    <w:p w:rsidR="00E55591" w:rsidRPr="00A26EF3" w:rsidRDefault="00E55591">
      <w:pPr>
        <w:rPr>
          <w:rFonts w:ascii="Arial" w:hAnsi="Arial" w:cs="Arial"/>
        </w:rPr>
        <w:sectPr w:rsidR="00E55591" w:rsidRPr="00A26EF3">
          <w:headerReference w:type="default" r:id="rId9"/>
          <w:type w:val="continuous"/>
          <w:pgSz w:w="12240" w:h="15840"/>
          <w:pgMar w:top="1440" w:right="1440" w:bottom="1440" w:left="1440" w:header="1440" w:footer="1440" w:gutter="0"/>
          <w:cols w:space="720"/>
          <w:noEndnote/>
        </w:sectPr>
      </w:pPr>
    </w:p>
    <w:p w:rsidR="00E55591" w:rsidRPr="00A26EF3" w:rsidRDefault="00E55591" w:rsidP="00326664">
      <w:pPr>
        <w:pStyle w:val="Level1"/>
        <w:rPr>
          <w:rFonts w:ascii="Arial" w:hAnsi="Arial" w:cs="Arial"/>
        </w:rPr>
      </w:pPr>
      <w:r w:rsidRPr="00A26EF3">
        <w:rPr>
          <w:rFonts w:ascii="Arial" w:hAnsi="Arial" w:cs="Arial"/>
          <w:u w:val="single"/>
        </w:rPr>
        <w:lastRenderedPageBreak/>
        <w:t>ESTIMATED BURDEN OF INFORMATION COLLECTION</w:t>
      </w:r>
    </w:p>
    <w:p w:rsidR="00E55591" w:rsidRPr="00A26EF3" w:rsidRDefault="00E55591">
      <w:pPr>
        <w:rPr>
          <w:rFonts w:ascii="Arial" w:hAnsi="Arial" w:cs="Arial"/>
        </w:rPr>
      </w:pPr>
    </w:p>
    <w:p w:rsidR="00E55591" w:rsidRDefault="00E55591">
      <w:pPr>
        <w:ind w:left="720"/>
        <w:rPr>
          <w:rFonts w:ascii="Arial" w:hAnsi="Arial" w:cs="Arial"/>
        </w:rPr>
      </w:pPr>
      <w:r w:rsidRPr="00A26EF3">
        <w:rPr>
          <w:rFonts w:ascii="Arial" w:hAnsi="Arial" w:cs="Arial"/>
        </w:rPr>
        <w:t>The burden estimate is as follows:</w:t>
      </w:r>
    </w:p>
    <w:p w:rsidR="00326664" w:rsidRDefault="00326664" w:rsidP="00DA2EB3">
      <w:pPr>
        <w:rPr>
          <w:rFonts w:ascii="Arial" w:hAnsi="Arial" w:cs="Arial"/>
        </w:rPr>
      </w:pPr>
    </w:p>
    <w:tbl>
      <w:tblPr>
        <w:tblW w:w="7722" w:type="dxa"/>
        <w:tblInd w:w="720" w:type="dxa"/>
        <w:tblLayout w:type="fixed"/>
        <w:tblCellMar>
          <w:left w:w="115" w:type="dxa"/>
          <w:right w:w="115" w:type="dxa"/>
        </w:tblCellMar>
        <w:tblLook w:val="04A0" w:firstRow="1" w:lastRow="0" w:firstColumn="1" w:lastColumn="0" w:noHBand="0" w:noVBand="1"/>
      </w:tblPr>
      <w:tblGrid>
        <w:gridCol w:w="2394"/>
        <w:gridCol w:w="1584"/>
        <w:gridCol w:w="2016"/>
        <w:gridCol w:w="1728"/>
      </w:tblGrid>
      <w:tr w:rsidR="00326664" w:rsidRPr="00875E7A" w:rsidTr="00D06BA1">
        <w:trPr>
          <w:tblHeader/>
        </w:trPr>
        <w:tc>
          <w:tcPr>
            <w:tcW w:w="2394" w:type="dxa"/>
            <w:shd w:val="clear" w:color="auto" w:fill="auto"/>
          </w:tcPr>
          <w:p w:rsidR="007F07B9" w:rsidRPr="00875E7A" w:rsidRDefault="007F07B9">
            <w:pPr>
              <w:rPr>
                <w:rFonts w:ascii="Arial" w:hAnsi="Arial" w:cs="Arial"/>
                <w:b/>
              </w:rPr>
            </w:pPr>
          </w:p>
          <w:p w:rsidR="00326664" w:rsidRPr="00875E7A" w:rsidRDefault="00326664">
            <w:pPr>
              <w:rPr>
                <w:rFonts w:ascii="Arial" w:hAnsi="Arial" w:cs="Arial"/>
                <w:b/>
              </w:rPr>
            </w:pPr>
            <w:r w:rsidRPr="00875E7A">
              <w:rPr>
                <w:rFonts w:ascii="Arial" w:hAnsi="Arial" w:cs="Arial"/>
                <w:b/>
              </w:rPr>
              <w:t>Form</w:t>
            </w:r>
          </w:p>
        </w:tc>
        <w:tc>
          <w:tcPr>
            <w:tcW w:w="1584" w:type="dxa"/>
            <w:shd w:val="clear" w:color="auto" w:fill="auto"/>
          </w:tcPr>
          <w:p w:rsidR="00326664" w:rsidRPr="00875E7A" w:rsidRDefault="00326664" w:rsidP="00875E7A">
            <w:pPr>
              <w:jc w:val="right"/>
              <w:rPr>
                <w:rFonts w:ascii="Arial" w:hAnsi="Arial" w:cs="Arial"/>
                <w:b/>
              </w:rPr>
            </w:pPr>
            <w:r w:rsidRPr="00875E7A">
              <w:rPr>
                <w:rFonts w:ascii="Arial" w:hAnsi="Arial" w:cs="Arial"/>
                <w:b/>
              </w:rPr>
              <w:t>Number of Responses</w:t>
            </w:r>
          </w:p>
        </w:tc>
        <w:tc>
          <w:tcPr>
            <w:tcW w:w="2016" w:type="dxa"/>
            <w:shd w:val="clear" w:color="auto" w:fill="auto"/>
            <w:tcMar>
              <w:left w:w="86" w:type="dxa"/>
              <w:right w:w="86" w:type="dxa"/>
            </w:tcMar>
          </w:tcPr>
          <w:p w:rsidR="00326664" w:rsidRPr="00875E7A" w:rsidRDefault="00326664" w:rsidP="00875E7A">
            <w:pPr>
              <w:jc w:val="right"/>
              <w:rPr>
                <w:rFonts w:ascii="Arial" w:hAnsi="Arial" w:cs="Arial"/>
                <w:b/>
              </w:rPr>
            </w:pPr>
            <w:r w:rsidRPr="00875E7A">
              <w:rPr>
                <w:rFonts w:ascii="Arial" w:hAnsi="Arial" w:cs="Arial"/>
                <w:b/>
              </w:rPr>
              <w:t>Time per Response (hrs.)</w:t>
            </w:r>
          </w:p>
        </w:tc>
        <w:tc>
          <w:tcPr>
            <w:tcW w:w="1728" w:type="dxa"/>
            <w:shd w:val="clear" w:color="auto" w:fill="auto"/>
          </w:tcPr>
          <w:p w:rsidR="007F07B9" w:rsidRPr="00875E7A" w:rsidRDefault="007F07B9" w:rsidP="00875E7A">
            <w:pPr>
              <w:jc w:val="right"/>
              <w:rPr>
                <w:rFonts w:ascii="Arial" w:hAnsi="Arial" w:cs="Arial"/>
                <w:b/>
              </w:rPr>
            </w:pPr>
          </w:p>
          <w:p w:rsidR="00326664" w:rsidRPr="00875E7A" w:rsidRDefault="00326664" w:rsidP="00875E7A">
            <w:pPr>
              <w:jc w:val="right"/>
              <w:rPr>
                <w:rFonts w:ascii="Arial" w:hAnsi="Arial" w:cs="Arial"/>
                <w:b/>
              </w:rPr>
            </w:pPr>
            <w:r w:rsidRPr="00875E7A">
              <w:rPr>
                <w:rFonts w:ascii="Arial" w:hAnsi="Arial" w:cs="Arial"/>
                <w:b/>
              </w:rPr>
              <w:t>Total Hours</w:t>
            </w:r>
          </w:p>
        </w:tc>
      </w:tr>
      <w:tr w:rsidR="00326664" w:rsidRPr="00875E7A" w:rsidTr="00875E7A">
        <w:tc>
          <w:tcPr>
            <w:tcW w:w="2394" w:type="dxa"/>
            <w:shd w:val="clear" w:color="auto" w:fill="auto"/>
          </w:tcPr>
          <w:p w:rsidR="00326664" w:rsidRPr="00875E7A" w:rsidRDefault="00326664">
            <w:pPr>
              <w:rPr>
                <w:rFonts w:ascii="Arial" w:hAnsi="Arial" w:cs="Arial"/>
              </w:rPr>
            </w:pPr>
            <w:r w:rsidRPr="00875E7A">
              <w:rPr>
                <w:rFonts w:ascii="Arial" w:hAnsi="Arial" w:cs="Arial"/>
              </w:rPr>
              <w:t>Form 8609</w:t>
            </w:r>
          </w:p>
        </w:tc>
        <w:tc>
          <w:tcPr>
            <w:tcW w:w="1584" w:type="dxa"/>
            <w:shd w:val="clear" w:color="auto" w:fill="auto"/>
          </w:tcPr>
          <w:p w:rsidR="00326664" w:rsidRPr="00875E7A" w:rsidRDefault="00326664" w:rsidP="00875E7A">
            <w:pPr>
              <w:jc w:val="right"/>
              <w:rPr>
                <w:rFonts w:ascii="Arial" w:hAnsi="Arial" w:cs="Arial"/>
              </w:rPr>
            </w:pPr>
            <w:r w:rsidRPr="00875E7A">
              <w:rPr>
                <w:rFonts w:ascii="Arial" w:hAnsi="Arial" w:cs="Arial"/>
              </w:rPr>
              <w:t>41,046</w:t>
            </w:r>
          </w:p>
        </w:tc>
        <w:tc>
          <w:tcPr>
            <w:tcW w:w="2016" w:type="dxa"/>
            <w:shd w:val="clear" w:color="auto" w:fill="auto"/>
          </w:tcPr>
          <w:p w:rsidR="00326664" w:rsidRPr="00875E7A" w:rsidRDefault="00326664" w:rsidP="00875E7A">
            <w:pPr>
              <w:jc w:val="right"/>
              <w:rPr>
                <w:rFonts w:ascii="Arial" w:hAnsi="Arial" w:cs="Arial"/>
              </w:rPr>
            </w:pPr>
            <w:r w:rsidRPr="00875E7A">
              <w:rPr>
                <w:rFonts w:ascii="Arial" w:hAnsi="Arial" w:cs="Arial"/>
              </w:rPr>
              <w:t>18.29</w:t>
            </w:r>
          </w:p>
        </w:tc>
        <w:tc>
          <w:tcPr>
            <w:tcW w:w="1728" w:type="dxa"/>
            <w:shd w:val="clear" w:color="auto" w:fill="auto"/>
          </w:tcPr>
          <w:p w:rsidR="00326664" w:rsidRPr="00875E7A" w:rsidRDefault="00326664" w:rsidP="00875E7A">
            <w:pPr>
              <w:jc w:val="right"/>
              <w:rPr>
                <w:rFonts w:ascii="Arial" w:hAnsi="Arial" w:cs="Arial"/>
              </w:rPr>
            </w:pPr>
            <w:r w:rsidRPr="00875E7A">
              <w:rPr>
                <w:rFonts w:ascii="Arial" w:hAnsi="Arial" w:cs="Arial"/>
              </w:rPr>
              <w:t>750,732</w:t>
            </w:r>
          </w:p>
        </w:tc>
      </w:tr>
      <w:tr w:rsidR="00326664" w:rsidRPr="00875E7A" w:rsidTr="00875E7A">
        <w:tc>
          <w:tcPr>
            <w:tcW w:w="2394" w:type="dxa"/>
            <w:shd w:val="clear" w:color="auto" w:fill="auto"/>
          </w:tcPr>
          <w:p w:rsidR="00326664" w:rsidRPr="00875E7A" w:rsidRDefault="00326664">
            <w:pPr>
              <w:rPr>
                <w:rFonts w:ascii="Arial" w:hAnsi="Arial" w:cs="Arial"/>
              </w:rPr>
            </w:pPr>
            <w:r w:rsidRPr="00875E7A">
              <w:rPr>
                <w:rFonts w:ascii="Arial" w:hAnsi="Arial" w:cs="Arial"/>
              </w:rPr>
              <w:t>Form 8609-A</w:t>
            </w:r>
          </w:p>
        </w:tc>
        <w:tc>
          <w:tcPr>
            <w:tcW w:w="1584" w:type="dxa"/>
            <w:shd w:val="clear" w:color="auto" w:fill="auto"/>
          </w:tcPr>
          <w:p w:rsidR="00326664" w:rsidRPr="00875E7A" w:rsidRDefault="00326664" w:rsidP="00875E7A">
            <w:pPr>
              <w:jc w:val="right"/>
              <w:rPr>
                <w:rFonts w:ascii="Arial" w:hAnsi="Arial" w:cs="Arial"/>
              </w:rPr>
            </w:pPr>
            <w:r w:rsidRPr="00875E7A">
              <w:rPr>
                <w:rFonts w:ascii="Arial" w:hAnsi="Arial" w:cs="Arial"/>
              </w:rPr>
              <w:t>300,000</w:t>
            </w:r>
          </w:p>
        </w:tc>
        <w:tc>
          <w:tcPr>
            <w:tcW w:w="2016" w:type="dxa"/>
            <w:shd w:val="clear" w:color="auto" w:fill="auto"/>
          </w:tcPr>
          <w:p w:rsidR="00326664" w:rsidRPr="00875E7A" w:rsidRDefault="00326664" w:rsidP="00875E7A">
            <w:pPr>
              <w:jc w:val="right"/>
              <w:rPr>
                <w:rFonts w:ascii="Arial" w:hAnsi="Arial" w:cs="Arial"/>
              </w:rPr>
            </w:pPr>
            <w:r w:rsidRPr="00875E7A">
              <w:rPr>
                <w:rFonts w:ascii="Arial" w:hAnsi="Arial" w:cs="Arial"/>
              </w:rPr>
              <w:t>11.03</w:t>
            </w:r>
          </w:p>
        </w:tc>
        <w:tc>
          <w:tcPr>
            <w:tcW w:w="1728" w:type="dxa"/>
            <w:shd w:val="clear" w:color="auto" w:fill="auto"/>
          </w:tcPr>
          <w:p w:rsidR="00326664" w:rsidRPr="00875E7A" w:rsidRDefault="007F07B9" w:rsidP="00875E7A">
            <w:pPr>
              <w:jc w:val="right"/>
              <w:rPr>
                <w:rFonts w:ascii="Arial" w:hAnsi="Arial" w:cs="Arial"/>
              </w:rPr>
            </w:pPr>
            <w:r w:rsidRPr="00875E7A">
              <w:rPr>
                <w:rFonts w:ascii="Arial" w:hAnsi="Arial" w:cs="Arial"/>
              </w:rPr>
              <w:t>3,309,000</w:t>
            </w:r>
          </w:p>
        </w:tc>
      </w:tr>
      <w:tr w:rsidR="00326664" w:rsidRPr="00875E7A" w:rsidTr="00875E7A">
        <w:tc>
          <w:tcPr>
            <w:tcW w:w="2394" w:type="dxa"/>
            <w:shd w:val="clear" w:color="auto" w:fill="auto"/>
          </w:tcPr>
          <w:p w:rsidR="00326664" w:rsidRPr="00875E7A" w:rsidRDefault="007F07B9">
            <w:pPr>
              <w:rPr>
                <w:rFonts w:ascii="Arial" w:hAnsi="Arial" w:cs="Arial"/>
              </w:rPr>
            </w:pPr>
            <w:r w:rsidRPr="00875E7A">
              <w:rPr>
                <w:rFonts w:ascii="Arial" w:hAnsi="Arial" w:cs="Arial"/>
              </w:rPr>
              <w:t>Line 11 worksheet</w:t>
            </w:r>
          </w:p>
        </w:tc>
        <w:tc>
          <w:tcPr>
            <w:tcW w:w="1584" w:type="dxa"/>
            <w:shd w:val="clear" w:color="auto" w:fill="auto"/>
          </w:tcPr>
          <w:p w:rsidR="00326664" w:rsidRPr="00875E7A" w:rsidRDefault="007F07B9" w:rsidP="00875E7A">
            <w:pPr>
              <w:jc w:val="right"/>
              <w:rPr>
                <w:rFonts w:ascii="Arial" w:hAnsi="Arial" w:cs="Arial"/>
              </w:rPr>
            </w:pPr>
            <w:r w:rsidRPr="00875E7A">
              <w:rPr>
                <w:rFonts w:ascii="Arial" w:hAnsi="Arial" w:cs="Arial"/>
              </w:rPr>
              <w:t>18,000</w:t>
            </w:r>
          </w:p>
        </w:tc>
        <w:tc>
          <w:tcPr>
            <w:tcW w:w="2016" w:type="dxa"/>
            <w:shd w:val="clear" w:color="auto" w:fill="auto"/>
          </w:tcPr>
          <w:p w:rsidR="00326664" w:rsidRPr="00875E7A" w:rsidRDefault="007F07B9" w:rsidP="00875E7A">
            <w:pPr>
              <w:jc w:val="right"/>
              <w:rPr>
                <w:rFonts w:ascii="Arial" w:hAnsi="Arial" w:cs="Arial"/>
              </w:rPr>
            </w:pPr>
            <w:r w:rsidRPr="00875E7A">
              <w:rPr>
                <w:rFonts w:ascii="Arial" w:hAnsi="Arial" w:cs="Arial"/>
              </w:rPr>
              <w:t>1.70</w:t>
            </w:r>
          </w:p>
        </w:tc>
        <w:tc>
          <w:tcPr>
            <w:tcW w:w="1728" w:type="dxa"/>
            <w:shd w:val="clear" w:color="auto" w:fill="auto"/>
          </w:tcPr>
          <w:p w:rsidR="00326664" w:rsidRPr="00875E7A" w:rsidRDefault="007F07B9" w:rsidP="00875E7A">
            <w:pPr>
              <w:jc w:val="right"/>
              <w:rPr>
                <w:rFonts w:ascii="Arial" w:hAnsi="Arial" w:cs="Arial"/>
                <w:u w:val="single"/>
              </w:rPr>
            </w:pPr>
            <w:r w:rsidRPr="00875E7A">
              <w:rPr>
                <w:rFonts w:ascii="Arial" w:hAnsi="Arial" w:cs="Arial"/>
                <w:u w:val="single"/>
              </w:rPr>
              <w:t>30,600</w:t>
            </w:r>
          </w:p>
        </w:tc>
      </w:tr>
      <w:tr w:rsidR="00326664" w:rsidRPr="00875E7A" w:rsidTr="00875E7A">
        <w:tc>
          <w:tcPr>
            <w:tcW w:w="2394" w:type="dxa"/>
            <w:shd w:val="clear" w:color="auto" w:fill="auto"/>
          </w:tcPr>
          <w:p w:rsidR="00326664" w:rsidRPr="00875E7A" w:rsidRDefault="007F07B9">
            <w:pPr>
              <w:rPr>
                <w:rFonts w:ascii="Arial" w:hAnsi="Arial" w:cs="Arial"/>
                <w:b/>
              </w:rPr>
            </w:pPr>
            <w:r w:rsidRPr="00875E7A">
              <w:rPr>
                <w:rFonts w:ascii="Arial" w:hAnsi="Arial" w:cs="Arial"/>
                <w:b/>
              </w:rPr>
              <w:t>Total</w:t>
            </w:r>
          </w:p>
        </w:tc>
        <w:tc>
          <w:tcPr>
            <w:tcW w:w="1584" w:type="dxa"/>
            <w:shd w:val="clear" w:color="auto" w:fill="auto"/>
          </w:tcPr>
          <w:p w:rsidR="00326664" w:rsidRPr="00875E7A" w:rsidRDefault="00326664">
            <w:pPr>
              <w:rPr>
                <w:rFonts w:ascii="Arial" w:hAnsi="Arial" w:cs="Arial"/>
              </w:rPr>
            </w:pPr>
          </w:p>
        </w:tc>
        <w:tc>
          <w:tcPr>
            <w:tcW w:w="2016" w:type="dxa"/>
            <w:shd w:val="clear" w:color="auto" w:fill="auto"/>
          </w:tcPr>
          <w:p w:rsidR="00326664" w:rsidRPr="00875E7A" w:rsidRDefault="00326664">
            <w:pPr>
              <w:rPr>
                <w:rFonts w:ascii="Arial" w:hAnsi="Arial" w:cs="Arial"/>
              </w:rPr>
            </w:pPr>
          </w:p>
        </w:tc>
        <w:tc>
          <w:tcPr>
            <w:tcW w:w="1728" w:type="dxa"/>
            <w:shd w:val="clear" w:color="auto" w:fill="auto"/>
          </w:tcPr>
          <w:p w:rsidR="00326664" w:rsidRPr="00875E7A" w:rsidRDefault="007F07B9" w:rsidP="00875E7A">
            <w:pPr>
              <w:jc w:val="right"/>
              <w:rPr>
                <w:rFonts w:ascii="Arial" w:hAnsi="Arial" w:cs="Arial"/>
              </w:rPr>
            </w:pPr>
            <w:r w:rsidRPr="00875E7A">
              <w:rPr>
                <w:rFonts w:ascii="Arial" w:hAnsi="Arial" w:cs="Arial"/>
              </w:rPr>
              <w:t>4,090,332</w:t>
            </w:r>
          </w:p>
        </w:tc>
      </w:tr>
    </w:tbl>
    <w:p w:rsidR="00A26EF3" w:rsidRDefault="00A26EF3" w:rsidP="00A26EF3">
      <w:pPr>
        <w:rPr>
          <w:rFonts w:ascii="Arial" w:hAnsi="Arial" w:cs="Arial"/>
        </w:rPr>
      </w:pPr>
    </w:p>
    <w:p w:rsidR="00E55591" w:rsidRPr="00A26EF3" w:rsidRDefault="00E55591" w:rsidP="00A26EF3">
      <w:pPr>
        <w:ind w:left="720" w:firstLine="60"/>
        <w:rPr>
          <w:rFonts w:ascii="Arial" w:hAnsi="Arial" w:cs="Arial"/>
        </w:rPr>
      </w:pPr>
      <w:r w:rsidRPr="00A26EF3">
        <w:rPr>
          <w:rFonts w:ascii="Arial" w:hAnsi="Arial" w:cs="Arial"/>
        </w:rPr>
        <w:t>Estimates of the annualized cost to respondents for the hour burdens shown are not available at this time.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ESTIMATED TOTAL ANNUAL COST BURDEN TO RESPONDENTS</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 xml:space="preserve">As suggested by OMB, </w:t>
      </w:r>
      <w:r w:rsidR="00A26EF3" w:rsidRPr="00A26EF3">
        <w:rPr>
          <w:rFonts w:ascii="Arial" w:hAnsi="Arial" w:cs="Arial"/>
        </w:rPr>
        <w:t>a</w:t>
      </w:r>
      <w:r w:rsidRPr="00A26EF3">
        <w:rPr>
          <w:rFonts w:ascii="Arial" w:hAnsi="Arial" w:cs="Arial"/>
        </w:rPr>
        <w:t xml:space="preserve"> </w:t>
      </w:r>
      <w:r w:rsidRPr="00A26EF3">
        <w:rPr>
          <w:rFonts w:ascii="Arial" w:hAnsi="Arial" w:cs="Arial"/>
          <w:bCs/>
          <w:i/>
        </w:rPr>
        <w:t>Federal Register</w:t>
      </w:r>
      <w:r w:rsidRPr="00A26EF3">
        <w:rPr>
          <w:rFonts w:ascii="Arial" w:hAnsi="Arial" w:cs="Arial"/>
        </w:rPr>
        <w:t xml:space="preserve"> notice </w:t>
      </w:r>
      <w:r w:rsidR="00220000" w:rsidRPr="00A26EF3">
        <w:rPr>
          <w:rFonts w:ascii="Arial" w:hAnsi="Arial" w:cs="Arial"/>
        </w:rPr>
        <w:t>(7</w:t>
      </w:r>
      <w:r w:rsidR="00E526A3" w:rsidRPr="00A26EF3">
        <w:rPr>
          <w:rFonts w:ascii="Arial" w:hAnsi="Arial" w:cs="Arial"/>
        </w:rPr>
        <w:t>9</w:t>
      </w:r>
      <w:r w:rsidR="00220000" w:rsidRPr="00A26EF3">
        <w:rPr>
          <w:rFonts w:ascii="Arial" w:hAnsi="Arial" w:cs="Arial"/>
        </w:rPr>
        <w:t xml:space="preserve"> FR 1</w:t>
      </w:r>
      <w:r w:rsidR="00E526A3" w:rsidRPr="00A26EF3">
        <w:rPr>
          <w:rFonts w:ascii="Arial" w:hAnsi="Arial" w:cs="Arial"/>
        </w:rPr>
        <w:t>0231</w:t>
      </w:r>
      <w:r w:rsidR="00220000" w:rsidRPr="00A26EF3">
        <w:rPr>
          <w:rFonts w:ascii="Arial" w:hAnsi="Arial" w:cs="Arial"/>
        </w:rPr>
        <w:t xml:space="preserve">), </w:t>
      </w:r>
      <w:r w:rsidRPr="00A26EF3">
        <w:rPr>
          <w:rFonts w:ascii="Arial" w:hAnsi="Arial" w:cs="Arial"/>
        </w:rPr>
        <w:t>dated</w:t>
      </w:r>
      <w:r w:rsidR="006C099F" w:rsidRPr="00A26EF3">
        <w:rPr>
          <w:rFonts w:ascii="Arial" w:hAnsi="Arial" w:cs="Arial"/>
        </w:rPr>
        <w:t xml:space="preserve"> </w:t>
      </w:r>
      <w:r w:rsidR="00A23007">
        <w:rPr>
          <w:rFonts w:ascii="Arial" w:hAnsi="Arial" w:cs="Arial"/>
        </w:rPr>
        <w:t>February</w:t>
      </w:r>
      <w:r w:rsidR="00220000" w:rsidRPr="00A26EF3">
        <w:rPr>
          <w:rFonts w:ascii="Arial" w:hAnsi="Arial" w:cs="Arial"/>
        </w:rPr>
        <w:t xml:space="preserve"> </w:t>
      </w:r>
      <w:r w:rsidR="00E526A3" w:rsidRPr="00A26EF3">
        <w:rPr>
          <w:rFonts w:ascii="Arial" w:hAnsi="Arial" w:cs="Arial"/>
        </w:rPr>
        <w:t>2</w:t>
      </w:r>
      <w:r w:rsidR="00220000" w:rsidRPr="00A26EF3">
        <w:rPr>
          <w:rFonts w:ascii="Arial" w:hAnsi="Arial" w:cs="Arial"/>
        </w:rPr>
        <w:t>4, 201</w:t>
      </w:r>
      <w:r w:rsidR="00E526A3" w:rsidRPr="00A26EF3">
        <w:rPr>
          <w:rFonts w:ascii="Arial" w:hAnsi="Arial" w:cs="Arial"/>
        </w:rPr>
        <w:t>4</w:t>
      </w:r>
      <w:r w:rsidRPr="00A26EF3">
        <w:rPr>
          <w:rFonts w:ascii="Arial" w:hAnsi="Arial" w:cs="Arial"/>
        </w:rPr>
        <w:t>, requested public comments on estimates of cost burden that are not captured in the estimates of burden hours, i.e., estimates of capital or start-up costs and costs of operation, maintenance, and purchase of services to provide information.  However, we did not receive any response from taxpayers on this subject. As a result, estimates of the cost burdens are not available at this time.</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ESTIMATED ANNUALIZED COST TO THE FEDERAL GOVERNMENT</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The primary cost to the government consists of the cost of printing these forms.  We estimate that the cost of printing the forms is $18,500.</w:t>
      </w:r>
    </w:p>
    <w:p w:rsidR="00E55591" w:rsidRPr="00A26EF3" w:rsidRDefault="00E55591">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REASONS FOR CHANGE IN BURDEN</w:t>
      </w:r>
    </w:p>
    <w:p w:rsidR="00E55591" w:rsidRPr="00A26EF3" w:rsidRDefault="00E55591">
      <w:pPr>
        <w:rPr>
          <w:rFonts w:ascii="Arial" w:hAnsi="Arial" w:cs="Arial"/>
        </w:rPr>
      </w:pPr>
    </w:p>
    <w:p w:rsidR="00E55591" w:rsidRPr="00A26EF3" w:rsidRDefault="00F6425C" w:rsidP="00F6425C">
      <w:pPr>
        <w:ind w:left="720"/>
        <w:rPr>
          <w:rFonts w:ascii="Arial" w:hAnsi="Arial" w:cs="Arial"/>
        </w:rPr>
      </w:pPr>
      <w:r w:rsidRPr="00A26EF3">
        <w:rPr>
          <w:rFonts w:ascii="Arial" w:hAnsi="Arial" w:cs="Arial"/>
        </w:rPr>
        <w:t xml:space="preserve">There are no changes </w:t>
      </w:r>
      <w:r w:rsidR="00A858B3">
        <w:rPr>
          <w:rFonts w:ascii="Arial" w:hAnsi="Arial" w:cs="Arial"/>
        </w:rPr>
        <w:t>to</w:t>
      </w:r>
      <w:r w:rsidR="00A858B3" w:rsidRPr="00A26EF3">
        <w:rPr>
          <w:rFonts w:ascii="Arial" w:hAnsi="Arial" w:cs="Arial"/>
        </w:rPr>
        <w:t xml:space="preserve"> </w:t>
      </w:r>
      <w:r w:rsidRPr="00A26EF3">
        <w:rPr>
          <w:rFonts w:ascii="Arial" w:hAnsi="Arial" w:cs="Arial"/>
        </w:rPr>
        <w:t>the paperwork burden previously approved by OMB. This submission is for renewal purposes only.</w:t>
      </w:r>
    </w:p>
    <w:p w:rsidR="00F6425C" w:rsidRPr="00A26EF3" w:rsidRDefault="00F6425C">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PLANS FOR TABULATION, STATISTICAL ANALYSIS AND PUBLICATION</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Not applicable.</w:t>
      </w:r>
    </w:p>
    <w:p w:rsidR="00FC066E" w:rsidRPr="00A26EF3" w:rsidRDefault="00FC066E">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REASONS WHY DISPLAYING THE OMB EXPIRATION DATE IS</w:t>
      </w:r>
      <w:r w:rsidRPr="00A26EF3">
        <w:rPr>
          <w:rFonts w:ascii="Arial" w:hAnsi="Arial" w:cs="Arial"/>
        </w:rPr>
        <w:t xml:space="preserve"> </w:t>
      </w:r>
      <w:r w:rsidRPr="00A26EF3">
        <w:rPr>
          <w:rFonts w:ascii="Arial" w:hAnsi="Arial" w:cs="Arial"/>
          <w:u w:val="single"/>
        </w:rPr>
        <w:t>INAPPROPRIATE</w:t>
      </w:r>
    </w:p>
    <w:p w:rsidR="00E55591" w:rsidRPr="00A26EF3" w:rsidRDefault="00E55591">
      <w:pPr>
        <w:rPr>
          <w:rFonts w:ascii="Arial" w:hAnsi="Arial" w:cs="Arial"/>
        </w:rPr>
      </w:pPr>
    </w:p>
    <w:p w:rsidR="00F6425C" w:rsidRDefault="00A26EF3">
      <w:pPr>
        <w:ind w:left="720"/>
        <w:rPr>
          <w:rFonts w:ascii="Arial" w:hAnsi="Arial" w:cs="Arial"/>
        </w:rPr>
      </w:pPr>
      <w:r w:rsidRPr="00A26EF3">
        <w:rPr>
          <w:rFonts w:ascii="Arial" w:hAnsi="Arial" w:cs="Arial"/>
        </w:rPr>
        <w:t>We believe that displaying the OMB expiration date is inappropriate because it could cause confusion by leading taxpayers to believe that the information collection sunsets as of the expiration date.  Taxpayers are not likely to be aware that the Service intends to request renewal of the OMB approval and obtain a new expiration date before the old OMB approval expires.</w:t>
      </w:r>
    </w:p>
    <w:p w:rsidR="00A858B3" w:rsidRPr="00A26EF3" w:rsidRDefault="00A858B3" w:rsidP="00A858B3">
      <w:pPr>
        <w:rPr>
          <w:rFonts w:ascii="Arial" w:hAnsi="Arial" w:cs="Arial"/>
        </w:rPr>
      </w:pPr>
    </w:p>
    <w:p w:rsidR="00E55591" w:rsidRPr="00A26EF3" w:rsidRDefault="00E55591" w:rsidP="00326664">
      <w:pPr>
        <w:pStyle w:val="Level1"/>
        <w:rPr>
          <w:rFonts w:ascii="Arial" w:hAnsi="Arial" w:cs="Arial"/>
        </w:rPr>
      </w:pPr>
      <w:r w:rsidRPr="00A26EF3">
        <w:rPr>
          <w:rFonts w:ascii="Arial" w:hAnsi="Arial" w:cs="Arial"/>
          <w:u w:val="single"/>
        </w:rPr>
        <w:t>EXCEPTIONS TO THE CERTIFICATION STATEMENT ON OMB FORM 83-I</w:t>
      </w:r>
    </w:p>
    <w:p w:rsidR="00E55591" w:rsidRPr="00A26EF3" w:rsidRDefault="00E55591">
      <w:pPr>
        <w:rPr>
          <w:rFonts w:ascii="Arial" w:hAnsi="Arial" w:cs="Arial"/>
        </w:rPr>
      </w:pPr>
    </w:p>
    <w:p w:rsidR="00E55591" w:rsidRPr="00A26EF3" w:rsidRDefault="00E55591">
      <w:pPr>
        <w:ind w:left="720"/>
        <w:rPr>
          <w:rFonts w:ascii="Arial" w:hAnsi="Arial" w:cs="Arial"/>
        </w:rPr>
      </w:pPr>
      <w:r w:rsidRPr="00A26EF3">
        <w:rPr>
          <w:rFonts w:ascii="Arial" w:hAnsi="Arial" w:cs="Arial"/>
        </w:rPr>
        <w:t>Not applicable.</w:t>
      </w:r>
    </w:p>
    <w:p w:rsidR="00E55591" w:rsidRDefault="00E55591" w:rsidP="00B241C0">
      <w:pPr>
        <w:spacing w:line="480" w:lineRule="auto"/>
        <w:rPr>
          <w:rFonts w:ascii="Arial" w:hAnsi="Arial" w:cs="Arial"/>
        </w:rPr>
      </w:pPr>
    </w:p>
    <w:p w:rsidR="00980D46" w:rsidRPr="00A26EF3" w:rsidRDefault="00980D46">
      <w:pPr>
        <w:rPr>
          <w:rFonts w:ascii="Arial" w:hAnsi="Arial" w:cs="Arial"/>
        </w:rPr>
      </w:pPr>
    </w:p>
    <w:p w:rsidR="00E55591" w:rsidRPr="00A26EF3" w:rsidRDefault="00E55591">
      <w:pPr>
        <w:rPr>
          <w:rFonts w:ascii="Arial" w:hAnsi="Arial" w:cs="Arial"/>
        </w:rPr>
      </w:pPr>
      <w:r w:rsidRPr="00A26EF3">
        <w:rPr>
          <w:rFonts w:ascii="Arial" w:hAnsi="Arial" w:cs="Arial"/>
          <w:b/>
          <w:bCs/>
          <w:u w:val="single"/>
        </w:rPr>
        <w:t>Note:</w:t>
      </w:r>
      <w:r w:rsidRPr="00A26EF3">
        <w:rPr>
          <w:rFonts w:ascii="Arial" w:hAnsi="Arial" w:cs="Arial"/>
        </w:rPr>
        <w:t xml:space="preserve">  The following paragraph applies to all of the collections of information in this submission:</w:t>
      </w:r>
    </w:p>
    <w:p w:rsidR="00E55591" w:rsidRPr="00A26EF3" w:rsidRDefault="00E55591">
      <w:pPr>
        <w:rPr>
          <w:rFonts w:ascii="Arial" w:hAnsi="Arial" w:cs="Arial"/>
        </w:rPr>
      </w:pPr>
    </w:p>
    <w:p w:rsidR="00E55591" w:rsidRPr="00A26EF3" w:rsidRDefault="00B241C0">
      <w:pPr>
        <w:rPr>
          <w:rFonts w:ascii="Arial" w:hAnsi="Arial" w:cs="Arial"/>
        </w:rPr>
      </w:pPr>
      <w:r>
        <w:rPr>
          <w:rFonts w:ascii="Arial" w:hAnsi="Arial" w:cs="Arial"/>
        </w:rPr>
        <w:tab/>
      </w:r>
      <w:r w:rsidR="00E55591" w:rsidRPr="00A26EF3">
        <w:rPr>
          <w:rFonts w:ascii="Arial" w:hAnsi="Arial" w:cs="Arial"/>
        </w:rPr>
        <w:t>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p>
    <w:p w:rsidR="00E55591" w:rsidRPr="00A26EF3" w:rsidRDefault="00E55591">
      <w:pPr>
        <w:rPr>
          <w:rFonts w:ascii="Arial" w:hAnsi="Arial" w:cs="Arial"/>
        </w:rPr>
      </w:pPr>
    </w:p>
    <w:sectPr w:rsidR="00E55591" w:rsidRPr="00A26EF3" w:rsidSect="00E55591">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CD7" w:rsidRDefault="00EB5CD7">
      <w:r>
        <w:separator/>
      </w:r>
    </w:p>
  </w:endnote>
  <w:endnote w:type="continuationSeparator" w:id="0">
    <w:p w:rsidR="00EB5CD7" w:rsidRDefault="00EB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CD7" w:rsidRDefault="00EB5CD7">
      <w:r>
        <w:separator/>
      </w:r>
    </w:p>
  </w:footnote>
  <w:footnote w:type="continuationSeparator" w:id="0">
    <w:p w:rsidR="00EB5CD7" w:rsidRDefault="00EB5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99F" w:rsidRDefault="006C099F">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1A3C56">
      <w:rPr>
        <w:rFonts w:cs="Courier"/>
        <w:b/>
        <w:bCs/>
        <w:noProof/>
      </w:rPr>
      <w:t>4</w:t>
    </w:r>
    <w:r>
      <w:rPr>
        <w:rFonts w:cs="Courier"/>
        <w:b/>
        <w:bCs/>
      </w:rPr>
      <w:fldChar w:fldCharType="end"/>
    </w:r>
  </w:p>
  <w:p w:rsidR="006C099F" w:rsidRDefault="006C099F"/>
  <w:p w:rsidR="006C099F" w:rsidRDefault="006C099F">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91"/>
    <w:rsid w:val="000F3572"/>
    <w:rsid w:val="001316C4"/>
    <w:rsid w:val="00166E57"/>
    <w:rsid w:val="001A3C56"/>
    <w:rsid w:val="001F348E"/>
    <w:rsid w:val="00220000"/>
    <w:rsid w:val="00326664"/>
    <w:rsid w:val="00430296"/>
    <w:rsid w:val="00441299"/>
    <w:rsid w:val="004E527B"/>
    <w:rsid w:val="004E5A90"/>
    <w:rsid w:val="00620F74"/>
    <w:rsid w:val="00660A14"/>
    <w:rsid w:val="00675FB6"/>
    <w:rsid w:val="00681FC7"/>
    <w:rsid w:val="006C099F"/>
    <w:rsid w:val="00701925"/>
    <w:rsid w:val="007E0C57"/>
    <w:rsid w:val="007F07B9"/>
    <w:rsid w:val="00875E7A"/>
    <w:rsid w:val="008C4B1C"/>
    <w:rsid w:val="00980D46"/>
    <w:rsid w:val="00A23007"/>
    <w:rsid w:val="00A26EF3"/>
    <w:rsid w:val="00A858B3"/>
    <w:rsid w:val="00B241C0"/>
    <w:rsid w:val="00BA72E3"/>
    <w:rsid w:val="00BD5429"/>
    <w:rsid w:val="00CE4386"/>
    <w:rsid w:val="00D06BA1"/>
    <w:rsid w:val="00D66E1A"/>
    <w:rsid w:val="00D825E8"/>
    <w:rsid w:val="00DA2EB3"/>
    <w:rsid w:val="00E526A3"/>
    <w:rsid w:val="00E55591"/>
    <w:rsid w:val="00EB5CD7"/>
    <w:rsid w:val="00F6425C"/>
    <w:rsid w:val="00FC066E"/>
    <w:rsid w:val="00FD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CommentReference">
    <w:name w:val="annotation reference"/>
    <w:rsid w:val="00A858B3"/>
    <w:rPr>
      <w:sz w:val="16"/>
      <w:szCs w:val="16"/>
    </w:rPr>
  </w:style>
  <w:style w:type="paragraph" w:styleId="CommentText">
    <w:name w:val="annotation text"/>
    <w:basedOn w:val="Normal"/>
    <w:link w:val="CommentTextChar"/>
    <w:rsid w:val="00A858B3"/>
    <w:rPr>
      <w:sz w:val="20"/>
      <w:szCs w:val="20"/>
    </w:rPr>
  </w:style>
  <w:style w:type="character" w:customStyle="1" w:styleId="CommentTextChar">
    <w:name w:val="Comment Text Char"/>
    <w:link w:val="CommentText"/>
    <w:rsid w:val="00A858B3"/>
    <w:rPr>
      <w:rFonts w:ascii="Courier" w:hAnsi="Courier"/>
    </w:rPr>
  </w:style>
  <w:style w:type="paragraph" w:styleId="CommentSubject">
    <w:name w:val="annotation subject"/>
    <w:basedOn w:val="CommentText"/>
    <w:next w:val="CommentText"/>
    <w:link w:val="CommentSubjectChar"/>
    <w:rsid w:val="00A858B3"/>
    <w:rPr>
      <w:b/>
      <w:bCs/>
    </w:rPr>
  </w:style>
  <w:style w:type="character" w:customStyle="1" w:styleId="CommentSubjectChar">
    <w:name w:val="Comment Subject Char"/>
    <w:link w:val="CommentSubject"/>
    <w:rsid w:val="00A858B3"/>
    <w:rPr>
      <w:rFonts w:ascii="Courier" w:hAnsi="Courier"/>
      <w:b/>
      <w:bCs/>
    </w:rPr>
  </w:style>
  <w:style w:type="paragraph" w:styleId="BalloonText">
    <w:name w:val="Balloon Text"/>
    <w:basedOn w:val="Normal"/>
    <w:link w:val="BalloonTextChar"/>
    <w:rsid w:val="00A858B3"/>
    <w:rPr>
      <w:rFonts w:ascii="Tahoma" w:hAnsi="Tahoma" w:cs="Tahoma"/>
      <w:sz w:val="16"/>
      <w:szCs w:val="16"/>
    </w:rPr>
  </w:style>
  <w:style w:type="character" w:customStyle="1" w:styleId="BalloonTextChar">
    <w:name w:val="Balloon Text Char"/>
    <w:link w:val="BalloonText"/>
    <w:rsid w:val="00A858B3"/>
    <w:rPr>
      <w:rFonts w:ascii="Tahoma" w:hAnsi="Tahoma" w:cs="Tahoma"/>
      <w:sz w:val="16"/>
      <w:szCs w:val="16"/>
    </w:rPr>
  </w:style>
  <w:style w:type="table" w:styleId="TableGrid">
    <w:name w:val="Table Grid"/>
    <w:basedOn w:val="TableNormal"/>
    <w:rsid w:val="00326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character" w:styleId="CommentReference">
    <w:name w:val="annotation reference"/>
    <w:rsid w:val="00A858B3"/>
    <w:rPr>
      <w:sz w:val="16"/>
      <w:szCs w:val="16"/>
    </w:rPr>
  </w:style>
  <w:style w:type="paragraph" w:styleId="CommentText">
    <w:name w:val="annotation text"/>
    <w:basedOn w:val="Normal"/>
    <w:link w:val="CommentTextChar"/>
    <w:rsid w:val="00A858B3"/>
    <w:rPr>
      <w:sz w:val="20"/>
      <w:szCs w:val="20"/>
    </w:rPr>
  </w:style>
  <w:style w:type="character" w:customStyle="1" w:styleId="CommentTextChar">
    <w:name w:val="Comment Text Char"/>
    <w:link w:val="CommentText"/>
    <w:rsid w:val="00A858B3"/>
    <w:rPr>
      <w:rFonts w:ascii="Courier" w:hAnsi="Courier"/>
    </w:rPr>
  </w:style>
  <w:style w:type="paragraph" w:styleId="CommentSubject">
    <w:name w:val="annotation subject"/>
    <w:basedOn w:val="CommentText"/>
    <w:next w:val="CommentText"/>
    <w:link w:val="CommentSubjectChar"/>
    <w:rsid w:val="00A858B3"/>
    <w:rPr>
      <w:b/>
      <w:bCs/>
    </w:rPr>
  </w:style>
  <w:style w:type="character" w:customStyle="1" w:styleId="CommentSubjectChar">
    <w:name w:val="Comment Subject Char"/>
    <w:link w:val="CommentSubject"/>
    <w:rsid w:val="00A858B3"/>
    <w:rPr>
      <w:rFonts w:ascii="Courier" w:hAnsi="Courier"/>
      <w:b/>
      <w:bCs/>
    </w:rPr>
  </w:style>
  <w:style w:type="paragraph" w:styleId="BalloonText">
    <w:name w:val="Balloon Text"/>
    <w:basedOn w:val="Normal"/>
    <w:link w:val="BalloonTextChar"/>
    <w:rsid w:val="00A858B3"/>
    <w:rPr>
      <w:rFonts w:ascii="Tahoma" w:hAnsi="Tahoma" w:cs="Tahoma"/>
      <w:sz w:val="16"/>
      <w:szCs w:val="16"/>
    </w:rPr>
  </w:style>
  <w:style w:type="character" w:customStyle="1" w:styleId="BalloonTextChar">
    <w:name w:val="Balloon Text Char"/>
    <w:link w:val="BalloonText"/>
    <w:rsid w:val="00A858B3"/>
    <w:rPr>
      <w:rFonts w:ascii="Tahoma" w:hAnsi="Tahoma" w:cs="Tahoma"/>
      <w:sz w:val="16"/>
      <w:szCs w:val="16"/>
    </w:rPr>
  </w:style>
  <w:style w:type="table" w:styleId="TableGrid">
    <w:name w:val="Table Grid"/>
    <w:basedOn w:val="TableNormal"/>
    <w:rsid w:val="00326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A3AC9-C97E-4D6E-B137-FEA7C42F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#1545-0988 supporting statement</vt:lpstr>
    </vt:vector>
  </TitlesOfParts>
  <Company>Department of the Treasury</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#1545-0988 supporting statement</dc:title>
  <dc:creator>Internal Revenue Service</dc:creator>
  <cp:lastModifiedBy>X50HB</cp:lastModifiedBy>
  <cp:revision>4</cp:revision>
  <dcterms:created xsi:type="dcterms:W3CDTF">2014-09-04T15:35:00Z</dcterms:created>
  <dcterms:modified xsi:type="dcterms:W3CDTF">2014-09-04T16:55:00Z</dcterms:modified>
</cp:coreProperties>
</file>