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72626458"/>
        <w:docPartObj>
          <w:docPartGallery w:val="Cover Pages"/>
          <w:docPartUnique/>
        </w:docPartObj>
      </w:sdtPr>
      <w:sdtEndPr>
        <w:rPr>
          <w:rStyle w:val="Heading1Char"/>
          <w:rFonts w:asciiTheme="majorHAnsi" w:eastAsiaTheme="majorEastAsia" w:hAnsiTheme="majorHAnsi" w:cstheme="majorBidi"/>
          <w:b/>
          <w:bCs/>
          <w:color w:val="365F91" w:themeColor="accent1" w:themeShade="BF"/>
          <w:sz w:val="28"/>
          <w:szCs w:val="28"/>
        </w:rPr>
      </w:sdtEndPr>
      <w:sdtContent>
        <w:tbl>
          <w:tblPr>
            <w:tblW w:w="5000" w:type="pct"/>
            <w:jc w:val="center"/>
            <w:tblLook w:val="04A0" w:firstRow="1" w:lastRow="0" w:firstColumn="1" w:lastColumn="0" w:noHBand="0" w:noVBand="1"/>
          </w:tblPr>
          <w:tblGrid>
            <w:gridCol w:w="9576"/>
          </w:tblGrid>
          <w:tr w:rsidR="001A1F57" w14:paraId="2472D0B0" w14:textId="77777777">
            <w:trPr>
              <w:trHeight w:val="2880"/>
              <w:jc w:val="center"/>
            </w:trPr>
            <w:tc>
              <w:tcPr>
                <w:tcW w:w="5000" w:type="pct"/>
              </w:tcPr>
              <w:p w14:paraId="3F0EF1C6" w14:textId="77777777" w:rsidR="001A1F57" w:rsidRDefault="00CF03AC" w:rsidP="00CF03AC">
                <w:pPr>
                  <w:spacing w:after="0" w:line="240" w:lineRule="auto"/>
                </w:pPr>
                <w:r w:rsidRPr="00704434">
                  <w:t>Contract</w:t>
                </w:r>
                <w:r w:rsidR="00125A03" w:rsidRPr="00704434">
                  <w:t xml:space="preserve"> </w:t>
                </w:r>
                <w:r w:rsidRPr="00704434">
                  <w:t xml:space="preserve">No: </w:t>
                </w:r>
                <w:r w:rsidR="003722F1" w:rsidRPr="00704434">
                  <w:rPr>
                    <w:sz w:val="20"/>
                    <w:szCs w:val="20"/>
                  </w:rPr>
                  <w:t>ED-IES-1</w:t>
                </w:r>
                <w:r w:rsidR="00212FEB" w:rsidRPr="00704434">
                  <w:rPr>
                    <w:sz w:val="20"/>
                    <w:szCs w:val="20"/>
                  </w:rPr>
                  <w:t>2</w:t>
                </w:r>
                <w:r w:rsidR="003722F1" w:rsidRPr="00704434">
                  <w:rPr>
                    <w:sz w:val="20"/>
                    <w:szCs w:val="20"/>
                  </w:rPr>
                  <w:t>-</w:t>
                </w:r>
                <w:r w:rsidR="00212FEB" w:rsidRPr="00704434">
                  <w:rPr>
                    <w:sz w:val="20"/>
                    <w:szCs w:val="20"/>
                  </w:rPr>
                  <w:t>C</w:t>
                </w:r>
                <w:r w:rsidR="003722F1" w:rsidRPr="00704434">
                  <w:rPr>
                    <w:sz w:val="20"/>
                    <w:szCs w:val="20"/>
                  </w:rPr>
                  <w:t>-00</w:t>
                </w:r>
                <w:r w:rsidR="00212FEB" w:rsidRPr="00704434">
                  <w:rPr>
                    <w:sz w:val="20"/>
                    <w:szCs w:val="20"/>
                  </w:rPr>
                  <w:t>07</w:t>
                </w:r>
                <w:r w:rsidR="003722F1" w:rsidRPr="00704434">
                  <w:rPr>
                    <w:sz w:val="20"/>
                    <w:szCs w:val="20"/>
                  </w:rPr>
                  <w:t xml:space="preserve"> </w:t>
                </w:r>
                <w:r w:rsidR="00F23EDB" w:rsidRPr="00704434">
                  <w:rPr>
                    <w:noProof/>
                  </w:rPr>
                  <w:drawing>
                    <wp:inline distT="0" distB="0" distL="0" distR="0" wp14:anchorId="323BC9FB" wp14:editId="3AC0676B">
                      <wp:extent cx="2191419" cy="662609"/>
                      <wp:effectExtent l="0" t="0" r="0" b="4445"/>
                      <wp:docPr id="2" name="Picture 2" descr="C:\Users\tony.petrites\AppData\Local\Microsoft\Windows\Temporary Internet Files\Content.Word\logo-change-fon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petrites\AppData\Local\Microsoft\Windows\Temporary Internet Files\Content.Word\logo-change-font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190115" cy="662215"/>
                              </a:xfrm>
                              <a:prstGeom prst="rect">
                                <a:avLst/>
                              </a:prstGeom>
                              <a:noFill/>
                              <a:ln>
                                <a:noFill/>
                              </a:ln>
                              <a:extLst>
                                <a:ext uri="{53640926-AAD7-44D8-BBD7-CCE9431645EC}">
                                  <a14:shadowObscured xmlns:a14="http://schemas.microsoft.com/office/drawing/2010/main"/>
                                </a:ext>
                              </a:extLst>
                            </pic:spPr>
                          </pic:pic>
                        </a:graphicData>
                      </a:graphic>
                    </wp:inline>
                  </w:drawing>
                </w:r>
              </w:p>
              <w:p w14:paraId="3B5E1C5C" w14:textId="77777777" w:rsidR="00CF03AC" w:rsidRDefault="00CF03AC" w:rsidP="00DE3315">
                <w:pPr>
                  <w:spacing w:after="0" w:line="240" w:lineRule="auto"/>
                </w:pPr>
              </w:p>
            </w:tc>
          </w:tr>
          <w:tr w:rsidR="001A1F57" w14:paraId="58349B67" w14:textId="77777777" w:rsidTr="00CF03AC">
            <w:trPr>
              <w:trHeight w:val="990"/>
              <w:jc w:val="center"/>
            </w:trPr>
            <w:tc>
              <w:tcPr>
                <w:tcW w:w="5000" w:type="pct"/>
                <w:tcBorders>
                  <w:bottom w:val="single" w:sz="4" w:space="0" w:color="4F81BD" w:themeColor="accent1"/>
                </w:tcBorders>
                <w:vAlign w:val="center"/>
              </w:tcPr>
              <w:p w14:paraId="63BCAC8D" w14:textId="77777777" w:rsidR="001A1F57" w:rsidRDefault="00511735" w:rsidP="00A71459">
                <w:pPr>
                  <w:pStyle w:val="NoSpacing"/>
                  <w:contextualSpacing/>
                  <w:jc w:val="center"/>
                  <w:rPr>
                    <w:rFonts w:asciiTheme="majorHAnsi" w:eastAsiaTheme="majorEastAsia" w:hAnsiTheme="majorHAnsi" w:cstheme="majorBidi"/>
                    <w:sz w:val="80"/>
                    <w:szCs w:val="80"/>
                  </w:rPr>
                </w:pPr>
                <w:r>
                  <w:rPr>
                    <w:rFonts w:asciiTheme="majorHAnsi" w:eastAsiaTheme="majorEastAsia" w:hAnsiTheme="majorHAnsi" w:cstheme="majorBidi"/>
                    <w:sz w:val="28"/>
                    <w:szCs w:val="28"/>
                  </w:rPr>
                  <w:t xml:space="preserve">Supporting Justification for OMB Clearance of a Study </w:t>
                </w:r>
                <w:r w:rsidR="00704434">
                  <w:rPr>
                    <w:rFonts w:asciiTheme="majorHAnsi" w:eastAsiaTheme="majorEastAsia" w:hAnsiTheme="majorHAnsi" w:cstheme="majorBidi"/>
                    <w:sz w:val="28"/>
                    <w:szCs w:val="28"/>
                  </w:rPr>
                  <w:t xml:space="preserve">of </w:t>
                </w:r>
                <w:r>
                  <w:rPr>
                    <w:rFonts w:asciiTheme="majorHAnsi" w:eastAsiaTheme="majorEastAsia" w:hAnsiTheme="majorHAnsi" w:cstheme="majorBidi"/>
                    <w:sz w:val="28"/>
                    <w:szCs w:val="28"/>
                  </w:rPr>
                  <w:t>Clinical Practice in Traditional Teacher Preparation Programs in Missouri</w:t>
                </w:r>
              </w:p>
            </w:tc>
          </w:tr>
          <w:tr w:rsidR="001A1F57" w14:paraId="63437568" w14:textId="77777777">
            <w:trPr>
              <w:trHeight w:val="720"/>
              <w:jc w:val="center"/>
            </w:trPr>
            <w:tc>
              <w:tcPr>
                <w:tcW w:w="5000" w:type="pct"/>
                <w:tcBorders>
                  <w:top w:val="single" w:sz="4" w:space="0" w:color="4F81BD" w:themeColor="accent1"/>
                </w:tcBorders>
                <w:vAlign w:val="center"/>
              </w:tcPr>
              <w:p w14:paraId="753A93C2" w14:textId="77777777" w:rsidR="001A1F57" w:rsidRDefault="00511735" w:rsidP="004D73E3">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24"/>
                    <w:szCs w:val="24"/>
                  </w:rPr>
                  <w:t>Section A</w:t>
                </w:r>
              </w:p>
            </w:tc>
          </w:tr>
          <w:tr w:rsidR="001A1F57" w14:paraId="45B1DA5F" w14:textId="77777777">
            <w:trPr>
              <w:trHeight w:val="360"/>
              <w:jc w:val="center"/>
            </w:trPr>
            <w:tc>
              <w:tcPr>
                <w:tcW w:w="5000" w:type="pct"/>
                <w:vAlign w:val="center"/>
              </w:tcPr>
              <w:p w14:paraId="2DFC0168" w14:textId="389BFF48" w:rsidR="001A1F57" w:rsidRDefault="000355C8">
                <w:pPr>
                  <w:pStyle w:val="NoSpacing"/>
                  <w:jc w:val="center"/>
                </w:pPr>
                <w:r>
                  <w:t>December</w:t>
                </w:r>
                <w:r w:rsidRPr="00D746F0">
                  <w:t xml:space="preserve"> </w:t>
                </w:r>
                <w:r w:rsidR="000C184C">
                  <w:t>5</w:t>
                </w:r>
                <w:bookmarkStart w:id="0" w:name="Editing"/>
                <w:bookmarkEnd w:id="0"/>
                <w:r w:rsidR="00967A34" w:rsidRPr="00D746F0">
                  <w:t>, 2013</w:t>
                </w:r>
              </w:p>
              <w:p w14:paraId="37CEB877" w14:textId="77777777" w:rsidR="00F23EDB" w:rsidRDefault="00F23EDB">
                <w:pPr>
                  <w:pStyle w:val="NoSpacing"/>
                  <w:jc w:val="center"/>
                </w:pPr>
              </w:p>
              <w:p w14:paraId="1087843A" w14:textId="77777777" w:rsidR="00F23EDB" w:rsidRDefault="00F23EDB">
                <w:pPr>
                  <w:pStyle w:val="NoSpacing"/>
                  <w:jc w:val="center"/>
                </w:pPr>
              </w:p>
              <w:p w14:paraId="20F02C2A" w14:textId="77777777" w:rsidR="00F23EDB" w:rsidRDefault="00F23EDB">
                <w:pPr>
                  <w:pStyle w:val="NoSpacing"/>
                  <w:jc w:val="center"/>
                </w:pPr>
              </w:p>
              <w:p w14:paraId="38DB073F" w14:textId="77777777" w:rsidR="00F23EDB" w:rsidRDefault="00F23EDB">
                <w:pPr>
                  <w:pStyle w:val="NoSpacing"/>
                  <w:jc w:val="center"/>
                </w:pPr>
              </w:p>
            </w:tc>
          </w:tr>
          <w:tr w:rsidR="001A1F57" w14:paraId="26135323" w14:textId="77777777">
            <w:trPr>
              <w:trHeight w:val="360"/>
              <w:jc w:val="center"/>
            </w:trPr>
            <w:tc>
              <w:tcPr>
                <w:tcW w:w="5000" w:type="pct"/>
                <w:vAlign w:val="center"/>
              </w:tcPr>
              <w:p w14:paraId="53134A39" w14:textId="77777777" w:rsidR="001A1F57" w:rsidRDefault="001A1F57">
                <w:pPr>
                  <w:pStyle w:val="NoSpacing"/>
                  <w:jc w:val="center"/>
                  <w:rPr>
                    <w:b/>
                    <w:bCs/>
                  </w:rPr>
                </w:pPr>
              </w:p>
            </w:tc>
          </w:tr>
          <w:tr w:rsidR="001A1F57" w14:paraId="18261494" w14:textId="77777777">
            <w:trPr>
              <w:trHeight w:val="360"/>
              <w:jc w:val="center"/>
            </w:trPr>
            <w:tc>
              <w:tcPr>
                <w:tcW w:w="5000" w:type="pct"/>
                <w:vAlign w:val="center"/>
              </w:tcPr>
              <w:p w14:paraId="4E6924CE" w14:textId="77777777" w:rsidR="001A1F57" w:rsidRPr="003722F1" w:rsidRDefault="00F23EDB" w:rsidP="00F23EDB">
                <w:pPr>
                  <w:pStyle w:val="NoSpacing"/>
                  <w:rPr>
                    <w:bCs/>
                  </w:rPr>
                </w:pPr>
                <w:r>
                  <w:rPr>
                    <w:b/>
                    <w:bCs/>
                  </w:rPr>
                  <w:t>Submitted to:</w:t>
                </w:r>
                <w:r w:rsidR="003722F1">
                  <w:rPr>
                    <w:b/>
                    <w:bCs/>
                  </w:rPr>
                  <w:t xml:space="preserve">                                                                                </w:t>
                </w:r>
                <w:r w:rsidR="003722F1" w:rsidRPr="003722F1">
                  <w:rPr>
                    <w:b/>
                    <w:bCs/>
                  </w:rPr>
                  <w:t>Submitted</w:t>
                </w:r>
                <w:r w:rsidR="003722F1">
                  <w:rPr>
                    <w:b/>
                    <w:bCs/>
                  </w:rPr>
                  <w:t xml:space="preserve"> by:</w:t>
                </w:r>
              </w:p>
              <w:p w14:paraId="32B5CA6E" w14:textId="1857D0C3" w:rsidR="005203CD" w:rsidRPr="00402C32" w:rsidRDefault="005203CD" w:rsidP="005203CD">
                <w:pPr>
                  <w:pStyle w:val="NoSpacing"/>
                  <w:rPr>
                    <w:bCs/>
                  </w:rPr>
                </w:pPr>
                <w:r w:rsidRPr="00402C32">
                  <w:rPr>
                    <w:bCs/>
                  </w:rPr>
                  <w:t xml:space="preserve">Institute of Education Sciences                                                 </w:t>
                </w:r>
                <w:r>
                  <w:rPr>
                    <w:bCs/>
                  </w:rPr>
                  <w:t xml:space="preserve">REL Central </w:t>
                </w:r>
                <w:r w:rsidR="00D30ED2">
                  <w:rPr>
                    <w:bCs/>
                  </w:rPr>
                  <w:t>at Marzano Research Laboratory</w:t>
                </w:r>
              </w:p>
              <w:p w14:paraId="03239E67" w14:textId="7BF086F4" w:rsidR="005203CD" w:rsidRPr="00402C32" w:rsidRDefault="005203CD" w:rsidP="005203CD">
                <w:pPr>
                  <w:pStyle w:val="NoSpacing"/>
                  <w:rPr>
                    <w:bCs/>
                  </w:rPr>
                </w:pPr>
                <w:r w:rsidRPr="00402C32">
                  <w:rPr>
                    <w:bCs/>
                  </w:rPr>
                  <w:t xml:space="preserve">U.S. Department of Education                                                    </w:t>
                </w:r>
              </w:p>
              <w:p w14:paraId="088090FD" w14:textId="77777777" w:rsidR="005203CD" w:rsidRPr="00402C32" w:rsidRDefault="005203CD" w:rsidP="005203CD">
                <w:pPr>
                  <w:pStyle w:val="NoSpacing"/>
                  <w:rPr>
                    <w:bCs/>
                  </w:rPr>
                </w:pPr>
                <w:r w:rsidRPr="00402C32">
                  <w:rPr>
                    <w:bCs/>
                  </w:rPr>
                  <w:t>555 New Jersey Ave., NW</w:t>
                </w:r>
                <w:r>
                  <w:rPr>
                    <w:bCs/>
                  </w:rPr>
                  <w:t xml:space="preserve">                 </w:t>
                </w:r>
                <w:r w:rsidRPr="00402C32">
                  <w:rPr>
                    <w:bCs/>
                  </w:rPr>
                  <w:t xml:space="preserve">                                           </w:t>
                </w:r>
                <w:r w:rsidR="00AB45C6">
                  <w:rPr>
                    <w:bCs/>
                  </w:rPr>
                  <w:t>9000 E. Nichols Ave., Ste. 112</w:t>
                </w:r>
              </w:p>
              <w:p w14:paraId="4746FCE6" w14:textId="77777777" w:rsidR="005203CD" w:rsidRPr="00402C32" w:rsidRDefault="005203CD" w:rsidP="005203CD">
                <w:pPr>
                  <w:pStyle w:val="NoSpacing"/>
                  <w:rPr>
                    <w:bCs/>
                  </w:rPr>
                </w:pPr>
                <w:r w:rsidRPr="00402C32">
                  <w:rPr>
                    <w:bCs/>
                  </w:rPr>
                  <w:t xml:space="preserve">Washington, DC  20208                                                                </w:t>
                </w:r>
                <w:r w:rsidR="00AB45C6">
                  <w:rPr>
                    <w:bCs/>
                  </w:rPr>
                  <w:t>Centennial</w:t>
                </w:r>
                <w:r>
                  <w:rPr>
                    <w:bCs/>
                  </w:rPr>
                  <w:t xml:space="preserve">, CO </w:t>
                </w:r>
                <w:r w:rsidR="00AB45C6">
                  <w:rPr>
                    <w:bCs/>
                  </w:rPr>
                  <w:t>80112</w:t>
                </w:r>
              </w:p>
              <w:p w14:paraId="0960DCDD" w14:textId="77777777" w:rsidR="005203CD" w:rsidRDefault="005203CD" w:rsidP="005203CD">
                <w:pPr>
                  <w:pStyle w:val="NoSpacing"/>
                  <w:rPr>
                    <w:bCs/>
                  </w:rPr>
                </w:pPr>
                <w:r>
                  <w:rPr>
                    <w:bCs/>
                  </w:rPr>
                  <w:t>(202) 219-1385</w:t>
                </w:r>
                <w:r w:rsidRPr="00402C32">
                  <w:rPr>
                    <w:bCs/>
                  </w:rPr>
                  <w:t xml:space="preserve">                                                  </w:t>
                </w:r>
                <w:r>
                  <w:rPr>
                    <w:bCs/>
                  </w:rPr>
                  <w:t xml:space="preserve">           </w:t>
                </w:r>
                <w:r w:rsidRPr="00402C32">
                  <w:rPr>
                    <w:bCs/>
                  </w:rPr>
                  <w:t xml:space="preserve">             </w:t>
                </w:r>
                <w:r>
                  <w:rPr>
                    <w:bCs/>
                  </w:rPr>
                  <w:t xml:space="preserve">    (303) </w:t>
                </w:r>
                <w:r w:rsidR="00AB45C6">
                  <w:rPr>
                    <w:bCs/>
                  </w:rPr>
                  <w:t>766</w:t>
                </w:r>
                <w:r>
                  <w:rPr>
                    <w:bCs/>
                  </w:rPr>
                  <w:t>-</w:t>
                </w:r>
                <w:r w:rsidR="00AB45C6">
                  <w:rPr>
                    <w:bCs/>
                  </w:rPr>
                  <w:t>9199</w:t>
                </w:r>
              </w:p>
              <w:p w14:paraId="6405C241" w14:textId="77777777" w:rsidR="003722F1" w:rsidRDefault="003722F1" w:rsidP="00F23EDB">
                <w:pPr>
                  <w:pStyle w:val="NoSpacing"/>
                  <w:rPr>
                    <w:bCs/>
                  </w:rPr>
                </w:pPr>
              </w:p>
              <w:p w14:paraId="4BFA2BC0" w14:textId="77777777" w:rsidR="00F23EDB" w:rsidRDefault="00F23EDB" w:rsidP="00F23EDB">
                <w:pPr>
                  <w:pStyle w:val="NoSpacing"/>
                  <w:rPr>
                    <w:bCs/>
                  </w:rPr>
                </w:pPr>
                <w:r>
                  <w:rPr>
                    <w:bCs/>
                  </w:rPr>
                  <w:t>Project Officer:</w:t>
                </w:r>
                <w:r w:rsidR="003722F1">
                  <w:rPr>
                    <w:bCs/>
                  </w:rPr>
                  <w:t xml:space="preserve">                                                                                Project Director:</w:t>
                </w:r>
              </w:p>
              <w:p w14:paraId="576D536B" w14:textId="55762EBB" w:rsidR="00F23EDB" w:rsidRDefault="00767995" w:rsidP="00AA33CD">
                <w:pPr>
                  <w:pStyle w:val="NoSpacing"/>
                  <w:rPr>
                    <w:b/>
                    <w:bCs/>
                  </w:rPr>
                </w:pPr>
                <w:r>
                  <w:rPr>
                    <w:bCs/>
                  </w:rPr>
                  <w:t>Sandra Garcia</w:t>
                </w:r>
                <w:r w:rsidR="003722F1">
                  <w:rPr>
                    <w:bCs/>
                  </w:rPr>
                  <w:t xml:space="preserve">                                                                                </w:t>
                </w:r>
                <w:r w:rsidR="00AA33CD">
                  <w:rPr>
                    <w:bCs/>
                  </w:rPr>
                  <w:t>Stephen Meyer</w:t>
                </w:r>
              </w:p>
            </w:tc>
          </w:tr>
        </w:tbl>
        <w:p w14:paraId="07F02A0A" w14:textId="77777777" w:rsidR="001A1F57" w:rsidRDefault="001A1F57"/>
        <w:p w14:paraId="238984EC" w14:textId="77777777" w:rsidR="001A1F57" w:rsidRDefault="001A1F57"/>
        <w:p w14:paraId="6DBD098E" w14:textId="77777777" w:rsidR="001A1F57" w:rsidRDefault="001A1F57"/>
        <w:p w14:paraId="082472CB" w14:textId="77777777" w:rsidR="001A1F57" w:rsidRDefault="001A1F57">
          <w:pPr>
            <w:rPr>
              <w:rStyle w:val="Heading1Char"/>
            </w:rPr>
          </w:pPr>
          <w:r>
            <w:rPr>
              <w:rStyle w:val="Heading1Char"/>
            </w:rPr>
            <w:br w:type="page"/>
          </w:r>
        </w:p>
      </w:sdtContent>
    </w:sdt>
    <w:sdt>
      <w:sdtPr>
        <w:rPr>
          <w:rFonts w:asciiTheme="minorHAnsi" w:eastAsiaTheme="minorHAnsi" w:hAnsiTheme="minorHAnsi" w:cstheme="minorBidi"/>
          <w:b w:val="0"/>
          <w:bCs w:val="0"/>
          <w:color w:val="auto"/>
          <w:sz w:val="22"/>
          <w:szCs w:val="22"/>
          <w:lang w:eastAsia="en-US"/>
        </w:rPr>
        <w:id w:val="1162816599"/>
        <w:docPartObj>
          <w:docPartGallery w:val="Table of Contents"/>
          <w:docPartUnique/>
        </w:docPartObj>
      </w:sdtPr>
      <w:sdtEndPr>
        <w:rPr>
          <w:noProof/>
        </w:rPr>
      </w:sdtEndPr>
      <w:sdtContent>
        <w:p w14:paraId="79547FED" w14:textId="77777777" w:rsidR="001A1F57" w:rsidRDefault="001A1F57">
          <w:pPr>
            <w:pStyle w:val="TOCHeading"/>
          </w:pPr>
          <w:r>
            <w:t>Table of Contents</w:t>
          </w:r>
        </w:p>
        <w:p w14:paraId="39BCB16A" w14:textId="31EBB1F2" w:rsidR="006C49C8" w:rsidRDefault="00373CDD">
          <w:pPr>
            <w:pStyle w:val="TOC1"/>
            <w:tabs>
              <w:tab w:val="right" w:leader="dot" w:pos="9350"/>
            </w:tabs>
            <w:rPr>
              <w:rFonts w:eastAsiaTheme="minorEastAsia"/>
              <w:noProof/>
            </w:rPr>
          </w:pPr>
          <w:r w:rsidRPr="00CD3014">
            <w:rPr>
              <w:rFonts w:cstheme="minorHAnsi"/>
            </w:rPr>
            <w:fldChar w:fldCharType="begin"/>
          </w:r>
          <w:r w:rsidR="001A1F57" w:rsidRPr="00CD3014">
            <w:rPr>
              <w:rFonts w:cstheme="minorHAnsi"/>
            </w:rPr>
            <w:instrText xml:space="preserve"> TOC \o "1-3" \h \z \u </w:instrText>
          </w:r>
          <w:r w:rsidRPr="00CD3014">
            <w:rPr>
              <w:rFonts w:cstheme="minorHAnsi"/>
            </w:rPr>
            <w:fldChar w:fldCharType="separate"/>
          </w:r>
          <w:hyperlink w:anchor="_Toc364869916" w:history="1">
            <w:r w:rsidR="006C49C8" w:rsidRPr="00A3388F">
              <w:rPr>
                <w:rStyle w:val="Hyperlink"/>
                <w:noProof/>
              </w:rPr>
              <w:t>Section A. Justification</w:t>
            </w:r>
            <w:r w:rsidR="006C49C8">
              <w:rPr>
                <w:noProof/>
                <w:webHidden/>
              </w:rPr>
              <w:tab/>
            </w:r>
            <w:r>
              <w:rPr>
                <w:noProof/>
                <w:webHidden/>
              </w:rPr>
              <w:fldChar w:fldCharType="begin"/>
            </w:r>
            <w:r w:rsidR="006C49C8">
              <w:rPr>
                <w:noProof/>
                <w:webHidden/>
              </w:rPr>
              <w:instrText xml:space="preserve"> PAGEREF _Toc364869916 \h </w:instrText>
            </w:r>
            <w:r>
              <w:rPr>
                <w:noProof/>
                <w:webHidden/>
              </w:rPr>
            </w:r>
            <w:r>
              <w:rPr>
                <w:noProof/>
                <w:webHidden/>
              </w:rPr>
              <w:fldChar w:fldCharType="separate"/>
            </w:r>
            <w:r w:rsidR="00F530F8">
              <w:rPr>
                <w:noProof/>
                <w:webHidden/>
              </w:rPr>
              <w:t>3</w:t>
            </w:r>
            <w:r>
              <w:rPr>
                <w:noProof/>
                <w:webHidden/>
              </w:rPr>
              <w:fldChar w:fldCharType="end"/>
            </w:r>
          </w:hyperlink>
        </w:p>
        <w:p w14:paraId="16EF1557" w14:textId="3A166DFA" w:rsidR="006C49C8" w:rsidRDefault="008037FA" w:rsidP="00F1651A">
          <w:pPr>
            <w:pStyle w:val="TOC2"/>
            <w:rPr>
              <w:rFonts w:eastAsiaTheme="minorEastAsia" w:cstheme="minorBidi"/>
            </w:rPr>
          </w:pPr>
          <w:hyperlink w:anchor="_Toc364869917" w:history="1">
            <w:r w:rsidR="006C49C8" w:rsidRPr="00A3388F">
              <w:rPr>
                <w:rStyle w:val="Hyperlink"/>
              </w:rPr>
              <w:t>A1. Circumstances Necessitating Collection of Information</w:t>
            </w:r>
            <w:r w:rsidR="006C49C8">
              <w:rPr>
                <w:webHidden/>
              </w:rPr>
              <w:tab/>
            </w:r>
            <w:r w:rsidR="00373CDD">
              <w:rPr>
                <w:webHidden/>
              </w:rPr>
              <w:fldChar w:fldCharType="begin"/>
            </w:r>
            <w:r w:rsidR="006C49C8">
              <w:rPr>
                <w:webHidden/>
              </w:rPr>
              <w:instrText xml:space="preserve"> PAGEREF _Toc364869917 \h </w:instrText>
            </w:r>
            <w:r w:rsidR="00373CDD">
              <w:rPr>
                <w:webHidden/>
              </w:rPr>
            </w:r>
            <w:r w:rsidR="00373CDD">
              <w:rPr>
                <w:webHidden/>
              </w:rPr>
              <w:fldChar w:fldCharType="separate"/>
            </w:r>
            <w:r w:rsidR="00F530F8">
              <w:rPr>
                <w:webHidden/>
              </w:rPr>
              <w:t>3</w:t>
            </w:r>
            <w:r w:rsidR="00373CDD">
              <w:rPr>
                <w:webHidden/>
              </w:rPr>
              <w:fldChar w:fldCharType="end"/>
            </w:r>
          </w:hyperlink>
        </w:p>
        <w:p w14:paraId="6D12584F" w14:textId="0985DA3A" w:rsidR="006C49C8" w:rsidRDefault="008037FA">
          <w:pPr>
            <w:pStyle w:val="TOC3"/>
            <w:tabs>
              <w:tab w:val="right" w:leader="dot" w:pos="9350"/>
            </w:tabs>
            <w:rPr>
              <w:rFonts w:eastAsiaTheme="minorEastAsia"/>
              <w:noProof/>
            </w:rPr>
          </w:pPr>
          <w:hyperlink w:anchor="_Toc364869918" w:history="1">
            <w:r w:rsidR="006C49C8" w:rsidRPr="00A3388F">
              <w:rPr>
                <w:rStyle w:val="Hyperlink"/>
                <w:noProof/>
              </w:rPr>
              <w:t>Statement of Need</w:t>
            </w:r>
            <w:r w:rsidR="006C49C8">
              <w:rPr>
                <w:noProof/>
                <w:webHidden/>
              </w:rPr>
              <w:tab/>
            </w:r>
            <w:r w:rsidR="00373CDD">
              <w:rPr>
                <w:noProof/>
                <w:webHidden/>
              </w:rPr>
              <w:fldChar w:fldCharType="begin"/>
            </w:r>
            <w:r w:rsidR="006C49C8">
              <w:rPr>
                <w:noProof/>
                <w:webHidden/>
              </w:rPr>
              <w:instrText xml:space="preserve"> PAGEREF _Toc364869918 \h </w:instrText>
            </w:r>
            <w:r w:rsidR="00373CDD">
              <w:rPr>
                <w:noProof/>
                <w:webHidden/>
              </w:rPr>
            </w:r>
            <w:r w:rsidR="00373CDD">
              <w:rPr>
                <w:noProof/>
                <w:webHidden/>
              </w:rPr>
              <w:fldChar w:fldCharType="separate"/>
            </w:r>
            <w:r w:rsidR="00F530F8">
              <w:rPr>
                <w:noProof/>
                <w:webHidden/>
              </w:rPr>
              <w:t>3</w:t>
            </w:r>
            <w:r w:rsidR="00373CDD">
              <w:rPr>
                <w:noProof/>
                <w:webHidden/>
              </w:rPr>
              <w:fldChar w:fldCharType="end"/>
            </w:r>
          </w:hyperlink>
        </w:p>
        <w:p w14:paraId="73D2C742" w14:textId="77777777" w:rsidR="006C49C8" w:rsidRDefault="008037FA">
          <w:pPr>
            <w:pStyle w:val="TOC3"/>
            <w:tabs>
              <w:tab w:val="right" w:leader="dot" w:pos="9350"/>
            </w:tabs>
            <w:rPr>
              <w:rFonts w:eastAsiaTheme="minorEastAsia"/>
              <w:noProof/>
            </w:rPr>
          </w:pPr>
          <w:hyperlink w:anchor="_Toc364869919" w:history="1">
            <w:r w:rsidR="006C49C8" w:rsidRPr="00A3388F">
              <w:rPr>
                <w:rStyle w:val="Hyperlink"/>
                <w:noProof/>
              </w:rPr>
              <w:t>Overview of the Study Design</w:t>
            </w:r>
            <w:r w:rsidR="006C49C8">
              <w:rPr>
                <w:noProof/>
                <w:webHidden/>
              </w:rPr>
              <w:tab/>
            </w:r>
            <w:r w:rsidR="00373CDD">
              <w:rPr>
                <w:noProof/>
                <w:webHidden/>
              </w:rPr>
              <w:fldChar w:fldCharType="begin"/>
            </w:r>
            <w:r w:rsidR="006C49C8">
              <w:rPr>
                <w:noProof/>
                <w:webHidden/>
              </w:rPr>
              <w:instrText xml:space="preserve"> PAGEREF _Toc364869919 \h </w:instrText>
            </w:r>
            <w:r w:rsidR="00373CDD">
              <w:rPr>
                <w:noProof/>
                <w:webHidden/>
              </w:rPr>
            </w:r>
            <w:r w:rsidR="00373CDD">
              <w:rPr>
                <w:noProof/>
                <w:webHidden/>
              </w:rPr>
              <w:fldChar w:fldCharType="separate"/>
            </w:r>
            <w:r w:rsidR="00F530F8">
              <w:rPr>
                <w:noProof/>
                <w:webHidden/>
              </w:rPr>
              <w:t>5</w:t>
            </w:r>
            <w:r w:rsidR="00373CDD">
              <w:rPr>
                <w:noProof/>
                <w:webHidden/>
              </w:rPr>
              <w:fldChar w:fldCharType="end"/>
            </w:r>
          </w:hyperlink>
        </w:p>
        <w:p w14:paraId="783312DA" w14:textId="6F11A4B4" w:rsidR="006C49C8" w:rsidRDefault="008037FA">
          <w:pPr>
            <w:pStyle w:val="TOC3"/>
            <w:tabs>
              <w:tab w:val="right" w:leader="dot" w:pos="9350"/>
            </w:tabs>
            <w:rPr>
              <w:rFonts w:eastAsiaTheme="minorEastAsia"/>
              <w:noProof/>
            </w:rPr>
          </w:pPr>
          <w:hyperlink w:anchor="_Toc364869920" w:history="1">
            <w:r w:rsidR="006C49C8" w:rsidRPr="00A3388F">
              <w:rPr>
                <w:rStyle w:val="Hyperlink"/>
                <w:noProof/>
              </w:rPr>
              <w:t>Overview of the Specific Data Collection Plan</w:t>
            </w:r>
            <w:r w:rsidR="006C49C8">
              <w:rPr>
                <w:noProof/>
                <w:webHidden/>
              </w:rPr>
              <w:tab/>
            </w:r>
            <w:r w:rsidR="00373CDD">
              <w:rPr>
                <w:noProof/>
                <w:webHidden/>
              </w:rPr>
              <w:fldChar w:fldCharType="begin"/>
            </w:r>
            <w:r w:rsidR="006C49C8">
              <w:rPr>
                <w:noProof/>
                <w:webHidden/>
              </w:rPr>
              <w:instrText xml:space="preserve"> PAGEREF _Toc364869920 \h </w:instrText>
            </w:r>
            <w:r w:rsidR="00373CDD">
              <w:rPr>
                <w:noProof/>
                <w:webHidden/>
              </w:rPr>
            </w:r>
            <w:r w:rsidR="00373CDD">
              <w:rPr>
                <w:noProof/>
                <w:webHidden/>
              </w:rPr>
              <w:fldChar w:fldCharType="separate"/>
            </w:r>
            <w:r w:rsidR="00F530F8">
              <w:rPr>
                <w:noProof/>
                <w:webHidden/>
              </w:rPr>
              <w:t>6</w:t>
            </w:r>
            <w:r w:rsidR="00373CDD">
              <w:rPr>
                <w:noProof/>
                <w:webHidden/>
              </w:rPr>
              <w:fldChar w:fldCharType="end"/>
            </w:r>
          </w:hyperlink>
        </w:p>
        <w:p w14:paraId="5A673A57" w14:textId="12E89217" w:rsidR="006C49C8" w:rsidRDefault="008037FA" w:rsidP="00F1651A">
          <w:pPr>
            <w:pStyle w:val="TOC2"/>
            <w:rPr>
              <w:rFonts w:eastAsiaTheme="minorEastAsia" w:cstheme="minorBidi"/>
            </w:rPr>
          </w:pPr>
          <w:hyperlink w:anchor="_Toc364869921" w:history="1">
            <w:r w:rsidR="006C49C8" w:rsidRPr="00A3388F">
              <w:rPr>
                <w:rStyle w:val="Hyperlink"/>
              </w:rPr>
              <w:t>A2. How, by Whom, and for What Purpose Information is to Be Used</w:t>
            </w:r>
            <w:r w:rsidR="006C49C8">
              <w:rPr>
                <w:webHidden/>
              </w:rPr>
              <w:tab/>
            </w:r>
            <w:r w:rsidR="00373CDD">
              <w:rPr>
                <w:webHidden/>
              </w:rPr>
              <w:fldChar w:fldCharType="begin"/>
            </w:r>
            <w:r w:rsidR="006C49C8">
              <w:rPr>
                <w:webHidden/>
              </w:rPr>
              <w:instrText xml:space="preserve"> PAGEREF _Toc364869921 \h </w:instrText>
            </w:r>
            <w:r w:rsidR="00373CDD">
              <w:rPr>
                <w:webHidden/>
              </w:rPr>
            </w:r>
            <w:r w:rsidR="00373CDD">
              <w:rPr>
                <w:webHidden/>
              </w:rPr>
              <w:fldChar w:fldCharType="separate"/>
            </w:r>
            <w:r w:rsidR="00F530F8">
              <w:rPr>
                <w:webHidden/>
              </w:rPr>
              <w:t>7</w:t>
            </w:r>
            <w:r w:rsidR="00373CDD">
              <w:rPr>
                <w:webHidden/>
              </w:rPr>
              <w:fldChar w:fldCharType="end"/>
            </w:r>
          </w:hyperlink>
        </w:p>
        <w:p w14:paraId="45361344" w14:textId="6BC7F5A0" w:rsidR="006C49C8" w:rsidRPr="0062184F" w:rsidRDefault="008037FA" w:rsidP="00F1651A">
          <w:pPr>
            <w:pStyle w:val="TOC2"/>
            <w:rPr>
              <w:rFonts w:eastAsiaTheme="minorEastAsia"/>
            </w:rPr>
          </w:pPr>
          <w:hyperlink w:anchor="_Toc364869922" w:history="1">
            <w:r w:rsidR="006C49C8" w:rsidRPr="0062184F">
              <w:rPr>
                <w:rStyle w:val="Hyperlink"/>
              </w:rPr>
              <w:t xml:space="preserve">A3. </w:t>
            </w:r>
            <w:r w:rsidR="006C49C8" w:rsidRPr="003853DF">
              <w:rPr>
                <w:rStyle w:val="Hyperlink"/>
              </w:rPr>
              <w:t>Use of Automated, Electronic, Mechanical or Other Technological Collection Techniques</w:t>
            </w:r>
            <w:r w:rsidR="006C49C8" w:rsidRPr="00F1651A">
              <w:rPr>
                <w:webHidden/>
              </w:rPr>
              <w:tab/>
            </w:r>
            <w:r w:rsidR="00373CDD" w:rsidRPr="0062184F">
              <w:rPr>
                <w:webHidden/>
              </w:rPr>
              <w:fldChar w:fldCharType="begin"/>
            </w:r>
            <w:r w:rsidR="006C49C8" w:rsidRPr="0062184F">
              <w:rPr>
                <w:webHidden/>
              </w:rPr>
              <w:instrText xml:space="preserve"> PAGEREF _Toc364869922 \h </w:instrText>
            </w:r>
            <w:r w:rsidR="00373CDD" w:rsidRPr="0062184F">
              <w:rPr>
                <w:webHidden/>
              </w:rPr>
            </w:r>
            <w:r w:rsidR="00373CDD" w:rsidRPr="0062184F">
              <w:rPr>
                <w:webHidden/>
              </w:rPr>
              <w:fldChar w:fldCharType="separate"/>
            </w:r>
            <w:r w:rsidR="00F530F8">
              <w:rPr>
                <w:webHidden/>
              </w:rPr>
              <w:t>8</w:t>
            </w:r>
            <w:r w:rsidR="00373CDD" w:rsidRPr="0062184F">
              <w:rPr>
                <w:webHidden/>
              </w:rPr>
              <w:fldChar w:fldCharType="end"/>
            </w:r>
          </w:hyperlink>
        </w:p>
        <w:p w14:paraId="468DF49D" w14:textId="7126DA22" w:rsidR="006C49C8" w:rsidRDefault="008037FA" w:rsidP="00F1651A">
          <w:pPr>
            <w:pStyle w:val="TOC2"/>
            <w:rPr>
              <w:rFonts w:eastAsiaTheme="minorEastAsia" w:cstheme="minorBidi"/>
            </w:rPr>
          </w:pPr>
          <w:hyperlink w:anchor="_Toc364869923" w:history="1">
            <w:r w:rsidR="006C49C8" w:rsidRPr="00A3388F">
              <w:rPr>
                <w:rStyle w:val="Hyperlink"/>
              </w:rPr>
              <w:t>A4. Efforts to Identify Duplication.</w:t>
            </w:r>
            <w:r w:rsidR="006C49C8">
              <w:rPr>
                <w:webHidden/>
              </w:rPr>
              <w:tab/>
            </w:r>
            <w:r w:rsidR="00373CDD">
              <w:rPr>
                <w:webHidden/>
              </w:rPr>
              <w:fldChar w:fldCharType="begin"/>
            </w:r>
            <w:r w:rsidR="006C49C8">
              <w:rPr>
                <w:webHidden/>
              </w:rPr>
              <w:instrText xml:space="preserve"> PAGEREF _Toc364869923 \h </w:instrText>
            </w:r>
            <w:r w:rsidR="00373CDD">
              <w:rPr>
                <w:webHidden/>
              </w:rPr>
            </w:r>
            <w:r w:rsidR="00373CDD">
              <w:rPr>
                <w:webHidden/>
              </w:rPr>
              <w:fldChar w:fldCharType="separate"/>
            </w:r>
            <w:r w:rsidR="00F530F8">
              <w:rPr>
                <w:webHidden/>
              </w:rPr>
              <w:t>8</w:t>
            </w:r>
            <w:r w:rsidR="00373CDD">
              <w:rPr>
                <w:webHidden/>
              </w:rPr>
              <w:fldChar w:fldCharType="end"/>
            </w:r>
          </w:hyperlink>
        </w:p>
        <w:p w14:paraId="4EEE0DDD" w14:textId="7A8B307A" w:rsidR="006C49C8" w:rsidRDefault="008037FA" w:rsidP="00F1651A">
          <w:pPr>
            <w:pStyle w:val="TOC2"/>
            <w:rPr>
              <w:rFonts w:eastAsiaTheme="minorEastAsia" w:cstheme="minorBidi"/>
            </w:rPr>
          </w:pPr>
          <w:hyperlink w:anchor="_Toc364869924" w:history="1">
            <w:r w:rsidR="006C49C8" w:rsidRPr="00A3388F">
              <w:rPr>
                <w:rStyle w:val="Hyperlink"/>
              </w:rPr>
              <w:t>A5. Sensitivity to Burden on Small Entities</w:t>
            </w:r>
            <w:r w:rsidR="006C49C8">
              <w:rPr>
                <w:webHidden/>
              </w:rPr>
              <w:tab/>
            </w:r>
            <w:r w:rsidR="00373CDD">
              <w:rPr>
                <w:webHidden/>
              </w:rPr>
              <w:fldChar w:fldCharType="begin"/>
            </w:r>
            <w:r w:rsidR="006C49C8">
              <w:rPr>
                <w:webHidden/>
              </w:rPr>
              <w:instrText xml:space="preserve"> PAGEREF _Toc364869924 \h </w:instrText>
            </w:r>
            <w:r w:rsidR="00373CDD">
              <w:rPr>
                <w:webHidden/>
              </w:rPr>
            </w:r>
            <w:r w:rsidR="00373CDD">
              <w:rPr>
                <w:webHidden/>
              </w:rPr>
              <w:fldChar w:fldCharType="separate"/>
            </w:r>
            <w:r w:rsidR="00F530F8">
              <w:rPr>
                <w:webHidden/>
              </w:rPr>
              <w:t>8</w:t>
            </w:r>
            <w:r w:rsidR="00373CDD">
              <w:rPr>
                <w:webHidden/>
              </w:rPr>
              <w:fldChar w:fldCharType="end"/>
            </w:r>
          </w:hyperlink>
        </w:p>
        <w:p w14:paraId="1D96C788" w14:textId="48CFA857" w:rsidR="006C49C8" w:rsidRDefault="008037FA" w:rsidP="00F1651A">
          <w:pPr>
            <w:pStyle w:val="TOC2"/>
            <w:rPr>
              <w:rFonts w:eastAsiaTheme="minorEastAsia" w:cstheme="minorBidi"/>
            </w:rPr>
          </w:pPr>
          <w:hyperlink w:anchor="_Toc364869925" w:history="1">
            <w:r w:rsidR="006C49C8" w:rsidRPr="00A3388F">
              <w:rPr>
                <w:rStyle w:val="Hyperlink"/>
              </w:rPr>
              <w:t>A6. Consequence to Federal Program or Policy Activities if the Collection is Not Conducted or is Conducted Less Frequently</w:t>
            </w:r>
            <w:r w:rsidR="006C49C8">
              <w:rPr>
                <w:webHidden/>
              </w:rPr>
              <w:tab/>
            </w:r>
            <w:r w:rsidR="00373CDD">
              <w:rPr>
                <w:webHidden/>
              </w:rPr>
              <w:fldChar w:fldCharType="begin"/>
            </w:r>
            <w:r w:rsidR="006C49C8">
              <w:rPr>
                <w:webHidden/>
              </w:rPr>
              <w:instrText xml:space="preserve"> PAGEREF _Toc364869925 \h </w:instrText>
            </w:r>
            <w:r w:rsidR="00373CDD">
              <w:rPr>
                <w:webHidden/>
              </w:rPr>
            </w:r>
            <w:r w:rsidR="00373CDD">
              <w:rPr>
                <w:webHidden/>
              </w:rPr>
              <w:fldChar w:fldCharType="separate"/>
            </w:r>
            <w:r w:rsidR="00F530F8">
              <w:rPr>
                <w:webHidden/>
              </w:rPr>
              <w:t>8</w:t>
            </w:r>
            <w:r w:rsidR="00373CDD">
              <w:rPr>
                <w:webHidden/>
              </w:rPr>
              <w:fldChar w:fldCharType="end"/>
            </w:r>
          </w:hyperlink>
        </w:p>
        <w:p w14:paraId="3C7163A1" w14:textId="6179DA5C" w:rsidR="006C49C8" w:rsidRDefault="008037FA" w:rsidP="0062184F">
          <w:pPr>
            <w:pStyle w:val="TOC2"/>
            <w:rPr>
              <w:rFonts w:eastAsiaTheme="minorEastAsia" w:cstheme="minorBidi"/>
            </w:rPr>
          </w:pPr>
          <w:hyperlink w:anchor="_Toc364869926" w:history="1">
            <w:r w:rsidR="006C49C8" w:rsidRPr="00A3388F">
              <w:rPr>
                <w:rStyle w:val="Hyperlink"/>
              </w:rPr>
              <w:t>A7. Special Circumstances</w:t>
            </w:r>
            <w:r w:rsidR="006C49C8">
              <w:rPr>
                <w:webHidden/>
              </w:rPr>
              <w:tab/>
            </w:r>
            <w:r w:rsidR="00373CDD">
              <w:rPr>
                <w:webHidden/>
              </w:rPr>
              <w:fldChar w:fldCharType="begin"/>
            </w:r>
            <w:r w:rsidR="006C49C8">
              <w:rPr>
                <w:webHidden/>
              </w:rPr>
              <w:instrText xml:space="preserve"> PAGEREF _Toc364869926 \h </w:instrText>
            </w:r>
            <w:r w:rsidR="00373CDD">
              <w:rPr>
                <w:webHidden/>
              </w:rPr>
            </w:r>
            <w:r w:rsidR="00373CDD">
              <w:rPr>
                <w:webHidden/>
              </w:rPr>
              <w:fldChar w:fldCharType="separate"/>
            </w:r>
            <w:r w:rsidR="00F530F8">
              <w:rPr>
                <w:webHidden/>
              </w:rPr>
              <w:t>8</w:t>
            </w:r>
            <w:r w:rsidR="00373CDD">
              <w:rPr>
                <w:webHidden/>
              </w:rPr>
              <w:fldChar w:fldCharType="end"/>
            </w:r>
          </w:hyperlink>
        </w:p>
        <w:p w14:paraId="6507EC4E" w14:textId="1ABAE393" w:rsidR="006C49C8" w:rsidRDefault="008037FA" w:rsidP="0062184F">
          <w:pPr>
            <w:pStyle w:val="TOC2"/>
            <w:rPr>
              <w:rFonts w:eastAsiaTheme="minorEastAsia" w:cstheme="minorBidi"/>
            </w:rPr>
          </w:pPr>
          <w:hyperlink w:anchor="_Toc364869927" w:history="1">
            <w:r w:rsidR="006C49C8" w:rsidRPr="00A3388F">
              <w:rPr>
                <w:rStyle w:val="Hyperlink"/>
              </w:rPr>
              <w:t>A8. Federal Register Announcement and Consultation</w:t>
            </w:r>
            <w:r w:rsidR="006C49C8">
              <w:rPr>
                <w:webHidden/>
              </w:rPr>
              <w:tab/>
            </w:r>
            <w:r w:rsidR="00373CDD">
              <w:rPr>
                <w:webHidden/>
              </w:rPr>
              <w:fldChar w:fldCharType="begin"/>
            </w:r>
            <w:r w:rsidR="006C49C8">
              <w:rPr>
                <w:webHidden/>
              </w:rPr>
              <w:instrText xml:space="preserve"> PAGEREF _Toc364869927 \h </w:instrText>
            </w:r>
            <w:r w:rsidR="00373CDD">
              <w:rPr>
                <w:webHidden/>
              </w:rPr>
            </w:r>
            <w:r w:rsidR="00373CDD">
              <w:rPr>
                <w:webHidden/>
              </w:rPr>
              <w:fldChar w:fldCharType="separate"/>
            </w:r>
            <w:r w:rsidR="00F530F8">
              <w:rPr>
                <w:webHidden/>
              </w:rPr>
              <w:t>8</w:t>
            </w:r>
            <w:r w:rsidR="00373CDD">
              <w:rPr>
                <w:webHidden/>
              </w:rPr>
              <w:fldChar w:fldCharType="end"/>
            </w:r>
          </w:hyperlink>
        </w:p>
        <w:p w14:paraId="7C015DD9" w14:textId="0EB94450" w:rsidR="006C49C8" w:rsidRDefault="008037FA">
          <w:pPr>
            <w:pStyle w:val="TOC3"/>
            <w:tabs>
              <w:tab w:val="right" w:leader="dot" w:pos="9350"/>
            </w:tabs>
            <w:rPr>
              <w:rFonts w:eastAsiaTheme="minorEastAsia"/>
              <w:noProof/>
            </w:rPr>
          </w:pPr>
          <w:hyperlink w:anchor="_Toc364869928" w:history="1">
            <w:r w:rsidR="006C49C8" w:rsidRPr="00A3388F">
              <w:rPr>
                <w:rStyle w:val="Hyperlink"/>
                <w:noProof/>
              </w:rPr>
              <w:t>Federal Register Announcement</w:t>
            </w:r>
            <w:r w:rsidR="006C49C8">
              <w:rPr>
                <w:noProof/>
                <w:webHidden/>
              </w:rPr>
              <w:tab/>
            </w:r>
            <w:r w:rsidR="00373CDD">
              <w:rPr>
                <w:noProof/>
                <w:webHidden/>
              </w:rPr>
              <w:fldChar w:fldCharType="begin"/>
            </w:r>
            <w:r w:rsidR="006C49C8">
              <w:rPr>
                <w:noProof/>
                <w:webHidden/>
              </w:rPr>
              <w:instrText xml:space="preserve"> PAGEREF _Toc364869928 \h </w:instrText>
            </w:r>
            <w:r w:rsidR="00373CDD">
              <w:rPr>
                <w:noProof/>
                <w:webHidden/>
              </w:rPr>
            </w:r>
            <w:r w:rsidR="00373CDD">
              <w:rPr>
                <w:noProof/>
                <w:webHidden/>
              </w:rPr>
              <w:fldChar w:fldCharType="separate"/>
            </w:r>
            <w:r w:rsidR="00F530F8">
              <w:rPr>
                <w:noProof/>
                <w:webHidden/>
              </w:rPr>
              <w:t>8</w:t>
            </w:r>
            <w:r w:rsidR="00373CDD">
              <w:rPr>
                <w:noProof/>
                <w:webHidden/>
              </w:rPr>
              <w:fldChar w:fldCharType="end"/>
            </w:r>
          </w:hyperlink>
        </w:p>
        <w:p w14:paraId="5B7A5527" w14:textId="747E7698" w:rsidR="006C49C8" w:rsidRDefault="008037FA">
          <w:pPr>
            <w:pStyle w:val="TOC3"/>
            <w:tabs>
              <w:tab w:val="right" w:leader="dot" w:pos="9350"/>
            </w:tabs>
            <w:rPr>
              <w:rFonts w:eastAsiaTheme="minorEastAsia"/>
              <w:noProof/>
            </w:rPr>
          </w:pPr>
          <w:hyperlink w:anchor="_Toc364869929" w:history="1">
            <w:r w:rsidR="006C49C8" w:rsidRPr="00A3388F">
              <w:rPr>
                <w:rStyle w:val="Hyperlink"/>
                <w:noProof/>
              </w:rPr>
              <w:t>Consultations Outside the Agency</w:t>
            </w:r>
            <w:r w:rsidR="006C49C8">
              <w:rPr>
                <w:noProof/>
                <w:webHidden/>
              </w:rPr>
              <w:tab/>
            </w:r>
            <w:r w:rsidR="00373CDD">
              <w:rPr>
                <w:noProof/>
                <w:webHidden/>
              </w:rPr>
              <w:fldChar w:fldCharType="begin"/>
            </w:r>
            <w:r w:rsidR="006C49C8">
              <w:rPr>
                <w:noProof/>
                <w:webHidden/>
              </w:rPr>
              <w:instrText xml:space="preserve"> PAGEREF _Toc364869929 \h </w:instrText>
            </w:r>
            <w:r w:rsidR="00373CDD">
              <w:rPr>
                <w:noProof/>
                <w:webHidden/>
              </w:rPr>
            </w:r>
            <w:r w:rsidR="00373CDD">
              <w:rPr>
                <w:noProof/>
                <w:webHidden/>
              </w:rPr>
              <w:fldChar w:fldCharType="separate"/>
            </w:r>
            <w:r w:rsidR="00F530F8">
              <w:rPr>
                <w:noProof/>
                <w:webHidden/>
              </w:rPr>
              <w:t>9</w:t>
            </w:r>
            <w:r w:rsidR="00373CDD">
              <w:rPr>
                <w:noProof/>
                <w:webHidden/>
              </w:rPr>
              <w:fldChar w:fldCharType="end"/>
            </w:r>
          </w:hyperlink>
        </w:p>
        <w:p w14:paraId="7F2194CD" w14:textId="329894A3" w:rsidR="006C49C8" w:rsidRDefault="008037FA" w:rsidP="00F1651A">
          <w:pPr>
            <w:pStyle w:val="TOC2"/>
            <w:rPr>
              <w:rFonts w:eastAsiaTheme="minorEastAsia" w:cstheme="minorBidi"/>
            </w:rPr>
          </w:pPr>
          <w:hyperlink w:anchor="_Toc364869930" w:history="1">
            <w:r w:rsidR="006C49C8" w:rsidRPr="00A3388F">
              <w:rPr>
                <w:rStyle w:val="Hyperlink"/>
              </w:rPr>
              <w:t>A9. Payment or Gift to Respondents</w:t>
            </w:r>
            <w:r w:rsidR="006C49C8">
              <w:rPr>
                <w:webHidden/>
              </w:rPr>
              <w:tab/>
            </w:r>
            <w:r w:rsidR="00373CDD">
              <w:rPr>
                <w:webHidden/>
              </w:rPr>
              <w:fldChar w:fldCharType="begin"/>
            </w:r>
            <w:r w:rsidR="006C49C8">
              <w:rPr>
                <w:webHidden/>
              </w:rPr>
              <w:instrText xml:space="preserve"> PAGEREF _Toc364869930 \h </w:instrText>
            </w:r>
            <w:r w:rsidR="00373CDD">
              <w:rPr>
                <w:webHidden/>
              </w:rPr>
            </w:r>
            <w:r w:rsidR="00373CDD">
              <w:rPr>
                <w:webHidden/>
              </w:rPr>
              <w:fldChar w:fldCharType="separate"/>
            </w:r>
            <w:r w:rsidR="00F530F8">
              <w:rPr>
                <w:webHidden/>
              </w:rPr>
              <w:t>9</w:t>
            </w:r>
            <w:r w:rsidR="00373CDD">
              <w:rPr>
                <w:webHidden/>
              </w:rPr>
              <w:fldChar w:fldCharType="end"/>
            </w:r>
          </w:hyperlink>
        </w:p>
        <w:p w14:paraId="4656824B" w14:textId="228B0EF4" w:rsidR="006C49C8" w:rsidRDefault="008037FA" w:rsidP="00F1651A">
          <w:pPr>
            <w:pStyle w:val="TOC2"/>
            <w:rPr>
              <w:rFonts w:eastAsiaTheme="minorEastAsia" w:cstheme="minorBidi"/>
            </w:rPr>
          </w:pPr>
          <w:hyperlink w:anchor="_Toc364869931" w:history="1">
            <w:r w:rsidR="006C49C8" w:rsidRPr="00A3388F">
              <w:rPr>
                <w:rStyle w:val="Hyperlink"/>
              </w:rPr>
              <w:t>A10.Confidentiality of the Data</w:t>
            </w:r>
            <w:r w:rsidR="006C49C8">
              <w:rPr>
                <w:webHidden/>
              </w:rPr>
              <w:tab/>
            </w:r>
            <w:r w:rsidR="00373CDD">
              <w:rPr>
                <w:webHidden/>
              </w:rPr>
              <w:fldChar w:fldCharType="begin"/>
            </w:r>
            <w:r w:rsidR="006C49C8">
              <w:rPr>
                <w:webHidden/>
              </w:rPr>
              <w:instrText xml:space="preserve"> PAGEREF _Toc364869931 \h </w:instrText>
            </w:r>
            <w:r w:rsidR="00373CDD">
              <w:rPr>
                <w:webHidden/>
              </w:rPr>
            </w:r>
            <w:r w:rsidR="00373CDD">
              <w:rPr>
                <w:webHidden/>
              </w:rPr>
              <w:fldChar w:fldCharType="separate"/>
            </w:r>
            <w:r w:rsidR="00F530F8">
              <w:rPr>
                <w:webHidden/>
              </w:rPr>
              <w:t>9</w:t>
            </w:r>
            <w:r w:rsidR="00373CDD">
              <w:rPr>
                <w:webHidden/>
              </w:rPr>
              <w:fldChar w:fldCharType="end"/>
            </w:r>
          </w:hyperlink>
        </w:p>
        <w:p w14:paraId="7FD160F7" w14:textId="4BC96308" w:rsidR="006C49C8" w:rsidRDefault="008037FA" w:rsidP="00F1651A">
          <w:pPr>
            <w:pStyle w:val="TOC2"/>
            <w:rPr>
              <w:rFonts w:eastAsiaTheme="minorEastAsia" w:cstheme="minorBidi"/>
            </w:rPr>
          </w:pPr>
          <w:hyperlink w:anchor="_Toc364869932" w:history="1">
            <w:r w:rsidR="006C49C8" w:rsidRPr="00A3388F">
              <w:rPr>
                <w:rStyle w:val="Hyperlink"/>
              </w:rPr>
              <w:t>A11. Additional Justification for Sensitive Questions</w:t>
            </w:r>
            <w:r w:rsidR="006C49C8">
              <w:rPr>
                <w:webHidden/>
              </w:rPr>
              <w:tab/>
            </w:r>
            <w:r w:rsidR="00373CDD">
              <w:rPr>
                <w:webHidden/>
              </w:rPr>
              <w:fldChar w:fldCharType="begin"/>
            </w:r>
            <w:r w:rsidR="006C49C8">
              <w:rPr>
                <w:webHidden/>
              </w:rPr>
              <w:instrText xml:space="preserve"> PAGEREF _Toc364869932 \h </w:instrText>
            </w:r>
            <w:r w:rsidR="00373CDD">
              <w:rPr>
                <w:webHidden/>
              </w:rPr>
            </w:r>
            <w:r w:rsidR="00373CDD">
              <w:rPr>
                <w:webHidden/>
              </w:rPr>
              <w:fldChar w:fldCharType="separate"/>
            </w:r>
            <w:r w:rsidR="00F530F8">
              <w:rPr>
                <w:webHidden/>
              </w:rPr>
              <w:t>10</w:t>
            </w:r>
            <w:r w:rsidR="00373CDD">
              <w:rPr>
                <w:webHidden/>
              </w:rPr>
              <w:fldChar w:fldCharType="end"/>
            </w:r>
          </w:hyperlink>
        </w:p>
        <w:p w14:paraId="1E81EF40" w14:textId="07E9132F" w:rsidR="006C49C8" w:rsidRDefault="008037FA" w:rsidP="00F1651A">
          <w:pPr>
            <w:pStyle w:val="TOC2"/>
            <w:rPr>
              <w:rFonts w:eastAsiaTheme="minorEastAsia" w:cstheme="minorBidi"/>
            </w:rPr>
          </w:pPr>
          <w:hyperlink w:anchor="_Toc364869933" w:history="1">
            <w:r w:rsidR="006C49C8" w:rsidRPr="00A3388F">
              <w:rPr>
                <w:rStyle w:val="Hyperlink"/>
              </w:rPr>
              <w:t>A12. Estimates of Hour Burden</w:t>
            </w:r>
            <w:r w:rsidR="006C49C8">
              <w:rPr>
                <w:webHidden/>
              </w:rPr>
              <w:tab/>
            </w:r>
            <w:r w:rsidR="00373CDD">
              <w:rPr>
                <w:webHidden/>
              </w:rPr>
              <w:fldChar w:fldCharType="begin"/>
            </w:r>
            <w:r w:rsidR="006C49C8">
              <w:rPr>
                <w:webHidden/>
              </w:rPr>
              <w:instrText xml:space="preserve"> PAGEREF _Toc364869933 \h </w:instrText>
            </w:r>
            <w:r w:rsidR="00373CDD">
              <w:rPr>
                <w:webHidden/>
              </w:rPr>
            </w:r>
            <w:r w:rsidR="00373CDD">
              <w:rPr>
                <w:webHidden/>
              </w:rPr>
              <w:fldChar w:fldCharType="separate"/>
            </w:r>
            <w:r w:rsidR="00F530F8">
              <w:rPr>
                <w:webHidden/>
              </w:rPr>
              <w:t>11</w:t>
            </w:r>
            <w:r w:rsidR="00373CDD">
              <w:rPr>
                <w:webHidden/>
              </w:rPr>
              <w:fldChar w:fldCharType="end"/>
            </w:r>
          </w:hyperlink>
        </w:p>
        <w:p w14:paraId="79C4261D" w14:textId="1391AD6C" w:rsidR="006C49C8" w:rsidRDefault="008037FA" w:rsidP="00F1651A">
          <w:pPr>
            <w:pStyle w:val="TOC2"/>
            <w:rPr>
              <w:rFonts w:eastAsiaTheme="minorEastAsia" w:cstheme="minorBidi"/>
            </w:rPr>
          </w:pPr>
          <w:hyperlink w:anchor="_Toc364869934" w:history="1">
            <w:r w:rsidR="006C49C8" w:rsidRPr="00A3388F">
              <w:rPr>
                <w:rStyle w:val="Hyperlink"/>
              </w:rPr>
              <w:t>A13. Estimate for the Total Annual Cost Burden to Respondents or Record Keepers</w:t>
            </w:r>
            <w:r w:rsidR="006C49C8">
              <w:rPr>
                <w:webHidden/>
              </w:rPr>
              <w:tab/>
            </w:r>
            <w:r w:rsidR="00373CDD">
              <w:rPr>
                <w:webHidden/>
              </w:rPr>
              <w:fldChar w:fldCharType="begin"/>
            </w:r>
            <w:r w:rsidR="006C49C8">
              <w:rPr>
                <w:webHidden/>
              </w:rPr>
              <w:instrText xml:space="preserve"> PAGEREF _Toc364869934 \h </w:instrText>
            </w:r>
            <w:r w:rsidR="00373CDD">
              <w:rPr>
                <w:webHidden/>
              </w:rPr>
            </w:r>
            <w:r w:rsidR="00373CDD">
              <w:rPr>
                <w:webHidden/>
              </w:rPr>
              <w:fldChar w:fldCharType="separate"/>
            </w:r>
            <w:r w:rsidR="00F530F8">
              <w:rPr>
                <w:webHidden/>
              </w:rPr>
              <w:t>11</w:t>
            </w:r>
            <w:r w:rsidR="00373CDD">
              <w:rPr>
                <w:webHidden/>
              </w:rPr>
              <w:fldChar w:fldCharType="end"/>
            </w:r>
          </w:hyperlink>
        </w:p>
        <w:p w14:paraId="74F72BC1" w14:textId="56B6B650" w:rsidR="006C49C8" w:rsidRDefault="008037FA" w:rsidP="0062184F">
          <w:pPr>
            <w:pStyle w:val="TOC2"/>
            <w:rPr>
              <w:rFonts w:eastAsiaTheme="minorEastAsia" w:cstheme="minorBidi"/>
            </w:rPr>
          </w:pPr>
          <w:hyperlink w:anchor="_Toc364869935" w:history="1">
            <w:r w:rsidR="006C49C8" w:rsidRPr="00A3388F">
              <w:rPr>
                <w:rStyle w:val="Hyperlink"/>
              </w:rPr>
              <w:t>A14.Estimates of Annualized Costs to the Federal Government.</w:t>
            </w:r>
            <w:r w:rsidR="006C49C8">
              <w:rPr>
                <w:webHidden/>
              </w:rPr>
              <w:tab/>
            </w:r>
            <w:r w:rsidR="00373CDD">
              <w:rPr>
                <w:webHidden/>
              </w:rPr>
              <w:fldChar w:fldCharType="begin"/>
            </w:r>
            <w:r w:rsidR="006C49C8">
              <w:rPr>
                <w:webHidden/>
              </w:rPr>
              <w:instrText xml:space="preserve"> PAGEREF _Toc364869935 \h </w:instrText>
            </w:r>
            <w:r w:rsidR="00373CDD">
              <w:rPr>
                <w:webHidden/>
              </w:rPr>
            </w:r>
            <w:r w:rsidR="00373CDD">
              <w:rPr>
                <w:webHidden/>
              </w:rPr>
              <w:fldChar w:fldCharType="separate"/>
            </w:r>
            <w:r w:rsidR="00F530F8">
              <w:rPr>
                <w:webHidden/>
              </w:rPr>
              <w:t>11</w:t>
            </w:r>
            <w:r w:rsidR="00373CDD">
              <w:rPr>
                <w:webHidden/>
              </w:rPr>
              <w:fldChar w:fldCharType="end"/>
            </w:r>
          </w:hyperlink>
        </w:p>
        <w:p w14:paraId="495689D1" w14:textId="77777777" w:rsidR="006C49C8" w:rsidRDefault="008037FA" w:rsidP="0062184F">
          <w:pPr>
            <w:pStyle w:val="TOC2"/>
            <w:rPr>
              <w:rFonts w:eastAsiaTheme="minorEastAsia" w:cstheme="minorBidi"/>
            </w:rPr>
          </w:pPr>
          <w:hyperlink w:anchor="_Toc364869936" w:history="1">
            <w:r w:rsidR="006C49C8" w:rsidRPr="00A3388F">
              <w:rPr>
                <w:rStyle w:val="Hyperlink"/>
              </w:rPr>
              <w:t>A15.Reasons for Program Changes or Adjustments</w:t>
            </w:r>
            <w:r w:rsidR="006C49C8">
              <w:rPr>
                <w:webHidden/>
              </w:rPr>
              <w:tab/>
            </w:r>
            <w:r w:rsidR="00373CDD">
              <w:rPr>
                <w:webHidden/>
              </w:rPr>
              <w:fldChar w:fldCharType="begin"/>
            </w:r>
            <w:r w:rsidR="006C49C8">
              <w:rPr>
                <w:webHidden/>
              </w:rPr>
              <w:instrText xml:space="preserve"> PAGEREF _Toc364869936 \h </w:instrText>
            </w:r>
            <w:r w:rsidR="00373CDD">
              <w:rPr>
                <w:webHidden/>
              </w:rPr>
            </w:r>
            <w:r w:rsidR="00373CDD">
              <w:rPr>
                <w:webHidden/>
              </w:rPr>
              <w:fldChar w:fldCharType="separate"/>
            </w:r>
            <w:r w:rsidR="00F530F8">
              <w:rPr>
                <w:webHidden/>
              </w:rPr>
              <w:t>11</w:t>
            </w:r>
            <w:r w:rsidR="00373CDD">
              <w:rPr>
                <w:webHidden/>
              </w:rPr>
              <w:fldChar w:fldCharType="end"/>
            </w:r>
          </w:hyperlink>
        </w:p>
        <w:p w14:paraId="17F1F6C3" w14:textId="3A7D101A" w:rsidR="006C49C8" w:rsidRDefault="008037FA" w:rsidP="0062184F">
          <w:pPr>
            <w:pStyle w:val="TOC2"/>
            <w:rPr>
              <w:rFonts w:eastAsiaTheme="minorEastAsia" w:cstheme="minorBidi"/>
            </w:rPr>
          </w:pPr>
          <w:hyperlink w:anchor="_Toc364869937" w:history="1">
            <w:r w:rsidR="006C49C8" w:rsidRPr="00A3388F">
              <w:rPr>
                <w:rStyle w:val="Hyperlink"/>
              </w:rPr>
              <w:t>A16. Plans for Tabulation and Publication.</w:t>
            </w:r>
            <w:r w:rsidR="006C49C8">
              <w:rPr>
                <w:webHidden/>
              </w:rPr>
              <w:tab/>
            </w:r>
            <w:r w:rsidR="00373CDD">
              <w:rPr>
                <w:webHidden/>
              </w:rPr>
              <w:fldChar w:fldCharType="begin"/>
            </w:r>
            <w:r w:rsidR="006C49C8">
              <w:rPr>
                <w:webHidden/>
              </w:rPr>
              <w:instrText xml:space="preserve"> PAGEREF _Toc364869937 \h </w:instrText>
            </w:r>
            <w:r w:rsidR="00373CDD">
              <w:rPr>
                <w:webHidden/>
              </w:rPr>
            </w:r>
            <w:r w:rsidR="00373CDD">
              <w:rPr>
                <w:webHidden/>
              </w:rPr>
              <w:fldChar w:fldCharType="separate"/>
            </w:r>
            <w:r w:rsidR="00F530F8">
              <w:rPr>
                <w:webHidden/>
              </w:rPr>
              <w:t>12</w:t>
            </w:r>
            <w:r w:rsidR="00373CDD">
              <w:rPr>
                <w:webHidden/>
              </w:rPr>
              <w:fldChar w:fldCharType="end"/>
            </w:r>
          </w:hyperlink>
        </w:p>
        <w:p w14:paraId="38945688" w14:textId="6ADF84A4" w:rsidR="006C49C8" w:rsidRDefault="008037FA">
          <w:pPr>
            <w:pStyle w:val="TOC3"/>
            <w:tabs>
              <w:tab w:val="right" w:leader="dot" w:pos="9350"/>
            </w:tabs>
            <w:rPr>
              <w:rFonts w:eastAsiaTheme="minorEastAsia"/>
              <w:noProof/>
            </w:rPr>
          </w:pPr>
          <w:hyperlink w:anchor="_Toc364869938" w:history="1">
            <w:r w:rsidR="006C49C8" w:rsidRPr="00A3388F">
              <w:rPr>
                <w:rStyle w:val="Hyperlink"/>
                <w:noProof/>
              </w:rPr>
              <w:t>Tabulation Plans</w:t>
            </w:r>
            <w:r w:rsidR="006C49C8">
              <w:rPr>
                <w:noProof/>
                <w:webHidden/>
              </w:rPr>
              <w:tab/>
            </w:r>
            <w:r w:rsidR="00373CDD">
              <w:rPr>
                <w:noProof/>
                <w:webHidden/>
              </w:rPr>
              <w:fldChar w:fldCharType="begin"/>
            </w:r>
            <w:r w:rsidR="006C49C8">
              <w:rPr>
                <w:noProof/>
                <w:webHidden/>
              </w:rPr>
              <w:instrText xml:space="preserve"> PAGEREF _Toc364869938 \h </w:instrText>
            </w:r>
            <w:r w:rsidR="00373CDD">
              <w:rPr>
                <w:noProof/>
                <w:webHidden/>
              </w:rPr>
            </w:r>
            <w:r w:rsidR="00373CDD">
              <w:rPr>
                <w:noProof/>
                <w:webHidden/>
              </w:rPr>
              <w:fldChar w:fldCharType="separate"/>
            </w:r>
            <w:r w:rsidR="00F530F8">
              <w:rPr>
                <w:noProof/>
                <w:webHidden/>
              </w:rPr>
              <w:t>12</w:t>
            </w:r>
            <w:r w:rsidR="00373CDD">
              <w:rPr>
                <w:noProof/>
                <w:webHidden/>
              </w:rPr>
              <w:fldChar w:fldCharType="end"/>
            </w:r>
          </w:hyperlink>
        </w:p>
        <w:p w14:paraId="2DC86205" w14:textId="1BF0878F" w:rsidR="006C49C8" w:rsidRDefault="008037FA">
          <w:pPr>
            <w:pStyle w:val="TOC3"/>
            <w:tabs>
              <w:tab w:val="right" w:leader="dot" w:pos="9350"/>
            </w:tabs>
            <w:rPr>
              <w:rFonts w:eastAsiaTheme="minorEastAsia"/>
              <w:noProof/>
            </w:rPr>
          </w:pPr>
          <w:hyperlink w:anchor="_Toc364869939" w:history="1">
            <w:r w:rsidR="006C49C8" w:rsidRPr="00A3388F">
              <w:rPr>
                <w:rStyle w:val="Hyperlink"/>
                <w:noProof/>
              </w:rPr>
              <w:t>Publication Plans</w:t>
            </w:r>
            <w:r w:rsidR="006C49C8">
              <w:rPr>
                <w:noProof/>
                <w:webHidden/>
              </w:rPr>
              <w:tab/>
            </w:r>
            <w:r w:rsidR="00373CDD">
              <w:rPr>
                <w:noProof/>
                <w:webHidden/>
              </w:rPr>
              <w:fldChar w:fldCharType="begin"/>
            </w:r>
            <w:r w:rsidR="006C49C8">
              <w:rPr>
                <w:noProof/>
                <w:webHidden/>
              </w:rPr>
              <w:instrText xml:space="preserve"> PAGEREF _Toc364869939 \h </w:instrText>
            </w:r>
            <w:r w:rsidR="00373CDD">
              <w:rPr>
                <w:noProof/>
                <w:webHidden/>
              </w:rPr>
            </w:r>
            <w:r w:rsidR="00373CDD">
              <w:rPr>
                <w:noProof/>
                <w:webHidden/>
              </w:rPr>
              <w:fldChar w:fldCharType="separate"/>
            </w:r>
            <w:r w:rsidR="00F530F8">
              <w:rPr>
                <w:noProof/>
                <w:webHidden/>
              </w:rPr>
              <w:t>12</w:t>
            </w:r>
            <w:r w:rsidR="00373CDD">
              <w:rPr>
                <w:noProof/>
                <w:webHidden/>
              </w:rPr>
              <w:fldChar w:fldCharType="end"/>
            </w:r>
          </w:hyperlink>
        </w:p>
        <w:p w14:paraId="7B651FA5" w14:textId="758D35B7" w:rsidR="006C49C8" w:rsidRDefault="008037FA">
          <w:pPr>
            <w:pStyle w:val="TOC3"/>
            <w:tabs>
              <w:tab w:val="right" w:leader="dot" w:pos="9350"/>
            </w:tabs>
            <w:rPr>
              <w:rFonts w:eastAsiaTheme="minorEastAsia"/>
              <w:noProof/>
            </w:rPr>
          </w:pPr>
          <w:hyperlink w:anchor="_Toc364869940" w:history="1">
            <w:r w:rsidR="006C49C8" w:rsidRPr="00A3388F">
              <w:rPr>
                <w:rStyle w:val="Hyperlink"/>
                <w:noProof/>
              </w:rPr>
              <w:t>Timeline</w:t>
            </w:r>
            <w:r w:rsidR="006C49C8">
              <w:rPr>
                <w:noProof/>
                <w:webHidden/>
              </w:rPr>
              <w:tab/>
            </w:r>
            <w:r w:rsidR="00373CDD">
              <w:rPr>
                <w:noProof/>
                <w:webHidden/>
              </w:rPr>
              <w:fldChar w:fldCharType="begin"/>
            </w:r>
            <w:r w:rsidR="006C49C8">
              <w:rPr>
                <w:noProof/>
                <w:webHidden/>
              </w:rPr>
              <w:instrText xml:space="preserve"> PAGEREF _Toc364869940 \h </w:instrText>
            </w:r>
            <w:r w:rsidR="00373CDD">
              <w:rPr>
                <w:noProof/>
                <w:webHidden/>
              </w:rPr>
            </w:r>
            <w:r w:rsidR="00373CDD">
              <w:rPr>
                <w:noProof/>
                <w:webHidden/>
              </w:rPr>
              <w:fldChar w:fldCharType="separate"/>
            </w:r>
            <w:r w:rsidR="00F530F8">
              <w:rPr>
                <w:noProof/>
                <w:webHidden/>
              </w:rPr>
              <w:t>13</w:t>
            </w:r>
            <w:r w:rsidR="00373CDD">
              <w:rPr>
                <w:noProof/>
                <w:webHidden/>
              </w:rPr>
              <w:fldChar w:fldCharType="end"/>
            </w:r>
          </w:hyperlink>
        </w:p>
        <w:p w14:paraId="717C083B" w14:textId="4552933C" w:rsidR="006C49C8" w:rsidRDefault="008037FA" w:rsidP="00F1651A">
          <w:pPr>
            <w:pStyle w:val="TOC2"/>
            <w:rPr>
              <w:rFonts w:eastAsiaTheme="minorEastAsia" w:cstheme="minorBidi"/>
            </w:rPr>
          </w:pPr>
          <w:hyperlink w:anchor="_Toc364869941" w:history="1">
            <w:r w:rsidR="006C49C8" w:rsidRPr="00A3388F">
              <w:rPr>
                <w:rStyle w:val="Hyperlink"/>
              </w:rPr>
              <w:t>A17. Approval to Not Display the Expiration Date for OMB Approval</w:t>
            </w:r>
            <w:r w:rsidR="006C49C8">
              <w:rPr>
                <w:webHidden/>
              </w:rPr>
              <w:tab/>
            </w:r>
            <w:r w:rsidR="00373CDD">
              <w:rPr>
                <w:webHidden/>
              </w:rPr>
              <w:fldChar w:fldCharType="begin"/>
            </w:r>
            <w:r w:rsidR="006C49C8">
              <w:rPr>
                <w:webHidden/>
              </w:rPr>
              <w:instrText xml:space="preserve"> PAGEREF _Toc364869941 \h </w:instrText>
            </w:r>
            <w:r w:rsidR="00373CDD">
              <w:rPr>
                <w:webHidden/>
              </w:rPr>
            </w:r>
            <w:r w:rsidR="00373CDD">
              <w:rPr>
                <w:webHidden/>
              </w:rPr>
              <w:fldChar w:fldCharType="separate"/>
            </w:r>
            <w:r w:rsidR="00F530F8">
              <w:rPr>
                <w:webHidden/>
              </w:rPr>
              <w:t>13</w:t>
            </w:r>
            <w:r w:rsidR="00373CDD">
              <w:rPr>
                <w:webHidden/>
              </w:rPr>
              <w:fldChar w:fldCharType="end"/>
            </w:r>
          </w:hyperlink>
        </w:p>
        <w:p w14:paraId="3E54B30C" w14:textId="0BE731E7" w:rsidR="006C49C8" w:rsidRDefault="008037FA" w:rsidP="00F1651A">
          <w:pPr>
            <w:pStyle w:val="TOC2"/>
            <w:rPr>
              <w:rFonts w:eastAsiaTheme="minorEastAsia" w:cstheme="minorBidi"/>
            </w:rPr>
          </w:pPr>
          <w:hyperlink w:anchor="_Toc364869942" w:history="1">
            <w:r w:rsidR="006C49C8" w:rsidRPr="00A3388F">
              <w:rPr>
                <w:rStyle w:val="Hyperlink"/>
              </w:rPr>
              <w:t>A18. Exception to the Certification Statement</w:t>
            </w:r>
            <w:r w:rsidR="006C49C8">
              <w:rPr>
                <w:webHidden/>
              </w:rPr>
              <w:tab/>
            </w:r>
            <w:r w:rsidR="00373CDD">
              <w:rPr>
                <w:webHidden/>
              </w:rPr>
              <w:fldChar w:fldCharType="begin"/>
            </w:r>
            <w:r w:rsidR="006C49C8">
              <w:rPr>
                <w:webHidden/>
              </w:rPr>
              <w:instrText xml:space="preserve"> PAGEREF _Toc364869942 \h </w:instrText>
            </w:r>
            <w:r w:rsidR="00373CDD">
              <w:rPr>
                <w:webHidden/>
              </w:rPr>
            </w:r>
            <w:r w:rsidR="00373CDD">
              <w:rPr>
                <w:webHidden/>
              </w:rPr>
              <w:fldChar w:fldCharType="separate"/>
            </w:r>
            <w:r w:rsidR="00F530F8">
              <w:rPr>
                <w:webHidden/>
              </w:rPr>
              <w:t>13</w:t>
            </w:r>
            <w:r w:rsidR="00373CDD">
              <w:rPr>
                <w:webHidden/>
              </w:rPr>
              <w:fldChar w:fldCharType="end"/>
            </w:r>
          </w:hyperlink>
        </w:p>
        <w:p w14:paraId="5265B7B0" w14:textId="3F721ADF" w:rsidR="006C49C8" w:rsidRDefault="008037FA" w:rsidP="00F1651A">
          <w:pPr>
            <w:pStyle w:val="TOC2"/>
            <w:rPr>
              <w:rFonts w:eastAsiaTheme="minorEastAsia" w:cstheme="minorBidi"/>
            </w:rPr>
          </w:pPr>
          <w:hyperlink w:anchor="_Toc364869943" w:history="1">
            <w:r w:rsidR="006C49C8" w:rsidRPr="00A3388F">
              <w:rPr>
                <w:rStyle w:val="Hyperlink"/>
              </w:rPr>
              <w:t>References</w:t>
            </w:r>
            <w:r w:rsidR="006C49C8">
              <w:rPr>
                <w:webHidden/>
              </w:rPr>
              <w:tab/>
            </w:r>
            <w:r w:rsidR="00373CDD">
              <w:rPr>
                <w:webHidden/>
              </w:rPr>
              <w:fldChar w:fldCharType="begin"/>
            </w:r>
            <w:r w:rsidR="006C49C8">
              <w:rPr>
                <w:webHidden/>
              </w:rPr>
              <w:instrText xml:space="preserve"> PAGEREF _Toc364869943 \h </w:instrText>
            </w:r>
            <w:r w:rsidR="00373CDD">
              <w:rPr>
                <w:webHidden/>
              </w:rPr>
            </w:r>
            <w:r w:rsidR="00373CDD">
              <w:rPr>
                <w:webHidden/>
              </w:rPr>
              <w:fldChar w:fldCharType="separate"/>
            </w:r>
            <w:r w:rsidR="00F530F8">
              <w:rPr>
                <w:webHidden/>
              </w:rPr>
              <w:t>14</w:t>
            </w:r>
            <w:r w:rsidR="00373CDD">
              <w:rPr>
                <w:webHidden/>
              </w:rPr>
              <w:fldChar w:fldCharType="end"/>
            </w:r>
          </w:hyperlink>
        </w:p>
        <w:p w14:paraId="2344BD18" w14:textId="177DC072" w:rsidR="000355C8" w:rsidRDefault="00373CDD">
          <w:pPr>
            <w:rPr>
              <w:noProof/>
            </w:rPr>
          </w:pPr>
          <w:r w:rsidRPr="00CD3014">
            <w:rPr>
              <w:rFonts w:cstheme="minorHAnsi"/>
              <w:b/>
              <w:bCs/>
              <w:noProof/>
            </w:rPr>
            <w:fldChar w:fldCharType="end"/>
          </w:r>
        </w:p>
      </w:sdtContent>
    </w:sdt>
    <w:p w14:paraId="1F17199D" w14:textId="77777777" w:rsidR="001A1F57" w:rsidRPr="000355C8" w:rsidRDefault="000355C8">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Attachment A: Public Law 107-279-Nov. 5, 2002 Education Sciences Reform</w:t>
      </w:r>
    </w:p>
    <w:p w14:paraId="543E51FC" w14:textId="77777777" w:rsidR="000355C8" w:rsidRPr="000355C8" w:rsidRDefault="000355C8">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lastRenderedPageBreak/>
        <w:t>Attachment B: Printed Copy of Online Survey</w:t>
      </w:r>
    </w:p>
    <w:p w14:paraId="75DC01FE" w14:textId="77777777" w:rsidR="000355C8" w:rsidRPr="000355C8" w:rsidRDefault="000355C8">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Attachment C: Affidavit of Nondisclosure</w:t>
      </w:r>
    </w:p>
    <w:p w14:paraId="14455820" w14:textId="6EB617F5" w:rsidR="00F530F8" w:rsidRDefault="000355C8">
      <w:pPr>
        <w:rPr>
          <w:rStyle w:val="Heading1Char"/>
          <w:rFonts w:asciiTheme="minorHAnsi" w:eastAsiaTheme="minorHAnsi" w:hAnsiTheme="minorHAnsi" w:cstheme="minorBidi"/>
          <w:b w:val="0"/>
          <w:bCs w:val="0"/>
          <w:color w:val="auto"/>
          <w:sz w:val="22"/>
          <w:szCs w:val="22"/>
        </w:rPr>
      </w:pPr>
      <w:r w:rsidRPr="000355C8">
        <w:rPr>
          <w:rStyle w:val="Heading1Char"/>
          <w:rFonts w:asciiTheme="minorHAnsi" w:eastAsiaTheme="minorHAnsi" w:hAnsiTheme="minorHAnsi" w:cstheme="minorBidi"/>
          <w:b w:val="0"/>
          <w:bCs w:val="0"/>
          <w:color w:val="auto"/>
          <w:sz w:val="22"/>
          <w:szCs w:val="22"/>
        </w:rPr>
        <w:t>Attachment D: Text for Invitations and Reminders</w:t>
      </w:r>
    </w:p>
    <w:p w14:paraId="5AC20FCF" w14:textId="77777777" w:rsidR="00F530F8" w:rsidRDefault="00F530F8">
      <w:pPr>
        <w:rPr>
          <w:rStyle w:val="Heading1Char"/>
          <w:rFonts w:asciiTheme="minorHAnsi" w:eastAsiaTheme="minorHAnsi" w:hAnsiTheme="minorHAnsi" w:cstheme="minorBidi"/>
          <w:b w:val="0"/>
          <w:bCs w:val="0"/>
          <w:color w:val="auto"/>
          <w:sz w:val="22"/>
          <w:szCs w:val="22"/>
        </w:rPr>
      </w:pPr>
      <w:r>
        <w:rPr>
          <w:rStyle w:val="Heading1Char"/>
          <w:rFonts w:asciiTheme="minorHAnsi" w:eastAsiaTheme="minorHAnsi" w:hAnsiTheme="minorHAnsi" w:cstheme="minorBidi"/>
          <w:b w:val="0"/>
          <w:bCs w:val="0"/>
          <w:color w:val="auto"/>
          <w:sz w:val="22"/>
          <w:szCs w:val="22"/>
        </w:rPr>
        <w:br w:type="page"/>
      </w:r>
    </w:p>
    <w:p w14:paraId="43527800" w14:textId="77777777" w:rsidR="002A716E" w:rsidRDefault="002A716E" w:rsidP="009B6302">
      <w:pPr>
        <w:jc w:val="center"/>
        <w:rPr>
          <w:b/>
          <w:bCs/>
        </w:rPr>
      </w:pPr>
      <w:bookmarkStart w:id="1" w:name="_Toc364869916"/>
      <w:r w:rsidRPr="006D792F">
        <w:rPr>
          <w:rStyle w:val="Heading1Char"/>
        </w:rPr>
        <w:t>Section A. Justification</w:t>
      </w:r>
      <w:bookmarkEnd w:id="1"/>
      <w:r w:rsidRPr="006D792F">
        <w:rPr>
          <w:rStyle w:val="Heading1Char"/>
        </w:rPr>
        <w:t xml:space="preserve"> </w:t>
      </w:r>
    </w:p>
    <w:p w14:paraId="4DD27091" w14:textId="4453C8D9" w:rsidR="001B5518" w:rsidRPr="00F30A09" w:rsidRDefault="001B5518" w:rsidP="002644F9">
      <w:pPr>
        <w:rPr>
          <w:color w:val="FF0000"/>
        </w:rPr>
      </w:pPr>
      <w:r>
        <w:t xml:space="preserve">The U.S. Department of Education (ED) requests OMB clearance for data collection </w:t>
      </w:r>
      <w:r w:rsidR="002A3B39">
        <w:t>conducted by REL Central at Marzano Research Laboratory</w:t>
      </w:r>
      <w:r>
        <w:t xml:space="preserve">. ED, in consultation with </w:t>
      </w:r>
      <w:r w:rsidR="000355C8">
        <w:t xml:space="preserve">REL Central </w:t>
      </w:r>
      <w:r>
        <w:t xml:space="preserve">under contract </w:t>
      </w:r>
      <w:r w:rsidRPr="00477BB1">
        <w:t>ED-IES-</w:t>
      </w:r>
      <w:r w:rsidR="00AB45C6" w:rsidRPr="00477BB1">
        <w:t>1</w:t>
      </w:r>
      <w:r w:rsidR="00AB45C6">
        <w:t>2</w:t>
      </w:r>
      <w:r w:rsidRPr="00477BB1">
        <w:t>-</w:t>
      </w:r>
      <w:r w:rsidR="00AB45C6">
        <w:t>C</w:t>
      </w:r>
      <w:r w:rsidRPr="00477BB1">
        <w:t>-</w:t>
      </w:r>
      <w:r w:rsidR="00AB45C6" w:rsidRPr="00477BB1">
        <w:t>00</w:t>
      </w:r>
      <w:r w:rsidR="00AB45C6">
        <w:t>07</w:t>
      </w:r>
      <w:r>
        <w:t xml:space="preserve">, has planned a study of </w:t>
      </w:r>
      <w:r w:rsidR="00F30A09">
        <w:t>clinical practice in traditional t</w:t>
      </w:r>
      <w:r w:rsidR="00F30A09" w:rsidRPr="00F30A09">
        <w:t xml:space="preserve">eacher </w:t>
      </w:r>
      <w:r w:rsidR="00F30A09">
        <w:t>preparation p</w:t>
      </w:r>
      <w:r w:rsidR="00F30A09" w:rsidRPr="00F30A09">
        <w:t>rograms in Missouri</w:t>
      </w:r>
      <w:r>
        <w:t xml:space="preserve">. </w:t>
      </w:r>
      <w:r w:rsidRPr="00477BB1">
        <w:t xml:space="preserve">OMB approval is being requested for </w:t>
      </w:r>
      <w:r w:rsidR="00477BB1" w:rsidRPr="00477BB1">
        <w:t>administration of a survey to practicing first-year teachers.</w:t>
      </w:r>
      <w:r w:rsidR="00AB45C6">
        <w:rPr>
          <w:color w:val="FF0000"/>
        </w:rPr>
        <w:t xml:space="preserve"> </w:t>
      </w:r>
      <w:r w:rsidR="000355C8">
        <w:rPr>
          <w:color w:val="FF0000"/>
        </w:rPr>
        <w:t xml:space="preserve"> </w:t>
      </w:r>
    </w:p>
    <w:p w14:paraId="1D3538FA" w14:textId="77777777" w:rsidR="007D2125" w:rsidRDefault="002A716E" w:rsidP="002A716E">
      <w:pPr>
        <w:rPr>
          <w:b/>
          <w:bCs/>
        </w:rPr>
      </w:pPr>
      <w:bookmarkStart w:id="2" w:name="_Toc364869917"/>
      <w:r w:rsidRPr="007D2125">
        <w:rPr>
          <w:rStyle w:val="Heading2Char"/>
          <w:szCs w:val="22"/>
        </w:rPr>
        <w:t xml:space="preserve">A1. </w:t>
      </w:r>
      <w:r w:rsidR="00967A34">
        <w:rPr>
          <w:rStyle w:val="Heading2Char"/>
          <w:szCs w:val="22"/>
        </w:rPr>
        <w:t>C</w:t>
      </w:r>
      <w:r w:rsidRPr="007D2125">
        <w:rPr>
          <w:rStyle w:val="Heading2Char"/>
          <w:szCs w:val="22"/>
        </w:rPr>
        <w:t xml:space="preserve">ircumstances </w:t>
      </w:r>
      <w:r w:rsidR="00967A34">
        <w:rPr>
          <w:rStyle w:val="Heading2Char"/>
          <w:szCs w:val="22"/>
        </w:rPr>
        <w:t>Necessitating Collection of I</w:t>
      </w:r>
      <w:r w:rsidRPr="007D2125">
        <w:rPr>
          <w:rStyle w:val="Heading2Char"/>
          <w:szCs w:val="22"/>
        </w:rPr>
        <w:t>nformation</w:t>
      </w:r>
      <w:bookmarkEnd w:id="2"/>
      <w:r w:rsidRPr="002A716E">
        <w:rPr>
          <w:b/>
          <w:bCs/>
        </w:rPr>
        <w:t xml:space="preserve"> </w:t>
      </w:r>
    </w:p>
    <w:p w14:paraId="1DD7A18B" w14:textId="77777777" w:rsidR="007F2E1C" w:rsidRDefault="007F2E1C" w:rsidP="007F2E1C">
      <w:r w:rsidRPr="007F2E1C">
        <w:t>This data collection is authorized by the Educational Sciences Reform Act (ESRA) of 2002</w:t>
      </w:r>
      <w:r w:rsidR="00EE7064">
        <w:t xml:space="preserve"> (see </w:t>
      </w:r>
      <w:r w:rsidR="006E5216">
        <w:t xml:space="preserve">Attachment </w:t>
      </w:r>
      <w:r w:rsidR="00EE7064">
        <w:t>A)</w:t>
      </w:r>
      <w:r w:rsidRPr="007F2E1C">
        <w:t>. Part D,</w:t>
      </w:r>
      <w:r>
        <w:t xml:space="preserve"> Section 174(f)(2</w:t>
      </w:r>
      <w:r w:rsidRPr="007F2E1C">
        <w:t>) of ESRA states that as part of their central mission and primary function, each regional educational laboratory</w:t>
      </w:r>
      <w:r>
        <w:t xml:space="preserve"> “shall support applied research by </w:t>
      </w:r>
      <w:r w:rsidR="00AB45C6">
        <w:t>. . .</w:t>
      </w:r>
      <w:r>
        <w:t xml:space="preserve"> </w:t>
      </w:r>
      <w:r w:rsidRPr="007F2E1C">
        <w:t>developing and widely d</w:t>
      </w:r>
      <w:r>
        <w:t xml:space="preserve">isseminating, including through </w:t>
      </w:r>
      <w:r w:rsidRPr="007F2E1C">
        <w:t>Internet-based means, scientifically valid research, information,</w:t>
      </w:r>
      <w:r>
        <w:t xml:space="preserve"> </w:t>
      </w:r>
      <w:r w:rsidRPr="007F2E1C">
        <w:t>reports, and publications that are usable for improving academic</w:t>
      </w:r>
      <w:r>
        <w:t xml:space="preserve"> </w:t>
      </w:r>
      <w:r w:rsidRPr="007F2E1C">
        <w:t>achievement, closing achievement gaps, and encouraging</w:t>
      </w:r>
      <w:r>
        <w:t xml:space="preserve"> </w:t>
      </w:r>
      <w:r w:rsidRPr="007F2E1C">
        <w:t>and sustaining school improvement, to</w:t>
      </w:r>
      <w:r>
        <w:t xml:space="preserve"> </w:t>
      </w:r>
      <w:r w:rsidRPr="007F2E1C">
        <w:t>schools, districts, institutions of higher education,</w:t>
      </w:r>
      <w:r>
        <w:t xml:space="preserve"> </w:t>
      </w:r>
      <w:r w:rsidRPr="007F2E1C">
        <w:t>educators (including early childhood educators and librarians),</w:t>
      </w:r>
      <w:r>
        <w:t xml:space="preserve"> </w:t>
      </w:r>
      <w:r w:rsidRPr="007F2E1C">
        <w:t>parents, policymakers, and other constituencies, as</w:t>
      </w:r>
      <w:r>
        <w:t xml:space="preserve"> </w:t>
      </w:r>
      <w:r w:rsidRPr="007F2E1C">
        <w:t>appropriate, within the region in which the regional educational</w:t>
      </w:r>
      <w:r>
        <w:t xml:space="preserve"> laboratory is located.”</w:t>
      </w:r>
    </w:p>
    <w:p w14:paraId="745D1959" w14:textId="77777777" w:rsidR="008C1B47" w:rsidRPr="00967A34" w:rsidRDefault="00967A34" w:rsidP="00967A34">
      <w:pPr>
        <w:pStyle w:val="Heading3"/>
      </w:pPr>
      <w:bookmarkStart w:id="3" w:name="_Toc364869918"/>
      <w:r w:rsidRPr="00967A34">
        <w:t>Statement of N</w:t>
      </w:r>
      <w:r w:rsidR="002A716E" w:rsidRPr="00967A34">
        <w:t>eed</w:t>
      </w:r>
      <w:bookmarkEnd w:id="3"/>
      <w:r w:rsidR="002A716E" w:rsidRPr="00967A34">
        <w:t xml:space="preserve"> </w:t>
      </w:r>
    </w:p>
    <w:p w14:paraId="32A272F4" w14:textId="77777777" w:rsidR="00F30A09" w:rsidRPr="00F30A09" w:rsidRDefault="00F30A09" w:rsidP="00765935">
      <w:pPr>
        <w:pStyle w:val="BodyDoubleSpacedMainText"/>
        <w:spacing w:after="200" w:line="276" w:lineRule="auto"/>
        <w:ind w:firstLine="0"/>
        <w:rPr>
          <w:rFonts w:asciiTheme="minorHAnsi" w:hAnsiTheme="minorHAnsi" w:cstheme="minorHAnsi"/>
          <w:sz w:val="22"/>
          <w:szCs w:val="22"/>
        </w:rPr>
      </w:pPr>
      <w:r w:rsidRPr="00F30A09">
        <w:rPr>
          <w:rFonts w:asciiTheme="minorHAnsi" w:hAnsiTheme="minorHAnsi" w:cstheme="minorHAnsi"/>
          <w:sz w:val="22"/>
          <w:szCs w:val="22"/>
        </w:rPr>
        <w:t>Educator preparation</w:t>
      </w:r>
      <w:r w:rsidRPr="00F30A09">
        <w:rPr>
          <w:rStyle w:val="FootnoteReference"/>
          <w:rFonts w:asciiTheme="minorHAnsi" w:hAnsiTheme="minorHAnsi" w:cstheme="minorHAnsi"/>
          <w:sz w:val="22"/>
          <w:szCs w:val="22"/>
        </w:rPr>
        <w:footnoteReference w:id="1"/>
      </w:r>
      <w:r w:rsidRPr="00F30A09">
        <w:rPr>
          <w:rFonts w:asciiTheme="minorHAnsi" w:hAnsiTheme="minorHAnsi" w:cstheme="minorHAnsi"/>
          <w:sz w:val="22"/>
          <w:szCs w:val="22"/>
        </w:rPr>
        <w:t xml:space="preserve"> has been the focus of an increasing number of policymaker and practitioner conversations at the national and state levels in recent years. Recent emphasis on teacher effectiveness and accountability has led the education policy, research, and practitioner communities to take a closer look at teacher preparation and has raised concerns about program quality from researchers, policy analysts, teacher accreditation organizations, and teachers themselves (Alderman, Carey, Dillon, Miller, &amp; Silva, 2011; </w:t>
      </w:r>
      <w:proofErr w:type="spellStart"/>
      <w:r w:rsidRPr="00F30A09">
        <w:rPr>
          <w:rFonts w:asciiTheme="minorHAnsi" w:hAnsiTheme="minorHAnsi" w:cstheme="minorHAnsi"/>
          <w:sz w:val="22"/>
          <w:szCs w:val="22"/>
        </w:rPr>
        <w:t>Chesley</w:t>
      </w:r>
      <w:proofErr w:type="spellEnd"/>
      <w:r w:rsidRPr="00F30A09">
        <w:rPr>
          <w:rFonts w:asciiTheme="minorHAnsi" w:hAnsiTheme="minorHAnsi" w:cstheme="minorHAnsi"/>
          <w:sz w:val="22"/>
          <w:szCs w:val="22"/>
        </w:rPr>
        <w:t xml:space="preserve"> &amp; Jordan, 2012; Crowe, 2010; Ingersoll, Merrill, &amp; May, 2012; National Council for Accreditation of Teacher Education, 2010). In 2011, the U.S. Department of Education released a </w:t>
      </w:r>
      <w:r w:rsidRPr="00F30A09">
        <w:rPr>
          <w:rFonts w:asciiTheme="minorHAnsi" w:hAnsiTheme="minorHAnsi" w:cstheme="minorHAnsi"/>
          <w:i/>
          <w:sz w:val="22"/>
          <w:szCs w:val="22"/>
        </w:rPr>
        <w:t>Plan for Teacher Education Reform and Improvement</w:t>
      </w:r>
      <w:r w:rsidRPr="00F30A09">
        <w:rPr>
          <w:rFonts w:asciiTheme="minorHAnsi" w:hAnsiTheme="minorHAnsi" w:cstheme="minorHAnsi"/>
          <w:sz w:val="22"/>
          <w:szCs w:val="22"/>
        </w:rPr>
        <w:t xml:space="preserve"> (U.S. Department of Education, 2011) that emphasizes better reporting of program outcomes for accountability purposes</w:t>
      </w:r>
      <w:r w:rsidR="00AB45C6">
        <w:rPr>
          <w:rFonts w:asciiTheme="minorHAnsi" w:hAnsiTheme="minorHAnsi" w:cstheme="minorHAnsi"/>
          <w:sz w:val="22"/>
          <w:szCs w:val="22"/>
        </w:rPr>
        <w:t>;</w:t>
      </w:r>
      <w:r w:rsidR="00AB45C6" w:rsidRPr="00F30A09">
        <w:rPr>
          <w:rFonts w:asciiTheme="minorHAnsi" w:hAnsiTheme="minorHAnsi" w:cstheme="minorHAnsi"/>
          <w:sz w:val="22"/>
          <w:szCs w:val="22"/>
        </w:rPr>
        <w:t xml:space="preserve"> </w:t>
      </w:r>
      <w:r w:rsidRPr="00F30A09">
        <w:rPr>
          <w:rFonts w:asciiTheme="minorHAnsi" w:hAnsiTheme="minorHAnsi" w:cstheme="minorHAnsi"/>
          <w:sz w:val="22"/>
          <w:szCs w:val="22"/>
        </w:rPr>
        <w:t>specifically</w:t>
      </w:r>
      <w:r w:rsidR="00AB45C6">
        <w:rPr>
          <w:rFonts w:asciiTheme="minorHAnsi" w:hAnsiTheme="minorHAnsi" w:cstheme="minorHAnsi"/>
          <w:sz w:val="22"/>
          <w:szCs w:val="22"/>
        </w:rPr>
        <w:t>,</w:t>
      </w:r>
      <w:r w:rsidRPr="00F30A09">
        <w:rPr>
          <w:rFonts w:asciiTheme="minorHAnsi" w:hAnsiTheme="minorHAnsi" w:cstheme="minorHAnsi"/>
          <w:sz w:val="22"/>
          <w:szCs w:val="22"/>
        </w:rPr>
        <w:t xml:space="preserve"> information about student achievement growth, teacher job placement and retention rates, and surveys of program graduates and their principals. </w:t>
      </w:r>
    </w:p>
    <w:p w14:paraId="1D20CBCA" w14:textId="77777777" w:rsidR="00F30A09" w:rsidRPr="00F30A09" w:rsidRDefault="00F30A09" w:rsidP="00765935">
      <w:pPr>
        <w:pStyle w:val="BodyDoubleSpacedMainText"/>
        <w:spacing w:after="200" w:line="276" w:lineRule="auto"/>
        <w:ind w:firstLine="0"/>
        <w:rPr>
          <w:rFonts w:asciiTheme="minorHAnsi" w:hAnsiTheme="minorHAnsi" w:cstheme="minorHAnsi"/>
          <w:sz w:val="22"/>
          <w:szCs w:val="22"/>
        </w:rPr>
      </w:pPr>
      <w:r w:rsidRPr="00F30A09">
        <w:rPr>
          <w:rFonts w:asciiTheme="minorHAnsi" w:hAnsiTheme="minorHAnsi" w:cstheme="minorHAnsi"/>
          <w:sz w:val="22"/>
          <w:szCs w:val="22"/>
        </w:rPr>
        <w:t>In addition to the focus on increased accountability, policymakers and researchers have expressed increased interest in research about teacher preparation program</w:t>
      </w:r>
      <w:r w:rsidRPr="00F30A09">
        <w:rPr>
          <w:rStyle w:val="FootnoteReference"/>
          <w:rFonts w:cstheme="minorHAnsi"/>
          <w:sz w:val="22"/>
          <w:szCs w:val="22"/>
        </w:rPr>
        <w:footnoteReference w:id="2"/>
      </w:r>
      <w:r w:rsidRPr="00F30A09">
        <w:rPr>
          <w:rFonts w:asciiTheme="minorHAnsi" w:hAnsiTheme="minorHAnsi" w:cstheme="minorHAnsi"/>
          <w:sz w:val="22"/>
          <w:szCs w:val="22"/>
        </w:rPr>
        <w:t xml:space="preserve"> (TPP) design and implementation. In response to a congressional mandate, the National Research Council (NRC) conducted a study for the Institute of Education Sciences (IES) to synthesize evidence on several key questions related to teacher preparation. Among its findings, the report (NRC, 2010) identified the need for research that improves understanding of the relationships between characteristics of teacher preparation and student learning. That type of research, however, depends on good information about the implementation of TPPs, which is scarce. With respect to the implementation of TPPs, the NRC (2010) report concluded: “There is very little systematic research regarding the specific ways teachers of reading, mathematics, and science are currently being prepared . . .” and “the limited information we found does not support conclusions about the current nature and content of teacher preparation programs” (p.4). Indeed, researchers have found substantial limitations related to the availability and quality of data related to questions about teacher preparation, including information about characteristics of students entering programs, their experiences in TPPs, teacher and student outcomes, and teaching context (Crowe, 2007; Voorhees, Barnes, &amp; Rothman, 2003). </w:t>
      </w:r>
    </w:p>
    <w:p w14:paraId="0E36D35C" w14:textId="77777777" w:rsidR="00F30A09" w:rsidRPr="00F30A09" w:rsidRDefault="00F30A09" w:rsidP="00765935">
      <w:pPr>
        <w:pStyle w:val="BodyDoubleSpacedMainText"/>
        <w:spacing w:after="200" w:line="276" w:lineRule="auto"/>
        <w:ind w:firstLine="0"/>
        <w:rPr>
          <w:rFonts w:cstheme="minorHAnsi"/>
          <w:sz w:val="22"/>
          <w:szCs w:val="22"/>
        </w:rPr>
      </w:pPr>
      <w:proofErr w:type="gramStart"/>
      <w:r w:rsidRPr="00F30A09">
        <w:rPr>
          <w:rFonts w:asciiTheme="minorHAnsi" w:hAnsiTheme="minorHAnsi" w:cstheme="minorHAnsi"/>
          <w:b/>
          <w:i/>
          <w:sz w:val="22"/>
          <w:szCs w:val="22"/>
        </w:rPr>
        <w:t>Regional Priorities and Need</w:t>
      </w:r>
      <w:r w:rsidRPr="00F30A09">
        <w:rPr>
          <w:rFonts w:asciiTheme="minorHAnsi" w:hAnsiTheme="minorHAnsi" w:cstheme="minorHAnsi"/>
          <w:sz w:val="22"/>
          <w:szCs w:val="22"/>
        </w:rPr>
        <w:t>.</w:t>
      </w:r>
      <w:proofErr w:type="gramEnd"/>
      <w:r w:rsidRPr="00F30A09">
        <w:rPr>
          <w:rFonts w:asciiTheme="minorHAnsi" w:hAnsiTheme="minorHAnsi" w:cstheme="minorHAnsi"/>
          <w:sz w:val="22"/>
          <w:szCs w:val="22"/>
        </w:rPr>
        <w:t xml:space="preserve"> The seven states in the Central Region employ nearly 200,000 teachers and nearly 14,000 teacher candidates</w:t>
      </w:r>
      <w:r w:rsidRPr="00F30A09">
        <w:rPr>
          <w:rStyle w:val="FootnoteReference"/>
          <w:rFonts w:asciiTheme="minorHAnsi" w:hAnsiTheme="minorHAnsi" w:cstheme="minorHAnsi"/>
          <w:sz w:val="22"/>
          <w:szCs w:val="22"/>
        </w:rPr>
        <w:footnoteReference w:id="3"/>
      </w:r>
      <w:r w:rsidRPr="00F30A09">
        <w:rPr>
          <w:rFonts w:asciiTheme="minorHAnsi" w:hAnsiTheme="minorHAnsi" w:cstheme="minorHAnsi"/>
          <w:sz w:val="22"/>
          <w:szCs w:val="22"/>
        </w:rPr>
        <w:t xml:space="preserve"> complete an approved TPP </w:t>
      </w:r>
      <w:r w:rsidR="00F96A68">
        <w:rPr>
          <w:rFonts w:asciiTheme="minorHAnsi" w:hAnsiTheme="minorHAnsi" w:cstheme="minorHAnsi"/>
          <w:sz w:val="22"/>
          <w:szCs w:val="22"/>
        </w:rPr>
        <w:t xml:space="preserve">at roughly 200 institutions of higher education </w:t>
      </w:r>
      <w:r w:rsidRPr="00F30A09">
        <w:rPr>
          <w:rFonts w:asciiTheme="minorHAnsi" w:hAnsiTheme="minorHAnsi" w:cstheme="minorHAnsi"/>
          <w:sz w:val="22"/>
          <w:szCs w:val="22"/>
        </w:rPr>
        <w:t xml:space="preserve">each year. Constituents in all seven states have identified assessment of teacher preparation as a priority and are working to redefine systems for program assessment. Regional needs related to TPP evaluation and research were initially identified through a review of Statewide Longitudinal Data Systems (SLDS) grant program applications and conversations with state grant administrators in 2011, and were affirmed through conversations in 2012 with constituents throughout the Central Region who are participating in REL Central’s </w:t>
      </w:r>
      <w:r w:rsidR="00FC27AC">
        <w:rPr>
          <w:rFonts w:cstheme="minorHAnsi"/>
          <w:sz w:val="22"/>
          <w:szCs w:val="22"/>
        </w:rPr>
        <w:t xml:space="preserve">Educator Effectiveness </w:t>
      </w:r>
      <w:r w:rsidRPr="00F30A09">
        <w:rPr>
          <w:rFonts w:cstheme="minorHAnsi"/>
          <w:sz w:val="22"/>
          <w:szCs w:val="22"/>
        </w:rPr>
        <w:t>Research Alliance</w:t>
      </w:r>
      <w:r w:rsidR="00FC27AC">
        <w:rPr>
          <w:rFonts w:cstheme="minorHAnsi"/>
          <w:sz w:val="22"/>
          <w:szCs w:val="22"/>
        </w:rPr>
        <w:t xml:space="preserve"> (Teacher Preparation Workgroup)</w:t>
      </w:r>
      <w:r w:rsidRPr="00F30A09">
        <w:rPr>
          <w:rFonts w:cstheme="minorHAnsi"/>
          <w:sz w:val="22"/>
          <w:szCs w:val="22"/>
        </w:rPr>
        <w:t xml:space="preserve">. Participants in the </w:t>
      </w:r>
      <w:r w:rsidR="00F90646">
        <w:rPr>
          <w:rFonts w:cstheme="minorHAnsi"/>
          <w:sz w:val="22"/>
          <w:szCs w:val="22"/>
        </w:rPr>
        <w:t>alliance</w:t>
      </w:r>
      <w:r w:rsidRPr="00F30A09">
        <w:rPr>
          <w:rFonts w:cstheme="minorHAnsi"/>
          <w:sz w:val="22"/>
          <w:szCs w:val="22"/>
        </w:rPr>
        <w:t xml:space="preserve"> represent all states in the region and represent a range of constituents, including state education agency (SEA) administrators (for example, SLDS grant managers and those who oversee educator preparation and educator quality), institution of higher education (IHE) administrators (for example, education school deans), and IHE faculty (for example, researchers who study this and related topics). </w:t>
      </w:r>
    </w:p>
    <w:p w14:paraId="68573521" w14:textId="77777777" w:rsidR="00F30A09" w:rsidRPr="00F30A09" w:rsidRDefault="00F30A09" w:rsidP="00765935">
      <w:pPr>
        <w:pStyle w:val="BodyDoubleSpacedMainText"/>
        <w:spacing w:after="200" w:line="276" w:lineRule="auto"/>
        <w:ind w:firstLine="0"/>
        <w:rPr>
          <w:rFonts w:asciiTheme="minorHAnsi" w:hAnsiTheme="minorHAnsi" w:cstheme="minorHAnsi"/>
          <w:sz w:val="22"/>
          <w:szCs w:val="22"/>
        </w:rPr>
      </w:pPr>
      <w:r w:rsidRPr="00F30A09">
        <w:rPr>
          <w:rFonts w:asciiTheme="minorHAnsi" w:hAnsiTheme="minorHAnsi" w:cstheme="minorHAnsi"/>
          <w:sz w:val="22"/>
          <w:szCs w:val="22"/>
        </w:rPr>
        <w:t>In particular, SEA staff and TPP administrators have interest in collecting and analyzing data that provide information about the relationship between TPP implementation and outcomes for teachers and their students. Colorado, for example, is seeking to identify the forms of teacher preparation and certification that correlate most closely with students’ academic growth in the classroom, to evaluate the effectiveness of TPPs, and to identify promising models and practices in educator preparation (Colorado Department of Education, 2009). As part of the development of a system to assess the effectiveness of TPPs, Missouri is focusing on analysis that relates value-added estimates of student achievement to teacher participation in preparation programs (Missouri Department of Elementary and Secondary Education, 2008) and is developing standards (and associated indicators and measures) for educator preparation programs that align with the Missouri Standards for Preparation of Educators (</w:t>
      </w:r>
      <w:proofErr w:type="spellStart"/>
      <w:r w:rsidRPr="00F30A09">
        <w:rPr>
          <w:rFonts w:asciiTheme="minorHAnsi" w:hAnsiTheme="minorHAnsi" w:cstheme="minorHAnsi"/>
          <w:sz w:val="22"/>
          <w:szCs w:val="22"/>
        </w:rPr>
        <w:t>MoSPE</w:t>
      </w:r>
      <w:proofErr w:type="spellEnd"/>
      <w:r w:rsidRPr="00F30A09">
        <w:rPr>
          <w:rFonts w:asciiTheme="minorHAnsi" w:hAnsiTheme="minorHAnsi" w:cstheme="minorHAnsi"/>
          <w:sz w:val="22"/>
          <w:szCs w:val="22"/>
        </w:rPr>
        <w:t xml:space="preserve">). Also, in Missouri, TPP administrators expressed interest in conducting research that examines the impact of their program redesign efforts (C. </w:t>
      </w:r>
      <w:proofErr w:type="spellStart"/>
      <w:r w:rsidRPr="00F30A09">
        <w:rPr>
          <w:rFonts w:asciiTheme="minorHAnsi" w:hAnsiTheme="minorHAnsi" w:cstheme="minorHAnsi"/>
          <w:sz w:val="22"/>
          <w:szCs w:val="22"/>
        </w:rPr>
        <w:t>Basile</w:t>
      </w:r>
      <w:proofErr w:type="spellEnd"/>
      <w:r w:rsidRPr="00F30A09">
        <w:rPr>
          <w:rFonts w:asciiTheme="minorHAnsi" w:hAnsiTheme="minorHAnsi" w:cstheme="minorHAnsi"/>
          <w:sz w:val="22"/>
          <w:szCs w:val="22"/>
        </w:rPr>
        <w:t xml:space="preserve">, personal communication, May 25, 2012). In Wyoming, the legislature recently commissioned a study that will use the state’s SLDS to examine the teacher labor market, including the relationship between aspects of teacher preparation and teacher effectiveness (L. Ballard, personal communication, June 25, 2011). South Dakota and Kansas are also working to align new educator effectiveness standards with expectations for newly trained teachers (R. </w:t>
      </w:r>
      <w:proofErr w:type="spellStart"/>
      <w:r w:rsidRPr="00F30A09">
        <w:rPr>
          <w:rFonts w:asciiTheme="minorHAnsi" w:hAnsiTheme="minorHAnsi" w:cstheme="minorHAnsi"/>
          <w:sz w:val="22"/>
          <w:szCs w:val="22"/>
        </w:rPr>
        <w:t>Melmer</w:t>
      </w:r>
      <w:proofErr w:type="spellEnd"/>
      <w:r w:rsidRPr="00F30A09">
        <w:rPr>
          <w:rFonts w:asciiTheme="minorHAnsi" w:hAnsiTheme="minorHAnsi" w:cstheme="minorHAnsi"/>
          <w:sz w:val="22"/>
          <w:szCs w:val="22"/>
        </w:rPr>
        <w:t>, personal communication, May 9, 2012; P. Coleman, personal communication, July 16, 2012).</w:t>
      </w:r>
    </w:p>
    <w:p w14:paraId="749E227B" w14:textId="77777777" w:rsidR="00F30A09" w:rsidRPr="00F30A09" w:rsidRDefault="00F30A09" w:rsidP="00765935">
      <w:pPr>
        <w:pStyle w:val="BodyDoubleSpacedMainText"/>
        <w:spacing w:after="200" w:line="276" w:lineRule="auto"/>
        <w:ind w:firstLine="0"/>
        <w:rPr>
          <w:rFonts w:cstheme="minorHAnsi"/>
          <w:sz w:val="22"/>
          <w:szCs w:val="22"/>
        </w:rPr>
      </w:pPr>
      <w:r w:rsidRPr="00F30A09">
        <w:rPr>
          <w:rFonts w:cstheme="minorHAnsi"/>
          <w:sz w:val="22"/>
          <w:szCs w:val="22"/>
        </w:rPr>
        <w:t xml:space="preserve">In conversations with REL Central staff, </w:t>
      </w:r>
      <w:r w:rsidR="00F90646">
        <w:rPr>
          <w:rFonts w:cstheme="minorHAnsi"/>
          <w:sz w:val="22"/>
          <w:szCs w:val="22"/>
        </w:rPr>
        <w:t xml:space="preserve">alliance </w:t>
      </w:r>
      <w:r w:rsidRPr="00F30A09">
        <w:rPr>
          <w:rFonts w:cstheme="minorHAnsi"/>
          <w:sz w:val="22"/>
          <w:szCs w:val="22"/>
        </w:rPr>
        <w:t>members expressed an interest in conducting research about TPPs that relates elements of program design and implementation to outcomes. Because the ability to relate elements of TPP design and implementation to outcomes requires good data about design and implementation, alliance members also expressed the need for help in better understanding the variation in TPP implementation in the Central states, including how to measure alternative approaches and how to use these data to examine the relative effectiveness of different program elements. Among various elements of TPP design and implementation, clinical practice</w:t>
      </w:r>
      <w:r w:rsidRPr="00F30A09">
        <w:rPr>
          <w:rStyle w:val="FootnoteReference"/>
          <w:rFonts w:cstheme="minorHAnsi"/>
          <w:sz w:val="22"/>
          <w:szCs w:val="22"/>
        </w:rPr>
        <w:footnoteReference w:id="4"/>
      </w:r>
      <w:r w:rsidRPr="00F30A09">
        <w:rPr>
          <w:rFonts w:cstheme="minorHAnsi"/>
          <w:sz w:val="22"/>
          <w:szCs w:val="22"/>
        </w:rPr>
        <w:t xml:space="preserve"> emerged as a priority area for research among </w:t>
      </w:r>
      <w:r w:rsidR="00F90646">
        <w:rPr>
          <w:rFonts w:cstheme="minorHAnsi"/>
          <w:sz w:val="22"/>
          <w:szCs w:val="22"/>
        </w:rPr>
        <w:t>alliance</w:t>
      </w:r>
      <w:r w:rsidRPr="00F30A09">
        <w:rPr>
          <w:rFonts w:cstheme="minorHAnsi"/>
          <w:sz w:val="22"/>
          <w:szCs w:val="22"/>
        </w:rPr>
        <w:t xml:space="preserve"> members because:</w:t>
      </w:r>
    </w:p>
    <w:p w14:paraId="719DAD4F" w14:textId="77777777" w:rsidR="00F30A09" w:rsidRPr="00F30A09" w:rsidRDefault="00F30A09" w:rsidP="00765935">
      <w:pPr>
        <w:pStyle w:val="BodyDoubleSpacedMainText"/>
        <w:numPr>
          <w:ilvl w:val="0"/>
          <w:numId w:val="10"/>
        </w:numPr>
        <w:spacing w:after="200" w:line="276" w:lineRule="auto"/>
        <w:rPr>
          <w:rFonts w:cstheme="minorHAnsi"/>
          <w:sz w:val="22"/>
          <w:szCs w:val="22"/>
        </w:rPr>
      </w:pPr>
      <w:r w:rsidRPr="00F30A09">
        <w:rPr>
          <w:rFonts w:cstheme="minorHAnsi"/>
          <w:sz w:val="22"/>
          <w:szCs w:val="22"/>
        </w:rPr>
        <w:t xml:space="preserve">Clinical practice is identified as a central and critical aspect of teacher preparation in professional standards (American Association of Colleges for Teacher Education, 2010; Association of Teacher Educators, 2008; National Council for Accreditation of Teacher Education, 2008) and in research (Greenberg, </w:t>
      </w:r>
      <w:proofErr w:type="spellStart"/>
      <w:r w:rsidRPr="00F30A09">
        <w:rPr>
          <w:rFonts w:cstheme="minorHAnsi"/>
          <w:sz w:val="22"/>
          <w:szCs w:val="22"/>
        </w:rPr>
        <w:t>Pomerance</w:t>
      </w:r>
      <w:proofErr w:type="spellEnd"/>
      <w:r w:rsidRPr="00F30A09">
        <w:rPr>
          <w:rFonts w:cstheme="minorHAnsi"/>
          <w:sz w:val="22"/>
          <w:szCs w:val="22"/>
        </w:rPr>
        <w:t>, &amp; Walsh, 2011).</w:t>
      </w:r>
    </w:p>
    <w:p w14:paraId="490EADCE" w14:textId="77777777" w:rsidR="00F30A09" w:rsidRPr="00F30A09" w:rsidRDefault="00F30A09" w:rsidP="00765935">
      <w:pPr>
        <w:pStyle w:val="BodyDoubleSpacedMainText"/>
        <w:numPr>
          <w:ilvl w:val="0"/>
          <w:numId w:val="10"/>
        </w:numPr>
        <w:spacing w:after="200" w:line="276" w:lineRule="auto"/>
        <w:rPr>
          <w:rFonts w:cstheme="minorHAnsi"/>
          <w:sz w:val="22"/>
          <w:szCs w:val="22"/>
        </w:rPr>
      </w:pPr>
      <w:r w:rsidRPr="00F30A09">
        <w:rPr>
          <w:rFonts w:cstheme="minorHAnsi"/>
          <w:sz w:val="22"/>
          <w:szCs w:val="22"/>
        </w:rPr>
        <w:t>The design and implementation of the clinical practice component</w:t>
      </w:r>
      <w:r w:rsidR="00AB45C6">
        <w:rPr>
          <w:rFonts w:cstheme="minorHAnsi"/>
          <w:sz w:val="22"/>
          <w:szCs w:val="22"/>
        </w:rPr>
        <w:t xml:space="preserve"> </w:t>
      </w:r>
      <w:r w:rsidRPr="00F30A09">
        <w:rPr>
          <w:rFonts w:cstheme="minorHAnsi"/>
          <w:sz w:val="22"/>
          <w:szCs w:val="22"/>
        </w:rPr>
        <w:t>varies widely across TPPs (NCATE, 2010);</w:t>
      </w:r>
    </w:p>
    <w:p w14:paraId="532E8649" w14:textId="77777777" w:rsidR="00F30A09" w:rsidRPr="00F30A09" w:rsidRDefault="00F30A09" w:rsidP="00765935">
      <w:pPr>
        <w:pStyle w:val="BodyDoubleSpacedMainText"/>
        <w:numPr>
          <w:ilvl w:val="0"/>
          <w:numId w:val="10"/>
        </w:numPr>
        <w:spacing w:after="200" w:line="276" w:lineRule="auto"/>
        <w:rPr>
          <w:rFonts w:cstheme="minorHAnsi"/>
          <w:sz w:val="22"/>
          <w:szCs w:val="22"/>
        </w:rPr>
      </w:pPr>
      <w:r w:rsidRPr="00F30A09">
        <w:rPr>
          <w:rFonts w:cstheme="minorHAnsi"/>
          <w:sz w:val="22"/>
          <w:szCs w:val="22"/>
        </w:rPr>
        <w:t>Little information about the design and implementation of clinical practice in TPPs is currently available;</w:t>
      </w:r>
    </w:p>
    <w:p w14:paraId="3AE27F2D" w14:textId="77777777" w:rsidR="00F30A09" w:rsidRPr="00F30A09" w:rsidRDefault="00F30A09" w:rsidP="00765935">
      <w:pPr>
        <w:pStyle w:val="BodyDoubleSpacedMainText"/>
        <w:numPr>
          <w:ilvl w:val="0"/>
          <w:numId w:val="10"/>
        </w:numPr>
        <w:spacing w:after="200" w:line="276" w:lineRule="auto"/>
        <w:rPr>
          <w:rFonts w:cstheme="minorHAnsi"/>
          <w:sz w:val="22"/>
          <w:szCs w:val="22"/>
        </w:rPr>
      </w:pPr>
      <w:r w:rsidRPr="00F30A09">
        <w:rPr>
          <w:rFonts w:cstheme="minorHAnsi"/>
          <w:sz w:val="22"/>
          <w:szCs w:val="22"/>
        </w:rPr>
        <w:t>Clinical practice is an area in which Central states are planning to develop or are currently developing standards for TPPs;</w:t>
      </w:r>
    </w:p>
    <w:p w14:paraId="1E35C754" w14:textId="77777777" w:rsidR="00F30A09" w:rsidRPr="00F30A09" w:rsidRDefault="00F30A09" w:rsidP="00765935">
      <w:pPr>
        <w:pStyle w:val="BodyDoubleSpacedMainText"/>
        <w:numPr>
          <w:ilvl w:val="0"/>
          <w:numId w:val="10"/>
        </w:numPr>
        <w:spacing w:after="200" w:line="276" w:lineRule="auto"/>
        <w:rPr>
          <w:rFonts w:cstheme="minorHAnsi"/>
          <w:sz w:val="22"/>
          <w:szCs w:val="22"/>
        </w:rPr>
      </w:pPr>
      <w:r w:rsidRPr="00F30A09">
        <w:rPr>
          <w:rFonts w:cstheme="minorHAnsi"/>
          <w:sz w:val="22"/>
          <w:szCs w:val="22"/>
        </w:rPr>
        <w:t>Collecting good information about implementation of the clinical practice component of TPPs is perceived by alliance members as being difficult; and</w:t>
      </w:r>
    </w:p>
    <w:p w14:paraId="102C9D29" w14:textId="77777777" w:rsidR="00765935" w:rsidRDefault="00F30A09" w:rsidP="00765935">
      <w:pPr>
        <w:pStyle w:val="BodyDoubleSpacedMainText"/>
        <w:numPr>
          <w:ilvl w:val="0"/>
          <w:numId w:val="10"/>
        </w:numPr>
        <w:spacing w:after="200" w:line="276" w:lineRule="auto"/>
        <w:rPr>
          <w:rFonts w:cstheme="minorHAnsi"/>
          <w:sz w:val="22"/>
          <w:szCs w:val="22"/>
        </w:rPr>
      </w:pPr>
      <w:r w:rsidRPr="00F30A09">
        <w:rPr>
          <w:rFonts w:cstheme="minorHAnsi"/>
          <w:sz w:val="22"/>
          <w:szCs w:val="22"/>
        </w:rPr>
        <w:t>Two states in the region, Colorado and Missouri, are members of the National Council for Accreditation of Teacher Education (NCATE) Alliance for Clinical Teacher Preparation, which is focused on piloting diverse new approaches to clinical preparation (NCATE, 2010).</w:t>
      </w:r>
    </w:p>
    <w:p w14:paraId="1A95F7DA" w14:textId="77777777" w:rsidR="002A716E" w:rsidRPr="00967A34" w:rsidRDefault="0015097C" w:rsidP="00967A34">
      <w:pPr>
        <w:pStyle w:val="Heading3"/>
      </w:pPr>
      <w:bookmarkStart w:id="4" w:name="_Toc364869919"/>
      <w:r>
        <w:t>Overview of the Study Design</w:t>
      </w:r>
      <w:bookmarkEnd w:id="4"/>
    </w:p>
    <w:p w14:paraId="06522464" w14:textId="77777777" w:rsidR="00F30A09" w:rsidRDefault="00F30A09" w:rsidP="00F30A09">
      <w:pPr>
        <w:pStyle w:val="BodyDoubleSpacedMainText"/>
        <w:spacing w:line="240" w:lineRule="auto"/>
        <w:ind w:firstLine="0"/>
        <w:rPr>
          <w:rFonts w:asciiTheme="minorHAnsi" w:hAnsiTheme="minorHAnsi" w:cstheme="minorHAnsi"/>
          <w:sz w:val="22"/>
          <w:szCs w:val="22"/>
        </w:rPr>
      </w:pPr>
      <w:r w:rsidRPr="00F30A09">
        <w:rPr>
          <w:rFonts w:cstheme="minorHAnsi"/>
          <w:sz w:val="22"/>
          <w:szCs w:val="22"/>
        </w:rPr>
        <w:t xml:space="preserve">This study is designed to support needs in the region by providing descriptive information about clinical practice in TPPs. The study purpose is to document current practice and provide a data collection tool </w:t>
      </w:r>
      <w:r w:rsidRPr="00F80A4A">
        <w:rPr>
          <w:rFonts w:asciiTheme="minorHAnsi" w:hAnsiTheme="minorHAnsi" w:cstheme="minorHAnsi"/>
          <w:sz w:val="22"/>
          <w:szCs w:val="22"/>
        </w:rPr>
        <w:t xml:space="preserve">and an approach for collecting data from TPP graduates that can be adopted and adapted as part of future research to be conducted by the </w:t>
      </w:r>
      <w:r w:rsidR="00823EBB">
        <w:rPr>
          <w:rFonts w:asciiTheme="minorHAnsi" w:hAnsiTheme="minorHAnsi" w:cstheme="minorHAnsi"/>
          <w:sz w:val="22"/>
          <w:szCs w:val="22"/>
        </w:rPr>
        <w:t>alliance</w:t>
      </w:r>
      <w:r w:rsidRPr="00F80A4A">
        <w:rPr>
          <w:rFonts w:asciiTheme="minorHAnsi" w:hAnsiTheme="minorHAnsi" w:cstheme="minorHAnsi"/>
          <w:sz w:val="22"/>
          <w:szCs w:val="22"/>
        </w:rPr>
        <w:t xml:space="preserve">. </w:t>
      </w:r>
    </w:p>
    <w:p w14:paraId="184ABAAA" w14:textId="77777777" w:rsidR="00F30A09" w:rsidRPr="00F80A4A" w:rsidRDefault="00F30A09" w:rsidP="00F30A09">
      <w:pPr>
        <w:spacing w:after="0" w:line="240" w:lineRule="auto"/>
        <w:rPr>
          <w:rFonts w:cstheme="minorHAnsi"/>
        </w:rPr>
      </w:pPr>
    </w:p>
    <w:p w14:paraId="05E7D74A" w14:textId="77777777" w:rsidR="00F30A09" w:rsidRPr="00F80A4A" w:rsidRDefault="00F30A09" w:rsidP="00F30A09">
      <w:pPr>
        <w:spacing w:after="0" w:line="240" w:lineRule="auto"/>
        <w:rPr>
          <w:rFonts w:cstheme="minorHAnsi"/>
        </w:rPr>
      </w:pPr>
      <w:r w:rsidRPr="00F80A4A">
        <w:rPr>
          <w:rFonts w:cstheme="minorHAnsi"/>
        </w:rPr>
        <w:t>The study is designed to address the following research questions:</w:t>
      </w:r>
    </w:p>
    <w:p w14:paraId="2A3AE8F5" w14:textId="77777777" w:rsidR="00F30A09" w:rsidRPr="00F80A4A" w:rsidRDefault="00F30A09" w:rsidP="00F30A09">
      <w:pPr>
        <w:pStyle w:val="ListParagraph"/>
        <w:spacing w:after="0" w:line="240" w:lineRule="auto"/>
        <w:rPr>
          <w:rFonts w:cstheme="minorHAnsi"/>
          <w:i/>
        </w:rPr>
      </w:pPr>
    </w:p>
    <w:p w14:paraId="3107C5E3" w14:textId="77777777" w:rsidR="00F30A09" w:rsidRPr="00F80A4A" w:rsidRDefault="00F30A09" w:rsidP="00F30A09">
      <w:pPr>
        <w:pStyle w:val="ListParagraph"/>
        <w:numPr>
          <w:ilvl w:val="0"/>
          <w:numId w:val="11"/>
        </w:numPr>
        <w:spacing w:after="0" w:line="240" w:lineRule="auto"/>
        <w:rPr>
          <w:rFonts w:cstheme="minorHAnsi"/>
          <w:i/>
        </w:rPr>
      </w:pPr>
      <w:r w:rsidRPr="00F80A4A">
        <w:rPr>
          <w:rFonts w:cstheme="minorHAnsi"/>
          <w:i/>
        </w:rPr>
        <w:t>What are the characteristics of clinical practice in traditional teacher preparation programs completed by first-year public school teachers in Missouri?</w:t>
      </w:r>
    </w:p>
    <w:p w14:paraId="123F68DD" w14:textId="77777777" w:rsidR="00F30A09" w:rsidRPr="00F80A4A" w:rsidRDefault="00F30A09" w:rsidP="00F30A09">
      <w:pPr>
        <w:pStyle w:val="ListParagraph"/>
        <w:rPr>
          <w:rFonts w:cstheme="minorHAnsi"/>
          <w:i/>
        </w:rPr>
      </w:pPr>
    </w:p>
    <w:p w14:paraId="25A6A022" w14:textId="77777777" w:rsidR="00F30A09" w:rsidRPr="00F80A4A" w:rsidRDefault="00F30A09" w:rsidP="00967A34">
      <w:pPr>
        <w:pStyle w:val="ListParagraph"/>
        <w:numPr>
          <w:ilvl w:val="0"/>
          <w:numId w:val="11"/>
        </w:numPr>
        <w:spacing w:after="0" w:line="240" w:lineRule="auto"/>
        <w:rPr>
          <w:rFonts w:cstheme="minorHAnsi"/>
          <w:i/>
        </w:rPr>
      </w:pPr>
      <w:r w:rsidRPr="00F80A4A">
        <w:rPr>
          <w:rFonts w:cstheme="minorHAnsi"/>
          <w:i/>
        </w:rPr>
        <w:t>How does clinical practice in traditional teacher preparation programs vary among certification tracks completed by first-year public school teachers in Missouri?</w:t>
      </w:r>
    </w:p>
    <w:p w14:paraId="0459F486" w14:textId="77777777" w:rsidR="00F30A09" w:rsidRDefault="00F30A09" w:rsidP="0015097C">
      <w:pPr>
        <w:spacing w:after="0" w:line="240" w:lineRule="auto"/>
        <w:rPr>
          <w:rFonts w:cstheme="minorHAnsi"/>
          <w:i/>
        </w:rPr>
      </w:pPr>
    </w:p>
    <w:p w14:paraId="0A0666B0" w14:textId="77777777" w:rsidR="0015097C" w:rsidRDefault="0015097C" w:rsidP="0015097C">
      <w:pPr>
        <w:spacing w:after="0" w:line="240" w:lineRule="auto"/>
        <w:rPr>
          <w:rFonts w:cstheme="minorHAnsi"/>
        </w:rPr>
      </w:pPr>
      <w:r>
        <w:rPr>
          <w:rFonts w:cstheme="minorHAnsi"/>
        </w:rPr>
        <w:t>S</w:t>
      </w:r>
      <w:r w:rsidRPr="0015097C">
        <w:rPr>
          <w:rFonts w:cstheme="minorHAnsi"/>
        </w:rPr>
        <w:t xml:space="preserve">urvey data </w:t>
      </w:r>
      <w:r>
        <w:rPr>
          <w:rFonts w:cstheme="minorHAnsi"/>
        </w:rPr>
        <w:t xml:space="preserve">will be collected </w:t>
      </w:r>
      <w:r w:rsidRPr="0015097C">
        <w:rPr>
          <w:rFonts w:cstheme="minorHAnsi"/>
        </w:rPr>
        <w:t>from a respondent pool of approximately 3,500 first-year public school teachers in Missouri. Based on an expected minimum response rate of 80%, REL Central</w:t>
      </w:r>
      <w:r w:rsidR="00D30ED2">
        <w:rPr>
          <w:rFonts w:cstheme="minorHAnsi"/>
        </w:rPr>
        <w:t xml:space="preserve"> at Marzano Research Laboratory</w:t>
      </w:r>
      <w:r w:rsidRPr="0015097C">
        <w:rPr>
          <w:rFonts w:cstheme="minorHAnsi"/>
        </w:rPr>
        <w:t xml:space="preserve"> expects to analyze data from a minimum of 2,800 completed surveys. </w:t>
      </w:r>
    </w:p>
    <w:p w14:paraId="329E35A5" w14:textId="77777777" w:rsidR="0015097C" w:rsidRDefault="0015097C" w:rsidP="0015097C">
      <w:pPr>
        <w:spacing w:after="0" w:line="240" w:lineRule="auto"/>
        <w:rPr>
          <w:rFonts w:cstheme="minorHAnsi"/>
        </w:rPr>
      </w:pPr>
    </w:p>
    <w:p w14:paraId="7A7CCE42" w14:textId="6A5AFCEE" w:rsidR="007E4382" w:rsidRDefault="007E4382" w:rsidP="007E4382">
      <w:pPr>
        <w:spacing w:after="0" w:line="240" w:lineRule="auto"/>
        <w:rPr>
          <w:rFonts w:cstheme="minorHAnsi"/>
        </w:rPr>
      </w:pPr>
      <w:r>
        <w:rPr>
          <w:rFonts w:cstheme="minorHAnsi"/>
        </w:rPr>
        <w:t xml:space="preserve">The survey is designed to collect information about the following eight primary components of clinical practice experiences in teacher preparation programs: (1) </w:t>
      </w:r>
      <w:r w:rsidRPr="007E4382">
        <w:rPr>
          <w:rFonts w:cstheme="minorHAnsi"/>
        </w:rPr>
        <w:t>clinical placement characteristics;</w:t>
      </w:r>
      <w:r>
        <w:rPr>
          <w:rFonts w:cstheme="minorHAnsi"/>
        </w:rPr>
        <w:t xml:space="preserve"> (2) </w:t>
      </w:r>
      <w:r w:rsidRPr="007E4382">
        <w:rPr>
          <w:rFonts w:cstheme="minorHAnsi"/>
        </w:rPr>
        <w:t>clinical placement curriculum;</w:t>
      </w:r>
      <w:r>
        <w:rPr>
          <w:rFonts w:cstheme="minorHAnsi"/>
        </w:rPr>
        <w:t xml:space="preserve"> (3) </w:t>
      </w:r>
      <w:r w:rsidRPr="007E4382">
        <w:rPr>
          <w:rFonts w:cstheme="minorHAnsi"/>
        </w:rPr>
        <w:t>clinical placement timing;</w:t>
      </w:r>
      <w:r>
        <w:rPr>
          <w:rFonts w:cstheme="minorHAnsi"/>
        </w:rPr>
        <w:t xml:space="preserve"> (4) </w:t>
      </w:r>
      <w:r w:rsidRPr="007E4382">
        <w:rPr>
          <w:rFonts w:cstheme="minorHAnsi"/>
        </w:rPr>
        <w:t>cooperating teacher characteristics;</w:t>
      </w:r>
      <w:r>
        <w:rPr>
          <w:rFonts w:cstheme="minorHAnsi"/>
        </w:rPr>
        <w:t xml:space="preserve"> (5) </w:t>
      </w:r>
      <w:r w:rsidRPr="007E4382">
        <w:rPr>
          <w:rFonts w:cstheme="minorHAnsi"/>
        </w:rPr>
        <w:t>supervisor characteristics;</w:t>
      </w:r>
      <w:r>
        <w:rPr>
          <w:rFonts w:cstheme="minorHAnsi"/>
        </w:rPr>
        <w:t xml:space="preserve"> (6) IHE</w:t>
      </w:r>
      <w:r w:rsidRPr="007E4382">
        <w:rPr>
          <w:rFonts w:cstheme="minorHAnsi"/>
        </w:rPr>
        <w:t xml:space="preserve"> and </w:t>
      </w:r>
      <w:r>
        <w:rPr>
          <w:rFonts w:cstheme="minorHAnsi"/>
        </w:rPr>
        <w:t>P</w:t>
      </w:r>
      <w:r w:rsidR="008E2269">
        <w:rPr>
          <w:rFonts w:cstheme="minorHAnsi"/>
        </w:rPr>
        <w:t>–</w:t>
      </w:r>
      <w:r w:rsidRPr="007E4382">
        <w:rPr>
          <w:rFonts w:cstheme="minorHAnsi"/>
        </w:rPr>
        <w:t>12 school collaboration;</w:t>
      </w:r>
      <w:r>
        <w:rPr>
          <w:rFonts w:cstheme="minorHAnsi"/>
        </w:rPr>
        <w:t xml:space="preserve"> (7) </w:t>
      </w:r>
      <w:r w:rsidRPr="007E4382">
        <w:rPr>
          <w:rFonts w:cstheme="minorHAnsi"/>
        </w:rPr>
        <w:t>candidate evaluation and feedback; and</w:t>
      </w:r>
      <w:r>
        <w:rPr>
          <w:rFonts w:cstheme="minorHAnsi"/>
        </w:rPr>
        <w:t xml:space="preserve"> (8) </w:t>
      </w:r>
      <w:r w:rsidRPr="007E4382">
        <w:rPr>
          <w:rFonts w:cstheme="minorHAnsi"/>
        </w:rPr>
        <w:t>teacher preparation program evaluation.</w:t>
      </w:r>
      <w:r>
        <w:rPr>
          <w:rFonts w:cstheme="minorHAnsi"/>
        </w:rPr>
        <w:t xml:space="preserve"> Descriptive analyses will be used to characterize survey responses</w:t>
      </w:r>
      <w:r w:rsidR="001917FB">
        <w:rPr>
          <w:rFonts w:cstheme="minorHAnsi"/>
        </w:rPr>
        <w:t xml:space="preserve"> for: </w:t>
      </w:r>
      <w:r>
        <w:rPr>
          <w:rFonts w:cstheme="minorHAnsi"/>
        </w:rPr>
        <w:t>state</w:t>
      </w:r>
      <w:r w:rsidR="008E2269">
        <w:rPr>
          <w:rFonts w:cstheme="minorHAnsi"/>
        </w:rPr>
        <w:t>s</w:t>
      </w:r>
      <w:r>
        <w:rPr>
          <w:rFonts w:cstheme="minorHAnsi"/>
        </w:rPr>
        <w:t xml:space="preserve">, </w:t>
      </w:r>
      <w:r w:rsidR="001917FB">
        <w:rPr>
          <w:rFonts w:cstheme="minorHAnsi"/>
        </w:rPr>
        <w:t xml:space="preserve">certification tracks (distinguished by grade and subject area), and </w:t>
      </w:r>
      <w:r>
        <w:rPr>
          <w:rFonts w:cstheme="minorHAnsi"/>
        </w:rPr>
        <w:t>individual teacher preparation programs (results reported confidentially to program administrators)</w:t>
      </w:r>
      <w:r w:rsidR="00D95E3F">
        <w:rPr>
          <w:rFonts w:cstheme="minorHAnsi"/>
        </w:rPr>
        <w:t>.</w:t>
      </w:r>
      <w:r>
        <w:rPr>
          <w:rFonts w:cstheme="minorHAnsi"/>
        </w:rPr>
        <w:t xml:space="preserve"> </w:t>
      </w:r>
    </w:p>
    <w:p w14:paraId="2101B995" w14:textId="77777777" w:rsidR="006C080F" w:rsidRDefault="006C080F" w:rsidP="001917FB">
      <w:pPr>
        <w:spacing w:after="0" w:line="240" w:lineRule="auto"/>
        <w:rPr>
          <w:rFonts w:cstheme="minorHAnsi"/>
        </w:rPr>
      </w:pPr>
    </w:p>
    <w:p w14:paraId="5A39497E" w14:textId="77777777" w:rsidR="002A716E" w:rsidRDefault="00967A34" w:rsidP="00967A34">
      <w:pPr>
        <w:pStyle w:val="Heading3"/>
      </w:pPr>
      <w:bookmarkStart w:id="5" w:name="_Toc364869920"/>
      <w:r>
        <w:t>Overview of the Specific Data Collection P</w:t>
      </w:r>
      <w:r w:rsidR="002A716E" w:rsidRPr="002A716E">
        <w:t>lan</w:t>
      </w:r>
      <w:bookmarkEnd w:id="5"/>
    </w:p>
    <w:p w14:paraId="62C541BC" w14:textId="77777777" w:rsidR="00673375" w:rsidRPr="003E7883" w:rsidRDefault="00765935" w:rsidP="00673375">
      <w:pPr>
        <w:rPr>
          <w:rFonts w:eastAsia="Calibri"/>
        </w:rPr>
      </w:pPr>
      <w:r w:rsidRPr="00765935">
        <w:t>To answer the research questions</w:t>
      </w:r>
      <w:r w:rsidRPr="00765935">
        <w:rPr>
          <w:rFonts w:eastAsia="Calibri"/>
          <w:lang w:bidi="en-US"/>
        </w:rPr>
        <w:t xml:space="preserve">, REL Central </w:t>
      </w:r>
      <w:r w:rsidR="00D30ED2">
        <w:rPr>
          <w:rFonts w:cstheme="minorHAnsi"/>
        </w:rPr>
        <w:t>at Marzano Research Laboratory</w:t>
      </w:r>
      <w:r w:rsidR="00D30ED2" w:rsidRPr="00765935">
        <w:rPr>
          <w:rFonts w:eastAsia="Calibri"/>
          <w:lang w:bidi="en-US"/>
        </w:rPr>
        <w:t xml:space="preserve"> </w:t>
      </w:r>
      <w:r w:rsidRPr="00765935">
        <w:rPr>
          <w:rFonts w:eastAsia="Calibri"/>
          <w:lang w:bidi="en-US"/>
        </w:rPr>
        <w:t xml:space="preserve">will collect survey data from first-year teachers in public schools in Missouri. Self-reported survey data was chosen as the data source to address the research questions, because it is the most cost-effective way to collect individual-level information about experiences in TPPs. </w:t>
      </w:r>
      <w:r w:rsidR="00673375" w:rsidRPr="00673375">
        <w:rPr>
          <w:rFonts w:cstheme="minorHAnsi"/>
        </w:rPr>
        <w:t xml:space="preserve">REL Central </w:t>
      </w:r>
      <w:r w:rsidR="00D30ED2">
        <w:rPr>
          <w:rFonts w:cstheme="minorHAnsi"/>
        </w:rPr>
        <w:t>at Marzano Research Laboratory</w:t>
      </w:r>
      <w:r w:rsidR="00D30ED2" w:rsidRPr="00673375">
        <w:rPr>
          <w:rFonts w:cstheme="minorHAnsi"/>
        </w:rPr>
        <w:t xml:space="preserve"> </w:t>
      </w:r>
      <w:r w:rsidR="00673375" w:rsidRPr="00673375">
        <w:rPr>
          <w:rFonts w:cstheme="minorHAnsi"/>
        </w:rPr>
        <w:t xml:space="preserve">will work with </w:t>
      </w:r>
      <w:r w:rsidR="003A0E0C">
        <w:rPr>
          <w:rFonts w:cstheme="minorHAnsi"/>
        </w:rPr>
        <w:t>the Missouri Department of Elementary and Secondary Education (</w:t>
      </w:r>
      <w:r w:rsidR="00673375" w:rsidRPr="00673375">
        <w:rPr>
          <w:rFonts w:cstheme="minorHAnsi"/>
        </w:rPr>
        <w:t>MO DESE</w:t>
      </w:r>
      <w:r w:rsidR="003A0E0C">
        <w:rPr>
          <w:rFonts w:cstheme="minorHAnsi"/>
        </w:rPr>
        <w:t>)</w:t>
      </w:r>
      <w:r w:rsidR="00673375" w:rsidRPr="00673375">
        <w:rPr>
          <w:rFonts w:cstheme="minorHAnsi"/>
        </w:rPr>
        <w:t xml:space="preserve"> </w:t>
      </w:r>
      <w:r w:rsidR="00673375" w:rsidRPr="00673375">
        <w:rPr>
          <w:rFonts w:eastAsia="Calibri"/>
        </w:rPr>
        <w:t xml:space="preserve">to collect contact information for teachers </w:t>
      </w:r>
      <w:r w:rsidR="002933AA">
        <w:rPr>
          <w:rFonts w:eastAsia="Calibri"/>
        </w:rPr>
        <w:t xml:space="preserve">who graduated from traditional teacher preparation programs and who are teaching for the first time </w:t>
      </w:r>
      <w:r w:rsidR="00673375" w:rsidRPr="00673375">
        <w:rPr>
          <w:rFonts w:eastAsia="Calibri"/>
        </w:rPr>
        <w:t>during the 201</w:t>
      </w:r>
      <w:r w:rsidR="002933AA">
        <w:rPr>
          <w:rFonts w:eastAsia="Calibri"/>
        </w:rPr>
        <w:t>4</w:t>
      </w:r>
      <w:r w:rsidR="00673375" w:rsidRPr="00673375">
        <w:rPr>
          <w:rFonts w:eastAsia="Calibri" w:cs="Calibri"/>
        </w:rPr>
        <w:t>–</w:t>
      </w:r>
      <w:r w:rsidR="00673375" w:rsidRPr="00673375">
        <w:rPr>
          <w:rFonts w:eastAsia="Calibri"/>
        </w:rPr>
        <w:t>1</w:t>
      </w:r>
      <w:r w:rsidR="002933AA">
        <w:rPr>
          <w:rFonts w:eastAsia="Calibri"/>
        </w:rPr>
        <w:t>5</w:t>
      </w:r>
      <w:r w:rsidR="00673375" w:rsidRPr="00673375">
        <w:rPr>
          <w:rFonts w:eastAsia="Calibri"/>
        </w:rPr>
        <w:t xml:space="preserve"> school year.</w:t>
      </w:r>
      <w:r w:rsidR="00D30ED2">
        <w:rPr>
          <w:rFonts w:eastAsia="Calibri"/>
        </w:rPr>
        <w:t xml:space="preserve">  Only teachers who graduated from a traditional teacher preparation program during the </w:t>
      </w:r>
      <w:r w:rsidR="002A3B39">
        <w:rPr>
          <w:rFonts w:eastAsia="Calibri"/>
        </w:rPr>
        <w:t>twelve months</w:t>
      </w:r>
      <w:r w:rsidR="00D30ED2">
        <w:rPr>
          <w:rFonts w:eastAsia="Calibri"/>
        </w:rPr>
        <w:t xml:space="preserve"> prior to their first teaching assignment will be included.</w:t>
      </w:r>
      <w:r w:rsidR="00673375" w:rsidRPr="00673375">
        <w:rPr>
          <w:rFonts w:eastAsia="Calibri"/>
        </w:rPr>
        <w:t xml:space="preserve"> Staff in the Educator Preparation Section at MO DESE have agreed to share contact information for first-year teachers</w:t>
      </w:r>
      <w:r w:rsidR="009A0B5E">
        <w:rPr>
          <w:rFonts w:eastAsia="Calibri"/>
        </w:rPr>
        <w:t xml:space="preserve">, including </w:t>
      </w:r>
      <w:r w:rsidR="008E2269">
        <w:rPr>
          <w:rFonts w:eastAsia="Calibri"/>
        </w:rPr>
        <w:t xml:space="preserve">the </w:t>
      </w:r>
      <w:r w:rsidR="00673375" w:rsidRPr="00673375">
        <w:rPr>
          <w:rFonts w:eastAsia="Calibri"/>
        </w:rPr>
        <w:t>following data elements: teacher identifier</w:t>
      </w:r>
      <w:r w:rsidR="00673375" w:rsidRPr="00673375">
        <w:rPr>
          <w:rStyle w:val="FootnoteReference"/>
          <w:rFonts w:eastAsia="Calibri"/>
        </w:rPr>
        <w:footnoteReference w:id="5"/>
      </w:r>
      <w:r w:rsidR="00673375" w:rsidRPr="00673375">
        <w:rPr>
          <w:rFonts w:eastAsia="Calibri"/>
        </w:rPr>
        <w:t xml:space="preserve">, teacher name, teacher email address, name of school in which they are teaching and physical address, current teaching assignment, </w:t>
      </w:r>
      <w:r w:rsidR="00673375" w:rsidRPr="003E7883">
        <w:rPr>
          <w:rFonts w:eastAsia="Calibri"/>
        </w:rPr>
        <w:t>certification route, name of preparation program, teaching certification(s), gender, and race/ethnicity</w:t>
      </w:r>
      <w:r w:rsidR="00673375" w:rsidRPr="003E7883">
        <w:rPr>
          <w:rStyle w:val="FootnoteReference"/>
          <w:rFonts w:eastAsia="Calibri"/>
        </w:rPr>
        <w:footnoteReference w:id="6"/>
      </w:r>
      <w:r w:rsidR="00673375" w:rsidRPr="003E7883">
        <w:rPr>
          <w:rFonts w:eastAsia="Calibri"/>
        </w:rPr>
        <w:t xml:space="preserve">. </w:t>
      </w:r>
    </w:p>
    <w:p w14:paraId="4477B6C4" w14:textId="3B001048" w:rsidR="00673375" w:rsidRPr="003E7883" w:rsidRDefault="00673375" w:rsidP="002A716E">
      <w:pPr>
        <w:rPr>
          <w:rFonts w:eastAsia="Calibri"/>
        </w:rPr>
      </w:pPr>
      <w:r w:rsidRPr="003E7883">
        <w:rPr>
          <w:rFonts w:eastAsia="Calibri"/>
        </w:rPr>
        <w:t>Using the data provided by MO DESE, an invitation to complete an online survey will be sent via email</w:t>
      </w:r>
      <w:r w:rsidRPr="003E7883">
        <w:rPr>
          <w:rStyle w:val="FootnoteReference"/>
          <w:rFonts w:eastAsia="Calibri"/>
        </w:rPr>
        <w:footnoteReference w:id="7"/>
      </w:r>
      <w:r w:rsidRPr="003E7883">
        <w:rPr>
          <w:rFonts w:eastAsia="Calibri"/>
        </w:rPr>
        <w:t xml:space="preserve"> </w:t>
      </w:r>
      <w:r w:rsidR="00D30ED2">
        <w:rPr>
          <w:rFonts w:eastAsia="Calibri"/>
        </w:rPr>
        <w:t xml:space="preserve">(see Attachment B) </w:t>
      </w:r>
      <w:r w:rsidRPr="003E7883">
        <w:rPr>
          <w:rFonts w:eastAsia="Calibri"/>
        </w:rPr>
        <w:t>to each first-year teacher who was prepared in a traditional program. The invitation will be sent by REL Central</w:t>
      </w:r>
      <w:r w:rsidR="00D30ED2" w:rsidRPr="00D30ED2">
        <w:rPr>
          <w:rFonts w:cstheme="minorHAnsi"/>
        </w:rPr>
        <w:t xml:space="preserve"> </w:t>
      </w:r>
      <w:r w:rsidR="00D30ED2">
        <w:rPr>
          <w:rFonts w:cstheme="minorHAnsi"/>
        </w:rPr>
        <w:t>at Marzano Research Laboratory</w:t>
      </w:r>
      <w:r w:rsidRPr="003E7883">
        <w:rPr>
          <w:rFonts w:eastAsia="Calibri"/>
        </w:rPr>
        <w:t>, describing the purpose of the study, the voluntary nature of participation, intended use of the data collected, methods for maintaining confidentiality, and the estimated amount of time needed to complete the survey (estimated to be 20</w:t>
      </w:r>
      <w:r w:rsidRPr="003E7883">
        <w:rPr>
          <w:rFonts w:eastAsia="Calibri" w:cs="Calibri"/>
        </w:rPr>
        <w:t>–</w:t>
      </w:r>
      <w:r w:rsidR="00CA621A" w:rsidRPr="003E7883">
        <w:rPr>
          <w:rFonts w:eastAsia="Calibri"/>
        </w:rPr>
        <w:t>30</w:t>
      </w:r>
      <w:r w:rsidRPr="003E7883">
        <w:rPr>
          <w:rFonts w:eastAsia="Calibri"/>
        </w:rPr>
        <w:t xml:space="preserve"> minutes).</w:t>
      </w:r>
      <w:r w:rsidR="00AB45C6">
        <w:rPr>
          <w:rFonts w:eastAsia="Calibri"/>
        </w:rPr>
        <w:t xml:space="preserve"> </w:t>
      </w:r>
      <w:r w:rsidRPr="003E7883">
        <w:rPr>
          <w:rFonts w:eastAsia="Calibri"/>
        </w:rPr>
        <w:t xml:space="preserve"> Customized invitations will be used with respondent identifiers embedded in the emailed survey links to track survey response.</w:t>
      </w:r>
      <w:r w:rsidR="00AB45C6">
        <w:rPr>
          <w:rFonts w:eastAsia="Calibri"/>
        </w:rPr>
        <w:t xml:space="preserve"> </w:t>
      </w:r>
      <w:r w:rsidRPr="003E7883">
        <w:rPr>
          <w:rFonts w:eastAsia="Calibri"/>
        </w:rPr>
        <w:t>Paper surveys mailed to respondents via USPS will contain unique identifiers for the same purpose.</w:t>
      </w:r>
      <w:r w:rsidR="00116A68">
        <w:rPr>
          <w:rFonts w:eastAsia="Calibri"/>
        </w:rPr>
        <w:t xml:space="preserve"> Up to seven reminders with increasingly persuasive language will be sent to respondents to increase response rates.</w:t>
      </w:r>
    </w:p>
    <w:p w14:paraId="3FAB6581" w14:textId="77777777" w:rsidR="007D2125" w:rsidRDefault="00967A34" w:rsidP="002A716E">
      <w:pPr>
        <w:rPr>
          <w:rStyle w:val="Heading2Char"/>
        </w:rPr>
      </w:pPr>
      <w:bookmarkStart w:id="6" w:name="_Toc364869921"/>
      <w:r>
        <w:rPr>
          <w:rStyle w:val="Heading2Char"/>
        </w:rPr>
        <w:t xml:space="preserve">A2. How, by </w:t>
      </w:r>
      <w:proofErr w:type="gramStart"/>
      <w:r>
        <w:rPr>
          <w:rStyle w:val="Heading2Char"/>
        </w:rPr>
        <w:t>Whom</w:t>
      </w:r>
      <w:proofErr w:type="gramEnd"/>
      <w:r>
        <w:rPr>
          <w:rStyle w:val="Heading2Char"/>
        </w:rPr>
        <w:t>, and for What P</w:t>
      </w:r>
      <w:r w:rsidR="002A716E" w:rsidRPr="00884AB0">
        <w:rPr>
          <w:rStyle w:val="Heading2Char"/>
        </w:rPr>
        <w:t xml:space="preserve">urpose </w:t>
      </w:r>
      <w:r>
        <w:rPr>
          <w:rStyle w:val="Heading2Char"/>
        </w:rPr>
        <w:t>I</w:t>
      </w:r>
      <w:r w:rsidR="002A716E" w:rsidRPr="00884AB0">
        <w:rPr>
          <w:rStyle w:val="Heading2Char"/>
        </w:rPr>
        <w:t>nforma</w:t>
      </w:r>
      <w:r>
        <w:rPr>
          <w:rStyle w:val="Heading2Char"/>
        </w:rPr>
        <w:t>tion is to Be U</w:t>
      </w:r>
      <w:r w:rsidR="002A716E" w:rsidRPr="00884AB0">
        <w:rPr>
          <w:rStyle w:val="Heading2Char"/>
        </w:rPr>
        <w:t>sed</w:t>
      </w:r>
      <w:bookmarkEnd w:id="6"/>
    </w:p>
    <w:p w14:paraId="2D61D9B6" w14:textId="77777777" w:rsidR="00673375" w:rsidRPr="00673375" w:rsidRDefault="00673375" w:rsidP="00E74BF6">
      <w:pPr>
        <w:rPr>
          <w:rFonts w:cstheme="minorHAnsi"/>
        </w:rPr>
      </w:pPr>
      <w:r w:rsidRPr="00673375">
        <w:rPr>
          <w:rFonts w:cstheme="minorHAnsi"/>
        </w:rPr>
        <w:t xml:space="preserve">Data from the study </w:t>
      </w:r>
      <w:r w:rsidR="0015097C">
        <w:rPr>
          <w:rFonts w:cstheme="minorHAnsi"/>
        </w:rPr>
        <w:t>may</w:t>
      </w:r>
      <w:r w:rsidRPr="00673375">
        <w:rPr>
          <w:rFonts w:cstheme="minorHAnsi"/>
        </w:rPr>
        <w:t xml:space="preserve"> be used to understand the extent to which clinical practice components vary within and across programs. This </w:t>
      </w:r>
      <w:r w:rsidR="006C080F">
        <w:rPr>
          <w:rFonts w:cstheme="minorHAnsi"/>
        </w:rPr>
        <w:t>will</w:t>
      </w:r>
      <w:r w:rsidRPr="00673375">
        <w:rPr>
          <w:rFonts w:cstheme="minorHAnsi"/>
        </w:rPr>
        <w:t xml:space="preserve"> inform conversations about emerging state standards for TPPs, such as what constitutes minimum implementation of priority components. These data will also inform conversations about TPP reform or redesign by identifying areas in which programs have less or greater emphasis. </w:t>
      </w:r>
    </w:p>
    <w:p w14:paraId="1DE9D869" w14:textId="77777777" w:rsidR="00673375" w:rsidRPr="00673375" w:rsidRDefault="00673375" w:rsidP="00E74BF6">
      <w:pPr>
        <w:rPr>
          <w:rFonts w:cstheme="minorHAnsi"/>
        </w:rPr>
      </w:pPr>
      <w:r w:rsidRPr="00673375">
        <w:rPr>
          <w:rFonts w:cstheme="minorHAnsi"/>
        </w:rPr>
        <w:t xml:space="preserve">By collecting data about the clinical practice component of TPPs from recent program graduates, descriptive analyses </w:t>
      </w:r>
      <w:r w:rsidR="0015097C">
        <w:rPr>
          <w:rFonts w:cstheme="minorHAnsi"/>
        </w:rPr>
        <w:t>will highlight</w:t>
      </w:r>
      <w:r w:rsidRPr="00673375">
        <w:rPr>
          <w:rFonts w:cstheme="minorHAnsi"/>
        </w:rPr>
        <w:t xml:space="preserve"> variation both within and across programs. Information about variation across certification tracks may reveal differences in the nature and extent of clinical experiences for students of different types (for example, elementary or high school level teacher candidates) that could inform changes in TPP design, policy, or requirements. For example, if survey data suggest weak implementation of particular clinical practice components, TPP administrators may choose to implement policies or practices designed to improve experiences or make them more consistent.</w:t>
      </w:r>
    </w:p>
    <w:p w14:paraId="2F1FFDF3" w14:textId="77777777" w:rsidR="00673375" w:rsidRPr="00673375" w:rsidRDefault="00673375" w:rsidP="00E74BF6">
      <w:pPr>
        <w:rPr>
          <w:rFonts w:cstheme="minorHAnsi"/>
        </w:rPr>
      </w:pPr>
      <w:r w:rsidRPr="00673375">
        <w:rPr>
          <w:rFonts w:cstheme="minorHAnsi"/>
        </w:rPr>
        <w:t xml:space="preserve">Descriptive data about clinical practice in TPPs in Missouri can be used as a baseline to monitor change over time at the state and program levels and as a basis for examining the impact of changes in policy or TPP reform activities. These data may also be used in future correlational research that relates TPP implementation to teacher and student outcomes (for example, teacher retention and value-added student achievement). The study will also provide a data collection tool that can be adopted and adapted as part of future research on TPP design, implementation, and impact to be conducted by SEAs, TPPs, or the </w:t>
      </w:r>
      <w:r w:rsidR="00B30155">
        <w:rPr>
          <w:rFonts w:cstheme="minorHAnsi"/>
        </w:rPr>
        <w:t>alliance</w:t>
      </w:r>
      <w:r w:rsidRPr="00673375">
        <w:rPr>
          <w:rFonts w:cstheme="minorHAnsi"/>
        </w:rPr>
        <w:t xml:space="preserve">. </w:t>
      </w:r>
    </w:p>
    <w:p w14:paraId="795E29E4" w14:textId="77777777" w:rsidR="00E91D8D" w:rsidRPr="0027251C" w:rsidRDefault="002A716E" w:rsidP="00E91D8D">
      <w:pPr>
        <w:pStyle w:val="Heading2"/>
        <w:spacing w:before="0" w:after="200"/>
        <w:rPr>
          <w:b w:val="0"/>
          <w:szCs w:val="22"/>
        </w:rPr>
      </w:pPr>
      <w:bookmarkStart w:id="7" w:name="_Toc364869922"/>
      <w:r w:rsidRPr="0027251C">
        <w:rPr>
          <w:rStyle w:val="Heading2Char"/>
          <w:b/>
          <w:szCs w:val="22"/>
        </w:rPr>
        <w:t xml:space="preserve">A3. </w:t>
      </w:r>
      <w:r w:rsidR="00E91D8D" w:rsidRPr="00E74BF6">
        <w:rPr>
          <w:rFonts w:cs="Times New Roman"/>
          <w:szCs w:val="22"/>
        </w:rPr>
        <w:t>Use of Automated, Electronic, Mechanical or Other Technological Collection Techniques</w:t>
      </w:r>
      <w:bookmarkEnd w:id="7"/>
    </w:p>
    <w:p w14:paraId="2C7A0F22" w14:textId="77777777" w:rsidR="00673375" w:rsidRDefault="004171D8" w:rsidP="002A716E">
      <w:r>
        <w:t xml:space="preserve">The survey will be administered online using survey software such as </w:t>
      </w:r>
      <w:proofErr w:type="spellStart"/>
      <w:r>
        <w:t>SurveyMonkey</w:t>
      </w:r>
      <w:proofErr w:type="spellEnd"/>
      <w:r>
        <w:t xml:space="preserve"> in order to reduce </w:t>
      </w:r>
      <w:r w:rsidR="00033546">
        <w:t>cost</w:t>
      </w:r>
      <w:r>
        <w:t xml:space="preserve">. </w:t>
      </w:r>
      <w:r w:rsidR="0054396E">
        <w:t xml:space="preserve">Respondents will be sent a unique link via email that will lead them to the online survey. </w:t>
      </w:r>
      <w:proofErr w:type="spellStart"/>
      <w:r w:rsidR="0054396E">
        <w:t>SurveyMonkey</w:t>
      </w:r>
      <w:proofErr w:type="spellEnd"/>
      <w:r w:rsidR="0054396E">
        <w:t xml:space="preserve"> allows the creation of a unique link for each email address in the invite list that prevents duplicate responses, because the link cannot be used after the survey is completed.</w:t>
      </w:r>
      <w:r w:rsidR="00AB45C6">
        <w:t xml:space="preserve"> </w:t>
      </w:r>
      <w:r w:rsidR="00C72495">
        <w:t>Reminders will also be sent via em</w:t>
      </w:r>
      <w:r w:rsidR="00673375">
        <w:t xml:space="preserve">ail using the survey software. </w:t>
      </w:r>
      <w:r w:rsidR="00C72495">
        <w:t>Participants</w:t>
      </w:r>
      <w:r w:rsidR="007B69AF">
        <w:t>’</w:t>
      </w:r>
      <w:r w:rsidR="00C72495">
        <w:t xml:space="preserve"> contact information </w:t>
      </w:r>
      <w:r w:rsidR="007B69AF">
        <w:t>(</w:t>
      </w:r>
      <w:r w:rsidR="00C72495">
        <w:t>for sending the online survey</w:t>
      </w:r>
      <w:r w:rsidR="007B69AF">
        <w:t>)</w:t>
      </w:r>
      <w:r w:rsidR="00673375">
        <w:t xml:space="preserve"> and their background information</w:t>
      </w:r>
      <w:r w:rsidR="00C72495">
        <w:t xml:space="preserve"> will be collected electronically</w:t>
      </w:r>
      <w:r w:rsidR="00077304">
        <w:t xml:space="preserve"> from </w:t>
      </w:r>
      <w:r w:rsidR="00673375" w:rsidRPr="00673375">
        <w:rPr>
          <w:rFonts w:cstheme="minorHAnsi"/>
        </w:rPr>
        <w:t xml:space="preserve">MO DESE </w:t>
      </w:r>
      <w:r w:rsidR="00C72495">
        <w:t>using a secure file</w:t>
      </w:r>
      <w:r w:rsidR="008E2269">
        <w:t>-</w:t>
      </w:r>
      <w:r w:rsidR="00C72495">
        <w:t xml:space="preserve">sharing </w:t>
      </w:r>
      <w:r w:rsidR="00033546">
        <w:t>mechanism</w:t>
      </w:r>
      <w:r w:rsidR="00C72495">
        <w:t xml:space="preserve">. </w:t>
      </w:r>
    </w:p>
    <w:p w14:paraId="61A35634" w14:textId="77777777" w:rsidR="007D2125" w:rsidRDefault="00E91D8D" w:rsidP="002A716E">
      <w:pPr>
        <w:rPr>
          <w:b/>
          <w:bCs/>
        </w:rPr>
      </w:pPr>
      <w:bookmarkStart w:id="8" w:name="_Toc364869923"/>
      <w:r>
        <w:rPr>
          <w:rStyle w:val="Heading2Char"/>
        </w:rPr>
        <w:t xml:space="preserve">A4. </w:t>
      </w:r>
      <w:proofErr w:type="gramStart"/>
      <w:r>
        <w:rPr>
          <w:rStyle w:val="Heading2Char"/>
        </w:rPr>
        <w:t>Efforts to Identify D</w:t>
      </w:r>
      <w:r w:rsidR="002A716E" w:rsidRPr="006D792F">
        <w:rPr>
          <w:rStyle w:val="Heading2Char"/>
        </w:rPr>
        <w:t>uplication.</w:t>
      </w:r>
      <w:bookmarkEnd w:id="8"/>
      <w:proofErr w:type="gramEnd"/>
      <w:r w:rsidR="002A716E" w:rsidRPr="002A716E">
        <w:rPr>
          <w:b/>
          <w:bCs/>
        </w:rPr>
        <w:t xml:space="preserve"> </w:t>
      </w:r>
    </w:p>
    <w:p w14:paraId="522EF456" w14:textId="77777777" w:rsidR="00C74CFE" w:rsidRDefault="00C74CFE" w:rsidP="00C74CFE">
      <w:r>
        <w:t xml:space="preserve">The survey data </w:t>
      </w:r>
      <w:r w:rsidR="00C7390C">
        <w:t>collects</w:t>
      </w:r>
      <w:r>
        <w:t xml:space="preserve"> unique data that addresses the need for understanding the implementation of clinical practice components of teacher preparation programs.</w:t>
      </w:r>
      <w:r w:rsidR="00AB45C6">
        <w:t xml:space="preserve"> </w:t>
      </w:r>
      <w:r>
        <w:t xml:space="preserve">REL Central reviewed the literature and determined that there is no alternative source for the information to be collected through the survey. </w:t>
      </w:r>
    </w:p>
    <w:p w14:paraId="6E607336" w14:textId="77777777" w:rsidR="002A716E" w:rsidRPr="002A716E" w:rsidRDefault="002A716E" w:rsidP="00256B19">
      <w:pPr>
        <w:pStyle w:val="Heading2"/>
        <w:spacing w:before="0" w:after="200"/>
      </w:pPr>
      <w:bookmarkStart w:id="9" w:name="_Toc364869924"/>
      <w:r w:rsidRPr="002A716E">
        <w:t xml:space="preserve">A5. </w:t>
      </w:r>
      <w:r w:rsidR="00E91D8D">
        <w:t>Sensitivity to Burden on Small Entities</w:t>
      </w:r>
      <w:bookmarkEnd w:id="9"/>
    </w:p>
    <w:p w14:paraId="0530D502" w14:textId="77777777" w:rsidR="007D1FCF" w:rsidRPr="007D1FCF" w:rsidRDefault="007D1FCF" w:rsidP="002A716E">
      <w:r>
        <w:t xml:space="preserve">The data collection does not involve small entities. </w:t>
      </w:r>
    </w:p>
    <w:p w14:paraId="3D6860E7" w14:textId="77777777" w:rsidR="002A716E" w:rsidRPr="002A716E" w:rsidRDefault="002A716E" w:rsidP="00E91D8D">
      <w:pPr>
        <w:pStyle w:val="Heading2"/>
        <w:spacing w:before="0" w:after="200"/>
      </w:pPr>
      <w:bookmarkStart w:id="10" w:name="_Toc364869925"/>
      <w:r w:rsidRPr="00884AB0">
        <w:t xml:space="preserve">A6. </w:t>
      </w:r>
      <w:r w:rsidR="00E91D8D">
        <w:t>C</w:t>
      </w:r>
      <w:r w:rsidRPr="00884AB0">
        <w:t>onsequence</w:t>
      </w:r>
      <w:r w:rsidR="00E91D8D">
        <w:t xml:space="preserve"> to Federal Program or Policy Activities if the Collection is Not Conducted or is Conducted Less F</w:t>
      </w:r>
      <w:r w:rsidRPr="00884AB0">
        <w:t>requently</w:t>
      </w:r>
      <w:bookmarkEnd w:id="10"/>
    </w:p>
    <w:p w14:paraId="685A5A14" w14:textId="69A96AEB" w:rsidR="00CB1126" w:rsidRDefault="00116A68" w:rsidP="002A716E">
      <w:r>
        <w:t>I</w:t>
      </w:r>
      <w:r w:rsidR="00077304">
        <w:t xml:space="preserve">f the proposed data were not collected, </w:t>
      </w:r>
      <w:r w:rsidR="0054235A">
        <w:t xml:space="preserve">the </w:t>
      </w:r>
      <w:r w:rsidR="00F90646">
        <w:t>alliance</w:t>
      </w:r>
      <w:r w:rsidR="00077304">
        <w:t xml:space="preserve"> would not have timely and relevant research on </w:t>
      </w:r>
      <w:r w:rsidR="0054235A">
        <w:t xml:space="preserve">clinical practice in traditional TPPs to </w:t>
      </w:r>
      <w:r w:rsidR="0054235A" w:rsidRPr="00673375">
        <w:rPr>
          <w:rFonts w:cstheme="minorHAnsi"/>
        </w:rPr>
        <w:t>understand the extent to which clinical practice components vary within and across programs</w:t>
      </w:r>
      <w:r w:rsidR="0054235A">
        <w:rPr>
          <w:rFonts w:cstheme="minorHAnsi"/>
        </w:rPr>
        <w:t xml:space="preserve"> </w:t>
      </w:r>
      <w:r>
        <w:rPr>
          <w:rFonts w:cstheme="minorHAnsi"/>
        </w:rPr>
        <w:t>and</w:t>
      </w:r>
      <w:r w:rsidRPr="00673375">
        <w:rPr>
          <w:rFonts w:cstheme="minorHAnsi"/>
        </w:rPr>
        <w:t xml:space="preserve"> </w:t>
      </w:r>
      <w:r w:rsidR="00F1651A">
        <w:rPr>
          <w:rFonts w:cstheme="minorHAnsi"/>
        </w:rPr>
        <w:t xml:space="preserve">to </w:t>
      </w:r>
      <w:r w:rsidR="0054235A" w:rsidRPr="00673375">
        <w:rPr>
          <w:rFonts w:cstheme="minorHAnsi"/>
        </w:rPr>
        <w:t>inform conversations about emerging state standards for TPPs</w:t>
      </w:r>
      <w:r w:rsidR="0054235A">
        <w:rPr>
          <w:rFonts w:cstheme="minorHAnsi"/>
        </w:rPr>
        <w:t xml:space="preserve">. </w:t>
      </w:r>
      <w:r>
        <w:rPr>
          <w:rFonts w:cstheme="minorHAnsi"/>
        </w:rPr>
        <w:t xml:space="preserve">Constituents in the region would not have descriptive data for comparison of the clinical practice components of particular traditional TPPs to state averages. The alliance would not have a descriptive dataset on which potential future studies might be based. </w:t>
      </w:r>
      <w:r w:rsidR="00077304">
        <w:t>T</w:t>
      </w:r>
      <w:r w:rsidR="00077304" w:rsidRPr="00077304">
        <w:t>he data will be collected only one time</w:t>
      </w:r>
      <w:r w:rsidR="007F4194">
        <w:t>;</w:t>
      </w:r>
      <w:r w:rsidR="00077304" w:rsidRPr="00077304">
        <w:t xml:space="preserve"> thus</w:t>
      </w:r>
      <w:r w:rsidR="007F4194">
        <w:t>,</w:t>
      </w:r>
      <w:r w:rsidR="00077304" w:rsidRPr="00077304">
        <w:t xml:space="preserve"> </w:t>
      </w:r>
      <w:r w:rsidR="00C92D3C" w:rsidRPr="00077304">
        <w:t>the</w:t>
      </w:r>
      <w:r w:rsidR="00C92D3C">
        <w:t>re</w:t>
      </w:r>
      <w:r w:rsidR="007F4194">
        <w:t xml:space="preserve"> is no “frequency” component to the data collection.</w:t>
      </w:r>
    </w:p>
    <w:p w14:paraId="6D3E9B23" w14:textId="77777777" w:rsidR="002A716E" w:rsidRPr="002A716E" w:rsidRDefault="002A716E" w:rsidP="006D792F">
      <w:pPr>
        <w:pStyle w:val="Heading2"/>
      </w:pPr>
      <w:bookmarkStart w:id="11" w:name="_Toc364869926"/>
      <w:r w:rsidRPr="002A716E">
        <w:t xml:space="preserve">A7. </w:t>
      </w:r>
      <w:r w:rsidR="00E91D8D">
        <w:t>Special Circumstances</w:t>
      </w:r>
      <w:bookmarkEnd w:id="11"/>
    </w:p>
    <w:p w14:paraId="15D280CF" w14:textId="77777777" w:rsidR="007D1FCF" w:rsidRPr="007D1FCF" w:rsidRDefault="007D1FCF" w:rsidP="00AB7D4F">
      <w:pPr>
        <w:spacing w:before="120" w:after="120"/>
      </w:pPr>
      <w:r>
        <w:t xml:space="preserve">There are no special circumstances. </w:t>
      </w:r>
    </w:p>
    <w:p w14:paraId="47A438AD" w14:textId="77777777" w:rsidR="007D1FCF" w:rsidRDefault="002A716E" w:rsidP="002A716E">
      <w:pPr>
        <w:rPr>
          <w:b/>
          <w:bCs/>
        </w:rPr>
      </w:pPr>
      <w:bookmarkStart w:id="12" w:name="_Toc364869927"/>
      <w:r w:rsidRPr="006D792F">
        <w:rPr>
          <w:rStyle w:val="Heading2Char"/>
        </w:rPr>
        <w:t xml:space="preserve">A8. </w:t>
      </w:r>
      <w:r w:rsidR="00E91D8D">
        <w:rPr>
          <w:rStyle w:val="Heading2Char"/>
        </w:rPr>
        <w:t>Federal Register Announcement and Consultation</w:t>
      </w:r>
      <w:bookmarkEnd w:id="12"/>
      <w:r w:rsidRPr="002A716E">
        <w:rPr>
          <w:b/>
          <w:bCs/>
        </w:rPr>
        <w:t xml:space="preserve"> </w:t>
      </w:r>
    </w:p>
    <w:p w14:paraId="021F1686" w14:textId="77777777" w:rsidR="007D1FCF" w:rsidRDefault="007D1FCF" w:rsidP="00967A34">
      <w:pPr>
        <w:pStyle w:val="Heading3"/>
      </w:pPr>
      <w:bookmarkStart w:id="13" w:name="_Toc364869928"/>
      <w:r>
        <w:t>Federal Register Announcement</w:t>
      </w:r>
      <w:bookmarkEnd w:id="13"/>
    </w:p>
    <w:p w14:paraId="7DAFC5B4" w14:textId="77777777" w:rsidR="007D1FCF" w:rsidRPr="00033546" w:rsidRDefault="0095463E" w:rsidP="002A716E">
      <w:r w:rsidRPr="00033546">
        <w:t xml:space="preserve">ED </w:t>
      </w:r>
      <w:r w:rsidR="007D1FCF" w:rsidRPr="00033546">
        <w:t xml:space="preserve">will publish Federal Register Notices to allow both a 60-day and 30-day public comment period. </w:t>
      </w:r>
      <w:r w:rsidR="009D6FA0" w:rsidRPr="00033546">
        <w:t xml:space="preserve">The REL will assist ED in addressing any </w:t>
      </w:r>
      <w:r w:rsidR="007D1FCF" w:rsidRPr="00033546">
        <w:t xml:space="preserve">public comments received. </w:t>
      </w:r>
    </w:p>
    <w:p w14:paraId="400ED155" w14:textId="77777777" w:rsidR="007D1FCF" w:rsidRDefault="007D1FCF" w:rsidP="00967A34">
      <w:pPr>
        <w:pStyle w:val="Heading3"/>
      </w:pPr>
      <w:bookmarkStart w:id="14" w:name="_Toc364869929"/>
      <w:r>
        <w:t>Consultations</w:t>
      </w:r>
      <w:r w:rsidR="00125A03">
        <w:t xml:space="preserve"> </w:t>
      </w:r>
      <w:proofErr w:type="gramStart"/>
      <w:r>
        <w:t>Outside</w:t>
      </w:r>
      <w:proofErr w:type="gramEnd"/>
      <w:r>
        <w:t xml:space="preserve"> the Agency</w:t>
      </w:r>
      <w:bookmarkEnd w:id="14"/>
    </w:p>
    <w:p w14:paraId="0C8B22FB" w14:textId="237799F5" w:rsidR="00D95E3F" w:rsidRPr="00212FEB" w:rsidRDefault="00693480" w:rsidP="00D95E3F">
      <w:pPr>
        <w:rPr>
          <w:bCs/>
        </w:rPr>
      </w:pPr>
      <w:r>
        <w:rPr>
          <w:bCs/>
        </w:rPr>
        <w:t xml:space="preserve">REL Central has consulted with research alliance members on the administration of the survey, the clarity of the instructions, and the survey instrument. </w:t>
      </w:r>
      <w:r w:rsidR="00D92CF3">
        <w:rPr>
          <w:bCs/>
        </w:rPr>
        <w:t xml:space="preserve">Feedback on the survey was solicited </w:t>
      </w:r>
      <w:r w:rsidR="00033546">
        <w:rPr>
          <w:bCs/>
        </w:rPr>
        <w:t xml:space="preserve">via email and </w:t>
      </w:r>
      <w:r w:rsidR="00D92CF3">
        <w:rPr>
          <w:bCs/>
        </w:rPr>
        <w:t>during a web conference hosted by REL Central in early 2013.</w:t>
      </w:r>
      <w:r w:rsidR="00AB45C6">
        <w:rPr>
          <w:bCs/>
        </w:rPr>
        <w:t xml:space="preserve"> </w:t>
      </w:r>
      <w:r>
        <w:rPr>
          <w:bCs/>
        </w:rPr>
        <w:t xml:space="preserve">We have also consulted with content and methods experts to develop the study. </w:t>
      </w:r>
      <w:r w:rsidR="00F11F58">
        <w:rPr>
          <w:bCs/>
        </w:rPr>
        <w:t xml:space="preserve">Table 1 lists the </w:t>
      </w:r>
      <w:r w:rsidR="00426125">
        <w:rPr>
          <w:bCs/>
        </w:rPr>
        <w:t xml:space="preserve">individuals </w:t>
      </w:r>
      <w:r w:rsidR="00F11F58">
        <w:rPr>
          <w:bCs/>
        </w:rPr>
        <w:t xml:space="preserve">who </w:t>
      </w:r>
      <w:r>
        <w:t>were consulted on the statistical, data collection, and</w:t>
      </w:r>
      <w:r w:rsidR="00F11F58">
        <w:t xml:space="preserve"> analytic aspects of this study.</w:t>
      </w:r>
      <w:r w:rsidR="00116A68">
        <w:t xml:space="preserve"> These individuals include members of REL Central’s Educator Effectiveness Research Alliance and Technical Working Group</w:t>
      </w:r>
      <w:r w:rsidR="00D95E3F">
        <w:t xml:space="preserve"> (TWG)</w:t>
      </w:r>
      <w:r w:rsidR="00116A68">
        <w:t>.</w:t>
      </w:r>
      <w:r w:rsidR="00D95E3F">
        <w:t xml:space="preserve"> </w:t>
      </w:r>
      <w:r w:rsidR="00D95E3F">
        <w:rPr>
          <w:bCs/>
        </w:rPr>
        <w:t xml:space="preserve">TWG members are experts in content and methodology and they provide consultation on the design, implementation, and analysis of the study. The research alliance members are educators and stakeholders in the Central Region who </w:t>
      </w:r>
      <w:r w:rsidR="00D95E3F" w:rsidRPr="00C14740">
        <w:rPr>
          <w:bCs/>
        </w:rPr>
        <w:t xml:space="preserve">share a specific education concern. </w:t>
      </w:r>
    </w:p>
    <w:p w14:paraId="6B36B50C" w14:textId="77777777" w:rsidR="00F11F58" w:rsidRPr="00F11F58" w:rsidRDefault="00F11F58" w:rsidP="00693480">
      <w:pPr>
        <w:rPr>
          <w:b/>
        </w:rPr>
      </w:pPr>
      <w:proofErr w:type="gramStart"/>
      <w:r w:rsidRPr="00F11F58">
        <w:rPr>
          <w:b/>
        </w:rPr>
        <w:t>Table 1.</w:t>
      </w:r>
      <w:proofErr w:type="gramEnd"/>
      <w:r w:rsidR="00AB45C6">
        <w:rPr>
          <w:b/>
        </w:rPr>
        <w:t xml:space="preserve"> </w:t>
      </w:r>
      <w:r w:rsidRPr="00F11F58">
        <w:rPr>
          <w:b/>
        </w:rPr>
        <w:t xml:space="preserve">Individuals Consulted </w:t>
      </w:r>
      <w:r>
        <w:rPr>
          <w:b/>
        </w:rPr>
        <w:t>as Part of Study Design and Development</w:t>
      </w:r>
    </w:p>
    <w:tbl>
      <w:tblPr>
        <w:tblStyle w:val="TableGrid"/>
        <w:tblW w:w="0" w:type="auto"/>
        <w:tblInd w:w="108" w:type="dxa"/>
        <w:tblLook w:val="04A0" w:firstRow="1" w:lastRow="0" w:firstColumn="1" w:lastColumn="0" w:noHBand="0" w:noVBand="1"/>
      </w:tblPr>
      <w:tblGrid>
        <w:gridCol w:w="1686"/>
        <w:gridCol w:w="1401"/>
        <w:gridCol w:w="1709"/>
        <w:gridCol w:w="1737"/>
        <w:gridCol w:w="2935"/>
      </w:tblGrid>
      <w:tr w:rsidR="00D95E3F" w:rsidRPr="007C68FD" w14:paraId="6A703D23" w14:textId="77777777" w:rsidTr="00D95E3F">
        <w:tc>
          <w:tcPr>
            <w:tcW w:w="1686" w:type="dxa"/>
            <w:tcBorders>
              <w:top w:val="single" w:sz="4" w:space="0" w:color="auto"/>
              <w:left w:val="single" w:sz="4" w:space="0" w:color="auto"/>
              <w:bottom w:val="single" w:sz="4" w:space="0" w:color="auto"/>
              <w:right w:val="single" w:sz="4" w:space="0" w:color="auto"/>
            </w:tcBorders>
            <w:hideMark/>
          </w:tcPr>
          <w:p w14:paraId="2CCC7EE1" w14:textId="77777777" w:rsidR="00D95E3F" w:rsidRPr="00D95E3F" w:rsidRDefault="00D95E3F">
            <w:pPr>
              <w:rPr>
                <w:b/>
                <w:sz w:val="16"/>
                <w:szCs w:val="16"/>
              </w:rPr>
            </w:pPr>
            <w:r w:rsidRPr="00D95E3F">
              <w:rPr>
                <w:b/>
                <w:sz w:val="16"/>
                <w:szCs w:val="16"/>
              </w:rPr>
              <w:t>Name</w:t>
            </w:r>
          </w:p>
        </w:tc>
        <w:tc>
          <w:tcPr>
            <w:tcW w:w="1401" w:type="dxa"/>
            <w:tcBorders>
              <w:top w:val="single" w:sz="4" w:space="0" w:color="auto"/>
              <w:left w:val="single" w:sz="4" w:space="0" w:color="auto"/>
              <w:bottom w:val="single" w:sz="4" w:space="0" w:color="auto"/>
              <w:right w:val="single" w:sz="4" w:space="0" w:color="auto"/>
            </w:tcBorders>
          </w:tcPr>
          <w:p w14:paraId="62CB42E5" w14:textId="75CB2F1F" w:rsidR="00D95E3F" w:rsidRPr="00D95E3F" w:rsidRDefault="00D95E3F">
            <w:pPr>
              <w:rPr>
                <w:b/>
                <w:sz w:val="16"/>
                <w:szCs w:val="16"/>
              </w:rPr>
            </w:pPr>
            <w:r w:rsidRPr="00D95E3F">
              <w:rPr>
                <w:b/>
                <w:sz w:val="16"/>
                <w:szCs w:val="16"/>
              </w:rPr>
              <w:t>Role</w:t>
            </w:r>
          </w:p>
        </w:tc>
        <w:tc>
          <w:tcPr>
            <w:tcW w:w="1709" w:type="dxa"/>
            <w:tcBorders>
              <w:top w:val="single" w:sz="4" w:space="0" w:color="auto"/>
              <w:left w:val="single" w:sz="4" w:space="0" w:color="auto"/>
              <w:bottom w:val="single" w:sz="4" w:space="0" w:color="auto"/>
              <w:right w:val="single" w:sz="4" w:space="0" w:color="auto"/>
            </w:tcBorders>
            <w:hideMark/>
          </w:tcPr>
          <w:p w14:paraId="3C2C3868" w14:textId="61FDDB19" w:rsidR="00D95E3F" w:rsidRPr="00D95E3F" w:rsidRDefault="00D95E3F">
            <w:pPr>
              <w:rPr>
                <w:b/>
                <w:sz w:val="16"/>
                <w:szCs w:val="16"/>
              </w:rPr>
            </w:pPr>
            <w:r w:rsidRPr="00D95E3F">
              <w:rPr>
                <w:b/>
                <w:sz w:val="16"/>
                <w:szCs w:val="16"/>
              </w:rPr>
              <w:t>Title</w:t>
            </w:r>
          </w:p>
        </w:tc>
        <w:tc>
          <w:tcPr>
            <w:tcW w:w="1737" w:type="dxa"/>
            <w:tcBorders>
              <w:top w:val="single" w:sz="4" w:space="0" w:color="auto"/>
              <w:left w:val="single" w:sz="4" w:space="0" w:color="auto"/>
              <w:bottom w:val="single" w:sz="4" w:space="0" w:color="auto"/>
              <w:right w:val="single" w:sz="4" w:space="0" w:color="auto"/>
            </w:tcBorders>
            <w:hideMark/>
          </w:tcPr>
          <w:p w14:paraId="077CD03E" w14:textId="77777777" w:rsidR="00D95E3F" w:rsidRPr="00D95E3F" w:rsidRDefault="00D95E3F">
            <w:pPr>
              <w:rPr>
                <w:b/>
                <w:sz w:val="16"/>
                <w:szCs w:val="16"/>
              </w:rPr>
            </w:pPr>
            <w:r w:rsidRPr="00D95E3F">
              <w:rPr>
                <w:b/>
                <w:sz w:val="16"/>
                <w:szCs w:val="16"/>
              </w:rPr>
              <w:t>Organization</w:t>
            </w:r>
          </w:p>
        </w:tc>
        <w:tc>
          <w:tcPr>
            <w:tcW w:w="2935" w:type="dxa"/>
            <w:tcBorders>
              <w:top w:val="single" w:sz="4" w:space="0" w:color="auto"/>
              <w:left w:val="single" w:sz="4" w:space="0" w:color="auto"/>
              <w:bottom w:val="single" w:sz="4" w:space="0" w:color="auto"/>
              <w:right w:val="single" w:sz="4" w:space="0" w:color="auto"/>
            </w:tcBorders>
            <w:hideMark/>
          </w:tcPr>
          <w:p w14:paraId="5A4D818F" w14:textId="77777777" w:rsidR="00D95E3F" w:rsidRPr="00D95E3F" w:rsidRDefault="00D95E3F">
            <w:pPr>
              <w:rPr>
                <w:b/>
                <w:sz w:val="16"/>
                <w:szCs w:val="16"/>
              </w:rPr>
            </w:pPr>
            <w:r w:rsidRPr="00D95E3F">
              <w:rPr>
                <w:b/>
                <w:sz w:val="16"/>
                <w:szCs w:val="16"/>
              </w:rPr>
              <w:t>Contact Information</w:t>
            </w:r>
          </w:p>
        </w:tc>
      </w:tr>
      <w:tr w:rsidR="00D95E3F" w:rsidRPr="007C68FD" w14:paraId="132FDEBB" w14:textId="77777777" w:rsidTr="00D95E3F">
        <w:tc>
          <w:tcPr>
            <w:tcW w:w="1686" w:type="dxa"/>
            <w:tcBorders>
              <w:top w:val="single" w:sz="4" w:space="0" w:color="auto"/>
              <w:left w:val="single" w:sz="4" w:space="0" w:color="auto"/>
              <w:bottom w:val="single" w:sz="4" w:space="0" w:color="auto"/>
              <w:right w:val="single" w:sz="4" w:space="0" w:color="auto"/>
            </w:tcBorders>
          </w:tcPr>
          <w:p w14:paraId="0B8D5E32" w14:textId="77777777" w:rsidR="00D95E3F" w:rsidRPr="007C68FD" w:rsidRDefault="00D95E3F" w:rsidP="0054235A">
            <w:pPr>
              <w:rPr>
                <w:sz w:val="16"/>
                <w:szCs w:val="16"/>
              </w:rPr>
            </w:pPr>
            <w:r w:rsidRPr="007C68FD">
              <w:rPr>
                <w:sz w:val="16"/>
                <w:szCs w:val="16"/>
              </w:rPr>
              <w:t xml:space="preserve">Gale Hairston </w:t>
            </w:r>
          </w:p>
        </w:tc>
        <w:tc>
          <w:tcPr>
            <w:tcW w:w="1401" w:type="dxa"/>
            <w:tcBorders>
              <w:top w:val="single" w:sz="4" w:space="0" w:color="auto"/>
              <w:left w:val="single" w:sz="4" w:space="0" w:color="auto"/>
              <w:bottom w:val="single" w:sz="4" w:space="0" w:color="auto"/>
              <w:right w:val="single" w:sz="4" w:space="0" w:color="auto"/>
            </w:tcBorders>
          </w:tcPr>
          <w:p w14:paraId="6AEEB735" w14:textId="15E0C68E" w:rsidR="00D95E3F" w:rsidRPr="007C68FD" w:rsidRDefault="00D95E3F" w:rsidP="0054235A">
            <w:pPr>
              <w:rPr>
                <w:sz w:val="16"/>
                <w:szCs w:val="16"/>
              </w:rPr>
            </w:pPr>
            <w:r>
              <w:rPr>
                <w:sz w:val="16"/>
                <w:szCs w:val="16"/>
              </w:rPr>
              <w:t>Alliance Member</w:t>
            </w:r>
          </w:p>
        </w:tc>
        <w:tc>
          <w:tcPr>
            <w:tcW w:w="1709" w:type="dxa"/>
            <w:tcBorders>
              <w:top w:val="single" w:sz="4" w:space="0" w:color="auto"/>
              <w:left w:val="single" w:sz="4" w:space="0" w:color="auto"/>
              <w:bottom w:val="single" w:sz="4" w:space="0" w:color="auto"/>
              <w:right w:val="single" w:sz="4" w:space="0" w:color="auto"/>
            </w:tcBorders>
          </w:tcPr>
          <w:p w14:paraId="49634AAD" w14:textId="162A2C35" w:rsidR="00D95E3F" w:rsidRPr="007C68FD" w:rsidRDefault="00D95E3F" w:rsidP="0054235A">
            <w:pPr>
              <w:rPr>
                <w:sz w:val="16"/>
                <w:szCs w:val="16"/>
              </w:rPr>
            </w:pPr>
            <w:r w:rsidRPr="007C68FD">
              <w:rPr>
                <w:sz w:val="16"/>
                <w:szCs w:val="16"/>
              </w:rPr>
              <w:t xml:space="preserve">Director, Educator Preparation </w:t>
            </w:r>
          </w:p>
        </w:tc>
        <w:tc>
          <w:tcPr>
            <w:tcW w:w="1737" w:type="dxa"/>
            <w:tcBorders>
              <w:top w:val="single" w:sz="4" w:space="0" w:color="auto"/>
              <w:left w:val="single" w:sz="4" w:space="0" w:color="auto"/>
              <w:bottom w:val="single" w:sz="4" w:space="0" w:color="auto"/>
              <w:right w:val="single" w:sz="4" w:space="0" w:color="auto"/>
            </w:tcBorders>
          </w:tcPr>
          <w:p w14:paraId="0134B6A1" w14:textId="77777777" w:rsidR="00D95E3F" w:rsidRPr="007C68FD" w:rsidRDefault="00D95E3F" w:rsidP="00D92CF3">
            <w:pPr>
              <w:rPr>
                <w:sz w:val="16"/>
                <w:szCs w:val="16"/>
              </w:rPr>
            </w:pPr>
            <w:r w:rsidRPr="007C68FD">
              <w:rPr>
                <w:sz w:val="16"/>
                <w:szCs w:val="16"/>
              </w:rPr>
              <w:t>Missouri Department of Elementary and Secondary Education (MO DESE)</w:t>
            </w:r>
          </w:p>
        </w:tc>
        <w:tc>
          <w:tcPr>
            <w:tcW w:w="2935" w:type="dxa"/>
            <w:tcBorders>
              <w:top w:val="single" w:sz="4" w:space="0" w:color="auto"/>
              <w:left w:val="single" w:sz="4" w:space="0" w:color="auto"/>
              <w:bottom w:val="single" w:sz="4" w:space="0" w:color="auto"/>
              <w:right w:val="single" w:sz="4" w:space="0" w:color="auto"/>
            </w:tcBorders>
          </w:tcPr>
          <w:p w14:paraId="5E4EE18E" w14:textId="77777777" w:rsidR="00D95E3F" w:rsidRPr="007C68FD" w:rsidRDefault="00D95E3F" w:rsidP="009A0B5E">
            <w:pPr>
              <w:rPr>
                <w:sz w:val="16"/>
                <w:szCs w:val="16"/>
              </w:rPr>
            </w:pPr>
            <w:r w:rsidRPr="007C68FD">
              <w:rPr>
                <w:sz w:val="16"/>
                <w:szCs w:val="16"/>
              </w:rPr>
              <w:t>Gale.Hairston@dese.mo.gov</w:t>
            </w:r>
          </w:p>
        </w:tc>
      </w:tr>
      <w:tr w:rsidR="00D95E3F" w:rsidRPr="007C68FD" w14:paraId="3AD4AF00" w14:textId="77777777" w:rsidTr="00D95E3F">
        <w:tc>
          <w:tcPr>
            <w:tcW w:w="1686" w:type="dxa"/>
            <w:tcBorders>
              <w:top w:val="single" w:sz="4" w:space="0" w:color="auto"/>
              <w:left w:val="single" w:sz="4" w:space="0" w:color="auto"/>
              <w:bottom w:val="single" w:sz="4" w:space="0" w:color="auto"/>
              <w:right w:val="single" w:sz="4" w:space="0" w:color="auto"/>
            </w:tcBorders>
          </w:tcPr>
          <w:p w14:paraId="2E805838" w14:textId="77777777" w:rsidR="00D95E3F" w:rsidRPr="007C68FD" w:rsidRDefault="00D95E3F" w:rsidP="009A0B5E">
            <w:pPr>
              <w:rPr>
                <w:sz w:val="16"/>
                <w:szCs w:val="16"/>
              </w:rPr>
            </w:pPr>
            <w:r w:rsidRPr="007C68FD">
              <w:rPr>
                <w:sz w:val="16"/>
                <w:szCs w:val="16"/>
              </w:rPr>
              <w:t xml:space="preserve">Heather </w:t>
            </w:r>
            <w:proofErr w:type="spellStart"/>
            <w:r w:rsidRPr="007C68FD">
              <w:rPr>
                <w:sz w:val="16"/>
                <w:szCs w:val="16"/>
              </w:rPr>
              <w:t>MacCleoud</w:t>
            </w:r>
            <w:proofErr w:type="spellEnd"/>
          </w:p>
        </w:tc>
        <w:tc>
          <w:tcPr>
            <w:tcW w:w="1401" w:type="dxa"/>
            <w:tcBorders>
              <w:top w:val="single" w:sz="4" w:space="0" w:color="auto"/>
              <w:left w:val="single" w:sz="4" w:space="0" w:color="auto"/>
              <w:bottom w:val="single" w:sz="4" w:space="0" w:color="auto"/>
              <w:right w:val="single" w:sz="4" w:space="0" w:color="auto"/>
            </w:tcBorders>
          </w:tcPr>
          <w:p w14:paraId="44E3E5E6" w14:textId="035C26E4" w:rsidR="00D95E3F" w:rsidRPr="007C68FD" w:rsidRDefault="00D95E3F" w:rsidP="009A0B5E">
            <w:pPr>
              <w:rPr>
                <w:sz w:val="16"/>
                <w:szCs w:val="16"/>
              </w:rPr>
            </w:pPr>
            <w:r>
              <w:rPr>
                <w:sz w:val="16"/>
                <w:szCs w:val="16"/>
              </w:rPr>
              <w:t>Alliance Member</w:t>
            </w:r>
          </w:p>
        </w:tc>
        <w:tc>
          <w:tcPr>
            <w:tcW w:w="1709" w:type="dxa"/>
            <w:tcBorders>
              <w:top w:val="single" w:sz="4" w:space="0" w:color="auto"/>
              <w:left w:val="single" w:sz="4" w:space="0" w:color="auto"/>
              <w:bottom w:val="single" w:sz="4" w:space="0" w:color="auto"/>
              <w:right w:val="single" w:sz="4" w:space="0" w:color="auto"/>
            </w:tcBorders>
          </w:tcPr>
          <w:p w14:paraId="0CC51D3C" w14:textId="62F750CE" w:rsidR="00D95E3F" w:rsidRPr="007C68FD" w:rsidRDefault="00D95E3F" w:rsidP="009A0B5E">
            <w:pPr>
              <w:rPr>
                <w:sz w:val="16"/>
                <w:szCs w:val="16"/>
              </w:rPr>
            </w:pPr>
            <w:r w:rsidRPr="007C68FD">
              <w:rPr>
                <w:sz w:val="16"/>
                <w:szCs w:val="16"/>
              </w:rPr>
              <w:t>Assistant Director, Educator Preparation</w:t>
            </w:r>
          </w:p>
        </w:tc>
        <w:tc>
          <w:tcPr>
            <w:tcW w:w="1737" w:type="dxa"/>
            <w:tcBorders>
              <w:top w:val="single" w:sz="4" w:space="0" w:color="auto"/>
              <w:left w:val="single" w:sz="4" w:space="0" w:color="auto"/>
              <w:bottom w:val="single" w:sz="4" w:space="0" w:color="auto"/>
              <w:right w:val="single" w:sz="4" w:space="0" w:color="auto"/>
            </w:tcBorders>
          </w:tcPr>
          <w:p w14:paraId="00FF45D1" w14:textId="77777777" w:rsidR="00D95E3F" w:rsidRPr="007C68FD" w:rsidRDefault="00D95E3F" w:rsidP="009A0B5E">
            <w:pPr>
              <w:rPr>
                <w:sz w:val="16"/>
                <w:szCs w:val="16"/>
              </w:rPr>
            </w:pPr>
            <w:r w:rsidRPr="007C68FD">
              <w:rPr>
                <w:sz w:val="16"/>
                <w:szCs w:val="16"/>
              </w:rPr>
              <w:t>MO DESE</w:t>
            </w:r>
          </w:p>
        </w:tc>
        <w:tc>
          <w:tcPr>
            <w:tcW w:w="2935" w:type="dxa"/>
            <w:tcBorders>
              <w:top w:val="single" w:sz="4" w:space="0" w:color="auto"/>
              <w:left w:val="single" w:sz="4" w:space="0" w:color="auto"/>
              <w:bottom w:val="single" w:sz="4" w:space="0" w:color="auto"/>
              <w:right w:val="single" w:sz="4" w:space="0" w:color="auto"/>
            </w:tcBorders>
          </w:tcPr>
          <w:p w14:paraId="5C260D2F" w14:textId="77777777" w:rsidR="00D95E3F" w:rsidRPr="007C68FD" w:rsidRDefault="00D95E3F" w:rsidP="009A0B5E">
            <w:pPr>
              <w:rPr>
                <w:sz w:val="16"/>
                <w:szCs w:val="16"/>
              </w:rPr>
            </w:pPr>
            <w:r w:rsidRPr="007C68FD">
              <w:rPr>
                <w:sz w:val="16"/>
                <w:szCs w:val="16"/>
              </w:rPr>
              <w:t>Heather.MacCleoud@dese.mo.gov</w:t>
            </w:r>
          </w:p>
        </w:tc>
      </w:tr>
      <w:tr w:rsidR="00D95E3F" w:rsidRPr="007C68FD" w14:paraId="286A4CC4" w14:textId="77777777" w:rsidTr="00D95E3F">
        <w:tc>
          <w:tcPr>
            <w:tcW w:w="1686" w:type="dxa"/>
            <w:tcBorders>
              <w:top w:val="single" w:sz="4" w:space="0" w:color="auto"/>
              <w:left w:val="single" w:sz="4" w:space="0" w:color="auto"/>
              <w:bottom w:val="single" w:sz="4" w:space="0" w:color="auto"/>
              <w:right w:val="single" w:sz="4" w:space="0" w:color="auto"/>
            </w:tcBorders>
          </w:tcPr>
          <w:p w14:paraId="0C4A59A9" w14:textId="77777777" w:rsidR="00D95E3F" w:rsidRPr="007C68FD" w:rsidRDefault="00D95E3F" w:rsidP="009A0B5E">
            <w:pPr>
              <w:rPr>
                <w:sz w:val="16"/>
                <w:szCs w:val="16"/>
              </w:rPr>
            </w:pPr>
            <w:r w:rsidRPr="007C68FD">
              <w:rPr>
                <w:sz w:val="16"/>
                <w:szCs w:val="16"/>
              </w:rPr>
              <w:t>Michael Allen</w:t>
            </w:r>
          </w:p>
        </w:tc>
        <w:tc>
          <w:tcPr>
            <w:tcW w:w="1401" w:type="dxa"/>
            <w:tcBorders>
              <w:top w:val="single" w:sz="4" w:space="0" w:color="auto"/>
              <w:left w:val="single" w:sz="4" w:space="0" w:color="auto"/>
              <w:bottom w:val="single" w:sz="4" w:space="0" w:color="auto"/>
              <w:right w:val="single" w:sz="4" w:space="0" w:color="auto"/>
            </w:tcBorders>
          </w:tcPr>
          <w:p w14:paraId="312D2711" w14:textId="1736A9CD" w:rsidR="00D95E3F" w:rsidRPr="007C68FD" w:rsidRDefault="00D95E3F" w:rsidP="009A0B5E">
            <w:pPr>
              <w:rPr>
                <w:sz w:val="16"/>
                <w:szCs w:val="16"/>
              </w:rPr>
            </w:pPr>
            <w:r>
              <w:rPr>
                <w:sz w:val="16"/>
                <w:szCs w:val="16"/>
              </w:rPr>
              <w:t>TWG Member</w:t>
            </w:r>
          </w:p>
        </w:tc>
        <w:tc>
          <w:tcPr>
            <w:tcW w:w="1709" w:type="dxa"/>
            <w:tcBorders>
              <w:top w:val="single" w:sz="4" w:space="0" w:color="auto"/>
              <w:left w:val="single" w:sz="4" w:space="0" w:color="auto"/>
              <w:bottom w:val="single" w:sz="4" w:space="0" w:color="auto"/>
              <w:right w:val="single" w:sz="4" w:space="0" w:color="auto"/>
            </w:tcBorders>
          </w:tcPr>
          <w:p w14:paraId="1B5E66E3" w14:textId="75F77414" w:rsidR="00D95E3F" w:rsidRPr="007C68FD" w:rsidRDefault="00D95E3F" w:rsidP="009A0B5E">
            <w:pPr>
              <w:rPr>
                <w:sz w:val="16"/>
                <w:szCs w:val="16"/>
              </w:rPr>
            </w:pPr>
            <w:r w:rsidRPr="007C68FD">
              <w:rPr>
                <w:sz w:val="16"/>
                <w:szCs w:val="16"/>
              </w:rPr>
              <w:t>Senior Research Consultant</w:t>
            </w:r>
          </w:p>
        </w:tc>
        <w:tc>
          <w:tcPr>
            <w:tcW w:w="1737" w:type="dxa"/>
            <w:tcBorders>
              <w:top w:val="single" w:sz="4" w:space="0" w:color="auto"/>
              <w:left w:val="single" w:sz="4" w:space="0" w:color="auto"/>
              <w:bottom w:val="single" w:sz="4" w:space="0" w:color="auto"/>
              <w:right w:val="single" w:sz="4" w:space="0" w:color="auto"/>
            </w:tcBorders>
          </w:tcPr>
          <w:p w14:paraId="0F9DD8AD" w14:textId="77777777" w:rsidR="00D95E3F" w:rsidRPr="007C68FD" w:rsidRDefault="00D95E3F" w:rsidP="009A0B5E">
            <w:pPr>
              <w:rPr>
                <w:sz w:val="16"/>
                <w:szCs w:val="16"/>
              </w:rPr>
            </w:pPr>
            <w:r w:rsidRPr="007C68FD">
              <w:rPr>
                <w:sz w:val="16"/>
                <w:szCs w:val="16"/>
              </w:rPr>
              <w:t>Teacher Preparation Analytics</w:t>
            </w:r>
          </w:p>
        </w:tc>
        <w:tc>
          <w:tcPr>
            <w:tcW w:w="2935" w:type="dxa"/>
            <w:tcBorders>
              <w:top w:val="single" w:sz="4" w:space="0" w:color="auto"/>
              <w:left w:val="single" w:sz="4" w:space="0" w:color="auto"/>
              <w:bottom w:val="single" w:sz="4" w:space="0" w:color="auto"/>
              <w:right w:val="single" w:sz="4" w:space="0" w:color="auto"/>
            </w:tcBorders>
          </w:tcPr>
          <w:p w14:paraId="358E1FE4" w14:textId="77777777" w:rsidR="00D95E3F" w:rsidRPr="007C68FD" w:rsidRDefault="00D95E3F" w:rsidP="009A0B5E">
            <w:pPr>
              <w:rPr>
                <w:sz w:val="16"/>
                <w:szCs w:val="16"/>
              </w:rPr>
            </w:pPr>
            <w:r w:rsidRPr="007C68FD">
              <w:rPr>
                <w:sz w:val="16"/>
                <w:szCs w:val="16"/>
              </w:rPr>
              <w:t>michael.allen@teacherprepanalytics.com</w:t>
            </w:r>
          </w:p>
        </w:tc>
      </w:tr>
      <w:tr w:rsidR="00D95E3F" w:rsidRPr="007C68FD" w14:paraId="30C5A7F4" w14:textId="77777777" w:rsidTr="00D95E3F">
        <w:tc>
          <w:tcPr>
            <w:tcW w:w="1686" w:type="dxa"/>
            <w:tcBorders>
              <w:top w:val="single" w:sz="4" w:space="0" w:color="auto"/>
              <w:left w:val="single" w:sz="4" w:space="0" w:color="auto"/>
              <w:bottom w:val="single" w:sz="4" w:space="0" w:color="auto"/>
              <w:right w:val="single" w:sz="4" w:space="0" w:color="auto"/>
            </w:tcBorders>
          </w:tcPr>
          <w:p w14:paraId="110FB401" w14:textId="77777777" w:rsidR="00D95E3F" w:rsidRPr="007C68FD" w:rsidRDefault="00D95E3F" w:rsidP="009A0B5E">
            <w:pPr>
              <w:rPr>
                <w:sz w:val="16"/>
                <w:szCs w:val="16"/>
              </w:rPr>
            </w:pPr>
            <w:r w:rsidRPr="007C68FD">
              <w:rPr>
                <w:sz w:val="16"/>
                <w:szCs w:val="16"/>
              </w:rPr>
              <w:t xml:space="preserve">Bruce </w:t>
            </w:r>
            <w:proofErr w:type="spellStart"/>
            <w:r w:rsidRPr="007C68FD">
              <w:rPr>
                <w:sz w:val="16"/>
                <w:szCs w:val="16"/>
              </w:rPr>
              <w:t>Randel</w:t>
            </w:r>
            <w:proofErr w:type="spellEnd"/>
          </w:p>
        </w:tc>
        <w:tc>
          <w:tcPr>
            <w:tcW w:w="1401" w:type="dxa"/>
            <w:tcBorders>
              <w:top w:val="single" w:sz="4" w:space="0" w:color="auto"/>
              <w:left w:val="single" w:sz="4" w:space="0" w:color="auto"/>
              <w:bottom w:val="single" w:sz="4" w:space="0" w:color="auto"/>
              <w:right w:val="single" w:sz="4" w:space="0" w:color="auto"/>
            </w:tcBorders>
          </w:tcPr>
          <w:p w14:paraId="4133B8B7" w14:textId="3B04770A" w:rsidR="00D95E3F" w:rsidRPr="007C68FD" w:rsidRDefault="00D95E3F" w:rsidP="009A0B5E">
            <w:pPr>
              <w:rPr>
                <w:sz w:val="16"/>
                <w:szCs w:val="16"/>
              </w:rPr>
            </w:pPr>
            <w:r>
              <w:rPr>
                <w:sz w:val="16"/>
                <w:szCs w:val="16"/>
              </w:rPr>
              <w:t>TWG Member</w:t>
            </w:r>
          </w:p>
        </w:tc>
        <w:tc>
          <w:tcPr>
            <w:tcW w:w="1709" w:type="dxa"/>
            <w:tcBorders>
              <w:top w:val="single" w:sz="4" w:space="0" w:color="auto"/>
              <w:left w:val="single" w:sz="4" w:space="0" w:color="auto"/>
              <w:bottom w:val="single" w:sz="4" w:space="0" w:color="auto"/>
              <w:right w:val="single" w:sz="4" w:space="0" w:color="auto"/>
            </w:tcBorders>
          </w:tcPr>
          <w:p w14:paraId="227931B4" w14:textId="2C407E22" w:rsidR="00D95E3F" w:rsidRPr="007C68FD" w:rsidRDefault="00D95E3F" w:rsidP="009A0B5E">
            <w:pPr>
              <w:rPr>
                <w:sz w:val="16"/>
                <w:szCs w:val="16"/>
              </w:rPr>
            </w:pPr>
            <w:r w:rsidRPr="007C68FD">
              <w:rPr>
                <w:sz w:val="16"/>
                <w:szCs w:val="16"/>
              </w:rPr>
              <w:t>President</w:t>
            </w:r>
          </w:p>
        </w:tc>
        <w:tc>
          <w:tcPr>
            <w:tcW w:w="1737" w:type="dxa"/>
            <w:tcBorders>
              <w:top w:val="single" w:sz="4" w:space="0" w:color="auto"/>
              <w:left w:val="single" w:sz="4" w:space="0" w:color="auto"/>
              <w:bottom w:val="single" w:sz="4" w:space="0" w:color="auto"/>
              <w:right w:val="single" w:sz="4" w:space="0" w:color="auto"/>
            </w:tcBorders>
          </w:tcPr>
          <w:p w14:paraId="1E7487BB" w14:textId="77777777" w:rsidR="00D95E3F" w:rsidRPr="007C68FD" w:rsidRDefault="00D95E3F" w:rsidP="009A0B5E">
            <w:pPr>
              <w:rPr>
                <w:sz w:val="16"/>
                <w:szCs w:val="16"/>
              </w:rPr>
            </w:pPr>
            <w:r>
              <w:rPr>
                <w:sz w:val="16"/>
                <w:szCs w:val="16"/>
              </w:rPr>
              <w:t>Century Analytics</w:t>
            </w:r>
          </w:p>
        </w:tc>
        <w:tc>
          <w:tcPr>
            <w:tcW w:w="2935" w:type="dxa"/>
            <w:tcBorders>
              <w:top w:val="single" w:sz="4" w:space="0" w:color="auto"/>
              <w:left w:val="single" w:sz="4" w:space="0" w:color="auto"/>
              <w:bottom w:val="single" w:sz="4" w:space="0" w:color="auto"/>
              <w:right w:val="single" w:sz="4" w:space="0" w:color="auto"/>
            </w:tcBorders>
          </w:tcPr>
          <w:p w14:paraId="7787D364" w14:textId="77777777" w:rsidR="00D95E3F" w:rsidRPr="007C68FD" w:rsidRDefault="00D95E3F" w:rsidP="009A0B5E">
            <w:pPr>
              <w:rPr>
                <w:sz w:val="16"/>
                <w:szCs w:val="16"/>
              </w:rPr>
            </w:pPr>
            <w:r w:rsidRPr="007C68FD">
              <w:rPr>
                <w:sz w:val="16"/>
                <w:szCs w:val="16"/>
              </w:rPr>
              <w:t>bruce.randel@centuryanalytics.com</w:t>
            </w:r>
          </w:p>
        </w:tc>
      </w:tr>
      <w:tr w:rsidR="00D95E3F" w:rsidRPr="007C68FD" w14:paraId="13AF5422" w14:textId="77777777" w:rsidTr="00D95E3F">
        <w:tc>
          <w:tcPr>
            <w:tcW w:w="1686" w:type="dxa"/>
            <w:tcBorders>
              <w:top w:val="single" w:sz="4" w:space="0" w:color="auto"/>
              <w:left w:val="single" w:sz="4" w:space="0" w:color="auto"/>
              <w:bottom w:val="single" w:sz="4" w:space="0" w:color="auto"/>
              <w:right w:val="single" w:sz="4" w:space="0" w:color="auto"/>
            </w:tcBorders>
          </w:tcPr>
          <w:p w14:paraId="29C90299" w14:textId="77777777" w:rsidR="00D95E3F" w:rsidRPr="007C68FD" w:rsidRDefault="00D95E3F" w:rsidP="009A0B5E">
            <w:pPr>
              <w:rPr>
                <w:sz w:val="16"/>
                <w:szCs w:val="16"/>
              </w:rPr>
            </w:pPr>
            <w:r w:rsidRPr="007C68FD">
              <w:rPr>
                <w:sz w:val="16"/>
                <w:szCs w:val="16"/>
              </w:rPr>
              <w:t>Carmelita Lamb</w:t>
            </w:r>
          </w:p>
        </w:tc>
        <w:tc>
          <w:tcPr>
            <w:tcW w:w="1401" w:type="dxa"/>
            <w:tcBorders>
              <w:top w:val="single" w:sz="4" w:space="0" w:color="auto"/>
              <w:left w:val="single" w:sz="4" w:space="0" w:color="auto"/>
              <w:bottom w:val="single" w:sz="4" w:space="0" w:color="auto"/>
              <w:right w:val="single" w:sz="4" w:space="0" w:color="auto"/>
            </w:tcBorders>
          </w:tcPr>
          <w:p w14:paraId="1BE83D95" w14:textId="014C9B13" w:rsidR="00D95E3F" w:rsidRPr="007C68FD" w:rsidRDefault="00D95E3F" w:rsidP="009A0B5E">
            <w:pPr>
              <w:rPr>
                <w:sz w:val="16"/>
                <w:szCs w:val="16"/>
              </w:rPr>
            </w:pPr>
            <w:r>
              <w:rPr>
                <w:sz w:val="16"/>
                <w:szCs w:val="16"/>
              </w:rPr>
              <w:t>Alliance Member</w:t>
            </w:r>
          </w:p>
        </w:tc>
        <w:tc>
          <w:tcPr>
            <w:tcW w:w="1709" w:type="dxa"/>
            <w:tcBorders>
              <w:top w:val="single" w:sz="4" w:space="0" w:color="auto"/>
              <w:left w:val="single" w:sz="4" w:space="0" w:color="auto"/>
              <w:bottom w:val="single" w:sz="4" w:space="0" w:color="auto"/>
              <w:right w:val="single" w:sz="4" w:space="0" w:color="auto"/>
            </w:tcBorders>
          </w:tcPr>
          <w:p w14:paraId="1F7581F3" w14:textId="78422090" w:rsidR="00D95E3F" w:rsidRPr="007C68FD" w:rsidRDefault="00D95E3F" w:rsidP="009A0B5E">
            <w:pPr>
              <w:rPr>
                <w:sz w:val="16"/>
                <w:szCs w:val="16"/>
              </w:rPr>
            </w:pPr>
            <w:r w:rsidRPr="007C68FD">
              <w:rPr>
                <w:sz w:val="16"/>
                <w:szCs w:val="16"/>
              </w:rPr>
              <w:t>Teacher Education Department Chair</w:t>
            </w:r>
          </w:p>
        </w:tc>
        <w:tc>
          <w:tcPr>
            <w:tcW w:w="1737" w:type="dxa"/>
            <w:tcBorders>
              <w:top w:val="single" w:sz="4" w:space="0" w:color="auto"/>
              <w:left w:val="single" w:sz="4" w:space="0" w:color="auto"/>
              <w:bottom w:val="single" w:sz="4" w:space="0" w:color="auto"/>
              <w:right w:val="single" w:sz="4" w:space="0" w:color="auto"/>
            </w:tcBorders>
          </w:tcPr>
          <w:p w14:paraId="7A06FCFF" w14:textId="77777777" w:rsidR="00D95E3F" w:rsidRPr="007C68FD" w:rsidRDefault="00D95E3F" w:rsidP="009A0B5E">
            <w:pPr>
              <w:rPr>
                <w:sz w:val="16"/>
                <w:szCs w:val="16"/>
              </w:rPr>
            </w:pPr>
            <w:r w:rsidRPr="007C68FD">
              <w:rPr>
                <w:sz w:val="16"/>
                <w:szCs w:val="16"/>
              </w:rPr>
              <w:t>Turtle Mountain Community College</w:t>
            </w:r>
          </w:p>
        </w:tc>
        <w:tc>
          <w:tcPr>
            <w:tcW w:w="2935" w:type="dxa"/>
            <w:tcBorders>
              <w:top w:val="single" w:sz="4" w:space="0" w:color="auto"/>
              <w:left w:val="single" w:sz="4" w:space="0" w:color="auto"/>
              <w:bottom w:val="single" w:sz="4" w:space="0" w:color="auto"/>
              <w:right w:val="single" w:sz="4" w:space="0" w:color="auto"/>
            </w:tcBorders>
          </w:tcPr>
          <w:p w14:paraId="7924CBE7" w14:textId="77777777" w:rsidR="00D95E3F" w:rsidRPr="007C68FD" w:rsidRDefault="00D95E3F" w:rsidP="009A0B5E">
            <w:pPr>
              <w:rPr>
                <w:sz w:val="16"/>
                <w:szCs w:val="16"/>
              </w:rPr>
            </w:pPr>
            <w:r w:rsidRPr="007C68FD">
              <w:rPr>
                <w:sz w:val="16"/>
                <w:szCs w:val="16"/>
              </w:rPr>
              <w:t>lamb@tm.edu</w:t>
            </w:r>
          </w:p>
        </w:tc>
      </w:tr>
      <w:tr w:rsidR="00D95E3F" w:rsidRPr="007C68FD" w14:paraId="1FDB694D" w14:textId="77777777" w:rsidTr="00D95E3F">
        <w:tc>
          <w:tcPr>
            <w:tcW w:w="1686" w:type="dxa"/>
            <w:tcBorders>
              <w:top w:val="single" w:sz="4" w:space="0" w:color="auto"/>
              <w:left w:val="single" w:sz="4" w:space="0" w:color="auto"/>
              <w:bottom w:val="single" w:sz="4" w:space="0" w:color="auto"/>
              <w:right w:val="single" w:sz="4" w:space="0" w:color="auto"/>
            </w:tcBorders>
          </w:tcPr>
          <w:p w14:paraId="483B4F87" w14:textId="77777777" w:rsidR="00D95E3F" w:rsidRPr="007C68FD" w:rsidRDefault="00D95E3F" w:rsidP="009A0B5E">
            <w:pPr>
              <w:rPr>
                <w:sz w:val="16"/>
                <w:szCs w:val="16"/>
              </w:rPr>
            </w:pPr>
            <w:r w:rsidRPr="007C68FD">
              <w:rPr>
                <w:sz w:val="16"/>
                <w:szCs w:val="16"/>
              </w:rPr>
              <w:t xml:space="preserve">Carole </w:t>
            </w:r>
            <w:proofErr w:type="spellStart"/>
            <w:r w:rsidRPr="007C68FD">
              <w:rPr>
                <w:sz w:val="16"/>
                <w:szCs w:val="16"/>
              </w:rPr>
              <w:t>Basile</w:t>
            </w:r>
            <w:proofErr w:type="spellEnd"/>
          </w:p>
        </w:tc>
        <w:tc>
          <w:tcPr>
            <w:tcW w:w="1401" w:type="dxa"/>
            <w:tcBorders>
              <w:top w:val="single" w:sz="4" w:space="0" w:color="auto"/>
              <w:left w:val="single" w:sz="4" w:space="0" w:color="auto"/>
              <w:bottom w:val="single" w:sz="4" w:space="0" w:color="auto"/>
              <w:right w:val="single" w:sz="4" w:space="0" w:color="auto"/>
            </w:tcBorders>
          </w:tcPr>
          <w:p w14:paraId="0FAF494A" w14:textId="72E5DBC0" w:rsidR="00D95E3F" w:rsidRPr="007C68FD" w:rsidRDefault="00D95E3F" w:rsidP="009A0B5E">
            <w:pPr>
              <w:rPr>
                <w:sz w:val="16"/>
                <w:szCs w:val="16"/>
              </w:rPr>
            </w:pPr>
            <w:r>
              <w:rPr>
                <w:sz w:val="16"/>
                <w:szCs w:val="16"/>
              </w:rPr>
              <w:t>Alliance Member</w:t>
            </w:r>
          </w:p>
        </w:tc>
        <w:tc>
          <w:tcPr>
            <w:tcW w:w="1709" w:type="dxa"/>
            <w:tcBorders>
              <w:top w:val="single" w:sz="4" w:space="0" w:color="auto"/>
              <w:left w:val="single" w:sz="4" w:space="0" w:color="auto"/>
              <w:bottom w:val="single" w:sz="4" w:space="0" w:color="auto"/>
              <w:right w:val="single" w:sz="4" w:space="0" w:color="auto"/>
            </w:tcBorders>
          </w:tcPr>
          <w:p w14:paraId="2666CA35" w14:textId="378F4DFA" w:rsidR="00D95E3F" w:rsidRPr="007C68FD" w:rsidRDefault="00D95E3F" w:rsidP="009A0B5E">
            <w:pPr>
              <w:rPr>
                <w:sz w:val="16"/>
                <w:szCs w:val="16"/>
              </w:rPr>
            </w:pPr>
            <w:r w:rsidRPr="007C68FD">
              <w:rPr>
                <w:sz w:val="16"/>
                <w:szCs w:val="16"/>
              </w:rPr>
              <w:t>Dean</w:t>
            </w:r>
          </w:p>
        </w:tc>
        <w:tc>
          <w:tcPr>
            <w:tcW w:w="1737" w:type="dxa"/>
            <w:tcBorders>
              <w:top w:val="single" w:sz="4" w:space="0" w:color="auto"/>
              <w:left w:val="single" w:sz="4" w:space="0" w:color="auto"/>
              <w:bottom w:val="single" w:sz="4" w:space="0" w:color="auto"/>
              <w:right w:val="single" w:sz="4" w:space="0" w:color="auto"/>
            </w:tcBorders>
          </w:tcPr>
          <w:p w14:paraId="506816C3" w14:textId="77777777" w:rsidR="00D95E3F" w:rsidRPr="007C68FD" w:rsidRDefault="00D95E3F" w:rsidP="009A0B5E">
            <w:pPr>
              <w:rPr>
                <w:sz w:val="16"/>
                <w:szCs w:val="16"/>
              </w:rPr>
            </w:pPr>
            <w:r w:rsidRPr="007C68FD">
              <w:rPr>
                <w:sz w:val="16"/>
                <w:szCs w:val="16"/>
              </w:rPr>
              <w:t>College of Education, University of Missouri - St. Louis</w:t>
            </w:r>
          </w:p>
        </w:tc>
        <w:tc>
          <w:tcPr>
            <w:tcW w:w="2935" w:type="dxa"/>
            <w:tcBorders>
              <w:top w:val="single" w:sz="4" w:space="0" w:color="auto"/>
              <w:left w:val="single" w:sz="4" w:space="0" w:color="auto"/>
              <w:bottom w:val="single" w:sz="4" w:space="0" w:color="auto"/>
              <w:right w:val="single" w:sz="4" w:space="0" w:color="auto"/>
            </w:tcBorders>
          </w:tcPr>
          <w:p w14:paraId="443E29EE" w14:textId="77777777" w:rsidR="00D95E3F" w:rsidRPr="007C68FD" w:rsidRDefault="00D95E3F" w:rsidP="009A0B5E">
            <w:pPr>
              <w:rPr>
                <w:sz w:val="16"/>
                <w:szCs w:val="16"/>
              </w:rPr>
            </w:pPr>
            <w:r w:rsidRPr="007C68FD">
              <w:rPr>
                <w:sz w:val="16"/>
                <w:szCs w:val="16"/>
              </w:rPr>
              <w:t>basilec@umsl.edu</w:t>
            </w:r>
          </w:p>
        </w:tc>
      </w:tr>
      <w:tr w:rsidR="00D95E3F" w:rsidRPr="007C68FD" w14:paraId="1C26FD4B" w14:textId="77777777" w:rsidTr="00D95E3F">
        <w:tc>
          <w:tcPr>
            <w:tcW w:w="1686" w:type="dxa"/>
            <w:tcBorders>
              <w:top w:val="single" w:sz="4" w:space="0" w:color="auto"/>
              <w:left w:val="single" w:sz="4" w:space="0" w:color="auto"/>
              <w:bottom w:val="single" w:sz="4" w:space="0" w:color="auto"/>
              <w:right w:val="single" w:sz="4" w:space="0" w:color="auto"/>
            </w:tcBorders>
          </w:tcPr>
          <w:p w14:paraId="3F6380A5" w14:textId="77777777" w:rsidR="00D95E3F" w:rsidRPr="007C68FD" w:rsidRDefault="00D95E3F" w:rsidP="009A0B5E">
            <w:pPr>
              <w:rPr>
                <w:sz w:val="16"/>
                <w:szCs w:val="16"/>
              </w:rPr>
            </w:pPr>
            <w:r w:rsidRPr="007C68FD">
              <w:rPr>
                <w:sz w:val="16"/>
                <w:szCs w:val="16"/>
              </w:rPr>
              <w:t xml:space="preserve">Mark </w:t>
            </w:r>
            <w:proofErr w:type="spellStart"/>
            <w:r w:rsidRPr="007C68FD">
              <w:rPr>
                <w:sz w:val="16"/>
                <w:szCs w:val="16"/>
              </w:rPr>
              <w:t>Ehlert</w:t>
            </w:r>
            <w:proofErr w:type="spellEnd"/>
          </w:p>
        </w:tc>
        <w:tc>
          <w:tcPr>
            <w:tcW w:w="1401" w:type="dxa"/>
            <w:tcBorders>
              <w:top w:val="single" w:sz="4" w:space="0" w:color="auto"/>
              <w:left w:val="single" w:sz="4" w:space="0" w:color="auto"/>
              <w:bottom w:val="single" w:sz="4" w:space="0" w:color="auto"/>
              <w:right w:val="single" w:sz="4" w:space="0" w:color="auto"/>
            </w:tcBorders>
          </w:tcPr>
          <w:p w14:paraId="2A8E161D" w14:textId="772C4943" w:rsidR="00D95E3F" w:rsidRPr="007C68FD" w:rsidRDefault="00D95E3F" w:rsidP="009A0B5E">
            <w:pPr>
              <w:rPr>
                <w:sz w:val="16"/>
                <w:szCs w:val="16"/>
              </w:rPr>
            </w:pPr>
            <w:r>
              <w:rPr>
                <w:sz w:val="16"/>
                <w:szCs w:val="16"/>
              </w:rPr>
              <w:t>Alliance Member</w:t>
            </w:r>
          </w:p>
        </w:tc>
        <w:tc>
          <w:tcPr>
            <w:tcW w:w="1709" w:type="dxa"/>
            <w:tcBorders>
              <w:top w:val="single" w:sz="4" w:space="0" w:color="auto"/>
              <w:left w:val="single" w:sz="4" w:space="0" w:color="auto"/>
              <w:bottom w:val="single" w:sz="4" w:space="0" w:color="auto"/>
              <w:right w:val="single" w:sz="4" w:space="0" w:color="auto"/>
            </w:tcBorders>
          </w:tcPr>
          <w:p w14:paraId="674B1354" w14:textId="529B4AB6" w:rsidR="00D95E3F" w:rsidRPr="007C68FD" w:rsidRDefault="00D95E3F" w:rsidP="009A0B5E">
            <w:pPr>
              <w:rPr>
                <w:sz w:val="16"/>
                <w:szCs w:val="16"/>
              </w:rPr>
            </w:pPr>
            <w:r w:rsidRPr="007C68FD">
              <w:rPr>
                <w:sz w:val="16"/>
                <w:szCs w:val="16"/>
              </w:rPr>
              <w:t>Assistant Research Professor</w:t>
            </w:r>
          </w:p>
        </w:tc>
        <w:tc>
          <w:tcPr>
            <w:tcW w:w="1737" w:type="dxa"/>
            <w:tcBorders>
              <w:top w:val="single" w:sz="4" w:space="0" w:color="auto"/>
              <w:left w:val="single" w:sz="4" w:space="0" w:color="auto"/>
              <w:bottom w:val="single" w:sz="4" w:space="0" w:color="auto"/>
              <w:right w:val="single" w:sz="4" w:space="0" w:color="auto"/>
            </w:tcBorders>
          </w:tcPr>
          <w:p w14:paraId="4631721B" w14:textId="77777777" w:rsidR="00D95E3F" w:rsidRPr="007C68FD" w:rsidRDefault="00D95E3F" w:rsidP="009A0B5E">
            <w:pPr>
              <w:rPr>
                <w:sz w:val="16"/>
                <w:szCs w:val="16"/>
              </w:rPr>
            </w:pPr>
            <w:r w:rsidRPr="007C68FD">
              <w:rPr>
                <w:sz w:val="16"/>
                <w:szCs w:val="16"/>
              </w:rPr>
              <w:t>U. of Missouri - Columbia, Department of Economics</w:t>
            </w:r>
          </w:p>
        </w:tc>
        <w:tc>
          <w:tcPr>
            <w:tcW w:w="2935" w:type="dxa"/>
            <w:tcBorders>
              <w:top w:val="single" w:sz="4" w:space="0" w:color="auto"/>
              <w:left w:val="single" w:sz="4" w:space="0" w:color="auto"/>
              <w:bottom w:val="single" w:sz="4" w:space="0" w:color="auto"/>
              <w:right w:val="single" w:sz="4" w:space="0" w:color="auto"/>
            </w:tcBorders>
          </w:tcPr>
          <w:p w14:paraId="71F3418F" w14:textId="77777777" w:rsidR="00D95E3F" w:rsidRPr="007C68FD" w:rsidRDefault="00D95E3F" w:rsidP="009A0B5E">
            <w:pPr>
              <w:rPr>
                <w:sz w:val="16"/>
                <w:szCs w:val="16"/>
              </w:rPr>
            </w:pPr>
            <w:r w:rsidRPr="007C68FD">
              <w:rPr>
                <w:sz w:val="16"/>
                <w:szCs w:val="16"/>
              </w:rPr>
              <w:t>ehlertm@missouri.edu</w:t>
            </w:r>
          </w:p>
        </w:tc>
      </w:tr>
      <w:tr w:rsidR="00D95E3F" w:rsidRPr="007C68FD" w14:paraId="508F4128" w14:textId="77777777" w:rsidTr="00D95E3F">
        <w:tc>
          <w:tcPr>
            <w:tcW w:w="1686" w:type="dxa"/>
            <w:tcBorders>
              <w:top w:val="single" w:sz="4" w:space="0" w:color="auto"/>
              <w:left w:val="single" w:sz="4" w:space="0" w:color="auto"/>
              <w:bottom w:val="single" w:sz="4" w:space="0" w:color="auto"/>
              <w:right w:val="single" w:sz="4" w:space="0" w:color="auto"/>
            </w:tcBorders>
          </w:tcPr>
          <w:p w14:paraId="1ECFE0EB" w14:textId="77777777" w:rsidR="00D95E3F" w:rsidRPr="007C68FD" w:rsidRDefault="00D95E3F">
            <w:pPr>
              <w:rPr>
                <w:sz w:val="16"/>
                <w:szCs w:val="16"/>
              </w:rPr>
            </w:pPr>
            <w:r w:rsidRPr="007C68FD">
              <w:rPr>
                <w:sz w:val="16"/>
                <w:szCs w:val="16"/>
              </w:rPr>
              <w:t>Leigh</w:t>
            </w:r>
            <w:r>
              <w:rPr>
                <w:sz w:val="16"/>
                <w:szCs w:val="16"/>
              </w:rPr>
              <w:t xml:space="preserve"> </w:t>
            </w:r>
            <w:r w:rsidRPr="007C68FD">
              <w:rPr>
                <w:sz w:val="16"/>
                <w:szCs w:val="16"/>
              </w:rPr>
              <w:t>Anne Taylor-Knight</w:t>
            </w:r>
          </w:p>
        </w:tc>
        <w:tc>
          <w:tcPr>
            <w:tcW w:w="1401" w:type="dxa"/>
            <w:tcBorders>
              <w:top w:val="single" w:sz="4" w:space="0" w:color="auto"/>
              <w:left w:val="single" w:sz="4" w:space="0" w:color="auto"/>
              <w:bottom w:val="single" w:sz="4" w:space="0" w:color="auto"/>
              <w:right w:val="single" w:sz="4" w:space="0" w:color="auto"/>
            </w:tcBorders>
          </w:tcPr>
          <w:p w14:paraId="358E3BD4" w14:textId="790385F3" w:rsidR="00D95E3F" w:rsidRPr="007C68FD" w:rsidRDefault="00D95E3F">
            <w:pPr>
              <w:rPr>
                <w:sz w:val="16"/>
                <w:szCs w:val="16"/>
              </w:rPr>
            </w:pPr>
            <w:r>
              <w:rPr>
                <w:sz w:val="16"/>
                <w:szCs w:val="16"/>
              </w:rPr>
              <w:t>Alliance Member</w:t>
            </w:r>
          </w:p>
        </w:tc>
        <w:tc>
          <w:tcPr>
            <w:tcW w:w="1709" w:type="dxa"/>
            <w:tcBorders>
              <w:top w:val="single" w:sz="4" w:space="0" w:color="auto"/>
              <w:left w:val="single" w:sz="4" w:space="0" w:color="auto"/>
              <w:bottom w:val="single" w:sz="4" w:space="0" w:color="auto"/>
              <w:right w:val="single" w:sz="4" w:space="0" w:color="auto"/>
            </w:tcBorders>
          </w:tcPr>
          <w:p w14:paraId="27F45377" w14:textId="27F322E4" w:rsidR="00D95E3F" w:rsidRPr="007C68FD" w:rsidRDefault="00D95E3F">
            <w:pPr>
              <w:rPr>
                <w:sz w:val="16"/>
                <w:szCs w:val="16"/>
              </w:rPr>
            </w:pPr>
            <w:r w:rsidRPr="007C68FD">
              <w:rPr>
                <w:sz w:val="16"/>
                <w:szCs w:val="16"/>
              </w:rPr>
              <w:t>Executive Director</w:t>
            </w:r>
          </w:p>
        </w:tc>
        <w:tc>
          <w:tcPr>
            <w:tcW w:w="1737" w:type="dxa"/>
            <w:tcBorders>
              <w:top w:val="single" w:sz="4" w:space="0" w:color="auto"/>
              <w:left w:val="single" w:sz="4" w:space="0" w:color="auto"/>
              <w:bottom w:val="single" w:sz="4" w:space="0" w:color="auto"/>
              <w:right w:val="single" w:sz="4" w:space="0" w:color="auto"/>
            </w:tcBorders>
          </w:tcPr>
          <w:p w14:paraId="6332C9A1" w14:textId="77777777" w:rsidR="00D95E3F" w:rsidRPr="007C68FD" w:rsidRDefault="00D95E3F">
            <w:pPr>
              <w:rPr>
                <w:sz w:val="16"/>
                <w:szCs w:val="16"/>
              </w:rPr>
            </w:pPr>
            <w:r w:rsidRPr="007C68FD">
              <w:rPr>
                <w:sz w:val="16"/>
                <w:szCs w:val="16"/>
              </w:rPr>
              <w:t>Kansas City Area Education Research Consortium</w:t>
            </w:r>
          </w:p>
        </w:tc>
        <w:tc>
          <w:tcPr>
            <w:tcW w:w="2935" w:type="dxa"/>
            <w:tcBorders>
              <w:top w:val="single" w:sz="4" w:space="0" w:color="auto"/>
              <w:left w:val="single" w:sz="4" w:space="0" w:color="auto"/>
              <w:bottom w:val="single" w:sz="4" w:space="0" w:color="auto"/>
              <w:right w:val="single" w:sz="4" w:space="0" w:color="auto"/>
            </w:tcBorders>
          </w:tcPr>
          <w:p w14:paraId="2E6E17AE" w14:textId="77777777" w:rsidR="00D95E3F" w:rsidRPr="007C68FD" w:rsidRDefault="008037FA">
            <w:pPr>
              <w:rPr>
                <w:sz w:val="16"/>
                <w:szCs w:val="16"/>
              </w:rPr>
            </w:pPr>
            <w:hyperlink r:id="rId11" w:history="1">
              <w:r w:rsidR="00D95E3F" w:rsidRPr="007C68FD">
                <w:rPr>
                  <w:sz w:val="16"/>
                </w:rPr>
                <w:t>lknight@kcaerc.org</w:t>
              </w:r>
            </w:hyperlink>
          </w:p>
        </w:tc>
      </w:tr>
    </w:tbl>
    <w:p w14:paraId="22C3784B" w14:textId="77777777" w:rsidR="0037059A" w:rsidRDefault="0037059A" w:rsidP="002A716E">
      <w:pPr>
        <w:rPr>
          <w:bCs/>
        </w:rPr>
      </w:pPr>
    </w:p>
    <w:p w14:paraId="3FEAAA24" w14:textId="18B3E134" w:rsidR="009D6FA0" w:rsidRPr="00212FEB" w:rsidRDefault="00CB1126" w:rsidP="002A716E">
      <w:pPr>
        <w:rPr>
          <w:bCs/>
        </w:rPr>
      </w:pPr>
      <w:r>
        <w:rPr>
          <w:bCs/>
        </w:rPr>
        <w:t>As appropriate</w:t>
      </w:r>
      <w:r w:rsidR="00125A03">
        <w:rPr>
          <w:bCs/>
        </w:rPr>
        <w:t>,</w:t>
      </w:r>
      <w:r>
        <w:rPr>
          <w:bCs/>
        </w:rPr>
        <w:t xml:space="preserve"> we will consult with representatives of those</w:t>
      </w:r>
      <w:r w:rsidR="008E2269">
        <w:rPr>
          <w:bCs/>
        </w:rPr>
        <w:t xml:space="preserve"> organizations</w:t>
      </w:r>
      <w:r>
        <w:rPr>
          <w:bCs/>
        </w:rPr>
        <w:t xml:space="preserve"> </w:t>
      </w:r>
      <w:r w:rsidR="001A5F29">
        <w:rPr>
          <w:bCs/>
        </w:rPr>
        <w:t>from whom information is to be obtained</w:t>
      </w:r>
      <w:r w:rsidR="006A5B54">
        <w:rPr>
          <w:bCs/>
        </w:rPr>
        <w:t>, such as research alliance member</w:t>
      </w:r>
      <w:r w:rsidR="00D95E3F">
        <w:rPr>
          <w:bCs/>
        </w:rPr>
        <w:t xml:space="preserve">s </w:t>
      </w:r>
      <w:r w:rsidR="00C72495">
        <w:rPr>
          <w:bCs/>
        </w:rPr>
        <w:t xml:space="preserve">and </w:t>
      </w:r>
      <w:r w:rsidR="00D95E3F">
        <w:rPr>
          <w:bCs/>
        </w:rPr>
        <w:t xml:space="preserve">TWG </w:t>
      </w:r>
      <w:r w:rsidR="00C72495">
        <w:rPr>
          <w:bCs/>
        </w:rPr>
        <w:t>members</w:t>
      </w:r>
      <w:r w:rsidR="006A5B54">
        <w:rPr>
          <w:bCs/>
        </w:rPr>
        <w:t xml:space="preserve"> </w:t>
      </w:r>
      <w:r>
        <w:rPr>
          <w:bCs/>
        </w:rPr>
        <w:t xml:space="preserve">to address any </w:t>
      </w:r>
      <w:r w:rsidR="006A5B54">
        <w:rPr>
          <w:bCs/>
        </w:rPr>
        <w:t xml:space="preserve">public </w:t>
      </w:r>
      <w:r>
        <w:rPr>
          <w:bCs/>
        </w:rPr>
        <w:t xml:space="preserve">comments received on burden. </w:t>
      </w:r>
    </w:p>
    <w:p w14:paraId="288DF934" w14:textId="77777777" w:rsidR="002A716E" w:rsidRPr="002A716E" w:rsidRDefault="002A716E" w:rsidP="00C8790F">
      <w:pPr>
        <w:pStyle w:val="Heading2"/>
        <w:spacing w:before="0" w:after="200"/>
      </w:pPr>
      <w:bookmarkStart w:id="15" w:name="_Toc364869930"/>
      <w:r w:rsidRPr="002A716E">
        <w:t xml:space="preserve">A9. </w:t>
      </w:r>
      <w:r w:rsidR="00C8790F">
        <w:t>Payment or Gift to R</w:t>
      </w:r>
      <w:r w:rsidRPr="002A716E">
        <w:t>espondents</w:t>
      </w:r>
      <w:bookmarkEnd w:id="15"/>
    </w:p>
    <w:p w14:paraId="699DF65C" w14:textId="77777777" w:rsidR="006A5B54" w:rsidRPr="002644F9" w:rsidRDefault="0054235A" w:rsidP="002644F9">
      <w:r>
        <w:t xml:space="preserve">No incentive will be provided to survey respondents. </w:t>
      </w:r>
      <w:r w:rsidR="008911A6">
        <w:t xml:space="preserve">REL Central leadership, in consultation with </w:t>
      </w:r>
      <w:r w:rsidR="00673892">
        <w:t>REL Central’s Contracting Office</w:t>
      </w:r>
      <w:r w:rsidR="001C7E2C">
        <w:t>r</w:t>
      </w:r>
      <w:r w:rsidR="00673892">
        <w:t xml:space="preserve"> Representative</w:t>
      </w:r>
      <w:r w:rsidR="001C7E2C">
        <w:t xml:space="preserve"> (COR)</w:t>
      </w:r>
      <w:r w:rsidR="008911A6">
        <w:t>, advised against the use of incentives to reduce project cost.</w:t>
      </w:r>
    </w:p>
    <w:p w14:paraId="6C0129A5" w14:textId="77777777" w:rsidR="002A716E" w:rsidRPr="002A716E" w:rsidRDefault="002A716E" w:rsidP="00C8790F">
      <w:pPr>
        <w:pStyle w:val="Heading2"/>
        <w:spacing w:before="0" w:after="200"/>
      </w:pPr>
      <w:bookmarkStart w:id="16" w:name="_Toc364869931"/>
      <w:r w:rsidRPr="00E70779">
        <w:t>A10.</w:t>
      </w:r>
      <w:r w:rsidR="00C8790F">
        <w:t>Confidentiality of the Data</w:t>
      </w:r>
      <w:bookmarkEnd w:id="16"/>
    </w:p>
    <w:p w14:paraId="03A7934F" w14:textId="77777777" w:rsidR="002A716E" w:rsidRPr="00870DE1" w:rsidRDefault="00AB7D4F" w:rsidP="002A716E">
      <w:pPr>
        <w:rPr>
          <w:iCs/>
        </w:rPr>
      </w:pPr>
      <w:r w:rsidRPr="00870DE1">
        <w:t>REL Central</w:t>
      </w:r>
      <w:r w:rsidR="002A716E" w:rsidRPr="00870DE1">
        <w:t xml:space="preserve"> </w:t>
      </w:r>
      <w:r w:rsidR="002A716E" w:rsidRPr="00870DE1">
        <w:rPr>
          <w:iCs/>
        </w:rPr>
        <w:t>will be following the new policies and procedures required by the Education Sciences Reform</w:t>
      </w:r>
      <w:r w:rsidR="00870DE1">
        <w:rPr>
          <w:iCs/>
        </w:rPr>
        <w:t xml:space="preserve"> </w:t>
      </w:r>
      <w:r w:rsidR="002A716E" w:rsidRPr="00870DE1">
        <w:rPr>
          <w:iCs/>
        </w:rPr>
        <w:t>Act of 2002, Title I, Part E, Section 183</w:t>
      </w:r>
      <w:r w:rsidR="00D97125">
        <w:rPr>
          <w:iCs/>
        </w:rPr>
        <w:t>:</w:t>
      </w:r>
      <w:r w:rsidR="002A716E" w:rsidRPr="00870DE1">
        <w:rPr>
          <w:iCs/>
        </w:rPr>
        <w:t xml:space="preserve"> "All collection, maintenance, use, and wide dissemination of</w:t>
      </w:r>
      <w:r w:rsidRPr="00870DE1">
        <w:rPr>
          <w:iCs/>
        </w:rPr>
        <w:t xml:space="preserve"> </w:t>
      </w:r>
      <w:r w:rsidR="002A716E" w:rsidRPr="00870DE1">
        <w:rPr>
          <w:iCs/>
        </w:rPr>
        <w:t xml:space="preserve">data by the Institute" </w:t>
      </w:r>
      <w:r w:rsidR="00D97125">
        <w:rPr>
          <w:iCs/>
        </w:rPr>
        <w:t xml:space="preserve">are required </w:t>
      </w:r>
      <w:r w:rsidR="002A716E" w:rsidRPr="00870DE1">
        <w:rPr>
          <w:iCs/>
        </w:rPr>
        <w:t>to "conform with the requirements of section 552 of title 5, United States Code, the</w:t>
      </w:r>
      <w:r w:rsidRPr="00870DE1">
        <w:rPr>
          <w:iCs/>
        </w:rPr>
        <w:t xml:space="preserve"> </w:t>
      </w:r>
      <w:r w:rsidR="002A716E" w:rsidRPr="00870DE1">
        <w:rPr>
          <w:iCs/>
        </w:rPr>
        <w:t>confidentiality standards of subsection (c) of this section, and sections 444 and 445 of the General Education</w:t>
      </w:r>
      <w:r w:rsidRPr="00870DE1">
        <w:rPr>
          <w:iCs/>
        </w:rPr>
        <w:t xml:space="preserve"> </w:t>
      </w:r>
      <w:r w:rsidR="002A716E" w:rsidRPr="00870DE1">
        <w:rPr>
          <w:iCs/>
        </w:rPr>
        <w:t>Provision Act (20 U.S.C. 1232g, 1232h)." These citations refer to the Privacy Act, the Family Educational</w:t>
      </w:r>
      <w:r w:rsidRPr="00870DE1">
        <w:rPr>
          <w:iCs/>
        </w:rPr>
        <w:t xml:space="preserve"> </w:t>
      </w:r>
      <w:r w:rsidR="002A716E" w:rsidRPr="00870DE1">
        <w:rPr>
          <w:iCs/>
        </w:rPr>
        <w:t>Rights and Privacy Act, and the Protection of Pupil Rights Amendment.</w:t>
      </w:r>
      <w:r w:rsidRPr="00870DE1">
        <w:rPr>
          <w:iCs/>
        </w:rPr>
        <w:t xml:space="preserve"> </w:t>
      </w:r>
      <w:r w:rsidR="002A716E" w:rsidRPr="00870DE1">
        <w:rPr>
          <w:iCs/>
        </w:rPr>
        <w:t>Subsection (c) of section 183 referenced above requires the Director of IES to "develop and enforce</w:t>
      </w:r>
      <w:r w:rsidRPr="00870DE1">
        <w:rPr>
          <w:iCs/>
        </w:rPr>
        <w:t xml:space="preserve"> </w:t>
      </w:r>
      <w:r w:rsidR="002A716E" w:rsidRPr="00870DE1">
        <w:rPr>
          <w:iCs/>
        </w:rPr>
        <w:t>standards designed to protect the confidentiality of persons in the collection, reporting, and publication of</w:t>
      </w:r>
      <w:r w:rsidRPr="00870DE1">
        <w:rPr>
          <w:iCs/>
        </w:rPr>
        <w:t xml:space="preserve"> </w:t>
      </w:r>
      <w:r w:rsidR="002A716E" w:rsidRPr="00870DE1">
        <w:rPr>
          <w:iCs/>
        </w:rPr>
        <w:t>data</w:t>
      </w:r>
      <w:r w:rsidR="00D97125">
        <w:rPr>
          <w:iCs/>
        </w:rPr>
        <w:t>.</w:t>
      </w:r>
      <w:r w:rsidR="002A716E" w:rsidRPr="00870DE1">
        <w:rPr>
          <w:iCs/>
        </w:rPr>
        <w:t>"</w:t>
      </w:r>
      <w:r w:rsidRPr="00870DE1">
        <w:rPr>
          <w:iCs/>
        </w:rPr>
        <w:t xml:space="preserve"> </w:t>
      </w:r>
      <w:r w:rsidR="002A716E" w:rsidRPr="00870DE1">
        <w:rPr>
          <w:iCs/>
        </w:rPr>
        <w:t>Subsection (d) of section 183 prohibits</w:t>
      </w:r>
      <w:r w:rsidR="00D97125">
        <w:rPr>
          <w:iCs/>
        </w:rPr>
        <w:t xml:space="preserve"> the</w:t>
      </w:r>
      <w:r w:rsidR="002A716E" w:rsidRPr="00870DE1">
        <w:rPr>
          <w:iCs/>
        </w:rPr>
        <w:t xml:space="preserve"> disclosure of individually identifiable information</w:t>
      </w:r>
      <w:r w:rsidR="00D97125">
        <w:rPr>
          <w:iCs/>
        </w:rPr>
        <w:t>,</w:t>
      </w:r>
      <w:r w:rsidR="002A716E" w:rsidRPr="00870DE1">
        <w:rPr>
          <w:iCs/>
        </w:rPr>
        <w:t xml:space="preserve"> </w:t>
      </w:r>
      <w:r w:rsidR="00D97125">
        <w:rPr>
          <w:iCs/>
        </w:rPr>
        <w:t>and</w:t>
      </w:r>
      <w:r w:rsidR="002A716E" w:rsidRPr="00870DE1">
        <w:rPr>
          <w:iCs/>
        </w:rPr>
        <w:t xml:space="preserve"> mak</w:t>
      </w:r>
      <w:r w:rsidR="00D97125">
        <w:rPr>
          <w:iCs/>
        </w:rPr>
        <w:t>es</w:t>
      </w:r>
      <w:r w:rsidRPr="00870DE1">
        <w:rPr>
          <w:iCs/>
        </w:rPr>
        <w:t xml:space="preserve"> </w:t>
      </w:r>
      <w:r w:rsidR="002A716E" w:rsidRPr="00870DE1">
        <w:rPr>
          <w:iCs/>
        </w:rPr>
        <w:t>any publishing or communicating of individually identifiable information by employees or staff a felony.</w:t>
      </w:r>
    </w:p>
    <w:p w14:paraId="4ECAF49F" w14:textId="6C2F0364" w:rsidR="0037059A" w:rsidRDefault="0037059A" w:rsidP="0037059A">
      <w:pPr>
        <w:rPr>
          <w:iCs/>
        </w:rPr>
      </w:pPr>
      <w:r>
        <w:rPr>
          <w:iCs/>
        </w:rPr>
        <w:t xml:space="preserve">REL Central will protect the confidentiality of all information collected for the study and will use it for research purposes only. No information that identifies any study participant will be released. Information from respondents will be presented at aggregate levels in reports. Unique identification numbers will be assigned to each participating teacher and used to identify all survey responses. The ID number/name association files will be kept secure in a confidential file separate from the data analysis file. No information </w:t>
      </w:r>
      <w:r w:rsidR="00262B76">
        <w:rPr>
          <w:iCs/>
        </w:rPr>
        <w:t xml:space="preserve">that could be used to </w:t>
      </w:r>
      <w:r>
        <w:rPr>
          <w:iCs/>
        </w:rPr>
        <w:t xml:space="preserve">identify respondents </w:t>
      </w:r>
      <w:r w:rsidR="004A548D">
        <w:rPr>
          <w:iCs/>
        </w:rPr>
        <w:t xml:space="preserve">or the TPPs from which they graduated </w:t>
      </w:r>
      <w:r>
        <w:rPr>
          <w:iCs/>
        </w:rPr>
        <w:t xml:space="preserve">will be included in the </w:t>
      </w:r>
      <w:r w:rsidR="00262B76">
        <w:rPr>
          <w:iCs/>
        </w:rPr>
        <w:t xml:space="preserve">public use </w:t>
      </w:r>
      <w:r>
        <w:rPr>
          <w:iCs/>
        </w:rPr>
        <w:t>data files or reports</w:t>
      </w:r>
      <w:r w:rsidR="006D28CB">
        <w:rPr>
          <w:rStyle w:val="FootnoteReference"/>
          <w:iCs/>
        </w:rPr>
        <w:footnoteReference w:id="8"/>
      </w:r>
      <w:r>
        <w:rPr>
          <w:iCs/>
        </w:rPr>
        <w:t xml:space="preserve">. Data from the online survey software system will be downloaded and deleted from the online system within one week after the survey window closes. </w:t>
      </w:r>
      <w:r w:rsidR="00D95E3F" w:rsidRPr="00D95E3F">
        <w:rPr>
          <w:iCs/>
        </w:rPr>
        <w:t>REL Central implements semi-weekly downloads of all data stored online to protect against data loss.</w:t>
      </w:r>
      <w:r w:rsidR="00D95E3F">
        <w:rPr>
          <w:iCs/>
        </w:rPr>
        <w:t xml:space="preserve"> </w:t>
      </w:r>
      <w:r>
        <w:rPr>
          <w:iCs/>
        </w:rPr>
        <w:t xml:space="preserve">These data files will then be stripped of any identifying information. Information will be reported in aggregate so that individual responses are not identifiable. All identification lists will be destroyed at the end of the project. </w:t>
      </w:r>
      <w:r>
        <w:t xml:space="preserve">The research team is trained to follow strict guidelines for soliciting consent, administering data collection instruments, and preserving respondent confidentiality. </w:t>
      </w:r>
      <w:r>
        <w:rPr>
          <w:iCs/>
        </w:rPr>
        <w:t xml:space="preserve">All members of the research team have successfully completed the Collaborative Institutional Training Initiative (CITI) course in the Protection of Human Research Subjects through Liberty IRB. A copy of the affidavit of non-disclosure is </w:t>
      </w:r>
      <w:r w:rsidRPr="002C3F66">
        <w:rPr>
          <w:iCs/>
        </w:rPr>
        <w:t xml:space="preserve">provided in Attachment </w:t>
      </w:r>
      <w:r w:rsidR="002C3F66" w:rsidRPr="002C3F66">
        <w:rPr>
          <w:iCs/>
        </w:rPr>
        <w:t>C</w:t>
      </w:r>
      <w:r w:rsidRPr="002C3F66">
        <w:rPr>
          <w:iCs/>
        </w:rPr>
        <w:t xml:space="preserve"> for</w:t>
      </w:r>
      <w:r>
        <w:rPr>
          <w:iCs/>
        </w:rPr>
        <w:t xml:space="preserve"> each researcher who will have access to the data. </w:t>
      </w:r>
      <w:r w:rsidR="006D28CB">
        <w:rPr>
          <w:iCs/>
        </w:rPr>
        <w:t xml:space="preserve">Names of all REL staff with access to data will be submitted to the NCEE security officer, accounting for staff who leave REL Central and any newly hired staff who are granted data access. </w:t>
      </w:r>
    </w:p>
    <w:p w14:paraId="5B175712" w14:textId="77777777" w:rsidR="0037059A" w:rsidRDefault="0037059A" w:rsidP="0037059A">
      <w:pPr>
        <w:rPr>
          <w:rFonts w:cstheme="minorHAnsi"/>
        </w:rPr>
      </w:pPr>
      <w:r>
        <w:rPr>
          <w:rFonts w:cstheme="minorHAnsi"/>
        </w:rPr>
        <w:t>All study materials will include the following language:</w:t>
      </w:r>
    </w:p>
    <w:p w14:paraId="2974292E" w14:textId="77777777" w:rsidR="0037059A" w:rsidRDefault="0037059A" w:rsidP="0037059A">
      <w:pPr>
        <w:rPr>
          <w:i/>
          <w:iCs/>
        </w:rPr>
      </w:pPr>
      <w:r>
        <w:rPr>
          <w:i/>
          <w:iCs/>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Pr>
          <w:i/>
          <w:iCs/>
        </w:rPr>
        <w:t>nonstatistical</w:t>
      </w:r>
      <w:proofErr w:type="spellEnd"/>
      <w:r>
        <w:rPr>
          <w:i/>
          <w:iCs/>
        </w:rPr>
        <w:t xml:space="preserve"> purposes, without the informed consent of the respondent, is a class E felony. </w:t>
      </w:r>
    </w:p>
    <w:p w14:paraId="685C82CE" w14:textId="77777777" w:rsidR="007D2125" w:rsidRDefault="002A716E" w:rsidP="002A716E">
      <w:pPr>
        <w:rPr>
          <w:b/>
          <w:bCs/>
        </w:rPr>
      </w:pPr>
      <w:bookmarkStart w:id="17" w:name="_Toc364869932"/>
      <w:r w:rsidRPr="006D792F">
        <w:rPr>
          <w:rStyle w:val="Heading2Char"/>
        </w:rPr>
        <w:t>A11.</w:t>
      </w:r>
      <w:r w:rsidR="00C8790F">
        <w:rPr>
          <w:rStyle w:val="Heading2Char"/>
        </w:rPr>
        <w:t xml:space="preserve"> Additional J</w:t>
      </w:r>
      <w:r w:rsidRPr="006D792F">
        <w:rPr>
          <w:rStyle w:val="Heading2Char"/>
        </w:rPr>
        <w:t>ustif</w:t>
      </w:r>
      <w:r w:rsidR="00C8790F">
        <w:rPr>
          <w:rStyle w:val="Heading2Char"/>
        </w:rPr>
        <w:t>ication for S</w:t>
      </w:r>
      <w:r w:rsidRPr="006D792F">
        <w:rPr>
          <w:rStyle w:val="Heading2Char"/>
        </w:rPr>
        <w:t xml:space="preserve">ensitive </w:t>
      </w:r>
      <w:r w:rsidR="00C8790F">
        <w:rPr>
          <w:rStyle w:val="Heading2Char"/>
        </w:rPr>
        <w:t>Questions</w:t>
      </w:r>
      <w:bookmarkEnd w:id="17"/>
      <w:r w:rsidR="00AB45C6">
        <w:rPr>
          <w:rStyle w:val="Heading2Char"/>
        </w:rPr>
        <w:t xml:space="preserve"> </w:t>
      </w:r>
    </w:p>
    <w:p w14:paraId="40130269" w14:textId="77777777" w:rsidR="00717258" w:rsidRPr="00717258" w:rsidRDefault="00717258" w:rsidP="002A716E">
      <w:r>
        <w:t xml:space="preserve">No questions of a highly sensitive nature are included in the </w:t>
      </w:r>
      <w:r w:rsidR="009F7E4F">
        <w:t xml:space="preserve">teacher </w:t>
      </w:r>
      <w:r>
        <w:t xml:space="preserve">survey. </w:t>
      </w:r>
    </w:p>
    <w:p w14:paraId="34504D5D" w14:textId="77777777" w:rsidR="00744F0D" w:rsidRDefault="00C8790F" w:rsidP="00C8790F">
      <w:pPr>
        <w:pStyle w:val="Heading2"/>
        <w:spacing w:before="0" w:after="200"/>
      </w:pPr>
      <w:bookmarkStart w:id="18" w:name="_Toc364869933"/>
      <w:r>
        <w:t>A12. Estimates of Hour B</w:t>
      </w:r>
      <w:r w:rsidR="002A716E" w:rsidRPr="00E70779">
        <w:t>urden</w:t>
      </w:r>
      <w:bookmarkEnd w:id="18"/>
      <w:r w:rsidR="002A716E" w:rsidRPr="00E70779">
        <w:t xml:space="preserve"> </w:t>
      </w:r>
    </w:p>
    <w:p w14:paraId="07B4ACC0" w14:textId="6C9EA86C" w:rsidR="000B409A" w:rsidRDefault="00A60AD2" w:rsidP="000B409A">
      <w:pPr>
        <w:autoSpaceDE w:val="0"/>
        <w:autoSpaceDN w:val="0"/>
        <w:adjustRightInd w:val="0"/>
        <w:spacing w:after="60" w:line="240" w:lineRule="auto"/>
        <w:rPr>
          <w:bCs/>
        </w:rPr>
      </w:pPr>
      <w:r w:rsidRPr="000439FD">
        <w:t xml:space="preserve">The total reporting burden associated with the data collection for the study </w:t>
      </w:r>
      <w:r w:rsidR="008A12CC" w:rsidRPr="000439FD">
        <w:t xml:space="preserve">is </w:t>
      </w:r>
      <w:r w:rsidR="0068683F">
        <w:t>1,176</w:t>
      </w:r>
      <w:r w:rsidRPr="001054DA">
        <w:t xml:space="preserve"> hours (</w:t>
      </w:r>
      <w:r w:rsidRPr="000439FD">
        <w:t xml:space="preserve">Table </w:t>
      </w:r>
      <w:r w:rsidR="00F11F58">
        <w:t>2</w:t>
      </w:r>
      <w:r w:rsidRPr="000439FD">
        <w:t xml:space="preserve">). </w:t>
      </w:r>
      <w:r w:rsidR="000439FD" w:rsidRPr="000439FD">
        <w:t>An estimated respondent pool of 3,500 first</w:t>
      </w:r>
      <w:r w:rsidR="008E2269">
        <w:t>-</w:t>
      </w:r>
      <w:r w:rsidR="000439FD" w:rsidRPr="000439FD">
        <w:t xml:space="preserve">year teachers will be asked to participate </w:t>
      </w:r>
      <w:r w:rsidR="00710BEC">
        <w:t xml:space="preserve">via email </w:t>
      </w:r>
      <w:r w:rsidR="000439FD" w:rsidRPr="000439FD">
        <w:t xml:space="preserve">in the online </w:t>
      </w:r>
      <w:r w:rsidR="000439FD" w:rsidRPr="00D976CF">
        <w:t>survey</w:t>
      </w:r>
      <w:r w:rsidR="00D976CF" w:rsidRPr="00D976CF">
        <w:t>. Based on an expected 80% response rate, approximately 2,800 teachers</w:t>
      </w:r>
      <w:r w:rsidR="00ED3903">
        <w:t xml:space="preserve"> will</w:t>
      </w:r>
      <w:r w:rsidR="00D976CF" w:rsidRPr="00D976CF">
        <w:t xml:space="preserve"> </w:t>
      </w:r>
      <w:r w:rsidR="007E1DE8" w:rsidRPr="00D976CF">
        <w:t xml:space="preserve">complete the survey, with an estimated burden </w:t>
      </w:r>
      <w:r w:rsidR="0068683F">
        <w:t xml:space="preserve">(based on results of the survey pretest) </w:t>
      </w:r>
      <w:r w:rsidR="007E1DE8" w:rsidRPr="00D976CF">
        <w:t xml:space="preserve">of </w:t>
      </w:r>
      <w:r w:rsidR="00D976CF" w:rsidRPr="00D976CF">
        <w:t>25</w:t>
      </w:r>
      <w:r w:rsidR="007E1DE8" w:rsidRPr="00D976CF">
        <w:t xml:space="preserve"> minutes (0.</w:t>
      </w:r>
      <w:r w:rsidR="00D976CF" w:rsidRPr="00D976CF">
        <w:t>42</w:t>
      </w:r>
      <w:r w:rsidR="007E1DE8" w:rsidRPr="00D976CF">
        <w:t xml:space="preserve"> hours) per teacher.</w:t>
      </w:r>
      <w:r w:rsidR="000B409A">
        <w:t xml:space="preserve"> </w:t>
      </w:r>
      <w:r w:rsidR="008E2269">
        <w:rPr>
          <w:bCs/>
        </w:rPr>
        <w:t>The</w:t>
      </w:r>
      <w:r w:rsidR="000B409A">
        <w:rPr>
          <w:bCs/>
        </w:rPr>
        <w:t xml:space="preserve"> estimated total cost to respondents </w:t>
      </w:r>
      <w:r w:rsidR="008E2269">
        <w:rPr>
          <w:bCs/>
        </w:rPr>
        <w:t>is</w:t>
      </w:r>
      <w:r w:rsidR="000B409A">
        <w:rPr>
          <w:bCs/>
        </w:rPr>
        <w:t xml:space="preserve"> </w:t>
      </w:r>
      <w:r w:rsidR="0068683F">
        <w:rPr>
          <w:bCs/>
        </w:rPr>
        <w:t>$32,928</w:t>
      </w:r>
      <w:r w:rsidR="000B409A">
        <w:rPr>
          <w:bCs/>
        </w:rPr>
        <w:t>, based on an average teacher hourly wage of $28</w:t>
      </w:r>
      <w:r w:rsidR="008E2269">
        <w:rPr>
          <w:bCs/>
        </w:rPr>
        <w:t xml:space="preserve"> (Table 3)</w:t>
      </w:r>
      <w:r w:rsidR="000B409A">
        <w:rPr>
          <w:bCs/>
        </w:rPr>
        <w:t>.</w:t>
      </w:r>
    </w:p>
    <w:p w14:paraId="3953EB90" w14:textId="77777777" w:rsidR="008B1930" w:rsidRDefault="008B1930" w:rsidP="000B409A">
      <w:pPr>
        <w:autoSpaceDE w:val="0"/>
        <w:autoSpaceDN w:val="0"/>
        <w:adjustRightInd w:val="0"/>
        <w:spacing w:after="60" w:line="240" w:lineRule="auto"/>
        <w:rPr>
          <w:bCs/>
        </w:rPr>
      </w:pPr>
    </w:p>
    <w:p w14:paraId="6380B46C" w14:textId="77777777" w:rsidR="001321DD" w:rsidRPr="00EF2F3B" w:rsidRDefault="001321DD" w:rsidP="001321DD">
      <w:pPr>
        <w:pStyle w:val="NormalSS"/>
        <w:spacing w:after="60"/>
        <w:ind w:firstLine="0"/>
        <w:rPr>
          <w:rFonts w:asciiTheme="minorHAnsi" w:hAnsiTheme="minorHAnsi" w:cstheme="minorHAnsi"/>
          <w:b/>
          <w:sz w:val="22"/>
          <w:szCs w:val="22"/>
        </w:rPr>
      </w:pPr>
      <w:proofErr w:type="gramStart"/>
      <w:r w:rsidRPr="00EF2F3B">
        <w:rPr>
          <w:rFonts w:asciiTheme="minorHAnsi" w:hAnsiTheme="minorHAnsi" w:cstheme="minorHAnsi"/>
          <w:b/>
          <w:sz w:val="22"/>
          <w:szCs w:val="22"/>
        </w:rPr>
        <w:t xml:space="preserve">Table </w:t>
      </w:r>
      <w:r w:rsidR="00F11F58">
        <w:rPr>
          <w:rFonts w:asciiTheme="minorHAnsi" w:hAnsiTheme="minorHAnsi" w:cstheme="minorHAnsi"/>
          <w:b/>
          <w:sz w:val="22"/>
          <w:szCs w:val="22"/>
        </w:rPr>
        <w:t>2</w:t>
      </w:r>
      <w:r w:rsidRPr="00EF2F3B">
        <w:rPr>
          <w:rFonts w:asciiTheme="minorHAnsi" w:hAnsiTheme="minorHAnsi" w:cstheme="minorHAnsi"/>
          <w:b/>
          <w:sz w:val="22"/>
          <w:szCs w:val="22"/>
        </w:rPr>
        <w:t>.</w:t>
      </w:r>
      <w:proofErr w:type="gramEnd"/>
      <w:r w:rsidRPr="00EF2F3B">
        <w:rPr>
          <w:rFonts w:asciiTheme="minorHAnsi" w:hAnsiTheme="minorHAnsi" w:cstheme="minorHAnsi"/>
          <w:b/>
          <w:sz w:val="22"/>
          <w:szCs w:val="22"/>
        </w:rPr>
        <w:t xml:space="preserve"> Estimated </w:t>
      </w:r>
      <w:r w:rsidR="00E66D6E" w:rsidRPr="00EF2F3B">
        <w:rPr>
          <w:rFonts w:asciiTheme="minorHAnsi" w:hAnsiTheme="minorHAnsi" w:cstheme="minorHAnsi"/>
          <w:b/>
          <w:sz w:val="22"/>
          <w:szCs w:val="22"/>
        </w:rPr>
        <w:t>a</w:t>
      </w:r>
      <w:r w:rsidRPr="00EF2F3B">
        <w:rPr>
          <w:rFonts w:asciiTheme="minorHAnsi" w:hAnsiTheme="minorHAnsi" w:cstheme="minorHAnsi"/>
          <w:b/>
          <w:sz w:val="22"/>
          <w:szCs w:val="22"/>
        </w:rPr>
        <w:t xml:space="preserve">nnualized </w:t>
      </w:r>
      <w:r w:rsidR="00E66D6E" w:rsidRPr="00EF2F3B">
        <w:rPr>
          <w:rFonts w:asciiTheme="minorHAnsi" w:hAnsiTheme="minorHAnsi" w:cstheme="minorHAnsi"/>
          <w:b/>
          <w:sz w:val="22"/>
          <w:szCs w:val="22"/>
        </w:rPr>
        <w:t>b</w:t>
      </w:r>
      <w:r w:rsidRPr="00EF2F3B">
        <w:rPr>
          <w:rFonts w:asciiTheme="minorHAnsi" w:hAnsiTheme="minorHAnsi" w:cstheme="minorHAnsi"/>
          <w:b/>
          <w:sz w:val="22"/>
          <w:szCs w:val="22"/>
        </w:rPr>
        <w:t xml:space="preserve">urden </w:t>
      </w:r>
      <w:r w:rsidR="00E66D6E" w:rsidRPr="00EF2F3B">
        <w:rPr>
          <w:rFonts w:asciiTheme="minorHAnsi" w:hAnsiTheme="minorHAnsi" w:cstheme="minorHAnsi"/>
          <w:b/>
          <w:sz w:val="22"/>
          <w:szCs w:val="22"/>
        </w:rPr>
        <w:t>h</w:t>
      </w:r>
      <w:r w:rsidRPr="00EF2F3B">
        <w:rPr>
          <w:rFonts w:asciiTheme="minorHAnsi" w:hAnsiTheme="minorHAnsi" w:cstheme="minorHAnsi"/>
          <w:b/>
          <w:sz w:val="22"/>
          <w:szCs w:val="22"/>
        </w:rPr>
        <w:t xml:space="preserve">ours </w:t>
      </w:r>
    </w:p>
    <w:tbl>
      <w:tblPr>
        <w:tblStyle w:val="TableGrid1"/>
        <w:tblW w:w="9508" w:type="dxa"/>
        <w:tblInd w:w="108" w:type="dxa"/>
        <w:tblLayout w:type="fixed"/>
        <w:tblLook w:val="0000" w:firstRow="0" w:lastRow="0" w:firstColumn="0" w:lastColumn="0" w:noHBand="0" w:noVBand="0"/>
      </w:tblPr>
      <w:tblGrid>
        <w:gridCol w:w="1530"/>
        <w:gridCol w:w="1530"/>
        <w:gridCol w:w="1539"/>
        <w:gridCol w:w="1439"/>
        <w:gridCol w:w="1299"/>
        <w:gridCol w:w="1199"/>
        <w:gridCol w:w="972"/>
      </w:tblGrid>
      <w:tr w:rsidR="001321DD" w:rsidRPr="008E2269" w14:paraId="52F378AB" w14:textId="77777777" w:rsidTr="007F4194">
        <w:trPr>
          <w:trHeight w:val="1162"/>
        </w:trPr>
        <w:tc>
          <w:tcPr>
            <w:tcW w:w="1530" w:type="dxa"/>
            <w:vAlign w:val="bottom"/>
          </w:tcPr>
          <w:p w14:paraId="5B968D84" w14:textId="77777777" w:rsidR="001321DD" w:rsidRPr="00E74BF6" w:rsidRDefault="001321DD" w:rsidP="007F4194">
            <w:pPr>
              <w:widowControl/>
              <w:autoSpaceDE/>
              <w:autoSpaceDN/>
              <w:adjustRightInd/>
              <w:spacing w:before="120" w:after="60" w:line="276" w:lineRule="auto"/>
              <w:rPr>
                <w:rFonts w:asciiTheme="minorHAnsi" w:hAnsiTheme="minorHAnsi" w:cstheme="minorHAnsi"/>
                <w:b/>
                <w:bCs/>
                <w:color w:val="000000"/>
                <w:sz w:val="18"/>
              </w:rPr>
            </w:pPr>
            <w:r w:rsidRPr="008E2269">
              <w:rPr>
                <w:rFonts w:cstheme="minorHAnsi"/>
                <w:b/>
                <w:bCs/>
                <w:color w:val="000000"/>
                <w:sz w:val="18"/>
              </w:rPr>
              <w:t>Instrument</w:t>
            </w:r>
          </w:p>
        </w:tc>
        <w:tc>
          <w:tcPr>
            <w:tcW w:w="1530" w:type="dxa"/>
            <w:vAlign w:val="bottom"/>
          </w:tcPr>
          <w:p w14:paraId="39BFEB94"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Person Incurring Burden</w:t>
            </w:r>
          </w:p>
        </w:tc>
        <w:tc>
          <w:tcPr>
            <w:tcW w:w="1539" w:type="dxa"/>
            <w:vAlign w:val="bottom"/>
          </w:tcPr>
          <w:p w14:paraId="12BD5274"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Number of Respondents</w:t>
            </w:r>
          </w:p>
        </w:tc>
        <w:tc>
          <w:tcPr>
            <w:tcW w:w="1439" w:type="dxa"/>
            <w:vAlign w:val="bottom"/>
          </w:tcPr>
          <w:p w14:paraId="0410DCC6"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Responses per Respondent</w:t>
            </w:r>
          </w:p>
        </w:tc>
        <w:tc>
          <w:tcPr>
            <w:tcW w:w="1299" w:type="dxa"/>
            <w:vAlign w:val="bottom"/>
          </w:tcPr>
          <w:p w14:paraId="15F246FD"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Total Responses</w:t>
            </w:r>
          </w:p>
        </w:tc>
        <w:tc>
          <w:tcPr>
            <w:tcW w:w="1199" w:type="dxa"/>
            <w:vAlign w:val="bottom"/>
          </w:tcPr>
          <w:p w14:paraId="0A9A0E16"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Hours per Response</w:t>
            </w:r>
          </w:p>
        </w:tc>
        <w:tc>
          <w:tcPr>
            <w:tcW w:w="972" w:type="dxa"/>
            <w:vAlign w:val="bottom"/>
          </w:tcPr>
          <w:p w14:paraId="531B21FB"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Total Burden Hours</w:t>
            </w:r>
          </w:p>
        </w:tc>
      </w:tr>
      <w:tr w:rsidR="001321DD" w:rsidRPr="008E2269" w14:paraId="5C47E84C" w14:textId="77777777" w:rsidTr="007F4194">
        <w:trPr>
          <w:trHeight w:val="290"/>
        </w:trPr>
        <w:tc>
          <w:tcPr>
            <w:tcW w:w="1530" w:type="dxa"/>
          </w:tcPr>
          <w:p w14:paraId="447CBBEE" w14:textId="77777777" w:rsidR="001321DD" w:rsidRPr="00E74BF6" w:rsidRDefault="001321DD" w:rsidP="007F4194">
            <w:pPr>
              <w:widowControl/>
              <w:autoSpaceDE/>
              <w:autoSpaceDN/>
              <w:adjustRightInd/>
              <w:spacing w:before="60" w:after="60" w:line="276" w:lineRule="auto"/>
              <w:rPr>
                <w:rFonts w:asciiTheme="minorHAnsi" w:hAnsiTheme="minorHAnsi" w:cstheme="minorHAnsi"/>
                <w:color w:val="000000"/>
                <w:sz w:val="18"/>
              </w:rPr>
            </w:pPr>
            <w:r w:rsidRPr="008E2269">
              <w:rPr>
                <w:rFonts w:cstheme="minorHAnsi"/>
                <w:color w:val="000000"/>
                <w:sz w:val="18"/>
              </w:rPr>
              <w:t>Survey</w:t>
            </w:r>
          </w:p>
        </w:tc>
        <w:tc>
          <w:tcPr>
            <w:tcW w:w="1530" w:type="dxa"/>
          </w:tcPr>
          <w:p w14:paraId="004263DE" w14:textId="77777777" w:rsidR="001321DD" w:rsidRPr="00E74BF6" w:rsidRDefault="001321DD" w:rsidP="007F4194">
            <w:pPr>
              <w:widowControl/>
              <w:autoSpaceDE/>
              <w:autoSpaceDN/>
              <w:adjustRightInd/>
              <w:spacing w:before="60" w:after="60" w:line="276" w:lineRule="auto"/>
              <w:rPr>
                <w:rFonts w:asciiTheme="minorHAnsi" w:hAnsiTheme="minorHAnsi" w:cstheme="minorHAnsi"/>
                <w:color w:val="000000"/>
                <w:sz w:val="18"/>
              </w:rPr>
            </w:pPr>
            <w:r w:rsidRPr="008E2269">
              <w:rPr>
                <w:rFonts w:cstheme="minorHAnsi"/>
                <w:color w:val="000000"/>
                <w:sz w:val="18"/>
              </w:rPr>
              <w:t>Teacher</w:t>
            </w:r>
          </w:p>
        </w:tc>
        <w:tc>
          <w:tcPr>
            <w:tcW w:w="1539" w:type="dxa"/>
          </w:tcPr>
          <w:p w14:paraId="0DFDFD4A" w14:textId="77777777" w:rsidR="001321DD" w:rsidRPr="00E74BF6" w:rsidRDefault="001054DA" w:rsidP="007F4194">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2,800</w:t>
            </w:r>
          </w:p>
        </w:tc>
        <w:tc>
          <w:tcPr>
            <w:tcW w:w="1439" w:type="dxa"/>
          </w:tcPr>
          <w:p w14:paraId="63EAB7DB" w14:textId="77777777" w:rsidR="001321DD" w:rsidRPr="00E74BF6" w:rsidRDefault="001321DD" w:rsidP="007F4194">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1</w:t>
            </w:r>
          </w:p>
        </w:tc>
        <w:tc>
          <w:tcPr>
            <w:tcW w:w="1299" w:type="dxa"/>
          </w:tcPr>
          <w:p w14:paraId="3E9C28B4" w14:textId="77777777" w:rsidR="001321DD" w:rsidRPr="00E74BF6" w:rsidRDefault="001054DA" w:rsidP="007F4194">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2,800</w:t>
            </w:r>
          </w:p>
        </w:tc>
        <w:tc>
          <w:tcPr>
            <w:tcW w:w="1199" w:type="dxa"/>
          </w:tcPr>
          <w:p w14:paraId="07D24CC6" w14:textId="77777777" w:rsidR="001321DD" w:rsidRPr="00E74BF6" w:rsidRDefault="001321DD" w:rsidP="007F4194">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w:t>
            </w:r>
            <w:r w:rsidR="00ED3903" w:rsidRPr="008E2269">
              <w:rPr>
                <w:rFonts w:cstheme="minorHAnsi"/>
                <w:color w:val="000000"/>
                <w:sz w:val="18"/>
              </w:rPr>
              <w:t>42</w:t>
            </w:r>
          </w:p>
        </w:tc>
        <w:tc>
          <w:tcPr>
            <w:tcW w:w="972" w:type="dxa"/>
          </w:tcPr>
          <w:p w14:paraId="29D7F111" w14:textId="77777777" w:rsidR="001321DD" w:rsidRPr="00E74BF6" w:rsidRDefault="00ED3903" w:rsidP="007F4194">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1,176</w:t>
            </w:r>
          </w:p>
        </w:tc>
      </w:tr>
      <w:tr w:rsidR="000B409A" w:rsidRPr="008E2269" w14:paraId="7E1B4DAE" w14:textId="77777777" w:rsidTr="00597080">
        <w:trPr>
          <w:trHeight w:val="290"/>
        </w:trPr>
        <w:tc>
          <w:tcPr>
            <w:tcW w:w="8536" w:type="dxa"/>
            <w:gridSpan w:val="6"/>
          </w:tcPr>
          <w:p w14:paraId="4DA7A49E" w14:textId="1DB0344B" w:rsidR="000B409A" w:rsidRPr="00E74BF6" w:rsidRDefault="000B409A" w:rsidP="000B409A">
            <w:pPr>
              <w:widowControl/>
              <w:autoSpaceDE/>
              <w:autoSpaceDN/>
              <w:adjustRightInd/>
              <w:spacing w:before="60" w:after="60" w:line="276" w:lineRule="auto"/>
              <w:jc w:val="right"/>
              <w:rPr>
                <w:rFonts w:asciiTheme="minorHAnsi" w:hAnsiTheme="minorHAnsi" w:cstheme="minorHAnsi"/>
                <w:b/>
                <w:color w:val="000000"/>
                <w:sz w:val="18"/>
              </w:rPr>
            </w:pPr>
          </w:p>
        </w:tc>
        <w:tc>
          <w:tcPr>
            <w:tcW w:w="972" w:type="dxa"/>
          </w:tcPr>
          <w:p w14:paraId="336328A7" w14:textId="33234446" w:rsidR="000B409A" w:rsidRPr="00E74BF6" w:rsidRDefault="000B409A" w:rsidP="004A16A0">
            <w:pPr>
              <w:widowControl/>
              <w:autoSpaceDE/>
              <w:autoSpaceDN/>
              <w:adjustRightInd/>
              <w:spacing w:before="60" w:after="60" w:line="276" w:lineRule="auto"/>
              <w:jc w:val="center"/>
              <w:rPr>
                <w:rFonts w:asciiTheme="minorHAnsi" w:hAnsiTheme="minorHAnsi" w:cstheme="minorHAnsi"/>
                <w:b/>
                <w:color w:val="000000"/>
                <w:sz w:val="18"/>
              </w:rPr>
            </w:pPr>
          </w:p>
        </w:tc>
      </w:tr>
    </w:tbl>
    <w:p w14:paraId="78800332" w14:textId="77777777" w:rsidR="00EF2F3B" w:rsidRDefault="00EF2F3B" w:rsidP="001321DD">
      <w:pPr>
        <w:autoSpaceDE w:val="0"/>
        <w:autoSpaceDN w:val="0"/>
        <w:adjustRightInd w:val="0"/>
        <w:spacing w:after="60" w:line="240" w:lineRule="auto"/>
        <w:rPr>
          <w:b/>
          <w:bCs/>
        </w:rPr>
      </w:pPr>
    </w:p>
    <w:p w14:paraId="62078016" w14:textId="77777777" w:rsidR="001321DD" w:rsidRPr="00EF2F3B" w:rsidRDefault="001321DD" w:rsidP="001321DD">
      <w:pPr>
        <w:autoSpaceDE w:val="0"/>
        <w:autoSpaceDN w:val="0"/>
        <w:adjustRightInd w:val="0"/>
        <w:spacing w:after="60" w:line="240" w:lineRule="auto"/>
        <w:rPr>
          <w:b/>
        </w:rPr>
      </w:pPr>
      <w:proofErr w:type="gramStart"/>
      <w:r w:rsidRPr="00EF2F3B">
        <w:rPr>
          <w:b/>
          <w:bCs/>
        </w:rPr>
        <w:t xml:space="preserve">Table </w:t>
      </w:r>
      <w:r w:rsidR="00F11F58">
        <w:rPr>
          <w:b/>
          <w:bCs/>
        </w:rPr>
        <w:t>3</w:t>
      </w:r>
      <w:r w:rsidRPr="00EF2F3B">
        <w:rPr>
          <w:b/>
        </w:rPr>
        <w:t>.</w:t>
      </w:r>
      <w:proofErr w:type="gramEnd"/>
      <w:r w:rsidRPr="00EF2F3B">
        <w:rPr>
          <w:b/>
        </w:rPr>
        <w:t xml:space="preserve"> Estimated </w:t>
      </w:r>
      <w:r w:rsidR="00E410DC" w:rsidRPr="00EF2F3B">
        <w:rPr>
          <w:b/>
        </w:rPr>
        <w:t>a</w:t>
      </w:r>
      <w:r w:rsidRPr="00EF2F3B">
        <w:rPr>
          <w:b/>
        </w:rPr>
        <w:t xml:space="preserve">nnualized </w:t>
      </w:r>
      <w:r w:rsidR="00E410DC" w:rsidRPr="00EF2F3B">
        <w:rPr>
          <w:b/>
        </w:rPr>
        <w:t>c</w:t>
      </w:r>
      <w:r w:rsidRPr="00EF2F3B">
        <w:rPr>
          <w:b/>
        </w:rPr>
        <w:t xml:space="preserve">ost to </w:t>
      </w:r>
      <w:r w:rsidR="00E410DC" w:rsidRPr="00EF2F3B">
        <w:rPr>
          <w:b/>
        </w:rPr>
        <w:t>r</w:t>
      </w:r>
      <w:r w:rsidRPr="00EF2F3B">
        <w:rPr>
          <w:b/>
        </w:rPr>
        <w:t>espondents</w:t>
      </w:r>
      <w:r w:rsidR="00CC480C" w:rsidRPr="00EF2F3B">
        <w:rPr>
          <w:b/>
        </w:rPr>
        <w:t xml:space="preserve"> </w:t>
      </w:r>
    </w:p>
    <w:tbl>
      <w:tblPr>
        <w:tblStyle w:val="TableGrid1"/>
        <w:tblW w:w="9558" w:type="dxa"/>
        <w:tblInd w:w="108" w:type="dxa"/>
        <w:tblLook w:val="0000" w:firstRow="0" w:lastRow="0" w:firstColumn="0" w:lastColumn="0" w:noHBand="0" w:noVBand="0"/>
      </w:tblPr>
      <w:tblGrid>
        <w:gridCol w:w="2580"/>
        <w:gridCol w:w="2181"/>
        <w:gridCol w:w="1421"/>
        <w:gridCol w:w="1678"/>
        <w:gridCol w:w="1698"/>
      </w:tblGrid>
      <w:tr w:rsidR="001321DD" w:rsidRPr="008E2269" w14:paraId="27241578" w14:textId="77777777" w:rsidTr="007F4194">
        <w:trPr>
          <w:trHeight w:val="1162"/>
        </w:trPr>
        <w:tc>
          <w:tcPr>
            <w:tcW w:w="2580" w:type="dxa"/>
            <w:vAlign w:val="bottom"/>
          </w:tcPr>
          <w:p w14:paraId="54C9AD9F" w14:textId="77777777" w:rsidR="001321DD" w:rsidRPr="00E74BF6" w:rsidRDefault="001321DD" w:rsidP="007F4194">
            <w:pPr>
              <w:widowControl/>
              <w:autoSpaceDE/>
              <w:autoSpaceDN/>
              <w:adjustRightInd/>
              <w:spacing w:before="120" w:after="60" w:line="276" w:lineRule="auto"/>
              <w:rPr>
                <w:rFonts w:asciiTheme="minorHAnsi" w:hAnsiTheme="minorHAnsi" w:cstheme="minorHAnsi"/>
                <w:b/>
                <w:bCs/>
                <w:color w:val="000000"/>
                <w:sz w:val="18"/>
              </w:rPr>
            </w:pPr>
            <w:r w:rsidRPr="008E2269">
              <w:rPr>
                <w:rFonts w:cstheme="minorHAnsi"/>
                <w:b/>
                <w:bCs/>
                <w:color w:val="000000"/>
                <w:sz w:val="18"/>
              </w:rPr>
              <w:t>Instrument</w:t>
            </w:r>
          </w:p>
        </w:tc>
        <w:tc>
          <w:tcPr>
            <w:tcW w:w="2181" w:type="dxa"/>
            <w:vAlign w:val="bottom"/>
          </w:tcPr>
          <w:p w14:paraId="5816A09A"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Person Incurring Burden</w:t>
            </w:r>
          </w:p>
        </w:tc>
        <w:tc>
          <w:tcPr>
            <w:tcW w:w="1421" w:type="dxa"/>
            <w:vAlign w:val="bottom"/>
          </w:tcPr>
          <w:p w14:paraId="771C06BD"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Total Burden Hours</w:t>
            </w:r>
          </w:p>
        </w:tc>
        <w:tc>
          <w:tcPr>
            <w:tcW w:w="1678" w:type="dxa"/>
            <w:vAlign w:val="bottom"/>
          </w:tcPr>
          <w:p w14:paraId="093B75DA"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Hourly Wage Rate</w:t>
            </w:r>
          </w:p>
        </w:tc>
        <w:tc>
          <w:tcPr>
            <w:tcW w:w="1698" w:type="dxa"/>
            <w:vAlign w:val="bottom"/>
          </w:tcPr>
          <w:p w14:paraId="4924E2F8" w14:textId="77777777" w:rsidR="001321DD" w:rsidRPr="00E74BF6" w:rsidRDefault="001321DD" w:rsidP="007F4194">
            <w:pPr>
              <w:widowControl/>
              <w:autoSpaceDE/>
              <w:autoSpaceDN/>
              <w:adjustRightInd/>
              <w:spacing w:before="120" w:after="60" w:line="276" w:lineRule="auto"/>
              <w:jc w:val="center"/>
              <w:rPr>
                <w:rFonts w:asciiTheme="minorHAnsi" w:hAnsiTheme="minorHAnsi" w:cstheme="minorHAnsi"/>
                <w:b/>
                <w:bCs/>
                <w:color w:val="000000"/>
                <w:sz w:val="18"/>
              </w:rPr>
            </w:pPr>
            <w:r w:rsidRPr="008E2269">
              <w:rPr>
                <w:rFonts w:cstheme="minorHAnsi"/>
                <w:b/>
                <w:bCs/>
                <w:color w:val="000000"/>
                <w:sz w:val="18"/>
              </w:rPr>
              <w:t>Total Respondent Costs</w:t>
            </w:r>
          </w:p>
        </w:tc>
      </w:tr>
      <w:tr w:rsidR="001054DA" w:rsidRPr="008E2269" w14:paraId="38489204" w14:textId="77777777" w:rsidTr="007F4194">
        <w:trPr>
          <w:trHeight w:val="348"/>
        </w:trPr>
        <w:tc>
          <w:tcPr>
            <w:tcW w:w="2580" w:type="dxa"/>
          </w:tcPr>
          <w:p w14:paraId="0E613869" w14:textId="77777777" w:rsidR="001054DA" w:rsidRPr="00E74BF6" w:rsidRDefault="001054DA" w:rsidP="00597080">
            <w:pPr>
              <w:widowControl/>
              <w:autoSpaceDE/>
              <w:autoSpaceDN/>
              <w:adjustRightInd/>
              <w:spacing w:before="60" w:after="60" w:line="276" w:lineRule="auto"/>
              <w:rPr>
                <w:rFonts w:asciiTheme="minorHAnsi" w:hAnsiTheme="minorHAnsi" w:cstheme="minorHAnsi"/>
                <w:color w:val="000000"/>
                <w:sz w:val="18"/>
              </w:rPr>
            </w:pPr>
            <w:r w:rsidRPr="008E2269">
              <w:rPr>
                <w:rFonts w:cstheme="minorHAnsi"/>
                <w:color w:val="000000"/>
                <w:sz w:val="18"/>
              </w:rPr>
              <w:t>Survey</w:t>
            </w:r>
          </w:p>
        </w:tc>
        <w:tc>
          <w:tcPr>
            <w:tcW w:w="2181" w:type="dxa"/>
          </w:tcPr>
          <w:p w14:paraId="42BDCC31" w14:textId="77777777" w:rsidR="001054DA" w:rsidRPr="00E74BF6" w:rsidRDefault="001054DA" w:rsidP="007F4194">
            <w:pPr>
              <w:widowControl/>
              <w:autoSpaceDE/>
              <w:autoSpaceDN/>
              <w:adjustRightInd/>
              <w:spacing w:before="60" w:after="60" w:line="276" w:lineRule="auto"/>
              <w:rPr>
                <w:rFonts w:asciiTheme="minorHAnsi" w:hAnsiTheme="minorHAnsi" w:cstheme="minorHAnsi"/>
                <w:color w:val="000000"/>
                <w:sz w:val="18"/>
              </w:rPr>
            </w:pPr>
            <w:r w:rsidRPr="008E2269">
              <w:rPr>
                <w:rFonts w:cstheme="minorHAnsi"/>
                <w:color w:val="000000"/>
                <w:sz w:val="18"/>
              </w:rPr>
              <w:t>Teacher</w:t>
            </w:r>
          </w:p>
        </w:tc>
        <w:tc>
          <w:tcPr>
            <w:tcW w:w="1421" w:type="dxa"/>
          </w:tcPr>
          <w:p w14:paraId="064F488C" w14:textId="56689BD7" w:rsidR="001054DA" w:rsidRPr="00E74BF6" w:rsidRDefault="004A16A0" w:rsidP="0068683F">
            <w:pPr>
              <w:widowControl/>
              <w:autoSpaceDE/>
              <w:autoSpaceDN/>
              <w:adjustRightInd/>
              <w:spacing w:before="60" w:after="60" w:line="276" w:lineRule="auto"/>
              <w:jc w:val="center"/>
              <w:rPr>
                <w:rFonts w:asciiTheme="minorHAnsi" w:hAnsiTheme="minorHAnsi" w:cstheme="minorHAnsi"/>
                <w:color w:val="000000"/>
                <w:sz w:val="18"/>
              </w:rPr>
            </w:pPr>
            <w:r>
              <w:rPr>
                <w:rFonts w:cstheme="minorHAnsi"/>
                <w:color w:val="000000"/>
                <w:sz w:val="18"/>
              </w:rPr>
              <w:t>1</w:t>
            </w:r>
            <w:r w:rsidR="0068683F">
              <w:rPr>
                <w:rFonts w:cstheme="minorHAnsi"/>
                <w:color w:val="000000"/>
                <w:sz w:val="18"/>
              </w:rPr>
              <w:t>,</w:t>
            </w:r>
            <w:r>
              <w:rPr>
                <w:rFonts w:cstheme="minorHAnsi"/>
                <w:color w:val="000000"/>
                <w:sz w:val="18"/>
              </w:rPr>
              <w:t>176</w:t>
            </w:r>
          </w:p>
        </w:tc>
        <w:tc>
          <w:tcPr>
            <w:tcW w:w="1678" w:type="dxa"/>
          </w:tcPr>
          <w:p w14:paraId="2A9EE70C" w14:textId="77777777" w:rsidR="001054DA" w:rsidRPr="00E74BF6" w:rsidRDefault="001054DA" w:rsidP="007F4194">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$28</w:t>
            </w:r>
          </w:p>
        </w:tc>
        <w:tc>
          <w:tcPr>
            <w:tcW w:w="1698" w:type="dxa"/>
          </w:tcPr>
          <w:p w14:paraId="2D127613" w14:textId="63422E9A" w:rsidR="001054DA" w:rsidRPr="00E74BF6" w:rsidRDefault="001054DA" w:rsidP="004A16A0">
            <w:pPr>
              <w:widowControl/>
              <w:autoSpaceDE/>
              <w:autoSpaceDN/>
              <w:adjustRightInd/>
              <w:spacing w:before="60" w:after="60" w:line="276" w:lineRule="auto"/>
              <w:jc w:val="center"/>
              <w:rPr>
                <w:rFonts w:asciiTheme="minorHAnsi" w:hAnsiTheme="minorHAnsi" w:cstheme="minorHAnsi"/>
                <w:color w:val="000000"/>
                <w:sz w:val="18"/>
              </w:rPr>
            </w:pPr>
            <w:r w:rsidRPr="008E2269">
              <w:rPr>
                <w:rFonts w:cstheme="minorHAnsi"/>
                <w:color w:val="000000"/>
                <w:sz w:val="18"/>
              </w:rPr>
              <w:t>$</w:t>
            </w:r>
            <w:r w:rsidR="004A16A0">
              <w:rPr>
                <w:rFonts w:cstheme="minorHAnsi"/>
                <w:color w:val="000000"/>
                <w:sz w:val="18"/>
              </w:rPr>
              <w:t>$32</w:t>
            </w:r>
            <w:r w:rsidR="0068683F">
              <w:rPr>
                <w:rFonts w:cstheme="minorHAnsi"/>
                <w:color w:val="000000"/>
                <w:sz w:val="18"/>
              </w:rPr>
              <w:t>,</w:t>
            </w:r>
            <w:r w:rsidR="004A16A0">
              <w:rPr>
                <w:rFonts w:cstheme="minorHAnsi"/>
                <w:color w:val="000000"/>
                <w:sz w:val="18"/>
              </w:rPr>
              <w:t>928</w:t>
            </w:r>
          </w:p>
        </w:tc>
      </w:tr>
    </w:tbl>
    <w:p w14:paraId="259C0A8F" w14:textId="77777777" w:rsidR="00201B57" w:rsidRPr="00EF2F3B" w:rsidRDefault="001321DD" w:rsidP="00212FEB">
      <w:pPr>
        <w:widowControl w:val="0"/>
        <w:autoSpaceDE w:val="0"/>
        <w:autoSpaceDN w:val="0"/>
        <w:adjustRightInd w:val="0"/>
        <w:spacing w:line="240" w:lineRule="auto"/>
        <w:rPr>
          <w:rStyle w:val="Heading2Char"/>
          <w:rFonts w:asciiTheme="minorHAnsi" w:eastAsiaTheme="minorHAnsi" w:hAnsiTheme="minorHAnsi" w:cstheme="minorBidi"/>
          <w:b w:val="0"/>
          <w:bCs w:val="0"/>
          <w:color w:val="auto"/>
          <w:sz w:val="18"/>
          <w:szCs w:val="22"/>
        </w:rPr>
      </w:pPr>
      <w:r w:rsidRPr="00EF2F3B">
        <w:rPr>
          <w:sz w:val="18"/>
        </w:rPr>
        <w:t xml:space="preserve">Bureau of Labor Statistics, Occupational Employment Statistics, </w:t>
      </w:r>
      <w:r w:rsidR="00E410DC" w:rsidRPr="00EF2F3B">
        <w:rPr>
          <w:sz w:val="18"/>
        </w:rPr>
        <w:t xml:space="preserve">estimates </w:t>
      </w:r>
      <w:r w:rsidRPr="00EF2F3B">
        <w:rPr>
          <w:sz w:val="18"/>
        </w:rPr>
        <w:t>Annual Teacher Salary</w:t>
      </w:r>
      <w:r w:rsidR="00AB45C6">
        <w:rPr>
          <w:sz w:val="18"/>
        </w:rPr>
        <w:t xml:space="preserve"> </w:t>
      </w:r>
      <w:r w:rsidRPr="00EF2F3B">
        <w:rPr>
          <w:sz w:val="18"/>
        </w:rPr>
        <w:t>to be $57,810. To calculate an hourly wage</w:t>
      </w:r>
      <w:r w:rsidR="00E410DC" w:rsidRPr="00EF2F3B">
        <w:rPr>
          <w:sz w:val="18"/>
        </w:rPr>
        <w:t>,</w:t>
      </w:r>
      <w:r w:rsidRPr="00EF2F3B">
        <w:rPr>
          <w:sz w:val="18"/>
        </w:rPr>
        <w:t xml:space="preserve"> a 40</w:t>
      </w:r>
      <w:r w:rsidR="00567F2C" w:rsidRPr="00EF2F3B">
        <w:rPr>
          <w:sz w:val="18"/>
        </w:rPr>
        <w:t>-</w:t>
      </w:r>
      <w:r w:rsidRPr="00EF2F3B">
        <w:rPr>
          <w:sz w:val="18"/>
        </w:rPr>
        <w:t>hour work week was assumed</w:t>
      </w:r>
      <w:r w:rsidR="00E410DC" w:rsidRPr="00EF2F3B">
        <w:rPr>
          <w:sz w:val="18"/>
        </w:rPr>
        <w:t>,</w:t>
      </w:r>
      <w:r w:rsidRPr="00EF2F3B">
        <w:rPr>
          <w:sz w:val="18"/>
        </w:rPr>
        <w:t xml:space="preserve"> resulting in an average hourly wage of $27.79.</w:t>
      </w:r>
    </w:p>
    <w:p w14:paraId="6E4DC85E" w14:textId="77777777" w:rsidR="007D2125" w:rsidRDefault="002A716E" w:rsidP="002A716E">
      <w:pPr>
        <w:rPr>
          <w:b/>
          <w:bCs/>
        </w:rPr>
      </w:pPr>
      <w:bookmarkStart w:id="19" w:name="_Toc364869934"/>
      <w:r w:rsidRPr="006D792F">
        <w:rPr>
          <w:rStyle w:val="Heading2Char"/>
        </w:rPr>
        <w:t>A13.</w:t>
      </w:r>
      <w:r w:rsidR="00C8790F">
        <w:rPr>
          <w:rStyle w:val="Heading2Char"/>
        </w:rPr>
        <w:t xml:space="preserve"> Estimate for the Total Annual Cost Burden to Respondents or R</w:t>
      </w:r>
      <w:r w:rsidRPr="006D792F">
        <w:rPr>
          <w:rStyle w:val="Heading2Char"/>
        </w:rPr>
        <w:t>ecord</w:t>
      </w:r>
      <w:r w:rsidR="00B902CC">
        <w:rPr>
          <w:rStyle w:val="Heading2Char"/>
        </w:rPr>
        <w:t xml:space="preserve"> </w:t>
      </w:r>
      <w:r w:rsidR="00C8790F">
        <w:rPr>
          <w:rStyle w:val="Heading2Char"/>
        </w:rPr>
        <w:t>K</w:t>
      </w:r>
      <w:r w:rsidRPr="006D792F">
        <w:rPr>
          <w:rStyle w:val="Heading2Char"/>
        </w:rPr>
        <w:t>eepers</w:t>
      </w:r>
      <w:bookmarkEnd w:id="19"/>
      <w:r w:rsidR="00744F0D" w:rsidRPr="006D792F">
        <w:rPr>
          <w:rStyle w:val="Heading2Char"/>
        </w:rPr>
        <w:t xml:space="preserve"> </w:t>
      </w:r>
    </w:p>
    <w:p w14:paraId="390CB5BC" w14:textId="77777777" w:rsidR="000A6EDF" w:rsidRPr="000A6EDF" w:rsidRDefault="000A6EDF" w:rsidP="002A716E">
      <w:r>
        <w:t xml:space="preserve">There are no start-up costs for this collection. </w:t>
      </w:r>
    </w:p>
    <w:p w14:paraId="37A4C33E" w14:textId="77777777" w:rsidR="007D2125" w:rsidRDefault="00C8790F" w:rsidP="002A716E">
      <w:pPr>
        <w:rPr>
          <w:rStyle w:val="Heading2Char"/>
        </w:rPr>
      </w:pPr>
      <w:bookmarkStart w:id="20" w:name="_Toc364869935"/>
      <w:proofErr w:type="gramStart"/>
      <w:r>
        <w:rPr>
          <w:rStyle w:val="Heading2Char"/>
        </w:rPr>
        <w:t>A14.Estimates of Annualized C</w:t>
      </w:r>
      <w:r w:rsidR="002A716E" w:rsidRPr="006D792F">
        <w:rPr>
          <w:rStyle w:val="Heading2Char"/>
        </w:rPr>
        <w:t xml:space="preserve">osts to the Federal </w:t>
      </w:r>
      <w:r>
        <w:rPr>
          <w:rStyle w:val="Heading2Char"/>
        </w:rPr>
        <w:t>G</w:t>
      </w:r>
      <w:r w:rsidR="002A716E" w:rsidRPr="006D792F">
        <w:rPr>
          <w:rStyle w:val="Heading2Char"/>
        </w:rPr>
        <w:t>overnment.</w:t>
      </w:r>
      <w:bookmarkEnd w:id="20"/>
      <w:proofErr w:type="gramEnd"/>
      <w:r w:rsidR="002A716E" w:rsidRPr="006D792F">
        <w:rPr>
          <w:rStyle w:val="Heading2Char"/>
        </w:rPr>
        <w:t xml:space="preserve"> </w:t>
      </w:r>
    </w:p>
    <w:p w14:paraId="46E2E21D" w14:textId="77777777" w:rsidR="008D72AB" w:rsidRDefault="00C14740" w:rsidP="004003E3">
      <w:r>
        <w:t xml:space="preserve">The total estimated cost for </w:t>
      </w:r>
      <w:r w:rsidRPr="004003E3">
        <w:t>this study is $</w:t>
      </w:r>
      <w:r w:rsidR="004003E3">
        <w:t>288</w:t>
      </w:r>
      <w:r w:rsidR="004003E3" w:rsidRPr="004003E3">
        <w:t>,</w:t>
      </w:r>
      <w:r w:rsidR="004003E3">
        <w:t>2</w:t>
      </w:r>
      <w:r w:rsidR="004003E3" w:rsidRPr="004003E3">
        <w:t>50</w:t>
      </w:r>
      <w:r w:rsidR="009F7E4F" w:rsidRPr="004003E3">
        <w:t xml:space="preserve"> </w:t>
      </w:r>
      <w:r w:rsidRPr="004003E3">
        <w:t>over three years. The average yearly cost is $</w:t>
      </w:r>
      <w:r w:rsidR="004003E3">
        <w:t>96</w:t>
      </w:r>
      <w:r w:rsidR="004003E3" w:rsidRPr="004003E3">
        <w:t>,</w:t>
      </w:r>
      <w:r w:rsidR="004003E3">
        <w:t>0</w:t>
      </w:r>
      <w:r w:rsidR="004003E3" w:rsidRPr="004003E3">
        <w:t>83</w:t>
      </w:r>
      <w:r w:rsidRPr="004003E3">
        <w:t>.</w:t>
      </w:r>
      <w:r>
        <w:t xml:space="preserve"> </w:t>
      </w:r>
      <w:r w:rsidR="004003E3">
        <w:t>This cost represents the value of all services to perform activities associated with the proposed data collection including:</w:t>
      </w:r>
      <w:r w:rsidR="00AB45C6">
        <w:t xml:space="preserve"> </w:t>
      </w:r>
      <w:r w:rsidR="004003E3" w:rsidRPr="004003E3">
        <w:t>data collection instrument development and testing</w:t>
      </w:r>
      <w:r w:rsidR="008E2269">
        <w:t>;</w:t>
      </w:r>
      <w:r w:rsidR="004003E3" w:rsidRPr="004003E3">
        <w:t xml:space="preserve"> establishing and meeting with </w:t>
      </w:r>
      <w:r w:rsidR="004003E3">
        <w:t>expert consultants</w:t>
      </w:r>
      <w:r w:rsidR="00597080">
        <w:t>;</w:t>
      </w:r>
      <w:r w:rsidR="00597080" w:rsidRPr="004003E3">
        <w:t xml:space="preserve"> </w:t>
      </w:r>
      <w:r w:rsidR="004003E3" w:rsidRPr="004003E3">
        <w:t>establishing and maintaining data security</w:t>
      </w:r>
      <w:r w:rsidR="00597080">
        <w:t>;</w:t>
      </w:r>
      <w:r w:rsidR="004003E3" w:rsidRPr="004003E3">
        <w:t xml:space="preserve"> </w:t>
      </w:r>
      <w:r w:rsidR="00597080">
        <w:t>collecting</w:t>
      </w:r>
      <w:r w:rsidR="004003E3" w:rsidRPr="004003E3">
        <w:t xml:space="preserve"> data</w:t>
      </w:r>
      <w:r w:rsidR="004003E3">
        <w:t xml:space="preserve">; cleaning, coding, </w:t>
      </w:r>
      <w:r w:rsidR="004003E3" w:rsidRPr="004003E3">
        <w:t>processing</w:t>
      </w:r>
      <w:r w:rsidR="004003E3">
        <w:t xml:space="preserve">, and </w:t>
      </w:r>
      <w:r w:rsidR="004003E3" w:rsidRPr="004003E3">
        <w:t>analy</w:t>
      </w:r>
      <w:r w:rsidR="00597080">
        <w:t>zing data</w:t>
      </w:r>
      <w:r w:rsidR="004003E3" w:rsidRPr="004003E3">
        <w:t>; prepar</w:t>
      </w:r>
      <w:r w:rsidR="00597080">
        <w:t>ing</w:t>
      </w:r>
      <w:r w:rsidR="004003E3" w:rsidRPr="004003E3">
        <w:t xml:space="preserve"> project reports and data files; </w:t>
      </w:r>
      <w:r w:rsidR="004003E3">
        <w:t xml:space="preserve">and </w:t>
      </w:r>
      <w:r w:rsidR="004003E3" w:rsidRPr="004003E3">
        <w:t>disseminati</w:t>
      </w:r>
      <w:r w:rsidR="00597080">
        <w:t>ng</w:t>
      </w:r>
      <w:r w:rsidR="004003E3" w:rsidRPr="004003E3">
        <w:t xml:space="preserve"> reports and data.</w:t>
      </w:r>
      <w:r w:rsidR="004003E3">
        <w:t xml:space="preserve"> The estimated cost also reflects </w:t>
      </w:r>
      <w:r w:rsidR="008D72AB" w:rsidRPr="00C812A7">
        <w:t xml:space="preserve">personnel costs of </w:t>
      </w:r>
      <w:r w:rsidR="00597080">
        <w:t>f</w:t>
      </w:r>
      <w:r w:rsidR="00597080" w:rsidRPr="00C812A7">
        <w:t xml:space="preserve">ederal </w:t>
      </w:r>
      <w:r w:rsidR="008D72AB" w:rsidRPr="00C812A7">
        <w:t xml:space="preserve">employees involved in the oversight and </w:t>
      </w:r>
      <w:r w:rsidR="004003E3" w:rsidRPr="00C812A7">
        <w:t xml:space="preserve">review </w:t>
      </w:r>
      <w:r w:rsidR="008D72AB" w:rsidRPr="00C812A7">
        <w:t xml:space="preserve">of </w:t>
      </w:r>
      <w:r w:rsidR="004003E3" w:rsidRPr="00C812A7">
        <w:t xml:space="preserve">project plans and progress </w:t>
      </w:r>
      <w:r w:rsidR="00C812A7" w:rsidRPr="00C812A7">
        <w:t>(</w:t>
      </w:r>
      <w:r w:rsidR="004003E3" w:rsidRPr="00C812A7">
        <w:t xml:space="preserve">estimated </w:t>
      </w:r>
      <w:r w:rsidR="00C812A7" w:rsidRPr="00C812A7">
        <w:t xml:space="preserve">at a cost of </w:t>
      </w:r>
      <w:r w:rsidR="008D72AB" w:rsidRPr="00C812A7">
        <w:t>$</w:t>
      </w:r>
      <w:r w:rsidR="00212FEB" w:rsidRPr="00C812A7">
        <w:t>5,000</w:t>
      </w:r>
      <w:r w:rsidR="008D72AB" w:rsidRPr="00C812A7">
        <w:t xml:space="preserve"> </w:t>
      </w:r>
      <w:r w:rsidR="00C812A7" w:rsidRPr="00C812A7">
        <w:t>per year)</w:t>
      </w:r>
      <w:r w:rsidR="008D72AB" w:rsidRPr="00C812A7">
        <w:t>.</w:t>
      </w:r>
      <w:r w:rsidR="008D72AB" w:rsidRPr="009F7E4F">
        <w:rPr>
          <w:highlight w:val="yellow"/>
        </w:rPr>
        <w:t xml:space="preserve"> </w:t>
      </w:r>
    </w:p>
    <w:p w14:paraId="09093C0B" w14:textId="77777777" w:rsidR="007D2125" w:rsidRDefault="002A716E" w:rsidP="002A716E">
      <w:pPr>
        <w:rPr>
          <w:rStyle w:val="Heading2Char"/>
        </w:rPr>
      </w:pPr>
      <w:bookmarkStart w:id="21" w:name="_Toc364869936"/>
      <w:r w:rsidRPr="006D792F">
        <w:rPr>
          <w:rStyle w:val="Heading2Char"/>
        </w:rPr>
        <w:t>A15.</w:t>
      </w:r>
      <w:r w:rsidR="00C8790F">
        <w:rPr>
          <w:rStyle w:val="Heading2Char"/>
        </w:rPr>
        <w:t>Reasons for Program Changes or A</w:t>
      </w:r>
      <w:r w:rsidRPr="006D792F">
        <w:rPr>
          <w:rStyle w:val="Heading2Char"/>
        </w:rPr>
        <w:t>djustments</w:t>
      </w:r>
      <w:bookmarkEnd w:id="21"/>
      <w:r w:rsidRPr="006D792F">
        <w:rPr>
          <w:rStyle w:val="Heading2Char"/>
        </w:rPr>
        <w:t xml:space="preserve"> </w:t>
      </w:r>
    </w:p>
    <w:p w14:paraId="42512CBD" w14:textId="77777777" w:rsidR="00744F0D" w:rsidRPr="00744F0D" w:rsidRDefault="00744F0D" w:rsidP="002A716E">
      <w:r>
        <w:t>This is a new study.</w:t>
      </w:r>
    </w:p>
    <w:p w14:paraId="3F2E3816" w14:textId="77777777" w:rsidR="007D2125" w:rsidRDefault="002A716E" w:rsidP="002A716E">
      <w:pPr>
        <w:rPr>
          <w:b/>
          <w:bCs/>
        </w:rPr>
      </w:pPr>
      <w:bookmarkStart w:id="22" w:name="_Toc364869937"/>
      <w:r w:rsidRPr="00E70779">
        <w:rPr>
          <w:rStyle w:val="Heading2Char"/>
        </w:rPr>
        <w:t>A16.</w:t>
      </w:r>
      <w:r w:rsidR="00C8790F">
        <w:rPr>
          <w:rStyle w:val="Heading2Char"/>
        </w:rPr>
        <w:t xml:space="preserve"> </w:t>
      </w:r>
      <w:proofErr w:type="gramStart"/>
      <w:r w:rsidR="00C8790F">
        <w:rPr>
          <w:rStyle w:val="Heading2Char"/>
        </w:rPr>
        <w:t>P</w:t>
      </w:r>
      <w:r w:rsidRPr="00E70779">
        <w:rPr>
          <w:rStyle w:val="Heading2Char"/>
        </w:rPr>
        <w:t>lans for</w:t>
      </w:r>
      <w:r w:rsidR="00744F0D" w:rsidRPr="00E70779">
        <w:rPr>
          <w:rStyle w:val="Heading2Char"/>
        </w:rPr>
        <w:t xml:space="preserve"> </w:t>
      </w:r>
      <w:r w:rsidR="00C8790F">
        <w:rPr>
          <w:rStyle w:val="Heading2Char"/>
        </w:rPr>
        <w:t>Tabulation and P</w:t>
      </w:r>
      <w:r w:rsidRPr="00E70779">
        <w:rPr>
          <w:rStyle w:val="Heading2Char"/>
        </w:rPr>
        <w:t>ublication.</w:t>
      </w:r>
      <w:bookmarkEnd w:id="22"/>
      <w:proofErr w:type="gramEnd"/>
      <w:r w:rsidRPr="002A716E">
        <w:rPr>
          <w:b/>
          <w:bCs/>
        </w:rPr>
        <w:t xml:space="preserve"> </w:t>
      </w:r>
    </w:p>
    <w:p w14:paraId="6B2A6D45" w14:textId="77777777" w:rsidR="00456BFC" w:rsidRPr="00456BFC" w:rsidRDefault="00456BFC" w:rsidP="002644F9">
      <w:pPr>
        <w:pStyle w:val="Heading3"/>
      </w:pPr>
      <w:bookmarkStart w:id="23" w:name="_Toc364869938"/>
      <w:r w:rsidRPr="00456BFC">
        <w:t>Tabulation Plans</w:t>
      </w:r>
      <w:bookmarkEnd w:id="23"/>
    </w:p>
    <w:p w14:paraId="3139305A" w14:textId="77777777" w:rsidR="009F7E4F" w:rsidRDefault="009F7E4F" w:rsidP="009F7E4F">
      <w:pPr>
        <w:spacing w:after="0" w:line="240" w:lineRule="auto"/>
        <w:rPr>
          <w:rFonts w:cstheme="minorHAnsi"/>
          <w:b/>
        </w:rPr>
      </w:pPr>
    </w:p>
    <w:p w14:paraId="7A00BBD1" w14:textId="77777777" w:rsidR="009F7E4F" w:rsidRPr="009F7E4F" w:rsidRDefault="009F7E4F" w:rsidP="009F7E4F">
      <w:pPr>
        <w:spacing w:after="0" w:line="240" w:lineRule="auto"/>
        <w:rPr>
          <w:rFonts w:cstheme="minorHAnsi"/>
        </w:rPr>
      </w:pPr>
      <w:r w:rsidRPr="009F7E4F">
        <w:rPr>
          <w:rFonts w:cstheme="minorHAnsi"/>
        </w:rPr>
        <w:t>For research question 1</w:t>
      </w:r>
      <w:r w:rsidR="00F52C33">
        <w:rPr>
          <w:rFonts w:cstheme="minorHAnsi"/>
        </w:rPr>
        <w:t xml:space="preserve"> (</w:t>
      </w:r>
      <w:r w:rsidR="00F52C33" w:rsidRPr="00F52C33">
        <w:rPr>
          <w:rFonts w:cstheme="minorHAnsi"/>
          <w:i/>
        </w:rPr>
        <w:t>What are the characteristics of clinical practice in traditional teacher preparation programs completed by first-year public school teachers in Missouri?</w:t>
      </w:r>
      <w:r w:rsidR="00F52C33">
        <w:rPr>
          <w:rFonts w:cstheme="minorHAnsi"/>
        </w:rPr>
        <w:t>)</w:t>
      </w:r>
      <w:r w:rsidRPr="009F7E4F">
        <w:rPr>
          <w:rFonts w:cstheme="minorHAnsi"/>
        </w:rPr>
        <w:t>, REL Central will present descriptive statistics for all respondents in the sample. To provide context for interpreting findings, respondent counts, survey response rates, and descriptive information about survey respondents will be presented (</w:t>
      </w:r>
      <w:r w:rsidR="00597080">
        <w:rPr>
          <w:rFonts w:cstheme="minorHAnsi"/>
        </w:rPr>
        <w:t>that is,</w:t>
      </w:r>
      <w:r w:rsidRPr="009F7E4F">
        <w:rPr>
          <w:rFonts w:cstheme="minorHAnsi"/>
        </w:rPr>
        <w:t xml:space="preserve"> name of teacher preparation program, certification(s), current teaching assignment, gender</w:t>
      </w:r>
      <w:r w:rsidR="00597080">
        <w:rPr>
          <w:rFonts w:cstheme="minorHAnsi"/>
        </w:rPr>
        <w:t>,</w:t>
      </w:r>
      <w:r w:rsidRPr="009F7E4F">
        <w:rPr>
          <w:rFonts w:cstheme="minorHAnsi"/>
        </w:rPr>
        <w:t xml:space="preserve"> and race/ethnicity).</w:t>
      </w:r>
      <w:r w:rsidR="00AB45C6">
        <w:rPr>
          <w:rFonts w:cstheme="minorHAnsi"/>
        </w:rPr>
        <w:t xml:space="preserve"> </w:t>
      </w:r>
      <w:r w:rsidRPr="009F7E4F">
        <w:rPr>
          <w:rFonts w:cstheme="minorHAnsi"/>
        </w:rPr>
        <w:t>These variables will also be used to assess nonresponse bias.</w:t>
      </w:r>
      <w:r w:rsidR="0036173A">
        <w:rPr>
          <w:rFonts w:cstheme="minorHAnsi"/>
        </w:rPr>
        <w:t xml:space="preserve"> </w:t>
      </w:r>
      <w:r w:rsidRPr="009F7E4F">
        <w:rPr>
          <w:rFonts w:cstheme="minorHAnsi"/>
        </w:rPr>
        <w:t>For continuous variables (</w:t>
      </w:r>
      <w:r w:rsidR="00597080">
        <w:rPr>
          <w:rFonts w:cstheme="minorHAnsi"/>
        </w:rPr>
        <w:t>such as</w:t>
      </w:r>
      <w:r w:rsidRPr="009F7E4F">
        <w:rPr>
          <w:rFonts w:cstheme="minorHAnsi"/>
        </w:rPr>
        <w:t xml:space="preserve"> number of hours or weeks), means and standard deviations will be presented. For categorical variables, the proportion of respondents selecting each response category will be presented. For “check all that apply” responses (</w:t>
      </w:r>
      <w:r w:rsidR="00597080">
        <w:rPr>
          <w:rFonts w:cstheme="minorHAnsi"/>
        </w:rPr>
        <w:t>such as</w:t>
      </w:r>
      <w:r w:rsidRPr="009F7E4F">
        <w:rPr>
          <w:rFonts w:cstheme="minorHAnsi"/>
        </w:rPr>
        <w:t xml:space="preserve"> subject areas taught), means and standard deviations based on the total number of responses selected will be reported</w:t>
      </w:r>
      <w:r w:rsidR="00597080">
        <w:rPr>
          <w:rFonts w:cstheme="minorHAnsi"/>
        </w:rPr>
        <w:t>,</w:t>
      </w:r>
      <w:r w:rsidRPr="009F7E4F">
        <w:rPr>
          <w:rFonts w:cstheme="minorHAnsi"/>
        </w:rPr>
        <w:t xml:space="preserve"> as will the proportion of respondents selecting each response category.</w:t>
      </w:r>
      <w:r w:rsidR="00AB45C6">
        <w:rPr>
          <w:rFonts w:cstheme="minorHAnsi"/>
        </w:rPr>
        <w:t xml:space="preserve"> </w:t>
      </w:r>
      <w:r w:rsidRPr="009F7E4F">
        <w:rPr>
          <w:rFonts w:cstheme="minorHAnsi"/>
        </w:rPr>
        <w:t xml:space="preserve">Frequencies (expressed as percentages) of response categories will be included all tables with categorical response options. </w:t>
      </w:r>
    </w:p>
    <w:p w14:paraId="093239F0" w14:textId="77777777" w:rsidR="0036173A" w:rsidRDefault="0036173A" w:rsidP="009F7E4F">
      <w:pPr>
        <w:spacing w:after="0" w:line="240" w:lineRule="auto"/>
        <w:rPr>
          <w:rFonts w:cstheme="minorHAnsi"/>
          <w:b/>
        </w:rPr>
      </w:pPr>
    </w:p>
    <w:p w14:paraId="66E56D26" w14:textId="0A5A2AA2" w:rsidR="009F7E4F" w:rsidRDefault="0036173A" w:rsidP="0036173A">
      <w:pPr>
        <w:spacing w:after="0" w:line="240" w:lineRule="auto"/>
        <w:rPr>
          <w:rFonts w:cstheme="minorHAnsi"/>
        </w:rPr>
      </w:pPr>
      <w:r w:rsidRPr="0036173A">
        <w:rPr>
          <w:rFonts w:cstheme="minorHAnsi"/>
        </w:rPr>
        <w:t xml:space="preserve">To examine </w:t>
      </w:r>
      <w:r w:rsidR="00597080">
        <w:rPr>
          <w:rFonts w:cstheme="minorHAnsi"/>
        </w:rPr>
        <w:t>r</w:t>
      </w:r>
      <w:r w:rsidR="00597080" w:rsidRPr="0036173A">
        <w:rPr>
          <w:rFonts w:cstheme="minorHAnsi"/>
        </w:rPr>
        <w:t xml:space="preserve">esearch </w:t>
      </w:r>
      <w:r w:rsidR="00597080">
        <w:rPr>
          <w:rFonts w:cstheme="minorHAnsi"/>
        </w:rPr>
        <w:t>q</w:t>
      </w:r>
      <w:r w:rsidR="00597080" w:rsidRPr="0036173A">
        <w:rPr>
          <w:rFonts w:cstheme="minorHAnsi"/>
        </w:rPr>
        <w:t xml:space="preserve">uestion </w:t>
      </w:r>
      <w:r w:rsidR="009F7E4F" w:rsidRPr="0036173A">
        <w:rPr>
          <w:rFonts w:cstheme="minorHAnsi"/>
        </w:rPr>
        <w:t>2</w:t>
      </w:r>
      <w:r>
        <w:rPr>
          <w:rFonts w:cstheme="minorHAnsi"/>
        </w:rPr>
        <w:t xml:space="preserve"> (</w:t>
      </w:r>
      <w:r w:rsidR="009F7E4F" w:rsidRPr="0036173A">
        <w:rPr>
          <w:rFonts w:cstheme="minorHAnsi"/>
          <w:i/>
        </w:rPr>
        <w:t>How does clinical practice in traditional teacher preparation programs vary among certification tracks completed by first-year public school teachers in Missouri?</w:t>
      </w:r>
      <w:r>
        <w:rPr>
          <w:rFonts w:cstheme="minorHAnsi"/>
        </w:rPr>
        <w:t xml:space="preserve">), </w:t>
      </w:r>
      <w:r w:rsidR="009F7E4F" w:rsidRPr="009F7E4F">
        <w:rPr>
          <w:rFonts w:cstheme="minorHAnsi"/>
        </w:rPr>
        <w:t>descriptive statistics will be presented by grade level and subject.</w:t>
      </w:r>
      <w:r w:rsidR="00AB45C6">
        <w:rPr>
          <w:rFonts w:cstheme="minorHAnsi"/>
        </w:rPr>
        <w:t xml:space="preserve"> </w:t>
      </w:r>
      <w:r w:rsidR="009F7E4F" w:rsidRPr="009F7E4F">
        <w:rPr>
          <w:rFonts w:cstheme="minorHAnsi"/>
        </w:rPr>
        <w:t>Specifically, results will be presented separately for early childhood, elementary school (Grades 1–6), middle-level (Grades 5–9), and high school (Grades 9–12) certifications.</w:t>
      </w:r>
      <w:r w:rsidR="00AB45C6">
        <w:rPr>
          <w:rFonts w:cstheme="minorHAnsi"/>
        </w:rPr>
        <w:t xml:space="preserve"> </w:t>
      </w:r>
      <w:r w:rsidR="009F7E4F" w:rsidRPr="009F7E4F">
        <w:rPr>
          <w:rFonts w:cstheme="minorHAnsi"/>
        </w:rPr>
        <w:t xml:space="preserve">Results will also be presented by subject (English/language arts, mathematics, science, and social science) separately for middle-level and high school certifications. For categorical variables, frequencies (expressed as percentages) of response categories will also be presented for each grade level and subject area. </w:t>
      </w:r>
      <w:r w:rsidR="00A54230">
        <w:rPr>
          <w:rFonts w:cstheme="minorHAnsi"/>
        </w:rPr>
        <w:t xml:space="preserve">Response categories may be collapsed for ease of interpretation </w:t>
      </w:r>
      <w:r w:rsidR="009F7E4F" w:rsidRPr="009F7E4F">
        <w:rPr>
          <w:rFonts w:cstheme="minorHAnsi"/>
        </w:rPr>
        <w:t>after reviewing how the data are distributed</w:t>
      </w:r>
      <w:r w:rsidR="00D95E3F">
        <w:rPr>
          <w:rFonts w:cstheme="minorHAnsi"/>
        </w:rPr>
        <w:t xml:space="preserve"> and inferential analyses to explore group differences will be considered</w:t>
      </w:r>
      <w:r w:rsidR="009F7E4F" w:rsidRPr="009F7E4F">
        <w:rPr>
          <w:rFonts w:cstheme="minorHAnsi"/>
        </w:rPr>
        <w:t>.</w:t>
      </w:r>
    </w:p>
    <w:p w14:paraId="0A993728" w14:textId="77777777" w:rsidR="00A54230" w:rsidRPr="009F7E4F" w:rsidRDefault="00A54230" w:rsidP="0036173A">
      <w:pPr>
        <w:spacing w:after="0" w:line="240" w:lineRule="auto"/>
        <w:rPr>
          <w:rFonts w:cstheme="minorHAnsi"/>
        </w:rPr>
      </w:pPr>
    </w:p>
    <w:p w14:paraId="32E59FAC" w14:textId="0B0C492F" w:rsidR="009F7E4F" w:rsidRPr="00B011C9" w:rsidRDefault="00B011C9" w:rsidP="00B011C9">
      <w:pPr>
        <w:rPr>
          <w:rFonts w:cstheme="minorHAnsi"/>
          <w:b/>
        </w:rPr>
      </w:pPr>
      <w:proofErr w:type="gramStart"/>
      <w:r w:rsidRPr="00B011C9">
        <w:rPr>
          <w:rFonts w:cstheme="minorHAnsi"/>
          <w:b/>
          <w:i/>
        </w:rPr>
        <w:t>Program-Level Analysis</w:t>
      </w:r>
      <w:r>
        <w:rPr>
          <w:rFonts w:cstheme="minorHAnsi"/>
          <w:b/>
        </w:rPr>
        <w:t>.</w:t>
      </w:r>
      <w:proofErr w:type="gramEnd"/>
      <w:r>
        <w:rPr>
          <w:rFonts w:cstheme="minorHAnsi"/>
          <w:b/>
        </w:rPr>
        <w:t xml:space="preserve"> </w:t>
      </w:r>
      <w:r w:rsidR="009F7E4F" w:rsidRPr="009F7E4F">
        <w:rPr>
          <w:rFonts w:cstheme="minorHAnsi"/>
        </w:rPr>
        <w:t>Program-level analyses will be conducted that mirror the analyses</w:t>
      </w:r>
      <w:r w:rsidR="004A548D">
        <w:rPr>
          <w:rFonts w:cstheme="minorHAnsi"/>
        </w:rPr>
        <w:t xml:space="preserve"> </w:t>
      </w:r>
      <w:r w:rsidR="00476595">
        <w:rPr>
          <w:rFonts w:cstheme="minorHAnsi"/>
        </w:rPr>
        <w:t xml:space="preserve">described in plans to </w:t>
      </w:r>
      <w:r w:rsidR="004A548D">
        <w:rPr>
          <w:rFonts w:cstheme="minorHAnsi"/>
        </w:rPr>
        <w:t>address research question 1, above</w:t>
      </w:r>
      <w:r w:rsidR="009F7E4F" w:rsidRPr="009F7E4F">
        <w:rPr>
          <w:rFonts w:cstheme="minorHAnsi"/>
        </w:rPr>
        <w:t>.</w:t>
      </w:r>
      <w:r w:rsidR="00AB45C6">
        <w:rPr>
          <w:rFonts w:cstheme="minorHAnsi"/>
        </w:rPr>
        <w:t xml:space="preserve"> </w:t>
      </w:r>
      <w:r w:rsidR="009F7E4F" w:rsidRPr="009F7E4F">
        <w:rPr>
          <w:rFonts w:cstheme="minorHAnsi"/>
        </w:rPr>
        <w:t xml:space="preserve">Program-level descriptive statistics for each survey item, along with the mean and standard deviation </w:t>
      </w:r>
      <w:r w:rsidR="00D95E3F">
        <w:rPr>
          <w:rFonts w:cstheme="minorHAnsi"/>
        </w:rPr>
        <w:t xml:space="preserve">for the sample as a whole </w:t>
      </w:r>
      <w:r w:rsidR="009F7E4F" w:rsidRPr="009F7E4F">
        <w:rPr>
          <w:rFonts w:cstheme="minorHAnsi"/>
        </w:rPr>
        <w:t xml:space="preserve">will be </w:t>
      </w:r>
      <w:r w:rsidR="00D95E3F">
        <w:rPr>
          <w:rFonts w:cstheme="minorHAnsi"/>
        </w:rPr>
        <w:t>presented</w:t>
      </w:r>
      <w:r w:rsidR="009F7E4F" w:rsidRPr="009F7E4F">
        <w:rPr>
          <w:rFonts w:cstheme="minorHAnsi"/>
        </w:rPr>
        <w:t>.</w:t>
      </w:r>
      <w:r w:rsidR="00AB45C6">
        <w:rPr>
          <w:rFonts w:cstheme="minorHAnsi"/>
        </w:rPr>
        <w:t xml:space="preserve"> </w:t>
      </w:r>
      <w:r w:rsidR="009F7E4F" w:rsidRPr="009F7E4F">
        <w:rPr>
          <w:rFonts w:cstheme="minorHAnsi"/>
        </w:rPr>
        <w:t>Reports will be generated for each teacher preparation program.</w:t>
      </w:r>
      <w:r w:rsidR="00AB45C6">
        <w:rPr>
          <w:rFonts w:cstheme="minorHAnsi"/>
        </w:rPr>
        <w:t xml:space="preserve"> </w:t>
      </w:r>
      <w:r w:rsidR="009F7E4F" w:rsidRPr="009F7E4F">
        <w:rPr>
          <w:rFonts w:cstheme="minorHAnsi"/>
        </w:rPr>
        <w:t>Consistent with MO DESE policy, reports will only be generated for programs for which data for a minimum of 15 respondents are available. Further, no data will be presented in any cell based on three or fewer respondents.</w:t>
      </w:r>
      <w:r w:rsidR="00AB45C6">
        <w:rPr>
          <w:rFonts w:cstheme="minorHAnsi"/>
        </w:rPr>
        <w:t xml:space="preserve"> </w:t>
      </w:r>
      <w:r w:rsidR="009F7E4F" w:rsidRPr="009F7E4F">
        <w:rPr>
          <w:rFonts w:cstheme="minorHAnsi"/>
        </w:rPr>
        <w:t>Program-level reports will be treated confidentially and will be shared only with the dean</w:t>
      </w:r>
      <w:r w:rsidR="00597080">
        <w:rPr>
          <w:rFonts w:cstheme="minorHAnsi"/>
        </w:rPr>
        <w:t>,</w:t>
      </w:r>
      <w:r w:rsidR="009F7E4F" w:rsidRPr="009F7E4F">
        <w:rPr>
          <w:rFonts w:cstheme="minorHAnsi"/>
        </w:rPr>
        <w:t xml:space="preserve"> or </w:t>
      </w:r>
      <w:r w:rsidR="00597080">
        <w:rPr>
          <w:rFonts w:cstheme="minorHAnsi"/>
        </w:rPr>
        <w:t>their</w:t>
      </w:r>
      <w:r w:rsidR="009F7E4F" w:rsidRPr="009F7E4F">
        <w:rPr>
          <w:rFonts w:cstheme="minorHAnsi"/>
        </w:rPr>
        <w:t xml:space="preserve"> designee</w:t>
      </w:r>
      <w:r w:rsidR="00597080">
        <w:rPr>
          <w:rFonts w:cstheme="minorHAnsi"/>
        </w:rPr>
        <w:t>,</w:t>
      </w:r>
      <w:r w:rsidR="009F7E4F" w:rsidRPr="009F7E4F">
        <w:rPr>
          <w:rFonts w:cstheme="minorHAnsi"/>
        </w:rPr>
        <w:t xml:space="preserve"> </w:t>
      </w:r>
      <w:r w:rsidR="00597080">
        <w:rPr>
          <w:rFonts w:cstheme="minorHAnsi"/>
        </w:rPr>
        <w:t>of</w:t>
      </w:r>
      <w:r w:rsidR="00597080" w:rsidRPr="009F7E4F">
        <w:rPr>
          <w:rFonts w:cstheme="minorHAnsi"/>
        </w:rPr>
        <w:t xml:space="preserve"> </w:t>
      </w:r>
      <w:r w:rsidR="009F7E4F" w:rsidRPr="009F7E4F">
        <w:rPr>
          <w:rFonts w:cstheme="minorHAnsi"/>
        </w:rPr>
        <w:t>each teacher preparation program.</w:t>
      </w:r>
      <w:r w:rsidR="00AB45C6">
        <w:rPr>
          <w:rFonts w:cstheme="minorHAnsi"/>
        </w:rPr>
        <w:t xml:space="preserve"> </w:t>
      </w:r>
    </w:p>
    <w:p w14:paraId="2E2B4E6B" w14:textId="77777777" w:rsidR="00456BFC" w:rsidRPr="00456BFC" w:rsidRDefault="00456BFC" w:rsidP="0070027D">
      <w:pPr>
        <w:pStyle w:val="Heading3"/>
      </w:pPr>
      <w:bookmarkStart w:id="24" w:name="_Toc364869939"/>
      <w:r>
        <w:t>Publication Plans</w:t>
      </w:r>
      <w:bookmarkEnd w:id="24"/>
    </w:p>
    <w:p w14:paraId="4E6C3CE8" w14:textId="232F4486" w:rsidR="002A716E" w:rsidRDefault="004D6EF9" w:rsidP="002A716E">
      <w:pPr>
        <w:rPr>
          <w:iCs/>
        </w:rPr>
      </w:pPr>
      <w:r>
        <w:rPr>
          <w:iCs/>
        </w:rPr>
        <w:t>R</w:t>
      </w:r>
      <w:r w:rsidR="002A716E" w:rsidRPr="000A6EDF">
        <w:rPr>
          <w:iCs/>
        </w:rPr>
        <w:t>esults for REL</w:t>
      </w:r>
      <w:r w:rsidR="00CD1F76">
        <w:rPr>
          <w:iCs/>
        </w:rPr>
        <w:t xml:space="preserve"> Central’s</w:t>
      </w:r>
      <w:r w:rsidR="002A716E" w:rsidRPr="000A6EDF">
        <w:rPr>
          <w:iCs/>
        </w:rPr>
        <w:t xml:space="preserve"> rigorous studies will be made available to the public through peer-reviewed evaluation</w:t>
      </w:r>
      <w:r w:rsidR="00744F0D" w:rsidRPr="000A6EDF">
        <w:rPr>
          <w:iCs/>
        </w:rPr>
        <w:t xml:space="preserve"> </w:t>
      </w:r>
      <w:r w:rsidR="002A716E" w:rsidRPr="000A6EDF">
        <w:rPr>
          <w:iCs/>
        </w:rPr>
        <w:t>reports that are published by IES</w:t>
      </w:r>
      <w:r w:rsidR="007B3FE4">
        <w:rPr>
          <w:iCs/>
        </w:rPr>
        <w:t xml:space="preserve"> on </w:t>
      </w:r>
      <w:r w:rsidR="00D95E3F">
        <w:rPr>
          <w:iCs/>
        </w:rPr>
        <w:t xml:space="preserve">its </w:t>
      </w:r>
      <w:r w:rsidR="007B3FE4">
        <w:rPr>
          <w:iCs/>
        </w:rPr>
        <w:t>website</w:t>
      </w:r>
      <w:r w:rsidR="002A716E" w:rsidRPr="000A6EDF">
        <w:rPr>
          <w:iCs/>
        </w:rPr>
        <w:t>. The datasets from these rigorous studies will be turned over to the REL’s</w:t>
      </w:r>
      <w:r w:rsidR="00744F0D" w:rsidRPr="000A6EDF">
        <w:rPr>
          <w:iCs/>
        </w:rPr>
        <w:t xml:space="preserve"> </w:t>
      </w:r>
      <w:r w:rsidR="002A716E" w:rsidRPr="000A6EDF">
        <w:rPr>
          <w:iCs/>
        </w:rPr>
        <w:t>IES project officer. These data will become IES restricted use datasets requiring a user’s license that is applied</w:t>
      </w:r>
      <w:r w:rsidR="00744F0D" w:rsidRPr="000A6EDF">
        <w:rPr>
          <w:iCs/>
        </w:rPr>
        <w:t xml:space="preserve"> </w:t>
      </w:r>
      <w:r w:rsidR="002A716E" w:rsidRPr="000A6EDF">
        <w:rPr>
          <w:iCs/>
        </w:rPr>
        <w:t>for through the same process as NCES restricted use datasets. Even the REL contractor would be required to</w:t>
      </w:r>
      <w:r w:rsidR="00744F0D" w:rsidRPr="000A6EDF">
        <w:rPr>
          <w:iCs/>
        </w:rPr>
        <w:t xml:space="preserve"> </w:t>
      </w:r>
      <w:r w:rsidR="002A716E" w:rsidRPr="000A6EDF">
        <w:rPr>
          <w:iCs/>
        </w:rPr>
        <w:t xml:space="preserve">obtain a restricted use license to conduct any work with the data beyond the original </w:t>
      </w:r>
      <w:r w:rsidR="00D95E3F">
        <w:rPr>
          <w:iCs/>
        </w:rPr>
        <w:t>study</w:t>
      </w:r>
      <w:r w:rsidR="002A716E" w:rsidRPr="000A6EDF">
        <w:rPr>
          <w:iCs/>
        </w:rPr>
        <w:t>.</w:t>
      </w:r>
    </w:p>
    <w:p w14:paraId="2969688C" w14:textId="77777777" w:rsidR="00456BFC" w:rsidRDefault="00456BFC" w:rsidP="0070027D">
      <w:pPr>
        <w:pStyle w:val="Heading3"/>
      </w:pPr>
      <w:bookmarkStart w:id="25" w:name="_Toc364869940"/>
      <w:r>
        <w:t>Timeline</w:t>
      </w:r>
      <w:bookmarkEnd w:id="25"/>
    </w:p>
    <w:p w14:paraId="4BDC9BA6" w14:textId="77777777" w:rsidR="00AA354F" w:rsidRDefault="00AA354F" w:rsidP="002A716E">
      <w:pPr>
        <w:rPr>
          <w:iCs/>
        </w:rPr>
      </w:pPr>
      <w:r>
        <w:rPr>
          <w:iCs/>
        </w:rPr>
        <w:t xml:space="preserve">The timeline for data collection, analysis and reporting is shown </w:t>
      </w:r>
      <w:r w:rsidR="00597080">
        <w:rPr>
          <w:iCs/>
        </w:rPr>
        <w:t>below (Table 4)</w:t>
      </w:r>
      <w:r>
        <w:rPr>
          <w:iCs/>
        </w:rPr>
        <w:t>.</w:t>
      </w:r>
      <w:r w:rsidR="00AB45C6">
        <w:rPr>
          <w:iCs/>
        </w:rPr>
        <w:t xml:space="preserve"> </w:t>
      </w:r>
      <w:r w:rsidR="005508C5">
        <w:rPr>
          <w:iCs/>
        </w:rPr>
        <w:t>If OMB approval is received in early spring 2014, REL Central will administer the survey in spring 2014. Otherwise, survey administration will take place at the beginning of the 2014</w:t>
      </w:r>
      <w:r w:rsidR="00597080">
        <w:rPr>
          <w:rFonts w:cstheme="minorHAnsi"/>
          <w:iCs/>
        </w:rPr>
        <w:t>–</w:t>
      </w:r>
      <w:r w:rsidR="005508C5">
        <w:rPr>
          <w:iCs/>
        </w:rPr>
        <w:t xml:space="preserve">15 academic </w:t>
      </w:r>
      <w:proofErr w:type="gramStart"/>
      <w:r w:rsidR="005508C5">
        <w:rPr>
          <w:iCs/>
        </w:rPr>
        <w:t>year</w:t>
      </w:r>
      <w:proofErr w:type="gramEnd"/>
      <w:r w:rsidR="005508C5">
        <w:rPr>
          <w:iCs/>
        </w:rPr>
        <w:t>.</w:t>
      </w:r>
    </w:p>
    <w:p w14:paraId="694C1282" w14:textId="77777777" w:rsidR="00AA354F" w:rsidRPr="0070027D" w:rsidRDefault="00AA354F" w:rsidP="002A716E">
      <w:pPr>
        <w:rPr>
          <w:b/>
          <w:iCs/>
        </w:rPr>
      </w:pPr>
      <w:r w:rsidRPr="0070027D">
        <w:rPr>
          <w:b/>
          <w:iCs/>
        </w:rPr>
        <w:t xml:space="preserve">Table </w:t>
      </w:r>
      <w:r w:rsidR="00597080">
        <w:rPr>
          <w:b/>
          <w:iCs/>
        </w:rPr>
        <w:t>4</w:t>
      </w:r>
      <w:r w:rsidR="0070027D" w:rsidRPr="0070027D">
        <w:rPr>
          <w:b/>
          <w:iCs/>
        </w:rPr>
        <w:t>:</w:t>
      </w:r>
      <w:r w:rsidRPr="0070027D">
        <w:rPr>
          <w:b/>
          <w:iCs/>
        </w:rPr>
        <w:t xml:space="preserve"> Schedule of </w:t>
      </w:r>
      <w:r w:rsidR="007B69AF">
        <w:rPr>
          <w:b/>
          <w:iCs/>
        </w:rPr>
        <w:t>a</w:t>
      </w:r>
      <w:r w:rsidR="007B69AF" w:rsidRPr="0070027D">
        <w:rPr>
          <w:b/>
          <w:iCs/>
        </w:rPr>
        <w:t>ctivities</w:t>
      </w:r>
    </w:p>
    <w:tbl>
      <w:tblPr>
        <w:tblStyle w:val="TableGrid"/>
        <w:tblW w:w="0" w:type="auto"/>
        <w:tblInd w:w="108" w:type="dxa"/>
        <w:tblLook w:val="04A0" w:firstRow="1" w:lastRow="0" w:firstColumn="1" w:lastColumn="0" w:noHBand="0" w:noVBand="1"/>
      </w:tblPr>
      <w:tblGrid>
        <w:gridCol w:w="4320"/>
        <w:gridCol w:w="4590"/>
      </w:tblGrid>
      <w:tr w:rsidR="00AF74A2" w:rsidRPr="00067E1B" w14:paraId="2D907AAC" w14:textId="77777777" w:rsidTr="00AF74A2">
        <w:tc>
          <w:tcPr>
            <w:tcW w:w="4320" w:type="dxa"/>
            <w:shd w:val="clear" w:color="auto" w:fill="B8CCE4" w:themeFill="accent1" w:themeFillTint="66"/>
          </w:tcPr>
          <w:p w14:paraId="266EF1F3" w14:textId="77777777" w:rsidR="00AF74A2" w:rsidRPr="00067E1B" w:rsidRDefault="00AF74A2" w:rsidP="00AA354F">
            <w:pPr>
              <w:spacing w:before="40" w:after="40"/>
              <w:jc w:val="center"/>
              <w:rPr>
                <w:rFonts w:cstheme="minorHAnsi"/>
                <w:b/>
                <w:sz w:val="18"/>
                <w:szCs w:val="18"/>
              </w:rPr>
            </w:pPr>
            <w:r w:rsidRPr="00067E1B">
              <w:rPr>
                <w:rFonts w:cstheme="minorHAnsi"/>
                <w:b/>
                <w:sz w:val="18"/>
                <w:szCs w:val="18"/>
              </w:rPr>
              <w:t>Activity</w:t>
            </w:r>
          </w:p>
        </w:tc>
        <w:tc>
          <w:tcPr>
            <w:tcW w:w="4590" w:type="dxa"/>
            <w:shd w:val="clear" w:color="auto" w:fill="B8CCE4" w:themeFill="accent1" w:themeFillTint="66"/>
          </w:tcPr>
          <w:p w14:paraId="0944C043" w14:textId="77777777" w:rsidR="00AF74A2" w:rsidRPr="00067E1B" w:rsidRDefault="00AF74A2" w:rsidP="00AA354F">
            <w:pPr>
              <w:spacing w:before="40" w:after="40"/>
              <w:jc w:val="center"/>
              <w:rPr>
                <w:rFonts w:cstheme="minorHAnsi"/>
                <w:b/>
                <w:sz w:val="18"/>
                <w:szCs w:val="18"/>
              </w:rPr>
            </w:pPr>
            <w:r w:rsidRPr="00067E1B">
              <w:rPr>
                <w:rFonts w:cstheme="minorHAnsi"/>
                <w:b/>
                <w:sz w:val="18"/>
                <w:szCs w:val="18"/>
              </w:rPr>
              <w:t>Schedule</w:t>
            </w:r>
          </w:p>
        </w:tc>
      </w:tr>
      <w:tr w:rsidR="00AF74A2" w:rsidRPr="00067E1B" w14:paraId="1A26C7D5" w14:textId="77777777" w:rsidTr="00AF74A2">
        <w:tc>
          <w:tcPr>
            <w:tcW w:w="4320" w:type="dxa"/>
          </w:tcPr>
          <w:p w14:paraId="1ABED208" w14:textId="77777777" w:rsidR="00AF74A2" w:rsidRPr="00067E1B" w:rsidRDefault="00AF74A2" w:rsidP="0070027D">
            <w:pPr>
              <w:spacing w:before="40" w:after="40"/>
              <w:rPr>
                <w:rFonts w:cstheme="minorHAnsi"/>
                <w:sz w:val="18"/>
                <w:szCs w:val="18"/>
              </w:rPr>
            </w:pPr>
            <w:r w:rsidRPr="00067E1B">
              <w:rPr>
                <w:rFonts w:cstheme="minorHAnsi"/>
                <w:sz w:val="18"/>
                <w:szCs w:val="18"/>
              </w:rPr>
              <w:t>Administer survey instrument</w:t>
            </w:r>
          </w:p>
        </w:tc>
        <w:tc>
          <w:tcPr>
            <w:tcW w:w="4590" w:type="dxa"/>
          </w:tcPr>
          <w:p w14:paraId="258C4391" w14:textId="77777777" w:rsidR="00AF74A2" w:rsidRPr="00067E1B" w:rsidRDefault="009257AB" w:rsidP="00033546">
            <w:pPr>
              <w:spacing w:before="40" w:after="40"/>
              <w:rPr>
                <w:rFonts w:cstheme="minorHAnsi"/>
                <w:sz w:val="18"/>
                <w:szCs w:val="18"/>
              </w:rPr>
            </w:pPr>
            <w:r w:rsidRPr="00067E1B">
              <w:rPr>
                <w:rFonts w:cstheme="minorHAnsi"/>
                <w:sz w:val="18"/>
                <w:szCs w:val="18"/>
              </w:rPr>
              <w:t>April</w:t>
            </w:r>
            <w:r w:rsidR="00033546" w:rsidRPr="00067E1B">
              <w:rPr>
                <w:rFonts w:cstheme="minorHAnsi"/>
                <w:sz w:val="18"/>
                <w:szCs w:val="18"/>
              </w:rPr>
              <w:t xml:space="preserve"> 2014</w:t>
            </w:r>
            <w:r w:rsidR="00597080">
              <w:rPr>
                <w:rFonts w:cstheme="minorHAnsi"/>
                <w:sz w:val="18"/>
                <w:szCs w:val="18"/>
              </w:rPr>
              <w:t>–</w:t>
            </w:r>
            <w:r w:rsidR="00033546" w:rsidRPr="00067E1B">
              <w:rPr>
                <w:rFonts w:cstheme="minorHAnsi"/>
                <w:sz w:val="18"/>
                <w:szCs w:val="18"/>
              </w:rPr>
              <w:t>June</w:t>
            </w:r>
            <w:r w:rsidR="00AF74A2" w:rsidRPr="00067E1B">
              <w:rPr>
                <w:rFonts w:cstheme="minorHAnsi"/>
                <w:sz w:val="18"/>
                <w:szCs w:val="18"/>
              </w:rPr>
              <w:t xml:space="preserve"> 2014</w:t>
            </w:r>
          </w:p>
          <w:p w14:paraId="1108D02B" w14:textId="77777777" w:rsidR="00033546" w:rsidRPr="00067E1B" w:rsidRDefault="00033546" w:rsidP="00597080">
            <w:pPr>
              <w:spacing w:before="40" w:after="40"/>
              <w:rPr>
                <w:rFonts w:cstheme="minorHAnsi"/>
                <w:sz w:val="18"/>
                <w:szCs w:val="18"/>
              </w:rPr>
            </w:pPr>
            <w:r w:rsidRPr="00067E1B">
              <w:rPr>
                <w:rFonts w:cstheme="minorHAnsi"/>
                <w:sz w:val="18"/>
                <w:szCs w:val="18"/>
              </w:rPr>
              <w:t>(or September 2014</w:t>
            </w:r>
            <w:r w:rsidR="00597080">
              <w:rPr>
                <w:rFonts w:cstheme="minorHAnsi"/>
                <w:sz w:val="18"/>
                <w:szCs w:val="18"/>
              </w:rPr>
              <w:t>–</w:t>
            </w:r>
            <w:r w:rsidR="009257AB" w:rsidRPr="00067E1B">
              <w:rPr>
                <w:rFonts w:cstheme="minorHAnsi"/>
                <w:sz w:val="18"/>
                <w:szCs w:val="18"/>
              </w:rPr>
              <w:t xml:space="preserve">November </w:t>
            </w:r>
            <w:r w:rsidRPr="00067E1B">
              <w:rPr>
                <w:rFonts w:cstheme="minorHAnsi"/>
                <w:sz w:val="18"/>
                <w:szCs w:val="18"/>
              </w:rPr>
              <w:t>2014)</w:t>
            </w:r>
          </w:p>
        </w:tc>
      </w:tr>
      <w:tr w:rsidR="00AF74A2" w:rsidRPr="00067E1B" w14:paraId="0D7D895C" w14:textId="77777777" w:rsidTr="00AF74A2">
        <w:tc>
          <w:tcPr>
            <w:tcW w:w="4320" w:type="dxa"/>
          </w:tcPr>
          <w:p w14:paraId="5CCCF16C" w14:textId="77777777" w:rsidR="00AF74A2" w:rsidRPr="00067E1B" w:rsidRDefault="00AF74A2" w:rsidP="00CD1F76">
            <w:pPr>
              <w:spacing w:before="40" w:after="40"/>
              <w:rPr>
                <w:rFonts w:cstheme="minorHAnsi"/>
                <w:sz w:val="18"/>
                <w:szCs w:val="18"/>
              </w:rPr>
            </w:pPr>
            <w:r w:rsidRPr="00067E1B">
              <w:rPr>
                <w:rFonts w:cstheme="minorHAnsi"/>
                <w:sz w:val="18"/>
                <w:szCs w:val="18"/>
              </w:rPr>
              <w:t>Analyze and report</w:t>
            </w:r>
          </w:p>
        </w:tc>
        <w:tc>
          <w:tcPr>
            <w:tcW w:w="4590" w:type="dxa"/>
          </w:tcPr>
          <w:p w14:paraId="3D569B2B" w14:textId="77777777" w:rsidR="00AF74A2" w:rsidRPr="00067E1B" w:rsidRDefault="00033546" w:rsidP="00033546">
            <w:pPr>
              <w:spacing w:before="40" w:after="40"/>
              <w:rPr>
                <w:rFonts w:cstheme="minorHAnsi"/>
                <w:sz w:val="18"/>
                <w:szCs w:val="18"/>
              </w:rPr>
            </w:pPr>
            <w:r w:rsidRPr="00067E1B">
              <w:rPr>
                <w:rFonts w:cstheme="minorHAnsi"/>
                <w:sz w:val="18"/>
                <w:szCs w:val="18"/>
              </w:rPr>
              <w:t>July</w:t>
            </w:r>
            <w:r w:rsidR="00AF74A2" w:rsidRPr="00067E1B">
              <w:rPr>
                <w:rFonts w:cstheme="minorHAnsi"/>
                <w:sz w:val="18"/>
                <w:szCs w:val="18"/>
              </w:rPr>
              <w:t xml:space="preserve"> 2014–</w:t>
            </w:r>
            <w:r w:rsidRPr="00067E1B">
              <w:rPr>
                <w:rFonts w:cstheme="minorHAnsi"/>
                <w:sz w:val="18"/>
                <w:szCs w:val="18"/>
              </w:rPr>
              <w:t xml:space="preserve">December </w:t>
            </w:r>
            <w:r w:rsidR="00AF74A2" w:rsidRPr="00067E1B">
              <w:rPr>
                <w:rFonts w:cstheme="minorHAnsi"/>
                <w:sz w:val="18"/>
                <w:szCs w:val="18"/>
              </w:rPr>
              <w:t>2014</w:t>
            </w:r>
          </w:p>
          <w:p w14:paraId="3E8B9FC8" w14:textId="77777777" w:rsidR="00033546" w:rsidRPr="00067E1B" w:rsidRDefault="00033546" w:rsidP="00597080">
            <w:pPr>
              <w:spacing w:before="40" w:after="40"/>
              <w:rPr>
                <w:rFonts w:cstheme="minorHAnsi"/>
                <w:sz w:val="18"/>
                <w:szCs w:val="18"/>
              </w:rPr>
            </w:pPr>
            <w:r w:rsidRPr="00067E1B">
              <w:rPr>
                <w:rFonts w:cstheme="minorHAnsi"/>
                <w:sz w:val="18"/>
                <w:szCs w:val="18"/>
              </w:rPr>
              <w:t xml:space="preserve">(or </w:t>
            </w:r>
            <w:r w:rsidR="009257AB" w:rsidRPr="00067E1B">
              <w:rPr>
                <w:rFonts w:cstheme="minorHAnsi"/>
                <w:sz w:val="18"/>
                <w:szCs w:val="18"/>
              </w:rPr>
              <w:t xml:space="preserve">January </w:t>
            </w:r>
            <w:r w:rsidRPr="00067E1B">
              <w:rPr>
                <w:rFonts w:cstheme="minorHAnsi"/>
                <w:sz w:val="18"/>
                <w:szCs w:val="18"/>
              </w:rPr>
              <w:t>201</w:t>
            </w:r>
            <w:r w:rsidR="009257AB" w:rsidRPr="00067E1B">
              <w:rPr>
                <w:rFonts w:cstheme="minorHAnsi"/>
                <w:sz w:val="18"/>
                <w:szCs w:val="18"/>
              </w:rPr>
              <w:t>5</w:t>
            </w:r>
            <w:r w:rsidRPr="00067E1B">
              <w:rPr>
                <w:rFonts w:cstheme="minorHAnsi"/>
                <w:sz w:val="18"/>
                <w:szCs w:val="18"/>
              </w:rPr>
              <w:t>–</w:t>
            </w:r>
            <w:r w:rsidR="009257AB" w:rsidRPr="00067E1B">
              <w:rPr>
                <w:rFonts w:cstheme="minorHAnsi"/>
                <w:sz w:val="18"/>
                <w:szCs w:val="18"/>
              </w:rPr>
              <w:t xml:space="preserve">June </w:t>
            </w:r>
            <w:r w:rsidRPr="00067E1B">
              <w:rPr>
                <w:rFonts w:cstheme="minorHAnsi"/>
                <w:sz w:val="18"/>
                <w:szCs w:val="18"/>
              </w:rPr>
              <w:t>2015)</w:t>
            </w:r>
          </w:p>
        </w:tc>
      </w:tr>
    </w:tbl>
    <w:p w14:paraId="240B4FC3" w14:textId="77777777" w:rsidR="00456BFC" w:rsidRPr="00456BFC" w:rsidRDefault="00456BFC" w:rsidP="002A716E">
      <w:pPr>
        <w:rPr>
          <w:b/>
          <w:iCs/>
          <w:u w:val="single"/>
        </w:rPr>
      </w:pPr>
    </w:p>
    <w:p w14:paraId="60FFAE4D" w14:textId="77777777" w:rsidR="00C8790F" w:rsidRPr="009B6302" w:rsidRDefault="00C8790F" w:rsidP="00C8790F">
      <w:pPr>
        <w:pStyle w:val="Heading2"/>
        <w:spacing w:before="0" w:after="200"/>
        <w:rPr>
          <w:i/>
          <w:color w:val="FF0000"/>
        </w:rPr>
      </w:pPr>
      <w:bookmarkStart w:id="26" w:name="_Toc364869941"/>
      <w:r>
        <w:t>A17.</w:t>
      </w:r>
      <w:r w:rsidR="00497590">
        <w:t xml:space="preserve"> </w:t>
      </w:r>
      <w:r>
        <w:t>Approval to Not Display the Expiration D</w:t>
      </w:r>
      <w:r w:rsidR="002A716E" w:rsidRPr="002A716E">
        <w:t xml:space="preserve">ate for </w:t>
      </w:r>
      <w:r>
        <w:t>OMB Approval</w:t>
      </w:r>
      <w:bookmarkEnd w:id="26"/>
    </w:p>
    <w:p w14:paraId="4BCE9E3B" w14:textId="77777777" w:rsidR="007B69AF" w:rsidRDefault="00C14740" w:rsidP="002A716E">
      <w:r>
        <w:t>No request is being made for exemption from displaying the expiration date.</w:t>
      </w:r>
    </w:p>
    <w:p w14:paraId="50992A9A" w14:textId="77777777" w:rsidR="002A716E" w:rsidRPr="002A716E" w:rsidRDefault="00C14740" w:rsidP="002A716E">
      <w:pPr>
        <w:rPr>
          <w:b/>
          <w:bCs/>
        </w:rPr>
      </w:pPr>
      <w:r w:rsidDel="00C14740">
        <w:t xml:space="preserve"> </w:t>
      </w:r>
      <w:bookmarkStart w:id="27" w:name="_Toc364869942"/>
      <w:r w:rsidR="002A716E" w:rsidRPr="006D792F">
        <w:rPr>
          <w:rStyle w:val="Heading2Char"/>
        </w:rPr>
        <w:t>A18.</w:t>
      </w:r>
      <w:r w:rsidR="00C8790F">
        <w:rPr>
          <w:rStyle w:val="Heading2Char"/>
        </w:rPr>
        <w:t xml:space="preserve"> Exception to the Certification S</w:t>
      </w:r>
      <w:r w:rsidR="002A716E" w:rsidRPr="006D792F">
        <w:rPr>
          <w:rStyle w:val="Heading2Char"/>
        </w:rPr>
        <w:t>tatement</w:t>
      </w:r>
      <w:bookmarkEnd w:id="27"/>
      <w:r w:rsidR="002A716E" w:rsidRPr="006D792F">
        <w:rPr>
          <w:rStyle w:val="Heading2Char"/>
        </w:rPr>
        <w:t xml:space="preserve"> </w:t>
      </w:r>
    </w:p>
    <w:p w14:paraId="1F0448BD" w14:textId="77777777" w:rsidR="007B69AF" w:rsidRDefault="00C14740" w:rsidP="00113AC7">
      <w:r>
        <w:t>No exceptions to the certification statement are requested or required.</w:t>
      </w:r>
    </w:p>
    <w:p w14:paraId="026738A1" w14:textId="77777777" w:rsidR="007659F8" w:rsidRDefault="007659F8">
      <w:pPr>
        <w:rPr>
          <w:rFonts w:asciiTheme="majorHAnsi" w:eastAsiaTheme="majorEastAsia" w:hAnsiTheme="majorHAnsi" w:cstheme="majorBidi"/>
          <w:b/>
          <w:bCs/>
          <w:color w:val="4F81BD" w:themeColor="accent1"/>
          <w:szCs w:val="26"/>
        </w:rPr>
      </w:pPr>
      <w:r>
        <w:br w:type="page"/>
      </w:r>
    </w:p>
    <w:p w14:paraId="4CF43448" w14:textId="77777777" w:rsidR="002644F9" w:rsidRDefault="002644F9" w:rsidP="00113AC7">
      <w:pPr>
        <w:pStyle w:val="Heading2"/>
      </w:pPr>
      <w:bookmarkStart w:id="28" w:name="_Toc364869943"/>
      <w:r>
        <w:t>References</w:t>
      </w:r>
      <w:bookmarkEnd w:id="28"/>
    </w:p>
    <w:p w14:paraId="4F86860D" w14:textId="77777777" w:rsidR="004C7E1D" w:rsidRPr="00F1203D" w:rsidRDefault="002A3452" w:rsidP="004C7E1D">
      <w:pPr>
        <w:tabs>
          <w:tab w:val="left" w:pos="180"/>
        </w:tabs>
        <w:ind w:left="720" w:hanging="720"/>
        <w:rPr>
          <w:rFonts w:cstheme="minorHAnsi"/>
          <w:sz w:val="24"/>
          <w:szCs w:val="24"/>
        </w:rPr>
      </w:pPr>
      <w:r w:rsidRPr="000645EF" w:rsidDel="002A3452">
        <w:rPr>
          <w:rFonts w:cs="Calibri"/>
        </w:rPr>
        <w:t xml:space="preserve"> </w:t>
      </w:r>
      <w:proofErr w:type="gramStart"/>
      <w:r w:rsidR="004C7E1D" w:rsidRPr="00F1203D">
        <w:rPr>
          <w:rFonts w:cstheme="minorHAnsi"/>
          <w:sz w:val="24"/>
          <w:szCs w:val="24"/>
        </w:rPr>
        <w:t>Alderman, C., Carey, K., Dillon, E., Miller, B., &amp; Silva, E. (2011).</w:t>
      </w:r>
      <w:proofErr w:type="gramEnd"/>
      <w:r w:rsidR="004C7E1D" w:rsidRPr="00F1203D">
        <w:rPr>
          <w:rFonts w:cstheme="minorHAnsi"/>
          <w:sz w:val="24"/>
          <w:szCs w:val="24"/>
        </w:rPr>
        <w:t xml:space="preserve"> </w:t>
      </w:r>
      <w:proofErr w:type="gramStart"/>
      <w:r w:rsidR="004C7E1D" w:rsidRPr="00F1203D">
        <w:rPr>
          <w:rFonts w:cstheme="minorHAnsi"/>
          <w:i/>
          <w:sz w:val="24"/>
          <w:szCs w:val="24"/>
        </w:rPr>
        <w:t xml:space="preserve">A </w:t>
      </w:r>
      <w:r w:rsidR="006C49C8">
        <w:rPr>
          <w:rFonts w:cstheme="minorHAnsi"/>
          <w:i/>
          <w:sz w:val="24"/>
          <w:szCs w:val="24"/>
        </w:rPr>
        <w:t>m</w:t>
      </w:r>
      <w:r w:rsidR="006C49C8" w:rsidRPr="00F1203D">
        <w:rPr>
          <w:rFonts w:cstheme="minorHAnsi"/>
          <w:i/>
          <w:sz w:val="24"/>
          <w:szCs w:val="24"/>
        </w:rPr>
        <w:t xml:space="preserve">easured </w:t>
      </w:r>
      <w:r w:rsidR="006C49C8">
        <w:rPr>
          <w:rFonts w:cstheme="minorHAnsi"/>
          <w:i/>
          <w:sz w:val="24"/>
          <w:szCs w:val="24"/>
        </w:rPr>
        <w:t>a</w:t>
      </w:r>
      <w:r w:rsidR="006C49C8" w:rsidRPr="00F1203D">
        <w:rPr>
          <w:rFonts w:cstheme="minorHAnsi"/>
          <w:i/>
          <w:sz w:val="24"/>
          <w:szCs w:val="24"/>
        </w:rPr>
        <w:t xml:space="preserve">pproach </w:t>
      </w:r>
      <w:r w:rsidR="004C7E1D" w:rsidRPr="00F1203D">
        <w:rPr>
          <w:rFonts w:cstheme="minorHAnsi"/>
          <w:i/>
          <w:sz w:val="24"/>
          <w:szCs w:val="24"/>
        </w:rPr>
        <w:t xml:space="preserve">to </w:t>
      </w:r>
      <w:r w:rsidR="006C49C8">
        <w:rPr>
          <w:rFonts w:cstheme="minorHAnsi"/>
          <w:i/>
          <w:sz w:val="24"/>
          <w:szCs w:val="24"/>
        </w:rPr>
        <w:t>i</w:t>
      </w:r>
      <w:r w:rsidR="006C49C8" w:rsidRPr="00F1203D">
        <w:rPr>
          <w:rFonts w:cstheme="minorHAnsi"/>
          <w:i/>
          <w:sz w:val="24"/>
          <w:szCs w:val="24"/>
        </w:rPr>
        <w:t xml:space="preserve">mproving </w:t>
      </w:r>
      <w:r w:rsidR="006C49C8">
        <w:rPr>
          <w:rFonts w:cstheme="minorHAnsi"/>
          <w:i/>
          <w:sz w:val="24"/>
          <w:szCs w:val="24"/>
        </w:rPr>
        <w:t>t</w:t>
      </w:r>
      <w:r w:rsidR="006C49C8" w:rsidRPr="00F1203D">
        <w:rPr>
          <w:rFonts w:cstheme="minorHAnsi"/>
          <w:i/>
          <w:sz w:val="24"/>
          <w:szCs w:val="24"/>
        </w:rPr>
        <w:t xml:space="preserve">eacher </w:t>
      </w:r>
      <w:r w:rsidR="006C49C8">
        <w:rPr>
          <w:rFonts w:cstheme="minorHAnsi"/>
          <w:i/>
          <w:sz w:val="24"/>
          <w:szCs w:val="24"/>
        </w:rPr>
        <w:t>p</w:t>
      </w:r>
      <w:r w:rsidR="006C49C8" w:rsidRPr="00F1203D">
        <w:rPr>
          <w:rFonts w:cstheme="minorHAnsi"/>
          <w:i/>
          <w:sz w:val="24"/>
          <w:szCs w:val="24"/>
        </w:rPr>
        <w:t>reparation</w:t>
      </w:r>
      <w:r w:rsidR="004C7E1D" w:rsidRPr="00F1203D">
        <w:rPr>
          <w:rFonts w:cstheme="minorHAnsi"/>
          <w:sz w:val="24"/>
          <w:szCs w:val="24"/>
        </w:rPr>
        <w:t>.</w:t>
      </w:r>
      <w:proofErr w:type="gramEnd"/>
      <w:r w:rsidR="004C7E1D" w:rsidRPr="00F1203D">
        <w:rPr>
          <w:rFonts w:cstheme="minorHAnsi"/>
          <w:sz w:val="24"/>
          <w:szCs w:val="24"/>
        </w:rPr>
        <w:t xml:space="preserve"> Washington, DC: Education Sector.</w:t>
      </w:r>
    </w:p>
    <w:p w14:paraId="76D16DAC" w14:textId="77777777" w:rsidR="004C7E1D" w:rsidRDefault="004C7E1D" w:rsidP="004C7E1D">
      <w:pPr>
        <w:spacing w:line="240" w:lineRule="auto"/>
        <w:ind w:left="720" w:hanging="720"/>
        <w:rPr>
          <w:rFonts w:cstheme="minorHAnsi"/>
          <w:sz w:val="24"/>
          <w:szCs w:val="24"/>
        </w:rPr>
      </w:pPr>
      <w:proofErr w:type="gramStart"/>
      <w:r w:rsidRPr="00F1203D">
        <w:rPr>
          <w:rFonts w:cstheme="minorHAnsi"/>
          <w:sz w:val="24"/>
          <w:szCs w:val="24"/>
        </w:rPr>
        <w:t>American Association of Colleges for Teacher Education.</w:t>
      </w:r>
      <w:proofErr w:type="gramEnd"/>
      <w:r w:rsidRPr="00F1203D">
        <w:rPr>
          <w:rFonts w:cstheme="minorHAnsi"/>
          <w:sz w:val="24"/>
          <w:szCs w:val="24"/>
        </w:rPr>
        <w:t xml:space="preserve"> (2010). </w:t>
      </w:r>
      <w:proofErr w:type="gramStart"/>
      <w:r w:rsidRPr="00F1203D">
        <w:rPr>
          <w:rFonts w:cstheme="minorHAnsi"/>
          <w:i/>
          <w:sz w:val="24"/>
          <w:szCs w:val="24"/>
        </w:rPr>
        <w:t>The</w:t>
      </w:r>
      <w:proofErr w:type="gramEnd"/>
      <w:r w:rsidRPr="00F1203D">
        <w:rPr>
          <w:rFonts w:cstheme="minorHAnsi"/>
          <w:i/>
          <w:sz w:val="24"/>
          <w:szCs w:val="24"/>
        </w:rPr>
        <w:t xml:space="preserve"> clinical preparation of teachers—A policy brief</w:t>
      </w:r>
      <w:r w:rsidRPr="00F1203D">
        <w:rPr>
          <w:rFonts w:cstheme="minorHAnsi"/>
          <w:sz w:val="24"/>
          <w:szCs w:val="24"/>
        </w:rPr>
        <w:t xml:space="preserve">. Washington, DC: Author. </w:t>
      </w:r>
    </w:p>
    <w:p w14:paraId="5B694E3A" w14:textId="77777777" w:rsidR="00555201" w:rsidRPr="00F1203D" w:rsidRDefault="00555201" w:rsidP="004C7E1D">
      <w:pPr>
        <w:spacing w:line="240" w:lineRule="auto"/>
        <w:ind w:left="720" w:hanging="720"/>
        <w:rPr>
          <w:rFonts w:cstheme="minorHAnsi"/>
          <w:sz w:val="24"/>
          <w:szCs w:val="24"/>
        </w:rPr>
      </w:pPr>
      <w:proofErr w:type="gramStart"/>
      <w:r w:rsidRPr="00555201">
        <w:rPr>
          <w:rFonts w:cstheme="minorHAnsi"/>
          <w:sz w:val="24"/>
          <w:szCs w:val="24"/>
        </w:rPr>
        <w:t>Association of Teacher Educators</w:t>
      </w:r>
      <w:r w:rsidR="0027251C">
        <w:rPr>
          <w:rFonts w:cstheme="minorHAnsi"/>
          <w:sz w:val="24"/>
          <w:szCs w:val="24"/>
        </w:rPr>
        <w:t>.</w:t>
      </w:r>
      <w:proofErr w:type="gramEnd"/>
      <w:r w:rsidRPr="00555201">
        <w:rPr>
          <w:rFonts w:cstheme="minorHAnsi"/>
          <w:sz w:val="24"/>
          <w:szCs w:val="24"/>
        </w:rPr>
        <w:t xml:space="preserve"> </w:t>
      </w:r>
      <w:proofErr w:type="gramStart"/>
      <w:r w:rsidRPr="00555201">
        <w:rPr>
          <w:rFonts w:cstheme="minorHAnsi"/>
          <w:sz w:val="24"/>
          <w:szCs w:val="24"/>
        </w:rPr>
        <w:t xml:space="preserve">(2008). </w:t>
      </w:r>
      <w:r w:rsidRPr="00E74BF6">
        <w:rPr>
          <w:rFonts w:cstheme="minorHAnsi"/>
          <w:i/>
          <w:sz w:val="24"/>
          <w:szCs w:val="24"/>
        </w:rPr>
        <w:t>Standards for teacher educators</w:t>
      </w:r>
      <w:r w:rsidRPr="00555201">
        <w:rPr>
          <w:rFonts w:cstheme="minorHAnsi"/>
          <w:sz w:val="24"/>
          <w:szCs w:val="24"/>
        </w:rPr>
        <w:t>.</w:t>
      </w:r>
      <w:proofErr w:type="gramEnd"/>
      <w:r w:rsidRPr="00555201">
        <w:rPr>
          <w:rFonts w:cstheme="minorHAnsi"/>
          <w:sz w:val="24"/>
          <w:szCs w:val="24"/>
        </w:rPr>
        <w:t xml:space="preserve"> Fairfax, VA: Author.</w:t>
      </w:r>
    </w:p>
    <w:p w14:paraId="71EAF2E4" w14:textId="77777777" w:rsidR="004C7E1D" w:rsidRPr="00F1203D" w:rsidRDefault="004C7E1D" w:rsidP="004C7E1D">
      <w:pPr>
        <w:spacing w:line="240" w:lineRule="auto"/>
        <w:ind w:left="720" w:hanging="720"/>
        <w:rPr>
          <w:rFonts w:cstheme="minorHAnsi"/>
          <w:sz w:val="24"/>
          <w:szCs w:val="24"/>
        </w:rPr>
      </w:pPr>
      <w:r w:rsidRPr="00F1203D">
        <w:rPr>
          <w:rFonts w:cstheme="minorHAnsi"/>
          <w:sz w:val="24"/>
          <w:szCs w:val="24"/>
        </w:rPr>
        <w:t>Ballard, L. (2011, June 25). E-mail correspondence.</w:t>
      </w:r>
      <w:r w:rsidR="00AB45C6">
        <w:rPr>
          <w:rFonts w:cstheme="minorHAnsi"/>
          <w:sz w:val="24"/>
          <w:szCs w:val="24"/>
        </w:rPr>
        <w:t xml:space="preserve"> </w:t>
      </w:r>
      <w:proofErr w:type="gramStart"/>
      <w:r w:rsidRPr="00F1203D">
        <w:rPr>
          <w:rFonts w:cstheme="minorHAnsi"/>
          <w:sz w:val="24"/>
          <w:szCs w:val="24"/>
        </w:rPr>
        <w:t>Chief Information and Data Officer &amp; Director, Information Management Division, Wyoming Department of Education.</w:t>
      </w:r>
      <w:proofErr w:type="gramEnd"/>
    </w:p>
    <w:p w14:paraId="5D74FD47" w14:textId="77777777" w:rsidR="004C7E1D" w:rsidRPr="00F1203D" w:rsidRDefault="004C7E1D" w:rsidP="004C7E1D">
      <w:pPr>
        <w:spacing w:line="240" w:lineRule="auto"/>
        <w:ind w:left="720" w:hanging="720"/>
        <w:rPr>
          <w:rFonts w:cstheme="minorHAnsi"/>
          <w:sz w:val="24"/>
          <w:szCs w:val="24"/>
        </w:rPr>
      </w:pPr>
      <w:proofErr w:type="spellStart"/>
      <w:r w:rsidRPr="00F1203D">
        <w:rPr>
          <w:rFonts w:cstheme="minorHAnsi"/>
          <w:sz w:val="24"/>
          <w:szCs w:val="24"/>
        </w:rPr>
        <w:t>Basile</w:t>
      </w:r>
      <w:proofErr w:type="spellEnd"/>
      <w:r w:rsidRPr="00F1203D">
        <w:rPr>
          <w:rFonts w:cstheme="minorHAnsi"/>
          <w:sz w:val="24"/>
          <w:szCs w:val="24"/>
        </w:rPr>
        <w:t xml:space="preserve">, C. (2012, May 25). </w:t>
      </w:r>
      <w:proofErr w:type="gramStart"/>
      <w:r w:rsidRPr="00F1203D">
        <w:rPr>
          <w:rFonts w:cstheme="minorHAnsi"/>
          <w:sz w:val="24"/>
          <w:szCs w:val="24"/>
        </w:rPr>
        <w:t>Telephone correspondence.</w:t>
      </w:r>
      <w:proofErr w:type="gramEnd"/>
      <w:r w:rsidRPr="00F1203D">
        <w:rPr>
          <w:rFonts w:cstheme="minorHAnsi"/>
          <w:sz w:val="24"/>
          <w:szCs w:val="24"/>
        </w:rPr>
        <w:t xml:space="preserve"> </w:t>
      </w:r>
      <w:proofErr w:type="gramStart"/>
      <w:r w:rsidRPr="00F1203D">
        <w:rPr>
          <w:rFonts w:cstheme="minorHAnsi"/>
          <w:sz w:val="24"/>
          <w:szCs w:val="24"/>
        </w:rPr>
        <w:t>Dean, College of Education, University of Missouri, St. Louis.</w:t>
      </w:r>
      <w:proofErr w:type="gramEnd"/>
    </w:p>
    <w:p w14:paraId="6C256EB9" w14:textId="77777777" w:rsidR="004C7E1D" w:rsidRPr="00F1203D" w:rsidRDefault="004C7E1D" w:rsidP="004C7E1D">
      <w:pPr>
        <w:spacing w:line="240" w:lineRule="auto"/>
        <w:ind w:left="720" w:hanging="720"/>
        <w:rPr>
          <w:rFonts w:cstheme="minorHAnsi"/>
          <w:sz w:val="24"/>
          <w:szCs w:val="24"/>
        </w:rPr>
      </w:pPr>
      <w:proofErr w:type="spellStart"/>
      <w:proofErr w:type="gramStart"/>
      <w:r w:rsidRPr="00F1203D">
        <w:rPr>
          <w:rFonts w:cstheme="minorHAnsi"/>
          <w:sz w:val="24"/>
          <w:szCs w:val="24"/>
        </w:rPr>
        <w:t>Chesley</w:t>
      </w:r>
      <w:proofErr w:type="spellEnd"/>
      <w:r w:rsidRPr="00F1203D">
        <w:rPr>
          <w:rFonts w:cstheme="minorHAnsi"/>
          <w:sz w:val="24"/>
          <w:szCs w:val="24"/>
        </w:rPr>
        <w:t>, G., &amp; Jordan, J. (2012).</w:t>
      </w:r>
      <w:proofErr w:type="gramEnd"/>
      <w:r w:rsidRPr="00F1203D">
        <w:rPr>
          <w:rFonts w:cstheme="minorHAnsi"/>
          <w:sz w:val="24"/>
          <w:szCs w:val="24"/>
        </w:rPr>
        <w:t xml:space="preserve"> What's missing from teacher prep? </w:t>
      </w:r>
      <w:proofErr w:type="gramStart"/>
      <w:r w:rsidRPr="00F1203D">
        <w:rPr>
          <w:rFonts w:cstheme="minorHAnsi"/>
          <w:i/>
          <w:sz w:val="24"/>
          <w:szCs w:val="24"/>
        </w:rPr>
        <w:t>Educational Leadership</w:t>
      </w:r>
      <w:r w:rsidRPr="00F1203D">
        <w:rPr>
          <w:rFonts w:cstheme="minorHAnsi"/>
          <w:sz w:val="24"/>
          <w:szCs w:val="24"/>
        </w:rPr>
        <w:t>.</w:t>
      </w:r>
      <w:proofErr w:type="gramEnd"/>
      <w:r w:rsidRPr="00F1203D">
        <w:rPr>
          <w:rFonts w:cstheme="minorHAnsi"/>
          <w:sz w:val="24"/>
          <w:szCs w:val="24"/>
        </w:rPr>
        <w:t xml:space="preserve"> Washington, DC: Association for Supervision &amp; Curriculum Development.</w:t>
      </w:r>
    </w:p>
    <w:p w14:paraId="7315988E" w14:textId="77777777" w:rsidR="004C7E1D" w:rsidRPr="00F1203D" w:rsidRDefault="004C7E1D" w:rsidP="004C7E1D">
      <w:pPr>
        <w:spacing w:line="240" w:lineRule="auto"/>
        <w:ind w:left="720" w:hanging="720"/>
        <w:rPr>
          <w:rFonts w:cstheme="minorHAnsi"/>
          <w:sz w:val="24"/>
          <w:szCs w:val="24"/>
        </w:rPr>
      </w:pPr>
      <w:r w:rsidRPr="00F1203D">
        <w:rPr>
          <w:rFonts w:cstheme="minorHAnsi"/>
          <w:sz w:val="24"/>
          <w:szCs w:val="24"/>
        </w:rPr>
        <w:t xml:space="preserve">Coleman, P. (2012, July 16). E-mail correspondence. </w:t>
      </w:r>
      <w:proofErr w:type="gramStart"/>
      <w:r w:rsidRPr="00F1203D">
        <w:rPr>
          <w:rFonts w:cstheme="minorHAnsi"/>
          <w:sz w:val="24"/>
          <w:szCs w:val="24"/>
        </w:rPr>
        <w:t>Director of Teacher Education and Licensure, Kansas State Department of Education.</w:t>
      </w:r>
      <w:proofErr w:type="gramEnd"/>
    </w:p>
    <w:p w14:paraId="1E8A686A" w14:textId="77777777" w:rsidR="004C7E1D" w:rsidRPr="00F1203D" w:rsidRDefault="004C7E1D" w:rsidP="004C7E1D">
      <w:pPr>
        <w:spacing w:line="240" w:lineRule="auto"/>
        <w:ind w:left="720" w:hanging="720"/>
        <w:rPr>
          <w:rFonts w:cstheme="minorHAnsi"/>
          <w:sz w:val="24"/>
          <w:szCs w:val="24"/>
        </w:rPr>
      </w:pPr>
      <w:proofErr w:type="gramStart"/>
      <w:r w:rsidRPr="00F1203D">
        <w:rPr>
          <w:rFonts w:cstheme="minorHAnsi"/>
          <w:sz w:val="24"/>
          <w:szCs w:val="24"/>
        </w:rPr>
        <w:t>Colorado Department of Education (2009).</w:t>
      </w:r>
      <w:proofErr w:type="gramEnd"/>
      <w:r w:rsidR="00AB45C6">
        <w:rPr>
          <w:rFonts w:cstheme="minorHAnsi"/>
          <w:sz w:val="24"/>
          <w:szCs w:val="24"/>
        </w:rPr>
        <w:t xml:space="preserve"> </w:t>
      </w:r>
      <w:proofErr w:type="gramStart"/>
      <w:r w:rsidRPr="00F1203D">
        <w:rPr>
          <w:rFonts w:cstheme="minorHAnsi"/>
          <w:i/>
          <w:sz w:val="24"/>
          <w:szCs w:val="24"/>
        </w:rPr>
        <w:t>Application for grants under the Statewide Longitudinal Data System Recovery Act Grants</w:t>
      </w:r>
      <w:r w:rsidRPr="00F1203D">
        <w:rPr>
          <w:rFonts w:cstheme="minorHAnsi"/>
          <w:sz w:val="24"/>
          <w:szCs w:val="24"/>
        </w:rPr>
        <w:t>.</w:t>
      </w:r>
      <w:proofErr w:type="gramEnd"/>
      <w:r w:rsidRPr="00F1203D">
        <w:rPr>
          <w:rFonts w:cstheme="minorHAnsi"/>
          <w:sz w:val="24"/>
          <w:szCs w:val="24"/>
        </w:rPr>
        <w:t xml:space="preserve"> Denver, CO: Author</w:t>
      </w:r>
    </w:p>
    <w:p w14:paraId="3ED4627B" w14:textId="77777777" w:rsidR="004C7E1D" w:rsidRPr="00F1203D" w:rsidRDefault="004C7E1D" w:rsidP="004C7E1D">
      <w:pPr>
        <w:spacing w:line="240" w:lineRule="auto"/>
        <w:ind w:left="720" w:hanging="720"/>
        <w:rPr>
          <w:rFonts w:cstheme="minorHAnsi"/>
          <w:sz w:val="24"/>
          <w:szCs w:val="24"/>
        </w:rPr>
      </w:pPr>
      <w:r w:rsidRPr="00F1203D">
        <w:rPr>
          <w:rFonts w:cstheme="minorHAnsi"/>
          <w:sz w:val="24"/>
          <w:szCs w:val="24"/>
        </w:rPr>
        <w:t xml:space="preserve">Crowe, E. (2007). </w:t>
      </w:r>
      <w:proofErr w:type="gramStart"/>
      <w:r w:rsidRPr="00F1203D">
        <w:rPr>
          <w:rFonts w:cstheme="minorHAnsi"/>
          <w:i/>
          <w:sz w:val="24"/>
          <w:szCs w:val="24"/>
        </w:rPr>
        <w:t>An effective system of data collection on teacher preparation</w:t>
      </w:r>
      <w:r w:rsidRPr="00F1203D">
        <w:rPr>
          <w:rFonts w:cstheme="minorHAnsi"/>
          <w:sz w:val="24"/>
          <w:szCs w:val="24"/>
        </w:rPr>
        <w:t>.</w:t>
      </w:r>
      <w:proofErr w:type="gramEnd"/>
      <w:r w:rsidRPr="00F1203D">
        <w:rPr>
          <w:rFonts w:cstheme="minorHAnsi"/>
          <w:sz w:val="24"/>
          <w:szCs w:val="24"/>
        </w:rPr>
        <w:t xml:space="preserve"> Paper prepared for the Committee on Teacher Preparation Programs, Division of Behavioral and Social Sciences and Education, National Research Council, Washington, DC. </w:t>
      </w:r>
    </w:p>
    <w:p w14:paraId="74D2D675" w14:textId="77777777" w:rsidR="004C7E1D" w:rsidRPr="00F1203D" w:rsidRDefault="004C7E1D" w:rsidP="004C7E1D">
      <w:pPr>
        <w:spacing w:line="240" w:lineRule="auto"/>
        <w:ind w:left="720" w:hanging="720"/>
        <w:rPr>
          <w:rFonts w:cstheme="minorHAnsi"/>
          <w:sz w:val="24"/>
          <w:szCs w:val="24"/>
        </w:rPr>
      </w:pPr>
      <w:r w:rsidRPr="00F1203D">
        <w:rPr>
          <w:rFonts w:cstheme="minorHAnsi"/>
          <w:sz w:val="24"/>
          <w:szCs w:val="24"/>
        </w:rPr>
        <w:t xml:space="preserve">Crowe, E. (2010). </w:t>
      </w:r>
      <w:r w:rsidRPr="00F1203D">
        <w:rPr>
          <w:rFonts w:cstheme="minorHAnsi"/>
          <w:i/>
          <w:sz w:val="24"/>
          <w:szCs w:val="24"/>
        </w:rPr>
        <w:t xml:space="preserve">Measuring what matters: A stronger accountability model for teacher education. </w:t>
      </w:r>
      <w:r w:rsidRPr="00F1203D">
        <w:rPr>
          <w:rFonts w:cstheme="minorHAnsi"/>
          <w:sz w:val="24"/>
          <w:szCs w:val="24"/>
        </w:rPr>
        <w:t>Washington, DC: Center for American Progress.</w:t>
      </w:r>
    </w:p>
    <w:p w14:paraId="577A352C" w14:textId="77777777" w:rsidR="004C7E1D" w:rsidRPr="00F1203D" w:rsidRDefault="004C7E1D" w:rsidP="004C7E1D">
      <w:pPr>
        <w:spacing w:line="240" w:lineRule="auto"/>
        <w:ind w:left="720" w:hanging="720"/>
        <w:rPr>
          <w:rFonts w:cstheme="minorHAnsi"/>
          <w:sz w:val="24"/>
          <w:szCs w:val="24"/>
        </w:rPr>
      </w:pPr>
      <w:proofErr w:type="gramStart"/>
      <w:r w:rsidRPr="00F1203D">
        <w:rPr>
          <w:rFonts w:cstheme="minorHAnsi"/>
          <w:sz w:val="24"/>
          <w:szCs w:val="24"/>
        </w:rPr>
        <w:t xml:space="preserve">Greenberg, J., </w:t>
      </w:r>
      <w:proofErr w:type="spellStart"/>
      <w:r w:rsidRPr="00F1203D">
        <w:rPr>
          <w:rFonts w:cstheme="minorHAnsi"/>
          <w:sz w:val="24"/>
          <w:szCs w:val="24"/>
        </w:rPr>
        <w:t>Pomerance</w:t>
      </w:r>
      <w:proofErr w:type="spellEnd"/>
      <w:r w:rsidRPr="00F1203D">
        <w:rPr>
          <w:rFonts w:cstheme="minorHAnsi"/>
          <w:sz w:val="24"/>
          <w:szCs w:val="24"/>
        </w:rPr>
        <w:t>, L., &amp; Walsh, K. (2011).</w:t>
      </w:r>
      <w:proofErr w:type="gramEnd"/>
      <w:r w:rsidRPr="00F1203D">
        <w:rPr>
          <w:rFonts w:cstheme="minorHAnsi"/>
          <w:sz w:val="24"/>
          <w:szCs w:val="24"/>
        </w:rPr>
        <w:t xml:space="preserve"> </w:t>
      </w:r>
      <w:proofErr w:type="gramStart"/>
      <w:r w:rsidRPr="00F1203D">
        <w:rPr>
          <w:rFonts w:cstheme="minorHAnsi"/>
          <w:i/>
          <w:sz w:val="24"/>
          <w:szCs w:val="24"/>
        </w:rPr>
        <w:t>Student teaching in the United States</w:t>
      </w:r>
      <w:r w:rsidRPr="00F1203D">
        <w:rPr>
          <w:rFonts w:cstheme="minorHAnsi"/>
          <w:sz w:val="24"/>
          <w:szCs w:val="24"/>
        </w:rPr>
        <w:t>.</w:t>
      </w:r>
      <w:proofErr w:type="gramEnd"/>
      <w:r w:rsidRPr="00F1203D">
        <w:rPr>
          <w:rFonts w:cstheme="minorHAnsi"/>
          <w:sz w:val="24"/>
          <w:szCs w:val="24"/>
        </w:rPr>
        <w:t xml:space="preserve"> </w:t>
      </w:r>
      <w:proofErr w:type="gramStart"/>
      <w:r w:rsidRPr="00F1203D">
        <w:rPr>
          <w:rFonts w:cstheme="minorHAnsi"/>
          <w:sz w:val="24"/>
          <w:szCs w:val="24"/>
        </w:rPr>
        <w:t>Washington, D.C., National Council on Teacher Quality.</w:t>
      </w:r>
      <w:proofErr w:type="gramEnd"/>
    </w:p>
    <w:p w14:paraId="0656BDC4" w14:textId="77777777" w:rsidR="004C7E1D" w:rsidRPr="00F1203D" w:rsidRDefault="004C7E1D" w:rsidP="004C7E1D">
      <w:pPr>
        <w:spacing w:line="240" w:lineRule="auto"/>
        <w:ind w:left="720" w:hanging="720"/>
        <w:rPr>
          <w:rFonts w:cstheme="minorHAnsi"/>
          <w:sz w:val="24"/>
          <w:szCs w:val="24"/>
        </w:rPr>
      </w:pPr>
      <w:proofErr w:type="gramStart"/>
      <w:r w:rsidRPr="00F1203D">
        <w:rPr>
          <w:rFonts w:cstheme="minorHAnsi"/>
          <w:sz w:val="24"/>
          <w:szCs w:val="24"/>
        </w:rPr>
        <w:t>Ingersoll, R., Merrill, L., &amp; May, H. (2012).</w:t>
      </w:r>
      <w:proofErr w:type="gramEnd"/>
      <w:r w:rsidRPr="00F1203D">
        <w:rPr>
          <w:rFonts w:cstheme="minorHAnsi"/>
          <w:sz w:val="24"/>
          <w:szCs w:val="24"/>
        </w:rPr>
        <w:t xml:space="preserve"> Retaining teachers: How preparation matters. </w:t>
      </w:r>
      <w:r w:rsidRPr="00F1203D">
        <w:rPr>
          <w:rFonts w:cstheme="minorHAnsi"/>
          <w:i/>
          <w:sz w:val="24"/>
          <w:szCs w:val="24"/>
        </w:rPr>
        <w:t>Educational Leadership</w:t>
      </w:r>
      <w:r w:rsidRPr="00F1203D">
        <w:rPr>
          <w:rFonts w:cstheme="minorHAnsi"/>
          <w:sz w:val="24"/>
          <w:szCs w:val="24"/>
        </w:rPr>
        <w:t>, 30</w:t>
      </w:r>
      <w:r w:rsidR="006C49C8">
        <w:rPr>
          <w:rFonts w:cstheme="minorHAnsi"/>
          <w:sz w:val="24"/>
          <w:szCs w:val="24"/>
        </w:rPr>
        <w:t>–</w:t>
      </w:r>
      <w:r w:rsidRPr="00F1203D">
        <w:rPr>
          <w:rFonts w:cstheme="minorHAnsi"/>
          <w:sz w:val="24"/>
          <w:szCs w:val="24"/>
        </w:rPr>
        <w:t xml:space="preserve">34. </w:t>
      </w:r>
    </w:p>
    <w:p w14:paraId="48BAC771" w14:textId="77777777" w:rsidR="004C7E1D" w:rsidRPr="00F1203D" w:rsidRDefault="004C7E1D" w:rsidP="004C7E1D">
      <w:pPr>
        <w:spacing w:line="240" w:lineRule="auto"/>
        <w:ind w:left="720" w:hanging="720"/>
        <w:rPr>
          <w:rFonts w:cstheme="minorHAnsi"/>
          <w:sz w:val="24"/>
          <w:szCs w:val="24"/>
        </w:rPr>
      </w:pPr>
      <w:proofErr w:type="spellStart"/>
      <w:r w:rsidRPr="00F1203D">
        <w:rPr>
          <w:rFonts w:cstheme="minorHAnsi"/>
          <w:sz w:val="24"/>
          <w:szCs w:val="24"/>
        </w:rPr>
        <w:t>Melmer</w:t>
      </w:r>
      <w:proofErr w:type="spellEnd"/>
      <w:r w:rsidRPr="00F1203D">
        <w:rPr>
          <w:rFonts w:cstheme="minorHAnsi"/>
          <w:sz w:val="24"/>
          <w:szCs w:val="24"/>
        </w:rPr>
        <w:t xml:space="preserve">, R. (2012, May 9). </w:t>
      </w:r>
      <w:proofErr w:type="gramStart"/>
      <w:r w:rsidRPr="00F1203D">
        <w:rPr>
          <w:rFonts w:cstheme="minorHAnsi"/>
          <w:sz w:val="24"/>
          <w:szCs w:val="24"/>
        </w:rPr>
        <w:t>Telephone correspondence.</w:t>
      </w:r>
      <w:proofErr w:type="gramEnd"/>
      <w:r w:rsidR="00AB45C6">
        <w:rPr>
          <w:rFonts w:cstheme="minorHAnsi"/>
          <w:sz w:val="24"/>
          <w:szCs w:val="24"/>
        </w:rPr>
        <w:t xml:space="preserve"> </w:t>
      </w:r>
      <w:proofErr w:type="gramStart"/>
      <w:r w:rsidRPr="00F1203D">
        <w:rPr>
          <w:rFonts w:cstheme="minorHAnsi"/>
          <w:sz w:val="24"/>
          <w:szCs w:val="24"/>
        </w:rPr>
        <w:t>Dean, School of Education, University of South Dakota.</w:t>
      </w:r>
      <w:proofErr w:type="gramEnd"/>
    </w:p>
    <w:p w14:paraId="40821F94" w14:textId="77777777" w:rsidR="004C7E1D" w:rsidRPr="00F1203D" w:rsidRDefault="004C7E1D" w:rsidP="004C7E1D">
      <w:pPr>
        <w:spacing w:line="240" w:lineRule="auto"/>
        <w:ind w:left="720" w:hanging="720"/>
        <w:rPr>
          <w:rFonts w:cstheme="minorHAnsi"/>
          <w:sz w:val="24"/>
          <w:szCs w:val="24"/>
        </w:rPr>
      </w:pPr>
      <w:proofErr w:type="gramStart"/>
      <w:r w:rsidRPr="00F1203D">
        <w:rPr>
          <w:rFonts w:cstheme="minorHAnsi"/>
          <w:sz w:val="24"/>
          <w:szCs w:val="24"/>
        </w:rPr>
        <w:t>Missouri Department of Elementary and Secondary Education (2008).</w:t>
      </w:r>
      <w:proofErr w:type="gramEnd"/>
      <w:r w:rsidR="00AB45C6">
        <w:rPr>
          <w:rFonts w:cstheme="minorHAnsi"/>
          <w:sz w:val="24"/>
          <w:szCs w:val="24"/>
        </w:rPr>
        <w:t xml:space="preserve"> </w:t>
      </w:r>
      <w:proofErr w:type="gramStart"/>
      <w:r w:rsidRPr="00F1203D">
        <w:rPr>
          <w:rFonts w:cstheme="minorHAnsi"/>
          <w:i/>
          <w:sz w:val="24"/>
          <w:szCs w:val="24"/>
        </w:rPr>
        <w:t>Application for grants under the Statewide Longitudinal Data System Recovery Act Grants</w:t>
      </w:r>
      <w:r w:rsidRPr="00F1203D">
        <w:rPr>
          <w:rFonts w:cstheme="minorHAnsi"/>
          <w:sz w:val="24"/>
          <w:szCs w:val="24"/>
        </w:rPr>
        <w:t>.</w:t>
      </w:r>
      <w:proofErr w:type="gramEnd"/>
      <w:r w:rsidRPr="00F1203D">
        <w:rPr>
          <w:rFonts w:cstheme="minorHAnsi"/>
          <w:sz w:val="24"/>
          <w:szCs w:val="24"/>
        </w:rPr>
        <w:t xml:space="preserve"> Jefferson City, MO: Author</w:t>
      </w:r>
      <w:r w:rsidR="006C49C8">
        <w:rPr>
          <w:rFonts w:cstheme="minorHAnsi"/>
          <w:sz w:val="24"/>
          <w:szCs w:val="24"/>
        </w:rPr>
        <w:t>.</w:t>
      </w:r>
    </w:p>
    <w:p w14:paraId="5B024F53" w14:textId="77777777" w:rsidR="004C7E1D" w:rsidRPr="00F1203D" w:rsidRDefault="004C7E1D" w:rsidP="004C7E1D">
      <w:pPr>
        <w:spacing w:line="240" w:lineRule="auto"/>
        <w:ind w:left="720" w:hanging="720"/>
        <w:rPr>
          <w:rFonts w:cstheme="minorHAnsi"/>
          <w:sz w:val="24"/>
          <w:szCs w:val="24"/>
        </w:rPr>
      </w:pPr>
      <w:proofErr w:type="gramStart"/>
      <w:r w:rsidRPr="00F1203D">
        <w:rPr>
          <w:rFonts w:cstheme="minorHAnsi"/>
          <w:sz w:val="24"/>
          <w:szCs w:val="24"/>
        </w:rPr>
        <w:t>National Council for Accreditation of Teacher Education (2008).</w:t>
      </w:r>
      <w:proofErr w:type="gramEnd"/>
      <w:r w:rsidRPr="00F1203D">
        <w:rPr>
          <w:rFonts w:cstheme="minorHAnsi"/>
          <w:sz w:val="24"/>
          <w:szCs w:val="24"/>
        </w:rPr>
        <w:t xml:space="preserve"> </w:t>
      </w:r>
      <w:proofErr w:type="gramStart"/>
      <w:r w:rsidRPr="00F1203D">
        <w:rPr>
          <w:rFonts w:cstheme="minorHAnsi"/>
          <w:i/>
          <w:sz w:val="24"/>
          <w:szCs w:val="24"/>
        </w:rPr>
        <w:t>Professional standards for the accreditation of teacher preparation institutions.</w:t>
      </w:r>
      <w:proofErr w:type="gramEnd"/>
      <w:r w:rsidRPr="00F1203D">
        <w:rPr>
          <w:rFonts w:cstheme="minorHAnsi"/>
          <w:sz w:val="24"/>
          <w:szCs w:val="24"/>
        </w:rPr>
        <w:t xml:space="preserve"> Washington, DC: Author.</w:t>
      </w:r>
    </w:p>
    <w:p w14:paraId="02AA05D6" w14:textId="77777777" w:rsidR="004C7E1D" w:rsidRPr="00F1203D" w:rsidRDefault="004C7E1D" w:rsidP="004C7E1D">
      <w:pPr>
        <w:spacing w:line="240" w:lineRule="auto"/>
        <w:ind w:left="720" w:hanging="720"/>
        <w:rPr>
          <w:rFonts w:cstheme="minorHAnsi"/>
          <w:sz w:val="24"/>
          <w:szCs w:val="24"/>
        </w:rPr>
      </w:pPr>
      <w:proofErr w:type="gramStart"/>
      <w:r w:rsidRPr="00F1203D">
        <w:rPr>
          <w:rFonts w:cstheme="minorHAnsi"/>
          <w:sz w:val="24"/>
          <w:szCs w:val="24"/>
        </w:rPr>
        <w:t>National Council for Accreditation of Teacher Education.</w:t>
      </w:r>
      <w:proofErr w:type="gramEnd"/>
      <w:r w:rsidRPr="00F1203D">
        <w:rPr>
          <w:rFonts w:cstheme="minorHAnsi"/>
          <w:sz w:val="24"/>
          <w:szCs w:val="24"/>
        </w:rPr>
        <w:t xml:space="preserve"> </w:t>
      </w:r>
      <w:proofErr w:type="gramStart"/>
      <w:r w:rsidRPr="00F1203D">
        <w:rPr>
          <w:rFonts w:cstheme="minorHAnsi"/>
          <w:sz w:val="24"/>
          <w:szCs w:val="24"/>
        </w:rPr>
        <w:t>(2010, November).</w:t>
      </w:r>
      <w:proofErr w:type="gramEnd"/>
      <w:r w:rsidRPr="00F1203D">
        <w:rPr>
          <w:rFonts w:cstheme="minorHAnsi"/>
          <w:sz w:val="24"/>
          <w:szCs w:val="24"/>
        </w:rPr>
        <w:t xml:space="preserve"> </w:t>
      </w:r>
      <w:proofErr w:type="gramStart"/>
      <w:r w:rsidRPr="00E74BF6">
        <w:rPr>
          <w:rFonts w:cstheme="minorHAnsi"/>
          <w:i/>
          <w:sz w:val="24"/>
          <w:szCs w:val="24"/>
        </w:rPr>
        <w:t>Transforming teacher education through clinical practice: A national strategy to prepare effective teachers</w:t>
      </w:r>
      <w:r w:rsidRPr="00F1203D">
        <w:rPr>
          <w:rFonts w:cstheme="minorHAnsi"/>
          <w:sz w:val="24"/>
          <w:szCs w:val="24"/>
        </w:rPr>
        <w:t>.</w:t>
      </w:r>
      <w:proofErr w:type="gramEnd"/>
      <w:r w:rsidRPr="00F1203D">
        <w:rPr>
          <w:rFonts w:cstheme="minorHAnsi"/>
          <w:sz w:val="24"/>
          <w:szCs w:val="24"/>
        </w:rPr>
        <w:t xml:space="preserve"> Washington, DC: Author.</w:t>
      </w:r>
    </w:p>
    <w:p w14:paraId="4FAE9EAF" w14:textId="77777777" w:rsidR="004C7E1D" w:rsidRDefault="004C7E1D" w:rsidP="004C7E1D">
      <w:pPr>
        <w:spacing w:line="240" w:lineRule="auto"/>
        <w:ind w:left="720" w:hanging="720"/>
        <w:rPr>
          <w:rFonts w:cstheme="minorHAnsi"/>
          <w:sz w:val="24"/>
          <w:szCs w:val="24"/>
        </w:rPr>
      </w:pPr>
      <w:proofErr w:type="gramStart"/>
      <w:r w:rsidRPr="00F1203D">
        <w:rPr>
          <w:rFonts w:cstheme="minorHAnsi"/>
          <w:sz w:val="24"/>
          <w:szCs w:val="24"/>
        </w:rPr>
        <w:t>National Research Council</w:t>
      </w:r>
      <w:r w:rsidR="008147CE">
        <w:rPr>
          <w:rFonts w:cstheme="minorHAnsi"/>
          <w:sz w:val="24"/>
          <w:szCs w:val="24"/>
        </w:rPr>
        <w:t>.</w:t>
      </w:r>
      <w:proofErr w:type="gramEnd"/>
      <w:r w:rsidRPr="00F1203D">
        <w:rPr>
          <w:rFonts w:cstheme="minorHAnsi"/>
          <w:sz w:val="24"/>
          <w:szCs w:val="24"/>
        </w:rPr>
        <w:t xml:space="preserve"> (2010). </w:t>
      </w:r>
      <w:proofErr w:type="gramStart"/>
      <w:r w:rsidRPr="00E74BF6">
        <w:rPr>
          <w:rFonts w:cstheme="minorHAnsi"/>
          <w:i/>
          <w:sz w:val="24"/>
          <w:szCs w:val="24"/>
        </w:rPr>
        <w:t>Preparing</w:t>
      </w:r>
      <w:proofErr w:type="gramEnd"/>
      <w:r w:rsidRPr="00E74BF6">
        <w:rPr>
          <w:rFonts w:cstheme="minorHAnsi"/>
          <w:i/>
          <w:sz w:val="24"/>
          <w:szCs w:val="24"/>
        </w:rPr>
        <w:t xml:space="preserve"> teachers: Building evidence for sound policy.</w:t>
      </w:r>
      <w:r w:rsidRPr="00F1203D">
        <w:rPr>
          <w:rFonts w:cstheme="minorHAnsi"/>
          <w:sz w:val="24"/>
          <w:szCs w:val="24"/>
        </w:rPr>
        <w:t xml:space="preserve"> </w:t>
      </w:r>
      <w:proofErr w:type="gramStart"/>
      <w:r w:rsidRPr="00F1203D">
        <w:rPr>
          <w:rFonts w:cstheme="minorHAnsi"/>
          <w:sz w:val="24"/>
          <w:szCs w:val="24"/>
        </w:rPr>
        <w:t>Committee on the Study of Teacher Preparation Programs in the United States, Center for Education.</w:t>
      </w:r>
      <w:proofErr w:type="gramEnd"/>
      <w:r w:rsidRPr="00F1203D">
        <w:rPr>
          <w:rFonts w:cstheme="minorHAnsi"/>
          <w:sz w:val="24"/>
          <w:szCs w:val="24"/>
        </w:rPr>
        <w:t xml:space="preserve"> </w:t>
      </w:r>
      <w:proofErr w:type="gramStart"/>
      <w:r w:rsidRPr="00F1203D">
        <w:rPr>
          <w:rFonts w:cstheme="minorHAnsi"/>
          <w:sz w:val="24"/>
          <w:szCs w:val="24"/>
        </w:rPr>
        <w:t>Division of Behavioral and Social Sciences and Education.</w:t>
      </w:r>
      <w:proofErr w:type="gramEnd"/>
      <w:r w:rsidRPr="00F1203D">
        <w:rPr>
          <w:rFonts w:cstheme="minorHAnsi"/>
          <w:sz w:val="24"/>
          <w:szCs w:val="24"/>
        </w:rPr>
        <w:t xml:space="preserve"> Washington, DC: The National Academies Press. </w:t>
      </w:r>
    </w:p>
    <w:p w14:paraId="790A8567" w14:textId="77777777" w:rsidR="008147CE" w:rsidRPr="00F1203D" w:rsidRDefault="008147CE" w:rsidP="008147CE">
      <w:pPr>
        <w:spacing w:line="240" w:lineRule="auto"/>
        <w:ind w:left="720" w:hanging="720"/>
        <w:rPr>
          <w:rFonts w:cstheme="minorHAnsi"/>
          <w:sz w:val="24"/>
          <w:szCs w:val="24"/>
        </w:rPr>
      </w:pPr>
      <w:proofErr w:type="gramStart"/>
      <w:r w:rsidRPr="008147CE">
        <w:rPr>
          <w:rFonts w:cstheme="minorHAnsi"/>
          <w:sz w:val="24"/>
          <w:szCs w:val="24"/>
        </w:rPr>
        <w:t>U.S. Department of</w:t>
      </w:r>
      <w:r>
        <w:rPr>
          <w:rFonts w:cstheme="minorHAnsi"/>
          <w:sz w:val="24"/>
          <w:szCs w:val="24"/>
        </w:rPr>
        <w:t xml:space="preserve"> </w:t>
      </w:r>
      <w:r w:rsidRPr="008147CE">
        <w:rPr>
          <w:rFonts w:cstheme="minorHAnsi"/>
          <w:sz w:val="24"/>
          <w:szCs w:val="24"/>
        </w:rPr>
        <w:t>Education</w:t>
      </w:r>
      <w:r>
        <w:rPr>
          <w:rFonts w:cstheme="minorHAnsi"/>
          <w:sz w:val="24"/>
          <w:szCs w:val="24"/>
        </w:rPr>
        <w:t>.</w:t>
      </w:r>
      <w:proofErr w:type="gramEnd"/>
      <w:r>
        <w:rPr>
          <w:rFonts w:cstheme="minorHAnsi"/>
          <w:sz w:val="24"/>
          <w:szCs w:val="24"/>
        </w:rPr>
        <w:t xml:space="preserve"> (2011). </w:t>
      </w:r>
      <w:proofErr w:type="gramStart"/>
      <w:r w:rsidRPr="00E74BF6">
        <w:rPr>
          <w:rFonts w:cstheme="minorHAnsi"/>
          <w:i/>
          <w:sz w:val="24"/>
          <w:szCs w:val="24"/>
        </w:rPr>
        <w:t>Our</w:t>
      </w:r>
      <w:proofErr w:type="gramEnd"/>
      <w:r w:rsidRPr="00E74BF6">
        <w:rPr>
          <w:rFonts w:cstheme="minorHAnsi"/>
          <w:i/>
          <w:sz w:val="24"/>
          <w:szCs w:val="24"/>
        </w:rPr>
        <w:t xml:space="preserve"> future, our teachers: The Obama administration’s plan for teacher education reform and improvement</w:t>
      </w:r>
      <w:r>
        <w:rPr>
          <w:rFonts w:cstheme="minorHAnsi"/>
          <w:sz w:val="24"/>
          <w:szCs w:val="24"/>
        </w:rPr>
        <w:t xml:space="preserve">. </w:t>
      </w:r>
      <w:r w:rsidRPr="008147CE">
        <w:rPr>
          <w:rFonts w:cstheme="minorHAnsi"/>
          <w:sz w:val="24"/>
          <w:szCs w:val="24"/>
        </w:rPr>
        <w:t>Washington, D.C</w:t>
      </w:r>
      <w:r>
        <w:rPr>
          <w:rFonts w:cstheme="minorHAnsi"/>
          <w:sz w:val="24"/>
          <w:szCs w:val="24"/>
        </w:rPr>
        <w:t>: Author.</w:t>
      </w:r>
    </w:p>
    <w:p w14:paraId="23ACAB7E" w14:textId="77777777" w:rsidR="004C7E1D" w:rsidRPr="002644F9" w:rsidRDefault="004C7E1D" w:rsidP="004C7E1D">
      <w:pPr>
        <w:tabs>
          <w:tab w:val="left" w:pos="180"/>
        </w:tabs>
        <w:ind w:left="720" w:hanging="720"/>
      </w:pPr>
      <w:proofErr w:type="gramStart"/>
      <w:r w:rsidRPr="00F1203D">
        <w:rPr>
          <w:rFonts w:cstheme="minorHAnsi"/>
          <w:sz w:val="24"/>
          <w:szCs w:val="24"/>
        </w:rPr>
        <w:t>Voorhees, R. A., Barnes, G. T., &amp; Rothman, R. (2003, July).</w:t>
      </w:r>
      <w:proofErr w:type="gramEnd"/>
      <w:r w:rsidRPr="00F1203D">
        <w:rPr>
          <w:rFonts w:cstheme="minorHAnsi"/>
          <w:sz w:val="24"/>
          <w:szCs w:val="24"/>
        </w:rPr>
        <w:t xml:space="preserve"> </w:t>
      </w:r>
      <w:proofErr w:type="gramStart"/>
      <w:r w:rsidRPr="00F1203D">
        <w:rPr>
          <w:rFonts w:cstheme="minorHAnsi"/>
          <w:i/>
          <w:sz w:val="24"/>
          <w:szCs w:val="24"/>
        </w:rPr>
        <w:t>Data systems to enhance teacher quality.</w:t>
      </w:r>
      <w:proofErr w:type="gramEnd"/>
      <w:r w:rsidRPr="00F1203D">
        <w:rPr>
          <w:rFonts w:cstheme="minorHAnsi"/>
          <w:sz w:val="24"/>
          <w:szCs w:val="24"/>
        </w:rPr>
        <w:t xml:space="preserve"> Boulder, CO: State Higher Education Executive Officers.</w:t>
      </w:r>
      <w:bookmarkStart w:id="29" w:name="_GoBack"/>
      <w:bookmarkEnd w:id="29"/>
    </w:p>
    <w:sectPr w:rsidR="004C7E1D" w:rsidRPr="002644F9" w:rsidSect="001A1F5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5C9BA7" w15:done="0"/>
  <w15:commentEx w15:paraId="52CC2FF5" w15:done="0"/>
  <w15:commentEx w15:paraId="7E58B61F" w15:done="0"/>
  <w15:commentEx w15:paraId="2C4FC796" w15:done="0"/>
  <w15:commentEx w15:paraId="0BA896F1" w15:done="0"/>
  <w15:commentEx w15:paraId="5DB36009" w15:done="0"/>
  <w15:commentEx w15:paraId="457813DC" w15:done="0"/>
  <w15:commentEx w15:paraId="2A9EA98D" w15:done="0"/>
  <w15:commentEx w15:paraId="23DB5CC4" w15:done="0"/>
  <w15:commentEx w15:paraId="31829D2D" w15:done="0"/>
  <w15:commentEx w15:paraId="7AD4963E" w15:done="0"/>
  <w15:commentEx w15:paraId="4894D2FE" w15:done="0"/>
  <w15:commentEx w15:paraId="106F2787" w15:done="0"/>
  <w15:commentEx w15:paraId="134C23F0" w15:done="0"/>
  <w15:commentEx w15:paraId="6B0B6302" w15:done="0"/>
  <w15:commentEx w15:paraId="2EE2461A" w15:done="0"/>
  <w15:commentEx w15:paraId="39A82F62" w15:done="0"/>
  <w15:commentEx w15:paraId="042E9793" w15:paraIdParent="39A82F62" w15:done="0"/>
  <w15:commentEx w15:paraId="0A799522" w15:done="0"/>
  <w15:commentEx w15:paraId="755AEBB3" w15:done="0"/>
  <w15:commentEx w15:paraId="3C1134A1" w15:done="0"/>
  <w15:commentEx w15:paraId="293AD1EF" w15:done="0"/>
  <w15:commentEx w15:paraId="50948801" w15:done="0"/>
  <w15:commentEx w15:paraId="6D326175" w15:done="0"/>
  <w15:commentEx w15:paraId="40D1B034" w15:done="0"/>
  <w15:commentEx w15:paraId="4761878B" w15:done="0"/>
  <w15:commentEx w15:paraId="0399B25F" w15:done="0"/>
  <w15:commentEx w15:paraId="3A5C95F1" w15:done="0"/>
  <w15:commentEx w15:paraId="0CF11792" w15:done="0"/>
  <w15:commentEx w15:paraId="1821E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19B74" w14:textId="77777777" w:rsidR="00A94F54" w:rsidRDefault="00A94F54" w:rsidP="00E70779">
      <w:pPr>
        <w:spacing w:after="0" w:line="240" w:lineRule="auto"/>
      </w:pPr>
      <w:r>
        <w:separator/>
      </w:r>
    </w:p>
  </w:endnote>
  <w:endnote w:type="continuationSeparator" w:id="0">
    <w:p w14:paraId="372CD446" w14:textId="77777777" w:rsidR="00A94F54" w:rsidRDefault="00A94F54" w:rsidP="00E7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oudy Old Style">
    <w:altName w:val="Georgia"/>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81D4A" w14:textId="77777777" w:rsidR="00A94F54" w:rsidRDefault="00A94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88206"/>
      <w:docPartObj>
        <w:docPartGallery w:val="Page Numbers (Bottom of Page)"/>
        <w:docPartUnique/>
      </w:docPartObj>
    </w:sdtPr>
    <w:sdtEndPr>
      <w:rPr>
        <w:noProof/>
      </w:rPr>
    </w:sdtEndPr>
    <w:sdtContent>
      <w:p w14:paraId="54031737" w14:textId="77777777" w:rsidR="00A94F54" w:rsidRDefault="00A94F54">
        <w:pPr>
          <w:pStyle w:val="Footer"/>
          <w:jc w:val="center"/>
        </w:pPr>
        <w:r>
          <w:fldChar w:fldCharType="begin"/>
        </w:r>
        <w:r>
          <w:instrText xml:space="preserve"> PAGE   \* MERGEFORMAT </w:instrText>
        </w:r>
        <w:r>
          <w:fldChar w:fldCharType="separate"/>
        </w:r>
        <w:r w:rsidR="008037FA">
          <w:rPr>
            <w:noProof/>
          </w:rPr>
          <w:t>15</w:t>
        </w:r>
        <w:r>
          <w:rPr>
            <w:noProof/>
          </w:rPr>
          <w:fldChar w:fldCharType="end"/>
        </w:r>
      </w:p>
    </w:sdtContent>
  </w:sdt>
  <w:p w14:paraId="159E6AE1" w14:textId="77777777" w:rsidR="00A94F54" w:rsidRDefault="00A94F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3CE7" w14:textId="77777777" w:rsidR="00A94F54" w:rsidRDefault="00A94F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56353" w14:textId="77777777" w:rsidR="00A94F54" w:rsidRDefault="00A94F54" w:rsidP="00E70779">
      <w:pPr>
        <w:spacing w:after="0" w:line="240" w:lineRule="auto"/>
      </w:pPr>
      <w:r>
        <w:separator/>
      </w:r>
    </w:p>
  </w:footnote>
  <w:footnote w:type="continuationSeparator" w:id="0">
    <w:p w14:paraId="420C199D" w14:textId="77777777" w:rsidR="00A94F54" w:rsidRDefault="00A94F54" w:rsidP="00E70779">
      <w:pPr>
        <w:spacing w:after="0" w:line="240" w:lineRule="auto"/>
      </w:pPr>
      <w:r>
        <w:continuationSeparator/>
      </w:r>
    </w:p>
  </w:footnote>
  <w:footnote w:id="1">
    <w:p w14:paraId="0281A428" w14:textId="77777777" w:rsidR="00A94F54" w:rsidRPr="00851C05" w:rsidRDefault="00A94F54" w:rsidP="00F30A09">
      <w:pPr>
        <w:pStyle w:val="FootnoteText"/>
        <w:spacing w:before="0" w:line="240" w:lineRule="auto"/>
        <w:rPr>
          <w:sz w:val="18"/>
        </w:rPr>
      </w:pPr>
      <w:r w:rsidRPr="00851C05">
        <w:rPr>
          <w:rStyle w:val="FootnoteReference"/>
          <w:sz w:val="18"/>
        </w:rPr>
        <w:footnoteRef/>
      </w:r>
      <w:r w:rsidRPr="00851C05">
        <w:rPr>
          <w:sz w:val="18"/>
        </w:rPr>
        <w:t xml:space="preserve"> For the purposes of this proposal, “educator preparation” refers to formal pre-service training for classroom teachers</w:t>
      </w:r>
      <w:r>
        <w:rPr>
          <w:sz w:val="18"/>
        </w:rPr>
        <w:t xml:space="preserve"> and school administrators. This study focuses on the preparation of classroom teachers. </w:t>
      </w:r>
    </w:p>
  </w:footnote>
  <w:footnote w:id="2">
    <w:p w14:paraId="428346D5" w14:textId="77777777" w:rsidR="00A94F54" w:rsidRPr="0039476B" w:rsidRDefault="00A94F54" w:rsidP="00F30A09">
      <w:pPr>
        <w:pStyle w:val="FootnoteText"/>
        <w:spacing w:before="0" w:line="240" w:lineRule="auto"/>
        <w:rPr>
          <w:sz w:val="18"/>
        </w:rPr>
      </w:pPr>
      <w:r w:rsidRPr="0039476B">
        <w:rPr>
          <w:rStyle w:val="FootnoteReference"/>
          <w:sz w:val="18"/>
        </w:rPr>
        <w:footnoteRef/>
      </w:r>
      <w:r w:rsidRPr="0039476B">
        <w:rPr>
          <w:sz w:val="18"/>
        </w:rPr>
        <w:t xml:space="preserve"> For the purposes of this</w:t>
      </w:r>
      <w:r>
        <w:rPr>
          <w:sz w:val="18"/>
        </w:rPr>
        <w:t xml:space="preserve"> study</w:t>
      </w:r>
      <w:r w:rsidRPr="0039476B">
        <w:rPr>
          <w:sz w:val="18"/>
        </w:rPr>
        <w:t>, “teacher preparation program” reflects the U.S. Department of Education (2011) definition to include any state-approved course of study, the completion of which signifies that an enrollee has met all the states</w:t>
      </w:r>
      <w:r>
        <w:rPr>
          <w:sz w:val="18"/>
        </w:rPr>
        <w:t>’</w:t>
      </w:r>
      <w:r w:rsidRPr="0039476B">
        <w:rPr>
          <w:sz w:val="18"/>
        </w:rPr>
        <w:t xml:space="preserve"> educational and/or </w:t>
      </w:r>
      <w:r w:rsidRPr="00AB45C6">
        <w:rPr>
          <w:rStyle w:val="FootnoteReference"/>
          <w:sz w:val="18"/>
          <w:vertAlign w:val="baseline"/>
        </w:rPr>
        <w:t>training</w:t>
      </w:r>
      <w:r w:rsidRPr="0039476B">
        <w:rPr>
          <w:sz w:val="18"/>
        </w:rPr>
        <w:t xml:space="preserve"> requirements for initial certification or licensure to teach in elementary, middle or secondary schools. </w:t>
      </w:r>
      <w:r>
        <w:rPr>
          <w:sz w:val="18"/>
        </w:rPr>
        <w:t xml:space="preserve">Unless otherwise noted, the term “programs” is used in this proposal to refer to the institutions or entities that offer such a course of study (such as universities or other organizations).  “Program types” refer to broad categories of approaches used within programs (such as “alternative” or “traditional”) and “certification tracks” refer to one of various types of sub-programs designed to prepare teachers for different types of teaching positions (such as “elementary education”). </w:t>
      </w:r>
    </w:p>
  </w:footnote>
  <w:footnote w:id="3">
    <w:p w14:paraId="41412AFA" w14:textId="77777777" w:rsidR="00A94F54" w:rsidRPr="00941EE0" w:rsidRDefault="00A94F54" w:rsidP="00F30A09">
      <w:pPr>
        <w:pStyle w:val="FootnoteText"/>
        <w:rPr>
          <w:sz w:val="18"/>
        </w:rPr>
      </w:pPr>
      <w:r w:rsidRPr="00941EE0">
        <w:rPr>
          <w:rStyle w:val="FootnoteReference"/>
          <w:sz w:val="18"/>
        </w:rPr>
        <w:footnoteRef/>
      </w:r>
      <w:r w:rsidRPr="00941EE0">
        <w:rPr>
          <w:sz w:val="18"/>
        </w:rPr>
        <w:t xml:space="preserve"> </w:t>
      </w:r>
      <w:r>
        <w:rPr>
          <w:sz w:val="18"/>
        </w:rPr>
        <w:t>For the purposes of this study, a</w:t>
      </w:r>
      <w:r w:rsidRPr="00941EE0">
        <w:rPr>
          <w:sz w:val="18"/>
        </w:rPr>
        <w:t xml:space="preserve"> “candidate” is a participant enrolled in a teacher preparation program (who is a candidate to become a professional teacher upon completion).</w:t>
      </w:r>
      <w:r>
        <w:rPr>
          <w:sz w:val="18"/>
        </w:rPr>
        <w:t xml:space="preserve">  Count is based on 2011 Title II reports of the number of “prepared” teachers in the Central Region; a</w:t>
      </w:r>
      <w:r w:rsidRPr="001805E2">
        <w:rPr>
          <w:sz w:val="18"/>
        </w:rPr>
        <w:t xml:space="preserve">vailable here:  </w:t>
      </w:r>
      <w:r w:rsidRPr="00EE2FAE">
        <w:rPr>
          <w:sz w:val="18"/>
        </w:rPr>
        <w:t>https://title2.ed.gov/Title2STRC/ChooseState.aspx?Type=Map&amp;Year=2011</w:t>
      </w:r>
      <w:r>
        <w:rPr>
          <w:sz w:val="18"/>
        </w:rPr>
        <w:t>.</w:t>
      </w:r>
    </w:p>
  </w:footnote>
  <w:footnote w:id="4">
    <w:p w14:paraId="7C1AA23E" w14:textId="77777777" w:rsidR="00A94F54" w:rsidRPr="00E74BF6" w:rsidRDefault="00A94F54" w:rsidP="00F30A09">
      <w:pPr>
        <w:pStyle w:val="FootnoteText"/>
        <w:spacing w:before="0" w:after="0" w:line="240" w:lineRule="auto"/>
        <w:rPr>
          <w:sz w:val="18"/>
        </w:rPr>
      </w:pPr>
      <w:r w:rsidRPr="00E74BF6">
        <w:rPr>
          <w:rStyle w:val="FootnoteReference"/>
          <w:sz w:val="18"/>
        </w:rPr>
        <w:footnoteRef/>
      </w:r>
      <w:r w:rsidRPr="00E74BF6">
        <w:rPr>
          <w:sz w:val="18"/>
        </w:rPr>
        <w:t xml:space="preserve"> For the purposes of this proposal, “clinical practice” is defined to correspond with the National Council for the Accreditation of Teacher Education (NCATE, 2008) definition, including the following two primary elements: (1) student teaching (or internships) that provide candidates with an intensive and extensive culminating activity, immerse candidates in the learning community, and provide opportunities to develop and demonstrate competence in the professional roles for which they are preparing; and (2) </w:t>
      </w:r>
      <w:r w:rsidRPr="00D95E3F">
        <w:rPr>
          <w:sz w:val="18"/>
        </w:rPr>
        <w:t>field experiences</w:t>
      </w:r>
      <w:r w:rsidRPr="00E74BF6">
        <w:rPr>
          <w:sz w:val="18"/>
        </w:rPr>
        <w:t xml:space="preserve"> that include various early and ongoing field-based opportunities in which candidates may observe, assist, tutor, instruct, and/or conduct research.</w:t>
      </w:r>
    </w:p>
  </w:footnote>
  <w:footnote w:id="5">
    <w:p w14:paraId="24CF142B" w14:textId="77777777" w:rsidR="00A94F54" w:rsidRPr="005B111D" w:rsidRDefault="00A94F54" w:rsidP="00673375">
      <w:pPr>
        <w:pStyle w:val="FootnoteText"/>
        <w:rPr>
          <w:sz w:val="18"/>
        </w:rPr>
      </w:pPr>
      <w:r w:rsidRPr="005B111D">
        <w:rPr>
          <w:rStyle w:val="FootnoteReference"/>
          <w:sz w:val="18"/>
        </w:rPr>
        <w:footnoteRef/>
      </w:r>
      <w:r w:rsidRPr="005B111D">
        <w:rPr>
          <w:sz w:val="18"/>
        </w:rPr>
        <w:t xml:space="preserve"> To comply with MO DESE data sharing requirements unique teacher identifiers will be generated for REL C</w:t>
      </w:r>
      <w:r>
        <w:rPr>
          <w:sz w:val="18"/>
        </w:rPr>
        <w:t>entral</w:t>
      </w:r>
      <w:r w:rsidRPr="005B111D">
        <w:rPr>
          <w:sz w:val="18"/>
        </w:rPr>
        <w:t xml:space="preserve">, which </w:t>
      </w:r>
      <w:proofErr w:type="gramStart"/>
      <w:r w:rsidRPr="005B111D">
        <w:rPr>
          <w:sz w:val="18"/>
        </w:rPr>
        <w:t>are</w:t>
      </w:r>
      <w:proofErr w:type="gramEnd"/>
      <w:r w:rsidRPr="005B111D">
        <w:rPr>
          <w:sz w:val="18"/>
        </w:rPr>
        <w:t xml:space="preserve"> linked to state teacher identifiers in a data file maintained by MO DESE.</w:t>
      </w:r>
    </w:p>
  </w:footnote>
  <w:footnote w:id="6">
    <w:p w14:paraId="374581F9" w14:textId="77777777" w:rsidR="00A94F54" w:rsidRPr="000453F2" w:rsidRDefault="00A94F54" w:rsidP="00673375">
      <w:pPr>
        <w:pStyle w:val="FootnoteText"/>
        <w:rPr>
          <w:sz w:val="18"/>
          <w:szCs w:val="18"/>
        </w:rPr>
      </w:pPr>
      <w:r w:rsidRPr="000453F2">
        <w:rPr>
          <w:rStyle w:val="FootnoteReference"/>
          <w:sz w:val="18"/>
          <w:szCs w:val="18"/>
        </w:rPr>
        <w:footnoteRef/>
      </w:r>
      <w:r w:rsidRPr="000453F2">
        <w:rPr>
          <w:sz w:val="18"/>
          <w:szCs w:val="18"/>
        </w:rPr>
        <w:t xml:space="preserve"> These latter </w:t>
      </w:r>
      <w:r>
        <w:rPr>
          <w:sz w:val="18"/>
          <w:szCs w:val="18"/>
        </w:rPr>
        <w:t>five</w:t>
      </w:r>
      <w:r w:rsidRPr="000453F2">
        <w:rPr>
          <w:sz w:val="18"/>
          <w:szCs w:val="18"/>
        </w:rPr>
        <w:t xml:space="preserve"> variables will be used to assess survey nonresponse bias (</w:t>
      </w:r>
      <w:r>
        <w:rPr>
          <w:sz w:val="18"/>
          <w:szCs w:val="18"/>
        </w:rPr>
        <w:t>that is</w:t>
      </w:r>
      <w:r w:rsidRPr="000453F2">
        <w:rPr>
          <w:sz w:val="18"/>
          <w:szCs w:val="18"/>
        </w:rPr>
        <w:t>, to see the extent to which survey respondents represent the sampled population in terms of preparation program, teaching certifications, gender, and race/ethnicity).</w:t>
      </w:r>
    </w:p>
  </w:footnote>
  <w:footnote w:id="7">
    <w:p w14:paraId="00980AD2" w14:textId="77777777" w:rsidR="00A94F54" w:rsidRPr="00353088" w:rsidRDefault="00A94F54" w:rsidP="00673375">
      <w:pPr>
        <w:pStyle w:val="FootnoteText"/>
        <w:rPr>
          <w:sz w:val="18"/>
          <w:szCs w:val="18"/>
        </w:rPr>
      </w:pPr>
      <w:r w:rsidRPr="00353088">
        <w:rPr>
          <w:rStyle w:val="FootnoteReference"/>
          <w:sz w:val="18"/>
          <w:szCs w:val="18"/>
        </w:rPr>
        <w:footnoteRef/>
      </w:r>
      <w:r w:rsidRPr="00353088">
        <w:rPr>
          <w:sz w:val="18"/>
          <w:szCs w:val="18"/>
        </w:rPr>
        <w:t xml:space="preserve"> </w:t>
      </w:r>
      <w:r>
        <w:rPr>
          <w:sz w:val="18"/>
          <w:szCs w:val="18"/>
        </w:rPr>
        <w:t>If</w:t>
      </w:r>
      <w:r w:rsidRPr="00353088">
        <w:rPr>
          <w:sz w:val="18"/>
          <w:szCs w:val="18"/>
        </w:rPr>
        <w:t xml:space="preserve"> email addresses are not available, the study team will communicate with </w:t>
      </w:r>
      <w:r>
        <w:rPr>
          <w:sz w:val="18"/>
          <w:szCs w:val="18"/>
        </w:rPr>
        <w:t xml:space="preserve">respondents </w:t>
      </w:r>
      <w:r w:rsidRPr="00353088">
        <w:rPr>
          <w:sz w:val="18"/>
          <w:szCs w:val="18"/>
        </w:rPr>
        <w:t>via U.S. Postal Service</w:t>
      </w:r>
      <w:r>
        <w:rPr>
          <w:sz w:val="18"/>
          <w:szCs w:val="18"/>
        </w:rPr>
        <w:t xml:space="preserve"> mail sent to their school address. MO DESE indicated that email address information is typically missing for up to 5% of first-year teachers and that physical address information is available for all teachers in the sample. Follow-up data collection will be conducted via USPS for individuals who do not respond to two email requests.</w:t>
      </w:r>
    </w:p>
  </w:footnote>
  <w:footnote w:id="8">
    <w:p w14:paraId="3736D469" w14:textId="14D0BE25" w:rsidR="00A94F54" w:rsidRDefault="00A94F54">
      <w:pPr>
        <w:pStyle w:val="FootnoteText"/>
      </w:pPr>
      <w:r>
        <w:rPr>
          <w:rStyle w:val="FootnoteReference"/>
        </w:rPr>
        <w:footnoteRef/>
      </w:r>
      <w:r>
        <w:t xml:space="preserve"> </w:t>
      </w:r>
      <w:r w:rsidRPr="006D28CB">
        <w:t>REL Central will include descriptive information about study participants (</w:t>
      </w:r>
      <w:r w:rsidR="0062184F">
        <w:t xml:space="preserve">such as </w:t>
      </w:r>
      <w:r w:rsidRPr="006D28CB">
        <w:t>gender</w:t>
      </w:r>
      <w:r w:rsidR="0062184F">
        <w:t xml:space="preserve"> and</w:t>
      </w:r>
      <w:r w:rsidRPr="006D28CB">
        <w:t xml:space="preserve"> certification</w:t>
      </w:r>
      <w:r>
        <w:t xml:space="preserve"> type</w:t>
      </w:r>
      <w:r w:rsidRPr="006D28CB">
        <w:t>) in the public use data file to the extent possible, ensuring compliance with state of Missouri requirements and disclosure avoidance techniques recommended by the U.S. Department of Education’s Privacy Technical Assistance Center</w:t>
      </w:r>
      <w:r w:rsidR="0062184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F4751" w14:textId="77777777" w:rsidR="00A94F54" w:rsidRDefault="00A94F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FB5B2" w14:textId="77777777" w:rsidR="00A94F54" w:rsidRDefault="00A94F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E558" w14:textId="77777777" w:rsidR="00A94F54" w:rsidRDefault="00A94F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0F3"/>
    <w:multiLevelType w:val="hybridMultilevel"/>
    <w:tmpl w:val="8A288AFC"/>
    <w:lvl w:ilvl="0" w:tplc="660AE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A0BD4"/>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80132E0"/>
    <w:multiLevelType w:val="hybridMultilevel"/>
    <w:tmpl w:val="EC12104A"/>
    <w:lvl w:ilvl="0" w:tplc="DA4076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917E80"/>
    <w:multiLevelType w:val="hybridMultilevel"/>
    <w:tmpl w:val="72E0654E"/>
    <w:lvl w:ilvl="0" w:tplc="9C98E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A7B32"/>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FC41553"/>
    <w:multiLevelType w:val="hybridMultilevel"/>
    <w:tmpl w:val="912253EE"/>
    <w:lvl w:ilvl="0" w:tplc="34A02D5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3A96EFD"/>
    <w:multiLevelType w:val="hybridMultilevel"/>
    <w:tmpl w:val="41084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41BB3"/>
    <w:multiLevelType w:val="hybridMultilevel"/>
    <w:tmpl w:val="B2C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CC4CEF"/>
    <w:multiLevelType w:val="hybridMultilevel"/>
    <w:tmpl w:val="899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DD2FB9"/>
    <w:multiLevelType w:val="hybridMultilevel"/>
    <w:tmpl w:val="5C9EA34C"/>
    <w:lvl w:ilvl="0" w:tplc="18480336">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23A5F6E"/>
    <w:multiLevelType w:val="hybridMultilevel"/>
    <w:tmpl w:val="3AD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5A1016"/>
    <w:multiLevelType w:val="hybridMultilevel"/>
    <w:tmpl w:val="BE86C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F86F89"/>
    <w:multiLevelType w:val="hybridMultilevel"/>
    <w:tmpl w:val="D0BE9D9E"/>
    <w:lvl w:ilvl="0" w:tplc="22161EC2">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7"/>
  </w:num>
  <w:num w:numId="4">
    <w:abstractNumId w:val="0"/>
  </w:num>
  <w:num w:numId="5">
    <w:abstractNumId w:val="10"/>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trackRevisions/>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6E"/>
    <w:rsid w:val="00005C7E"/>
    <w:rsid w:val="00025A53"/>
    <w:rsid w:val="000275CE"/>
    <w:rsid w:val="00033546"/>
    <w:rsid w:val="000355C8"/>
    <w:rsid w:val="000376E1"/>
    <w:rsid w:val="000439FD"/>
    <w:rsid w:val="00054481"/>
    <w:rsid w:val="0006529E"/>
    <w:rsid w:val="0006588C"/>
    <w:rsid w:val="00067E1B"/>
    <w:rsid w:val="00072AE8"/>
    <w:rsid w:val="00077304"/>
    <w:rsid w:val="000848FC"/>
    <w:rsid w:val="00084ACF"/>
    <w:rsid w:val="000941C6"/>
    <w:rsid w:val="000A6EDF"/>
    <w:rsid w:val="000B409A"/>
    <w:rsid w:val="000C184C"/>
    <w:rsid w:val="000C3B7F"/>
    <w:rsid w:val="000D2E99"/>
    <w:rsid w:val="000D5C17"/>
    <w:rsid w:val="000E7F92"/>
    <w:rsid w:val="000F0538"/>
    <w:rsid w:val="000F1E19"/>
    <w:rsid w:val="001054DA"/>
    <w:rsid w:val="00113AC7"/>
    <w:rsid w:val="00116A68"/>
    <w:rsid w:val="00125A03"/>
    <w:rsid w:val="00126220"/>
    <w:rsid w:val="00130D74"/>
    <w:rsid w:val="001321DD"/>
    <w:rsid w:val="00136CC4"/>
    <w:rsid w:val="0015097C"/>
    <w:rsid w:val="00151DCC"/>
    <w:rsid w:val="0017270A"/>
    <w:rsid w:val="001917FB"/>
    <w:rsid w:val="001A1F57"/>
    <w:rsid w:val="001A5F29"/>
    <w:rsid w:val="001B5518"/>
    <w:rsid w:val="001C7E2C"/>
    <w:rsid w:val="001E18A8"/>
    <w:rsid w:val="001E719C"/>
    <w:rsid w:val="001F421D"/>
    <w:rsid w:val="001F4B5C"/>
    <w:rsid w:val="00201B57"/>
    <w:rsid w:val="00212FEB"/>
    <w:rsid w:val="00240C99"/>
    <w:rsid w:val="00256123"/>
    <w:rsid w:val="00256B19"/>
    <w:rsid w:val="00262B76"/>
    <w:rsid w:val="002644F9"/>
    <w:rsid w:val="0027251C"/>
    <w:rsid w:val="0028210F"/>
    <w:rsid w:val="00292496"/>
    <w:rsid w:val="00292941"/>
    <w:rsid w:val="002933AA"/>
    <w:rsid w:val="002A3452"/>
    <w:rsid w:val="002A3B39"/>
    <w:rsid w:val="002A716E"/>
    <w:rsid w:val="002C3F66"/>
    <w:rsid w:val="002C648A"/>
    <w:rsid w:val="002D27A5"/>
    <w:rsid w:val="002F2083"/>
    <w:rsid w:val="00303C41"/>
    <w:rsid w:val="003042D9"/>
    <w:rsid w:val="00310FDA"/>
    <w:rsid w:val="00314003"/>
    <w:rsid w:val="003170A3"/>
    <w:rsid w:val="0032578E"/>
    <w:rsid w:val="0035187D"/>
    <w:rsid w:val="0036173A"/>
    <w:rsid w:val="0037059A"/>
    <w:rsid w:val="003722F1"/>
    <w:rsid w:val="00373CDD"/>
    <w:rsid w:val="003853DF"/>
    <w:rsid w:val="00387E94"/>
    <w:rsid w:val="003A0E0C"/>
    <w:rsid w:val="003A3C53"/>
    <w:rsid w:val="003B0E8D"/>
    <w:rsid w:val="003C38BF"/>
    <w:rsid w:val="003D431F"/>
    <w:rsid w:val="003E30EE"/>
    <w:rsid w:val="003E7883"/>
    <w:rsid w:val="004003E3"/>
    <w:rsid w:val="0040112E"/>
    <w:rsid w:val="004171D8"/>
    <w:rsid w:val="0042457C"/>
    <w:rsid w:val="00426125"/>
    <w:rsid w:val="00431501"/>
    <w:rsid w:val="00436635"/>
    <w:rsid w:val="00456BFC"/>
    <w:rsid w:val="00463B55"/>
    <w:rsid w:val="004649C4"/>
    <w:rsid w:val="00476595"/>
    <w:rsid w:val="004769E0"/>
    <w:rsid w:val="00477BB1"/>
    <w:rsid w:val="00485898"/>
    <w:rsid w:val="00497590"/>
    <w:rsid w:val="004A16A0"/>
    <w:rsid w:val="004A548D"/>
    <w:rsid w:val="004B68F4"/>
    <w:rsid w:val="004B7BE8"/>
    <w:rsid w:val="004C7C81"/>
    <w:rsid w:val="004C7E1D"/>
    <w:rsid w:val="004D02C0"/>
    <w:rsid w:val="004D10A8"/>
    <w:rsid w:val="004D6EF9"/>
    <w:rsid w:val="004D73E3"/>
    <w:rsid w:val="004E10B2"/>
    <w:rsid w:val="004E2D2B"/>
    <w:rsid w:val="004F0667"/>
    <w:rsid w:val="005023F2"/>
    <w:rsid w:val="00502904"/>
    <w:rsid w:val="00503929"/>
    <w:rsid w:val="00507763"/>
    <w:rsid w:val="00511735"/>
    <w:rsid w:val="005203CD"/>
    <w:rsid w:val="0052679B"/>
    <w:rsid w:val="0054235A"/>
    <w:rsid w:val="0054396E"/>
    <w:rsid w:val="005508C5"/>
    <w:rsid w:val="005521B2"/>
    <w:rsid w:val="0055515C"/>
    <w:rsid w:val="00555201"/>
    <w:rsid w:val="0055656D"/>
    <w:rsid w:val="00563535"/>
    <w:rsid w:val="00567F2C"/>
    <w:rsid w:val="00583154"/>
    <w:rsid w:val="00591864"/>
    <w:rsid w:val="00597080"/>
    <w:rsid w:val="00605B2B"/>
    <w:rsid w:val="006104B4"/>
    <w:rsid w:val="006144F9"/>
    <w:rsid w:val="0062184F"/>
    <w:rsid w:val="006348F4"/>
    <w:rsid w:val="00640BBD"/>
    <w:rsid w:val="00643769"/>
    <w:rsid w:val="00646332"/>
    <w:rsid w:val="00650BC9"/>
    <w:rsid w:val="006572B8"/>
    <w:rsid w:val="00657A48"/>
    <w:rsid w:val="006710B0"/>
    <w:rsid w:val="006732DE"/>
    <w:rsid w:val="00673375"/>
    <w:rsid w:val="00673892"/>
    <w:rsid w:val="00681D63"/>
    <w:rsid w:val="0068683F"/>
    <w:rsid w:val="00691066"/>
    <w:rsid w:val="00692F2F"/>
    <w:rsid w:val="00693480"/>
    <w:rsid w:val="006A5B54"/>
    <w:rsid w:val="006B7FA6"/>
    <w:rsid w:val="006C080F"/>
    <w:rsid w:val="006C49C8"/>
    <w:rsid w:val="006C61DF"/>
    <w:rsid w:val="006D28CB"/>
    <w:rsid w:val="006D4D53"/>
    <w:rsid w:val="006D792F"/>
    <w:rsid w:val="006E1943"/>
    <w:rsid w:val="006E3F1C"/>
    <w:rsid w:val="006E5216"/>
    <w:rsid w:val="006E6C16"/>
    <w:rsid w:val="006F5DF7"/>
    <w:rsid w:val="0070027D"/>
    <w:rsid w:val="00700CEA"/>
    <w:rsid w:val="00704434"/>
    <w:rsid w:val="007045D4"/>
    <w:rsid w:val="00710BEC"/>
    <w:rsid w:val="00717258"/>
    <w:rsid w:val="00726089"/>
    <w:rsid w:val="00732051"/>
    <w:rsid w:val="00735274"/>
    <w:rsid w:val="007373F4"/>
    <w:rsid w:val="00740E09"/>
    <w:rsid w:val="00744F0D"/>
    <w:rsid w:val="00765935"/>
    <w:rsid w:val="007659F8"/>
    <w:rsid w:val="00767995"/>
    <w:rsid w:val="00774148"/>
    <w:rsid w:val="0077419B"/>
    <w:rsid w:val="0077589F"/>
    <w:rsid w:val="00775AC4"/>
    <w:rsid w:val="00775C09"/>
    <w:rsid w:val="00780080"/>
    <w:rsid w:val="007A3E8C"/>
    <w:rsid w:val="007B3FE4"/>
    <w:rsid w:val="007B69AF"/>
    <w:rsid w:val="007C60EC"/>
    <w:rsid w:val="007C68FD"/>
    <w:rsid w:val="007C764F"/>
    <w:rsid w:val="007D1FCF"/>
    <w:rsid w:val="007D2125"/>
    <w:rsid w:val="007E1738"/>
    <w:rsid w:val="007E1DE8"/>
    <w:rsid w:val="007E4382"/>
    <w:rsid w:val="007F2E1C"/>
    <w:rsid w:val="007F4194"/>
    <w:rsid w:val="008037FA"/>
    <w:rsid w:val="00803FD3"/>
    <w:rsid w:val="00812336"/>
    <w:rsid w:val="00813A34"/>
    <w:rsid w:val="008147CE"/>
    <w:rsid w:val="00823DCF"/>
    <w:rsid w:val="00823EBB"/>
    <w:rsid w:val="00863315"/>
    <w:rsid w:val="00870DE1"/>
    <w:rsid w:val="00884AB0"/>
    <w:rsid w:val="008911A6"/>
    <w:rsid w:val="008A12CC"/>
    <w:rsid w:val="008A7FBC"/>
    <w:rsid w:val="008B1930"/>
    <w:rsid w:val="008B3CBE"/>
    <w:rsid w:val="008C1B47"/>
    <w:rsid w:val="008C4578"/>
    <w:rsid w:val="008D5C15"/>
    <w:rsid w:val="008D72AB"/>
    <w:rsid w:val="008E0C95"/>
    <w:rsid w:val="008E2269"/>
    <w:rsid w:val="008F434C"/>
    <w:rsid w:val="00911D2E"/>
    <w:rsid w:val="009257AB"/>
    <w:rsid w:val="0093705C"/>
    <w:rsid w:val="0095463E"/>
    <w:rsid w:val="00967A34"/>
    <w:rsid w:val="00981100"/>
    <w:rsid w:val="009936C3"/>
    <w:rsid w:val="009A0B5E"/>
    <w:rsid w:val="009A4B12"/>
    <w:rsid w:val="009B6302"/>
    <w:rsid w:val="009C10BC"/>
    <w:rsid w:val="009C751C"/>
    <w:rsid w:val="009D0084"/>
    <w:rsid w:val="009D6FA0"/>
    <w:rsid w:val="009F2190"/>
    <w:rsid w:val="009F7E4F"/>
    <w:rsid w:val="00A11B52"/>
    <w:rsid w:val="00A16CC4"/>
    <w:rsid w:val="00A35C2C"/>
    <w:rsid w:val="00A40D40"/>
    <w:rsid w:val="00A52164"/>
    <w:rsid w:val="00A54230"/>
    <w:rsid w:val="00A60AD2"/>
    <w:rsid w:val="00A71459"/>
    <w:rsid w:val="00A94F54"/>
    <w:rsid w:val="00A952C3"/>
    <w:rsid w:val="00A95C0C"/>
    <w:rsid w:val="00AA33CD"/>
    <w:rsid w:val="00AA354F"/>
    <w:rsid w:val="00AA776E"/>
    <w:rsid w:val="00AB45C6"/>
    <w:rsid w:val="00AB47EE"/>
    <w:rsid w:val="00AB7D4F"/>
    <w:rsid w:val="00AC04C0"/>
    <w:rsid w:val="00AC05A8"/>
    <w:rsid w:val="00AE4514"/>
    <w:rsid w:val="00AF54B4"/>
    <w:rsid w:val="00AF74A2"/>
    <w:rsid w:val="00B011C9"/>
    <w:rsid w:val="00B029B8"/>
    <w:rsid w:val="00B0306C"/>
    <w:rsid w:val="00B15309"/>
    <w:rsid w:val="00B21E1F"/>
    <w:rsid w:val="00B24F13"/>
    <w:rsid w:val="00B30155"/>
    <w:rsid w:val="00B311E0"/>
    <w:rsid w:val="00B3251B"/>
    <w:rsid w:val="00B4088A"/>
    <w:rsid w:val="00B522CD"/>
    <w:rsid w:val="00B534DA"/>
    <w:rsid w:val="00B542DA"/>
    <w:rsid w:val="00B57CBF"/>
    <w:rsid w:val="00B62C69"/>
    <w:rsid w:val="00B902CC"/>
    <w:rsid w:val="00B92F0F"/>
    <w:rsid w:val="00B93776"/>
    <w:rsid w:val="00BA58E2"/>
    <w:rsid w:val="00BB30A9"/>
    <w:rsid w:val="00BC4F5C"/>
    <w:rsid w:val="00BC68B3"/>
    <w:rsid w:val="00BE1E84"/>
    <w:rsid w:val="00C04961"/>
    <w:rsid w:val="00C122C7"/>
    <w:rsid w:val="00C14740"/>
    <w:rsid w:val="00C200B6"/>
    <w:rsid w:val="00C21678"/>
    <w:rsid w:val="00C2371A"/>
    <w:rsid w:val="00C264B4"/>
    <w:rsid w:val="00C27F18"/>
    <w:rsid w:val="00C3386F"/>
    <w:rsid w:val="00C3589C"/>
    <w:rsid w:val="00C53600"/>
    <w:rsid w:val="00C54F2D"/>
    <w:rsid w:val="00C61F83"/>
    <w:rsid w:val="00C62566"/>
    <w:rsid w:val="00C72495"/>
    <w:rsid w:val="00C7390C"/>
    <w:rsid w:val="00C74CFE"/>
    <w:rsid w:val="00C77139"/>
    <w:rsid w:val="00C812A7"/>
    <w:rsid w:val="00C8790F"/>
    <w:rsid w:val="00C92D3C"/>
    <w:rsid w:val="00C965DC"/>
    <w:rsid w:val="00CA0B56"/>
    <w:rsid w:val="00CA49FE"/>
    <w:rsid w:val="00CA6142"/>
    <w:rsid w:val="00CA621A"/>
    <w:rsid w:val="00CA6264"/>
    <w:rsid w:val="00CB1126"/>
    <w:rsid w:val="00CB1D1C"/>
    <w:rsid w:val="00CB50A0"/>
    <w:rsid w:val="00CC3741"/>
    <w:rsid w:val="00CC480C"/>
    <w:rsid w:val="00CD1F76"/>
    <w:rsid w:val="00CD3014"/>
    <w:rsid w:val="00CD5C48"/>
    <w:rsid w:val="00CE696F"/>
    <w:rsid w:val="00CE795F"/>
    <w:rsid w:val="00CE7E67"/>
    <w:rsid w:val="00CF03AC"/>
    <w:rsid w:val="00CF4D0E"/>
    <w:rsid w:val="00D058C7"/>
    <w:rsid w:val="00D10F0D"/>
    <w:rsid w:val="00D137A5"/>
    <w:rsid w:val="00D30ED2"/>
    <w:rsid w:val="00D3322F"/>
    <w:rsid w:val="00D3439B"/>
    <w:rsid w:val="00D43ADB"/>
    <w:rsid w:val="00D441FD"/>
    <w:rsid w:val="00D57755"/>
    <w:rsid w:val="00D60CE2"/>
    <w:rsid w:val="00D720BC"/>
    <w:rsid w:val="00D746F0"/>
    <w:rsid w:val="00D82EAF"/>
    <w:rsid w:val="00D91387"/>
    <w:rsid w:val="00D91F1C"/>
    <w:rsid w:val="00D92859"/>
    <w:rsid w:val="00D92CF3"/>
    <w:rsid w:val="00D95E3F"/>
    <w:rsid w:val="00D97125"/>
    <w:rsid w:val="00D976CF"/>
    <w:rsid w:val="00DC34AE"/>
    <w:rsid w:val="00DC37BB"/>
    <w:rsid w:val="00DC7345"/>
    <w:rsid w:val="00DE3315"/>
    <w:rsid w:val="00E0425E"/>
    <w:rsid w:val="00E26064"/>
    <w:rsid w:val="00E314B0"/>
    <w:rsid w:val="00E31B32"/>
    <w:rsid w:val="00E33C8D"/>
    <w:rsid w:val="00E410DC"/>
    <w:rsid w:val="00E41136"/>
    <w:rsid w:val="00E52688"/>
    <w:rsid w:val="00E53E06"/>
    <w:rsid w:val="00E66D6E"/>
    <w:rsid w:val="00E70779"/>
    <w:rsid w:val="00E74BF6"/>
    <w:rsid w:val="00E80FC5"/>
    <w:rsid w:val="00E91D8D"/>
    <w:rsid w:val="00E96521"/>
    <w:rsid w:val="00EA4E69"/>
    <w:rsid w:val="00EB3CD9"/>
    <w:rsid w:val="00EC67ED"/>
    <w:rsid w:val="00ED3903"/>
    <w:rsid w:val="00EE2A66"/>
    <w:rsid w:val="00EE7064"/>
    <w:rsid w:val="00EF2F3B"/>
    <w:rsid w:val="00F11CB6"/>
    <w:rsid w:val="00F11F58"/>
    <w:rsid w:val="00F121F1"/>
    <w:rsid w:val="00F1651A"/>
    <w:rsid w:val="00F16C7D"/>
    <w:rsid w:val="00F23EDB"/>
    <w:rsid w:val="00F24CA5"/>
    <w:rsid w:val="00F30A09"/>
    <w:rsid w:val="00F33A9D"/>
    <w:rsid w:val="00F35DF8"/>
    <w:rsid w:val="00F4116C"/>
    <w:rsid w:val="00F41E8E"/>
    <w:rsid w:val="00F46263"/>
    <w:rsid w:val="00F52C33"/>
    <w:rsid w:val="00F530F8"/>
    <w:rsid w:val="00F56DC7"/>
    <w:rsid w:val="00F57B07"/>
    <w:rsid w:val="00F67666"/>
    <w:rsid w:val="00F73ADC"/>
    <w:rsid w:val="00F80A4A"/>
    <w:rsid w:val="00F87B36"/>
    <w:rsid w:val="00F90646"/>
    <w:rsid w:val="00F94553"/>
    <w:rsid w:val="00F96A68"/>
    <w:rsid w:val="00FA2405"/>
    <w:rsid w:val="00FA2D21"/>
    <w:rsid w:val="00FB5224"/>
    <w:rsid w:val="00FC27AC"/>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3B35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2644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F1651A"/>
    <w:pPr>
      <w:tabs>
        <w:tab w:val="right" w:leader="dot" w:pos="9350"/>
      </w:tabs>
      <w:spacing w:after="100"/>
      <w:ind w:left="220"/>
    </w:pPr>
    <w:rPr>
      <w:rFonts w:cstheme="minorHAnsi"/>
      <w:noProof/>
    </w:r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644F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48"/>
  </w:style>
  <w:style w:type="paragraph" w:styleId="Footer">
    <w:name w:val="footer"/>
    <w:basedOn w:val="Normal"/>
    <w:link w:val="FooterChar"/>
    <w:uiPriority w:val="99"/>
    <w:unhideWhenUsed/>
    <w:rsid w:val="00CD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48"/>
  </w:style>
  <w:style w:type="paragraph" w:styleId="Revision">
    <w:name w:val="Revision"/>
    <w:hidden/>
    <w:uiPriority w:val="99"/>
    <w:semiHidden/>
    <w:rsid w:val="00D97125"/>
    <w:pPr>
      <w:spacing w:after="0" w:line="240" w:lineRule="auto"/>
    </w:pPr>
  </w:style>
  <w:style w:type="character" w:styleId="FollowedHyperlink">
    <w:name w:val="FollowedHyperlink"/>
    <w:basedOn w:val="DefaultParagraphFont"/>
    <w:uiPriority w:val="99"/>
    <w:semiHidden/>
    <w:unhideWhenUsed/>
    <w:rsid w:val="00DE3315"/>
    <w:rPr>
      <w:color w:val="800080" w:themeColor="followedHyperlink"/>
      <w:u w:val="single"/>
    </w:rPr>
  </w:style>
  <w:style w:type="paragraph" w:customStyle="1" w:styleId="NormalSS">
    <w:name w:val="NormalSS"/>
    <w:basedOn w:val="Normal"/>
    <w:link w:val="NormalSSChar"/>
    <w:qFormat/>
    <w:rsid w:val="00201B57"/>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TableGrid1">
    <w:name w:val="Table Grid1"/>
    <w:basedOn w:val="TableNormal"/>
    <w:uiPriority w:val="59"/>
    <w:rsid w:val="00201B57"/>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SChar">
    <w:name w:val="NormalSS Char"/>
    <w:link w:val="NormalSS"/>
    <w:locked/>
    <w:rsid w:val="00201B57"/>
    <w:rPr>
      <w:rFonts w:ascii="Garamond" w:eastAsia="Times New Roman" w:hAnsi="Garamond" w:cs="Times New Roman"/>
      <w:sz w:val="24"/>
      <w:szCs w:val="24"/>
    </w:rPr>
  </w:style>
  <w:style w:type="paragraph" w:customStyle="1" w:styleId="BodyDoubleSpacedMainText">
    <w:name w:val="Body Double Spaced Main Text"/>
    <w:basedOn w:val="Normal"/>
    <w:qFormat/>
    <w:rsid w:val="00F30A09"/>
    <w:pPr>
      <w:spacing w:after="0" w:line="480" w:lineRule="auto"/>
      <w:ind w:firstLine="720"/>
    </w:pPr>
    <w:rPr>
      <w:rFonts w:ascii="Calibri" w:hAnsi="Calibri"/>
      <w:sz w:val="24"/>
      <w:szCs w:val="24"/>
    </w:rPr>
  </w:style>
  <w:style w:type="paragraph" w:customStyle="1" w:styleId="Text">
    <w:name w:val="Text"/>
    <w:basedOn w:val="Normal"/>
    <w:link w:val="TextChar"/>
    <w:qFormat/>
    <w:rsid w:val="0015097C"/>
    <w:pPr>
      <w:spacing w:after="240" w:line="240" w:lineRule="auto"/>
    </w:pPr>
    <w:rPr>
      <w:rFonts w:ascii="Goudy Old Style" w:eastAsiaTheme="minorEastAsia" w:hAnsi="Goudy Old Style" w:cs="Times New Roman"/>
      <w:sz w:val="24"/>
      <w:szCs w:val="24"/>
      <w:lang w:bidi="en-US"/>
    </w:rPr>
  </w:style>
  <w:style w:type="character" w:customStyle="1" w:styleId="TextChar">
    <w:name w:val="Text Char"/>
    <w:basedOn w:val="DefaultParagraphFont"/>
    <w:link w:val="Text"/>
    <w:rsid w:val="0015097C"/>
    <w:rPr>
      <w:rFonts w:ascii="Goudy Old Style" w:eastAsiaTheme="minorEastAsia" w:hAnsi="Goudy Old Style"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2644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F1651A"/>
    <w:pPr>
      <w:tabs>
        <w:tab w:val="right" w:leader="dot" w:pos="9350"/>
      </w:tabs>
      <w:spacing w:after="100"/>
      <w:ind w:left="220"/>
    </w:pPr>
    <w:rPr>
      <w:rFonts w:cstheme="minorHAnsi"/>
      <w:noProof/>
    </w:r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644F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48"/>
  </w:style>
  <w:style w:type="paragraph" w:styleId="Footer">
    <w:name w:val="footer"/>
    <w:basedOn w:val="Normal"/>
    <w:link w:val="FooterChar"/>
    <w:uiPriority w:val="99"/>
    <w:unhideWhenUsed/>
    <w:rsid w:val="00CD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48"/>
  </w:style>
  <w:style w:type="paragraph" w:styleId="Revision">
    <w:name w:val="Revision"/>
    <w:hidden/>
    <w:uiPriority w:val="99"/>
    <w:semiHidden/>
    <w:rsid w:val="00D97125"/>
    <w:pPr>
      <w:spacing w:after="0" w:line="240" w:lineRule="auto"/>
    </w:pPr>
  </w:style>
  <w:style w:type="character" w:styleId="FollowedHyperlink">
    <w:name w:val="FollowedHyperlink"/>
    <w:basedOn w:val="DefaultParagraphFont"/>
    <w:uiPriority w:val="99"/>
    <w:semiHidden/>
    <w:unhideWhenUsed/>
    <w:rsid w:val="00DE3315"/>
    <w:rPr>
      <w:color w:val="800080" w:themeColor="followedHyperlink"/>
      <w:u w:val="single"/>
    </w:rPr>
  </w:style>
  <w:style w:type="paragraph" w:customStyle="1" w:styleId="NormalSS">
    <w:name w:val="NormalSS"/>
    <w:basedOn w:val="Normal"/>
    <w:link w:val="NormalSSChar"/>
    <w:qFormat/>
    <w:rsid w:val="00201B57"/>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TableGrid1">
    <w:name w:val="Table Grid1"/>
    <w:basedOn w:val="TableNormal"/>
    <w:uiPriority w:val="59"/>
    <w:rsid w:val="00201B57"/>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SChar">
    <w:name w:val="NormalSS Char"/>
    <w:link w:val="NormalSS"/>
    <w:locked/>
    <w:rsid w:val="00201B57"/>
    <w:rPr>
      <w:rFonts w:ascii="Garamond" w:eastAsia="Times New Roman" w:hAnsi="Garamond" w:cs="Times New Roman"/>
      <w:sz w:val="24"/>
      <w:szCs w:val="24"/>
    </w:rPr>
  </w:style>
  <w:style w:type="paragraph" w:customStyle="1" w:styleId="BodyDoubleSpacedMainText">
    <w:name w:val="Body Double Spaced Main Text"/>
    <w:basedOn w:val="Normal"/>
    <w:qFormat/>
    <w:rsid w:val="00F30A09"/>
    <w:pPr>
      <w:spacing w:after="0" w:line="480" w:lineRule="auto"/>
      <w:ind w:firstLine="720"/>
    </w:pPr>
    <w:rPr>
      <w:rFonts w:ascii="Calibri" w:hAnsi="Calibri"/>
      <w:sz w:val="24"/>
      <w:szCs w:val="24"/>
    </w:rPr>
  </w:style>
  <w:style w:type="paragraph" w:customStyle="1" w:styleId="Text">
    <w:name w:val="Text"/>
    <w:basedOn w:val="Normal"/>
    <w:link w:val="TextChar"/>
    <w:qFormat/>
    <w:rsid w:val="0015097C"/>
    <w:pPr>
      <w:spacing w:after="240" w:line="240" w:lineRule="auto"/>
    </w:pPr>
    <w:rPr>
      <w:rFonts w:ascii="Goudy Old Style" w:eastAsiaTheme="minorEastAsia" w:hAnsi="Goudy Old Style" w:cs="Times New Roman"/>
      <w:sz w:val="24"/>
      <w:szCs w:val="24"/>
      <w:lang w:bidi="en-US"/>
    </w:rPr>
  </w:style>
  <w:style w:type="character" w:customStyle="1" w:styleId="TextChar">
    <w:name w:val="Text Char"/>
    <w:basedOn w:val="DefaultParagraphFont"/>
    <w:link w:val="Text"/>
    <w:rsid w:val="0015097C"/>
    <w:rPr>
      <w:rFonts w:ascii="Goudy Old Style" w:eastAsiaTheme="minorEastAsia" w:hAnsi="Goudy Old Style"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913">
      <w:bodyDiv w:val="1"/>
      <w:marLeft w:val="0"/>
      <w:marRight w:val="0"/>
      <w:marTop w:val="0"/>
      <w:marBottom w:val="0"/>
      <w:divBdr>
        <w:top w:val="none" w:sz="0" w:space="0" w:color="auto"/>
        <w:left w:val="none" w:sz="0" w:space="0" w:color="auto"/>
        <w:bottom w:val="none" w:sz="0" w:space="0" w:color="auto"/>
        <w:right w:val="none" w:sz="0" w:space="0" w:color="auto"/>
      </w:divBdr>
    </w:div>
    <w:div w:id="504981484">
      <w:bodyDiv w:val="1"/>
      <w:marLeft w:val="0"/>
      <w:marRight w:val="0"/>
      <w:marTop w:val="0"/>
      <w:marBottom w:val="0"/>
      <w:divBdr>
        <w:top w:val="none" w:sz="0" w:space="0" w:color="auto"/>
        <w:left w:val="none" w:sz="0" w:space="0" w:color="auto"/>
        <w:bottom w:val="none" w:sz="0" w:space="0" w:color="auto"/>
        <w:right w:val="none" w:sz="0" w:space="0" w:color="auto"/>
      </w:divBdr>
    </w:div>
    <w:div w:id="647823445">
      <w:bodyDiv w:val="1"/>
      <w:marLeft w:val="0"/>
      <w:marRight w:val="0"/>
      <w:marTop w:val="0"/>
      <w:marBottom w:val="0"/>
      <w:divBdr>
        <w:top w:val="none" w:sz="0" w:space="0" w:color="auto"/>
        <w:left w:val="none" w:sz="0" w:space="0" w:color="auto"/>
        <w:bottom w:val="none" w:sz="0" w:space="0" w:color="auto"/>
        <w:right w:val="none" w:sz="0" w:space="0" w:color="auto"/>
      </w:divBdr>
    </w:div>
    <w:div w:id="867260938">
      <w:bodyDiv w:val="1"/>
      <w:marLeft w:val="0"/>
      <w:marRight w:val="0"/>
      <w:marTop w:val="0"/>
      <w:marBottom w:val="0"/>
      <w:divBdr>
        <w:top w:val="none" w:sz="0" w:space="0" w:color="auto"/>
        <w:left w:val="none" w:sz="0" w:space="0" w:color="auto"/>
        <w:bottom w:val="none" w:sz="0" w:space="0" w:color="auto"/>
        <w:right w:val="none" w:sz="0" w:space="0" w:color="auto"/>
      </w:divBdr>
    </w:div>
    <w:div w:id="1306932496">
      <w:bodyDiv w:val="1"/>
      <w:marLeft w:val="0"/>
      <w:marRight w:val="0"/>
      <w:marTop w:val="0"/>
      <w:marBottom w:val="0"/>
      <w:divBdr>
        <w:top w:val="none" w:sz="0" w:space="0" w:color="auto"/>
        <w:left w:val="none" w:sz="0" w:space="0" w:color="auto"/>
        <w:bottom w:val="none" w:sz="0" w:space="0" w:color="auto"/>
        <w:right w:val="none" w:sz="0" w:space="0" w:color="auto"/>
      </w:divBdr>
    </w:div>
    <w:div w:id="1527131268">
      <w:bodyDiv w:val="1"/>
      <w:marLeft w:val="0"/>
      <w:marRight w:val="0"/>
      <w:marTop w:val="0"/>
      <w:marBottom w:val="0"/>
      <w:divBdr>
        <w:top w:val="none" w:sz="0" w:space="0" w:color="auto"/>
        <w:left w:val="none" w:sz="0" w:space="0" w:color="auto"/>
        <w:bottom w:val="none" w:sz="0" w:space="0" w:color="auto"/>
        <w:right w:val="none" w:sz="0" w:space="0" w:color="auto"/>
      </w:divBdr>
    </w:div>
    <w:div w:id="1635872431">
      <w:bodyDiv w:val="1"/>
      <w:marLeft w:val="0"/>
      <w:marRight w:val="0"/>
      <w:marTop w:val="0"/>
      <w:marBottom w:val="0"/>
      <w:divBdr>
        <w:top w:val="none" w:sz="0" w:space="0" w:color="auto"/>
        <w:left w:val="none" w:sz="0" w:space="0" w:color="auto"/>
        <w:bottom w:val="none" w:sz="0" w:space="0" w:color="auto"/>
        <w:right w:val="none" w:sz="0" w:space="0" w:color="auto"/>
      </w:divBdr>
    </w:div>
    <w:div w:id="1781609471">
      <w:bodyDiv w:val="1"/>
      <w:marLeft w:val="0"/>
      <w:marRight w:val="0"/>
      <w:marTop w:val="0"/>
      <w:marBottom w:val="0"/>
      <w:divBdr>
        <w:top w:val="none" w:sz="0" w:space="0" w:color="auto"/>
        <w:left w:val="none" w:sz="0" w:space="0" w:color="auto"/>
        <w:bottom w:val="none" w:sz="0" w:space="0" w:color="auto"/>
        <w:right w:val="none" w:sz="0" w:space="0" w:color="auto"/>
      </w:divBdr>
    </w:div>
    <w:div w:id="200258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knight@kcaerc.org"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75A706-ABBE-4A37-ADCA-9A446971D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2013-12-11T14:58:00Z</dcterms:created>
  <dcterms:modified xsi:type="dcterms:W3CDTF">2013-12-11T15:00:00Z</dcterms:modified>
</cp:coreProperties>
</file>