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72626458"/>
        <w:docPartObj>
          <w:docPartGallery w:val="Cover Pages"/>
          <w:docPartUnique/>
        </w:docPartObj>
      </w:sdtPr>
      <w:sdtEndPr>
        <w:rPr>
          <w:rStyle w:val="Heading1Char"/>
          <w:rFonts w:asciiTheme="majorHAnsi" w:eastAsiaTheme="majorEastAsia" w:hAnsiTheme="majorHAnsi" w:cstheme="majorBidi"/>
          <w:b/>
          <w:bCs/>
          <w:color w:val="365F91" w:themeColor="accent1" w:themeShade="BF"/>
          <w:sz w:val="28"/>
          <w:szCs w:val="28"/>
        </w:rPr>
      </w:sdtEndPr>
      <w:sdtContent>
        <w:tbl>
          <w:tblPr>
            <w:tblW w:w="5000" w:type="pct"/>
            <w:jc w:val="center"/>
            <w:tblLook w:val="04A0" w:firstRow="1" w:lastRow="0" w:firstColumn="1" w:lastColumn="0" w:noHBand="0" w:noVBand="1"/>
          </w:tblPr>
          <w:tblGrid>
            <w:gridCol w:w="9576"/>
          </w:tblGrid>
          <w:tr w:rsidR="001A1F57" w14:paraId="6C51B0A3" w14:textId="77777777">
            <w:trPr>
              <w:trHeight w:val="2880"/>
              <w:jc w:val="center"/>
            </w:trPr>
            <w:tc>
              <w:tcPr>
                <w:tcW w:w="5000" w:type="pct"/>
              </w:tcPr>
              <w:p w14:paraId="6C51B0A1" w14:textId="77777777" w:rsidR="001A1F57" w:rsidRDefault="00CF03AC" w:rsidP="00CF03AC">
                <w:pPr>
                  <w:spacing w:after="0" w:line="240" w:lineRule="auto"/>
                </w:pPr>
                <w:r>
                  <w:t>Contract</w:t>
                </w:r>
                <w:r w:rsidR="006D449C">
                  <w:t xml:space="preserve"> </w:t>
                </w:r>
                <w:r>
                  <w:t xml:space="preserve">No: </w:t>
                </w:r>
                <w:r w:rsidR="003722F1">
                  <w:rPr>
                    <w:sz w:val="20"/>
                    <w:szCs w:val="20"/>
                  </w:rPr>
                  <w:t>ED-IES-1</w:t>
                </w:r>
                <w:r w:rsidR="004B4558">
                  <w:rPr>
                    <w:sz w:val="20"/>
                    <w:szCs w:val="20"/>
                  </w:rPr>
                  <w:t>2</w:t>
                </w:r>
                <w:r w:rsidR="003722F1">
                  <w:rPr>
                    <w:sz w:val="20"/>
                    <w:szCs w:val="20"/>
                  </w:rPr>
                  <w:t>-</w:t>
                </w:r>
                <w:r w:rsidR="004B4558">
                  <w:rPr>
                    <w:sz w:val="20"/>
                    <w:szCs w:val="20"/>
                  </w:rPr>
                  <w:t>C</w:t>
                </w:r>
                <w:r w:rsidR="003722F1">
                  <w:rPr>
                    <w:sz w:val="20"/>
                    <w:szCs w:val="20"/>
                  </w:rPr>
                  <w:t>-</w:t>
                </w:r>
                <w:r w:rsidR="004B4558">
                  <w:rPr>
                    <w:sz w:val="20"/>
                    <w:szCs w:val="20"/>
                  </w:rPr>
                  <w:t>0007</w:t>
                </w:r>
                <w:r w:rsidR="003722F1">
                  <w:rPr>
                    <w:sz w:val="20"/>
                    <w:szCs w:val="20"/>
                  </w:rPr>
                  <w:t xml:space="preserve"> </w:t>
                </w:r>
                <w:r w:rsidR="00F23EDB">
                  <w:rPr>
                    <w:noProof/>
                  </w:rPr>
                  <w:drawing>
                    <wp:inline distT="0" distB="0" distL="0" distR="0" wp14:anchorId="6C51B15F" wp14:editId="6C51B160">
                      <wp:extent cx="2191419" cy="662609"/>
                      <wp:effectExtent l="0" t="0" r="0" b="4445"/>
                      <wp:docPr id="2" name="Picture 2" descr="C:\Users\tony.petrites\AppData\Local\Microsoft\Windows\Temporary Internet Files\Content.Word\logo-change-fon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y.petrites\AppData\Local\Microsoft\Windows\Temporary Internet Files\Content.Word\logo-change-font5.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3793"/>
                              <a:stretch/>
                            </pic:blipFill>
                            <pic:spPr bwMode="auto">
                              <a:xfrm>
                                <a:off x="0" y="0"/>
                                <a:ext cx="2190115" cy="662215"/>
                              </a:xfrm>
                              <a:prstGeom prst="rect">
                                <a:avLst/>
                              </a:prstGeom>
                              <a:noFill/>
                              <a:ln>
                                <a:noFill/>
                              </a:ln>
                              <a:extLst>
                                <a:ext uri="{53640926-AAD7-44D8-BBD7-CCE9431645EC}">
                                  <a14:shadowObscured xmlns:a14="http://schemas.microsoft.com/office/drawing/2010/main"/>
                                </a:ext>
                              </a:extLst>
                            </pic:spPr>
                          </pic:pic>
                        </a:graphicData>
                      </a:graphic>
                    </wp:inline>
                  </w:drawing>
                </w:r>
              </w:p>
              <w:p w14:paraId="6C51B0A2" w14:textId="77777777" w:rsidR="00CF03AC" w:rsidRDefault="00CF03AC" w:rsidP="002F478B">
                <w:pPr>
                  <w:spacing w:after="0" w:line="240" w:lineRule="auto"/>
                </w:pPr>
              </w:p>
            </w:tc>
          </w:tr>
          <w:tr w:rsidR="001A1F57" w14:paraId="6C51B0A5" w14:textId="77777777" w:rsidTr="00CF03AC">
            <w:trPr>
              <w:trHeight w:val="990"/>
              <w:jc w:val="center"/>
            </w:trPr>
            <w:sdt>
              <w:sdtPr>
                <w:rPr>
                  <w:rFonts w:asciiTheme="majorHAnsi" w:eastAsiaTheme="majorEastAsia" w:hAnsiTheme="majorHAnsi" w:cstheme="majorBidi"/>
                  <w:sz w:val="28"/>
                  <w:szCs w:val="28"/>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6C51B0A4" w14:textId="77777777" w:rsidR="001A1F57" w:rsidRDefault="00162405" w:rsidP="00402C32">
                    <w:pPr>
                      <w:pStyle w:val="NoSpacing"/>
                      <w:contextualSpacing/>
                      <w:jc w:val="center"/>
                      <w:rPr>
                        <w:rFonts w:asciiTheme="majorHAnsi" w:eastAsiaTheme="majorEastAsia" w:hAnsiTheme="majorHAnsi" w:cstheme="majorBidi"/>
                        <w:sz w:val="80"/>
                        <w:szCs w:val="80"/>
                      </w:rPr>
                    </w:pPr>
                    <w:r>
                      <w:rPr>
                        <w:rFonts w:asciiTheme="majorHAnsi" w:eastAsiaTheme="majorEastAsia" w:hAnsiTheme="majorHAnsi" w:cstheme="majorBidi"/>
                        <w:sz w:val="28"/>
                        <w:szCs w:val="28"/>
                      </w:rPr>
                      <w:t>Supporting Justification for OMB Clearance of a Study of Clinical Practice in Traditional Teacher Preparation Programs in Missouri</w:t>
                    </w:r>
                  </w:p>
                </w:tc>
              </w:sdtContent>
            </w:sdt>
          </w:tr>
          <w:tr w:rsidR="001A1F57" w:rsidRPr="00E17252" w14:paraId="6C51B0A7" w14:textId="77777777">
            <w:trPr>
              <w:trHeight w:val="720"/>
              <w:jc w:val="center"/>
            </w:trPr>
            <w:sdt>
              <w:sdtPr>
                <w:rPr>
                  <w:rFonts w:asciiTheme="majorHAnsi" w:eastAsiaTheme="majorEastAsia" w:hAnsiTheme="majorHAnsi" w:cstheme="majorBidi"/>
                  <w:sz w:val="24"/>
                  <w:szCs w:val="2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6C51B0A6" w14:textId="77777777" w:rsidR="001A1F57" w:rsidRPr="00BD2BAB" w:rsidRDefault="001C41EF" w:rsidP="00A009AA">
                    <w:pPr>
                      <w:pStyle w:val="NoSpacing"/>
                      <w:jc w:val="center"/>
                      <w:rPr>
                        <w:rFonts w:asciiTheme="majorHAnsi" w:eastAsiaTheme="majorEastAsia" w:hAnsiTheme="majorHAnsi" w:cstheme="majorBidi"/>
                        <w:sz w:val="44"/>
                        <w:szCs w:val="44"/>
                      </w:rPr>
                    </w:pPr>
                    <w:r w:rsidRPr="00BD2BAB">
                      <w:rPr>
                        <w:rFonts w:asciiTheme="majorHAnsi" w:eastAsiaTheme="majorEastAsia" w:hAnsiTheme="majorHAnsi" w:cstheme="majorBidi"/>
                        <w:sz w:val="24"/>
                        <w:szCs w:val="24"/>
                      </w:rPr>
                      <w:t>Section B</w:t>
                    </w:r>
                  </w:p>
                </w:tc>
              </w:sdtContent>
            </w:sdt>
          </w:tr>
          <w:tr w:rsidR="001A1F57" w14:paraId="6C51B0AE" w14:textId="77777777">
            <w:trPr>
              <w:trHeight w:val="360"/>
              <w:jc w:val="center"/>
            </w:trPr>
            <w:tc>
              <w:tcPr>
                <w:tcW w:w="5000" w:type="pct"/>
                <w:vAlign w:val="center"/>
              </w:tcPr>
              <w:p w14:paraId="6C51B0A8" w14:textId="54F37076" w:rsidR="001A1F57" w:rsidRDefault="007F4544">
                <w:pPr>
                  <w:pStyle w:val="NoSpacing"/>
                  <w:jc w:val="center"/>
                </w:pPr>
                <w:r>
                  <w:t xml:space="preserve">December </w:t>
                </w:r>
                <w:r w:rsidR="00AD2935">
                  <w:t>5</w:t>
                </w:r>
                <w:bookmarkStart w:id="0" w:name="Editing"/>
                <w:bookmarkStart w:id="1" w:name="_GoBack"/>
                <w:bookmarkEnd w:id="0"/>
                <w:bookmarkEnd w:id="1"/>
                <w:r w:rsidR="00967A34" w:rsidRPr="00BD2BAB">
                  <w:t>, 2013</w:t>
                </w:r>
              </w:p>
              <w:p w14:paraId="6C51B0A9" w14:textId="77777777" w:rsidR="00F23EDB" w:rsidRDefault="00F23EDB">
                <w:pPr>
                  <w:pStyle w:val="NoSpacing"/>
                  <w:jc w:val="center"/>
                </w:pPr>
              </w:p>
              <w:p w14:paraId="6C51B0AA" w14:textId="77777777" w:rsidR="00F23EDB" w:rsidRDefault="00F23EDB">
                <w:pPr>
                  <w:pStyle w:val="NoSpacing"/>
                  <w:jc w:val="center"/>
                </w:pPr>
              </w:p>
              <w:p w14:paraId="6C51B0AB" w14:textId="77777777" w:rsidR="00F23EDB" w:rsidRDefault="00F23EDB">
                <w:pPr>
                  <w:pStyle w:val="NoSpacing"/>
                  <w:jc w:val="center"/>
                </w:pPr>
              </w:p>
              <w:p w14:paraId="6C51B0AC" w14:textId="77777777" w:rsidR="00F23EDB" w:rsidRDefault="00F23EDB">
                <w:pPr>
                  <w:pStyle w:val="NoSpacing"/>
                  <w:jc w:val="center"/>
                </w:pPr>
              </w:p>
              <w:p w14:paraId="6C51B0AD" w14:textId="77777777" w:rsidR="00F23EDB" w:rsidRDefault="00F23EDB">
                <w:pPr>
                  <w:pStyle w:val="NoSpacing"/>
                  <w:jc w:val="center"/>
                </w:pPr>
              </w:p>
            </w:tc>
          </w:tr>
          <w:tr w:rsidR="001A1F57" w14:paraId="6C51B0B0" w14:textId="77777777">
            <w:trPr>
              <w:trHeight w:val="360"/>
              <w:jc w:val="center"/>
            </w:trPr>
            <w:tc>
              <w:tcPr>
                <w:tcW w:w="5000" w:type="pct"/>
                <w:vAlign w:val="center"/>
              </w:tcPr>
              <w:p w14:paraId="6C51B0AF" w14:textId="77777777" w:rsidR="001A1F57" w:rsidRDefault="001A1F57">
                <w:pPr>
                  <w:pStyle w:val="NoSpacing"/>
                  <w:jc w:val="center"/>
                  <w:rPr>
                    <w:b/>
                    <w:bCs/>
                  </w:rPr>
                </w:pPr>
              </w:p>
            </w:tc>
          </w:tr>
          <w:tr w:rsidR="001A1F57" w14:paraId="6C51B0BA" w14:textId="77777777">
            <w:trPr>
              <w:trHeight w:val="360"/>
              <w:jc w:val="center"/>
            </w:trPr>
            <w:tc>
              <w:tcPr>
                <w:tcW w:w="5000" w:type="pct"/>
                <w:vAlign w:val="center"/>
              </w:tcPr>
              <w:p w14:paraId="6C51B0B1" w14:textId="77777777" w:rsidR="001A1F57" w:rsidRPr="003722F1" w:rsidRDefault="00F23EDB" w:rsidP="00F23EDB">
                <w:pPr>
                  <w:pStyle w:val="NoSpacing"/>
                  <w:rPr>
                    <w:bCs/>
                  </w:rPr>
                </w:pPr>
                <w:r>
                  <w:rPr>
                    <w:b/>
                    <w:bCs/>
                  </w:rPr>
                  <w:t>Submitted to:</w:t>
                </w:r>
                <w:r w:rsidR="003722F1">
                  <w:rPr>
                    <w:b/>
                    <w:bCs/>
                  </w:rPr>
                  <w:t xml:space="preserve">                                                                                </w:t>
                </w:r>
                <w:r w:rsidR="003722F1" w:rsidRPr="003722F1">
                  <w:rPr>
                    <w:b/>
                    <w:bCs/>
                  </w:rPr>
                  <w:t>Submitted</w:t>
                </w:r>
                <w:r w:rsidR="003722F1">
                  <w:rPr>
                    <w:b/>
                    <w:bCs/>
                  </w:rPr>
                  <w:t xml:space="preserve"> by:</w:t>
                </w:r>
              </w:p>
              <w:p w14:paraId="6C51B0B2" w14:textId="6595C08B" w:rsidR="003722F1" w:rsidRPr="00402C32" w:rsidRDefault="00F23EDB" w:rsidP="00F23EDB">
                <w:pPr>
                  <w:pStyle w:val="NoSpacing"/>
                  <w:rPr>
                    <w:bCs/>
                  </w:rPr>
                </w:pPr>
                <w:r w:rsidRPr="00402C32">
                  <w:rPr>
                    <w:bCs/>
                  </w:rPr>
                  <w:t>Institute of Education Sciences</w:t>
                </w:r>
                <w:r w:rsidR="003722F1" w:rsidRPr="00402C32">
                  <w:rPr>
                    <w:bCs/>
                  </w:rPr>
                  <w:t xml:space="preserve">                                                 </w:t>
                </w:r>
                <w:r w:rsidR="00F70ED5">
                  <w:rPr>
                    <w:bCs/>
                  </w:rPr>
                  <w:t xml:space="preserve">REL Central </w:t>
                </w:r>
                <w:r w:rsidR="006B64B0">
                  <w:rPr>
                    <w:bCs/>
                  </w:rPr>
                  <w:t>at Marzano Research Laboratory</w:t>
                </w:r>
              </w:p>
              <w:p w14:paraId="6C51B0B3" w14:textId="3D088078" w:rsidR="00F23EDB" w:rsidRPr="00402C32" w:rsidRDefault="00F23EDB" w:rsidP="00F23EDB">
                <w:pPr>
                  <w:pStyle w:val="NoSpacing"/>
                  <w:rPr>
                    <w:bCs/>
                  </w:rPr>
                </w:pPr>
                <w:r w:rsidRPr="00402C32">
                  <w:rPr>
                    <w:bCs/>
                  </w:rPr>
                  <w:t>U.S. Department of Education</w:t>
                </w:r>
                <w:r w:rsidR="003722F1" w:rsidRPr="00402C32">
                  <w:rPr>
                    <w:bCs/>
                  </w:rPr>
                  <w:t xml:space="preserve">                                                    </w:t>
                </w:r>
              </w:p>
              <w:p w14:paraId="6C51B0B4" w14:textId="77777777" w:rsidR="00F23EDB" w:rsidRPr="00402C32" w:rsidRDefault="003722F1" w:rsidP="00F23EDB">
                <w:pPr>
                  <w:pStyle w:val="NoSpacing"/>
                  <w:rPr>
                    <w:bCs/>
                  </w:rPr>
                </w:pPr>
                <w:r w:rsidRPr="00402C32">
                  <w:rPr>
                    <w:bCs/>
                  </w:rPr>
                  <w:t>555 New Jersey Ave., NW</w:t>
                </w:r>
                <w:r w:rsidR="006D449C">
                  <w:rPr>
                    <w:bCs/>
                  </w:rPr>
                  <w:t xml:space="preserve">                 </w:t>
                </w:r>
                <w:r w:rsidRPr="00402C32">
                  <w:rPr>
                    <w:bCs/>
                  </w:rPr>
                  <w:t xml:space="preserve">                                           </w:t>
                </w:r>
                <w:r w:rsidR="003535D1">
                  <w:rPr>
                    <w:bCs/>
                  </w:rPr>
                  <w:t>9000 E. Nichols Ave., Ste. 112</w:t>
                </w:r>
              </w:p>
              <w:p w14:paraId="6C51B0B5" w14:textId="77777777" w:rsidR="00F23EDB" w:rsidRPr="00402C32" w:rsidRDefault="00F23EDB" w:rsidP="00F23EDB">
                <w:pPr>
                  <w:pStyle w:val="NoSpacing"/>
                  <w:rPr>
                    <w:bCs/>
                  </w:rPr>
                </w:pPr>
                <w:r w:rsidRPr="00402C32">
                  <w:rPr>
                    <w:bCs/>
                  </w:rPr>
                  <w:t>Washington, DC  20208</w:t>
                </w:r>
                <w:r w:rsidR="003722F1" w:rsidRPr="00402C32">
                  <w:rPr>
                    <w:bCs/>
                  </w:rPr>
                  <w:t xml:space="preserve">                                                                </w:t>
                </w:r>
                <w:r w:rsidR="003535D1">
                  <w:rPr>
                    <w:bCs/>
                  </w:rPr>
                  <w:t>Centennial</w:t>
                </w:r>
                <w:r w:rsidR="00F70ED5">
                  <w:rPr>
                    <w:bCs/>
                  </w:rPr>
                  <w:t xml:space="preserve">, CO </w:t>
                </w:r>
                <w:r w:rsidR="003535D1">
                  <w:rPr>
                    <w:bCs/>
                  </w:rPr>
                  <w:t>80112</w:t>
                </w:r>
              </w:p>
              <w:p w14:paraId="6C51B0B6" w14:textId="77777777" w:rsidR="00F23EDB" w:rsidRDefault="006D449C" w:rsidP="00F23EDB">
                <w:pPr>
                  <w:pStyle w:val="NoSpacing"/>
                  <w:rPr>
                    <w:bCs/>
                  </w:rPr>
                </w:pPr>
                <w:r>
                  <w:rPr>
                    <w:bCs/>
                  </w:rPr>
                  <w:t>(202) 219-1385</w:t>
                </w:r>
                <w:r w:rsidR="00F70ED5" w:rsidRPr="00402C32">
                  <w:rPr>
                    <w:bCs/>
                  </w:rPr>
                  <w:t xml:space="preserve">                                                  </w:t>
                </w:r>
                <w:r w:rsidR="00F70ED5">
                  <w:rPr>
                    <w:bCs/>
                  </w:rPr>
                  <w:t xml:space="preserve">           </w:t>
                </w:r>
                <w:r w:rsidR="00F70ED5" w:rsidRPr="00402C32">
                  <w:rPr>
                    <w:bCs/>
                  </w:rPr>
                  <w:t xml:space="preserve">             </w:t>
                </w:r>
                <w:r w:rsidR="00F70ED5">
                  <w:rPr>
                    <w:bCs/>
                  </w:rPr>
                  <w:t xml:space="preserve">    (303) </w:t>
                </w:r>
                <w:r w:rsidR="003535D1">
                  <w:rPr>
                    <w:bCs/>
                  </w:rPr>
                  <w:t>766</w:t>
                </w:r>
                <w:r w:rsidR="00F70ED5">
                  <w:rPr>
                    <w:bCs/>
                  </w:rPr>
                  <w:t>-</w:t>
                </w:r>
                <w:r w:rsidR="003535D1">
                  <w:rPr>
                    <w:bCs/>
                  </w:rPr>
                  <w:t>9199</w:t>
                </w:r>
              </w:p>
              <w:p w14:paraId="6C51B0B7" w14:textId="77777777" w:rsidR="003722F1" w:rsidRDefault="003722F1" w:rsidP="00F23EDB">
                <w:pPr>
                  <w:pStyle w:val="NoSpacing"/>
                  <w:rPr>
                    <w:bCs/>
                  </w:rPr>
                </w:pPr>
              </w:p>
              <w:p w14:paraId="6C51B0B8" w14:textId="77777777" w:rsidR="00F23EDB" w:rsidRDefault="00F23EDB" w:rsidP="00F23EDB">
                <w:pPr>
                  <w:pStyle w:val="NoSpacing"/>
                  <w:rPr>
                    <w:bCs/>
                  </w:rPr>
                </w:pPr>
                <w:r>
                  <w:rPr>
                    <w:bCs/>
                  </w:rPr>
                  <w:t>Project Officer:</w:t>
                </w:r>
                <w:r w:rsidR="003722F1">
                  <w:rPr>
                    <w:bCs/>
                  </w:rPr>
                  <w:t xml:space="preserve">                                                                                Project Director:</w:t>
                </w:r>
              </w:p>
              <w:p w14:paraId="6C51B0B9" w14:textId="0A354B9F" w:rsidR="00F23EDB" w:rsidRDefault="005B042B" w:rsidP="000B62D0">
                <w:pPr>
                  <w:pStyle w:val="NoSpacing"/>
                  <w:rPr>
                    <w:b/>
                    <w:bCs/>
                  </w:rPr>
                </w:pPr>
                <w:r>
                  <w:rPr>
                    <w:bCs/>
                  </w:rPr>
                  <w:t>Sandra Garcia</w:t>
                </w:r>
                <w:r w:rsidR="003722F1">
                  <w:rPr>
                    <w:bCs/>
                  </w:rPr>
                  <w:t xml:space="preserve">                                                                         </w:t>
                </w:r>
                <w:r w:rsidR="000B62D0">
                  <w:rPr>
                    <w:bCs/>
                  </w:rPr>
                  <w:t xml:space="preserve">  </w:t>
                </w:r>
                <w:r w:rsidR="003722F1">
                  <w:rPr>
                    <w:bCs/>
                  </w:rPr>
                  <w:t xml:space="preserve">     </w:t>
                </w:r>
                <w:r w:rsidR="000B62D0">
                  <w:rPr>
                    <w:bCs/>
                  </w:rPr>
                  <w:t>Stephen Meyer</w:t>
                </w:r>
              </w:p>
            </w:tc>
          </w:tr>
          <w:tr w:rsidR="003535D1" w14:paraId="6C51B0BC" w14:textId="77777777">
            <w:trPr>
              <w:trHeight w:val="360"/>
              <w:jc w:val="center"/>
            </w:trPr>
            <w:tc>
              <w:tcPr>
                <w:tcW w:w="5000" w:type="pct"/>
                <w:vAlign w:val="center"/>
              </w:tcPr>
              <w:p w14:paraId="6C51B0BB" w14:textId="77777777" w:rsidR="003535D1" w:rsidRDefault="003535D1" w:rsidP="00F23EDB">
                <w:pPr>
                  <w:pStyle w:val="NoSpacing"/>
                  <w:rPr>
                    <w:b/>
                    <w:bCs/>
                  </w:rPr>
                </w:pPr>
              </w:p>
            </w:tc>
          </w:tr>
        </w:tbl>
        <w:p w14:paraId="6C51B0BD" w14:textId="77777777" w:rsidR="001A1F57" w:rsidRDefault="001A1F57"/>
        <w:p w14:paraId="6C51B0BE" w14:textId="77777777" w:rsidR="001A1F57" w:rsidRDefault="001A1F57"/>
        <w:p w14:paraId="6C51B0BF" w14:textId="77777777" w:rsidR="001A1F57" w:rsidRDefault="001A1F57"/>
        <w:p w14:paraId="6C51B0C0" w14:textId="77777777" w:rsidR="001A1F57" w:rsidRDefault="001A1F57">
          <w:pPr>
            <w:rPr>
              <w:rStyle w:val="Heading1Char"/>
            </w:rPr>
          </w:pPr>
          <w:r>
            <w:rPr>
              <w:rStyle w:val="Heading1Char"/>
            </w:rPr>
            <w:br w:type="page"/>
          </w:r>
        </w:p>
      </w:sdtContent>
    </w:sdt>
    <w:sdt>
      <w:sdtPr>
        <w:rPr>
          <w:rFonts w:asciiTheme="minorHAnsi" w:eastAsiaTheme="minorHAnsi" w:hAnsiTheme="minorHAnsi" w:cstheme="minorBidi"/>
          <w:b w:val="0"/>
          <w:bCs w:val="0"/>
          <w:color w:val="auto"/>
          <w:sz w:val="22"/>
          <w:szCs w:val="22"/>
          <w:lang w:eastAsia="en-US"/>
        </w:rPr>
        <w:id w:val="1162816599"/>
        <w:docPartObj>
          <w:docPartGallery w:val="Table of Contents"/>
          <w:docPartUnique/>
        </w:docPartObj>
      </w:sdtPr>
      <w:sdtEndPr>
        <w:rPr>
          <w:noProof/>
        </w:rPr>
      </w:sdtEndPr>
      <w:sdtContent>
        <w:p w14:paraId="6C51B0C1" w14:textId="77777777" w:rsidR="001A1F57" w:rsidRPr="00A2348F" w:rsidRDefault="001A1F57">
          <w:pPr>
            <w:pStyle w:val="TOCHeading"/>
            <w:rPr>
              <w:rFonts w:asciiTheme="minorHAnsi" w:hAnsiTheme="minorHAnsi" w:cstheme="minorHAnsi"/>
            </w:rPr>
          </w:pPr>
          <w:r w:rsidRPr="00A2348F">
            <w:rPr>
              <w:rFonts w:asciiTheme="minorHAnsi" w:hAnsiTheme="minorHAnsi" w:cstheme="minorHAnsi"/>
            </w:rPr>
            <w:t>Table of Contents</w:t>
          </w:r>
        </w:p>
        <w:p w14:paraId="6C51B0C2" w14:textId="77777777" w:rsidR="00B20D33" w:rsidRPr="00A2348F" w:rsidRDefault="002B3BE2">
          <w:pPr>
            <w:pStyle w:val="TOC1"/>
            <w:tabs>
              <w:tab w:val="right" w:leader="dot" w:pos="9350"/>
            </w:tabs>
            <w:rPr>
              <w:rFonts w:eastAsiaTheme="minorEastAsia" w:cstheme="minorHAnsi"/>
              <w:noProof/>
            </w:rPr>
          </w:pPr>
          <w:r w:rsidRPr="00E67C43">
            <w:rPr>
              <w:rFonts w:cstheme="minorHAnsi"/>
            </w:rPr>
            <w:fldChar w:fldCharType="begin"/>
          </w:r>
          <w:r w:rsidR="001A1F57" w:rsidRPr="00A2348F">
            <w:rPr>
              <w:rFonts w:cstheme="minorHAnsi"/>
            </w:rPr>
            <w:instrText xml:space="preserve"> TOC \o "1-3" \h \z \u </w:instrText>
          </w:r>
          <w:r w:rsidRPr="00E67C43">
            <w:rPr>
              <w:rFonts w:cstheme="minorHAnsi"/>
            </w:rPr>
            <w:fldChar w:fldCharType="separate"/>
          </w:r>
          <w:hyperlink w:anchor="_Toc364409321" w:history="1">
            <w:r w:rsidR="00B20D33" w:rsidRPr="00A2348F">
              <w:rPr>
                <w:rStyle w:val="Hyperlink"/>
                <w:rFonts w:cstheme="minorHAnsi"/>
                <w:noProof/>
              </w:rPr>
              <w:t>Section B. Data Collection Procedures and Statistical Methods</w:t>
            </w:r>
            <w:r w:rsidR="00B20D33" w:rsidRPr="00A2348F">
              <w:rPr>
                <w:rFonts w:cstheme="minorHAnsi"/>
                <w:noProof/>
                <w:webHidden/>
              </w:rPr>
              <w:tab/>
            </w:r>
            <w:r w:rsidR="00B20D33" w:rsidRPr="00A2348F">
              <w:rPr>
                <w:rFonts w:cstheme="minorHAnsi"/>
                <w:noProof/>
                <w:webHidden/>
              </w:rPr>
              <w:fldChar w:fldCharType="begin"/>
            </w:r>
            <w:r w:rsidR="00B20D33" w:rsidRPr="00A2348F">
              <w:rPr>
                <w:rFonts w:cstheme="minorHAnsi"/>
                <w:noProof/>
                <w:webHidden/>
              </w:rPr>
              <w:instrText xml:space="preserve"> PAGEREF _Toc364409321 \h </w:instrText>
            </w:r>
            <w:r w:rsidR="00B20D33" w:rsidRPr="00A2348F">
              <w:rPr>
                <w:rFonts w:cstheme="minorHAnsi"/>
                <w:noProof/>
                <w:webHidden/>
              </w:rPr>
            </w:r>
            <w:r w:rsidR="00B20D33" w:rsidRPr="00A2348F">
              <w:rPr>
                <w:rFonts w:cstheme="minorHAnsi"/>
                <w:noProof/>
                <w:webHidden/>
              </w:rPr>
              <w:fldChar w:fldCharType="separate"/>
            </w:r>
            <w:r w:rsidR="00B20D33" w:rsidRPr="00A2348F">
              <w:rPr>
                <w:rFonts w:cstheme="minorHAnsi"/>
                <w:noProof/>
                <w:webHidden/>
              </w:rPr>
              <w:t>2</w:t>
            </w:r>
            <w:r w:rsidR="00B20D33" w:rsidRPr="00A2348F">
              <w:rPr>
                <w:rFonts w:cstheme="minorHAnsi"/>
                <w:noProof/>
                <w:webHidden/>
              </w:rPr>
              <w:fldChar w:fldCharType="end"/>
            </w:r>
          </w:hyperlink>
        </w:p>
        <w:p w14:paraId="6C51B0C3" w14:textId="77777777" w:rsidR="00B20D33" w:rsidRPr="00A2348F" w:rsidRDefault="00AD2935">
          <w:pPr>
            <w:pStyle w:val="TOC2"/>
            <w:tabs>
              <w:tab w:val="right" w:leader="dot" w:pos="9350"/>
            </w:tabs>
            <w:rPr>
              <w:rFonts w:eastAsiaTheme="minorEastAsia" w:cstheme="minorHAnsi"/>
              <w:noProof/>
            </w:rPr>
          </w:pPr>
          <w:hyperlink w:anchor="_Toc364409322" w:history="1">
            <w:r w:rsidR="00B20D33" w:rsidRPr="00A2348F">
              <w:rPr>
                <w:rStyle w:val="Hyperlink"/>
                <w:rFonts w:cstheme="minorHAnsi"/>
                <w:noProof/>
              </w:rPr>
              <w:t>B1. Respondent Universe and Sampling Methods</w:t>
            </w:r>
            <w:r w:rsidR="00B20D33" w:rsidRPr="00A2348F">
              <w:rPr>
                <w:rFonts w:cstheme="minorHAnsi"/>
                <w:noProof/>
                <w:webHidden/>
              </w:rPr>
              <w:tab/>
            </w:r>
            <w:r w:rsidR="00B20D33" w:rsidRPr="00A2348F">
              <w:rPr>
                <w:rFonts w:cstheme="minorHAnsi"/>
                <w:noProof/>
                <w:webHidden/>
              </w:rPr>
              <w:fldChar w:fldCharType="begin"/>
            </w:r>
            <w:r w:rsidR="00B20D33" w:rsidRPr="00A2348F">
              <w:rPr>
                <w:rFonts w:cstheme="minorHAnsi"/>
                <w:noProof/>
                <w:webHidden/>
              </w:rPr>
              <w:instrText xml:space="preserve"> PAGEREF _Toc364409322 \h </w:instrText>
            </w:r>
            <w:r w:rsidR="00B20D33" w:rsidRPr="00A2348F">
              <w:rPr>
                <w:rFonts w:cstheme="minorHAnsi"/>
                <w:noProof/>
                <w:webHidden/>
              </w:rPr>
            </w:r>
            <w:r w:rsidR="00B20D33" w:rsidRPr="00A2348F">
              <w:rPr>
                <w:rFonts w:cstheme="minorHAnsi"/>
                <w:noProof/>
                <w:webHidden/>
              </w:rPr>
              <w:fldChar w:fldCharType="separate"/>
            </w:r>
            <w:r w:rsidR="00B20D33" w:rsidRPr="00A2348F">
              <w:rPr>
                <w:rFonts w:cstheme="minorHAnsi"/>
                <w:noProof/>
                <w:webHidden/>
              </w:rPr>
              <w:t>2</w:t>
            </w:r>
            <w:r w:rsidR="00B20D33" w:rsidRPr="00A2348F">
              <w:rPr>
                <w:rFonts w:cstheme="minorHAnsi"/>
                <w:noProof/>
                <w:webHidden/>
              </w:rPr>
              <w:fldChar w:fldCharType="end"/>
            </w:r>
          </w:hyperlink>
        </w:p>
        <w:p w14:paraId="6C51B0C4" w14:textId="77777777" w:rsidR="00B20D33" w:rsidRPr="00A2348F" w:rsidRDefault="00AD2935">
          <w:pPr>
            <w:pStyle w:val="TOC2"/>
            <w:tabs>
              <w:tab w:val="right" w:leader="dot" w:pos="9350"/>
            </w:tabs>
            <w:rPr>
              <w:rFonts w:eastAsiaTheme="minorEastAsia" w:cstheme="minorHAnsi"/>
              <w:noProof/>
            </w:rPr>
          </w:pPr>
          <w:hyperlink w:anchor="_Toc364409323" w:history="1">
            <w:r w:rsidR="00B20D33" w:rsidRPr="00A2348F">
              <w:rPr>
                <w:rStyle w:val="Hyperlink"/>
                <w:rFonts w:cstheme="minorHAnsi"/>
                <w:noProof/>
              </w:rPr>
              <w:t>B2. Procedures for the Collection of Information</w:t>
            </w:r>
            <w:r w:rsidR="00B20D33" w:rsidRPr="00A2348F">
              <w:rPr>
                <w:rFonts w:cstheme="minorHAnsi"/>
                <w:noProof/>
                <w:webHidden/>
              </w:rPr>
              <w:tab/>
            </w:r>
            <w:r w:rsidR="00B20D33" w:rsidRPr="00A2348F">
              <w:rPr>
                <w:rFonts w:cstheme="minorHAnsi"/>
                <w:noProof/>
                <w:webHidden/>
              </w:rPr>
              <w:fldChar w:fldCharType="begin"/>
            </w:r>
            <w:r w:rsidR="00B20D33" w:rsidRPr="00A2348F">
              <w:rPr>
                <w:rFonts w:cstheme="minorHAnsi"/>
                <w:noProof/>
                <w:webHidden/>
              </w:rPr>
              <w:instrText xml:space="preserve"> PAGEREF _Toc364409323 \h </w:instrText>
            </w:r>
            <w:r w:rsidR="00B20D33" w:rsidRPr="00A2348F">
              <w:rPr>
                <w:rFonts w:cstheme="minorHAnsi"/>
                <w:noProof/>
                <w:webHidden/>
              </w:rPr>
            </w:r>
            <w:r w:rsidR="00B20D33" w:rsidRPr="00A2348F">
              <w:rPr>
                <w:rFonts w:cstheme="minorHAnsi"/>
                <w:noProof/>
                <w:webHidden/>
              </w:rPr>
              <w:fldChar w:fldCharType="separate"/>
            </w:r>
            <w:r w:rsidR="00B20D33" w:rsidRPr="00A2348F">
              <w:rPr>
                <w:rFonts w:cstheme="minorHAnsi"/>
                <w:noProof/>
                <w:webHidden/>
              </w:rPr>
              <w:t>5</w:t>
            </w:r>
            <w:r w:rsidR="00B20D33" w:rsidRPr="00A2348F">
              <w:rPr>
                <w:rFonts w:cstheme="minorHAnsi"/>
                <w:noProof/>
                <w:webHidden/>
              </w:rPr>
              <w:fldChar w:fldCharType="end"/>
            </w:r>
          </w:hyperlink>
        </w:p>
        <w:p w14:paraId="6C51B0C5" w14:textId="77777777" w:rsidR="00B20D33" w:rsidRPr="00A2348F" w:rsidRDefault="00AD2935">
          <w:pPr>
            <w:pStyle w:val="TOC2"/>
            <w:tabs>
              <w:tab w:val="right" w:leader="dot" w:pos="9350"/>
            </w:tabs>
            <w:rPr>
              <w:rFonts w:eastAsiaTheme="minorEastAsia" w:cstheme="minorHAnsi"/>
              <w:noProof/>
            </w:rPr>
          </w:pPr>
          <w:hyperlink w:anchor="_Toc364409324" w:history="1">
            <w:r w:rsidR="00B20D33" w:rsidRPr="00A2348F">
              <w:rPr>
                <w:rStyle w:val="Hyperlink"/>
                <w:rFonts w:cstheme="minorHAnsi"/>
                <w:noProof/>
              </w:rPr>
              <w:t>B3. Methods to Maximize Response Rates and To Deal With Non-Response</w:t>
            </w:r>
            <w:r w:rsidR="00B20D33" w:rsidRPr="00A2348F">
              <w:rPr>
                <w:rFonts w:cstheme="minorHAnsi"/>
                <w:noProof/>
                <w:webHidden/>
              </w:rPr>
              <w:tab/>
            </w:r>
            <w:r w:rsidR="00B20D33" w:rsidRPr="00A2348F">
              <w:rPr>
                <w:rFonts w:cstheme="minorHAnsi"/>
                <w:noProof/>
                <w:webHidden/>
              </w:rPr>
              <w:fldChar w:fldCharType="begin"/>
            </w:r>
            <w:r w:rsidR="00B20D33" w:rsidRPr="00A2348F">
              <w:rPr>
                <w:rFonts w:cstheme="minorHAnsi"/>
                <w:noProof/>
                <w:webHidden/>
              </w:rPr>
              <w:instrText xml:space="preserve"> PAGEREF _Toc364409324 \h </w:instrText>
            </w:r>
            <w:r w:rsidR="00B20D33" w:rsidRPr="00A2348F">
              <w:rPr>
                <w:rFonts w:cstheme="minorHAnsi"/>
                <w:noProof/>
                <w:webHidden/>
              </w:rPr>
            </w:r>
            <w:r w:rsidR="00B20D33" w:rsidRPr="00A2348F">
              <w:rPr>
                <w:rFonts w:cstheme="minorHAnsi"/>
                <w:noProof/>
                <w:webHidden/>
              </w:rPr>
              <w:fldChar w:fldCharType="separate"/>
            </w:r>
            <w:r w:rsidR="00B20D33" w:rsidRPr="00A2348F">
              <w:rPr>
                <w:rFonts w:cstheme="minorHAnsi"/>
                <w:noProof/>
                <w:webHidden/>
              </w:rPr>
              <w:t>5</w:t>
            </w:r>
            <w:r w:rsidR="00B20D33" w:rsidRPr="00A2348F">
              <w:rPr>
                <w:rFonts w:cstheme="minorHAnsi"/>
                <w:noProof/>
                <w:webHidden/>
              </w:rPr>
              <w:fldChar w:fldCharType="end"/>
            </w:r>
          </w:hyperlink>
        </w:p>
        <w:p w14:paraId="6C51B0C6" w14:textId="77777777" w:rsidR="00B20D33" w:rsidRPr="00A2348F" w:rsidRDefault="00AD2935">
          <w:pPr>
            <w:pStyle w:val="TOC2"/>
            <w:tabs>
              <w:tab w:val="right" w:leader="dot" w:pos="9350"/>
            </w:tabs>
            <w:rPr>
              <w:rFonts w:eastAsiaTheme="minorEastAsia" w:cstheme="minorHAnsi"/>
              <w:noProof/>
            </w:rPr>
          </w:pPr>
          <w:hyperlink w:anchor="_Toc364409325" w:history="1">
            <w:r w:rsidR="00B20D33" w:rsidRPr="00A2348F">
              <w:rPr>
                <w:rStyle w:val="Hyperlink"/>
                <w:rFonts w:cstheme="minorHAnsi"/>
                <w:noProof/>
              </w:rPr>
              <w:t>B4. Tests of Procedures or Methods to be Undertaken</w:t>
            </w:r>
            <w:r w:rsidR="00B20D33" w:rsidRPr="00A2348F">
              <w:rPr>
                <w:rFonts w:cstheme="minorHAnsi"/>
                <w:noProof/>
                <w:webHidden/>
              </w:rPr>
              <w:tab/>
            </w:r>
            <w:r w:rsidR="00B20D33" w:rsidRPr="00A2348F">
              <w:rPr>
                <w:rFonts w:cstheme="minorHAnsi"/>
                <w:noProof/>
                <w:webHidden/>
              </w:rPr>
              <w:fldChar w:fldCharType="begin"/>
            </w:r>
            <w:r w:rsidR="00B20D33" w:rsidRPr="00A2348F">
              <w:rPr>
                <w:rFonts w:cstheme="minorHAnsi"/>
                <w:noProof/>
                <w:webHidden/>
              </w:rPr>
              <w:instrText xml:space="preserve"> PAGEREF _Toc364409325 \h </w:instrText>
            </w:r>
            <w:r w:rsidR="00B20D33" w:rsidRPr="00A2348F">
              <w:rPr>
                <w:rFonts w:cstheme="minorHAnsi"/>
                <w:noProof/>
                <w:webHidden/>
              </w:rPr>
            </w:r>
            <w:r w:rsidR="00B20D33" w:rsidRPr="00A2348F">
              <w:rPr>
                <w:rFonts w:cstheme="minorHAnsi"/>
                <w:noProof/>
                <w:webHidden/>
              </w:rPr>
              <w:fldChar w:fldCharType="separate"/>
            </w:r>
            <w:r w:rsidR="00B20D33" w:rsidRPr="00A2348F">
              <w:rPr>
                <w:rFonts w:cstheme="minorHAnsi"/>
                <w:noProof/>
                <w:webHidden/>
              </w:rPr>
              <w:t>6</w:t>
            </w:r>
            <w:r w:rsidR="00B20D33" w:rsidRPr="00A2348F">
              <w:rPr>
                <w:rFonts w:cstheme="minorHAnsi"/>
                <w:noProof/>
                <w:webHidden/>
              </w:rPr>
              <w:fldChar w:fldCharType="end"/>
            </w:r>
          </w:hyperlink>
        </w:p>
        <w:p w14:paraId="6C51B0C7" w14:textId="77777777" w:rsidR="00B20D33" w:rsidRPr="00A2348F" w:rsidRDefault="00AD2935">
          <w:pPr>
            <w:pStyle w:val="TOC2"/>
            <w:tabs>
              <w:tab w:val="right" w:leader="dot" w:pos="9350"/>
            </w:tabs>
            <w:rPr>
              <w:rFonts w:eastAsiaTheme="minorEastAsia" w:cstheme="minorHAnsi"/>
              <w:noProof/>
            </w:rPr>
          </w:pPr>
          <w:hyperlink w:anchor="_Toc364409326" w:history="1">
            <w:r w:rsidR="00B20D33" w:rsidRPr="00A2348F">
              <w:rPr>
                <w:rStyle w:val="Hyperlink"/>
                <w:rFonts w:cstheme="minorHAnsi"/>
                <w:noProof/>
              </w:rPr>
              <w:t>B5. Individuals Consulted on Statistical Aspects of the Design</w:t>
            </w:r>
            <w:r w:rsidR="00B20D33" w:rsidRPr="00A2348F">
              <w:rPr>
                <w:rFonts w:cstheme="minorHAnsi"/>
                <w:noProof/>
                <w:webHidden/>
              </w:rPr>
              <w:tab/>
            </w:r>
            <w:r w:rsidR="00B20D33" w:rsidRPr="00A2348F">
              <w:rPr>
                <w:rFonts w:cstheme="minorHAnsi"/>
                <w:noProof/>
                <w:webHidden/>
              </w:rPr>
              <w:fldChar w:fldCharType="begin"/>
            </w:r>
            <w:r w:rsidR="00B20D33" w:rsidRPr="00A2348F">
              <w:rPr>
                <w:rFonts w:cstheme="minorHAnsi"/>
                <w:noProof/>
                <w:webHidden/>
              </w:rPr>
              <w:instrText xml:space="preserve"> PAGEREF _Toc364409326 \h </w:instrText>
            </w:r>
            <w:r w:rsidR="00B20D33" w:rsidRPr="00A2348F">
              <w:rPr>
                <w:rFonts w:cstheme="minorHAnsi"/>
                <w:noProof/>
                <w:webHidden/>
              </w:rPr>
            </w:r>
            <w:r w:rsidR="00B20D33" w:rsidRPr="00A2348F">
              <w:rPr>
                <w:rFonts w:cstheme="minorHAnsi"/>
                <w:noProof/>
                <w:webHidden/>
              </w:rPr>
              <w:fldChar w:fldCharType="separate"/>
            </w:r>
            <w:r w:rsidR="00B20D33" w:rsidRPr="00A2348F">
              <w:rPr>
                <w:rFonts w:cstheme="minorHAnsi"/>
                <w:noProof/>
                <w:webHidden/>
              </w:rPr>
              <w:t>7</w:t>
            </w:r>
            <w:r w:rsidR="00B20D33" w:rsidRPr="00A2348F">
              <w:rPr>
                <w:rFonts w:cstheme="minorHAnsi"/>
                <w:noProof/>
                <w:webHidden/>
              </w:rPr>
              <w:fldChar w:fldCharType="end"/>
            </w:r>
          </w:hyperlink>
        </w:p>
        <w:p w14:paraId="6C51B0C8" w14:textId="77777777" w:rsidR="00B20D33" w:rsidRPr="00A2348F" w:rsidRDefault="00AD2935">
          <w:pPr>
            <w:pStyle w:val="TOC2"/>
            <w:tabs>
              <w:tab w:val="right" w:leader="dot" w:pos="9350"/>
            </w:tabs>
            <w:rPr>
              <w:rFonts w:eastAsiaTheme="minorEastAsia" w:cstheme="minorHAnsi"/>
              <w:noProof/>
            </w:rPr>
          </w:pPr>
          <w:hyperlink w:anchor="_Toc364409327" w:history="1">
            <w:r w:rsidR="00B20D33" w:rsidRPr="00A2348F">
              <w:rPr>
                <w:rStyle w:val="Hyperlink"/>
                <w:rFonts w:cstheme="minorHAnsi"/>
                <w:noProof/>
              </w:rPr>
              <w:t>References</w:t>
            </w:r>
            <w:r w:rsidR="00B20D33" w:rsidRPr="00A2348F">
              <w:rPr>
                <w:rFonts w:cstheme="minorHAnsi"/>
                <w:noProof/>
                <w:webHidden/>
              </w:rPr>
              <w:tab/>
            </w:r>
            <w:r w:rsidR="00B20D33" w:rsidRPr="00A2348F">
              <w:rPr>
                <w:rFonts w:cstheme="minorHAnsi"/>
                <w:noProof/>
                <w:webHidden/>
              </w:rPr>
              <w:fldChar w:fldCharType="begin"/>
            </w:r>
            <w:r w:rsidR="00B20D33" w:rsidRPr="00A2348F">
              <w:rPr>
                <w:rFonts w:cstheme="minorHAnsi"/>
                <w:noProof/>
                <w:webHidden/>
              </w:rPr>
              <w:instrText xml:space="preserve"> PAGEREF _Toc364409327 \h </w:instrText>
            </w:r>
            <w:r w:rsidR="00B20D33" w:rsidRPr="00A2348F">
              <w:rPr>
                <w:rFonts w:cstheme="minorHAnsi"/>
                <w:noProof/>
                <w:webHidden/>
              </w:rPr>
            </w:r>
            <w:r w:rsidR="00B20D33" w:rsidRPr="00A2348F">
              <w:rPr>
                <w:rFonts w:cstheme="minorHAnsi"/>
                <w:noProof/>
                <w:webHidden/>
              </w:rPr>
              <w:fldChar w:fldCharType="separate"/>
            </w:r>
            <w:r w:rsidR="00B20D33" w:rsidRPr="00A2348F">
              <w:rPr>
                <w:rFonts w:cstheme="minorHAnsi"/>
                <w:noProof/>
                <w:webHidden/>
              </w:rPr>
              <w:t>8</w:t>
            </w:r>
            <w:r w:rsidR="00B20D33" w:rsidRPr="00A2348F">
              <w:rPr>
                <w:rFonts w:cstheme="minorHAnsi"/>
                <w:noProof/>
                <w:webHidden/>
              </w:rPr>
              <w:fldChar w:fldCharType="end"/>
            </w:r>
          </w:hyperlink>
        </w:p>
        <w:p w14:paraId="6C51B0C9" w14:textId="77777777" w:rsidR="001A1F57" w:rsidRDefault="002B3BE2">
          <w:r w:rsidRPr="00E67C43">
            <w:rPr>
              <w:rFonts w:cstheme="minorHAnsi"/>
              <w:b/>
              <w:bCs/>
              <w:noProof/>
            </w:rPr>
            <w:fldChar w:fldCharType="end"/>
          </w:r>
        </w:p>
      </w:sdtContent>
    </w:sdt>
    <w:p w14:paraId="163A8567" w14:textId="2C3FCBD8" w:rsidR="007F4544" w:rsidRPr="000355C8" w:rsidRDefault="007F4544" w:rsidP="007F4544">
      <w:pPr>
        <w:rPr>
          <w:rStyle w:val="Heading1Char"/>
          <w:rFonts w:asciiTheme="minorHAnsi" w:eastAsiaTheme="minorHAnsi" w:hAnsiTheme="minorHAnsi" w:cstheme="minorBidi"/>
          <w:b w:val="0"/>
          <w:bCs w:val="0"/>
          <w:color w:val="auto"/>
          <w:sz w:val="22"/>
          <w:szCs w:val="22"/>
        </w:rPr>
      </w:pPr>
      <w:r w:rsidRPr="000355C8">
        <w:rPr>
          <w:rStyle w:val="Heading1Char"/>
          <w:rFonts w:asciiTheme="minorHAnsi" w:eastAsiaTheme="minorHAnsi" w:hAnsiTheme="minorHAnsi" w:cstheme="minorBidi"/>
          <w:b w:val="0"/>
          <w:bCs w:val="0"/>
          <w:color w:val="auto"/>
          <w:sz w:val="22"/>
          <w:szCs w:val="22"/>
        </w:rPr>
        <w:t xml:space="preserve">Attachment A: </w:t>
      </w:r>
      <w:r>
        <w:rPr>
          <w:rStyle w:val="Heading1Char"/>
          <w:rFonts w:asciiTheme="minorHAnsi" w:eastAsiaTheme="minorHAnsi" w:hAnsiTheme="minorHAnsi" w:cstheme="minorBidi"/>
          <w:b w:val="0"/>
          <w:bCs w:val="0"/>
          <w:color w:val="auto"/>
          <w:sz w:val="22"/>
          <w:szCs w:val="22"/>
        </w:rPr>
        <w:t>Public Law 107-279-Nov</w:t>
      </w:r>
      <w:r w:rsidRPr="000355C8">
        <w:rPr>
          <w:rStyle w:val="Heading1Char"/>
          <w:rFonts w:asciiTheme="minorHAnsi" w:eastAsiaTheme="minorHAnsi" w:hAnsiTheme="minorHAnsi" w:cstheme="minorBidi"/>
          <w:b w:val="0"/>
          <w:bCs w:val="0"/>
          <w:color w:val="auto"/>
          <w:sz w:val="22"/>
          <w:szCs w:val="22"/>
        </w:rPr>
        <w:t>. 5, 2002 Education Sciences Reform</w:t>
      </w:r>
    </w:p>
    <w:p w14:paraId="5E1C8C18" w14:textId="77777777" w:rsidR="007F4544" w:rsidRPr="000355C8" w:rsidRDefault="007F4544" w:rsidP="007F4544">
      <w:pPr>
        <w:rPr>
          <w:rStyle w:val="Heading1Char"/>
          <w:rFonts w:asciiTheme="minorHAnsi" w:eastAsiaTheme="minorHAnsi" w:hAnsiTheme="minorHAnsi" w:cstheme="minorBidi"/>
          <w:b w:val="0"/>
          <w:bCs w:val="0"/>
          <w:color w:val="auto"/>
          <w:sz w:val="22"/>
          <w:szCs w:val="22"/>
        </w:rPr>
      </w:pPr>
      <w:r w:rsidRPr="000355C8">
        <w:rPr>
          <w:rStyle w:val="Heading1Char"/>
          <w:rFonts w:asciiTheme="minorHAnsi" w:eastAsiaTheme="minorHAnsi" w:hAnsiTheme="minorHAnsi" w:cstheme="minorBidi"/>
          <w:b w:val="0"/>
          <w:bCs w:val="0"/>
          <w:color w:val="auto"/>
          <w:sz w:val="22"/>
          <w:szCs w:val="22"/>
        </w:rPr>
        <w:t>Attachment B: Printed Copy of Online Survey</w:t>
      </w:r>
    </w:p>
    <w:p w14:paraId="08376018" w14:textId="77777777" w:rsidR="007F4544" w:rsidRPr="000355C8" w:rsidRDefault="007F4544" w:rsidP="007F4544">
      <w:pPr>
        <w:rPr>
          <w:rStyle w:val="Heading1Char"/>
          <w:rFonts w:asciiTheme="minorHAnsi" w:eastAsiaTheme="minorHAnsi" w:hAnsiTheme="minorHAnsi" w:cstheme="minorBidi"/>
          <w:b w:val="0"/>
          <w:bCs w:val="0"/>
          <w:color w:val="auto"/>
          <w:sz w:val="22"/>
          <w:szCs w:val="22"/>
        </w:rPr>
      </w:pPr>
      <w:r w:rsidRPr="000355C8">
        <w:rPr>
          <w:rStyle w:val="Heading1Char"/>
          <w:rFonts w:asciiTheme="minorHAnsi" w:eastAsiaTheme="minorHAnsi" w:hAnsiTheme="minorHAnsi" w:cstheme="minorBidi"/>
          <w:b w:val="0"/>
          <w:bCs w:val="0"/>
          <w:color w:val="auto"/>
          <w:sz w:val="22"/>
          <w:szCs w:val="22"/>
        </w:rPr>
        <w:t>Attachment C: Affidavit of Nondisclosure</w:t>
      </w:r>
    </w:p>
    <w:p w14:paraId="4F6E375C" w14:textId="77777777" w:rsidR="007F4544" w:rsidRPr="000355C8" w:rsidRDefault="007F4544" w:rsidP="007F4544">
      <w:pPr>
        <w:rPr>
          <w:rStyle w:val="Heading1Char"/>
          <w:rFonts w:asciiTheme="minorHAnsi" w:eastAsiaTheme="minorHAnsi" w:hAnsiTheme="minorHAnsi" w:cstheme="minorBidi"/>
          <w:b w:val="0"/>
          <w:bCs w:val="0"/>
          <w:color w:val="auto"/>
          <w:sz w:val="22"/>
          <w:szCs w:val="22"/>
        </w:rPr>
      </w:pPr>
      <w:r w:rsidRPr="000355C8">
        <w:rPr>
          <w:rStyle w:val="Heading1Char"/>
          <w:rFonts w:asciiTheme="minorHAnsi" w:eastAsiaTheme="minorHAnsi" w:hAnsiTheme="minorHAnsi" w:cstheme="minorBidi"/>
          <w:b w:val="0"/>
          <w:bCs w:val="0"/>
          <w:color w:val="auto"/>
          <w:sz w:val="22"/>
          <w:szCs w:val="22"/>
        </w:rPr>
        <w:t>Attachment D: Text for Invitations and Reminders</w:t>
      </w:r>
    </w:p>
    <w:p w14:paraId="6C51B0CA" w14:textId="77777777" w:rsidR="006D792F" w:rsidRDefault="006D792F" w:rsidP="009B6302">
      <w:pPr>
        <w:jc w:val="center"/>
        <w:rPr>
          <w:b/>
          <w:bCs/>
        </w:rPr>
      </w:pPr>
    </w:p>
    <w:p w14:paraId="6C51B0CB" w14:textId="77777777" w:rsidR="001A1F57" w:rsidRDefault="001A1F57">
      <w:pPr>
        <w:rPr>
          <w:rStyle w:val="Heading1Char"/>
        </w:rPr>
      </w:pPr>
      <w:r>
        <w:rPr>
          <w:rStyle w:val="Heading1Char"/>
        </w:rPr>
        <w:br w:type="page"/>
      </w:r>
    </w:p>
    <w:p w14:paraId="6C51B0CC" w14:textId="77777777" w:rsidR="002A716E" w:rsidRPr="009B6302" w:rsidRDefault="002A716E" w:rsidP="001C41EF">
      <w:pPr>
        <w:jc w:val="center"/>
        <w:rPr>
          <w:i/>
          <w:color w:val="FF0000"/>
        </w:rPr>
      </w:pPr>
      <w:bookmarkStart w:id="2" w:name="_Toc364409321"/>
      <w:r w:rsidRPr="006D792F">
        <w:rPr>
          <w:rStyle w:val="Heading1Char"/>
        </w:rPr>
        <w:lastRenderedPageBreak/>
        <w:t>Section B. Data Collection Procedures and Statistical Methods</w:t>
      </w:r>
      <w:bookmarkEnd w:id="2"/>
      <w:r w:rsidRPr="002A716E">
        <w:rPr>
          <w:b/>
          <w:bCs/>
        </w:rPr>
        <w:t xml:space="preserve"> </w:t>
      </w:r>
    </w:p>
    <w:p w14:paraId="6C51B0CD" w14:textId="77777777" w:rsidR="0057406C" w:rsidRPr="0057406C" w:rsidRDefault="0057406C" w:rsidP="0057406C">
      <w:pPr>
        <w:pStyle w:val="BodyDoubleSpacedMainText"/>
        <w:spacing w:line="240" w:lineRule="auto"/>
        <w:ind w:firstLine="0"/>
        <w:rPr>
          <w:rFonts w:cstheme="minorHAnsi"/>
          <w:sz w:val="22"/>
          <w:szCs w:val="22"/>
        </w:rPr>
      </w:pPr>
      <w:r w:rsidRPr="0057406C">
        <w:rPr>
          <w:rFonts w:cstheme="minorHAnsi"/>
          <w:sz w:val="22"/>
          <w:szCs w:val="22"/>
        </w:rPr>
        <w:t xml:space="preserve">This study is designed to support needs in the Central </w:t>
      </w:r>
      <w:r w:rsidR="00F21B70">
        <w:rPr>
          <w:rFonts w:cstheme="minorHAnsi"/>
          <w:sz w:val="22"/>
          <w:szCs w:val="22"/>
        </w:rPr>
        <w:t>R</w:t>
      </w:r>
      <w:r w:rsidR="00F21B70" w:rsidRPr="0057406C">
        <w:rPr>
          <w:rFonts w:cstheme="minorHAnsi"/>
          <w:sz w:val="22"/>
          <w:szCs w:val="22"/>
        </w:rPr>
        <w:t xml:space="preserve">egion </w:t>
      </w:r>
      <w:r w:rsidRPr="0057406C">
        <w:rPr>
          <w:rFonts w:cstheme="minorHAnsi"/>
          <w:sz w:val="22"/>
          <w:szCs w:val="22"/>
        </w:rPr>
        <w:t xml:space="preserve">by providing descriptive information about clinical practice in Teacher Preparation Programs (TPPs). The study purpose is to document current practice and provide a data collection tool and an approach for collecting data from TPP graduates that can be adopted and adapted as part of future research to be conducted by the </w:t>
      </w:r>
      <w:r w:rsidR="00AC18B7">
        <w:rPr>
          <w:rFonts w:cstheme="minorHAnsi"/>
          <w:sz w:val="22"/>
          <w:szCs w:val="22"/>
        </w:rPr>
        <w:t xml:space="preserve">Educator Effectiveness </w:t>
      </w:r>
      <w:r w:rsidRPr="0057406C">
        <w:rPr>
          <w:rFonts w:cstheme="minorHAnsi"/>
          <w:sz w:val="22"/>
          <w:szCs w:val="22"/>
        </w:rPr>
        <w:t>Research Alliance</w:t>
      </w:r>
      <w:r w:rsidR="00AC18B7">
        <w:rPr>
          <w:rFonts w:cstheme="minorHAnsi"/>
          <w:sz w:val="22"/>
          <w:szCs w:val="22"/>
        </w:rPr>
        <w:t xml:space="preserve"> (</w:t>
      </w:r>
      <w:r w:rsidR="00AC18B7" w:rsidRPr="0057406C">
        <w:rPr>
          <w:rFonts w:cstheme="minorHAnsi"/>
          <w:sz w:val="22"/>
          <w:szCs w:val="22"/>
        </w:rPr>
        <w:t>Teacher Preparation</w:t>
      </w:r>
      <w:r w:rsidR="00AC18B7">
        <w:rPr>
          <w:rFonts w:cstheme="minorHAnsi"/>
          <w:sz w:val="22"/>
          <w:szCs w:val="22"/>
        </w:rPr>
        <w:t xml:space="preserve"> Workgroup)</w:t>
      </w:r>
      <w:r w:rsidRPr="0057406C">
        <w:rPr>
          <w:rFonts w:cstheme="minorHAnsi"/>
          <w:sz w:val="22"/>
          <w:szCs w:val="22"/>
        </w:rPr>
        <w:t xml:space="preserve">. </w:t>
      </w:r>
      <w:r w:rsidR="00EA21E0" w:rsidRPr="00EA21E0">
        <w:rPr>
          <w:rFonts w:cstheme="minorHAnsi"/>
          <w:sz w:val="22"/>
          <w:szCs w:val="22"/>
        </w:rPr>
        <w:t>Data from the study may be used to understand the extent to which clinical practice components vary within and across programs. This will inform conversations about emerging state standards for TPPs, such as what constitutes minimum implementation of priority components. These data will also inform conversations about TPP reform or redesign by identifying areas in which programs have less or greater emphasis.</w:t>
      </w:r>
    </w:p>
    <w:p w14:paraId="6C51B0CE" w14:textId="77777777" w:rsidR="0057406C" w:rsidRPr="0057406C" w:rsidRDefault="0057406C" w:rsidP="0057406C">
      <w:pPr>
        <w:pStyle w:val="BodyDoubleSpacedMainText"/>
        <w:spacing w:line="240" w:lineRule="auto"/>
        <w:ind w:firstLine="0"/>
        <w:rPr>
          <w:rStyle w:val="Heading2Char"/>
          <w:rFonts w:ascii="Calibri" w:eastAsiaTheme="minorHAnsi" w:hAnsi="Calibri" w:cstheme="minorHAnsi"/>
          <w:b w:val="0"/>
          <w:bCs w:val="0"/>
          <w:color w:val="auto"/>
          <w:szCs w:val="24"/>
        </w:rPr>
      </w:pPr>
    </w:p>
    <w:p w14:paraId="6C51B0CF" w14:textId="77777777" w:rsidR="005630E9" w:rsidRPr="00C176C4" w:rsidRDefault="002A716E" w:rsidP="00C176C4">
      <w:pPr>
        <w:rPr>
          <w:b/>
          <w:bCs/>
        </w:rPr>
      </w:pPr>
      <w:bookmarkStart w:id="3" w:name="_Toc364409322"/>
      <w:r w:rsidRPr="006D792F">
        <w:rPr>
          <w:rStyle w:val="Heading2Char"/>
        </w:rPr>
        <w:t xml:space="preserve">B1. </w:t>
      </w:r>
      <w:r w:rsidR="001C41EF">
        <w:rPr>
          <w:rStyle w:val="Heading2Char"/>
        </w:rPr>
        <w:t>Respondent Universe and Sampling Methods</w:t>
      </w:r>
      <w:bookmarkEnd w:id="3"/>
      <w:r w:rsidRPr="002A716E">
        <w:rPr>
          <w:b/>
          <w:bCs/>
        </w:rPr>
        <w:t xml:space="preserve"> </w:t>
      </w:r>
    </w:p>
    <w:p w14:paraId="6C51B0D0" w14:textId="77777777" w:rsidR="00EA21E0" w:rsidRPr="0069542D" w:rsidRDefault="00EA21E0" w:rsidP="00EA21E0">
      <w:pPr>
        <w:spacing w:after="0" w:line="240" w:lineRule="auto"/>
      </w:pPr>
      <w:r w:rsidRPr="0069542D">
        <w:rPr>
          <w:b/>
          <w:i/>
        </w:rPr>
        <w:t>State Selection</w:t>
      </w:r>
      <w:r w:rsidRPr="0069542D">
        <w:t>. Data to address the research questions will be collected from first-year teachers teaching in public schools in Missouri. The sample is focused on one state to provide a feasible scope of data collection, with the potential to apply the study methodology in other Central Region states based on their needs and priorities in subsequent years. Missouri was chosen as the Central Region state in which to collect data for the following reasons:</w:t>
      </w:r>
    </w:p>
    <w:p w14:paraId="6C51B0D1" w14:textId="77777777" w:rsidR="00EA21E0" w:rsidRPr="0069542D" w:rsidRDefault="00EA21E0" w:rsidP="00EA21E0">
      <w:pPr>
        <w:pStyle w:val="ListParagraph"/>
        <w:numPr>
          <w:ilvl w:val="0"/>
          <w:numId w:val="9"/>
        </w:numPr>
        <w:spacing w:before="200" w:after="0" w:line="240" w:lineRule="auto"/>
      </w:pPr>
      <w:r w:rsidRPr="0069542D">
        <w:t>Missouri prepares more teachers each year than any other state in the region;</w:t>
      </w:r>
    </w:p>
    <w:p w14:paraId="6C51B0D2" w14:textId="77777777" w:rsidR="00EA21E0" w:rsidRPr="0069542D" w:rsidRDefault="00EA21E0" w:rsidP="00EA21E0">
      <w:pPr>
        <w:pStyle w:val="ListParagraph"/>
        <w:numPr>
          <w:ilvl w:val="0"/>
          <w:numId w:val="9"/>
        </w:numPr>
        <w:spacing w:before="200" w:after="0" w:line="240" w:lineRule="auto"/>
      </w:pPr>
      <w:r w:rsidRPr="0069542D">
        <w:t>The Missouri Department of Elementary and Secondary Education (MO DESE) has a data system with the capacity to link value-added student achievement to TPPs and has collaborated with external researchers to analyze these data and publish results about the effectiveness of TPPs (</w:t>
      </w:r>
      <w:r w:rsidR="00F21B70">
        <w:t>for example</w:t>
      </w:r>
      <w:r w:rsidRPr="0069542D">
        <w:t>, Ehlert, M.</w:t>
      </w:r>
      <w:r w:rsidR="00F21B70">
        <w:t xml:space="preserve"> </w:t>
      </w:r>
      <w:r w:rsidR="00F21B70">
        <w:rPr>
          <w:i/>
        </w:rPr>
        <w:t>et al.</w:t>
      </w:r>
      <w:r w:rsidR="00F21B70">
        <w:t>,</w:t>
      </w:r>
      <w:r w:rsidRPr="0069542D">
        <w:t xml:space="preserve"> 2011; Koedel, </w:t>
      </w:r>
      <w:r w:rsidR="00F21B70">
        <w:t>Parsons, Podgursky, &amp; Ehlert</w:t>
      </w:r>
      <w:r w:rsidRPr="0069542D">
        <w:t>, 2012). These data could be used in future work linking TPP characteristics to student achievement outcome data;</w:t>
      </w:r>
    </w:p>
    <w:p w14:paraId="6C51B0D3" w14:textId="77777777" w:rsidR="00EA21E0" w:rsidRPr="0069542D" w:rsidRDefault="00EA21E0" w:rsidP="00EA21E0">
      <w:pPr>
        <w:pStyle w:val="ListParagraph"/>
        <w:numPr>
          <w:ilvl w:val="0"/>
          <w:numId w:val="9"/>
        </w:numPr>
        <w:spacing w:before="200" w:after="0" w:line="240" w:lineRule="auto"/>
      </w:pPr>
      <w:r w:rsidRPr="0069542D">
        <w:t>The MO DESE Office of Educator Quality is actively developing program standards for a comprehensive TPP assessment system with an annual program-level reporting component and is exploring new ways to collect data about TPPs;</w:t>
      </w:r>
    </w:p>
    <w:p w14:paraId="6C51B0D4" w14:textId="77777777" w:rsidR="00EA21E0" w:rsidRPr="0069542D" w:rsidRDefault="00EA21E0" w:rsidP="00EA21E0">
      <w:pPr>
        <w:pStyle w:val="ListParagraph"/>
        <w:numPr>
          <w:ilvl w:val="0"/>
          <w:numId w:val="9"/>
        </w:numPr>
        <w:spacing w:before="200" w:after="0" w:line="240" w:lineRule="auto"/>
      </w:pPr>
      <w:r w:rsidRPr="0069542D">
        <w:t>Missouri is one of two Central Region states pursuing reportedly “innovative” models for clinical preparation as part of its participation in the NCATE State Alliance for Clinically-Based Teacher Preparation</w:t>
      </w:r>
      <w:r w:rsidRPr="0069542D">
        <w:rPr>
          <w:rStyle w:val="FootnoteReference"/>
        </w:rPr>
        <w:footnoteReference w:id="1"/>
      </w:r>
      <w:r w:rsidRPr="0069542D">
        <w:t>; and</w:t>
      </w:r>
    </w:p>
    <w:p w14:paraId="6C51B0D5" w14:textId="77777777" w:rsidR="00EA21E0" w:rsidRPr="0069542D" w:rsidRDefault="00EA21E0" w:rsidP="00EA21E0">
      <w:pPr>
        <w:pStyle w:val="ListParagraph"/>
        <w:numPr>
          <w:ilvl w:val="0"/>
          <w:numId w:val="9"/>
        </w:numPr>
        <w:spacing w:before="200" w:after="0" w:line="240" w:lineRule="auto"/>
        <w:rPr>
          <w:rFonts w:eastAsia="Calibri"/>
        </w:rPr>
      </w:pPr>
      <w:r w:rsidRPr="0069542D">
        <w:t xml:space="preserve">Administrators in the MO DESE Office of Educator Quality (who are also members of REL Central’s </w:t>
      </w:r>
      <w:r w:rsidR="00AC18B7" w:rsidRPr="0069542D">
        <w:t>Educator Effectiveness</w:t>
      </w:r>
      <w:r w:rsidRPr="0069542D">
        <w:t xml:space="preserve"> Research Alliance) have relationships with TPP administrators and have agreed to provide contact information for all first-year teachers in the state.</w:t>
      </w:r>
      <w:r w:rsidRPr="0069542D" w:rsidDel="009040B1">
        <w:t xml:space="preserve"> </w:t>
      </w:r>
    </w:p>
    <w:p w14:paraId="6C51B0D6" w14:textId="77777777" w:rsidR="00EA21E0" w:rsidRPr="00297EAA" w:rsidRDefault="00EA21E0" w:rsidP="00EA21E0">
      <w:pPr>
        <w:pStyle w:val="ListParagraph"/>
        <w:spacing w:before="200" w:after="0" w:line="240" w:lineRule="auto"/>
        <w:rPr>
          <w:rFonts w:eastAsia="Calibri"/>
          <w:sz w:val="24"/>
        </w:rPr>
      </w:pPr>
    </w:p>
    <w:p w14:paraId="6C51B0D7" w14:textId="77777777" w:rsidR="00EA21E0" w:rsidRPr="0069542D" w:rsidRDefault="00EA21E0" w:rsidP="004B5064">
      <w:pPr>
        <w:spacing w:line="240" w:lineRule="auto"/>
        <w:rPr>
          <w:rFonts w:eastAsia="Calibri"/>
        </w:rPr>
      </w:pPr>
      <w:r w:rsidRPr="0069542D">
        <w:rPr>
          <w:rFonts w:eastAsia="Calibri"/>
          <w:b/>
          <w:i/>
        </w:rPr>
        <w:t>Focus on Teachers Prepared in Traditional Programs.</w:t>
      </w:r>
      <w:r w:rsidR="00F21B70">
        <w:rPr>
          <w:rFonts w:eastAsia="Calibri"/>
        </w:rPr>
        <w:t xml:space="preserve"> </w:t>
      </w:r>
      <w:r w:rsidRPr="0069542D">
        <w:rPr>
          <w:rFonts w:eastAsia="Calibri"/>
        </w:rPr>
        <w:t>Missouri offers six “routes to certification</w:t>
      </w:r>
      <w:r w:rsidRPr="0069542D">
        <w:rPr>
          <w:rStyle w:val="FootnoteReference"/>
          <w:rFonts w:eastAsia="Calibri"/>
        </w:rPr>
        <w:footnoteReference w:id="2"/>
      </w:r>
      <w:r w:rsidRPr="0069542D">
        <w:rPr>
          <w:rFonts w:eastAsia="Calibri"/>
        </w:rPr>
        <w:t>.” The study will include teachers prepared through Missouri’s “traditional route” for two primary reasons.</w:t>
      </w:r>
      <w:r w:rsidR="00F21B70">
        <w:rPr>
          <w:rFonts w:eastAsia="Calibri"/>
        </w:rPr>
        <w:t xml:space="preserve"> </w:t>
      </w:r>
      <w:r w:rsidRPr="0069542D">
        <w:rPr>
          <w:rFonts w:eastAsia="Calibri"/>
        </w:rPr>
        <w:t>First, most graduates of Missouri TPPs are trained through this route.</w:t>
      </w:r>
      <w:r w:rsidR="00F21B70">
        <w:rPr>
          <w:rFonts w:eastAsia="Calibri"/>
        </w:rPr>
        <w:t xml:space="preserve"> </w:t>
      </w:r>
      <w:r w:rsidR="00E53183" w:rsidRPr="0069542D">
        <w:rPr>
          <w:rFonts w:eastAsia="Calibri"/>
        </w:rPr>
        <w:t xml:space="preserve">Missouri’s </w:t>
      </w:r>
      <w:r w:rsidR="00314365" w:rsidRPr="0069542D">
        <w:rPr>
          <w:rFonts w:eastAsia="Calibri"/>
        </w:rPr>
        <w:t>2012</w:t>
      </w:r>
      <w:r w:rsidR="00E53183" w:rsidRPr="0069542D">
        <w:rPr>
          <w:rFonts w:eastAsia="Calibri"/>
        </w:rPr>
        <w:t xml:space="preserve"> Title II State Report</w:t>
      </w:r>
      <w:r w:rsidR="00E53183" w:rsidRPr="0069542D">
        <w:rPr>
          <w:rStyle w:val="FootnoteReference"/>
          <w:rFonts w:eastAsia="Calibri"/>
        </w:rPr>
        <w:footnoteReference w:id="3"/>
      </w:r>
      <w:r w:rsidR="00E53183" w:rsidRPr="0069542D">
        <w:rPr>
          <w:rFonts w:eastAsia="Calibri"/>
        </w:rPr>
        <w:t xml:space="preserve">, shows that that </w:t>
      </w:r>
      <w:r w:rsidR="00314365" w:rsidRPr="0069542D">
        <w:rPr>
          <w:rFonts w:eastAsia="Calibri"/>
        </w:rPr>
        <w:t>6,226</w:t>
      </w:r>
      <w:r w:rsidR="00E53183" w:rsidRPr="0069542D">
        <w:rPr>
          <w:rFonts w:eastAsia="Calibri"/>
        </w:rPr>
        <w:t xml:space="preserve"> teacher candidates (8</w:t>
      </w:r>
      <w:r w:rsidR="00314365" w:rsidRPr="0069542D">
        <w:rPr>
          <w:rFonts w:eastAsia="Calibri"/>
        </w:rPr>
        <w:t>6</w:t>
      </w:r>
      <w:r w:rsidR="00E53183" w:rsidRPr="0069542D">
        <w:rPr>
          <w:rFonts w:eastAsia="Calibri"/>
        </w:rPr>
        <w:t>%) completed the “traditional” route at one of 38 institutions of higher education in the state during the 20</w:t>
      </w:r>
      <w:r w:rsidR="00314365" w:rsidRPr="0069542D">
        <w:rPr>
          <w:rFonts w:eastAsia="Calibri"/>
        </w:rPr>
        <w:t>1</w:t>
      </w:r>
      <w:r w:rsidR="00E53183" w:rsidRPr="0069542D">
        <w:rPr>
          <w:rFonts w:eastAsia="Calibri"/>
        </w:rPr>
        <w:t>0</w:t>
      </w:r>
      <w:r w:rsidR="00E53183" w:rsidRPr="0069542D">
        <w:rPr>
          <w:rFonts w:eastAsia="Calibri" w:cs="Calibri"/>
        </w:rPr>
        <w:t>–</w:t>
      </w:r>
      <w:r w:rsidR="00E53183" w:rsidRPr="0069542D">
        <w:rPr>
          <w:rFonts w:eastAsia="Calibri"/>
        </w:rPr>
        <w:t>1</w:t>
      </w:r>
      <w:r w:rsidR="00314365" w:rsidRPr="0069542D">
        <w:rPr>
          <w:rFonts w:eastAsia="Calibri"/>
        </w:rPr>
        <w:t>1</w:t>
      </w:r>
      <w:r w:rsidR="00E53183" w:rsidRPr="0069542D">
        <w:rPr>
          <w:rFonts w:eastAsia="Calibri"/>
        </w:rPr>
        <w:t xml:space="preserve"> academic year.</w:t>
      </w:r>
      <w:r w:rsidR="00F21B70">
        <w:rPr>
          <w:rFonts w:eastAsia="Calibri"/>
        </w:rPr>
        <w:t xml:space="preserve"> </w:t>
      </w:r>
      <w:r w:rsidRPr="0069542D">
        <w:rPr>
          <w:rFonts w:eastAsia="Calibri"/>
        </w:rPr>
        <w:t>Second, in traditional programs there is a clear distinction between teacher preparation and teaching</w:t>
      </w:r>
      <w:r w:rsidRPr="0069542D">
        <w:rPr>
          <w:rFonts w:eastAsia="Calibri" w:cs="Calibri"/>
        </w:rPr>
        <w:t>—</w:t>
      </w:r>
      <w:r w:rsidRPr="0069542D">
        <w:rPr>
          <w:rFonts w:eastAsia="Calibri"/>
        </w:rPr>
        <w:t>unlike in alternative certification routes in which many teacher candidates serve as the classroom teacher of record prior to completing their preparation program and becoming a certified teacher.</w:t>
      </w:r>
      <w:r w:rsidR="00F21B70">
        <w:rPr>
          <w:rFonts w:eastAsia="Calibri"/>
        </w:rPr>
        <w:t xml:space="preserve"> </w:t>
      </w:r>
      <w:r w:rsidRPr="0069542D">
        <w:rPr>
          <w:rFonts w:eastAsia="Calibri"/>
        </w:rPr>
        <w:t>Such a distinction is needed because a retrospective survey of clinical practice experiences cannot be meaningfully completed by practicing teachers who have not completed their preparation program.</w:t>
      </w:r>
      <w:r w:rsidR="00F21B70">
        <w:rPr>
          <w:rFonts w:eastAsia="Calibri"/>
        </w:rPr>
        <w:t xml:space="preserve"> </w:t>
      </w:r>
      <w:r w:rsidRPr="0069542D">
        <w:rPr>
          <w:rFonts w:eastAsia="Calibri"/>
        </w:rPr>
        <w:t>Only teachers who have completed their preparation can provide accurate and complete reports of their clinical experience.</w:t>
      </w:r>
      <w:r w:rsidR="00F21B70">
        <w:rPr>
          <w:rFonts w:eastAsia="Calibri"/>
        </w:rPr>
        <w:t xml:space="preserve"> </w:t>
      </w:r>
      <w:r w:rsidRPr="0069542D">
        <w:rPr>
          <w:rFonts w:eastAsia="Calibri"/>
        </w:rPr>
        <w:t>Further, a survey of the clinical experiences of teachers trained through alternative routes requires a different set of questions to address fundamental differences in definitions of terms such as “field experience” and “student teaching experience” which would provide information that could not be directly compared to that collected from students in traditional programs.</w:t>
      </w:r>
      <w:r w:rsidR="00F21B70">
        <w:rPr>
          <w:rFonts w:eastAsia="Calibri"/>
        </w:rPr>
        <w:t xml:space="preserve"> </w:t>
      </w:r>
      <w:r w:rsidRPr="0069542D">
        <w:rPr>
          <w:rFonts w:eastAsia="Calibri"/>
        </w:rPr>
        <w:t>In this first effort to collect comprehensive and individual-level data about clinical experience in teacher preparation, REL Central believes that study resources are most efficiently deployed through a study that focuses on the pre</w:t>
      </w:r>
      <w:r w:rsidR="00CF3F57">
        <w:rPr>
          <w:rFonts w:eastAsia="Calibri"/>
        </w:rPr>
        <w:t>-</w:t>
      </w:r>
      <w:r w:rsidRPr="0069542D">
        <w:rPr>
          <w:rFonts w:eastAsia="Calibri"/>
        </w:rPr>
        <w:t>service preparation activities of teachers in traditional programs. The study will generate findings that are relevant to the route through which most teachers are prepared in Missouri, providing information that can be meaningfully compared across programs.</w:t>
      </w:r>
      <w:r w:rsidR="00F21B70">
        <w:rPr>
          <w:rFonts w:eastAsia="Calibri"/>
        </w:rPr>
        <w:t xml:space="preserve"> </w:t>
      </w:r>
    </w:p>
    <w:p w14:paraId="6C51B0D8" w14:textId="77777777" w:rsidR="00EA21E0" w:rsidRPr="0069542D" w:rsidRDefault="00EA21E0" w:rsidP="00EA21E0">
      <w:pPr>
        <w:spacing w:line="240" w:lineRule="auto"/>
        <w:rPr>
          <w:rFonts w:eastAsia="Calibri"/>
        </w:rPr>
      </w:pPr>
      <w:r w:rsidRPr="0069542D">
        <w:rPr>
          <w:rFonts w:eastAsia="Calibri"/>
          <w:b/>
          <w:i/>
        </w:rPr>
        <w:t>Identification of Recent Teacher Preparation Program Graduates</w:t>
      </w:r>
      <w:r w:rsidRPr="0069542D">
        <w:rPr>
          <w:rFonts w:eastAsia="Calibri"/>
        </w:rPr>
        <w:t>.</w:t>
      </w:r>
      <w:r w:rsidR="00F21B70">
        <w:rPr>
          <w:rFonts w:eastAsia="Calibri"/>
        </w:rPr>
        <w:t xml:space="preserve"> </w:t>
      </w:r>
      <w:r w:rsidRPr="0069542D">
        <w:rPr>
          <w:rFonts w:eastAsia="Calibri"/>
        </w:rPr>
        <w:t xml:space="preserve">To identify individuals who recently completed teacher preparation programs in Missouri, REL Central will work with MO DESE to collect names and contact information of all first-year public school teachers in the state who were prepared in traditional programs. Since 2007, MO DESE has administered an online </w:t>
      </w:r>
      <w:r w:rsidRPr="0069542D">
        <w:rPr>
          <w:rFonts w:eastAsia="Calibri"/>
          <w:i/>
        </w:rPr>
        <w:t>First-Year Teacher Survey</w:t>
      </w:r>
      <w:r w:rsidRPr="0069542D">
        <w:rPr>
          <w:rFonts w:eastAsia="Calibri"/>
        </w:rPr>
        <w:t xml:space="preserve"> to all first-year teachers in the state.</w:t>
      </w:r>
      <w:r w:rsidR="00F21B70">
        <w:rPr>
          <w:rFonts w:eastAsia="Calibri"/>
        </w:rPr>
        <w:t xml:space="preserve"> </w:t>
      </w:r>
      <w:r w:rsidRPr="0069542D">
        <w:rPr>
          <w:rFonts w:eastAsia="Calibri"/>
        </w:rPr>
        <w:t>Each year, the state works with the Office of Social and Economic Analysis (OSEDA) at the University of Missouri to develop a comprehensive list of teacher names and contact information for this purpose.</w:t>
      </w:r>
      <w:r w:rsidR="00F21B70">
        <w:rPr>
          <w:rFonts w:eastAsia="Calibri"/>
        </w:rPr>
        <w:t xml:space="preserve"> </w:t>
      </w:r>
      <w:r w:rsidRPr="0069542D">
        <w:rPr>
          <w:rFonts w:eastAsia="Calibri"/>
        </w:rPr>
        <w:t>OSEDA has developed protocols to ensure inclusion only of first-year teachers, excluding those teachers who are new to a particular district or new to the state, for example.</w:t>
      </w:r>
      <w:r w:rsidR="00F21B70">
        <w:rPr>
          <w:rFonts w:eastAsia="Calibri"/>
        </w:rPr>
        <w:t xml:space="preserve"> </w:t>
      </w:r>
      <w:r w:rsidRPr="0069542D">
        <w:rPr>
          <w:rFonts w:eastAsia="Calibri"/>
        </w:rPr>
        <w:t>Use of MO DESE contact information for practicing first-year teachers was chosen in favor of an alternative approach in which program graduate contact information would be collected from each of the nearly 40 teacher preparation programs in the state.</w:t>
      </w:r>
      <w:r w:rsidR="00F21B70">
        <w:rPr>
          <w:rFonts w:eastAsia="Calibri"/>
        </w:rPr>
        <w:t xml:space="preserve"> </w:t>
      </w:r>
      <w:r w:rsidRPr="0069542D">
        <w:rPr>
          <w:rFonts w:eastAsia="Calibri"/>
        </w:rPr>
        <w:t>While collecting contact information from each Missouri TPP would help to ensure representation of all TPP graduates regardless of whether they chose to teach in the state, consideration of the following factors led REL Central to choose the former approach:</w:t>
      </w:r>
    </w:p>
    <w:p w14:paraId="6C51B0D9" w14:textId="77777777" w:rsidR="00EA21E0" w:rsidRPr="0069542D" w:rsidRDefault="00EA21E0" w:rsidP="00EA21E0">
      <w:pPr>
        <w:pStyle w:val="ListParagraph"/>
        <w:numPr>
          <w:ilvl w:val="0"/>
          <w:numId w:val="8"/>
        </w:numPr>
        <w:spacing w:line="240" w:lineRule="auto"/>
        <w:rPr>
          <w:rFonts w:eastAsia="Calibri"/>
        </w:rPr>
      </w:pPr>
      <w:r w:rsidRPr="0069542D">
        <w:rPr>
          <w:rFonts w:eastAsia="Calibri"/>
        </w:rPr>
        <w:t>Collection of graduate contact information from multiple TPPs—some of which might have additional requirements for data release or human subjects review—would require OMB approval which would require additional effort and lengthen the project timeline;</w:t>
      </w:r>
    </w:p>
    <w:p w14:paraId="6C51B0DA" w14:textId="77777777" w:rsidR="00EA21E0" w:rsidRPr="0069542D" w:rsidRDefault="00EA21E0" w:rsidP="00EA21E0">
      <w:pPr>
        <w:pStyle w:val="ListParagraph"/>
        <w:numPr>
          <w:ilvl w:val="0"/>
          <w:numId w:val="8"/>
        </w:numPr>
        <w:spacing w:line="240" w:lineRule="auto"/>
        <w:rPr>
          <w:rFonts w:eastAsia="Calibri"/>
        </w:rPr>
      </w:pPr>
      <w:r w:rsidRPr="0069542D">
        <w:rPr>
          <w:rFonts w:eastAsia="Calibri"/>
        </w:rPr>
        <w:t>Data collection from multiple TPPs would require contact with administrators at each TPP, increasing the overall data collection burden for respondents;</w:t>
      </w:r>
    </w:p>
    <w:p w14:paraId="6C51B0DB" w14:textId="77777777" w:rsidR="00EA21E0" w:rsidRPr="0069542D" w:rsidRDefault="00EA21E0" w:rsidP="00EA21E0">
      <w:pPr>
        <w:pStyle w:val="ListParagraph"/>
        <w:numPr>
          <w:ilvl w:val="0"/>
          <w:numId w:val="8"/>
        </w:numPr>
        <w:spacing w:line="240" w:lineRule="auto"/>
        <w:rPr>
          <w:rFonts w:eastAsia="Calibri"/>
        </w:rPr>
      </w:pPr>
      <w:r w:rsidRPr="0069542D">
        <w:rPr>
          <w:rFonts w:eastAsia="Calibri"/>
        </w:rPr>
        <w:t>The quality and consistency of data collected from multiple TPPs would likely vary, creating potential challenges for successfully contacting graduates; and</w:t>
      </w:r>
    </w:p>
    <w:p w14:paraId="6C51B0DC" w14:textId="77777777" w:rsidR="00EA21E0" w:rsidRPr="0069542D" w:rsidRDefault="00EA21E0" w:rsidP="00EA21E0">
      <w:pPr>
        <w:pStyle w:val="ListParagraph"/>
        <w:numPr>
          <w:ilvl w:val="0"/>
          <w:numId w:val="8"/>
        </w:numPr>
        <w:spacing w:line="240" w:lineRule="auto"/>
        <w:rPr>
          <w:rFonts w:eastAsia="Calibri"/>
        </w:rPr>
      </w:pPr>
      <w:r w:rsidRPr="0069542D">
        <w:rPr>
          <w:rFonts w:eastAsia="Calibri"/>
        </w:rPr>
        <w:t>Collection of information about the pre</w:t>
      </w:r>
      <w:r w:rsidR="00CF3F57">
        <w:rPr>
          <w:rFonts w:eastAsia="Calibri"/>
        </w:rPr>
        <w:t>-</w:t>
      </w:r>
      <w:r w:rsidRPr="0069542D">
        <w:rPr>
          <w:rFonts w:eastAsia="Calibri"/>
        </w:rPr>
        <w:t>service clinical practice experiences of first-year teachers in Missouri is potentially more useful in that: (1) state administrators and policymakers may be most interested in the experiences of teachers who actually go on to practice in the state and, (2) the data collected via REL Central’s survey can be more easily linked to data maintained by MO DESE in future research.</w:t>
      </w:r>
      <w:r w:rsidR="00F21B70">
        <w:rPr>
          <w:rFonts w:eastAsia="Calibri"/>
        </w:rPr>
        <w:t xml:space="preserve"> </w:t>
      </w:r>
      <w:r w:rsidRPr="0069542D">
        <w:rPr>
          <w:rFonts w:eastAsia="Calibri"/>
        </w:rPr>
        <w:t xml:space="preserve">For example, reports of teacher preparedness collected on the </w:t>
      </w:r>
      <w:r w:rsidRPr="0069542D">
        <w:rPr>
          <w:rFonts w:eastAsia="Calibri"/>
          <w:i/>
        </w:rPr>
        <w:t>First-Year Teacher Survey</w:t>
      </w:r>
      <w:r w:rsidRPr="0069542D">
        <w:rPr>
          <w:rFonts w:eastAsia="Calibri"/>
        </w:rPr>
        <w:t xml:space="preserve"> could potentially be linked to reports of clinical practice experience in a future research project. </w:t>
      </w:r>
    </w:p>
    <w:p w14:paraId="6C51B0DD" w14:textId="77777777" w:rsidR="00EA21E0" w:rsidRPr="0069542D" w:rsidRDefault="00EA21E0" w:rsidP="00EA21E0">
      <w:pPr>
        <w:spacing w:line="240" w:lineRule="auto"/>
        <w:rPr>
          <w:rFonts w:eastAsia="Calibri"/>
        </w:rPr>
      </w:pPr>
      <w:r w:rsidRPr="0069542D">
        <w:rPr>
          <w:rFonts w:eastAsia="Calibri"/>
          <w:b/>
          <w:i/>
        </w:rPr>
        <w:t>Representativeness of the Sampling Frame</w:t>
      </w:r>
      <w:r w:rsidRPr="0069542D">
        <w:rPr>
          <w:rFonts w:eastAsia="Calibri"/>
        </w:rPr>
        <w:t>.</w:t>
      </w:r>
      <w:r w:rsidR="00F21B70">
        <w:rPr>
          <w:rFonts w:eastAsia="Calibri"/>
        </w:rPr>
        <w:t xml:space="preserve"> </w:t>
      </w:r>
      <w:r w:rsidRPr="0069542D">
        <w:rPr>
          <w:rFonts w:eastAsia="Calibri"/>
        </w:rPr>
        <w:t>Data from the prior-year state Title II report will be used to provide an indication of the percentage of all traditional TPP graduates who are included in the study sampling frame. Using the count of teachers trained during the 2011</w:t>
      </w:r>
      <w:r w:rsidRPr="0069542D">
        <w:rPr>
          <w:rFonts w:eastAsia="Calibri" w:cs="Calibri"/>
        </w:rPr>
        <w:t>–</w:t>
      </w:r>
      <w:r w:rsidRPr="0069542D">
        <w:rPr>
          <w:rFonts w:eastAsia="Calibri"/>
        </w:rPr>
        <w:t>12 academic year (from Missouri’s 2013 Title II State Report) and the number of first-year public school teachers who were trained in traditional Missouri TPPs (those in the study sampling frame), REL Central will compute the estimated percentage of TPP graduates included in the sampling frame.</w:t>
      </w:r>
    </w:p>
    <w:p w14:paraId="6C51B0DE" w14:textId="77777777" w:rsidR="00EA21E0" w:rsidRPr="0069542D" w:rsidRDefault="00EA21E0" w:rsidP="00EA21E0">
      <w:pPr>
        <w:spacing w:line="240" w:lineRule="auto"/>
        <w:rPr>
          <w:rFonts w:eastAsia="Calibri"/>
        </w:rPr>
      </w:pPr>
      <w:r w:rsidRPr="0069542D">
        <w:rPr>
          <w:rFonts w:eastAsia="Calibri"/>
          <w:b/>
          <w:i/>
        </w:rPr>
        <w:t>Sampling Plan</w:t>
      </w:r>
      <w:r w:rsidRPr="0069542D">
        <w:rPr>
          <w:rFonts w:eastAsia="Calibri"/>
        </w:rPr>
        <w:t xml:space="preserve">. REL Central used the </w:t>
      </w:r>
      <w:r w:rsidRPr="0069542D">
        <w:rPr>
          <w:rFonts w:eastAsia="Calibri"/>
          <w:i/>
        </w:rPr>
        <w:t>Guidance on Agency Survey and Statistical Information Collections</w:t>
      </w:r>
      <w:r w:rsidRPr="0069542D">
        <w:rPr>
          <w:rFonts w:eastAsia="Calibri"/>
        </w:rPr>
        <w:t xml:space="preserve"> (Office of Management and Budget, 2006) to design the sampling plan for the study. Based on Missouri’</w:t>
      </w:r>
      <w:r w:rsidR="00314365" w:rsidRPr="0069542D">
        <w:rPr>
          <w:rFonts w:eastAsia="Calibri"/>
        </w:rPr>
        <w:t xml:space="preserve">s 2012 Title II State Report, </w:t>
      </w:r>
      <w:r w:rsidR="00206125">
        <w:rPr>
          <w:rFonts w:eastAsia="Calibri"/>
        </w:rPr>
        <w:t>eighteen</w:t>
      </w:r>
      <w:r w:rsidRPr="0069542D">
        <w:rPr>
          <w:rFonts w:eastAsia="Calibri"/>
        </w:rPr>
        <w:t xml:space="preserve"> teacher preparation programs had fewer </w:t>
      </w:r>
      <w:r w:rsidR="00314365" w:rsidRPr="0069542D">
        <w:rPr>
          <w:rFonts w:eastAsia="Calibri"/>
        </w:rPr>
        <w:t xml:space="preserve">than 100 graduates; </w:t>
      </w:r>
      <w:r w:rsidR="00206125">
        <w:rPr>
          <w:rFonts w:eastAsia="Calibri"/>
        </w:rPr>
        <w:t>twelve</w:t>
      </w:r>
      <w:r w:rsidRPr="0069542D">
        <w:rPr>
          <w:rFonts w:eastAsia="Calibri"/>
        </w:rPr>
        <w:t xml:space="preserve"> programs </w:t>
      </w:r>
      <w:r w:rsidR="00206125">
        <w:rPr>
          <w:rFonts w:eastAsia="Calibri"/>
        </w:rPr>
        <w:t xml:space="preserve">had </w:t>
      </w:r>
      <w:r w:rsidRPr="0069542D">
        <w:rPr>
          <w:rFonts w:eastAsia="Calibri"/>
        </w:rPr>
        <w:t>between 100</w:t>
      </w:r>
      <w:r w:rsidRPr="0069542D">
        <w:rPr>
          <w:rFonts w:eastAsia="Calibri" w:cs="Calibri"/>
        </w:rPr>
        <w:t>–</w:t>
      </w:r>
      <w:r w:rsidRPr="0069542D">
        <w:rPr>
          <w:rFonts w:eastAsia="Calibri"/>
        </w:rPr>
        <w:t xml:space="preserve">200 graduates; and </w:t>
      </w:r>
      <w:r w:rsidR="00206125">
        <w:rPr>
          <w:rFonts w:eastAsia="Calibri"/>
        </w:rPr>
        <w:t>eight</w:t>
      </w:r>
      <w:r w:rsidRPr="0069542D">
        <w:rPr>
          <w:rFonts w:eastAsia="Calibri"/>
        </w:rPr>
        <w:t xml:space="preserve"> programs had more than 300 graduates. Among these programs, there </w:t>
      </w:r>
      <w:r w:rsidR="00314365" w:rsidRPr="0069542D">
        <w:rPr>
          <w:rFonts w:eastAsia="Calibri"/>
        </w:rPr>
        <w:t xml:space="preserve">are only </w:t>
      </w:r>
      <w:r w:rsidR="0069542D">
        <w:rPr>
          <w:rFonts w:eastAsia="Calibri"/>
        </w:rPr>
        <w:t xml:space="preserve">four </w:t>
      </w:r>
      <w:r w:rsidRPr="0069542D">
        <w:rPr>
          <w:rFonts w:eastAsia="Calibri"/>
        </w:rPr>
        <w:t xml:space="preserve">that </w:t>
      </w:r>
      <w:r w:rsidR="00314365" w:rsidRPr="0069542D">
        <w:rPr>
          <w:rFonts w:eastAsia="Calibri"/>
        </w:rPr>
        <w:t xml:space="preserve">are </w:t>
      </w:r>
      <w:r w:rsidRPr="0069542D">
        <w:rPr>
          <w:rFonts w:eastAsia="Calibri"/>
        </w:rPr>
        <w:t xml:space="preserve">likely to have had more than 300 graduates who go on to teach in public schools in Missouri. </w:t>
      </w:r>
    </w:p>
    <w:p w14:paraId="6C51B0DF" w14:textId="77777777" w:rsidR="00EA21E0" w:rsidRPr="0069542D" w:rsidRDefault="00EA21E0" w:rsidP="00EA21E0">
      <w:pPr>
        <w:spacing w:line="240" w:lineRule="auto"/>
        <w:rPr>
          <w:rFonts w:eastAsia="Calibri"/>
        </w:rPr>
      </w:pPr>
      <w:r w:rsidRPr="0069542D">
        <w:rPr>
          <w:rFonts w:eastAsia="Calibri"/>
        </w:rPr>
        <w:t xml:space="preserve">Based on OMB guidance, and given a confidence interval level of 95 percent, the minimum proportion of respondents needed (to achieve estimates with a 95 percent confidence interval no larger than plus or minus five percent) is listed in Table </w:t>
      </w:r>
      <w:r w:rsidR="00314365" w:rsidRPr="0069542D">
        <w:rPr>
          <w:rFonts w:eastAsia="Calibri"/>
        </w:rPr>
        <w:t>1</w:t>
      </w:r>
      <w:r w:rsidRPr="0069542D">
        <w:rPr>
          <w:rFonts w:eastAsia="Calibri"/>
        </w:rPr>
        <w:t xml:space="preserve"> for several teacher preparation program sizes. “Adjusted minimum” proportions are presented to account for a nonresponse rate of up to 20 percent. </w:t>
      </w:r>
    </w:p>
    <w:p w14:paraId="6C51B0E0" w14:textId="77777777" w:rsidR="00EA21E0" w:rsidRPr="000B4A07" w:rsidRDefault="00EA21E0" w:rsidP="00EA21E0">
      <w:pPr>
        <w:spacing w:line="240" w:lineRule="auto"/>
        <w:rPr>
          <w:rFonts w:eastAsia="Calibri"/>
          <w:b/>
          <w:sz w:val="24"/>
          <w:vertAlign w:val="subscript"/>
        </w:rPr>
      </w:pPr>
      <w:r w:rsidRPr="000B4A07">
        <w:rPr>
          <w:rFonts w:eastAsia="Calibri"/>
          <w:b/>
          <w:sz w:val="24"/>
        </w:rPr>
        <w:t xml:space="preserve">Table </w:t>
      </w:r>
      <w:r w:rsidR="00314365">
        <w:rPr>
          <w:rFonts w:eastAsia="Calibri"/>
          <w:b/>
          <w:sz w:val="24"/>
        </w:rPr>
        <w:t>1</w:t>
      </w:r>
      <w:r w:rsidRPr="000B4A07">
        <w:rPr>
          <w:rFonts w:eastAsia="Calibri"/>
          <w:b/>
          <w:sz w:val="24"/>
        </w:rPr>
        <w:t xml:space="preserve">: </w:t>
      </w:r>
      <w:r>
        <w:rPr>
          <w:rFonts w:eastAsia="Calibri"/>
          <w:b/>
          <w:sz w:val="24"/>
        </w:rPr>
        <w:t xml:space="preserve">Minimum Proportion </w:t>
      </w:r>
      <w:r w:rsidRPr="000B4A07">
        <w:rPr>
          <w:rFonts w:eastAsia="Calibri"/>
          <w:b/>
          <w:sz w:val="24"/>
        </w:rPr>
        <w:t xml:space="preserve">of </w:t>
      </w:r>
      <w:r>
        <w:rPr>
          <w:rFonts w:eastAsia="Calibri"/>
          <w:b/>
          <w:sz w:val="24"/>
        </w:rPr>
        <w:t>Respondents N</w:t>
      </w:r>
      <w:r w:rsidRPr="000B4A07">
        <w:rPr>
          <w:rFonts w:eastAsia="Calibri"/>
          <w:b/>
          <w:sz w:val="24"/>
        </w:rPr>
        <w:t xml:space="preserve">eeded </w:t>
      </w:r>
      <w:r>
        <w:rPr>
          <w:rFonts w:eastAsia="Calibri"/>
          <w:b/>
          <w:sz w:val="24"/>
        </w:rPr>
        <w:t>by Program S</w:t>
      </w:r>
      <w:r w:rsidRPr="000B4A07">
        <w:rPr>
          <w:rFonts w:eastAsia="Calibri"/>
          <w:b/>
          <w:sz w:val="24"/>
        </w:rPr>
        <w:t>ize</w:t>
      </w:r>
      <w:r w:rsidR="00F21B70">
        <w:rPr>
          <w:rFonts w:eastAsia="Calibri"/>
          <w:b/>
          <w:sz w:val="24"/>
        </w:rPr>
        <w:t xml:space="preserve"> </w:t>
      </w:r>
    </w:p>
    <w:tbl>
      <w:tblPr>
        <w:tblStyle w:val="TableGrid1"/>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1800"/>
        <w:gridCol w:w="1710"/>
      </w:tblGrid>
      <w:tr w:rsidR="00EA21E0" w:rsidRPr="00861E0D" w14:paraId="6C51B0E4" w14:textId="77777777" w:rsidTr="000E7C1D">
        <w:tc>
          <w:tcPr>
            <w:tcW w:w="1278" w:type="dxa"/>
            <w:tcBorders>
              <w:top w:val="single" w:sz="4" w:space="0" w:color="auto"/>
              <w:bottom w:val="single" w:sz="4" w:space="0" w:color="auto"/>
            </w:tcBorders>
            <w:vAlign w:val="bottom"/>
          </w:tcPr>
          <w:p w14:paraId="6C51B0E1" w14:textId="77777777" w:rsidR="00EA21E0" w:rsidRPr="00861E0D" w:rsidRDefault="00EA21E0" w:rsidP="000E7C1D">
            <w:pPr>
              <w:jc w:val="center"/>
              <w:rPr>
                <w:rFonts w:eastAsia="Calibri"/>
                <w:b/>
                <w:sz w:val="18"/>
                <w:szCs w:val="18"/>
              </w:rPr>
            </w:pPr>
            <w:r w:rsidRPr="00861E0D">
              <w:rPr>
                <w:rFonts w:eastAsia="Calibri"/>
                <w:b/>
                <w:sz w:val="18"/>
                <w:szCs w:val="18"/>
              </w:rPr>
              <w:t>Program Size</w:t>
            </w:r>
          </w:p>
        </w:tc>
        <w:tc>
          <w:tcPr>
            <w:tcW w:w="1800" w:type="dxa"/>
            <w:tcBorders>
              <w:top w:val="single" w:sz="4" w:space="0" w:color="auto"/>
              <w:bottom w:val="single" w:sz="4" w:space="0" w:color="auto"/>
            </w:tcBorders>
            <w:vAlign w:val="bottom"/>
          </w:tcPr>
          <w:p w14:paraId="6C51B0E2" w14:textId="77777777" w:rsidR="00EA21E0" w:rsidRPr="00861E0D" w:rsidRDefault="00EA21E0" w:rsidP="000E7C1D">
            <w:pPr>
              <w:jc w:val="center"/>
              <w:rPr>
                <w:rFonts w:eastAsia="Calibri"/>
                <w:b/>
                <w:sz w:val="18"/>
                <w:szCs w:val="18"/>
              </w:rPr>
            </w:pPr>
            <w:r w:rsidRPr="00861E0D">
              <w:rPr>
                <w:rFonts w:eastAsia="Calibri"/>
                <w:b/>
                <w:sz w:val="18"/>
                <w:szCs w:val="18"/>
              </w:rPr>
              <w:t>Minimum Proportion</w:t>
            </w:r>
          </w:p>
        </w:tc>
        <w:tc>
          <w:tcPr>
            <w:tcW w:w="1710" w:type="dxa"/>
            <w:tcBorders>
              <w:top w:val="single" w:sz="4" w:space="0" w:color="auto"/>
              <w:bottom w:val="single" w:sz="4" w:space="0" w:color="auto"/>
            </w:tcBorders>
            <w:vAlign w:val="bottom"/>
          </w:tcPr>
          <w:p w14:paraId="6C51B0E3" w14:textId="77777777" w:rsidR="00EA21E0" w:rsidRPr="00861E0D" w:rsidRDefault="00EA21E0" w:rsidP="000E7C1D">
            <w:pPr>
              <w:jc w:val="center"/>
              <w:rPr>
                <w:rFonts w:eastAsia="Calibri"/>
                <w:b/>
                <w:sz w:val="18"/>
                <w:szCs w:val="18"/>
              </w:rPr>
            </w:pPr>
            <w:r w:rsidRPr="00861E0D">
              <w:rPr>
                <w:rFonts w:eastAsia="Calibri"/>
                <w:b/>
                <w:sz w:val="18"/>
                <w:szCs w:val="18"/>
              </w:rPr>
              <w:t>Adjusted Minimum Proportion</w:t>
            </w:r>
          </w:p>
        </w:tc>
      </w:tr>
      <w:tr w:rsidR="00EA21E0" w:rsidRPr="00861E0D" w14:paraId="6C51B0E8" w14:textId="77777777" w:rsidTr="000E7C1D">
        <w:tc>
          <w:tcPr>
            <w:tcW w:w="1278" w:type="dxa"/>
            <w:tcBorders>
              <w:top w:val="single" w:sz="4" w:space="0" w:color="auto"/>
            </w:tcBorders>
          </w:tcPr>
          <w:p w14:paraId="6C51B0E5" w14:textId="77777777" w:rsidR="00EA21E0" w:rsidRPr="00861E0D" w:rsidRDefault="00EA21E0" w:rsidP="000E7C1D">
            <w:pPr>
              <w:jc w:val="right"/>
              <w:rPr>
                <w:rFonts w:eastAsia="Calibri"/>
                <w:sz w:val="18"/>
                <w:szCs w:val="18"/>
              </w:rPr>
            </w:pPr>
            <w:r w:rsidRPr="00861E0D">
              <w:rPr>
                <w:rFonts w:eastAsia="Calibri"/>
                <w:sz w:val="18"/>
                <w:szCs w:val="18"/>
              </w:rPr>
              <w:t>100</w:t>
            </w:r>
          </w:p>
        </w:tc>
        <w:tc>
          <w:tcPr>
            <w:tcW w:w="1800" w:type="dxa"/>
            <w:tcBorders>
              <w:top w:val="single" w:sz="4" w:space="0" w:color="auto"/>
            </w:tcBorders>
            <w:vAlign w:val="bottom"/>
          </w:tcPr>
          <w:p w14:paraId="6C51B0E6" w14:textId="77777777" w:rsidR="00EA21E0" w:rsidRPr="00861E0D" w:rsidRDefault="00EA21E0" w:rsidP="000E7C1D">
            <w:pPr>
              <w:jc w:val="right"/>
              <w:rPr>
                <w:rFonts w:eastAsia="Calibri"/>
                <w:sz w:val="18"/>
                <w:szCs w:val="18"/>
              </w:rPr>
            </w:pPr>
            <w:r w:rsidRPr="00861E0D">
              <w:rPr>
                <w:rFonts w:cs="Calibri"/>
                <w:sz w:val="18"/>
                <w:szCs w:val="18"/>
              </w:rPr>
              <w:t>95%</w:t>
            </w:r>
          </w:p>
        </w:tc>
        <w:tc>
          <w:tcPr>
            <w:tcW w:w="1710" w:type="dxa"/>
            <w:tcBorders>
              <w:top w:val="single" w:sz="4" w:space="0" w:color="auto"/>
            </w:tcBorders>
            <w:vAlign w:val="bottom"/>
          </w:tcPr>
          <w:p w14:paraId="6C51B0E7" w14:textId="77777777" w:rsidR="00EA21E0" w:rsidRPr="00861E0D" w:rsidRDefault="00EA21E0" w:rsidP="000E7C1D">
            <w:pPr>
              <w:jc w:val="right"/>
              <w:rPr>
                <w:rFonts w:eastAsia="Calibri"/>
                <w:sz w:val="18"/>
                <w:szCs w:val="18"/>
              </w:rPr>
            </w:pPr>
            <w:r w:rsidRPr="00861E0D">
              <w:rPr>
                <w:rFonts w:cs="Calibri"/>
                <w:sz w:val="18"/>
                <w:szCs w:val="18"/>
              </w:rPr>
              <w:t>100%</w:t>
            </w:r>
          </w:p>
        </w:tc>
      </w:tr>
      <w:tr w:rsidR="00EA21E0" w:rsidRPr="00861E0D" w14:paraId="6C51B0EC" w14:textId="77777777" w:rsidTr="000E7C1D">
        <w:tc>
          <w:tcPr>
            <w:tcW w:w="1278" w:type="dxa"/>
          </w:tcPr>
          <w:p w14:paraId="6C51B0E9" w14:textId="77777777" w:rsidR="00EA21E0" w:rsidRPr="00861E0D" w:rsidRDefault="00EA21E0" w:rsidP="000E7C1D">
            <w:pPr>
              <w:jc w:val="right"/>
              <w:rPr>
                <w:rFonts w:eastAsia="Calibri"/>
                <w:sz w:val="18"/>
                <w:szCs w:val="18"/>
              </w:rPr>
            </w:pPr>
            <w:r w:rsidRPr="00861E0D">
              <w:rPr>
                <w:rFonts w:eastAsia="Calibri"/>
                <w:sz w:val="18"/>
                <w:szCs w:val="18"/>
              </w:rPr>
              <w:t>200</w:t>
            </w:r>
          </w:p>
        </w:tc>
        <w:tc>
          <w:tcPr>
            <w:tcW w:w="1800" w:type="dxa"/>
            <w:vAlign w:val="bottom"/>
          </w:tcPr>
          <w:p w14:paraId="6C51B0EA" w14:textId="77777777" w:rsidR="00EA21E0" w:rsidRPr="00861E0D" w:rsidRDefault="00EA21E0" w:rsidP="000E7C1D">
            <w:pPr>
              <w:jc w:val="right"/>
              <w:rPr>
                <w:rFonts w:eastAsia="Calibri"/>
                <w:sz w:val="18"/>
                <w:szCs w:val="18"/>
              </w:rPr>
            </w:pPr>
            <w:r w:rsidRPr="00861E0D">
              <w:rPr>
                <w:rFonts w:cs="Calibri"/>
                <w:sz w:val="18"/>
                <w:szCs w:val="18"/>
              </w:rPr>
              <w:t>90%</w:t>
            </w:r>
          </w:p>
        </w:tc>
        <w:tc>
          <w:tcPr>
            <w:tcW w:w="1710" w:type="dxa"/>
            <w:vAlign w:val="bottom"/>
          </w:tcPr>
          <w:p w14:paraId="6C51B0EB" w14:textId="77777777" w:rsidR="00EA21E0" w:rsidRPr="00861E0D" w:rsidRDefault="00EA21E0" w:rsidP="000E7C1D">
            <w:pPr>
              <w:jc w:val="right"/>
              <w:rPr>
                <w:rFonts w:eastAsia="Calibri"/>
                <w:sz w:val="18"/>
                <w:szCs w:val="18"/>
              </w:rPr>
            </w:pPr>
            <w:r w:rsidRPr="00861E0D">
              <w:rPr>
                <w:rFonts w:cs="Calibri"/>
                <w:sz w:val="18"/>
                <w:szCs w:val="18"/>
              </w:rPr>
              <w:t>100%</w:t>
            </w:r>
          </w:p>
        </w:tc>
      </w:tr>
      <w:tr w:rsidR="00EA21E0" w:rsidRPr="00861E0D" w14:paraId="6C51B0F0" w14:textId="77777777" w:rsidTr="000E7C1D">
        <w:tc>
          <w:tcPr>
            <w:tcW w:w="1278" w:type="dxa"/>
          </w:tcPr>
          <w:p w14:paraId="6C51B0ED" w14:textId="77777777" w:rsidR="00EA21E0" w:rsidRPr="00861E0D" w:rsidRDefault="00EA21E0" w:rsidP="000E7C1D">
            <w:pPr>
              <w:jc w:val="right"/>
              <w:rPr>
                <w:rFonts w:eastAsia="Calibri"/>
                <w:sz w:val="18"/>
                <w:szCs w:val="18"/>
              </w:rPr>
            </w:pPr>
            <w:r w:rsidRPr="00861E0D">
              <w:rPr>
                <w:rFonts w:eastAsia="Calibri"/>
                <w:sz w:val="18"/>
                <w:szCs w:val="18"/>
              </w:rPr>
              <w:t>300</w:t>
            </w:r>
          </w:p>
        </w:tc>
        <w:tc>
          <w:tcPr>
            <w:tcW w:w="1800" w:type="dxa"/>
            <w:vAlign w:val="bottom"/>
          </w:tcPr>
          <w:p w14:paraId="6C51B0EE" w14:textId="77777777" w:rsidR="00EA21E0" w:rsidRPr="00861E0D" w:rsidRDefault="00EA21E0" w:rsidP="000E7C1D">
            <w:pPr>
              <w:jc w:val="right"/>
              <w:rPr>
                <w:rFonts w:eastAsia="Calibri"/>
                <w:sz w:val="18"/>
                <w:szCs w:val="18"/>
              </w:rPr>
            </w:pPr>
            <w:r w:rsidRPr="00861E0D">
              <w:rPr>
                <w:rFonts w:cs="Calibri"/>
                <w:sz w:val="18"/>
                <w:szCs w:val="18"/>
              </w:rPr>
              <w:t>80%</w:t>
            </w:r>
          </w:p>
        </w:tc>
        <w:tc>
          <w:tcPr>
            <w:tcW w:w="1710" w:type="dxa"/>
            <w:vAlign w:val="bottom"/>
          </w:tcPr>
          <w:p w14:paraId="6C51B0EF" w14:textId="77777777" w:rsidR="00EA21E0" w:rsidRPr="00861E0D" w:rsidRDefault="00EA21E0" w:rsidP="000E7C1D">
            <w:pPr>
              <w:jc w:val="right"/>
              <w:rPr>
                <w:rFonts w:eastAsia="Calibri"/>
                <w:sz w:val="18"/>
                <w:szCs w:val="18"/>
              </w:rPr>
            </w:pPr>
            <w:r w:rsidRPr="00861E0D">
              <w:rPr>
                <w:rFonts w:cs="Calibri"/>
                <w:sz w:val="18"/>
                <w:szCs w:val="18"/>
              </w:rPr>
              <w:t>100%</w:t>
            </w:r>
          </w:p>
        </w:tc>
      </w:tr>
      <w:tr w:rsidR="00EA21E0" w:rsidRPr="00861E0D" w14:paraId="6C51B0F4" w14:textId="77777777" w:rsidTr="000E7C1D">
        <w:tc>
          <w:tcPr>
            <w:tcW w:w="1278" w:type="dxa"/>
          </w:tcPr>
          <w:p w14:paraId="6C51B0F1" w14:textId="77777777" w:rsidR="00EA21E0" w:rsidRPr="00861E0D" w:rsidRDefault="00EA21E0" w:rsidP="000E7C1D">
            <w:pPr>
              <w:jc w:val="right"/>
              <w:rPr>
                <w:rFonts w:eastAsia="Calibri"/>
                <w:sz w:val="18"/>
                <w:szCs w:val="18"/>
              </w:rPr>
            </w:pPr>
            <w:r w:rsidRPr="00861E0D">
              <w:rPr>
                <w:rFonts w:eastAsia="Calibri"/>
                <w:sz w:val="18"/>
                <w:szCs w:val="18"/>
              </w:rPr>
              <w:t>400</w:t>
            </w:r>
          </w:p>
        </w:tc>
        <w:tc>
          <w:tcPr>
            <w:tcW w:w="1800" w:type="dxa"/>
            <w:vAlign w:val="bottom"/>
          </w:tcPr>
          <w:p w14:paraId="6C51B0F2" w14:textId="77777777" w:rsidR="00EA21E0" w:rsidRPr="00861E0D" w:rsidRDefault="00EA21E0" w:rsidP="000E7C1D">
            <w:pPr>
              <w:jc w:val="right"/>
              <w:rPr>
                <w:rFonts w:eastAsia="Calibri"/>
                <w:sz w:val="18"/>
                <w:szCs w:val="18"/>
              </w:rPr>
            </w:pPr>
            <w:r w:rsidRPr="00861E0D">
              <w:rPr>
                <w:rFonts w:cs="Calibri"/>
                <w:sz w:val="18"/>
                <w:szCs w:val="18"/>
              </w:rPr>
              <w:t>60%</w:t>
            </w:r>
          </w:p>
        </w:tc>
        <w:tc>
          <w:tcPr>
            <w:tcW w:w="1710" w:type="dxa"/>
            <w:vAlign w:val="bottom"/>
          </w:tcPr>
          <w:p w14:paraId="6C51B0F3" w14:textId="77777777" w:rsidR="00EA21E0" w:rsidRPr="00861E0D" w:rsidRDefault="00EA21E0" w:rsidP="000E7C1D">
            <w:pPr>
              <w:jc w:val="right"/>
              <w:rPr>
                <w:rFonts w:eastAsia="Calibri"/>
                <w:sz w:val="18"/>
                <w:szCs w:val="18"/>
              </w:rPr>
            </w:pPr>
            <w:r w:rsidRPr="00861E0D">
              <w:rPr>
                <w:rFonts w:cs="Calibri"/>
                <w:sz w:val="18"/>
                <w:szCs w:val="18"/>
              </w:rPr>
              <w:t>75%</w:t>
            </w:r>
          </w:p>
        </w:tc>
      </w:tr>
      <w:tr w:rsidR="00EA21E0" w:rsidRPr="00861E0D" w14:paraId="6C51B0F8" w14:textId="77777777" w:rsidTr="000E7C1D">
        <w:tc>
          <w:tcPr>
            <w:tcW w:w="1278" w:type="dxa"/>
            <w:tcBorders>
              <w:bottom w:val="single" w:sz="4" w:space="0" w:color="auto"/>
            </w:tcBorders>
          </w:tcPr>
          <w:p w14:paraId="6C51B0F5" w14:textId="77777777" w:rsidR="00EA21E0" w:rsidRPr="00861E0D" w:rsidRDefault="00EA21E0" w:rsidP="000E7C1D">
            <w:pPr>
              <w:jc w:val="right"/>
              <w:rPr>
                <w:rFonts w:eastAsia="Calibri"/>
                <w:sz w:val="18"/>
                <w:szCs w:val="18"/>
              </w:rPr>
            </w:pPr>
            <w:r w:rsidRPr="00861E0D">
              <w:rPr>
                <w:rFonts w:eastAsia="Calibri"/>
                <w:sz w:val="18"/>
                <w:szCs w:val="18"/>
              </w:rPr>
              <w:t>500</w:t>
            </w:r>
          </w:p>
        </w:tc>
        <w:tc>
          <w:tcPr>
            <w:tcW w:w="1800" w:type="dxa"/>
            <w:tcBorders>
              <w:bottom w:val="single" w:sz="4" w:space="0" w:color="auto"/>
            </w:tcBorders>
            <w:vAlign w:val="bottom"/>
          </w:tcPr>
          <w:p w14:paraId="6C51B0F6" w14:textId="77777777" w:rsidR="00EA21E0" w:rsidRPr="00861E0D" w:rsidRDefault="00EA21E0" w:rsidP="000E7C1D">
            <w:pPr>
              <w:jc w:val="right"/>
              <w:rPr>
                <w:rFonts w:eastAsia="Calibri"/>
                <w:sz w:val="18"/>
                <w:szCs w:val="18"/>
              </w:rPr>
            </w:pPr>
            <w:r w:rsidRPr="00861E0D">
              <w:rPr>
                <w:rFonts w:cs="Calibri"/>
                <w:sz w:val="18"/>
                <w:szCs w:val="18"/>
              </w:rPr>
              <w:t>50%</w:t>
            </w:r>
          </w:p>
        </w:tc>
        <w:tc>
          <w:tcPr>
            <w:tcW w:w="1710" w:type="dxa"/>
            <w:tcBorders>
              <w:bottom w:val="single" w:sz="4" w:space="0" w:color="auto"/>
            </w:tcBorders>
            <w:vAlign w:val="bottom"/>
          </w:tcPr>
          <w:p w14:paraId="6C51B0F7" w14:textId="77777777" w:rsidR="00EA21E0" w:rsidRPr="00861E0D" w:rsidRDefault="00EA21E0" w:rsidP="000E7C1D">
            <w:pPr>
              <w:jc w:val="right"/>
              <w:rPr>
                <w:rFonts w:eastAsia="Calibri"/>
                <w:sz w:val="18"/>
                <w:szCs w:val="18"/>
              </w:rPr>
            </w:pPr>
            <w:r w:rsidRPr="00861E0D">
              <w:rPr>
                <w:rFonts w:cs="Calibri"/>
                <w:sz w:val="18"/>
                <w:szCs w:val="18"/>
              </w:rPr>
              <w:t>62.5%</w:t>
            </w:r>
          </w:p>
        </w:tc>
      </w:tr>
    </w:tbl>
    <w:p w14:paraId="6C51B0F9" w14:textId="77777777" w:rsidR="00EA21E0" w:rsidRDefault="00EA21E0" w:rsidP="00EA21E0">
      <w:pPr>
        <w:spacing w:line="240" w:lineRule="auto"/>
        <w:rPr>
          <w:rFonts w:eastAsia="Calibri"/>
          <w:sz w:val="24"/>
        </w:rPr>
      </w:pPr>
      <w:r w:rsidRPr="000F1226">
        <w:rPr>
          <w:rFonts w:eastAsia="Calibri"/>
          <w:sz w:val="24"/>
        </w:rPr>
        <w:br w:type="textWrapping" w:clear="all"/>
      </w:r>
    </w:p>
    <w:p w14:paraId="6C51B0FA" w14:textId="77777777" w:rsidR="00EA21E0" w:rsidRPr="0069542D" w:rsidRDefault="00EA21E0" w:rsidP="00EA21E0">
      <w:pPr>
        <w:spacing w:line="240" w:lineRule="auto"/>
        <w:rPr>
          <w:rFonts w:eastAsia="Calibri"/>
        </w:rPr>
      </w:pPr>
      <w:r w:rsidRPr="0069542D">
        <w:rPr>
          <w:rFonts w:eastAsia="Calibri"/>
        </w:rPr>
        <w:t xml:space="preserve">As Table </w:t>
      </w:r>
      <w:r w:rsidR="00314365" w:rsidRPr="0069542D">
        <w:rPr>
          <w:rFonts w:eastAsia="Calibri"/>
        </w:rPr>
        <w:t>1</w:t>
      </w:r>
      <w:r w:rsidRPr="0069542D">
        <w:rPr>
          <w:rFonts w:eastAsia="Calibri"/>
        </w:rPr>
        <w:t xml:space="preserve"> shows, OMB guidance suggests that all graduates of programs with 300 or fewer graduates should be </w:t>
      </w:r>
      <w:r w:rsidR="00314365" w:rsidRPr="0069542D">
        <w:rPr>
          <w:rFonts w:eastAsia="Calibri"/>
        </w:rPr>
        <w:t>included in the study sample</w:t>
      </w:r>
      <w:r w:rsidRPr="0069542D">
        <w:rPr>
          <w:rFonts w:eastAsia="Calibri"/>
        </w:rPr>
        <w:t xml:space="preserve"> to provide estimates with a 95 percent confidence interval of no larger than plus or minus five percent—accounting for an estimated survey nonresponse rate of up to 20%. Therefore, REL Central will include all first-year teachers who graduated from traditional teacher preparation programs in the study sample, resulting in an estimated 3,500 first year teachers</w:t>
      </w:r>
      <w:r w:rsidR="00314365" w:rsidRPr="0069542D">
        <w:rPr>
          <w:rFonts w:eastAsia="Calibri"/>
        </w:rPr>
        <w:t xml:space="preserve"> in the sampling frame</w:t>
      </w:r>
      <w:r w:rsidRPr="0069542D">
        <w:rPr>
          <w:rFonts w:eastAsia="Calibri"/>
        </w:rPr>
        <w:t>.</w:t>
      </w:r>
    </w:p>
    <w:p w14:paraId="6C51B0FB" w14:textId="77777777" w:rsidR="002A716E" w:rsidRDefault="002A716E" w:rsidP="00CA0BE3">
      <w:pPr>
        <w:rPr>
          <w:i/>
          <w:color w:val="FF0000"/>
        </w:rPr>
      </w:pPr>
      <w:bookmarkStart w:id="4" w:name="_Toc364409323"/>
      <w:r w:rsidRPr="006D792F">
        <w:rPr>
          <w:rStyle w:val="Heading2Char"/>
        </w:rPr>
        <w:t xml:space="preserve">B2. </w:t>
      </w:r>
      <w:r w:rsidR="00CA0BE3">
        <w:rPr>
          <w:rStyle w:val="Heading2Char"/>
        </w:rPr>
        <w:t>Procedures for the Collection of I</w:t>
      </w:r>
      <w:r w:rsidRPr="006D792F">
        <w:rPr>
          <w:rStyle w:val="Heading2Char"/>
        </w:rPr>
        <w:t>nformation</w:t>
      </w:r>
      <w:bookmarkEnd w:id="4"/>
      <w:r w:rsidRPr="002A716E">
        <w:rPr>
          <w:b/>
          <w:bCs/>
        </w:rPr>
        <w:t xml:space="preserve"> </w:t>
      </w:r>
    </w:p>
    <w:p w14:paraId="6C51B0FC" w14:textId="77777777" w:rsidR="00AA7DB1" w:rsidRDefault="00F56630" w:rsidP="00F56630">
      <w:pPr>
        <w:spacing w:after="0" w:line="240" w:lineRule="auto"/>
        <w:rPr>
          <w:rFonts w:eastAsia="Calibri"/>
        </w:rPr>
      </w:pPr>
      <w:r w:rsidRPr="0078576D">
        <w:t xml:space="preserve">The study involves one data collection instrument: a researcher-developed teacher survey, which will be administered online </w:t>
      </w:r>
      <w:r w:rsidRPr="0078576D">
        <w:rPr>
          <w:rStyle w:val="Heading5Char"/>
          <w:rFonts w:cstheme="minorHAnsi"/>
          <w:i w:val="0"/>
        </w:rPr>
        <w:t>during a 12-week period beginning either in April or September 2014</w:t>
      </w:r>
      <w:r w:rsidR="00DB7CC5" w:rsidRPr="0078576D">
        <w:rPr>
          <w:rStyle w:val="FootnoteReference"/>
          <w:rFonts w:cstheme="minorHAnsi"/>
        </w:rPr>
        <w:footnoteReference w:id="4"/>
      </w:r>
      <w:r w:rsidRPr="0078576D">
        <w:rPr>
          <w:rStyle w:val="Heading5Char"/>
          <w:rFonts w:cstheme="minorHAnsi"/>
          <w:i w:val="0"/>
        </w:rPr>
        <w:t>.</w:t>
      </w:r>
      <w:r w:rsidR="00F21B70">
        <w:rPr>
          <w:rStyle w:val="Heading5Char"/>
          <w:rFonts w:cstheme="minorHAnsi"/>
          <w:i w:val="0"/>
        </w:rPr>
        <w:t xml:space="preserve"> </w:t>
      </w:r>
      <w:r w:rsidR="00AA7DB1" w:rsidRPr="0078576D">
        <w:rPr>
          <w:rFonts w:cstheme="minorHAnsi"/>
        </w:rPr>
        <w:t xml:space="preserve">REL Central will work with MO DESE </w:t>
      </w:r>
      <w:r w:rsidR="00AA7DB1" w:rsidRPr="0078576D">
        <w:rPr>
          <w:rFonts w:eastAsia="Calibri"/>
        </w:rPr>
        <w:t xml:space="preserve">to collect contact information for </w:t>
      </w:r>
      <w:r w:rsidR="00C37FE5" w:rsidRPr="0078576D">
        <w:rPr>
          <w:rFonts w:eastAsia="Calibri"/>
        </w:rPr>
        <w:t xml:space="preserve">first-year teachers who teach during </w:t>
      </w:r>
      <w:r w:rsidR="00F60B46" w:rsidRPr="0078576D">
        <w:rPr>
          <w:rFonts w:eastAsia="Calibri"/>
        </w:rPr>
        <w:t>spring 2014 or fall 2014</w:t>
      </w:r>
      <w:r w:rsidR="00C37FE5" w:rsidRPr="0078576D">
        <w:rPr>
          <w:rFonts w:eastAsia="Calibri"/>
        </w:rPr>
        <w:t xml:space="preserve">. </w:t>
      </w:r>
      <w:r w:rsidR="00AA7DB1" w:rsidRPr="0078576D">
        <w:rPr>
          <w:rFonts w:eastAsia="Calibri"/>
        </w:rPr>
        <w:t xml:space="preserve">Staff in the Educator Preparation Section at MO DESE have agreed to share the contact information for first-year teachers that is used for administration of the states’ </w:t>
      </w:r>
      <w:r w:rsidR="00AA7DB1" w:rsidRPr="0078576D">
        <w:rPr>
          <w:rFonts w:eastAsia="Calibri"/>
          <w:i/>
        </w:rPr>
        <w:t>First-Year Teacher Survey</w:t>
      </w:r>
      <w:r w:rsidR="00AA7DB1" w:rsidRPr="0078576D">
        <w:rPr>
          <w:rFonts w:eastAsia="Calibri"/>
        </w:rPr>
        <w:t>.</w:t>
      </w:r>
      <w:r w:rsidR="00F21B70">
        <w:rPr>
          <w:rFonts w:eastAsia="Calibri"/>
        </w:rPr>
        <w:t xml:space="preserve"> </w:t>
      </w:r>
      <w:r w:rsidR="00AA7DB1" w:rsidRPr="0078576D">
        <w:rPr>
          <w:rFonts w:eastAsia="Calibri"/>
        </w:rPr>
        <w:t>MO DESE has agreed to provide the following data elements to REL Central: teacher identifier, teacher name, teacher email address, name of school in which they are teaching and physical address, current teaching assignment, certification route, name of preparation program, teaching certification(s), gender, and race/ethnicity.</w:t>
      </w:r>
      <w:r w:rsidR="00AA7DB1" w:rsidRPr="00AA7DB1">
        <w:rPr>
          <w:rFonts w:eastAsia="Calibri"/>
        </w:rPr>
        <w:t xml:space="preserve"> </w:t>
      </w:r>
    </w:p>
    <w:p w14:paraId="6C51B0FD" w14:textId="77777777" w:rsidR="005630E9" w:rsidRDefault="005630E9" w:rsidP="005630E9">
      <w:pPr>
        <w:pStyle w:val="BodyText"/>
        <w:spacing w:after="0"/>
        <w:rPr>
          <w:rFonts w:asciiTheme="minorHAnsi" w:eastAsiaTheme="minorHAnsi" w:hAnsiTheme="minorHAnsi" w:cstheme="minorBidi"/>
          <w:sz w:val="22"/>
          <w:szCs w:val="22"/>
        </w:rPr>
      </w:pPr>
    </w:p>
    <w:p w14:paraId="6C51B0FE" w14:textId="77777777" w:rsidR="003A265D" w:rsidRPr="00F60B46" w:rsidRDefault="003A265D" w:rsidP="005630E9">
      <w:pPr>
        <w:spacing w:after="0" w:line="240" w:lineRule="auto"/>
        <w:rPr>
          <w:rStyle w:val="Heading5Char"/>
          <w:rFonts w:cstheme="minorBidi"/>
          <w:i w:val="0"/>
        </w:rPr>
      </w:pPr>
      <w:r w:rsidRPr="003A265D">
        <w:rPr>
          <w:rStyle w:val="Heading5Char"/>
          <w:rFonts w:cstheme="minorHAnsi"/>
          <w:i w:val="0"/>
        </w:rPr>
        <w:t xml:space="preserve">Using the data provided by </w:t>
      </w:r>
      <w:r w:rsidR="00DB7CC5">
        <w:rPr>
          <w:rStyle w:val="Heading5Char"/>
          <w:rFonts w:cstheme="minorHAnsi"/>
          <w:i w:val="0"/>
        </w:rPr>
        <w:t>MO DESE</w:t>
      </w:r>
      <w:r w:rsidRPr="003A265D">
        <w:rPr>
          <w:rStyle w:val="Heading5Char"/>
          <w:rFonts w:cstheme="minorHAnsi"/>
          <w:i w:val="0"/>
        </w:rPr>
        <w:t>, an invitation to complete an online survey will be sent via email to each first-year teacher who was prepared in a traditional program. The invitation will be sent by REL Central, describing the purpose of the study, the voluntary nature of participation, intended use of the data collected, methods for maintaining confidentiality, and the estimated amount of time needed to complete t</w:t>
      </w:r>
      <w:r w:rsidR="00B96922">
        <w:rPr>
          <w:rStyle w:val="Heading5Char"/>
          <w:rFonts w:cstheme="minorHAnsi"/>
          <w:i w:val="0"/>
        </w:rPr>
        <w:t>he survey (estimated to be 2</w:t>
      </w:r>
      <w:r w:rsidR="00DB7CC5">
        <w:rPr>
          <w:rStyle w:val="Heading5Char"/>
          <w:rFonts w:cstheme="minorHAnsi"/>
          <w:i w:val="0"/>
        </w:rPr>
        <w:t>5</w:t>
      </w:r>
      <w:r w:rsidRPr="003A265D">
        <w:rPr>
          <w:rStyle w:val="Heading5Char"/>
          <w:rFonts w:cstheme="minorHAnsi"/>
          <w:i w:val="0"/>
        </w:rPr>
        <w:t xml:space="preserve"> minutes).</w:t>
      </w:r>
      <w:r w:rsidR="00F21B70">
        <w:rPr>
          <w:rStyle w:val="Heading5Char"/>
          <w:rFonts w:cstheme="minorHAnsi"/>
          <w:i w:val="0"/>
        </w:rPr>
        <w:t xml:space="preserve"> </w:t>
      </w:r>
      <w:r w:rsidRPr="003A265D">
        <w:rPr>
          <w:rStyle w:val="Heading5Char"/>
          <w:rFonts w:cstheme="minorHAnsi"/>
          <w:i w:val="0"/>
        </w:rPr>
        <w:t>Customized invitations will be used with respondent identifiers embedded in the emailed survey links to track survey response.</w:t>
      </w:r>
      <w:r w:rsidR="00F21B70">
        <w:rPr>
          <w:rStyle w:val="Heading5Char"/>
          <w:rFonts w:cstheme="minorHAnsi"/>
          <w:i w:val="0"/>
        </w:rPr>
        <w:t xml:space="preserve"> </w:t>
      </w:r>
      <w:r w:rsidR="00424823">
        <w:rPr>
          <w:rStyle w:val="Heading5Char"/>
          <w:rFonts w:cstheme="minorHAnsi"/>
          <w:i w:val="0"/>
        </w:rPr>
        <w:t>If</w:t>
      </w:r>
      <w:r w:rsidR="00265B87" w:rsidRPr="00265B87">
        <w:rPr>
          <w:rStyle w:val="Heading5Char"/>
          <w:rFonts w:cstheme="minorHAnsi"/>
          <w:i w:val="0"/>
        </w:rPr>
        <w:t xml:space="preserve"> email addresses are not available, the study team will communicate with respondents via U.S. Postal Service mail sent to their school address. </w:t>
      </w:r>
      <w:r w:rsidRPr="003A265D">
        <w:rPr>
          <w:rStyle w:val="Heading5Char"/>
          <w:rFonts w:cstheme="minorHAnsi"/>
          <w:i w:val="0"/>
        </w:rPr>
        <w:t xml:space="preserve">Paper surveys </w:t>
      </w:r>
      <w:r w:rsidR="00265B87">
        <w:rPr>
          <w:rStyle w:val="Heading5Char"/>
          <w:rFonts w:cstheme="minorHAnsi"/>
          <w:i w:val="0"/>
        </w:rPr>
        <w:t xml:space="preserve">will be mailed </w:t>
      </w:r>
      <w:r w:rsidRPr="003A265D">
        <w:rPr>
          <w:rStyle w:val="Heading5Char"/>
          <w:rFonts w:cstheme="minorHAnsi"/>
          <w:i w:val="0"/>
        </w:rPr>
        <w:t>to respondents via USPS will contain unique identifiers for the same purpose.</w:t>
      </w:r>
      <w:r w:rsidR="00F21B70">
        <w:rPr>
          <w:rStyle w:val="Heading5Char"/>
          <w:rFonts w:cstheme="minorHAnsi"/>
          <w:i w:val="0"/>
        </w:rPr>
        <w:t xml:space="preserve"> </w:t>
      </w:r>
      <w:r w:rsidR="004F36CE">
        <w:rPr>
          <w:rStyle w:val="Heading5Char"/>
          <w:rFonts w:cstheme="minorHAnsi"/>
          <w:i w:val="0"/>
        </w:rPr>
        <w:t>Text for invitations and reminders is presented in Attachment D.</w:t>
      </w:r>
    </w:p>
    <w:p w14:paraId="6C51B0FF" w14:textId="77777777" w:rsidR="005630E9" w:rsidRPr="00265B87" w:rsidRDefault="005630E9" w:rsidP="005630E9">
      <w:pPr>
        <w:spacing w:after="0" w:line="240" w:lineRule="auto"/>
        <w:rPr>
          <w:rFonts w:eastAsia="Calibri"/>
        </w:rPr>
      </w:pPr>
    </w:p>
    <w:p w14:paraId="6C51B100" w14:textId="77777777" w:rsidR="002A716E" w:rsidRDefault="002A716E" w:rsidP="00CA0BE3">
      <w:pPr>
        <w:rPr>
          <w:i/>
          <w:color w:val="FF0000"/>
        </w:rPr>
      </w:pPr>
      <w:bookmarkStart w:id="5" w:name="_Toc364409324"/>
      <w:r w:rsidRPr="006D792F">
        <w:rPr>
          <w:rStyle w:val="Heading2Char"/>
        </w:rPr>
        <w:t xml:space="preserve">B3. </w:t>
      </w:r>
      <w:r w:rsidR="00CA0BE3" w:rsidRPr="00CA0BE3">
        <w:rPr>
          <w:rStyle w:val="Heading2Char"/>
        </w:rPr>
        <w:t>M</w:t>
      </w:r>
      <w:r w:rsidR="00CA0BE3">
        <w:rPr>
          <w:rStyle w:val="Heading2Char"/>
        </w:rPr>
        <w:t>ethods to Maximize Response Rates and To Deal W</w:t>
      </w:r>
      <w:r w:rsidRPr="00CA0BE3">
        <w:rPr>
          <w:rStyle w:val="Heading2Char"/>
        </w:rPr>
        <w:t xml:space="preserve">ith </w:t>
      </w:r>
      <w:r w:rsidR="00CA0BE3">
        <w:rPr>
          <w:rStyle w:val="Heading2Char"/>
        </w:rPr>
        <w:t>Non-R</w:t>
      </w:r>
      <w:r w:rsidRPr="00CA0BE3">
        <w:rPr>
          <w:rStyle w:val="Heading2Char"/>
        </w:rPr>
        <w:t>esponse</w:t>
      </w:r>
      <w:bookmarkEnd w:id="5"/>
    </w:p>
    <w:p w14:paraId="6C51B101" w14:textId="77777777" w:rsidR="005630E9" w:rsidRDefault="005630E9" w:rsidP="005630E9">
      <w:pPr>
        <w:spacing w:after="0" w:line="240" w:lineRule="auto"/>
        <w:rPr>
          <w:rFonts w:eastAsia="Calibri"/>
        </w:rPr>
      </w:pPr>
      <w:r w:rsidRPr="005630E9">
        <w:rPr>
          <w:rFonts w:eastAsia="Calibri"/>
        </w:rPr>
        <w:t>MO DESE has offered to endorse the survey and to help REL Central solicit the support of state teacher associations.</w:t>
      </w:r>
      <w:r w:rsidR="00F21B70">
        <w:rPr>
          <w:rFonts w:eastAsia="Calibri"/>
        </w:rPr>
        <w:t xml:space="preserve"> </w:t>
      </w:r>
      <w:r w:rsidRPr="005630E9">
        <w:rPr>
          <w:rFonts w:eastAsia="Calibri"/>
        </w:rPr>
        <w:t>REL Central will seek endorsement of the study by the Missouri National Education Association, the Missouri State Teachers Association, and the American Federation of Teachers in St. Louis. The survey will include information about the purpose of the study, including its potential utility for improving teacher preparation in the state.</w:t>
      </w:r>
      <w:r w:rsidR="00F21B70">
        <w:rPr>
          <w:rFonts w:eastAsia="Calibri"/>
        </w:rPr>
        <w:t xml:space="preserve"> </w:t>
      </w:r>
      <w:r w:rsidRPr="005630E9">
        <w:rPr>
          <w:rFonts w:eastAsia="Calibri"/>
        </w:rPr>
        <w:t>All endorsements will be included in the study invitation sent to respondents.</w:t>
      </w:r>
      <w:r w:rsidR="00F21B70">
        <w:rPr>
          <w:rFonts w:eastAsia="Calibri"/>
        </w:rPr>
        <w:t xml:space="preserve"> </w:t>
      </w:r>
      <w:r w:rsidRPr="005630E9">
        <w:rPr>
          <w:rFonts w:eastAsia="Calibri"/>
        </w:rPr>
        <w:t>Potential respondents will also be informed of the importance of their feedback to understanding the range of experiences among first-year teachers.</w:t>
      </w:r>
      <w:r w:rsidR="00F21B70">
        <w:rPr>
          <w:rFonts w:eastAsia="Calibri"/>
        </w:rPr>
        <w:t xml:space="preserve"> </w:t>
      </w:r>
    </w:p>
    <w:p w14:paraId="6C51B102" w14:textId="77777777" w:rsidR="001D287F" w:rsidRPr="005630E9" w:rsidRDefault="001D287F" w:rsidP="005630E9">
      <w:pPr>
        <w:spacing w:after="0" w:line="240" w:lineRule="auto"/>
        <w:rPr>
          <w:rFonts w:eastAsia="Calibri"/>
        </w:rPr>
      </w:pPr>
    </w:p>
    <w:p w14:paraId="6C51B103" w14:textId="77777777" w:rsidR="0018444D" w:rsidRDefault="005630E9" w:rsidP="005630E9">
      <w:pPr>
        <w:spacing w:after="0" w:line="240" w:lineRule="auto"/>
        <w:rPr>
          <w:rFonts w:eastAsia="Calibri"/>
        </w:rPr>
      </w:pPr>
      <w:r w:rsidRPr="005630E9">
        <w:rPr>
          <w:rFonts w:eastAsia="Calibri"/>
        </w:rPr>
        <w:t xml:space="preserve">MO DESE has been able to achieve a 55 to 60 percent response rate for the </w:t>
      </w:r>
      <w:r w:rsidRPr="005630E9">
        <w:rPr>
          <w:rFonts w:eastAsia="Calibri"/>
          <w:i/>
        </w:rPr>
        <w:t>First-Year Teacher Survey</w:t>
      </w:r>
      <w:r w:rsidRPr="005630E9">
        <w:rPr>
          <w:rFonts w:eastAsia="Calibri"/>
        </w:rPr>
        <w:t xml:space="preserve"> by soliciting respondents by email only and sending two or three follow-up email messages to non-respondents. REL Central will use the same initial approach to collect data from first-year teachers—contacting the first-year teachers via email using contact information from MO DESE. Researchers will employ strategies identified in Dillman (2000) to seek response rates (for the entire sample and for each TPP) of a minimum of 80 percent, using the following approach.</w:t>
      </w:r>
    </w:p>
    <w:p w14:paraId="6C51B104" w14:textId="77777777" w:rsidR="0018444D" w:rsidRPr="005630E9" w:rsidRDefault="0018444D" w:rsidP="005630E9">
      <w:pPr>
        <w:spacing w:after="0" w:line="240" w:lineRule="auto"/>
        <w:rPr>
          <w:rFonts w:eastAsia="Calibri"/>
        </w:rPr>
      </w:pPr>
    </w:p>
    <w:p w14:paraId="6C51B105" w14:textId="77777777" w:rsidR="005630E9" w:rsidRPr="005630E9" w:rsidRDefault="005630E9" w:rsidP="005630E9">
      <w:pPr>
        <w:pStyle w:val="Text"/>
        <w:numPr>
          <w:ilvl w:val="0"/>
          <w:numId w:val="8"/>
        </w:numPr>
        <w:spacing w:after="0"/>
        <w:rPr>
          <w:rFonts w:asciiTheme="minorHAnsi" w:eastAsia="Calibri" w:hAnsiTheme="minorHAnsi" w:cstheme="minorHAnsi"/>
          <w:sz w:val="22"/>
          <w:szCs w:val="22"/>
        </w:rPr>
      </w:pPr>
      <w:r w:rsidRPr="005630E9">
        <w:rPr>
          <w:rFonts w:asciiTheme="minorHAnsi" w:eastAsia="Calibri" w:hAnsiTheme="minorHAnsi" w:cstheme="minorHAnsi"/>
          <w:sz w:val="22"/>
          <w:szCs w:val="22"/>
        </w:rPr>
        <w:t>Initial email messages will be sent by REL Central, with information about the study purpose and organizational endorsements, as described above.</w:t>
      </w:r>
      <w:r w:rsidR="00F21B70">
        <w:rPr>
          <w:rFonts w:asciiTheme="minorHAnsi" w:eastAsia="Calibri" w:hAnsiTheme="minorHAnsi" w:cstheme="minorHAnsi"/>
          <w:sz w:val="22"/>
          <w:szCs w:val="22"/>
        </w:rPr>
        <w:t xml:space="preserve"> </w:t>
      </w:r>
    </w:p>
    <w:p w14:paraId="6C51B106" w14:textId="77777777" w:rsidR="005630E9" w:rsidRPr="005630E9" w:rsidRDefault="005630E9" w:rsidP="005630E9">
      <w:pPr>
        <w:pStyle w:val="Text"/>
        <w:numPr>
          <w:ilvl w:val="0"/>
          <w:numId w:val="8"/>
        </w:numPr>
        <w:spacing w:after="0"/>
        <w:rPr>
          <w:rFonts w:asciiTheme="minorHAnsi" w:eastAsia="Calibri" w:hAnsiTheme="minorHAnsi" w:cstheme="minorHAnsi"/>
          <w:sz w:val="22"/>
          <w:szCs w:val="22"/>
        </w:rPr>
      </w:pPr>
      <w:r w:rsidRPr="005630E9">
        <w:rPr>
          <w:rFonts w:asciiTheme="minorHAnsi" w:eastAsia="Calibri" w:hAnsiTheme="minorHAnsi" w:cstheme="minorHAnsi"/>
          <w:sz w:val="22"/>
          <w:szCs w:val="22"/>
        </w:rPr>
        <w:t xml:space="preserve">Email messages will contain links to the online survey with embedded respondent identifiers that allow REL Central to track survey response and follow up with non-respondents. Paper surveys mailed to respondents via USPS will contain unique identifiers for the same purpose. </w:t>
      </w:r>
    </w:p>
    <w:p w14:paraId="6C51B107" w14:textId="77777777" w:rsidR="005630E9" w:rsidRPr="005630E9" w:rsidRDefault="005630E9" w:rsidP="005630E9">
      <w:pPr>
        <w:pStyle w:val="ListParagraph"/>
        <w:numPr>
          <w:ilvl w:val="0"/>
          <w:numId w:val="8"/>
        </w:numPr>
        <w:spacing w:after="0" w:line="240" w:lineRule="auto"/>
        <w:rPr>
          <w:rFonts w:eastAsia="Calibri"/>
        </w:rPr>
      </w:pPr>
      <w:r w:rsidRPr="005630E9">
        <w:rPr>
          <w:rFonts w:eastAsia="Calibri"/>
        </w:rPr>
        <w:t xml:space="preserve">REL Central will follow up with non-respondents for a total of up to seven occasions using three different modes: email, hardcopy via US Postal Service (USPS), and telephone. The </w:t>
      </w:r>
      <w:r w:rsidR="00500C8C">
        <w:rPr>
          <w:rFonts w:eastAsia="Calibri"/>
        </w:rPr>
        <w:t xml:space="preserve">follow-up sequence comprises the </w:t>
      </w:r>
      <w:r w:rsidRPr="005630E9">
        <w:rPr>
          <w:rFonts w:eastAsia="Calibri"/>
        </w:rPr>
        <w:t>following contacts:</w:t>
      </w:r>
    </w:p>
    <w:p w14:paraId="6C51B108" w14:textId="77777777" w:rsidR="005630E9" w:rsidRPr="005630E9" w:rsidRDefault="005630E9" w:rsidP="005630E9">
      <w:pPr>
        <w:pStyle w:val="ListParagraph"/>
        <w:spacing w:after="0" w:line="240" w:lineRule="auto"/>
        <w:rPr>
          <w:rFonts w:eastAsia="Calibri"/>
        </w:rPr>
      </w:pPr>
    </w:p>
    <w:p w14:paraId="6C51B109" w14:textId="77777777" w:rsidR="005630E9" w:rsidRPr="005630E9" w:rsidRDefault="005630E9" w:rsidP="005630E9">
      <w:pPr>
        <w:pStyle w:val="ListParagraph"/>
        <w:spacing w:after="0" w:line="240" w:lineRule="auto"/>
        <w:ind w:left="1080"/>
        <w:rPr>
          <w:rFonts w:eastAsia="Calibri"/>
        </w:rPr>
      </w:pPr>
      <w:r w:rsidRPr="005630E9">
        <w:rPr>
          <w:rFonts w:eastAsia="Calibri"/>
        </w:rPr>
        <w:t xml:space="preserve">Contact 1: A postcard thank-you note and reminder will be sent to all participants after the first week of the email survey implementation. </w:t>
      </w:r>
    </w:p>
    <w:p w14:paraId="6C51B10A" w14:textId="77777777" w:rsidR="005630E9" w:rsidRPr="005630E9" w:rsidRDefault="005630E9" w:rsidP="005630E9">
      <w:pPr>
        <w:pStyle w:val="ListParagraph"/>
        <w:spacing w:after="0" w:line="240" w:lineRule="auto"/>
        <w:ind w:left="1080"/>
        <w:rPr>
          <w:rFonts w:eastAsia="Calibri"/>
        </w:rPr>
      </w:pPr>
    </w:p>
    <w:p w14:paraId="6C51B10B" w14:textId="77777777" w:rsidR="005630E9" w:rsidRPr="005630E9" w:rsidRDefault="005630E9" w:rsidP="005630E9">
      <w:pPr>
        <w:pStyle w:val="ListParagraph"/>
        <w:spacing w:after="0" w:line="240" w:lineRule="auto"/>
        <w:ind w:left="1080"/>
        <w:rPr>
          <w:rFonts w:eastAsia="Calibri"/>
        </w:rPr>
      </w:pPr>
      <w:r w:rsidRPr="005630E9">
        <w:rPr>
          <w:rFonts w:eastAsia="Calibri"/>
        </w:rPr>
        <w:t>Contacts 2</w:t>
      </w:r>
      <w:r w:rsidRPr="005630E9">
        <w:rPr>
          <w:rFonts w:eastAsia="Calibri" w:cs="Calibri"/>
        </w:rPr>
        <w:t>–</w:t>
      </w:r>
      <w:r w:rsidRPr="005630E9">
        <w:rPr>
          <w:rFonts w:eastAsia="Calibri"/>
        </w:rPr>
        <w:t>4: Survey non-respondents will receive another three emails</w:t>
      </w:r>
      <w:r w:rsidRPr="005630E9">
        <w:rPr>
          <w:rStyle w:val="FootnoteReference"/>
          <w:rFonts w:eastAsia="Calibri"/>
        </w:rPr>
        <w:footnoteReference w:id="5"/>
      </w:r>
      <w:r w:rsidRPr="005630E9">
        <w:rPr>
          <w:rFonts w:eastAsia="Calibri"/>
        </w:rPr>
        <w:t xml:space="preserve"> that contain the survey at approximately 10-day intervals after the first contact. </w:t>
      </w:r>
    </w:p>
    <w:p w14:paraId="6C51B10C" w14:textId="77777777" w:rsidR="005630E9" w:rsidRPr="005630E9" w:rsidRDefault="005630E9" w:rsidP="005630E9">
      <w:pPr>
        <w:pStyle w:val="ListParagraph"/>
        <w:spacing w:after="0" w:line="240" w:lineRule="auto"/>
        <w:ind w:left="1080"/>
        <w:rPr>
          <w:rFonts w:eastAsia="Calibri"/>
        </w:rPr>
      </w:pPr>
    </w:p>
    <w:p w14:paraId="6C51B10D" w14:textId="77777777" w:rsidR="005630E9" w:rsidRPr="005630E9" w:rsidRDefault="005630E9" w:rsidP="005630E9">
      <w:pPr>
        <w:pStyle w:val="ListParagraph"/>
        <w:spacing w:after="0" w:line="240" w:lineRule="auto"/>
        <w:ind w:left="1080"/>
        <w:rPr>
          <w:rFonts w:eastAsia="Calibri"/>
        </w:rPr>
      </w:pPr>
      <w:r w:rsidRPr="005630E9">
        <w:rPr>
          <w:rFonts w:eastAsia="Calibri"/>
        </w:rPr>
        <w:t>Contact 5: A USPS package will be sent to each non-respondent. The package will contain the paper survey and a cover letter encouraging participation.</w:t>
      </w:r>
    </w:p>
    <w:p w14:paraId="6C51B10E" w14:textId="77777777" w:rsidR="005630E9" w:rsidRPr="005630E9" w:rsidRDefault="005630E9" w:rsidP="005630E9">
      <w:pPr>
        <w:pStyle w:val="ListParagraph"/>
        <w:spacing w:after="0" w:line="240" w:lineRule="auto"/>
        <w:ind w:left="1080"/>
        <w:rPr>
          <w:rFonts w:eastAsia="Calibri"/>
        </w:rPr>
      </w:pPr>
      <w:r w:rsidRPr="005630E9">
        <w:rPr>
          <w:rFonts w:eastAsia="Calibri"/>
        </w:rPr>
        <w:t xml:space="preserve"> </w:t>
      </w:r>
    </w:p>
    <w:p w14:paraId="6C51B10F" w14:textId="77777777" w:rsidR="005630E9" w:rsidRPr="005630E9" w:rsidRDefault="005630E9" w:rsidP="005630E9">
      <w:pPr>
        <w:pStyle w:val="ListParagraph"/>
        <w:spacing w:after="0" w:line="240" w:lineRule="auto"/>
        <w:ind w:left="1080"/>
        <w:rPr>
          <w:rFonts w:eastAsia="Calibri"/>
        </w:rPr>
      </w:pPr>
      <w:r w:rsidRPr="005630E9">
        <w:rPr>
          <w:rFonts w:eastAsia="Calibri"/>
        </w:rPr>
        <w:t>Contacts 6 &amp; 7: REL Central will make the last two follow-up contacts via telephone.</w:t>
      </w:r>
      <w:r w:rsidR="00F21B70">
        <w:rPr>
          <w:rFonts w:eastAsia="Calibri"/>
        </w:rPr>
        <w:t xml:space="preserve"> </w:t>
      </w:r>
      <w:r w:rsidRPr="005630E9">
        <w:rPr>
          <w:rFonts w:eastAsia="Calibri"/>
        </w:rPr>
        <w:t>The researcher will call non-respondents during school hours, informing them that a survey was sent to them previously, asking if they have questions about the study, and encouraging them to complete the survey. If a non-respondent is not available for the phone call, the researcher will leave a voice message and make a follow-up phone call within two work days. During the calls, the researcher will give non-respondents the opportunity to complete the survey on the telephone or send another paper copy of the survey.</w:t>
      </w:r>
    </w:p>
    <w:p w14:paraId="6C51B110" w14:textId="77777777" w:rsidR="005630E9" w:rsidRDefault="005630E9" w:rsidP="002A716E"/>
    <w:p w14:paraId="6C51B111" w14:textId="77777777" w:rsidR="007D2125" w:rsidRDefault="002A716E" w:rsidP="002A716E">
      <w:pPr>
        <w:rPr>
          <w:b/>
          <w:bCs/>
        </w:rPr>
      </w:pPr>
      <w:bookmarkStart w:id="6" w:name="_Toc364409325"/>
      <w:r w:rsidRPr="007D2125">
        <w:rPr>
          <w:rStyle w:val="Heading2Char"/>
        </w:rPr>
        <w:t xml:space="preserve">B4. </w:t>
      </w:r>
      <w:r w:rsidR="00CA0BE3">
        <w:rPr>
          <w:rStyle w:val="Heading2Char"/>
        </w:rPr>
        <w:t>Tests of Procedures or Methods to be U</w:t>
      </w:r>
      <w:r w:rsidRPr="007D2125">
        <w:rPr>
          <w:rStyle w:val="Heading2Char"/>
        </w:rPr>
        <w:t>ndertaken</w:t>
      </w:r>
      <w:bookmarkEnd w:id="6"/>
      <w:r w:rsidRPr="002A716E">
        <w:rPr>
          <w:b/>
          <w:bCs/>
        </w:rPr>
        <w:t xml:space="preserve"> </w:t>
      </w:r>
    </w:p>
    <w:p w14:paraId="6C51B112" w14:textId="2669D432" w:rsidR="0078576D" w:rsidRPr="0078576D" w:rsidRDefault="0078576D" w:rsidP="0078576D">
      <w:pPr>
        <w:spacing w:after="0" w:line="240" w:lineRule="auto"/>
        <w:rPr>
          <w:rFonts w:eastAsia="Calibri"/>
        </w:rPr>
      </w:pPr>
      <w:r w:rsidRPr="0078576D">
        <w:rPr>
          <w:rFonts w:eastAsia="Calibri"/>
          <w:b/>
          <w:i/>
        </w:rPr>
        <w:t xml:space="preserve">Survey Pretest. </w:t>
      </w:r>
      <w:r w:rsidRPr="0078576D">
        <w:rPr>
          <w:rFonts w:eastAsia="Calibri"/>
        </w:rPr>
        <w:t>Cognitive interviews</w:t>
      </w:r>
      <w:r w:rsidRPr="0078576D">
        <w:rPr>
          <w:rStyle w:val="FootnoteReference"/>
          <w:rFonts w:eastAsia="Calibri"/>
        </w:rPr>
        <w:footnoteReference w:id="6"/>
      </w:r>
      <w:r w:rsidRPr="0078576D">
        <w:rPr>
          <w:rFonts w:eastAsia="Calibri"/>
        </w:rPr>
        <w:t xml:space="preserve"> </w:t>
      </w:r>
      <w:r w:rsidR="007350F3">
        <w:rPr>
          <w:rFonts w:eastAsia="Calibri"/>
        </w:rPr>
        <w:t xml:space="preserve">were </w:t>
      </w:r>
      <w:r w:rsidRPr="0078576D">
        <w:rPr>
          <w:rFonts w:eastAsia="Calibri"/>
        </w:rPr>
        <w:t xml:space="preserve">conducted by telephone with nine first-year teachers in Missouri in </w:t>
      </w:r>
      <w:r w:rsidR="007350F3">
        <w:rPr>
          <w:rFonts w:eastAsia="Calibri"/>
        </w:rPr>
        <w:t xml:space="preserve">summer </w:t>
      </w:r>
      <w:r w:rsidRPr="0078576D">
        <w:rPr>
          <w:rFonts w:eastAsia="Calibri"/>
        </w:rPr>
        <w:t xml:space="preserve">2013. REL Central collected contact information for a random sample of potential respondents, who </w:t>
      </w:r>
      <w:r w:rsidR="005B042B">
        <w:rPr>
          <w:rFonts w:eastAsia="Calibri"/>
        </w:rPr>
        <w:t>we</w:t>
      </w:r>
      <w:r w:rsidR="005B042B" w:rsidRPr="0078576D">
        <w:rPr>
          <w:rFonts w:eastAsia="Calibri"/>
        </w:rPr>
        <w:t xml:space="preserve">re </w:t>
      </w:r>
      <w:r w:rsidRPr="0078576D">
        <w:rPr>
          <w:rFonts w:eastAsia="Calibri"/>
        </w:rPr>
        <w:t xml:space="preserve">graduates of nine randomly-sampled teacher preparation programs. Respondent participation was solicited via email by providing information about the survey and cognitive interview process, and the study for which the survey </w:t>
      </w:r>
      <w:r w:rsidR="003F6C4E">
        <w:rPr>
          <w:rFonts w:eastAsia="Calibri"/>
        </w:rPr>
        <w:t>was</w:t>
      </w:r>
      <w:r w:rsidRPr="0078576D">
        <w:rPr>
          <w:rFonts w:eastAsia="Calibri"/>
        </w:rPr>
        <w:t xml:space="preserve"> developed. Participants in the survey pretest will be excluded from the sampling frame for the full study.</w:t>
      </w:r>
      <w:r w:rsidR="00206125">
        <w:rPr>
          <w:rFonts w:eastAsia="Calibri"/>
        </w:rPr>
        <w:t xml:space="preserve"> </w:t>
      </w:r>
      <w:r w:rsidRPr="0078576D">
        <w:rPr>
          <w:rFonts w:eastAsia="Calibri" w:cstheme="minorHAnsi"/>
          <w:szCs w:val="24"/>
        </w:rPr>
        <w:t xml:space="preserve">Cognitive interviews </w:t>
      </w:r>
      <w:r w:rsidR="007350F3">
        <w:rPr>
          <w:rFonts w:eastAsia="Calibri" w:cstheme="minorHAnsi"/>
          <w:szCs w:val="24"/>
        </w:rPr>
        <w:t xml:space="preserve">were </w:t>
      </w:r>
      <w:r w:rsidRPr="0078576D">
        <w:rPr>
          <w:rFonts w:eastAsia="Calibri" w:cstheme="minorHAnsi"/>
          <w:szCs w:val="24"/>
        </w:rPr>
        <w:t>used to improve the relevance and clarity of survey items and to minimize response error (Tourangeau, 1984; Willis, 1999). The Theory of Response Process proposed by Tourangeau, Rips, and Rasinski (2000)</w:t>
      </w:r>
      <w:r w:rsidRPr="0078576D">
        <w:rPr>
          <w:rFonts w:cstheme="minorHAnsi"/>
          <w:szCs w:val="24"/>
        </w:rPr>
        <w:t xml:space="preserve"> was used as a basis for plans to understand </w:t>
      </w:r>
      <w:r w:rsidRPr="0078576D">
        <w:rPr>
          <w:rFonts w:eastAsia="Calibri" w:cstheme="minorHAnsi"/>
          <w:szCs w:val="24"/>
        </w:rPr>
        <w:t xml:space="preserve">how survey respondents answer questions and to identify sources of survey error. </w:t>
      </w:r>
      <w:r w:rsidRPr="0078576D">
        <w:rPr>
          <w:rFonts w:eastAsia="Calibri"/>
        </w:rPr>
        <w:t xml:space="preserve">Respondents </w:t>
      </w:r>
      <w:r w:rsidR="007350F3">
        <w:rPr>
          <w:rFonts w:eastAsia="Calibri"/>
        </w:rPr>
        <w:t xml:space="preserve">were </w:t>
      </w:r>
      <w:r w:rsidRPr="0078576D">
        <w:rPr>
          <w:rFonts w:eastAsia="Calibri"/>
        </w:rPr>
        <w:t>asked to first complete the survey online and then contacted for a telephone interview.</w:t>
      </w:r>
      <w:r w:rsidR="00F21B70">
        <w:rPr>
          <w:rFonts w:eastAsia="Calibri"/>
        </w:rPr>
        <w:t xml:space="preserve"> </w:t>
      </w:r>
      <w:r w:rsidRPr="0078576D">
        <w:rPr>
          <w:rFonts w:eastAsia="Calibri"/>
        </w:rPr>
        <w:t xml:space="preserve">Retrospective verbal probing </w:t>
      </w:r>
      <w:r w:rsidR="007350F3">
        <w:rPr>
          <w:rFonts w:eastAsia="Calibri"/>
        </w:rPr>
        <w:t xml:space="preserve">was </w:t>
      </w:r>
      <w:r w:rsidRPr="0078576D">
        <w:rPr>
          <w:rFonts w:eastAsia="Calibri"/>
        </w:rPr>
        <w:t>used to review the draft survey content with each respondent and collect feedback to clarify and improve item wording (Willis, 1999). Information collected via cognitive interviews</w:t>
      </w:r>
      <w:r w:rsidR="004B5064">
        <w:rPr>
          <w:rFonts w:eastAsia="Calibri"/>
        </w:rPr>
        <w:t xml:space="preserve"> </w:t>
      </w:r>
      <w:r w:rsidR="007350F3">
        <w:rPr>
          <w:rFonts w:eastAsia="Calibri"/>
        </w:rPr>
        <w:t xml:space="preserve">was </w:t>
      </w:r>
      <w:r w:rsidRPr="0078576D">
        <w:rPr>
          <w:rFonts w:eastAsia="Calibri"/>
        </w:rPr>
        <w:t>used to create a final version of the instrument.</w:t>
      </w:r>
    </w:p>
    <w:p w14:paraId="6C51B113" w14:textId="77777777" w:rsidR="0078576D" w:rsidRDefault="0078576D" w:rsidP="00FD549C">
      <w:pPr>
        <w:spacing w:after="0" w:line="240" w:lineRule="auto"/>
      </w:pPr>
    </w:p>
    <w:p w14:paraId="6C51B114" w14:textId="6C0E3030" w:rsidR="00121FC2" w:rsidRDefault="00CD026E" w:rsidP="00FD549C">
      <w:pPr>
        <w:spacing w:after="0" w:line="240" w:lineRule="auto"/>
      </w:pPr>
      <w:r w:rsidRPr="0078576D">
        <w:rPr>
          <w:rFonts w:eastAsia="Calibri"/>
          <w:b/>
          <w:i/>
        </w:rPr>
        <w:t xml:space="preserve">Survey </w:t>
      </w:r>
      <w:r>
        <w:rPr>
          <w:rFonts w:eastAsia="Calibri"/>
          <w:b/>
          <w:i/>
        </w:rPr>
        <w:t>Data Analysis</w:t>
      </w:r>
      <w:r w:rsidRPr="0078576D">
        <w:rPr>
          <w:rFonts w:eastAsia="Calibri"/>
          <w:b/>
          <w:i/>
        </w:rPr>
        <w:t xml:space="preserve">. </w:t>
      </w:r>
      <w:r w:rsidR="00FD549C" w:rsidRPr="00121FC2">
        <w:t>REL Central will present descriptive statistics for all respondents in the sample. To provide context for interpreting findings, respondent counts, survey response rates, and descriptive information about survey respondents will be presented (name of teacher preparation program, certification(s), current teaching assignment, gender and race/ethnicity).</w:t>
      </w:r>
      <w:r w:rsidR="00F21B70">
        <w:t xml:space="preserve"> </w:t>
      </w:r>
      <w:r w:rsidR="00FD549C" w:rsidRPr="00121FC2">
        <w:t>These variables will also be used to assess nonresponse bias.</w:t>
      </w:r>
      <w:r w:rsidR="00FD549C">
        <w:rPr>
          <w:sz w:val="24"/>
        </w:rPr>
        <w:t xml:space="preserve"> </w:t>
      </w:r>
      <w:r w:rsidR="00121FC2" w:rsidRPr="00121FC2">
        <w:t>For continuous variables (</w:t>
      </w:r>
      <w:r w:rsidR="000E7C1D">
        <w:t>such as</w:t>
      </w:r>
      <w:r w:rsidR="00121FC2" w:rsidRPr="00121FC2">
        <w:t xml:space="preserve"> number of hours or weeks), means and standard deviations will be presented. For categorical variables, the proportion of respondents selecting each response category will be presented. For “check all that apply” responses (</w:t>
      </w:r>
      <w:r w:rsidR="000E7C1D">
        <w:t>such as</w:t>
      </w:r>
      <w:r w:rsidR="00121FC2" w:rsidRPr="00121FC2">
        <w:t xml:space="preserve"> subject areas taught), means and standard deviations based on the total number of responses selected will be reported</w:t>
      </w:r>
      <w:r w:rsidR="000E7C1D">
        <w:t>,</w:t>
      </w:r>
      <w:r w:rsidR="00121FC2" w:rsidRPr="00121FC2">
        <w:t xml:space="preserve"> a</w:t>
      </w:r>
      <w:r w:rsidR="000E7C1D">
        <w:t>long with</w:t>
      </w:r>
      <w:r w:rsidR="00121FC2" w:rsidRPr="00121FC2">
        <w:t xml:space="preserve"> the proportion of respondents selecting each response category.</w:t>
      </w:r>
      <w:r w:rsidR="00F21B70">
        <w:t xml:space="preserve"> </w:t>
      </w:r>
      <w:r w:rsidR="00121FC2" w:rsidRPr="00121FC2">
        <w:t xml:space="preserve">Frequencies (expressed as percentages) of response categories will be </w:t>
      </w:r>
      <w:r w:rsidR="00FD549C">
        <w:t>presented in</w:t>
      </w:r>
      <w:r w:rsidR="00121FC2" w:rsidRPr="00121FC2">
        <w:t xml:space="preserve"> tables with categorical response options. </w:t>
      </w:r>
    </w:p>
    <w:p w14:paraId="6C51B115" w14:textId="77777777" w:rsidR="006E1478" w:rsidRDefault="006E1478" w:rsidP="00FD549C">
      <w:pPr>
        <w:spacing w:after="0" w:line="240" w:lineRule="auto"/>
      </w:pPr>
    </w:p>
    <w:p w14:paraId="6C51B116" w14:textId="77777777" w:rsidR="006E1478" w:rsidRDefault="006E1478" w:rsidP="006E1478">
      <w:pPr>
        <w:spacing w:line="240" w:lineRule="auto"/>
        <w:rPr>
          <w:rFonts w:cstheme="minorHAnsi"/>
        </w:rPr>
      </w:pPr>
      <w:r w:rsidRPr="006E1478">
        <w:rPr>
          <w:rFonts w:eastAsia="Calibri" w:cstheme="minorHAnsi"/>
          <w:b/>
          <w:i/>
        </w:rPr>
        <w:t>Nonresponse Analysis</w:t>
      </w:r>
      <w:r w:rsidRPr="006E1478">
        <w:rPr>
          <w:rFonts w:eastAsia="Calibri" w:cstheme="minorHAnsi"/>
          <w:b/>
        </w:rPr>
        <w:t xml:space="preserve">. </w:t>
      </w:r>
      <w:r w:rsidRPr="006E1478">
        <w:rPr>
          <w:rFonts w:cstheme="minorHAnsi"/>
        </w:rPr>
        <w:t>As one of the four sources of error in sample survey research, nonresponse bias is a concern for response rates as high as 90 percent (Dillman, 2000; Miller &amp; Smith, 1983). This study will assess the presence of nonresponse bias by comparing respondent and non-respondent characteristics based on available data for the entire sample (current teaching assignment, certification route, name of preparation program, teaching certification(s), gender, and race/ethnicity). Characteristics of respondents and non-respondents will be analyzed to identify significant differences.</w:t>
      </w:r>
      <w:r w:rsidR="00F21B70">
        <w:rPr>
          <w:rFonts w:cstheme="minorHAnsi"/>
        </w:rPr>
        <w:t xml:space="preserve"> </w:t>
      </w:r>
      <w:r w:rsidRPr="006E1478">
        <w:rPr>
          <w:rFonts w:cstheme="minorHAnsi"/>
        </w:rPr>
        <w:t>If nonresponse bias is identified, sample weights will be developed and incorporated into analysis plans with under the guidance of a sampling statistician. Either post-stratification weighting (</w:t>
      </w:r>
      <w:r w:rsidR="000E7C1D">
        <w:rPr>
          <w:rFonts w:cstheme="minorHAnsi"/>
        </w:rPr>
        <w:t>for example, see</w:t>
      </w:r>
      <w:r w:rsidRPr="006E1478">
        <w:rPr>
          <w:rFonts w:cstheme="minorHAnsi"/>
        </w:rPr>
        <w:t xml:space="preserve"> Taylor, 2005; Oh and Scheuren, 1983) or propensity score adjustment (</w:t>
      </w:r>
      <w:r w:rsidR="000E7C1D">
        <w:rPr>
          <w:rFonts w:cstheme="minorHAnsi"/>
        </w:rPr>
        <w:t>for example, see</w:t>
      </w:r>
      <w:r w:rsidRPr="006E1478">
        <w:rPr>
          <w:rFonts w:cstheme="minorHAnsi"/>
        </w:rPr>
        <w:t xml:space="preserve"> Duffy, Smith, Terhanian, &amp; Bremer</w:t>
      </w:r>
      <w:r w:rsidRPr="006E1478">
        <w:rPr>
          <w:rFonts w:cstheme="minorHAnsi"/>
          <w:i/>
        </w:rPr>
        <w:t>,</w:t>
      </w:r>
      <w:r w:rsidRPr="006E1478">
        <w:rPr>
          <w:rFonts w:cstheme="minorHAnsi"/>
        </w:rPr>
        <w:t xml:space="preserve"> 2005; Lee, 2006; Loosveldt &amp; Sonck, 2008) will be used to develop sample weights.</w:t>
      </w:r>
      <w:r w:rsidR="00F21B70">
        <w:rPr>
          <w:rFonts w:cstheme="minorHAnsi"/>
        </w:rPr>
        <w:t xml:space="preserve"> </w:t>
      </w:r>
      <w:r w:rsidRPr="009F7E4F">
        <w:rPr>
          <w:rFonts w:cstheme="minorHAnsi"/>
        </w:rPr>
        <w:t xml:space="preserve"> </w:t>
      </w:r>
    </w:p>
    <w:p w14:paraId="6C51B117" w14:textId="77777777" w:rsidR="002A716E" w:rsidRDefault="002A716E" w:rsidP="00CA0BE3">
      <w:pPr>
        <w:pStyle w:val="Heading2"/>
      </w:pPr>
      <w:bookmarkStart w:id="7" w:name="_Toc364409326"/>
      <w:r w:rsidRPr="002A716E">
        <w:t xml:space="preserve">B5. </w:t>
      </w:r>
      <w:r w:rsidR="00CA0BE3">
        <w:t>Individuals Consulted on Statistical A</w:t>
      </w:r>
      <w:r w:rsidR="00C21678">
        <w:t xml:space="preserve">spects </w:t>
      </w:r>
      <w:r w:rsidR="00CA0BE3">
        <w:t>of the D</w:t>
      </w:r>
      <w:r w:rsidRPr="002A716E">
        <w:t>esign</w:t>
      </w:r>
      <w:bookmarkEnd w:id="7"/>
      <w:r w:rsidRPr="002A716E">
        <w:t xml:space="preserve"> </w:t>
      </w:r>
    </w:p>
    <w:p w14:paraId="6C51B118" w14:textId="77777777" w:rsidR="005141DC" w:rsidRPr="005141DC" w:rsidRDefault="005141DC" w:rsidP="005141DC"/>
    <w:p w14:paraId="6C51B119" w14:textId="77777777" w:rsidR="00780080" w:rsidRDefault="00780080" w:rsidP="00402C32">
      <w:r>
        <w:t>The following individuals were consulted on the statistical, data collection, and analytic aspects of this study:</w:t>
      </w:r>
    </w:p>
    <w:tbl>
      <w:tblPr>
        <w:tblStyle w:val="TableGrid"/>
        <w:tblW w:w="0" w:type="auto"/>
        <w:tblInd w:w="108" w:type="dxa"/>
        <w:tblLook w:val="04A0" w:firstRow="1" w:lastRow="0" w:firstColumn="1" w:lastColumn="0" w:noHBand="0" w:noVBand="1"/>
      </w:tblPr>
      <w:tblGrid>
        <w:gridCol w:w="2087"/>
        <w:gridCol w:w="2091"/>
        <w:gridCol w:w="2118"/>
        <w:gridCol w:w="3172"/>
      </w:tblGrid>
      <w:tr w:rsidR="007A3CEE" w:rsidRPr="005141DC" w14:paraId="6C51B11E" w14:textId="77777777" w:rsidTr="007A3CEE">
        <w:tc>
          <w:tcPr>
            <w:tcW w:w="2160" w:type="dxa"/>
          </w:tcPr>
          <w:p w14:paraId="6C51B11A" w14:textId="77777777" w:rsidR="007A3CEE" w:rsidRPr="005141DC" w:rsidRDefault="007A3CEE" w:rsidP="00402C32">
            <w:pPr>
              <w:rPr>
                <w:b/>
                <w:sz w:val="18"/>
                <w:szCs w:val="18"/>
              </w:rPr>
            </w:pPr>
            <w:r w:rsidRPr="005141DC">
              <w:rPr>
                <w:b/>
                <w:sz w:val="18"/>
                <w:szCs w:val="18"/>
              </w:rPr>
              <w:t>Name</w:t>
            </w:r>
          </w:p>
        </w:tc>
        <w:tc>
          <w:tcPr>
            <w:tcW w:w="2160" w:type="dxa"/>
          </w:tcPr>
          <w:p w14:paraId="6C51B11B" w14:textId="77777777" w:rsidR="007A3CEE" w:rsidRPr="005141DC" w:rsidRDefault="007A3CEE" w:rsidP="00402C32">
            <w:pPr>
              <w:rPr>
                <w:b/>
                <w:sz w:val="18"/>
                <w:szCs w:val="18"/>
              </w:rPr>
            </w:pPr>
            <w:r w:rsidRPr="005141DC">
              <w:rPr>
                <w:b/>
                <w:sz w:val="18"/>
                <w:szCs w:val="18"/>
              </w:rPr>
              <w:t>Title</w:t>
            </w:r>
          </w:p>
        </w:tc>
        <w:tc>
          <w:tcPr>
            <w:tcW w:w="2179" w:type="dxa"/>
          </w:tcPr>
          <w:p w14:paraId="6C51B11C" w14:textId="77777777" w:rsidR="007A3CEE" w:rsidRPr="005141DC" w:rsidRDefault="007A3CEE" w:rsidP="00402C32">
            <w:pPr>
              <w:rPr>
                <w:b/>
                <w:sz w:val="18"/>
                <w:szCs w:val="18"/>
              </w:rPr>
            </w:pPr>
            <w:r w:rsidRPr="005141DC">
              <w:rPr>
                <w:b/>
                <w:sz w:val="18"/>
                <w:szCs w:val="18"/>
              </w:rPr>
              <w:t>Organization</w:t>
            </w:r>
          </w:p>
        </w:tc>
        <w:tc>
          <w:tcPr>
            <w:tcW w:w="2613" w:type="dxa"/>
          </w:tcPr>
          <w:p w14:paraId="6C51B11D" w14:textId="77777777" w:rsidR="007A3CEE" w:rsidRPr="005141DC" w:rsidRDefault="007A3CEE" w:rsidP="00402C32">
            <w:pPr>
              <w:rPr>
                <w:b/>
                <w:sz w:val="18"/>
                <w:szCs w:val="18"/>
              </w:rPr>
            </w:pPr>
            <w:r w:rsidRPr="005141DC">
              <w:rPr>
                <w:b/>
                <w:sz w:val="18"/>
                <w:szCs w:val="18"/>
              </w:rPr>
              <w:t>Contact Information</w:t>
            </w:r>
          </w:p>
        </w:tc>
      </w:tr>
      <w:tr w:rsidR="005141DC" w:rsidRPr="005141DC" w14:paraId="6C51B123" w14:textId="77777777" w:rsidTr="007A3CEE">
        <w:tc>
          <w:tcPr>
            <w:tcW w:w="2160" w:type="dxa"/>
          </w:tcPr>
          <w:p w14:paraId="6C51B11F" w14:textId="77777777" w:rsidR="005141DC" w:rsidRPr="005141DC" w:rsidRDefault="005141DC" w:rsidP="000E7C1D">
            <w:pPr>
              <w:rPr>
                <w:sz w:val="18"/>
                <w:szCs w:val="18"/>
              </w:rPr>
            </w:pPr>
            <w:r w:rsidRPr="005141DC">
              <w:rPr>
                <w:sz w:val="18"/>
                <w:szCs w:val="18"/>
              </w:rPr>
              <w:t>Bruce Randel</w:t>
            </w:r>
          </w:p>
        </w:tc>
        <w:tc>
          <w:tcPr>
            <w:tcW w:w="2160" w:type="dxa"/>
          </w:tcPr>
          <w:p w14:paraId="6C51B120" w14:textId="77777777" w:rsidR="005141DC" w:rsidRPr="005141DC" w:rsidRDefault="005141DC" w:rsidP="000E7C1D">
            <w:pPr>
              <w:rPr>
                <w:sz w:val="18"/>
                <w:szCs w:val="18"/>
              </w:rPr>
            </w:pPr>
            <w:r w:rsidRPr="005141DC">
              <w:rPr>
                <w:sz w:val="18"/>
                <w:szCs w:val="18"/>
              </w:rPr>
              <w:t>President</w:t>
            </w:r>
          </w:p>
        </w:tc>
        <w:tc>
          <w:tcPr>
            <w:tcW w:w="2179" w:type="dxa"/>
          </w:tcPr>
          <w:p w14:paraId="6C51B121" w14:textId="77777777" w:rsidR="005141DC" w:rsidRPr="005141DC" w:rsidRDefault="005141DC" w:rsidP="000E7C1D">
            <w:pPr>
              <w:rPr>
                <w:sz w:val="18"/>
                <w:szCs w:val="18"/>
              </w:rPr>
            </w:pPr>
            <w:r w:rsidRPr="005141DC">
              <w:rPr>
                <w:sz w:val="18"/>
                <w:szCs w:val="18"/>
              </w:rPr>
              <w:t>Century Analytics</w:t>
            </w:r>
          </w:p>
        </w:tc>
        <w:tc>
          <w:tcPr>
            <w:tcW w:w="2613" w:type="dxa"/>
          </w:tcPr>
          <w:p w14:paraId="6C51B122" w14:textId="77777777" w:rsidR="005141DC" w:rsidRPr="005141DC" w:rsidRDefault="005141DC" w:rsidP="000E7C1D">
            <w:pPr>
              <w:rPr>
                <w:sz w:val="18"/>
                <w:szCs w:val="18"/>
              </w:rPr>
            </w:pPr>
            <w:r w:rsidRPr="005141DC">
              <w:rPr>
                <w:sz w:val="18"/>
                <w:szCs w:val="18"/>
              </w:rPr>
              <w:t>bruce.randel@centuryanalytics.com</w:t>
            </w:r>
          </w:p>
        </w:tc>
      </w:tr>
      <w:tr w:rsidR="007A3CEE" w:rsidRPr="005141DC" w14:paraId="6C51B128" w14:textId="77777777" w:rsidTr="007A3CEE">
        <w:tc>
          <w:tcPr>
            <w:tcW w:w="2160" w:type="dxa"/>
          </w:tcPr>
          <w:p w14:paraId="6C51B124" w14:textId="77777777" w:rsidR="007A3CEE" w:rsidRPr="005141DC" w:rsidRDefault="005141DC" w:rsidP="00402C32">
            <w:pPr>
              <w:rPr>
                <w:sz w:val="18"/>
                <w:szCs w:val="18"/>
              </w:rPr>
            </w:pPr>
            <w:r w:rsidRPr="005141DC">
              <w:rPr>
                <w:sz w:val="18"/>
                <w:szCs w:val="18"/>
              </w:rPr>
              <w:t>Trudy Cherasaro</w:t>
            </w:r>
          </w:p>
        </w:tc>
        <w:tc>
          <w:tcPr>
            <w:tcW w:w="2160" w:type="dxa"/>
          </w:tcPr>
          <w:p w14:paraId="6C51B125" w14:textId="77777777" w:rsidR="007A3CEE" w:rsidRPr="005141DC" w:rsidRDefault="005141DC" w:rsidP="00402C32">
            <w:pPr>
              <w:rPr>
                <w:sz w:val="18"/>
                <w:szCs w:val="18"/>
              </w:rPr>
            </w:pPr>
            <w:r w:rsidRPr="005141DC">
              <w:rPr>
                <w:sz w:val="18"/>
                <w:szCs w:val="18"/>
              </w:rPr>
              <w:t>Senior Researcher</w:t>
            </w:r>
          </w:p>
        </w:tc>
        <w:tc>
          <w:tcPr>
            <w:tcW w:w="2179" w:type="dxa"/>
          </w:tcPr>
          <w:p w14:paraId="6C51B126" w14:textId="77777777" w:rsidR="007A3CEE" w:rsidRPr="005141DC" w:rsidRDefault="005141DC" w:rsidP="00402C32">
            <w:pPr>
              <w:rPr>
                <w:sz w:val="18"/>
                <w:szCs w:val="18"/>
              </w:rPr>
            </w:pPr>
            <w:r w:rsidRPr="005141DC">
              <w:rPr>
                <w:sz w:val="18"/>
                <w:szCs w:val="18"/>
              </w:rPr>
              <w:t>Marzano Research Laboratory</w:t>
            </w:r>
          </w:p>
        </w:tc>
        <w:tc>
          <w:tcPr>
            <w:tcW w:w="2613" w:type="dxa"/>
          </w:tcPr>
          <w:p w14:paraId="6C51B127" w14:textId="77777777" w:rsidR="007A3CEE" w:rsidRPr="005141DC" w:rsidRDefault="005141DC" w:rsidP="00402C32">
            <w:pPr>
              <w:rPr>
                <w:sz w:val="18"/>
                <w:szCs w:val="18"/>
              </w:rPr>
            </w:pPr>
            <w:r w:rsidRPr="005141DC">
              <w:rPr>
                <w:sz w:val="18"/>
                <w:szCs w:val="18"/>
              </w:rPr>
              <w:t>trudy.cherasaro@marzanoresearch.com</w:t>
            </w:r>
          </w:p>
        </w:tc>
      </w:tr>
    </w:tbl>
    <w:p w14:paraId="6C51B129" w14:textId="77777777" w:rsidR="007A3CEE" w:rsidRDefault="007A3CEE" w:rsidP="002A716E"/>
    <w:p w14:paraId="6C51B12A" w14:textId="77777777" w:rsidR="00780080" w:rsidRDefault="00780080" w:rsidP="002A716E">
      <w:r>
        <w:t>The following individuals will be involved in the study implementation:</w:t>
      </w:r>
    </w:p>
    <w:tbl>
      <w:tblPr>
        <w:tblStyle w:val="TableGrid"/>
        <w:tblW w:w="0" w:type="auto"/>
        <w:tblInd w:w="108" w:type="dxa"/>
        <w:tblLook w:val="04A0" w:firstRow="1" w:lastRow="0" w:firstColumn="1" w:lastColumn="0" w:noHBand="0" w:noVBand="1"/>
      </w:tblPr>
      <w:tblGrid>
        <w:gridCol w:w="1834"/>
        <w:gridCol w:w="1883"/>
        <w:gridCol w:w="1922"/>
        <w:gridCol w:w="3829"/>
      </w:tblGrid>
      <w:tr w:rsidR="007A3CEE" w:rsidRPr="005141DC" w14:paraId="6C51B12F" w14:textId="77777777" w:rsidTr="00121FC2">
        <w:tc>
          <w:tcPr>
            <w:tcW w:w="1834" w:type="dxa"/>
          </w:tcPr>
          <w:p w14:paraId="6C51B12B" w14:textId="77777777" w:rsidR="007A3CEE" w:rsidRPr="005141DC" w:rsidRDefault="007A3CEE" w:rsidP="00B32274">
            <w:pPr>
              <w:rPr>
                <w:b/>
                <w:sz w:val="18"/>
                <w:szCs w:val="18"/>
              </w:rPr>
            </w:pPr>
            <w:r w:rsidRPr="005141DC">
              <w:rPr>
                <w:b/>
                <w:sz w:val="18"/>
                <w:szCs w:val="18"/>
              </w:rPr>
              <w:t>Name</w:t>
            </w:r>
          </w:p>
        </w:tc>
        <w:tc>
          <w:tcPr>
            <w:tcW w:w="1883" w:type="dxa"/>
          </w:tcPr>
          <w:p w14:paraId="6C51B12C" w14:textId="77777777" w:rsidR="007A3CEE" w:rsidRPr="005141DC" w:rsidRDefault="007A3CEE" w:rsidP="00B32274">
            <w:pPr>
              <w:rPr>
                <w:b/>
                <w:sz w:val="18"/>
                <w:szCs w:val="18"/>
              </w:rPr>
            </w:pPr>
            <w:r w:rsidRPr="005141DC">
              <w:rPr>
                <w:b/>
                <w:sz w:val="18"/>
                <w:szCs w:val="18"/>
              </w:rPr>
              <w:t>Role</w:t>
            </w:r>
          </w:p>
        </w:tc>
        <w:tc>
          <w:tcPr>
            <w:tcW w:w="1922" w:type="dxa"/>
          </w:tcPr>
          <w:p w14:paraId="6C51B12D" w14:textId="77777777" w:rsidR="007A3CEE" w:rsidRPr="005141DC" w:rsidRDefault="007A3CEE" w:rsidP="00B32274">
            <w:pPr>
              <w:rPr>
                <w:b/>
                <w:sz w:val="18"/>
                <w:szCs w:val="18"/>
              </w:rPr>
            </w:pPr>
            <w:r w:rsidRPr="005141DC">
              <w:rPr>
                <w:b/>
                <w:sz w:val="18"/>
                <w:szCs w:val="18"/>
              </w:rPr>
              <w:t>Organization</w:t>
            </w:r>
          </w:p>
        </w:tc>
        <w:tc>
          <w:tcPr>
            <w:tcW w:w="3829" w:type="dxa"/>
          </w:tcPr>
          <w:p w14:paraId="6C51B12E" w14:textId="77777777" w:rsidR="007A3CEE" w:rsidRPr="005141DC" w:rsidRDefault="007A3CEE" w:rsidP="00B32274">
            <w:pPr>
              <w:rPr>
                <w:b/>
                <w:sz w:val="18"/>
                <w:szCs w:val="18"/>
              </w:rPr>
            </w:pPr>
            <w:r w:rsidRPr="005141DC">
              <w:rPr>
                <w:b/>
                <w:sz w:val="18"/>
                <w:szCs w:val="18"/>
              </w:rPr>
              <w:t>Contact Information</w:t>
            </w:r>
          </w:p>
        </w:tc>
      </w:tr>
      <w:tr w:rsidR="00121FC2" w:rsidRPr="005141DC" w14:paraId="6C51B135" w14:textId="77777777" w:rsidTr="00121FC2">
        <w:tc>
          <w:tcPr>
            <w:tcW w:w="1834" w:type="dxa"/>
          </w:tcPr>
          <w:p w14:paraId="6C51B130" w14:textId="77777777" w:rsidR="00121FC2" w:rsidRPr="005141DC" w:rsidRDefault="00121FC2" w:rsidP="00121FC2">
            <w:pPr>
              <w:rPr>
                <w:sz w:val="18"/>
                <w:szCs w:val="18"/>
              </w:rPr>
            </w:pPr>
            <w:r w:rsidRPr="005141DC">
              <w:rPr>
                <w:sz w:val="18"/>
                <w:szCs w:val="18"/>
              </w:rPr>
              <w:t>Stephen Meyer</w:t>
            </w:r>
          </w:p>
        </w:tc>
        <w:tc>
          <w:tcPr>
            <w:tcW w:w="1883" w:type="dxa"/>
          </w:tcPr>
          <w:p w14:paraId="6C51B131" w14:textId="77777777" w:rsidR="00121FC2" w:rsidRPr="005141DC" w:rsidRDefault="00121FC2" w:rsidP="00B32274">
            <w:pPr>
              <w:rPr>
                <w:sz w:val="18"/>
                <w:szCs w:val="18"/>
              </w:rPr>
            </w:pPr>
            <w:r w:rsidRPr="005141DC">
              <w:rPr>
                <w:sz w:val="18"/>
                <w:szCs w:val="18"/>
              </w:rPr>
              <w:t>Principal Investigator</w:t>
            </w:r>
          </w:p>
        </w:tc>
        <w:tc>
          <w:tcPr>
            <w:tcW w:w="1922" w:type="dxa"/>
          </w:tcPr>
          <w:p w14:paraId="6C51B132" w14:textId="77777777" w:rsidR="00121FC2" w:rsidRPr="005141DC" w:rsidRDefault="00121FC2" w:rsidP="000E7C1D">
            <w:pPr>
              <w:rPr>
                <w:sz w:val="18"/>
                <w:szCs w:val="18"/>
              </w:rPr>
            </w:pPr>
            <w:r w:rsidRPr="005141DC">
              <w:rPr>
                <w:sz w:val="18"/>
                <w:szCs w:val="18"/>
              </w:rPr>
              <w:t>RMC Research Corporation</w:t>
            </w:r>
          </w:p>
        </w:tc>
        <w:tc>
          <w:tcPr>
            <w:tcW w:w="3829" w:type="dxa"/>
          </w:tcPr>
          <w:p w14:paraId="6C51B133" w14:textId="77777777" w:rsidR="00121FC2" w:rsidRPr="005141DC" w:rsidRDefault="00AD2935" w:rsidP="000E7C1D">
            <w:pPr>
              <w:rPr>
                <w:sz w:val="18"/>
                <w:szCs w:val="18"/>
              </w:rPr>
            </w:pPr>
            <w:hyperlink r:id="rId14" w:history="1">
              <w:r w:rsidR="00121FC2" w:rsidRPr="005141DC">
                <w:rPr>
                  <w:rStyle w:val="Hyperlink"/>
                  <w:sz w:val="18"/>
                  <w:szCs w:val="18"/>
                </w:rPr>
                <w:t>meyer@rmcdenver.com</w:t>
              </w:r>
            </w:hyperlink>
          </w:p>
          <w:p w14:paraId="6C51B134" w14:textId="77777777" w:rsidR="00121FC2" w:rsidRPr="005141DC" w:rsidRDefault="006E1478" w:rsidP="000E7C1D">
            <w:pPr>
              <w:rPr>
                <w:sz w:val="18"/>
                <w:szCs w:val="18"/>
              </w:rPr>
            </w:pPr>
            <w:r w:rsidRPr="005141DC">
              <w:rPr>
                <w:sz w:val="18"/>
                <w:szCs w:val="18"/>
              </w:rPr>
              <w:t>303-825-3636</w:t>
            </w:r>
          </w:p>
        </w:tc>
      </w:tr>
      <w:tr w:rsidR="007A3CEE" w:rsidRPr="006E1478" w14:paraId="6C51B13B" w14:textId="77777777" w:rsidTr="00121FC2">
        <w:tc>
          <w:tcPr>
            <w:tcW w:w="1834" w:type="dxa"/>
          </w:tcPr>
          <w:p w14:paraId="6C51B136" w14:textId="77777777" w:rsidR="007A3CEE" w:rsidRPr="005141DC" w:rsidRDefault="00121FC2" w:rsidP="00121FC2">
            <w:pPr>
              <w:rPr>
                <w:sz w:val="18"/>
                <w:szCs w:val="18"/>
              </w:rPr>
            </w:pPr>
            <w:r w:rsidRPr="005141DC">
              <w:rPr>
                <w:sz w:val="18"/>
                <w:szCs w:val="18"/>
              </w:rPr>
              <w:t>Xin Wang</w:t>
            </w:r>
          </w:p>
        </w:tc>
        <w:tc>
          <w:tcPr>
            <w:tcW w:w="1883" w:type="dxa"/>
          </w:tcPr>
          <w:p w14:paraId="6C51B137" w14:textId="77777777" w:rsidR="007A3CEE" w:rsidRPr="005141DC" w:rsidRDefault="005141DC" w:rsidP="005141DC">
            <w:pPr>
              <w:rPr>
                <w:sz w:val="18"/>
                <w:szCs w:val="18"/>
              </w:rPr>
            </w:pPr>
            <w:r>
              <w:rPr>
                <w:sz w:val="18"/>
                <w:szCs w:val="18"/>
              </w:rPr>
              <w:t>Research Analyst</w:t>
            </w:r>
          </w:p>
        </w:tc>
        <w:tc>
          <w:tcPr>
            <w:tcW w:w="1922" w:type="dxa"/>
          </w:tcPr>
          <w:p w14:paraId="6C51B138" w14:textId="77777777" w:rsidR="007A3CEE" w:rsidRPr="005141DC" w:rsidRDefault="00121FC2" w:rsidP="00B32274">
            <w:pPr>
              <w:rPr>
                <w:sz w:val="18"/>
                <w:szCs w:val="18"/>
              </w:rPr>
            </w:pPr>
            <w:r w:rsidRPr="005141DC">
              <w:rPr>
                <w:sz w:val="18"/>
                <w:szCs w:val="18"/>
              </w:rPr>
              <w:t>RMC Research Corporation</w:t>
            </w:r>
          </w:p>
        </w:tc>
        <w:tc>
          <w:tcPr>
            <w:tcW w:w="3829" w:type="dxa"/>
          </w:tcPr>
          <w:p w14:paraId="6C51B139" w14:textId="77777777" w:rsidR="007A3CEE" w:rsidRPr="005141DC" w:rsidRDefault="00AD2935" w:rsidP="007A3CEE">
            <w:pPr>
              <w:rPr>
                <w:sz w:val="18"/>
                <w:szCs w:val="18"/>
              </w:rPr>
            </w:pPr>
            <w:hyperlink r:id="rId15" w:history="1">
              <w:r w:rsidR="00121FC2" w:rsidRPr="005141DC">
                <w:rPr>
                  <w:rStyle w:val="Hyperlink"/>
                  <w:sz w:val="18"/>
                  <w:szCs w:val="18"/>
                </w:rPr>
                <w:t>wang@rmcdenver.com</w:t>
              </w:r>
            </w:hyperlink>
          </w:p>
          <w:p w14:paraId="6C51B13A" w14:textId="77777777" w:rsidR="00121FC2" w:rsidRPr="006E1478" w:rsidRDefault="00121FC2" w:rsidP="006E1478">
            <w:pPr>
              <w:rPr>
                <w:sz w:val="18"/>
                <w:szCs w:val="18"/>
              </w:rPr>
            </w:pPr>
            <w:r w:rsidRPr="005141DC">
              <w:rPr>
                <w:sz w:val="18"/>
                <w:szCs w:val="18"/>
              </w:rPr>
              <w:t>303-82</w:t>
            </w:r>
            <w:r w:rsidR="006E1478" w:rsidRPr="005141DC">
              <w:rPr>
                <w:sz w:val="18"/>
                <w:szCs w:val="18"/>
              </w:rPr>
              <w:t>5</w:t>
            </w:r>
            <w:r w:rsidRPr="005141DC">
              <w:rPr>
                <w:sz w:val="18"/>
                <w:szCs w:val="18"/>
              </w:rPr>
              <w:t>-3636</w:t>
            </w:r>
          </w:p>
        </w:tc>
      </w:tr>
      <w:tr w:rsidR="005141DC" w:rsidRPr="006E1478" w14:paraId="6C51B141" w14:textId="77777777" w:rsidTr="00121FC2">
        <w:tc>
          <w:tcPr>
            <w:tcW w:w="1834" w:type="dxa"/>
          </w:tcPr>
          <w:p w14:paraId="6C51B13C" w14:textId="77777777" w:rsidR="005141DC" w:rsidRPr="006E1478" w:rsidRDefault="005141DC" w:rsidP="007A3CEE">
            <w:pPr>
              <w:rPr>
                <w:sz w:val="18"/>
                <w:szCs w:val="18"/>
              </w:rPr>
            </w:pPr>
            <w:r>
              <w:rPr>
                <w:sz w:val="18"/>
                <w:szCs w:val="18"/>
              </w:rPr>
              <w:t>Matt Linick</w:t>
            </w:r>
          </w:p>
        </w:tc>
        <w:tc>
          <w:tcPr>
            <w:tcW w:w="1883" w:type="dxa"/>
          </w:tcPr>
          <w:p w14:paraId="6C51B13D" w14:textId="77777777" w:rsidR="005141DC" w:rsidRPr="006E1478" w:rsidRDefault="005141DC" w:rsidP="00B32274">
            <w:pPr>
              <w:rPr>
                <w:sz w:val="18"/>
                <w:szCs w:val="18"/>
              </w:rPr>
            </w:pPr>
            <w:r>
              <w:rPr>
                <w:sz w:val="18"/>
                <w:szCs w:val="18"/>
              </w:rPr>
              <w:t>Research Analyst</w:t>
            </w:r>
          </w:p>
        </w:tc>
        <w:tc>
          <w:tcPr>
            <w:tcW w:w="1922" w:type="dxa"/>
          </w:tcPr>
          <w:p w14:paraId="6C51B13E" w14:textId="77777777" w:rsidR="005141DC" w:rsidRPr="005141DC" w:rsidRDefault="005141DC" w:rsidP="000E7C1D">
            <w:pPr>
              <w:rPr>
                <w:sz w:val="18"/>
                <w:szCs w:val="18"/>
              </w:rPr>
            </w:pPr>
            <w:r w:rsidRPr="005141DC">
              <w:rPr>
                <w:sz w:val="18"/>
                <w:szCs w:val="18"/>
              </w:rPr>
              <w:t>RMC Research Corporation</w:t>
            </w:r>
          </w:p>
        </w:tc>
        <w:tc>
          <w:tcPr>
            <w:tcW w:w="3829" w:type="dxa"/>
          </w:tcPr>
          <w:p w14:paraId="6C51B13F" w14:textId="77777777" w:rsidR="005141DC" w:rsidRDefault="00AD2935" w:rsidP="005141DC">
            <w:pPr>
              <w:rPr>
                <w:sz w:val="18"/>
                <w:szCs w:val="18"/>
              </w:rPr>
            </w:pPr>
            <w:hyperlink r:id="rId16" w:history="1">
              <w:r w:rsidR="005141DC" w:rsidRPr="00034CC7">
                <w:rPr>
                  <w:rStyle w:val="Hyperlink"/>
                  <w:sz w:val="18"/>
                  <w:szCs w:val="18"/>
                </w:rPr>
                <w:t>linick@rmcdenver.com</w:t>
              </w:r>
            </w:hyperlink>
          </w:p>
          <w:p w14:paraId="6C51B140" w14:textId="77777777" w:rsidR="005141DC" w:rsidRPr="006E1478" w:rsidRDefault="005141DC" w:rsidP="005141DC">
            <w:pPr>
              <w:rPr>
                <w:sz w:val="18"/>
                <w:szCs w:val="18"/>
              </w:rPr>
            </w:pPr>
            <w:r w:rsidRPr="005141DC">
              <w:rPr>
                <w:sz w:val="18"/>
                <w:szCs w:val="18"/>
              </w:rPr>
              <w:t>303-825-3636</w:t>
            </w:r>
          </w:p>
        </w:tc>
      </w:tr>
      <w:tr w:rsidR="005141DC" w:rsidRPr="006E1478" w14:paraId="6C51B147" w14:textId="77777777" w:rsidTr="00121FC2">
        <w:tc>
          <w:tcPr>
            <w:tcW w:w="1834" w:type="dxa"/>
          </w:tcPr>
          <w:p w14:paraId="6C51B142" w14:textId="77777777" w:rsidR="005141DC" w:rsidRDefault="005141DC" w:rsidP="007A3CEE">
            <w:pPr>
              <w:rPr>
                <w:sz w:val="18"/>
                <w:szCs w:val="18"/>
              </w:rPr>
            </w:pPr>
            <w:r>
              <w:rPr>
                <w:sz w:val="18"/>
                <w:szCs w:val="18"/>
              </w:rPr>
              <w:t>Brandie Ward</w:t>
            </w:r>
          </w:p>
        </w:tc>
        <w:tc>
          <w:tcPr>
            <w:tcW w:w="1883" w:type="dxa"/>
          </w:tcPr>
          <w:p w14:paraId="6C51B143" w14:textId="77777777" w:rsidR="005141DC" w:rsidRDefault="005141DC" w:rsidP="00B32274">
            <w:pPr>
              <w:rPr>
                <w:sz w:val="18"/>
                <w:szCs w:val="18"/>
              </w:rPr>
            </w:pPr>
            <w:r>
              <w:rPr>
                <w:sz w:val="18"/>
                <w:szCs w:val="18"/>
              </w:rPr>
              <w:t>Data Collection Oversight</w:t>
            </w:r>
          </w:p>
        </w:tc>
        <w:tc>
          <w:tcPr>
            <w:tcW w:w="1922" w:type="dxa"/>
          </w:tcPr>
          <w:p w14:paraId="6C51B144" w14:textId="77777777" w:rsidR="005141DC" w:rsidRPr="005141DC" w:rsidRDefault="005141DC" w:rsidP="000E7C1D">
            <w:pPr>
              <w:rPr>
                <w:sz w:val="18"/>
                <w:szCs w:val="18"/>
              </w:rPr>
            </w:pPr>
            <w:r w:rsidRPr="005141DC">
              <w:rPr>
                <w:sz w:val="18"/>
                <w:szCs w:val="18"/>
              </w:rPr>
              <w:t>RMC Research Corporation</w:t>
            </w:r>
          </w:p>
        </w:tc>
        <w:tc>
          <w:tcPr>
            <w:tcW w:w="3829" w:type="dxa"/>
          </w:tcPr>
          <w:p w14:paraId="6C51B145" w14:textId="77777777" w:rsidR="005141DC" w:rsidRDefault="00AD2935" w:rsidP="007A3CEE">
            <w:pPr>
              <w:rPr>
                <w:rStyle w:val="Hyperlink"/>
                <w:sz w:val="18"/>
              </w:rPr>
            </w:pPr>
            <w:hyperlink r:id="rId17" w:history="1">
              <w:r w:rsidR="005141DC" w:rsidRPr="00034CC7">
                <w:rPr>
                  <w:rStyle w:val="Hyperlink"/>
                  <w:sz w:val="18"/>
                </w:rPr>
                <w:t>ward@rmcdenver.com</w:t>
              </w:r>
            </w:hyperlink>
          </w:p>
          <w:p w14:paraId="6C51B146" w14:textId="77777777" w:rsidR="005141DC" w:rsidRPr="005141DC" w:rsidRDefault="005141DC" w:rsidP="007A3CEE">
            <w:pPr>
              <w:rPr>
                <w:sz w:val="18"/>
                <w:szCs w:val="18"/>
              </w:rPr>
            </w:pPr>
            <w:r w:rsidRPr="005141DC">
              <w:rPr>
                <w:sz w:val="18"/>
                <w:szCs w:val="18"/>
              </w:rPr>
              <w:t>303-825-3636</w:t>
            </w:r>
          </w:p>
        </w:tc>
      </w:tr>
      <w:tr w:rsidR="005141DC" w:rsidRPr="006E1478" w14:paraId="6C51B14D" w14:textId="77777777" w:rsidTr="00121FC2">
        <w:tc>
          <w:tcPr>
            <w:tcW w:w="1834" w:type="dxa"/>
          </w:tcPr>
          <w:p w14:paraId="6C51B148" w14:textId="77777777" w:rsidR="005141DC" w:rsidRPr="005141DC" w:rsidRDefault="005141DC" w:rsidP="000E7C1D">
            <w:pPr>
              <w:rPr>
                <w:sz w:val="18"/>
                <w:szCs w:val="16"/>
              </w:rPr>
            </w:pPr>
            <w:r w:rsidRPr="005141DC">
              <w:rPr>
                <w:sz w:val="18"/>
                <w:szCs w:val="16"/>
              </w:rPr>
              <w:t xml:space="preserve">Gale Hairston </w:t>
            </w:r>
          </w:p>
        </w:tc>
        <w:tc>
          <w:tcPr>
            <w:tcW w:w="1883" w:type="dxa"/>
          </w:tcPr>
          <w:p w14:paraId="6C51B149" w14:textId="77777777" w:rsidR="005141DC" w:rsidRPr="005141DC" w:rsidRDefault="005141DC" w:rsidP="005141DC">
            <w:pPr>
              <w:rPr>
                <w:sz w:val="18"/>
                <w:szCs w:val="16"/>
              </w:rPr>
            </w:pPr>
            <w:r>
              <w:rPr>
                <w:sz w:val="18"/>
                <w:szCs w:val="16"/>
              </w:rPr>
              <w:t>SEA Study Liaison</w:t>
            </w:r>
          </w:p>
        </w:tc>
        <w:tc>
          <w:tcPr>
            <w:tcW w:w="1922" w:type="dxa"/>
          </w:tcPr>
          <w:p w14:paraId="6C51B14A" w14:textId="77777777" w:rsidR="005141DC" w:rsidRPr="005141DC" w:rsidRDefault="005141DC" w:rsidP="000E7C1D">
            <w:pPr>
              <w:rPr>
                <w:sz w:val="18"/>
                <w:szCs w:val="16"/>
              </w:rPr>
            </w:pPr>
            <w:r w:rsidRPr="005141DC">
              <w:rPr>
                <w:sz w:val="18"/>
                <w:szCs w:val="16"/>
              </w:rPr>
              <w:t>Missouri Department of Elementary and Secondary Education (MO DESE)</w:t>
            </w:r>
          </w:p>
        </w:tc>
        <w:tc>
          <w:tcPr>
            <w:tcW w:w="3829" w:type="dxa"/>
          </w:tcPr>
          <w:p w14:paraId="6C51B14B" w14:textId="77777777" w:rsidR="005141DC" w:rsidRDefault="00AD2935" w:rsidP="000E7C1D">
            <w:pPr>
              <w:rPr>
                <w:sz w:val="18"/>
                <w:szCs w:val="16"/>
              </w:rPr>
            </w:pPr>
            <w:hyperlink r:id="rId18" w:history="1">
              <w:r w:rsidR="005141DC" w:rsidRPr="00034CC7">
                <w:rPr>
                  <w:rStyle w:val="Hyperlink"/>
                  <w:sz w:val="18"/>
                  <w:szCs w:val="16"/>
                </w:rPr>
                <w:t>Gale.Hairston@dese.mo.gov</w:t>
              </w:r>
            </w:hyperlink>
          </w:p>
          <w:p w14:paraId="6C51B14C" w14:textId="77777777" w:rsidR="005141DC" w:rsidRPr="005141DC" w:rsidRDefault="005141DC" w:rsidP="000E7C1D">
            <w:pPr>
              <w:rPr>
                <w:sz w:val="18"/>
                <w:szCs w:val="16"/>
              </w:rPr>
            </w:pPr>
          </w:p>
        </w:tc>
      </w:tr>
    </w:tbl>
    <w:p w14:paraId="6C51B14E" w14:textId="77777777" w:rsidR="005141DC" w:rsidRDefault="005141DC" w:rsidP="005141DC">
      <w:pPr>
        <w:pStyle w:val="Heading2"/>
      </w:pPr>
      <w:bookmarkStart w:id="8" w:name="_Toc358971173"/>
      <w:bookmarkStart w:id="9" w:name="_Toc364409327"/>
      <w:r>
        <w:t>References</w:t>
      </w:r>
      <w:bookmarkEnd w:id="8"/>
      <w:bookmarkEnd w:id="9"/>
    </w:p>
    <w:p w14:paraId="6C51B14F" w14:textId="77777777" w:rsidR="005141DC" w:rsidRDefault="005141DC" w:rsidP="00115B7A">
      <w:pPr>
        <w:spacing w:line="240" w:lineRule="auto"/>
        <w:ind w:left="720" w:hanging="720"/>
        <w:rPr>
          <w:color w:val="000000"/>
        </w:rPr>
      </w:pPr>
    </w:p>
    <w:p w14:paraId="6C51B150" w14:textId="77777777" w:rsidR="0070339B" w:rsidRPr="00F1203D" w:rsidRDefault="0070339B" w:rsidP="0070339B">
      <w:pPr>
        <w:spacing w:line="240" w:lineRule="auto"/>
        <w:ind w:left="720" w:hanging="720"/>
        <w:rPr>
          <w:rFonts w:cstheme="minorHAnsi"/>
          <w:sz w:val="24"/>
          <w:szCs w:val="24"/>
        </w:rPr>
      </w:pPr>
      <w:r w:rsidRPr="00F1203D">
        <w:rPr>
          <w:rFonts w:cstheme="minorHAnsi"/>
          <w:sz w:val="24"/>
          <w:szCs w:val="24"/>
        </w:rPr>
        <w:t xml:space="preserve">Dillman, D. A. (2000). </w:t>
      </w:r>
      <w:r w:rsidRPr="004C755D">
        <w:rPr>
          <w:rFonts w:cstheme="minorHAnsi"/>
          <w:i/>
          <w:sz w:val="24"/>
          <w:szCs w:val="24"/>
        </w:rPr>
        <w:t>Mail and Internet surveys: The tailored design method</w:t>
      </w:r>
      <w:r w:rsidRPr="00F1203D">
        <w:rPr>
          <w:rFonts w:cstheme="minorHAnsi"/>
          <w:sz w:val="24"/>
          <w:szCs w:val="24"/>
        </w:rPr>
        <w:t xml:space="preserve"> </w:t>
      </w:r>
      <w:r>
        <w:rPr>
          <w:rFonts w:cstheme="minorHAnsi"/>
          <w:sz w:val="24"/>
          <w:szCs w:val="24"/>
        </w:rPr>
        <w:t>(</w:t>
      </w:r>
      <w:r w:rsidRPr="00F1203D">
        <w:rPr>
          <w:rFonts w:cstheme="minorHAnsi"/>
          <w:sz w:val="24"/>
          <w:szCs w:val="24"/>
        </w:rPr>
        <w:t>2nd ed.</w:t>
      </w:r>
      <w:r>
        <w:rPr>
          <w:rFonts w:cstheme="minorHAnsi"/>
          <w:sz w:val="24"/>
          <w:szCs w:val="24"/>
        </w:rPr>
        <w:t>).</w:t>
      </w:r>
      <w:r w:rsidRPr="00F1203D">
        <w:rPr>
          <w:rFonts w:cstheme="minorHAnsi"/>
          <w:sz w:val="24"/>
          <w:szCs w:val="24"/>
        </w:rPr>
        <w:t xml:space="preserve"> New York: Wiley. </w:t>
      </w:r>
    </w:p>
    <w:p w14:paraId="6C51B151" w14:textId="77777777" w:rsidR="0070339B" w:rsidRPr="00F1203D" w:rsidRDefault="0070339B" w:rsidP="0070339B">
      <w:pPr>
        <w:ind w:left="720" w:hanging="720"/>
        <w:rPr>
          <w:rFonts w:cstheme="minorHAnsi"/>
          <w:sz w:val="24"/>
          <w:szCs w:val="24"/>
        </w:rPr>
      </w:pPr>
      <w:r w:rsidRPr="00F1203D">
        <w:rPr>
          <w:rFonts w:cstheme="minorHAnsi"/>
          <w:sz w:val="24"/>
          <w:szCs w:val="24"/>
        </w:rPr>
        <w:t xml:space="preserve">Duffy, B., Smith, K., Terhanian, G., &amp; Bremer, J. (2005). Comparing data from online and face-to-face surveys. </w:t>
      </w:r>
      <w:r w:rsidRPr="004C755D">
        <w:rPr>
          <w:rFonts w:cstheme="minorHAnsi"/>
          <w:i/>
          <w:sz w:val="24"/>
          <w:szCs w:val="24"/>
        </w:rPr>
        <w:t>International Journal of Market Research, 47</w:t>
      </w:r>
      <w:r w:rsidRPr="00F1203D">
        <w:rPr>
          <w:rFonts w:cstheme="minorHAnsi"/>
          <w:sz w:val="24"/>
          <w:szCs w:val="24"/>
        </w:rPr>
        <w:t>(6), 615</w:t>
      </w:r>
      <w:r>
        <w:rPr>
          <w:rFonts w:cstheme="minorHAnsi"/>
          <w:sz w:val="24"/>
          <w:szCs w:val="24"/>
        </w:rPr>
        <w:t>–</w:t>
      </w:r>
      <w:r w:rsidRPr="00F1203D">
        <w:rPr>
          <w:rFonts w:cstheme="minorHAnsi"/>
          <w:sz w:val="24"/>
          <w:szCs w:val="24"/>
        </w:rPr>
        <w:t>639.</w:t>
      </w:r>
    </w:p>
    <w:p w14:paraId="6C51B152" w14:textId="77777777" w:rsidR="0070339B" w:rsidRPr="00F1203D" w:rsidRDefault="0070339B" w:rsidP="0070339B">
      <w:pPr>
        <w:spacing w:line="240" w:lineRule="auto"/>
        <w:ind w:left="720" w:hanging="720"/>
        <w:rPr>
          <w:rFonts w:cstheme="minorHAnsi"/>
          <w:sz w:val="24"/>
          <w:szCs w:val="24"/>
        </w:rPr>
      </w:pPr>
      <w:r w:rsidRPr="00F1203D">
        <w:rPr>
          <w:rFonts w:cstheme="minorHAnsi"/>
          <w:sz w:val="24"/>
          <w:szCs w:val="24"/>
        </w:rPr>
        <w:t xml:space="preserve">Ehlert, M., Podgursky, M., Harrington, J. Xiang, P., Parsons, E., Frazelle, S., &amp; Taylor Knight, L. (2011). </w:t>
      </w:r>
      <w:r w:rsidRPr="00F1203D">
        <w:rPr>
          <w:rFonts w:cstheme="minorHAnsi"/>
          <w:i/>
          <w:sz w:val="24"/>
          <w:szCs w:val="24"/>
        </w:rPr>
        <w:t>Teacher and Leader Preparation in Relationship to Student Achievement in the Kansas City Region</w:t>
      </w:r>
      <w:r w:rsidRPr="00F1203D">
        <w:rPr>
          <w:rFonts w:cstheme="minorHAnsi"/>
          <w:sz w:val="24"/>
          <w:szCs w:val="24"/>
        </w:rPr>
        <w:t>. Kansas City, MO: Kansas City Area Education Research Consortium.</w:t>
      </w:r>
    </w:p>
    <w:p w14:paraId="6C51B153" w14:textId="77777777" w:rsidR="0070339B" w:rsidRDefault="0070339B" w:rsidP="0070339B">
      <w:pPr>
        <w:spacing w:line="240" w:lineRule="auto"/>
        <w:ind w:left="720" w:hanging="720"/>
        <w:rPr>
          <w:rFonts w:cstheme="minorHAnsi"/>
          <w:sz w:val="24"/>
          <w:szCs w:val="24"/>
        </w:rPr>
      </w:pPr>
      <w:r w:rsidRPr="00F1203D">
        <w:rPr>
          <w:rFonts w:cstheme="minorHAnsi"/>
          <w:sz w:val="24"/>
          <w:szCs w:val="24"/>
        </w:rPr>
        <w:t xml:space="preserve">Koedel, C., Parsons, E., Podgursky, M., &amp; Ehlert, M. (2012). </w:t>
      </w:r>
      <w:r w:rsidRPr="00F1203D">
        <w:rPr>
          <w:rFonts w:cstheme="minorHAnsi"/>
          <w:i/>
          <w:sz w:val="24"/>
          <w:szCs w:val="24"/>
        </w:rPr>
        <w:t>Teacher preparation programs and teacher quality: Are there real differences across programs?</w:t>
      </w:r>
      <w:r w:rsidRPr="00F1203D">
        <w:rPr>
          <w:rFonts w:cstheme="minorHAnsi"/>
          <w:sz w:val="24"/>
          <w:szCs w:val="24"/>
        </w:rPr>
        <w:t xml:space="preserve"> Washington, DC: CALDER/American Institutes for Research.</w:t>
      </w:r>
    </w:p>
    <w:p w14:paraId="6C51B154" w14:textId="77777777" w:rsidR="0070339B" w:rsidRPr="004C755D" w:rsidRDefault="0070339B" w:rsidP="0070339B">
      <w:pPr>
        <w:spacing w:line="240" w:lineRule="auto"/>
        <w:ind w:left="720" w:hanging="720"/>
        <w:rPr>
          <w:rFonts w:cstheme="minorHAnsi"/>
          <w:sz w:val="24"/>
          <w:szCs w:val="24"/>
        </w:rPr>
      </w:pPr>
      <w:r>
        <w:rPr>
          <w:rFonts w:cstheme="minorHAnsi"/>
          <w:sz w:val="24"/>
          <w:szCs w:val="24"/>
        </w:rPr>
        <w:t xml:space="preserve">Lee, S. (2006). Propensity score adjustment as a weighting scheme for volunteer panel web surveys. </w:t>
      </w:r>
      <w:r>
        <w:rPr>
          <w:rFonts w:cstheme="minorHAnsi"/>
          <w:i/>
          <w:sz w:val="24"/>
          <w:szCs w:val="24"/>
        </w:rPr>
        <w:t>Journal of Official Statistics 22</w:t>
      </w:r>
      <w:r>
        <w:rPr>
          <w:rFonts w:cstheme="minorHAnsi"/>
          <w:sz w:val="24"/>
          <w:szCs w:val="24"/>
        </w:rPr>
        <w:t>(2), 329–349.</w:t>
      </w:r>
    </w:p>
    <w:p w14:paraId="6C51B155" w14:textId="77777777" w:rsidR="0070339B" w:rsidRPr="00F1203D" w:rsidRDefault="0070339B" w:rsidP="0070339B">
      <w:pPr>
        <w:ind w:left="720" w:hanging="720"/>
        <w:rPr>
          <w:rFonts w:cstheme="minorHAnsi"/>
          <w:sz w:val="24"/>
          <w:szCs w:val="24"/>
        </w:rPr>
      </w:pPr>
      <w:r w:rsidRPr="00F1203D">
        <w:rPr>
          <w:rFonts w:cstheme="minorHAnsi"/>
          <w:sz w:val="24"/>
          <w:szCs w:val="24"/>
        </w:rPr>
        <w:t xml:space="preserve">Loosveldt, G &amp; Sonck, N. (2008). An evaluation of the weighting procedures for an online access panel survey. </w:t>
      </w:r>
      <w:r w:rsidRPr="002B7B66">
        <w:rPr>
          <w:rFonts w:cstheme="minorHAnsi"/>
          <w:i/>
          <w:sz w:val="24"/>
          <w:szCs w:val="24"/>
        </w:rPr>
        <w:t>Survey Research Methods</w:t>
      </w:r>
      <w:r>
        <w:rPr>
          <w:rFonts w:cstheme="minorHAnsi"/>
          <w:i/>
          <w:sz w:val="24"/>
          <w:szCs w:val="24"/>
        </w:rPr>
        <w:t xml:space="preserve"> 2</w:t>
      </w:r>
      <w:r>
        <w:rPr>
          <w:rFonts w:cstheme="minorHAnsi"/>
          <w:sz w:val="24"/>
          <w:szCs w:val="24"/>
        </w:rPr>
        <w:t>(2): 93–105.</w:t>
      </w:r>
    </w:p>
    <w:p w14:paraId="6C51B156" w14:textId="77777777" w:rsidR="0070339B" w:rsidRDefault="0070339B" w:rsidP="0070339B">
      <w:pPr>
        <w:ind w:left="720" w:hanging="720"/>
        <w:rPr>
          <w:rFonts w:cstheme="minorHAnsi"/>
          <w:sz w:val="24"/>
          <w:szCs w:val="24"/>
        </w:rPr>
      </w:pPr>
      <w:r w:rsidRPr="00F1203D">
        <w:rPr>
          <w:rFonts w:cstheme="minorHAnsi"/>
          <w:sz w:val="24"/>
          <w:szCs w:val="24"/>
        </w:rPr>
        <w:t xml:space="preserve">Miller L. E., &amp; Smith, K. (1983). Handling nonresponse issues. </w:t>
      </w:r>
      <w:r w:rsidRPr="000E4742">
        <w:rPr>
          <w:rFonts w:cstheme="minorHAnsi"/>
          <w:i/>
          <w:sz w:val="24"/>
          <w:szCs w:val="24"/>
        </w:rPr>
        <w:t>Journal of Extension On-line, 21</w:t>
      </w:r>
      <w:r w:rsidRPr="00F1203D">
        <w:rPr>
          <w:rFonts w:cstheme="minorHAnsi"/>
          <w:sz w:val="24"/>
          <w:szCs w:val="24"/>
        </w:rPr>
        <w:t xml:space="preserve">(5). </w:t>
      </w:r>
      <w:r>
        <w:rPr>
          <w:rFonts w:cstheme="minorHAnsi"/>
          <w:sz w:val="24"/>
          <w:szCs w:val="24"/>
        </w:rPr>
        <w:t>Retrieved on Apr 15, 2013 from</w:t>
      </w:r>
      <w:r w:rsidRPr="00F1203D">
        <w:rPr>
          <w:rFonts w:cstheme="minorHAnsi"/>
          <w:sz w:val="24"/>
          <w:szCs w:val="24"/>
        </w:rPr>
        <w:t xml:space="preserve"> http://www.joe.org/joe/1983september/83-5-a7.pdf</w:t>
      </w:r>
      <w:r>
        <w:rPr>
          <w:rFonts w:cstheme="minorHAnsi"/>
          <w:sz w:val="24"/>
          <w:szCs w:val="24"/>
        </w:rPr>
        <w:t>.</w:t>
      </w:r>
    </w:p>
    <w:p w14:paraId="6C51B157" w14:textId="77777777" w:rsidR="003000C8" w:rsidRPr="005225C1" w:rsidRDefault="003000C8" w:rsidP="0070339B">
      <w:pPr>
        <w:ind w:left="720" w:hanging="720"/>
        <w:rPr>
          <w:rFonts w:cstheme="minorHAnsi"/>
          <w:sz w:val="24"/>
          <w:szCs w:val="24"/>
        </w:rPr>
      </w:pPr>
      <w:r>
        <w:rPr>
          <w:rFonts w:cstheme="minorHAnsi"/>
          <w:sz w:val="24"/>
          <w:szCs w:val="24"/>
        </w:rPr>
        <w:t xml:space="preserve">National </w:t>
      </w:r>
      <w:r w:rsidR="005225C1">
        <w:rPr>
          <w:rFonts w:cstheme="minorHAnsi"/>
          <w:sz w:val="24"/>
          <w:szCs w:val="24"/>
        </w:rPr>
        <w:t xml:space="preserve">Council for Accreditation of Teacher Education. (2010, November). </w:t>
      </w:r>
      <w:r w:rsidR="005225C1">
        <w:rPr>
          <w:rFonts w:cstheme="minorHAnsi"/>
          <w:i/>
          <w:sz w:val="24"/>
          <w:szCs w:val="24"/>
        </w:rPr>
        <w:t>Transforming teacher education through clinical practice: A national strategy to prepare effective teachers</w:t>
      </w:r>
      <w:r w:rsidR="005225C1">
        <w:rPr>
          <w:rFonts w:cstheme="minorHAnsi"/>
          <w:sz w:val="24"/>
          <w:szCs w:val="24"/>
        </w:rPr>
        <w:t>. Washington, DC: Author.</w:t>
      </w:r>
    </w:p>
    <w:p w14:paraId="6C51B158" w14:textId="77777777" w:rsidR="0070339B" w:rsidRDefault="0070339B" w:rsidP="0070339B">
      <w:pPr>
        <w:spacing w:line="240" w:lineRule="auto"/>
        <w:ind w:left="720" w:hanging="720"/>
        <w:rPr>
          <w:rFonts w:cstheme="minorHAnsi"/>
          <w:sz w:val="24"/>
          <w:szCs w:val="24"/>
        </w:rPr>
      </w:pPr>
      <w:r w:rsidRPr="00F1203D">
        <w:rPr>
          <w:rFonts w:cstheme="minorHAnsi"/>
          <w:sz w:val="24"/>
          <w:szCs w:val="24"/>
        </w:rPr>
        <w:t>Office of Management and Budget</w:t>
      </w:r>
      <w:r>
        <w:rPr>
          <w:rFonts w:cstheme="minorHAnsi"/>
          <w:sz w:val="24"/>
          <w:szCs w:val="24"/>
        </w:rPr>
        <w:t>.</w:t>
      </w:r>
      <w:r w:rsidRPr="00F1203D">
        <w:rPr>
          <w:rFonts w:cstheme="minorHAnsi"/>
          <w:sz w:val="24"/>
          <w:szCs w:val="24"/>
        </w:rPr>
        <w:t xml:space="preserve"> (2006). </w:t>
      </w:r>
      <w:r w:rsidRPr="004B5064">
        <w:rPr>
          <w:rFonts w:cstheme="minorHAnsi"/>
          <w:i/>
          <w:sz w:val="24"/>
          <w:szCs w:val="24"/>
        </w:rPr>
        <w:t>Questions and answers when designing surveys for information collections</w:t>
      </w:r>
      <w:r w:rsidRPr="00F1203D">
        <w:rPr>
          <w:rFonts w:cstheme="minorHAnsi"/>
          <w:sz w:val="24"/>
          <w:szCs w:val="24"/>
        </w:rPr>
        <w:t>. Washington, DC: Office of Information and Regulatory Affairs.</w:t>
      </w:r>
    </w:p>
    <w:p w14:paraId="6C51B159" w14:textId="77777777" w:rsidR="0070339B" w:rsidRPr="000E4742" w:rsidRDefault="0070339B" w:rsidP="004B5064">
      <w:pPr>
        <w:autoSpaceDE w:val="0"/>
        <w:autoSpaceDN w:val="0"/>
        <w:adjustRightInd w:val="0"/>
        <w:spacing w:line="240" w:lineRule="auto"/>
        <w:ind w:left="720" w:hanging="720"/>
        <w:rPr>
          <w:rFonts w:cstheme="minorHAnsi"/>
          <w:sz w:val="24"/>
          <w:szCs w:val="24"/>
        </w:rPr>
      </w:pPr>
      <w:r w:rsidRPr="000E4742">
        <w:rPr>
          <w:rFonts w:cstheme="minorHAnsi"/>
          <w:sz w:val="24"/>
          <w:szCs w:val="24"/>
        </w:rPr>
        <w:t xml:space="preserve">Oh, H.L. and Scheuren, F.J. (1983). Weighting adjustment for unit nonresponse. </w:t>
      </w:r>
      <w:r>
        <w:rPr>
          <w:rFonts w:cstheme="minorHAnsi"/>
          <w:sz w:val="24"/>
          <w:szCs w:val="24"/>
        </w:rPr>
        <w:t>I</w:t>
      </w:r>
      <w:r w:rsidRPr="000E4742">
        <w:rPr>
          <w:rFonts w:cstheme="minorHAnsi"/>
          <w:sz w:val="24"/>
          <w:szCs w:val="24"/>
        </w:rPr>
        <w:t>n W.G. Madow, I. Olkin</w:t>
      </w:r>
      <w:r>
        <w:rPr>
          <w:rFonts w:cstheme="minorHAnsi"/>
          <w:sz w:val="24"/>
          <w:szCs w:val="24"/>
        </w:rPr>
        <w:t>,</w:t>
      </w:r>
      <w:r w:rsidRPr="000E4742">
        <w:rPr>
          <w:rFonts w:cstheme="minorHAnsi"/>
          <w:sz w:val="24"/>
          <w:szCs w:val="24"/>
        </w:rPr>
        <w:t xml:space="preserve"> </w:t>
      </w:r>
      <w:r>
        <w:rPr>
          <w:rFonts w:cstheme="minorHAnsi"/>
          <w:sz w:val="24"/>
          <w:szCs w:val="24"/>
        </w:rPr>
        <w:t>&amp;</w:t>
      </w:r>
      <w:r w:rsidRPr="000E4742">
        <w:rPr>
          <w:rFonts w:cstheme="minorHAnsi"/>
          <w:sz w:val="24"/>
          <w:szCs w:val="24"/>
        </w:rPr>
        <w:t xml:space="preserve"> D.B. Rubin </w:t>
      </w:r>
      <w:r>
        <w:rPr>
          <w:rFonts w:cstheme="minorHAnsi"/>
          <w:sz w:val="24"/>
          <w:szCs w:val="24"/>
        </w:rPr>
        <w:t>(E</w:t>
      </w:r>
      <w:r w:rsidRPr="000E4742">
        <w:rPr>
          <w:rFonts w:cstheme="minorHAnsi"/>
          <w:sz w:val="24"/>
          <w:szCs w:val="24"/>
        </w:rPr>
        <w:t>ds.</w:t>
      </w:r>
      <w:r>
        <w:rPr>
          <w:rFonts w:cstheme="minorHAnsi"/>
          <w:sz w:val="24"/>
          <w:szCs w:val="24"/>
        </w:rPr>
        <w:t>)</w:t>
      </w:r>
      <w:r w:rsidRPr="000E4742">
        <w:rPr>
          <w:rFonts w:cstheme="minorHAnsi"/>
          <w:sz w:val="24"/>
          <w:szCs w:val="24"/>
        </w:rPr>
        <w:t xml:space="preserve">, </w:t>
      </w:r>
      <w:r w:rsidRPr="000E4742">
        <w:rPr>
          <w:rFonts w:cstheme="minorHAnsi"/>
          <w:i/>
          <w:iCs/>
          <w:sz w:val="24"/>
          <w:szCs w:val="24"/>
        </w:rPr>
        <w:t xml:space="preserve">Incomplete </w:t>
      </w:r>
      <w:r>
        <w:rPr>
          <w:rFonts w:cstheme="minorHAnsi"/>
          <w:i/>
          <w:iCs/>
          <w:sz w:val="24"/>
          <w:szCs w:val="24"/>
        </w:rPr>
        <w:t>data in s</w:t>
      </w:r>
      <w:r w:rsidRPr="000E4742">
        <w:rPr>
          <w:rFonts w:cstheme="minorHAnsi"/>
          <w:i/>
          <w:iCs/>
          <w:sz w:val="24"/>
          <w:szCs w:val="24"/>
        </w:rPr>
        <w:t>ample</w:t>
      </w:r>
      <w:r>
        <w:rPr>
          <w:rFonts w:cstheme="minorHAnsi"/>
          <w:i/>
          <w:iCs/>
          <w:sz w:val="24"/>
          <w:szCs w:val="24"/>
        </w:rPr>
        <w:t xml:space="preserve"> surveys, Volume 2: Theory and Bibliography </w:t>
      </w:r>
      <w:r>
        <w:rPr>
          <w:rFonts w:cstheme="minorHAnsi"/>
          <w:iCs/>
          <w:sz w:val="24"/>
          <w:szCs w:val="24"/>
        </w:rPr>
        <w:t>(pp. 143–184)</w:t>
      </w:r>
      <w:r>
        <w:rPr>
          <w:rFonts w:cstheme="minorHAnsi"/>
          <w:i/>
          <w:iCs/>
          <w:sz w:val="24"/>
          <w:szCs w:val="24"/>
        </w:rPr>
        <w:t>.</w:t>
      </w:r>
      <w:r>
        <w:rPr>
          <w:rFonts w:cstheme="minorHAnsi"/>
          <w:iCs/>
          <w:sz w:val="24"/>
          <w:szCs w:val="24"/>
        </w:rPr>
        <w:t xml:space="preserve"> New York: Academic Press.</w:t>
      </w:r>
      <w:r w:rsidRPr="000E4742">
        <w:rPr>
          <w:rFonts w:cstheme="minorHAnsi"/>
          <w:i/>
          <w:iCs/>
          <w:sz w:val="24"/>
          <w:szCs w:val="24"/>
        </w:rPr>
        <w:t xml:space="preserve"> </w:t>
      </w:r>
    </w:p>
    <w:p w14:paraId="6C51B15A" w14:textId="77777777" w:rsidR="0070339B" w:rsidRPr="004B5064" w:rsidRDefault="0070339B" w:rsidP="0070339B">
      <w:pPr>
        <w:spacing w:line="240" w:lineRule="auto"/>
        <w:ind w:left="720" w:hanging="720"/>
        <w:rPr>
          <w:rFonts w:cstheme="minorHAnsi"/>
          <w:sz w:val="24"/>
          <w:szCs w:val="24"/>
        </w:rPr>
      </w:pPr>
      <w:r>
        <w:rPr>
          <w:rFonts w:cstheme="minorHAnsi"/>
          <w:sz w:val="24"/>
          <w:szCs w:val="24"/>
        </w:rPr>
        <w:t xml:space="preserve">Taylor, H. (2005). </w:t>
      </w:r>
      <w:r w:rsidRPr="004B5064">
        <w:rPr>
          <w:rFonts w:cstheme="minorHAnsi"/>
          <w:sz w:val="24"/>
          <w:szCs w:val="24"/>
        </w:rPr>
        <w:t xml:space="preserve">Does internet research “work”? Comparing online survey results with telephone surveys. </w:t>
      </w:r>
      <w:r w:rsidRPr="004B5064">
        <w:rPr>
          <w:rFonts w:cstheme="minorHAnsi"/>
          <w:i/>
          <w:sz w:val="24"/>
          <w:szCs w:val="24"/>
        </w:rPr>
        <w:t>International Journal of Market Research, 42</w:t>
      </w:r>
      <w:r w:rsidRPr="004B5064">
        <w:rPr>
          <w:rFonts w:cstheme="minorHAnsi"/>
          <w:sz w:val="24"/>
          <w:szCs w:val="24"/>
        </w:rPr>
        <w:t>(1), 51–63.</w:t>
      </w:r>
    </w:p>
    <w:p w14:paraId="6C51B15B" w14:textId="77777777" w:rsidR="0070339B" w:rsidRPr="00F1203D" w:rsidRDefault="0070339B" w:rsidP="0070339B">
      <w:pPr>
        <w:spacing w:line="240" w:lineRule="auto"/>
        <w:ind w:left="720" w:hanging="720"/>
        <w:rPr>
          <w:rFonts w:cstheme="minorHAnsi"/>
          <w:sz w:val="24"/>
          <w:szCs w:val="24"/>
        </w:rPr>
      </w:pPr>
      <w:r w:rsidRPr="00F1203D">
        <w:rPr>
          <w:rFonts w:cstheme="minorHAnsi"/>
          <w:sz w:val="24"/>
          <w:szCs w:val="24"/>
        </w:rPr>
        <w:t xml:space="preserve">Tourangeau, R. (1984). Cognitive sciences and survey methods. In T. Jabine, M. Straf, J. Tanur, &amp; R. Tourangeau (Eds.), </w:t>
      </w:r>
      <w:r w:rsidRPr="00F1203D">
        <w:rPr>
          <w:rFonts w:cstheme="minorHAnsi"/>
          <w:i/>
          <w:sz w:val="24"/>
          <w:szCs w:val="24"/>
        </w:rPr>
        <w:t>Cognitive aspects of survey methodology: Building a bridge between disciplines</w:t>
      </w:r>
      <w:r w:rsidRPr="00F1203D">
        <w:rPr>
          <w:rFonts w:cstheme="minorHAnsi"/>
          <w:sz w:val="24"/>
          <w:szCs w:val="24"/>
        </w:rPr>
        <w:t>, pp. 73-100. Washington, DC: National Academy Press.</w:t>
      </w:r>
    </w:p>
    <w:p w14:paraId="6C51B15C" w14:textId="77777777" w:rsidR="0070339B" w:rsidRPr="00F1203D" w:rsidRDefault="0070339B" w:rsidP="0070339B">
      <w:pPr>
        <w:ind w:left="720" w:hanging="720"/>
        <w:rPr>
          <w:rFonts w:cstheme="minorHAnsi"/>
          <w:sz w:val="24"/>
          <w:szCs w:val="24"/>
        </w:rPr>
      </w:pPr>
      <w:r w:rsidRPr="00F1203D">
        <w:rPr>
          <w:rFonts w:cstheme="minorHAnsi"/>
          <w:sz w:val="24"/>
          <w:szCs w:val="24"/>
        </w:rPr>
        <w:t>Tourangeau, R., Rips, L.J., &amp; Rasinski, K. (2000). The Psychology of Survey Response. Cambridge: Cambridge University Press.</w:t>
      </w:r>
    </w:p>
    <w:p w14:paraId="6C51B15D" w14:textId="77777777" w:rsidR="0070339B" w:rsidRPr="00F1203D" w:rsidRDefault="0070339B" w:rsidP="0070339B">
      <w:pPr>
        <w:spacing w:after="0" w:line="240" w:lineRule="auto"/>
        <w:ind w:left="720" w:hanging="720"/>
        <w:rPr>
          <w:rFonts w:cstheme="minorHAnsi"/>
          <w:sz w:val="24"/>
          <w:szCs w:val="24"/>
        </w:rPr>
      </w:pPr>
      <w:r w:rsidRPr="00F1203D">
        <w:rPr>
          <w:rFonts w:cstheme="minorHAnsi"/>
          <w:sz w:val="24"/>
          <w:szCs w:val="24"/>
        </w:rPr>
        <w:t xml:space="preserve">Willis, G.B. (1999). </w:t>
      </w:r>
      <w:r w:rsidRPr="00F1203D">
        <w:rPr>
          <w:rFonts w:cstheme="minorHAnsi"/>
          <w:i/>
          <w:sz w:val="24"/>
          <w:szCs w:val="24"/>
        </w:rPr>
        <w:t>Cognitive interviewing: A “how-to” guide</w:t>
      </w:r>
      <w:r w:rsidRPr="00F1203D">
        <w:rPr>
          <w:rFonts w:cstheme="minorHAnsi"/>
          <w:sz w:val="24"/>
          <w:szCs w:val="24"/>
        </w:rPr>
        <w:t>. Presentation at the 1999 Meeting of the American Statistical Association.</w:t>
      </w:r>
    </w:p>
    <w:p w14:paraId="6C51B15E" w14:textId="77777777" w:rsidR="003B0E8D" w:rsidRPr="006D792F" w:rsidRDefault="003B0E8D" w:rsidP="00422762">
      <w:pPr>
        <w:spacing w:line="240" w:lineRule="auto"/>
        <w:rPr>
          <w:b/>
        </w:rPr>
      </w:pPr>
    </w:p>
    <w:sectPr w:rsidR="003B0E8D" w:rsidRPr="006D792F" w:rsidSect="001A1F5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1B164" w14:textId="77777777" w:rsidR="00616165" w:rsidRDefault="00616165" w:rsidP="00E70779">
      <w:pPr>
        <w:spacing w:after="0" w:line="240" w:lineRule="auto"/>
      </w:pPr>
      <w:r>
        <w:separator/>
      </w:r>
    </w:p>
  </w:endnote>
  <w:endnote w:type="continuationSeparator" w:id="0">
    <w:p w14:paraId="6C51B165" w14:textId="77777777" w:rsidR="00616165" w:rsidRDefault="00616165" w:rsidP="00E7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oudy Old Style">
    <w:altName w:val="Georgia"/>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1B162" w14:textId="77777777" w:rsidR="00616165" w:rsidRDefault="00616165" w:rsidP="00E70779">
      <w:pPr>
        <w:spacing w:after="0" w:line="240" w:lineRule="auto"/>
      </w:pPr>
      <w:r>
        <w:separator/>
      </w:r>
    </w:p>
  </w:footnote>
  <w:footnote w:type="continuationSeparator" w:id="0">
    <w:p w14:paraId="6C51B163" w14:textId="77777777" w:rsidR="00616165" w:rsidRDefault="00616165" w:rsidP="00E70779">
      <w:pPr>
        <w:spacing w:after="0" w:line="240" w:lineRule="auto"/>
      </w:pPr>
      <w:r>
        <w:continuationSeparator/>
      </w:r>
    </w:p>
  </w:footnote>
  <w:footnote w:id="1">
    <w:p w14:paraId="6C51B166" w14:textId="77777777" w:rsidR="000E7C1D" w:rsidRPr="006E035C" w:rsidRDefault="000E7C1D" w:rsidP="00EA21E0">
      <w:pPr>
        <w:pStyle w:val="FootnoteText"/>
        <w:spacing w:before="0" w:after="0" w:line="240" w:lineRule="auto"/>
        <w:rPr>
          <w:sz w:val="18"/>
          <w:szCs w:val="18"/>
        </w:rPr>
      </w:pPr>
      <w:r w:rsidRPr="006E035C">
        <w:rPr>
          <w:rStyle w:val="FootnoteReference"/>
          <w:sz w:val="18"/>
          <w:szCs w:val="18"/>
        </w:rPr>
        <w:footnoteRef/>
      </w:r>
      <w:r w:rsidRPr="006E035C">
        <w:rPr>
          <w:sz w:val="18"/>
          <w:szCs w:val="18"/>
        </w:rPr>
        <w:t>The NCATE State Alliance for Clinically-Based Teacher Preparation creates partnerships between states and national experts to pilot diverse approaches to implementation and to bring new models of clinical preparation to scale</w:t>
      </w:r>
      <w:r>
        <w:rPr>
          <w:sz w:val="18"/>
          <w:szCs w:val="18"/>
        </w:rPr>
        <w:t xml:space="preserve">. </w:t>
      </w:r>
      <w:r w:rsidRPr="006E035C">
        <w:rPr>
          <w:sz w:val="18"/>
          <w:szCs w:val="18"/>
        </w:rPr>
        <w:t>Th</w:t>
      </w:r>
      <w:r>
        <w:rPr>
          <w:sz w:val="18"/>
          <w:szCs w:val="18"/>
        </w:rPr>
        <w:t xml:space="preserve">is alliance </w:t>
      </w:r>
      <w:r w:rsidRPr="006E035C">
        <w:rPr>
          <w:sz w:val="18"/>
          <w:szCs w:val="18"/>
        </w:rPr>
        <w:t xml:space="preserve">works with organizations such as the American Association of Colleges of Teacher Education, the Association of Teacher Educators, and teacher unions to share information among </w:t>
      </w:r>
      <w:r>
        <w:rPr>
          <w:sz w:val="18"/>
          <w:szCs w:val="18"/>
        </w:rPr>
        <w:t xml:space="preserve">entities </w:t>
      </w:r>
      <w:r w:rsidRPr="006E035C">
        <w:rPr>
          <w:sz w:val="18"/>
          <w:szCs w:val="18"/>
        </w:rPr>
        <w:t>working to transform teacher education (NCATE, 2010).</w:t>
      </w:r>
    </w:p>
  </w:footnote>
  <w:footnote w:id="2">
    <w:p w14:paraId="6C51B167" w14:textId="77777777" w:rsidR="000E7C1D" w:rsidRPr="00BA5592" w:rsidRDefault="000E7C1D" w:rsidP="00EA21E0">
      <w:pPr>
        <w:pStyle w:val="FootnoteText"/>
        <w:rPr>
          <w:sz w:val="18"/>
        </w:rPr>
      </w:pPr>
      <w:r w:rsidRPr="00BA5592">
        <w:rPr>
          <w:rStyle w:val="FootnoteReference"/>
          <w:sz w:val="18"/>
        </w:rPr>
        <w:footnoteRef/>
      </w:r>
      <w:r w:rsidRPr="00BA5592">
        <w:rPr>
          <w:sz w:val="18"/>
        </w:rPr>
        <w:t xml:space="preserve"> </w:t>
      </w:r>
      <w:r>
        <w:rPr>
          <w:sz w:val="18"/>
        </w:rPr>
        <w:t xml:space="preserve">See </w:t>
      </w:r>
      <w:hyperlink r:id="rId1" w:history="1">
        <w:r w:rsidRPr="00BA5592">
          <w:rPr>
            <w:rStyle w:val="Hyperlink"/>
            <w:sz w:val="18"/>
          </w:rPr>
          <w:t>http://dese.mo.gov/eq/cert/routes-to-certification.htm</w:t>
        </w:r>
      </w:hyperlink>
      <w:r>
        <w:rPr>
          <w:sz w:val="18"/>
        </w:rPr>
        <w:t xml:space="preserve"> for additional information.</w:t>
      </w:r>
    </w:p>
  </w:footnote>
  <w:footnote w:id="3">
    <w:p w14:paraId="6C51B168" w14:textId="77777777" w:rsidR="000E7C1D" w:rsidRPr="006E035C" w:rsidRDefault="000E7C1D" w:rsidP="00E53183">
      <w:pPr>
        <w:pStyle w:val="FootnoteText"/>
        <w:spacing w:before="0" w:after="0" w:line="240" w:lineRule="auto"/>
        <w:rPr>
          <w:sz w:val="18"/>
          <w:szCs w:val="18"/>
        </w:rPr>
      </w:pPr>
      <w:r w:rsidRPr="006E035C">
        <w:rPr>
          <w:rStyle w:val="FootnoteReference"/>
          <w:sz w:val="18"/>
          <w:szCs w:val="18"/>
        </w:rPr>
        <w:footnoteRef/>
      </w:r>
      <w:r w:rsidRPr="006E035C">
        <w:rPr>
          <w:sz w:val="18"/>
          <w:szCs w:val="18"/>
        </w:rPr>
        <w:t xml:space="preserve"> Available here:</w:t>
      </w:r>
      <w:r>
        <w:rPr>
          <w:sz w:val="18"/>
          <w:szCs w:val="18"/>
        </w:rPr>
        <w:t xml:space="preserve"> </w:t>
      </w:r>
      <w:r w:rsidRPr="006E035C">
        <w:rPr>
          <w:sz w:val="18"/>
          <w:szCs w:val="18"/>
        </w:rPr>
        <w:t>http://title2.ed.gov/Title2STRC/DataTools/2011/Missouri.xls</w:t>
      </w:r>
    </w:p>
  </w:footnote>
  <w:footnote w:id="4">
    <w:p w14:paraId="6C51B169" w14:textId="77777777" w:rsidR="000E7C1D" w:rsidRPr="00DB7CC5" w:rsidRDefault="000E7C1D">
      <w:pPr>
        <w:pStyle w:val="FootnoteText"/>
        <w:rPr>
          <w:sz w:val="18"/>
        </w:rPr>
      </w:pPr>
      <w:r w:rsidRPr="00DB7CC5">
        <w:rPr>
          <w:rStyle w:val="FootnoteReference"/>
          <w:sz w:val="18"/>
        </w:rPr>
        <w:footnoteRef/>
      </w:r>
      <w:r w:rsidRPr="00DB7CC5">
        <w:rPr>
          <w:sz w:val="18"/>
        </w:rPr>
        <w:t xml:space="preserve"> Timing is contingent on OMB approval.</w:t>
      </w:r>
    </w:p>
  </w:footnote>
  <w:footnote w:id="5">
    <w:p w14:paraId="6C51B16A" w14:textId="77777777" w:rsidR="000E7C1D" w:rsidRDefault="000E7C1D" w:rsidP="005630E9">
      <w:pPr>
        <w:pStyle w:val="FootnoteText"/>
      </w:pPr>
      <w:r>
        <w:rPr>
          <w:rStyle w:val="FootnoteReference"/>
        </w:rPr>
        <w:footnoteRef/>
      </w:r>
      <w:r>
        <w:t xml:space="preserve"> </w:t>
      </w:r>
      <w:r w:rsidRPr="00353088">
        <w:rPr>
          <w:sz w:val="18"/>
          <w:szCs w:val="18"/>
        </w:rPr>
        <w:t>In the case that email addresses are not available</w:t>
      </w:r>
      <w:r>
        <w:rPr>
          <w:sz w:val="18"/>
          <w:szCs w:val="18"/>
        </w:rPr>
        <w:t xml:space="preserve"> or generate “bounce-back” messages</w:t>
      </w:r>
      <w:r w:rsidRPr="00353088">
        <w:rPr>
          <w:sz w:val="18"/>
          <w:szCs w:val="18"/>
        </w:rPr>
        <w:t xml:space="preserve">, the study team will communicate with </w:t>
      </w:r>
      <w:r>
        <w:rPr>
          <w:sz w:val="18"/>
          <w:szCs w:val="18"/>
        </w:rPr>
        <w:t xml:space="preserve">respondents </w:t>
      </w:r>
      <w:r w:rsidRPr="00353088">
        <w:rPr>
          <w:sz w:val="18"/>
          <w:szCs w:val="18"/>
        </w:rPr>
        <w:t>via U.S. Postal Service</w:t>
      </w:r>
      <w:r>
        <w:rPr>
          <w:sz w:val="18"/>
          <w:szCs w:val="18"/>
        </w:rPr>
        <w:t xml:space="preserve"> mail sent to their school address. MO DESE indicated that email address information is typically missing for up to 5% of first-year teachers and that physical address information is available for all teachers in the sample. </w:t>
      </w:r>
    </w:p>
  </w:footnote>
  <w:footnote w:id="6">
    <w:p w14:paraId="6C51B16B" w14:textId="77777777" w:rsidR="000E7C1D" w:rsidRPr="00F2581C" w:rsidRDefault="000E7C1D" w:rsidP="0078576D">
      <w:pPr>
        <w:pStyle w:val="FootnoteText"/>
        <w:rPr>
          <w:sz w:val="18"/>
          <w:szCs w:val="18"/>
        </w:rPr>
      </w:pPr>
      <w:r w:rsidRPr="00F2581C">
        <w:rPr>
          <w:rStyle w:val="FootnoteReference"/>
          <w:sz w:val="18"/>
          <w:szCs w:val="18"/>
        </w:rPr>
        <w:footnoteRef/>
      </w:r>
      <w:r w:rsidRPr="00F2581C">
        <w:rPr>
          <w:sz w:val="18"/>
          <w:szCs w:val="18"/>
        </w:rPr>
        <w:t xml:space="preserve"> Cognitive interviews were chosen as the approach to inform survey design in favor of a traditional pilot test to increase efficiency in terms of time and cost.</w:t>
      </w:r>
      <w:r>
        <w:rPr>
          <w:sz w:val="18"/>
          <w:szCs w:val="18"/>
        </w:rPr>
        <w:t xml:space="preserve"> REL Central expects that each cognitive interview will last approximately 60 minutes.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60F3"/>
    <w:multiLevelType w:val="hybridMultilevel"/>
    <w:tmpl w:val="8A288AFC"/>
    <w:lvl w:ilvl="0" w:tplc="660AE3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A0BD4"/>
    <w:multiLevelType w:val="hybridMultilevel"/>
    <w:tmpl w:val="FC4EF0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7C90BCE"/>
    <w:multiLevelType w:val="hybridMultilevel"/>
    <w:tmpl w:val="1C00A0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0132E0"/>
    <w:multiLevelType w:val="hybridMultilevel"/>
    <w:tmpl w:val="EC12104A"/>
    <w:lvl w:ilvl="0" w:tplc="DA4076D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CB23A44"/>
    <w:multiLevelType w:val="hybridMultilevel"/>
    <w:tmpl w:val="FFCE3C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623D35"/>
    <w:multiLevelType w:val="hybridMultilevel"/>
    <w:tmpl w:val="C7D241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41BB3"/>
    <w:multiLevelType w:val="hybridMultilevel"/>
    <w:tmpl w:val="B2C0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481DFB"/>
    <w:multiLevelType w:val="hybridMultilevel"/>
    <w:tmpl w:val="B0183D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A5F6E"/>
    <w:multiLevelType w:val="hybridMultilevel"/>
    <w:tmpl w:val="3AD2F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5A1016"/>
    <w:multiLevelType w:val="hybridMultilevel"/>
    <w:tmpl w:val="BE86C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8"/>
  </w:num>
  <w:num w:numId="6">
    <w:abstractNumId w:val="2"/>
  </w:num>
  <w:num w:numId="7">
    <w:abstractNumId w:val="4"/>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6E"/>
    <w:rsid w:val="00015278"/>
    <w:rsid w:val="00041B5D"/>
    <w:rsid w:val="0004510B"/>
    <w:rsid w:val="00055635"/>
    <w:rsid w:val="000601B7"/>
    <w:rsid w:val="00084ACF"/>
    <w:rsid w:val="000A6EDF"/>
    <w:rsid w:val="000B62D0"/>
    <w:rsid w:val="000C7F35"/>
    <w:rsid w:val="000E7C1D"/>
    <w:rsid w:val="00115B7A"/>
    <w:rsid w:val="00121FC2"/>
    <w:rsid w:val="00162405"/>
    <w:rsid w:val="00163248"/>
    <w:rsid w:val="00173F5F"/>
    <w:rsid w:val="0018444D"/>
    <w:rsid w:val="001A1F57"/>
    <w:rsid w:val="001B5518"/>
    <w:rsid w:val="001B6A1C"/>
    <w:rsid w:val="001C41EF"/>
    <w:rsid w:val="001D287F"/>
    <w:rsid w:val="001F3B94"/>
    <w:rsid w:val="001F421D"/>
    <w:rsid w:val="00206125"/>
    <w:rsid w:val="00217357"/>
    <w:rsid w:val="002424B5"/>
    <w:rsid w:val="002614AA"/>
    <w:rsid w:val="00265B87"/>
    <w:rsid w:val="002A3229"/>
    <w:rsid w:val="002A716E"/>
    <w:rsid w:val="002B3BE2"/>
    <w:rsid w:val="002B594F"/>
    <w:rsid w:val="002F478B"/>
    <w:rsid w:val="002F7440"/>
    <w:rsid w:val="003000C8"/>
    <w:rsid w:val="00314003"/>
    <w:rsid w:val="00314365"/>
    <w:rsid w:val="003535D1"/>
    <w:rsid w:val="003722F1"/>
    <w:rsid w:val="003A265D"/>
    <w:rsid w:val="003B0E8D"/>
    <w:rsid w:val="003F6C4E"/>
    <w:rsid w:val="0040112E"/>
    <w:rsid w:val="00402C32"/>
    <w:rsid w:val="004171D8"/>
    <w:rsid w:val="00417825"/>
    <w:rsid w:val="00422762"/>
    <w:rsid w:val="0042457C"/>
    <w:rsid w:val="00424823"/>
    <w:rsid w:val="00447A30"/>
    <w:rsid w:val="00456BFC"/>
    <w:rsid w:val="00485898"/>
    <w:rsid w:val="004B4558"/>
    <w:rsid w:val="004B5064"/>
    <w:rsid w:val="004E4EA6"/>
    <w:rsid w:val="004F36CE"/>
    <w:rsid w:val="005004F8"/>
    <w:rsid w:val="00500C8C"/>
    <w:rsid w:val="005023F2"/>
    <w:rsid w:val="005141DC"/>
    <w:rsid w:val="005225C1"/>
    <w:rsid w:val="00534F35"/>
    <w:rsid w:val="0054105E"/>
    <w:rsid w:val="0055656D"/>
    <w:rsid w:val="005630E9"/>
    <w:rsid w:val="0057406C"/>
    <w:rsid w:val="005B042B"/>
    <w:rsid w:val="005F6CCA"/>
    <w:rsid w:val="00600D09"/>
    <w:rsid w:val="00610C31"/>
    <w:rsid w:val="006160C6"/>
    <w:rsid w:val="00616165"/>
    <w:rsid w:val="00627DE8"/>
    <w:rsid w:val="00657A48"/>
    <w:rsid w:val="00661E46"/>
    <w:rsid w:val="00663192"/>
    <w:rsid w:val="006732DE"/>
    <w:rsid w:val="00677CF7"/>
    <w:rsid w:val="0069542D"/>
    <w:rsid w:val="006A5B54"/>
    <w:rsid w:val="006B64B0"/>
    <w:rsid w:val="006D449C"/>
    <w:rsid w:val="006D792F"/>
    <w:rsid w:val="006E1478"/>
    <w:rsid w:val="006E1943"/>
    <w:rsid w:val="006E3F1C"/>
    <w:rsid w:val="0070339B"/>
    <w:rsid w:val="0071002C"/>
    <w:rsid w:val="00717258"/>
    <w:rsid w:val="007350F3"/>
    <w:rsid w:val="00735274"/>
    <w:rsid w:val="00740E09"/>
    <w:rsid w:val="00744F0D"/>
    <w:rsid w:val="00761023"/>
    <w:rsid w:val="0077589F"/>
    <w:rsid w:val="00780080"/>
    <w:rsid w:val="00784028"/>
    <w:rsid w:val="0078576D"/>
    <w:rsid w:val="00785B8C"/>
    <w:rsid w:val="007A3CEE"/>
    <w:rsid w:val="007A4517"/>
    <w:rsid w:val="007C60EC"/>
    <w:rsid w:val="007D1FCF"/>
    <w:rsid w:val="007D2125"/>
    <w:rsid w:val="007F4544"/>
    <w:rsid w:val="00803FD3"/>
    <w:rsid w:val="00815A38"/>
    <w:rsid w:val="00823DCF"/>
    <w:rsid w:val="00830F01"/>
    <w:rsid w:val="008609E2"/>
    <w:rsid w:val="00861E0D"/>
    <w:rsid w:val="00864089"/>
    <w:rsid w:val="00870DE1"/>
    <w:rsid w:val="00871183"/>
    <w:rsid w:val="00884AB0"/>
    <w:rsid w:val="008A12CC"/>
    <w:rsid w:val="008B77DA"/>
    <w:rsid w:val="008C1B47"/>
    <w:rsid w:val="009052AF"/>
    <w:rsid w:val="0094785E"/>
    <w:rsid w:val="00967A34"/>
    <w:rsid w:val="0099316D"/>
    <w:rsid w:val="009A7D1C"/>
    <w:rsid w:val="009B6302"/>
    <w:rsid w:val="009B6B60"/>
    <w:rsid w:val="00A009AA"/>
    <w:rsid w:val="00A045EF"/>
    <w:rsid w:val="00A16CC4"/>
    <w:rsid w:val="00A2227C"/>
    <w:rsid w:val="00A2348F"/>
    <w:rsid w:val="00A2366E"/>
    <w:rsid w:val="00A55683"/>
    <w:rsid w:val="00A60AD2"/>
    <w:rsid w:val="00A7498E"/>
    <w:rsid w:val="00AA354F"/>
    <w:rsid w:val="00AA7DB1"/>
    <w:rsid w:val="00AB7D4F"/>
    <w:rsid w:val="00AC18B7"/>
    <w:rsid w:val="00AD2935"/>
    <w:rsid w:val="00AD3C90"/>
    <w:rsid w:val="00AE7F60"/>
    <w:rsid w:val="00B20D33"/>
    <w:rsid w:val="00B24F13"/>
    <w:rsid w:val="00B32274"/>
    <w:rsid w:val="00B43EB9"/>
    <w:rsid w:val="00B522CD"/>
    <w:rsid w:val="00B66584"/>
    <w:rsid w:val="00B860CB"/>
    <w:rsid w:val="00B902CC"/>
    <w:rsid w:val="00B96922"/>
    <w:rsid w:val="00BA58E2"/>
    <w:rsid w:val="00BD2BAB"/>
    <w:rsid w:val="00BE4F09"/>
    <w:rsid w:val="00C04961"/>
    <w:rsid w:val="00C122C7"/>
    <w:rsid w:val="00C176C4"/>
    <w:rsid w:val="00C21678"/>
    <w:rsid w:val="00C338FB"/>
    <w:rsid w:val="00C37FE5"/>
    <w:rsid w:val="00C53600"/>
    <w:rsid w:val="00C8777A"/>
    <w:rsid w:val="00C8790F"/>
    <w:rsid w:val="00CA0BE3"/>
    <w:rsid w:val="00CA173B"/>
    <w:rsid w:val="00CA49FE"/>
    <w:rsid w:val="00CA6142"/>
    <w:rsid w:val="00CB1126"/>
    <w:rsid w:val="00CD026E"/>
    <w:rsid w:val="00CE696F"/>
    <w:rsid w:val="00CF03AC"/>
    <w:rsid w:val="00CF3F57"/>
    <w:rsid w:val="00D133B1"/>
    <w:rsid w:val="00D23A3D"/>
    <w:rsid w:val="00D25C91"/>
    <w:rsid w:val="00D3439B"/>
    <w:rsid w:val="00D43ADB"/>
    <w:rsid w:val="00D54468"/>
    <w:rsid w:val="00DB7CC5"/>
    <w:rsid w:val="00E17252"/>
    <w:rsid w:val="00E314B0"/>
    <w:rsid w:val="00E33C8D"/>
    <w:rsid w:val="00E53183"/>
    <w:rsid w:val="00E60051"/>
    <w:rsid w:val="00E67C43"/>
    <w:rsid w:val="00E70779"/>
    <w:rsid w:val="00E74F53"/>
    <w:rsid w:val="00E87CDE"/>
    <w:rsid w:val="00E91D8D"/>
    <w:rsid w:val="00E96521"/>
    <w:rsid w:val="00E967ED"/>
    <w:rsid w:val="00E9736D"/>
    <w:rsid w:val="00EA21E0"/>
    <w:rsid w:val="00F21B70"/>
    <w:rsid w:val="00F23EDB"/>
    <w:rsid w:val="00F4116C"/>
    <w:rsid w:val="00F56630"/>
    <w:rsid w:val="00F60B46"/>
    <w:rsid w:val="00F67666"/>
    <w:rsid w:val="00F70ED5"/>
    <w:rsid w:val="00F73ADC"/>
    <w:rsid w:val="00FA168C"/>
    <w:rsid w:val="00FB60C2"/>
    <w:rsid w:val="00FD549C"/>
    <w:rsid w:val="00FE5086"/>
    <w:rsid w:val="00FF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7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125"/>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967A34"/>
    <w:pPr>
      <w:outlineLvl w:val="2"/>
    </w:pPr>
    <w:rPr>
      <w:b/>
      <w:u w:val="single"/>
    </w:rPr>
  </w:style>
  <w:style w:type="paragraph" w:styleId="Heading4">
    <w:name w:val="heading 4"/>
    <w:basedOn w:val="Normal"/>
    <w:next w:val="Normal"/>
    <w:link w:val="Heading4Char"/>
    <w:uiPriority w:val="9"/>
    <w:unhideWhenUsed/>
    <w:qFormat/>
    <w:rsid w:val="00CA0B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BodyText"/>
    <w:next w:val="Normal"/>
    <w:link w:val="Heading5Char"/>
    <w:uiPriority w:val="9"/>
    <w:unhideWhenUsed/>
    <w:qFormat/>
    <w:rsid w:val="00CA0BE3"/>
    <w:pPr>
      <w:spacing w:after="200" w:line="276" w:lineRule="auto"/>
      <w:outlineLvl w:val="4"/>
    </w:pPr>
    <w:rPr>
      <w:rFonts w:asciiTheme="minorHAnsi" w:eastAsiaTheme="minorHAnsi" w:hAnsiTheme="minorHAnsi"/>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2125"/>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967A34"/>
    <w:rPr>
      <w:b/>
      <w:u w:val="single"/>
    </w:rPr>
  </w:style>
  <w:style w:type="character" w:styleId="CommentReference">
    <w:name w:val="annotation reference"/>
    <w:basedOn w:val="DefaultParagraphFont"/>
    <w:uiPriority w:val="99"/>
    <w:semiHidden/>
    <w:unhideWhenUsed/>
    <w:rsid w:val="007D2125"/>
    <w:rPr>
      <w:sz w:val="16"/>
      <w:szCs w:val="16"/>
    </w:rPr>
  </w:style>
  <w:style w:type="paragraph" w:styleId="CommentText">
    <w:name w:val="annotation text"/>
    <w:basedOn w:val="Normal"/>
    <w:link w:val="CommentTextChar"/>
    <w:uiPriority w:val="99"/>
    <w:semiHidden/>
    <w:unhideWhenUsed/>
    <w:rsid w:val="007D2125"/>
    <w:pPr>
      <w:spacing w:line="240" w:lineRule="auto"/>
    </w:pPr>
    <w:rPr>
      <w:sz w:val="20"/>
      <w:szCs w:val="20"/>
    </w:rPr>
  </w:style>
  <w:style w:type="character" w:customStyle="1" w:styleId="CommentTextChar">
    <w:name w:val="Comment Text Char"/>
    <w:basedOn w:val="DefaultParagraphFont"/>
    <w:link w:val="CommentText"/>
    <w:uiPriority w:val="99"/>
    <w:semiHidden/>
    <w:rsid w:val="007D2125"/>
    <w:rPr>
      <w:sz w:val="20"/>
      <w:szCs w:val="20"/>
    </w:rPr>
  </w:style>
  <w:style w:type="paragraph" w:styleId="CommentSubject">
    <w:name w:val="annotation subject"/>
    <w:basedOn w:val="CommentText"/>
    <w:next w:val="CommentText"/>
    <w:link w:val="CommentSubjectChar"/>
    <w:uiPriority w:val="99"/>
    <w:semiHidden/>
    <w:unhideWhenUsed/>
    <w:rsid w:val="007D2125"/>
    <w:rPr>
      <w:b/>
      <w:bCs/>
    </w:rPr>
  </w:style>
  <w:style w:type="character" w:customStyle="1" w:styleId="CommentSubjectChar">
    <w:name w:val="Comment Subject Char"/>
    <w:basedOn w:val="CommentTextChar"/>
    <w:link w:val="CommentSubject"/>
    <w:uiPriority w:val="99"/>
    <w:semiHidden/>
    <w:rsid w:val="007D2125"/>
    <w:rPr>
      <w:b/>
      <w:bCs/>
      <w:sz w:val="20"/>
      <w:szCs w:val="20"/>
    </w:rPr>
  </w:style>
  <w:style w:type="paragraph" w:styleId="BalloonText">
    <w:name w:val="Balloon Text"/>
    <w:basedOn w:val="Normal"/>
    <w:link w:val="BalloonTextChar"/>
    <w:uiPriority w:val="99"/>
    <w:semiHidden/>
    <w:unhideWhenUsed/>
    <w:rsid w:val="007D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5"/>
    <w:rPr>
      <w:rFonts w:ascii="Tahoma" w:hAnsi="Tahoma" w:cs="Tahoma"/>
      <w:sz w:val="16"/>
      <w:szCs w:val="16"/>
    </w:rPr>
  </w:style>
  <w:style w:type="paragraph" w:styleId="NoSpacing">
    <w:name w:val="No Spacing"/>
    <w:link w:val="NoSpacingChar"/>
    <w:uiPriority w:val="1"/>
    <w:qFormat/>
    <w:rsid w:val="001A1F5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1F57"/>
    <w:rPr>
      <w:rFonts w:eastAsiaTheme="minorEastAsia"/>
      <w:lang w:eastAsia="ja-JP"/>
    </w:rPr>
  </w:style>
  <w:style w:type="paragraph" w:styleId="TOCHeading">
    <w:name w:val="TOC Heading"/>
    <w:basedOn w:val="Heading1"/>
    <w:next w:val="Normal"/>
    <w:uiPriority w:val="39"/>
    <w:semiHidden/>
    <w:unhideWhenUsed/>
    <w:qFormat/>
    <w:rsid w:val="001A1F57"/>
    <w:pPr>
      <w:outlineLvl w:val="9"/>
    </w:pPr>
    <w:rPr>
      <w:lang w:eastAsia="ja-JP"/>
    </w:rPr>
  </w:style>
  <w:style w:type="paragraph" w:styleId="TOC1">
    <w:name w:val="toc 1"/>
    <w:basedOn w:val="Normal"/>
    <w:next w:val="Normal"/>
    <w:autoRedefine/>
    <w:uiPriority w:val="39"/>
    <w:unhideWhenUsed/>
    <w:rsid w:val="001A1F57"/>
    <w:pPr>
      <w:spacing w:after="100"/>
    </w:pPr>
  </w:style>
  <w:style w:type="paragraph" w:styleId="TOC2">
    <w:name w:val="toc 2"/>
    <w:basedOn w:val="Normal"/>
    <w:next w:val="Normal"/>
    <w:autoRedefine/>
    <w:uiPriority w:val="39"/>
    <w:unhideWhenUsed/>
    <w:rsid w:val="001A1F57"/>
    <w:pPr>
      <w:spacing w:after="100"/>
      <w:ind w:left="220"/>
    </w:pPr>
  </w:style>
  <w:style w:type="paragraph" w:styleId="TOC3">
    <w:name w:val="toc 3"/>
    <w:basedOn w:val="Normal"/>
    <w:next w:val="Normal"/>
    <w:autoRedefine/>
    <w:uiPriority w:val="39"/>
    <w:unhideWhenUsed/>
    <w:rsid w:val="001A1F57"/>
    <w:pPr>
      <w:spacing w:after="100"/>
      <w:ind w:left="440"/>
    </w:pPr>
  </w:style>
  <w:style w:type="character" w:styleId="Hyperlink">
    <w:name w:val="Hyperlink"/>
    <w:basedOn w:val="DefaultParagraphFont"/>
    <w:uiPriority w:val="99"/>
    <w:unhideWhenUsed/>
    <w:rsid w:val="001A1F57"/>
    <w:rPr>
      <w:color w:val="0000FF" w:themeColor="hyperlink"/>
      <w:u w:val="single"/>
    </w:rPr>
  </w:style>
  <w:style w:type="table" w:styleId="TableGrid">
    <w:name w:val="Table Grid"/>
    <w:basedOn w:val="TableNormal"/>
    <w:uiPriority w:val="59"/>
    <w:rsid w:val="00485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FCF"/>
    <w:pPr>
      <w:ind w:left="720"/>
      <w:contextualSpacing/>
    </w:pPr>
  </w:style>
  <w:style w:type="paragraph" w:styleId="FootnoteText">
    <w:name w:val="footnote text"/>
    <w:basedOn w:val="Normal"/>
    <w:link w:val="FootnoteTextChar"/>
    <w:uiPriority w:val="99"/>
    <w:rsid w:val="00E70779"/>
    <w:pPr>
      <w:spacing w:before="20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E70779"/>
    <w:rPr>
      <w:rFonts w:ascii="Calibri" w:eastAsia="Times New Roman" w:hAnsi="Calibri" w:cs="Times New Roman"/>
      <w:sz w:val="20"/>
      <w:szCs w:val="20"/>
    </w:rPr>
  </w:style>
  <w:style w:type="character" w:styleId="FootnoteReference">
    <w:name w:val="footnote reference"/>
    <w:basedOn w:val="DefaultParagraphFont"/>
    <w:uiPriority w:val="99"/>
    <w:semiHidden/>
    <w:rsid w:val="00E70779"/>
    <w:rPr>
      <w:vertAlign w:val="superscript"/>
    </w:rPr>
  </w:style>
  <w:style w:type="paragraph" w:styleId="NormalWeb">
    <w:name w:val="Normal (Web)"/>
    <w:basedOn w:val="Normal"/>
    <w:uiPriority w:val="99"/>
    <w:semiHidden/>
    <w:rsid w:val="00E707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F42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421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A0B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A0BE3"/>
    <w:rPr>
      <w:rFonts w:cs="Times New Roman"/>
      <w:i/>
    </w:rPr>
  </w:style>
  <w:style w:type="paragraph" w:styleId="Revision">
    <w:name w:val="Revision"/>
    <w:hidden/>
    <w:uiPriority w:val="99"/>
    <w:semiHidden/>
    <w:rsid w:val="004E4EA6"/>
    <w:pPr>
      <w:spacing w:after="0" w:line="240" w:lineRule="auto"/>
    </w:pPr>
  </w:style>
  <w:style w:type="paragraph" w:customStyle="1" w:styleId="BodyDoubleSpacedMainText">
    <w:name w:val="Body Double Spaced Main Text"/>
    <w:basedOn w:val="Normal"/>
    <w:qFormat/>
    <w:rsid w:val="0057406C"/>
    <w:pPr>
      <w:spacing w:after="0" w:line="480" w:lineRule="auto"/>
      <w:ind w:firstLine="720"/>
    </w:pPr>
    <w:rPr>
      <w:rFonts w:ascii="Calibri" w:hAnsi="Calibri"/>
      <w:sz w:val="24"/>
      <w:szCs w:val="24"/>
    </w:rPr>
  </w:style>
  <w:style w:type="table" w:customStyle="1" w:styleId="TableGrid1">
    <w:name w:val="Table Grid1"/>
    <w:basedOn w:val="TableNormal"/>
    <w:next w:val="TableGrid"/>
    <w:uiPriority w:val="59"/>
    <w:rsid w:val="0057406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link w:val="TextChar"/>
    <w:qFormat/>
    <w:rsid w:val="005630E9"/>
    <w:pPr>
      <w:spacing w:after="240" w:line="240" w:lineRule="auto"/>
    </w:pPr>
    <w:rPr>
      <w:rFonts w:ascii="Goudy Old Style" w:eastAsiaTheme="minorEastAsia" w:hAnsi="Goudy Old Style" w:cs="Times New Roman"/>
      <w:sz w:val="24"/>
      <w:szCs w:val="24"/>
      <w:lang w:bidi="en-US"/>
    </w:rPr>
  </w:style>
  <w:style w:type="character" w:customStyle="1" w:styleId="TextChar">
    <w:name w:val="Text Char"/>
    <w:basedOn w:val="DefaultParagraphFont"/>
    <w:link w:val="Text"/>
    <w:rsid w:val="005630E9"/>
    <w:rPr>
      <w:rFonts w:ascii="Goudy Old Style" w:eastAsiaTheme="minorEastAsia" w:hAnsi="Goudy Old Style" w:cs="Times New Roman"/>
      <w:sz w:val="24"/>
      <w:szCs w:val="24"/>
      <w:lang w:bidi="en-US"/>
    </w:rPr>
  </w:style>
  <w:style w:type="character" w:customStyle="1" w:styleId="st">
    <w:name w:val="st"/>
    <w:basedOn w:val="DefaultParagraphFont"/>
    <w:rsid w:val="007350F3"/>
  </w:style>
  <w:style w:type="character" w:styleId="Emphasis">
    <w:name w:val="Emphasis"/>
    <w:basedOn w:val="DefaultParagraphFont"/>
    <w:uiPriority w:val="20"/>
    <w:qFormat/>
    <w:rsid w:val="007350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7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125"/>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967A34"/>
    <w:pPr>
      <w:outlineLvl w:val="2"/>
    </w:pPr>
    <w:rPr>
      <w:b/>
      <w:u w:val="single"/>
    </w:rPr>
  </w:style>
  <w:style w:type="paragraph" w:styleId="Heading4">
    <w:name w:val="heading 4"/>
    <w:basedOn w:val="Normal"/>
    <w:next w:val="Normal"/>
    <w:link w:val="Heading4Char"/>
    <w:uiPriority w:val="9"/>
    <w:unhideWhenUsed/>
    <w:qFormat/>
    <w:rsid w:val="00CA0B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BodyText"/>
    <w:next w:val="Normal"/>
    <w:link w:val="Heading5Char"/>
    <w:uiPriority w:val="9"/>
    <w:unhideWhenUsed/>
    <w:qFormat/>
    <w:rsid w:val="00CA0BE3"/>
    <w:pPr>
      <w:spacing w:after="200" w:line="276" w:lineRule="auto"/>
      <w:outlineLvl w:val="4"/>
    </w:pPr>
    <w:rPr>
      <w:rFonts w:asciiTheme="minorHAnsi" w:eastAsiaTheme="minorHAnsi" w:hAnsiTheme="minorHAnsi"/>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2125"/>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967A34"/>
    <w:rPr>
      <w:b/>
      <w:u w:val="single"/>
    </w:rPr>
  </w:style>
  <w:style w:type="character" w:styleId="CommentReference">
    <w:name w:val="annotation reference"/>
    <w:basedOn w:val="DefaultParagraphFont"/>
    <w:uiPriority w:val="99"/>
    <w:semiHidden/>
    <w:unhideWhenUsed/>
    <w:rsid w:val="007D2125"/>
    <w:rPr>
      <w:sz w:val="16"/>
      <w:szCs w:val="16"/>
    </w:rPr>
  </w:style>
  <w:style w:type="paragraph" w:styleId="CommentText">
    <w:name w:val="annotation text"/>
    <w:basedOn w:val="Normal"/>
    <w:link w:val="CommentTextChar"/>
    <w:uiPriority w:val="99"/>
    <w:semiHidden/>
    <w:unhideWhenUsed/>
    <w:rsid w:val="007D2125"/>
    <w:pPr>
      <w:spacing w:line="240" w:lineRule="auto"/>
    </w:pPr>
    <w:rPr>
      <w:sz w:val="20"/>
      <w:szCs w:val="20"/>
    </w:rPr>
  </w:style>
  <w:style w:type="character" w:customStyle="1" w:styleId="CommentTextChar">
    <w:name w:val="Comment Text Char"/>
    <w:basedOn w:val="DefaultParagraphFont"/>
    <w:link w:val="CommentText"/>
    <w:uiPriority w:val="99"/>
    <w:semiHidden/>
    <w:rsid w:val="007D2125"/>
    <w:rPr>
      <w:sz w:val="20"/>
      <w:szCs w:val="20"/>
    </w:rPr>
  </w:style>
  <w:style w:type="paragraph" w:styleId="CommentSubject">
    <w:name w:val="annotation subject"/>
    <w:basedOn w:val="CommentText"/>
    <w:next w:val="CommentText"/>
    <w:link w:val="CommentSubjectChar"/>
    <w:uiPriority w:val="99"/>
    <w:semiHidden/>
    <w:unhideWhenUsed/>
    <w:rsid w:val="007D2125"/>
    <w:rPr>
      <w:b/>
      <w:bCs/>
    </w:rPr>
  </w:style>
  <w:style w:type="character" w:customStyle="1" w:styleId="CommentSubjectChar">
    <w:name w:val="Comment Subject Char"/>
    <w:basedOn w:val="CommentTextChar"/>
    <w:link w:val="CommentSubject"/>
    <w:uiPriority w:val="99"/>
    <w:semiHidden/>
    <w:rsid w:val="007D2125"/>
    <w:rPr>
      <w:b/>
      <w:bCs/>
      <w:sz w:val="20"/>
      <w:szCs w:val="20"/>
    </w:rPr>
  </w:style>
  <w:style w:type="paragraph" w:styleId="BalloonText">
    <w:name w:val="Balloon Text"/>
    <w:basedOn w:val="Normal"/>
    <w:link w:val="BalloonTextChar"/>
    <w:uiPriority w:val="99"/>
    <w:semiHidden/>
    <w:unhideWhenUsed/>
    <w:rsid w:val="007D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5"/>
    <w:rPr>
      <w:rFonts w:ascii="Tahoma" w:hAnsi="Tahoma" w:cs="Tahoma"/>
      <w:sz w:val="16"/>
      <w:szCs w:val="16"/>
    </w:rPr>
  </w:style>
  <w:style w:type="paragraph" w:styleId="NoSpacing">
    <w:name w:val="No Spacing"/>
    <w:link w:val="NoSpacingChar"/>
    <w:uiPriority w:val="1"/>
    <w:qFormat/>
    <w:rsid w:val="001A1F5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1F57"/>
    <w:rPr>
      <w:rFonts w:eastAsiaTheme="minorEastAsia"/>
      <w:lang w:eastAsia="ja-JP"/>
    </w:rPr>
  </w:style>
  <w:style w:type="paragraph" w:styleId="TOCHeading">
    <w:name w:val="TOC Heading"/>
    <w:basedOn w:val="Heading1"/>
    <w:next w:val="Normal"/>
    <w:uiPriority w:val="39"/>
    <w:semiHidden/>
    <w:unhideWhenUsed/>
    <w:qFormat/>
    <w:rsid w:val="001A1F57"/>
    <w:pPr>
      <w:outlineLvl w:val="9"/>
    </w:pPr>
    <w:rPr>
      <w:lang w:eastAsia="ja-JP"/>
    </w:rPr>
  </w:style>
  <w:style w:type="paragraph" w:styleId="TOC1">
    <w:name w:val="toc 1"/>
    <w:basedOn w:val="Normal"/>
    <w:next w:val="Normal"/>
    <w:autoRedefine/>
    <w:uiPriority w:val="39"/>
    <w:unhideWhenUsed/>
    <w:rsid w:val="001A1F57"/>
    <w:pPr>
      <w:spacing w:after="100"/>
    </w:pPr>
  </w:style>
  <w:style w:type="paragraph" w:styleId="TOC2">
    <w:name w:val="toc 2"/>
    <w:basedOn w:val="Normal"/>
    <w:next w:val="Normal"/>
    <w:autoRedefine/>
    <w:uiPriority w:val="39"/>
    <w:unhideWhenUsed/>
    <w:rsid w:val="001A1F57"/>
    <w:pPr>
      <w:spacing w:after="100"/>
      <w:ind w:left="220"/>
    </w:pPr>
  </w:style>
  <w:style w:type="paragraph" w:styleId="TOC3">
    <w:name w:val="toc 3"/>
    <w:basedOn w:val="Normal"/>
    <w:next w:val="Normal"/>
    <w:autoRedefine/>
    <w:uiPriority w:val="39"/>
    <w:unhideWhenUsed/>
    <w:rsid w:val="001A1F57"/>
    <w:pPr>
      <w:spacing w:after="100"/>
      <w:ind w:left="440"/>
    </w:pPr>
  </w:style>
  <w:style w:type="character" w:styleId="Hyperlink">
    <w:name w:val="Hyperlink"/>
    <w:basedOn w:val="DefaultParagraphFont"/>
    <w:uiPriority w:val="99"/>
    <w:unhideWhenUsed/>
    <w:rsid w:val="001A1F57"/>
    <w:rPr>
      <w:color w:val="0000FF" w:themeColor="hyperlink"/>
      <w:u w:val="single"/>
    </w:rPr>
  </w:style>
  <w:style w:type="table" w:styleId="TableGrid">
    <w:name w:val="Table Grid"/>
    <w:basedOn w:val="TableNormal"/>
    <w:uiPriority w:val="59"/>
    <w:rsid w:val="00485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FCF"/>
    <w:pPr>
      <w:ind w:left="720"/>
      <w:contextualSpacing/>
    </w:pPr>
  </w:style>
  <w:style w:type="paragraph" w:styleId="FootnoteText">
    <w:name w:val="footnote text"/>
    <w:basedOn w:val="Normal"/>
    <w:link w:val="FootnoteTextChar"/>
    <w:uiPriority w:val="99"/>
    <w:rsid w:val="00E70779"/>
    <w:pPr>
      <w:spacing w:before="20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E70779"/>
    <w:rPr>
      <w:rFonts w:ascii="Calibri" w:eastAsia="Times New Roman" w:hAnsi="Calibri" w:cs="Times New Roman"/>
      <w:sz w:val="20"/>
      <w:szCs w:val="20"/>
    </w:rPr>
  </w:style>
  <w:style w:type="character" w:styleId="FootnoteReference">
    <w:name w:val="footnote reference"/>
    <w:basedOn w:val="DefaultParagraphFont"/>
    <w:uiPriority w:val="99"/>
    <w:semiHidden/>
    <w:rsid w:val="00E70779"/>
    <w:rPr>
      <w:vertAlign w:val="superscript"/>
    </w:rPr>
  </w:style>
  <w:style w:type="paragraph" w:styleId="NormalWeb">
    <w:name w:val="Normal (Web)"/>
    <w:basedOn w:val="Normal"/>
    <w:uiPriority w:val="99"/>
    <w:semiHidden/>
    <w:rsid w:val="00E707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F42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421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A0B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A0BE3"/>
    <w:rPr>
      <w:rFonts w:cs="Times New Roman"/>
      <w:i/>
    </w:rPr>
  </w:style>
  <w:style w:type="paragraph" w:styleId="Revision">
    <w:name w:val="Revision"/>
    <w:hidden/>
    <w:uiPriority w:val="99"/>
    <w:semiHidden/>
    <w:rsid w:val="004E4EA6"/>
    <w:pPr>
      <w:spacing w:after="0" w:line="240" w:lineRule="auto"/>
    </w:pPr>
  </w:style>
  <w:style w:type="paragraph" w:customStyle="1" w:styleId="BodyDoubleSpacedMainText">
    <w:name w:val="Body Double Spaced Main Text"/>
    <w:basedOn w:val="Normal"/>
    <w:qFormat/>
    <w:rsid w:val="0057406C"/>
    <w:pPr>
      <w:spacing w:after="0" w:line="480" w:lineRule="auto"/>
      <w:ind w:firstLine="720"/>
    </w:pPr>
    <w:rPr>
      <w:rFonts w:ascii="Calibri" w:hAnsi="Calibri"/>
      <w:sz w:val="24"/>
      <w:szCs w:val="24"/>
    </w:rPr>
  </w:style>
  <w:style w:type="table" w:customStyle="1" w:styleId="TableGrid1">
    <w:name w:val="Table Grid1"/>
    <w:basedOn w:val="TableNormal"/>
    <w:next w:val="TableGrid"/>
    <w:uiPriority w:val="59"/>
    <w:rsid w:val="0057406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link w:val="TextChar"/>
    <w:qFormat/>
    <w:rsid w:val="005630E9"/>
    <w:pPr>
      <w:spacing w:after="240" w:line="240" w:lineRule="auto"/>
    </w:pPr>
    <w:rPr>
      <w:rFonts w:ascii="Goudy Old Style" w:eastAsiaTheme="minorEastAsia" w:hAnsi="Goudy Old Style" w:cs="Times New Roman"/>
      <w:sz w:val="24"/>
      <w:szCs w:val="24"/>
      <w:lang w:bidi="en-US"/>
    </w:rPr>
  </w:style>
  <w:style w:type="character" w:customStyle="1" w:styleId="TextChar">
    <w:name w:val="Text Char"/>
    <w:basedOn w:val="DefaultParagraphFont"/>
    <w:link w:val="Text"/>
    <w:rsid w:val="005630E9"/>
    <w:rPr>
      <w:rFonts w:ascii="Goudy Old Style" w:eastAsiaTheme="minorEastAsia" w:hAnsi="Goudy Old Style" w:cs="Times New Roman"/>
      <w:sz w:val="24"/>
      <w:szCs w:val="24"/>
      <w:lang w:bidi="en-US"/>
    </w:rPr>
  </w:style>
  <w:style w:type="character" w:customStyle="1" w:styleId="st">
    <w:name w:val="st"/>
    <w:basedOn w:val="DefaultParagraphFont"/>
    <w:rsid w:val="007350F3"/>
  </w:style>
  <w:style w:type="character" w:styleId="Emphasis">
    <w:name w:val="Emphasis"/>
    <w:basedOn w:val="DefaultParagraphFont"/>
    <w:uiPriority w:val="20"/>
    <w:qFormat/>
    <w:rsid w:val="007350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9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mailto:Gale.Hairston@dese.mo.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ward@rmcdenver.com" TargetMode="External"/><Relationship Id="rId2" Type="http://schemas.openxmlformats.org/officeDocument/2006/relationships/customXml" Target="../customXml/item2.xml"/><Relationship Id="rId16" Type="http://schemas.openxmlformats.org/officeDocument/2006/relationships/hyperlink" Target="mailto:linick@rmcdenv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wang@rmcdenver.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eyer@rmcdenver.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ese.mo.gov/eq/cert/routes-to-certific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2012-08-15T00:00:00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L xmlns="671c556b-88a2-4835-99c6-fdaf67f1b716">CE</R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B0A6747F2D0A4ABF31CFA4B6C58E0B" ma:contentTypeVersion="1" ma:contentTypeDescription="Create a new document." ma:contentTypeScope="" ma:versionID="70ff3be2f27bfbab2ca9262277ea060f">
  <xsd:schema xmlns:xsd="http://www.w3.org/2001/XMLSchema" xmlns:xs="http://www.w3.org/2001/XMLSchema" xmlns:p="http://schemas.microsoft.com/office/2006/metadata/properties" xmlns:ns2="671c556b-88a2-4835-99c6-fdaf67f1b716" targetNamespace="http://schemas.microsoft.com/office/2006/metadata/properties" ma:root="true" ma:fieldsID="33b5aff0ace0e27d60d024b8a2dff03e" ns2:_="">
    <xsd:import namespace="671c556b-88a2-4835-99c6-fdaf67f1b716"/>
    <xsd:element name="properties">
      <xsd:complexType>
        <xsd:sequence>
          <xsd:element name="documentManagement">
            <xsd:complexType>
              <xsd:all>
                <xsd:element ref="ns2:RE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c556b-88a2-4835-99c6-fdaf67f1b716" elementFormDefault="qualified">
    <xsd:import namespace="http://schemas.microsoft.com/office/2006/documentManagement/types"/>
    <xsd:import namespace="http://schemas.microsoft.com/office/infopath/2007/PartnerControls"/>
    <xsd:element name="REL" ma:index="8" ma:displayName="REL" ma:default="CE"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F84BBD-44A3-40E4-86F6-1BE680A681E0}">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671c556b-88a2-4835-99c6-fdaf67f1b716"/>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2219BAA-E403-47FF-A3FD-35B5455EBF8E}">
  <ds:schemaRefs>
    <ds:schemaRef ds:uri="http://schemas.microsoft.com/sharepoint/v3/contenttype/forms"/>
  </ds:schemaRefs>
</ds:datastoreItem>
</file>

<file path=customXml/itemProps4.xml><?xml version="1.0" encoding="utf-8"?>
<ds:datastoreItem xmlns:ds="http://schemas.openxmlformats.org/officeDocument/2006/customXml" ds:itemID="{482E5151-5DBD-47DD-94A8-08F67B80E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c556b-88a2-4835-99c6-fdaf67f1b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5F4132-8BBD-4A56-88B7-CE2837C8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3514</Words>
  <Characters>20035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Supporting Justification for OMB Clearance of a Study of Clinical Practice in Traditional Teacher Preparation Programs in Missouri</vt:lpstr>
    </vt:vector>
  </TitlesOfParts>
  <Company>REL Central?</Company>
  <LinksUpToDate>false</LinksUpToDate>
  <CharactersWithSpaces>23502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a Study of Clinical Practice in Traditional Teacher Preparation Programs in Missouri</dc:title>
  <dc:subject>Section B</dc:subject>
  <dc:creator>Trudy Cherasaro</dc:creator>
  <cp:lastModifiedBy>Tony Petrites</cp:lastModifiedBy>
  <cp:revision>4</cp:revision>
  <cp:lastPrinted>2013-03-18T19:46:00Z</cp:lastPrinted>
  <dcterms:created xsi:type="dcterms:W3CDTF">2013-12-05T22:57:00Z</dcterms:created>
  <dcterms:modified xsi:type="dcterms:W3CDTF">2013-12-05T22:58:00Z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0x010100D9B0A6747F2D0A4ABF31CFA4B6C58E0B</vt:lpwstr>
  </property>
  <property fmtid="{D5CDD505-2E9C-101B-9397-08002B2CF9AE}" pid="3" name="WorkflowCreationPath">
    <vt:lpwstr>04f5b526-2cf5-4558-b9d9-c9bdb3351555,4;</vt:lpwstr>
  </property>
</Properties>
</file>