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4DFA5"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73C4DFA6" w14:textId="0DB51D63" w:rsidR="00FD66F1" w:rsidRDefault="00760B47"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FERC-725T</w:t>
      </w:r>
      <w:r w:rsidR="006533CF">
        <w:rPr>
          <w:rFonts w:ascii="Times New Roman" w:hAnsi="Times New Roman" w:cs="Times New Roman"/>
          <w:b/>
          <w:sz w:val="24"/>
          <w:szCs w:val="24"/>
        </w:rPr>
        <w:t xml:space="preserve">, </w:t>
      </w:r>
      <w:r w:rsidR="00622377" w:rsidRPr="00622377">
        <w:rPr>
          <w:rFonts w:ascii="Times New Roman" w:hAnsi="Times New Roman" w:cs="Times New Roman"/>
          <w:b/>
          <w:sz w:val="24"/>
          <w:szCs w:val="24"/>
        </w:rPr>
        <w:t>Mandatory Reliability Standards for the Bulk-Power System</w:t>
      </w:r>
      <w:r>
        <w:rPr>
          <w:rFonts w:ascii="Times New Roman" w:hAnsi="Times New Roman" w:cs="Times New Roman"/>
          <w:b/>
          <w:sz w:val="24"/>
          <w:szCs w:val="24"/>
        </w:rPr>
        <w:t>: TRE Reliability Standards</w:t>
      </w:r>
    </w:p>
    <w:p w14:paraId="73C4DFA8" w14:textId="77777777" w:rsidR="007F6B50" w:rsidRDefault="007F6B50" w:rsidP="00FD66F1">
      <w:pPr>
        <w:spacing w:after="0"/>
        <w:rPr>
          <w:rFonts w:ascii="Times New Roman" w:hAnsi="Times New Roman" w:cs="Times New Roman"/>
          <w:sz w:val="24"/>
          <w:szCs w:val="24"/>
        </w:rPr>
      </w:pPr>
    </w:p>
    <w:p w14:paraId="73C4DFA9" w14:textId="00570DB7" w:rsidR="00244AE0" w:rsidRPr="00244AE0" w:rsidRDefault="00244AE0" w:rsidP="00244AE0">
      <w:pPr>
        <w:spacing w:after="0"/>
        <w:rPr>
          <w:rFonts w:ascii="Times New Roman" w:hAnsi="Times New Roman" w:cs="Times New Roman"/>
          <w:sz w:val="24"/>
          <w:szCs w:val="24"/>
        </w:rPr>
      </w:pPr>
      <w:r w:rsidRPr="00244AE0">
        <w:rPr>
          <w:rFonts w:ascii="Times New Roman" w:hAnsi="Times New Roman" w:cs="Times New Roman"/>
          <w:sz w:val="24"/>
          <w:szCs w:val="24"/>
        </w:rPr>
        <w:t xml:space="preserve">The Federal Energy Regulatory Commission (Commission or FERC) requests Office of Management and Budget (OMB) review of </w:t>
      </w:r>
      <w:r w:rsidRPr="00244AE0">
        <w:rPr>
          <w:rFonts w:ascii="Times New Roman" w:hAnsi="Times New Roman" w:cs="Times New Roman"/>
          <w:b/>
          <w:bCs/>
          <w:sz w:val="24"/>
          <w:szCs w:val="24"/>
        </w:rPr>
        <w:t>F</w:t>
      </w:r>
      <w:r w:rsidR="00760B47">
        <w:rPr>
          <w:rFonts w:ascii="Times New Roman" w:hAnsi="Times New Roman" w:cs="Times New Roman"/>
          <w:b/>
          <w:bCs/>
          <w:sz w:val="24"/>
          <w:szCs w:val="24"/>
        </w:rPr>
        <w:t>ERC-725T</w:t>
      </w:r>
      <w:r w:rsidRPr="00244AE0">
        <w:rPr>
          <w:rFonts w:ascii="Times New Roman" w:hAnsi="Times New Roman" w:cs="Times New Roman"/>
          <w:b/>
          <w:bCs/>
          <w:sz w:val="24"/>
          <w:szCs w:val="24"/>
        </w:rPr>
        <w:t xml:space="preserve">, </w:t>
      </w:r>
      <w:r w:rsidR="00622377" w:rsidRPr="00622377">
        <w:rPr>
          <w:rFonts w:ascii="Times New Roman" w:hAnsi="Times New Roman" w:cs="Times New Roman"/>
          <w:b/>
          <w:bCs/>
          <w:sz w:val="24"/>
          <w:szCs w:val="24"/>
        </w:rPr>
        <w:t>Mandatory Reliability Standards for the Bulk-Power System</w:t>
      </w:r>
      <w:r w:rsidR="00760B47">
        <w:rPr>
          <w:rFonts w:ascii="Times New Roman" w:hAnsi="Times New Roman" w:cs="Times New Roman"/>
          <w:b/>
          <w:bCs/>
          <w:sz w:val="24"/>
          <w:szCs w:val="24"/>
        </w:rPr>
        <w:t>: TRE Reliability Standards</w:t>
      </w:r>
      <w:r w:rsidR="00622377">
        <w:rPr>
          <w:rFonts w:ascii="Times New Roman" w:hAnsi="Times New Roman" w:cs="Times New Roman"/>
          <w:b/>
          <w:bCs/>
          <w:sz w:val="24"/>
          <w:szCs w:val="24"/>
        </w:rPr>
        <w:t xml:space="preserve"> </w:t>
      </w:r>
      <w:r w:rsidRPr="00244AE0">
        <w:rPr>
          <w:rFonts w:ascii="Times New Roman" w:hAnsi="Times New Roman" w:cs="Times New Roman"/>
          <w:bCs/>
          <w:sz w:val="24"/>
          <w:szCs w:val="24"/>
        </w:rPr>
        <w:t xml:space="preserve">as contained in the </w:t>
      </w:r>
      <w:r w:rsidR="00760B47">
        <w:rPr>
          <w:rFonts w:ascii="Times New Roman" w:hAnsi="Times New Roman" w:cs="Times New Roman"/>
          <w:bCs/>
          <w:sz w:val="24"/>
          <w:szCs w:val="24"/>
        </w:rPr>
        <w:t>Order</w:t>
      </w:r>
      <w:r w:rsidRPr="00244AE0">
        <w:rPr>
          <w:rFonts w:ascii="Times New Roman" w:hAnsi="Times New Roman" w:cs="Times New Roman"/>
          <w:bCs/>
          <w:sz w:val="24"/>
          <w:szCs w:val="24"/>
        </w:rPr>
        <w:t xml:space="preserve"> in Do</w:t>
      </w:r>
      <w:r w:rsidR="00760B47">
        <w:rPr>
          <w:rFonts w:ascii="Times New Roman" w:hAnsi="Times New Roman" w:cs="Times New Roman"/>
          <w:bCs/>
          <w:sz w:val="24"/>
          <w:szCs w:val="24"/>
        </w:rPr>
        <w:t>cket No. RD</w:t>
      </w:r>
      <w:r w:rsidR="00622377">
        <w:rPr>
          <w:rFonts w:ascii="Times New Roman" w:hAnsi="Times New Roman" w:cs="Times New Roman"/>
          <w:bCs/>
          <w:sz w:val="24"/>
          <w:szCs w:val="24"/>
        </w:rPr>
        <w:t>13</w:t>
      </w:r>
      <w:r w:rsidRPr="00244AE0">
        <w:rPr>
          <w:rFonts w:ascii="Times New Roman" w:hAnsi="Times New Roman" w:cs="Times New Roman"/>
          <w:bCs/>
          <w:sz w:val="24"/>
          <w:szCs w:val="24"/>
        </w:rPr>
        <w:t>-</w:t>
      </w:r>
      <w:r w:rsidR="00760B47">
        <w:rPr>
          <w:rFonts w:ascii="Times New Roman" w:hAnsi="Times New Roman" w:cs="Times New Roman"/>
          <w:bCs/>
          <w:sz w:val="24"/>
          <w:szCs w:val="24"/>
        </w:rPr>
        <w:t>12</w:t>
      </w:r>
      <w:r w:rsidRPr="00244AE0">
        <w:rPr>
          <w:rFonts w:ascii="Times New Roman" w:hAnsi="Times New Roman" w:cs="Times New Roman"/>
          <w:bCs/>
          <w:sz w:val="24"/>
          <w:szCs w:val="24"/>
        </w:rPr>
        <w:t>-000</w:t>
      </w:r>
      <w:r w:rsidR="00760B47">
        <w:rPr>
          <w:rFonts w:ascii="Times New Roman" w:hAnsi="Times New Roman" w:cs="Times New Roman"/>
          <w:bCs/>
          <w:sz w:val="24"/>
          <w:szCs w:val="24"/>
        </w:rPr>
        <w:t>.  FERC-725T is</w:t>
      </w:r>
      <w:r w:rsidRPr="00244AE0">
        <w:rPr>
          <w:rFonts w:ascii="Times New Roman" w:hAnsi="Times New Roman" w:cs="Times New Roman"/>
          <w:sz w:val="24"/>
          <w:szCs w:val="24"/>
        </w:rPr>
        <w:t xml:space="preserve"> contained in 18 Code of Federal Regulations (CFR), Part </w:t>
      </w:r>
      <w:r w:rsidR="00AE461D">
        <w:rPr>
          <w:rFonts w:ascii="Times New Roman" w:hAnsi="Times New Roman" w:cs="Times New Roman"/>
          <w:sz w:val="24"/>
          <w:szCs w:val="24"/>
        </w:rPr>
        <w:t>40</w:t>
      </w:r>
      <w:r w:rsidRPr="00244AE0">
        <w:rPr>
          <w:rFonts w:ascii="Times New Roman" w:hAnsi="Times New Roman" w:cs="Times New Roman"/>
          <w:sz w:val="24"/>
          <w:szCs w:val="24"/>
        </w:rPr>
        <w:t>.</w:t>
      </w:r>
    </w:p>
    <w:p w14:paraId="73C4DFAA" w14:textId="77777777" w:rsidR="000B3AF7" w:rsidRDefault="000B3AF7" w:rsidP="004B5F04">
      <w:pPr>
        <w:spacing w:after="0"/>
        <w:rPr>
          <w:rFonts w:ascii="Times New Roman" w:hAnsi="Times New Roman" w:cs="Times New Roman"/>
          <w:sz w:val="24"/>
          <w:szCs w:val="24"/>
        </w:rPr>
      </w:pPr>
    </w:p>
    <w:p w14:paraId="0C16685E" w14:textId="1BD4D24C" w:rsidR="00760B47" w:rsidRDefault="00B21C90" w:rsidP="004B5F04">
      <w:pPr>
        <w:spacing w:after="0"/>
        <w:rPr>
          <w:rFonts w:ascii="Times New Roman" w:hAnsi="Times New Roman" w:cs="Times New Roman"/>
          <w:sz w:val="24"/>
          <w:szCs w:val="24"/>
        </w:rPr>
      </w:pPr>
      <w:r>
        <w:rPr>
          <w:rFonts w:ascii="Times New Roman" w:hAnsi="Times New Roman" w:cs="Times New Roman"/>
          <w:sz w:val="24"/>
          <w:szCs w:val="24"/>
        </w:rPr>
        <w:t>The R</w:t>
      </w:r>
      <w:r w:rsidR="00760B47">
        <w:rPr>
          <w:rFonts w:ascii="Times New Roman" w:hAnsi="Times New Roman" w:cs="Times New Roman"/>
          <w:sz w:val="24"/>
          <w:szCs w:val="24"/>
        </w:rPr>
        <w:t xml:space="preserve">D13-12 Order approves regional Reliability Standard </w:t>
      </w:r>
      <w:r w:rsidR="00760B47" w:rsidRPr="00760B47">
        <w:rPr>
          <w:rFonts w:ascii="Times New Roman" w:hAnsi="Times New Roman" w:cs="Times New Roman"/>
          <w:sz w:val="24"/>
          <w:szCs w:val="24"/>
        </w:rPr>
        <w:t>BAL-001-TRE-01 – Primary Frequency Response in the ERCOT region</w:t>
      </w:r>
      <w:r w:rsidR="00760B47">
        <w:rPr>
          <w:rFonts w:ascii="Times New Roman" w:hAnsi="Times New Roman" w:cs="Times New Roman"/>
          <w:sz w:val="24"/>
          <w:szCs w:val="24"/>
        </w:rPr>
        <w:t xml:space="preserve">.  </w:t>
      </w:r>
      <w:r w:rsidR="007E5069">
        <w:rPr>
          <w:rFonts w:ascii="Times New Roman" w:hAnsi="Times New Roman" w:cs="Times New Roman"/>
          <w:sz w:val="24"/>
          <w:szCs w:val="24"/>
        </w:rPr>
        <w:t>NERC’s</w:t>
      </w:r>
      <w:r w:rsidR="00760B47" w:rsidRPr="00760B47">
        <w:rPr>
          <w:rFonts w:ascii="Times New Roman" w:hAnsi="Times New Roman" w:cs="Times New Roman"/>
          <w:sz w:val="24"/>
          <w:szCs w:val="24"/>
        </w:rPr>
        <w:t xml:space="preserve"> </w:t>
      </w:r>
      <w:r w:rsidR="007E5069">
        <w:rPr>
          <w:rFonts w:ascii="Times New Roman" w:hAnsi="Times New Roman" w:cs="Times New Roman"/>
          <w:sz w:val="24"/>
          <w:szCs w:val="24"/>
        </w:rPr>
        <w:t>p</w:t>
      </w:r>
      <w:r w:rsidR="00760B47" w:rsidRPr="00760B47">
        <w:rPr>
          <w:rFonts w:ascii="Times New Roman" w:hAnsi="Times New Roman" w:cs="Times New Roman"/>
          <w:sz w:val="24"/>
          <w:szCs w:val="24"/>
        </w:rPr>
        <w:t xml:space="preserve">etition states that the purpose of proposed regional Reliability Standard BAL-001-TRE-01 is to maintain </w:t>
      </w:r>
      <w:r w:rsidR="00787D97">
        <w:rPr>
          <w:rFonts w:ascii="Times New Roman" w:hAnsi="Times New Roman" w:cs="Times New Roman"/>
          <w:sz w:val="24"/>
          <w:szCs w:val="24"/>
        </w:rPr>
        <w:t>Electric Reliability Council of Texas (</w:t>
      </w:r>
      <w:r w:rsidR="00760B47" w:rsidRPr="00760B47">
        <w:rPr>
          <w:rFonts w:ascii="Times New Roman" w:hAnsi="Times New Roman" w:cs="Times New Roman"/>
          <w:sz w:val="24"/>
          <w:szCs w:val="24"/>
        </w:rPr>
        <w:t>ERCOT</w:t>
      </w:r>
      <w:r w:rsidR="00787D97">
        <w:rPr>
          <w:rFonts w:ascii="Times New Roman" w:hAnsi="Times New Roman" w:cs="Times New Roman"/>
          <w:sz w:val="24"/>
          <w:szCs w:val="24"/>
        </w:rPr>
        <w:t>)</w:t>
      </w:r>
      <w:r w:rsidR="00760B47" w:rsidRPr="00760B47">
        <w:rPr>
          <w:rFonts w:ascii="Times New Roman" w:hAnsi="Times New Roman" w:cs="Times New Roman"/>
          <w:sz w:val="24"/>
          <w:szCs w:val="24"/>
        </w:rPr>
        <w:t xml:space="preserve"> Interconnection steady-state frequency within defined limits by balancing real-power demand and supply in real-time.  This reliability goal is accomplished by requiring prompt and sufficient frequency response from resources to stabilize frequency during changes in the system generation-demand balance.</w:t>
      </w:r>
      <w:r w:rsidR="00760B47" w:rsidRPr="00760B47">
        <w:rPr>
          <w:rFonts w:ascii="Times New Roman" w:hAnsi="Times New Roman" w:cs="Times New Roman"/>
          <w:b/>
          <w:sz w:val="24"/>
          <w:szCs w:val="24"/>
          <w:vertAlign w:val="superscript"/>
        </w:rPr>
        <w:footnoteReference w:id="1"/>
      </w:r>
    </w:p>
    <w:p w14:paraId="73C4DFAD" w14:textId="77777777" w:rsidR="00A72E7B" w:rsidRDefault="00A72E7B" w:rsidP="00FD66F1">
      <w:pPr>
        <w:spacing w:after="0"/>
        <w:rPr>
          <w:rFonts w:ascii="Times New Roman" w:hAnsi="Times New Roman" w:cs="Times New Roman"/>
          <w:sz w:val="24"/>
          <w:szCs w:val="24"/>
        </w:rPr>
      </w:pPr>
    </w:p>
    <w:p w14:paraId="73C4DFAE"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73C4DFAF" w14:textId="77777777" w:rsidR="00A72E7B" w:rsidRDefault="00A72E7B" w:rsidP="00EB3E6F">
      <w:pPr>
        <w:spacing w:after="0"/>
        <w:rPr>
          <w:rFonts w:ascii="Times New Roman" w:hAnsi="Times New Roman" w:cs="Times New Roman"/>
          <w:sz w:val="24"/>
          <w:szCs w:val="24"/>
        </w:rPr>
      </w:pPr>
    </w:p>
    <w:p w14:paraId="73C4DFB0" w14:textId="77777777" w:rsidR="0091269C" w:rsidRPr="0091269C" w:rsidRDefault="0091269C" w:rsidP="0091269C">
      <w:pPr>
        <w:spacing w:after="0"/>
        <w:rPr>
          <w:rFonts w:ascii="Times New Roman" w:hAnsi="Times New Roman" w:cs="Times New Roman"/>
          <w:sz w:val="24"/>
          <w:szCs w:val="24"/>
        </w:rPr>
      </w:pPr>
      <w:r w:rsidRPr="0091269C">
        <w:rPr>
          <w:rFonts w:ascii="Times New Roman" w:hAnsi="Times New Roman" w:cs="Times New Roman"/>
          <w:sz w:val="24"/>
          <w:szCs w:val="24"/>
        </w:rPr>
        <w:t>On August 8, 2005, the Electricity Modernization Act of 2005, which is Title XII,</w:t>
      </w:r>
    </w:p>
    <w:p w14:paraId="73C4DFB1" w14:textId="234A17A0" w:rsidR="00AB6BE3" w:rsidRDefault="0091269C" w:rsidP="0091269C">
      <w:pPr>
        <w:spacing w:after="0"/>
        <w:rPr>
          <w:rFonts w:ascii="Times New Roman" w:hAnsi="Times New Roman" w:cs="Times New Roman"/>
          <w:sz w:val="24"/>
          <w:szCs w:val="24"/>
        </w:rPr>
      </w:pPr>
      <w:r w:rsidRPr="0091269C">
        <w:rPr>
          <w:rFonts w:ascii="Times New Roman" w:hAnsi="Times New Roman" w:cs="Times New Roman"/>
          <w:sz w:val="24"/>
          <w:szCs w:val="24"/>
        </w:rPr>
        <w:t>Subtitle A, of the Energy Policy Act of 2005 (</w:t>
      </w:r>
      <w:proofErr w:type="spellStart"/>
      <w:r w:rsidRPr="0091269C">
        <w:rPr>
          <w:rFonts w:ascii="Times New Roman" w:hAnsi="Times New Roman" w:cs="Times New Roman"/>
          <w:sz w:val="24"/>
          <w:szCs w:val="24"/>
        </w:rPr>
        <w:t>EPAct</w:t>
      </w:r>
      <w:proofErr w:type="spellEnd"/>
      <w:r w:rsidRPr="0091269C">
        <w:rPr>
          <w:rFonts w:ascii="Times New Roman" w:hAnsi="Times New Roman" w:cs="Times New Roman"/>
          <w:sz w:val="24"/>
          <w:szCs w:val="24"/>
        </w:rPr>
        <w:t xml:space="preserve"> 2005), was enacted into law.</w:t>
      </w:r>
      <w:r w:rsidR="00934F32" w:rsidRPr="00934F32">
        <w:rPr>
          <w:rStyle w:val="FootnoteReference"/>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w:t>
      </w:r>
      <w:proofErr w:type="spellStart"/>
      <w:r w:rsidRPr="0091269C">
        <w:rPr>
          <w:rFonts w:ascii="Times New Roman" w:hAnsi="Times New Roman" w:cs="Times New Roman"/>
          <w:sz w:val="24"/>
          <w:szCs w:val="24"/>
        </w:rPr>
        <w:t>EPAct</w:t>
      </w:r>
      <w:proofErr w:type="spellEnd"/>
      <w:r w:rsidRPr="0091269C">
        <w:rPr>
          <w:rFonts w:ascii="Times New Roman" w:hAnsi="Times New Roman" w:cs="Times New Roman"/>
          <w:sz w:val="24"/>
          <w:szCs w:val="24"/>
        </w:rPr>
        <w:t xml:space="preserve"> 2005 adds a new </w:t>
      </w:r>
      <w:r w:rsidR="001A593C">
        <w:rPr>
          <w:rFonts w:ascii="Times New Roman" w:hAnsi="Times New Roman" w:cs="Times New Roman"/>
          <w:sz w:val="24"/>
          <w:szCs w:val="24"/>
        </w:rPr>
        <w:t>S</w:t>
      </w:r>
      <w:r w:rsidRPr="0091269C">
        <w:rPr>
          <w:rFonts w:ascii="Times New Roman" w:hAnsi="Times New Roman" w:cs="Times New Roman"/>
          <w:sz w:val="24"/>
          <w:szCs w:val="24"/>
        </w:rPr>
        <w:t>ection 215 to the FPA,</w:t>
      </w:r>
      <w:r w:rsidR="00040FAB" w:rsidRPr="00040FAB">
        <w:rPr>
          <w:rFonts w:ascii="Times New Roman" w:hAnsi="Times New Roman" w:cs="Times New Roman"/>
          <w:sz w:val="24"/>
          <w:szCs w:val="24"/>
        </w:rPr>
        <w:t xml:space="preserve"> </w:t>
      </w:r>
      <w:r w:rsidR="003A127D">
        <w:rPr>
          <w:rFonts w:ascii="Times New Roman" w:hAnsi="Times New Roman" w:cs="Times New Roman"/>
          <w:sz w:val="24"/>
          <w:szCs w:val="24"/>
        </w:rPr>
        <w:t xml:space="preserve">which </w:t>
      </w:r>
      <w:r w:rsidR="00040FAB" w:rsidRPr="00040FAB">
        <w:rPr>
          <w:rFonts w:ascii="Times New Roman" w:hAnsi="Times New Roman" w:cs="Times New Roman"/>
          <w:sz w:val="24"/>
          <w:szCs w:val="24"/>
        </w:rPr>
        <w:t xml:space="preserve">requires a Commission-certified Electric Reliability Organization (ERO) to develop mandatory and enforceable Reliability Standards which are subject to Commission review and approval.  Once approved, </w:t>
      </w:r>
      <w:r w:rsidR="003A127D">
        <w:rPr>
          <w:rFonts w:ascii="Times New Roman" w:hAnsi="Times New Roman" w:cs="Times New Roman"/>
          <w:sz w:val="24"/>
          <w:szCs w:val="24"/>
        </w:rPr>
        <w:t xml:space="preserve">an </w:t>
      </w:r>
      <w:r w:rsidR="00DE6C34">
        <w:rPr>
          <w:rFonts w:ascii="Times New Roman" w:hAnsi="Times New Roman" w:cs="Times New Roman"/>
          <w:sz w:val="24"/>
          <w:szCs w:val="24"/>
        </w:rPr>
        <w:t xml:space="preserve">ERO </w:t>
      </w:r>
      <w:r w:rsidR="00912EE7">
        <w:rPr>
          <w:rFonts w:ascii="Times New Roman" w:hAnsi="Times New Roman" w:cs="Times New Roman"/>
          <w:sz w:val="24"/>
          <w:szCs w:val="24"/>
        </w:rPr>
        <w:t xml:space="preserve">would enforce </w:t>
      </w:r>
      <w:r w:rsidR="00040FAB" w:rsidRPr="00040FAB">
        <w:rPr>
          <w:rFonts w:ascii="Times New Roman" w:hAnsi="Times New Roman" w:cs="Times New Roman"/>
          <w:sz w:val="24"/>
          <w:szCs w:val="24"/>
        </w:rPr>
        <w:t xml:space="preserve">the Reliability Standards </w:t>
      </w:r>
      <w:r w:rsidR="00912EE7">
        <w:rPr>
          <w:rFonts w:ascii="Times New Roman" w:hAnsi="Times New Roman" w:cs="Times New Roman"/>
          <w:sz w:val="24"/>
          <w:szCs w:val="24"/>
        </w:rPr>
        <w:t xml:space="preserve">either </w:t>
      </w:r>
      <w:r w:rsidR="00040FAB" w:rsidRPr="00040FAB">
        <w:rPr>
          <w:rFonts w:ascii="Times New Roman" w:hAnsi="Times New Roman" w:cs="Times New Roman"/>
          <w:sz w:val="24"/>
          <w:szCs w:val="24"/>
        </w:rPr>
        <w:t>subject to Commission oversight or by the Commission independently.</w:t>
      </w:r>
      <w:r w:rsidR="00040FAB" w:rsidRPr="00FC440E">
        <w:rPr>
          <w:rFonts w:ascii="Times New Roman" w:hAnsi="Times New Roman" w:cs="Times New Roman"/>
          <w:sz w:val="24"/>
          <w:szCs w:val="24"/>
          <w:vertAlign w:val="superscript"/>
        </w:rPr>
        <w:footnoteReference w:id="3"/>
      </w:r>
    </w:p>
    <w:p w14:paraId="73C4DFB2" w14:textId="77777777" w:rsidR="00AB6BE3" w:rsidRDefault="00AB6BE3" w:rsidP="0091269C">
      <w:pPr>
        <w:spacing w:after="0"/>
        <w:rPr>
          <w:rFonts w:ascii="Times New Roman" w:hAnsi="Times New Roman" w:cs="Times New Roman"/>
          <w:sz w:val="24"/>
          <w:szCs w:val="24"/>
        </w:rPr>
      </w:pPr>
    </w:p>
    <w:p w14:paraId="73C4DFB3" w14:textId="77777777" w:rsidR="00040FAB" w:rsidRPr="00040FAB" w:rsidRDefault="00AB6BE3" w:rsidP="00AB6BE3">
      <w:pPr>
        <w:spacing w:after="0"/>
        <w:rPr>
          <w:rFonts w:ascii="Times New Roman" w:hAnsi="Times New Roman" w:cs="Times New Roman"/>
          <w:sz w:val="24"/>
          <w:szCs w:val="24"/>
        </w:rPr>
      </w:pPr>
      <w:r w:rsidRPr="00AB6BE3">
        <w:rPr>
          <w:rFonts w:ascii="Times New Roman" w:hAnsi="Times New Roman" w:cs="Times New Roman"/>
          <w:sz w:val="24"/>
          <w:szCs w:val="24"/>
        </w:rPr>
        <w:t>On February 3, 2006, the Commission issued Order No. 672, implementing</w:t>
      </w:r>
      <w:r>
        <w:rPr>
          <w:rFonts w:ascii="Times New Roman" w:hAnsi="Times New Roman" w:cs="Times New Roman"/>
          <w:sz w:val="24"/>
          <w:szCs w:val="24"/>
        </w:rPr>
        <w:t xml:space="preserve"> section 215 of the FPA.</w:t>
      </w:r>
      <w:r w:rsidR="00934F32" w:rsidRPr="00934F32">
        <w:rPr>
          <w:rStyle w:val="FootnoteReference"/>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w:t>
      </w:r>
      <w:r w:rsidRPr="00AB6BE3">
        <w:rPr>
          <w:rFonts w:ascii="Times New Roman" w:hAnsi="Times New Roman" w:cs="Times New Roman"/>
          <w:sz w:val="24"/>
          <w:szCs w:val="24"/>
        </w:rPr>
        <w:t>Pursuant to Order No. 672, the Commission certified one</w:t>
      </w:r>
      <w:r>
        <w:rPr>
          <w:rFonts w:ascii="Times New Roman" w:hAnsi="Times New Roman" w:cs="Times New Roman"/>
          <w:sz w:val="24"/>
          <w:szCs w:val="24"/>
        </w:rPr>
        <w:t xml:space="preserve"> </w:t>
      </w:r>
      <w:r w:rsidRPr="00AB6BE3">
        <w:rPr>
          <w:rFonts w:ascii="Times New Roman" w:hAnsi="Times New Roman" w:cs="Times New Roman"/>
          <w:sz w:val="24"/>
          <w:szCs w:val="24"/>
        </w:rPr>
        <w:t>organization, NERC, as the ERO.</w:t>
      </w:r>
      <w:r w:rsidR="00934F32" w:rsidRPr="00934F32">
        <w:rPr>
          <w:rStyle w:val="FootnoteReference"/>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w:t>
      </w:r>
      <w:r w:rsidRPr="00AB6BE3">
        <w:rPr>
          <w:rFonts w:ascii="Times New Roman" w:hAnsi="Times New Roman" w:cs="Times New Roman"/>
          <w:sz w:val="24"/>
          <w:szCs w:val="24"/>
        </w:rPr>
        <w:t>The ERO is required to develop Reliability Standards,</w:t>
      </w:r>
      <w:r>
        <w:rPr>
          <w:rFonts w:ascii="Times New Roman" w:hAnsi="Times New Roman" w:cs="Times New Roman"/>
          <w:sz w:val="24"/>
          <w:szCs w:val="24"/>
        </w:rPr>
        <w:t xml:space="preserve"> </w:t>
      </w:r>
      <w:r w:rsidRPr="00AB6BE3">
        <w:rPr>
          <w:rFonts w:ascii="Times New Roman" w:hAnsi="Times New Roman" w:cs="Times New Roman"/>
          <w:sz w:val="24"/>
          <w:szCs w:val="24"/>
        </w:rPr>
        <w:t xml:space="preserve">which are subject to Commission </w:t>
      </w:r>
      <w:r w:rsidRPr="00AB6BE3">
        <w:rPr>
          <w:rFonts w:ascii="Times New Roman" w:hAnsi="Times New Roman" w:cs="Times New Roman"/>
          <w:sz w:val="24"/>
          <w:szCs w:val="24"/>
        </w:rPr>
        <w:lastRenderedPageBreak/>
        <w:t>revie</w:t>
      </w:r>
      <w:r>
        <w:rPr>
          <w:rFonts w:ascii="Times New Roman" w:hAnsi="Times New Roman" w:cs="Times New Roman"/>
          <w:sz w:val="24"/>
          <w:szCs w:val="24"/>
        </w:rPr>
        <w:t>w and approval.</w:t>
      </w:r>
      <w:r w:rsidR="00934F32" w:rsidRPr="00934F32">
        <w:rPr>
          <w:rStyle w:val="FootnoteReference"/>
          <w:rFonts w:ascii="Times New Roman" w:hAnsi="Times New Roman" w:cs="Times New Roman"/>
          <w:sz w:val="24"/>
          <w:szCs w:val="24"/>
          <w:vertAlign w:val="superscript"/>
        </w:rPr>
        <w:footnoteReference w:id="6"/>
      </w:r>
      <w:r w:rsidRPr="00AB6B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6BE3">
        <w:rPr>
          <w:rFonts w:ascii="Times New Roman" w:hAnsi="Times New Roman" w:cs="Times New Roman"/>
          <w:sz w:val="24"/>
          <w:szCs w:val="24"/>
        </w:rPr>
        <w:t>The Reliability Standards appl</w:t>
      </w:r>
      <w:r>
        <w:rPr>
          <w:rFonts w:ascii="Times New Roman" w:hAnsi="Times New Roman" w:cs="Times New Roman"/>
          <w:sz w:val="24"/>
          <w:szCs w:val="24"/>
        </w:rPr>
        <w:t>ies</w:t>
      </w:r>
      <w:r w:rsidRPr="00AB6BE3">
        <w:rPr>
          <w:rFonts w:ascii="Times New Roman" w:hAnsi="Times New Roman" w:cs="Times New Roman"/>
          <w:sz w:val="24"/>
          <w:szCs w:val="24"/>
        </w:rPr>
        <w:t xml:space="preserve"> to users, owners and operators of the Bulk-Power System, as set forth in each</w:t>
      </w:r>
      <w:r>
        <w:rPr>
          <w:rFonts w:ascii="Times New Roman" w:hAnsi="Times New Roman" w:cs="Times New Roman"/>
          <w:sz w:val="24"/>
          <w:szCs w:val="24"/>
        </w:rPr>
        <w:t xml:space="preserve"> </w:t>
      </w:r>
      <w:r w:rsidRPr="00AB6BE3">
        <w:rPr>
          <w:rFonts w:ascii="Times New Roman" w:hAnsi="Times New Roman" w:cs="Times New Roman"/>
          <w:sz w:val="24"/>
          <w:szCs w:val="24"/>
        </w:rPr>
        <w:t>Reliability Standard.</w:t>
      </w:r>
      <w:r w:rsidR="00040FAB" w:rsidRPr="00FC440E">
        <w:rPr>
          <w:rFonts w:ascii="Times New Roman" w:hAnsi="Times New Roman" w:cs="Times New Roman"/>
          <w:sz w:val="24"/>
          <w:szCs w:val="24"/>
        </w:rPr>
        <w:t xml:space="preserve"> </w:t>
      </w:r>
      <w:r w:rsidR="00040FAB" w:rsidRPr="00040FAB">
        <w:rPr>
          <w:rFonts w:ascii="Times New Roman" w:hAnsi="Times New Roman" w:cs="Times New Roman"/>
          <w:sz w:val="24"/>
          <w:szCs w:val="24"/>
        </w:rPr>
        <w:t xml:space="preserve"> </w:t>
      </w:r>
    </w:p>
    <w:p w14:paraId="73C4DFB4" w14:textId="77777777" w:rsidR="00040FAB" w:rsidRDefault="00040FAB" w:rsidP="00040FAB">
      <w:pPr>
        <w:spacing w:after="0"/>
        <w:rPr>
          <w:rFonts w:ascii="Times New Roman" w:hAnsi="Times New Roman" w:cs="Times New Roman"/>
          <w:sz w:val="24"/>
          <w:szCs w:val="24"/>
        </w:rPr>
      </w:pPr>
    </w:p>
    <w:p w14:paraId="73C4DFB5" w14:textId="77777777" w:rsidR="00AB6BE3" w:rsidRDefault="00AB6BE3" w:rsidP="00AB6BE3">
      <w:pPr>
        <w:spacing w:after="0"/>
        <w:rPr>
          <w:rFonts w:ascii="Times New Roman" w:hAnsi="Times New Roman" w:cs="Times New Roman"/>
          <w:sz w:val="24"/>
          <w:szCs w:val="24"/>
        </w:rPr>
      </w:pPr>
      <w:r w:rsidRPr="00AB6BE3">
        <w:rPr>
          <w:rFonts w:ascii="Times New Roman" w:hAnsi="Times New Roman" w:cs="Times New Roman"/>
          <w:sz w:val="24"/>
          <w:szCs w:val="24"/>
        </w:rPr>
        <w:t>Section 215(d</w:t>
      </w:r>
      <w:proofErr w:type="gramStart"/>
      <w:r w:rsidRPr="00AB6BE3">
        <w:rPr>
          <w:rFonts w:ascii="Times New Roman" w:hAnsi="Times New Roman" w:cs="Times New Roman"/>
          <w:sz w:val="24"/>
          <w:szCs w:val="24"/>
        </w:rPr>
        <w:t>)(</w:t>
      </w:r>
      <w:proofErr w:type="gramEnd"/>
      <w:r w:rsidRPr="00AB6BE3">
        <w:rPr>
          <w:rFonts w:ascii="Times New Roman" w:hAnsi="Times New Roman" w:cs="Times New Roman"/>
          <w:sz w:val="24"/>
          <w:szCs w:val="24"/>
        </w:rPr>
        <w:t>2) of the FPA and the Commission’s regulations provide that the</w:t>
      </w:r>
      <w:r>
        <w:rPr>
          <w:rFonts w:ascii="Times New Roman" w:hAnsi="Times New Roman" w:cs="Times New Roman"/>
          <w:sz w:val="24"/>
          <w:szCs w:val="24"/>
        </w:rPr>
        <w:t xml:space="preserve"> </w:t>
      </w:r>
      <w:r w:rsidRPr="00AB6BE3">
        <w:rPr>
          <w:rFonts w:ascii="Times New Roman" w:hAnsi="Times New Roman" w:cs="Times New Roman"/>
          <w:sz w:val="24"/>
          <w:szCs w:val="24"/>
        </w:rPr>
        <w:t>Commission may approve a proposed Reliability Standard if it determines that the</w:t>
      </w:r>
      <w:r>
        <w:rPr>
          <w:rFonts w:ascii="Times New Roman" w:hAnsi="Times New Roman" w:cs="Times New Roman"/>
          <w:sz w:val="24"/>
          <w:szCs w:val="24"/>
        </w:rPr>
        <w:t xml:space="preserve"> </w:t>
      </w:r>
      <w:r w:rsidRPr="00AB6BE3">
        <w:rPr>
          <w:rFonts w:ascii="Times New Roman" w:hAnsi="Times New Roman" w:cs="Times New Roman"/>
          <w:sz w:val="24"/>
          <w:szCs w:val="24"/>
        </w:rPr>
        <w:t>proposal is just, reasonable, not unduly discriminatory or preferential, and in the public</w:t>
      </w:r>
      <w:r>
        <w:rPr>
          <w:rFonts w:ascii="Times New Roman" w:hAnsi="Times New Roman" w:cs="Times New Roman"/>
          <w:sz w:val="24"/>
          <w:szCs w:val="24"/>
        </w:rPr>
        <w:t xml:space="preserve"> </w:t>
      </w:r>
      <w:r w:rsidRPr="00AB6BE3">
        <w:rPr>
          <w:rFonts w:ascii="Times New Roman" w:hAnsi="Times New Roman" w:cs="Times New Roman"/>
          <w:sz w:val="24"/>
          <w:szCs w:val="24"/>
        </w:rPr>
        <w:t>interest. The Commission specified in Order No. 672 certain general factors it would</w:t>
      </w:r>
      <w:r>
        <w:rPr>
          <w:rFonts w:ascii="Times New Roman" w:hAnsi="Times New Roman" w:cs="Times New Roman"/>
          <w:sz w:val="24"/>
          <w:szCs w:val="24"/>
        </w:rPr>
        <w:t xml:space="preserve"> </w:t>
      </w:r>
      <w:r w:rsidRPr="00AB6BE3">
        <w:rPr>
          <w:rFonts w:ascii="Times New Roman" w:hAnsi="Times New Roman" w:cs="Times New Roman"/>
          <w:sz w:val="24"/>
          <w:szCs w:val="24"/>
        </w:rPr>
        <w:t>consider when assessing whether a particular Reliability Standard is just and reasonable</w:t>
      </w:r>
      <w:r>
        <w:rPr>
          <w:rFonts w:ascii="Times New Roman" w:hAnsi="Times New Roman" w:cs="Times New Roman"/>
          <w:sz w:val="24"/>
          <w:szCs w:val="24"/>
        </w:rPr>
        <w:t>.</w:t>
      </w:r>
      <w:r w:rsidR="00934F32" w:rsidRPr="00934F32">
        <w:rPr>
          <w:rStyle w:val="FootnoteReference"/>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w:t>
      </w:r>
      <w:r w:rsidRPr="00AB6BE3">
        <w:rPr>
          <w:rFonts w:ascii="Times New Roman" w:hAnsi="Times New Roman" w:cs="Times New Roman"/>
          <w:sz w:val="24"/>
          <w:szCs w:val="24"/>
        </w:rPr>
        <w:t>According to this guidance, a Reliability Standard must provide for the Reliable</w:t>
      </w:r>
      <w:r>
        <w:rPr>
          <w:rFonts w:ascii="Times New Roman" w:hAnsi="Times New Roman" w:cs="Times New Roman"/>
          <w:sz w:val="24"/>
          <w:szCs w:val="24"/>
        </w:rPr>
        <w:t xml:space="preserve"> </w:t>
      </w:r>
      <w:r w:rsidRPr="00AB6BE3">
        <w:rPr>
          <w:rFonts w:ascii="Times New Roman" w:hAnsi="Times New Roman" w:cs="Times New Roman"/>
          <w:sz w:val="24"/>
          <w:szCs w:val="24"/>
        </w:rPr>
        <w:t>Operation of Bulk-Power System facilities and may impose a requirement on any user,</w:t>
      </w:r>
      <w:r>
        <w:rPr>
          <w:rFonts w:ascii="Times New Roman" w:hAnsi="Times New Roman" w:cs="Times New Roman"/>
          <w:sz w:val="24"/>
          <w:szCs w:val="24"/>
        </w:rPr>
        <w:t xml:space="preserve"> </w:t>
      </w:r>
      <w:r w:rsidRPr="00AB6BE3">
        <w:rPr>
          <w:rFonts w:ascii="Times New Roman" w:hAnsi="Times New Roman" w:cs="Times New Roman"/>
          <w:sz w:val="24"/>
          <w:szCs w:val="24"/>
        </w:rPr>
        <w:t>owner or operator of such facilities. It must be designed to achieve a specified reliability</w:t>
      </w:r>
      <w:r>
        <w:rPr>
          <w:rFonts w:ascii="Times New Roman" w:hAnsi="Times New Roman" w:cs="Times New Roman"/>
          <w:sz w:val="24"/>
          <w:szCs w:val="24"/>
        </w:rPr>
        <w:t xml:space="preserve"> </w:t>
      </w:r>
      <w:r w:rsidRPr="00AB6BE3">
        <w:rPr>
          <w:rFonts w:ascii="Times New Roman" w:hAnsi="Times New Roman" w:cs="Times New Roman"/>
          <w:sz w:val="24"/>
          <w:szCs w:val="24"/>
        </w:rPr>
        <w:t>goal and must contain a technically sound means to achieve this goal. The Reliability</w:t>
      </w:r>
      <w:r>
        <w:rPr>
          <w:rFonts w:ascii="Times New Roman" w:hAnsi="Times New Roman" w:cs="Times New Roman"/>
          <w:sz w:val="24"/>
          <w:szCs w:val="24"/>
        </w:rPr>
        <w:t xml:space="preserve"> </w:t>
      </w:r>
      <w:r w:rsidRPr="00AB6BE3">
        <w:rPr>
          <w:rFonts w:ascii="Times New Roman" w:hAnsi="Times New Roman" w:cs="Times New Roman"/>
          <w:sz w:val="24"/>
          <w:szCs w:val="24"/>
        </w:rPr>
        <w:t>Standard should be clear and unambiguous regarding what is required and who is</w:t>
      </w:r>
      <w:r w:rsidR="00E50CC0">
        <w:rPr>
          <w:rFonts w:ascii="Times New Roman" w:hAnsi="Times New Roman" w:cs="Times New Roman"/>
          <w:sz w:val="24"/>
          <w:szCs w:val="24"/>
        </w:rPr>
        <w:t xml:space="preserve"> </w:t>
      </w:r>
      <w:r w:rsidRPr="00AB6BE3">
        <w:rPr>
          <w:rFonts w:ascii="Times New Roman" w:hAnsi="Times New Roman" w:cs="Times New Roman"/>
          <w:sz w:val="24"/>
          <w:szCs w:val="24"/>
        </w:rPr>
        <w:t>required to comply.</w:t>
      </w:r>
    </w:p>
    <w:p w14:paraId="73C4DFB6" w14:textId="77777777" w:rsidR="00E24323" w:rsidRDefault="00E24323" w:rsidP="00AB6BE3">
      <w:pPr>
        <w:spacing w:after="0"/>
        <w:rPr>
          <w:rFonts w:ascii="Times New Roman" w:hAnsi="Times New Roman" w:cs="Times New Roman"/>
          <w:sz w:val="24"/>
          <w:szCs w:val="24"/>
        </w:rPr>
      </w:pPr>
    </w:p>
    <w:p w14:paraId="73C4DFB9" w14:textId="4D8471CB" w:rsidR="00DE2C54" w:rsidRDefault="00B44328" w:rsidP="00040FAB">
      <w:pPr>
        <w:spacing w:after="0"/>
        <w:rPr>
          <w:rFonts w:ascii="Times New Roman" w:hAnsi="Times New Roman" w:cs="Times New Roman"/>
          <w:sz w:val="24"/>
          <w:szCs w:val="24"/>
        </w:rPr>
      </w:pPr>
      <w:r w:rsidRPr="00B44328">
        <w:rPr>
          <w:rFonts w:ascii="Times New Roman" w:hAnsi="Times New Roman" w:cs="Times New Roman"/>
          <w:sz w:val="24"/>
          <w:szCs w:val="24"/>
        </w:rPr>
        <w:t>On September 18, 2013, NERC and the Texas RE filed a joint petition (Petition) seeking approval of regional Reliability Standard BAL-001-TRE-01 (Primary Frequency Response), implementation plan, and the associated violation risk factors and violation severity levels.  The Petition states that regional Reliability Standard BAL-001-TRE-01 complies with the Commission’s directive in Order No. 693.  The Petition further states that, while the  regional Reliability Standard requires individual generators to provide frequency response, it does not restrict the balancing authority from obtaining frequency response from other sources to meet the Interconnection’s required level of performance.</w:t>
      </w:r>
      <w:r w:rsidRPr="00B44328">
        <w:rPr>
          <w:rFonts w:ascii="Times New Roman" w:hAnsi="Times New Roman" w:cs="Times New Roman"/>
          <w:b/>
          <w:sz w:val="24"/>
          <w:szCs w:val="24"/>
          <w:vertAlign w:val="superscript"/>
        </w:rPr>
        <w:footnoteReference w:id="8"/>
      </w:r>
    </w:p>
    <w:p w14:paraId="0ACFCADE" w14:textId="77777777" w:rsidR="00B44328" w:rsidRDefault="00B44328" w:rsidP="00040FAB">
      <w:pPr>
        <w:spacing w:after="0"/>
        <w:rPr>
          <w:rFonts w:ascii="Times New Roman" w:hAnsi="Times New Roman" w:cs="Times New Roman"/>
          <w:sz w:val="24"/>
          <w:szCs w:val="24"/>
        </w:rPr>
      </w:pPr>
    </w:p>
    <w:p w14:paraId="60A654CD" w14:textId="1FE894A7" w:rsidR="00B44328" w:rsidRDefault="00B44328" w:rsidP="00040FAB">
      <w:pPr>
        <w:spacing w:after="0"/>
        <w:rPr>
          <w:rFonts w:ascii="Times New Roman" w:hAnsi="Times New Roman" w:cs="Times New Roman"/>
          <w:sz w:val="24"/>
          <w:szCs w:val="24"/>
        </w:rPr>
      </w:pPr>
      <w:r w:rsidRPr="00B44328">
        <w:rPr>
          <w:rFonts w:ascii="Times New Roman" w:hAnsi="Times New Roman" w:cs="Times New Roman"/>
          <w:sz w:val="24"/>
          <w:szCs w:val="24"/>
        </w:rPr>
        <w:t>NERC asserts that regional Reliability Standard BAL-001-TRE-01 improves upon ERCOT’s existing practices for frequency response, is necessitated by physical differences in the ERCOT system and represents an alternative, more stringent means of ensuring frequency response performance than the continent-wide NERC Reliability Standard.</w:t>
      </w:r>
      <w:r w:rsidRPr="00B44328">
        <w:rPr>
          <w:rFonts w:ascii="Times New Roman" w:hAnsi="Times New Roman" w:cs="Times New Roman"/>
          <w:b/>
          <w:sz w:val="24"/>
          <w:szCs w:val="24"/>
          <w:vertAlign w:val="superscript"/>
        </w:rPr>
        <w:footnoteReference w:id="9"/>
      </w:r>
    </w:p>
    <w:p w14:paraId="5EC514A0" w14:textId="77777777" w:rsidR="007E5069" w:rsidRPr="00040FAB" w:rsidRDefault="007E5069" w:rsidP="00040FAB">
      <w:pPr>
        <w:spacing w:after="0"/>
        <w:rPr>
          <w:rFonts w:ascii="Times New Roman" w:hAnsi="Times New Roman" w:cs="Times New Roman"/>
          <w:sz w:val="24"/>
          <w:szCs w:val="24"/>
        </w:rPr>
      </w:pPr>
    </w:p>
    <w:p w14:paraId="73C4DFBA"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HOW, BY WHOM, AND FOR WHAT PURPOSE THE INFORMATION IS TO BE USED AND THE CONSEQUENCES OF NOT COLLECTING THE INFORMATION</w:t>
      </w:r>
    </w:p>
    <w:p w14:paraId="73C4DFBB" w14:textId="77777777" w:rsidR="00CC1FA0" w:rsidRDefault="00CC1FA0" w:rsidP="002273A2">
      <w:pPr>
        <w:spacing w:after="0"/>
        <w:rPr>
          <w:rFonts w:ascii="Times New Roman" w:hAnsi="Times New Roman" w:cs="Times New Roman"/>
          <w:sz w:val="24"/>
          <w:szCs w:val="24"/>
        </w:rPr>
      </w:pPr>
    </w:p>
    <w:p w14:paraId="33ED2187" w14:textId="665C8AA1" w:rsidR="005765A2" w:rsidRDefault="00B44328" w:rsidP="002273A2">
      <w:pPr>
        <w:spacing w:after="0"/>
        <w:rPr>
          <w:rFonts w:ascii="Times New Roman" w:hAnsi="Times New Roman" w:cs="Times New Roman"/>
          <w:sz w:val="24"/>
          <w:szCs w:val="24"/>
        </w:rPr>
      </w:pPr>
      <w:r w:rsidRPr="00B44328">
        <w:rPr>
          <w:rFonts w:ascii="Times New Roman" w:hAnsi="Times New Roman" w:cs="Times New Roman"/>
          <w:sz w:val="24"/>
          <w:szCs w:val="24"/>
        </w:rPr>
        <w:t>Reliability Standard BAL-001-TRE-01</w:t>
      </w:r>
      <w:r>
        <w:rPr>
          <w:rFonts w:ascii="Times New Roman" w:hAnsi="Times New Roman" w:cs="Times New Roman"/>
          <w:sz w:val="24"/>
          <w:szCs w:val="24"/>
        </w:rPr>
        <w:t xml:space="preserve"> applies to </w:t>
      </w:r>
      <w:r w:rsidR="006A6E1A">
        <w:rPr>
          <w:rFonts w:ascii="Times New Roman" w:hAnsi="Times New Roman" w:cs="Times New Roman"/>
          <w:sz w:val="24"/>
          <w:szCs w:val="24"/>
        </w:rPr>
        <w:t>entities registered as Generator Owners</w:t>
      </w:r>
      <w:r w:rsidR="006C5341">
        <w:rPr>
          <w:rFonts w:ascii="Times New Roman" w:hAnsi="Times New Roman" w:cs="Times New Roman"/>
          <w:sz w:val="24"/>
          <w:szCs w:val="24"/>
        </w:rPr>
        <w:t xml:space="preserve"> (GOs)</w:t>
      </w:r>
      <w:r>
        <w:rPr>
          <w:rFonts w:ascii="Times New Roman" w:hAnsi="Times New Roman" w:cs="Times New Roman"/>
          <w:sz w:val="24"/>
          <w:szCs w:val="24"/>
        </w:rPr>
        <w:t>, Generator Operators</w:t>
      </w:r>
      <w:r w:rsidR="006C5341">
        <w:rPr>
          <w:rFonts w:ascii="Times New Roman" w:hAnsi="Times New Roman" w:cs="Times New Roman"/>
          <w:sz w:val="24"/>
          <w:szCs w:val="24"/>
        </w:rPr>
        <w:t xml:space="preserve"> (GOPs)</w:t>
      </w:r>
      <w:r>
        <w:rPr>
          <w:rFonts w:ascii="Times New Roman" w:hAnsi="Times New Roman" w:cs="Times New Roman"/>
          <w:sz w:val="24"/>
          <w:szCs w:val="24"/>
        </w:rPr>
        <w:t>, and Balancing Authorities</w:t>
      </w:r>
      <w:r w:rsidR="006C5341">
        <w:rPr>
          <w:rFonts w:ascii="Times New Roman" w:hAnsi="Times New Roman" w:cs="Times New Roman"/>
          <w:sz w:val="24"/>
          <w:szCs w:val="24"/>
        </w:rPr>
        <w:t xml:space="preserve"> (BAs)</w:t>
      </w:r>
      <w:r>
        <w:rPr>
          <w:rFonts w:ascii="Times New Roman" w:hAnsi="Times New Roman" w:cs="Times New Roman"/>
          <w:sz w:val="24"/>
          <w:szCs w:val="24"/>
        </w:rPr>
        <w:t xml:space="preserve"> within the Texas RE region.</w:t>
      </w:r>
      <w:r w:rsidR="00A6260C">
        <w:rPr>
          <w:rFonts w:ascii="Times New Roman" w:hAnsi="Times New Roman" w:cs="Times New Roman"/>
          <w:sz w:val="24"/>
          <w:szCs w:val="24"/>
        </w:rPr>
        <w:t xml:space="preserve">  </w:t>
      </w:r>
    </w:p>
    <w:p w14:paraId="0A0C2418" w14:textId="77777777" w:rsidR="000C5F38" w:rsidRDefault="000C5F38" w:rsidP="002273A2">
      <w:pPr>
        <w:spacing w:after="0"/>
        <w:rPr>
          <w:rFonts w:ascii="Times New Roman" w:hAnsi="Times New Roman" w:cs="Times New Roman"/>
          <w:sz w:val="24"/>
          <w:szCs w:val="24"/>
        </w:rPr>
      </w:pPr>
    </w:p>
    <w:p w14:paraId="0ED16BE3" w14:textId="40E07C55" w:rsidR="000C5F38" w:rsidRDefault="000C5F38" w:rsidP="002273A2">
      <w:pPr>
        <w:spacing w:after="0"/>
        <w:rPr>
          <w:rFonts w:ascii="Times New Roman" w:hAnsi="Times New Roman" w:cs="Times New Roman"/>
          <w:sz w:val="24"/>
          <w:szCs w:val="24"/>
        </w:rPr>
      </w:pPr>
      <w:r w:rsidRPr="000C5F38">
        <w:rPr>
          <w:rFonts w:ascii="Times New Roman" w:hAnsi="Times New Roman" w:cs="Times New Roman"/>
          <w:sz w:val="24"/>
          <w:szCs w:val="24"/>
        </w:rPr>
        <w:t>Regional Reliability Standard BAL-001-TRE-01 is more comprehensive than the existing continent-wide Reliability Standards addressing frequency response, BAL-001-0.1a</w:t>
      </w:r>
      <w:r w:rsidRPr="000C5F38">
        <w:rPr>
          <w:rFonts w:ascii="Times New Roman" w:hAnsi="Times New Roman" w:cs="Times New Roman"/>
          <w:b/>
          <w:sz w:val="24"/>
          <w:szCs w:val="24"/>
        </w:rPr>
        <w:t xml:space="preserve"> </w:t>
      </w:r>
      <w:r w:rsidRPr="000C5F38">
        <w:rPr>
          <w:rFonts w:ascii="Times New Roman" w:hAnsi="Times New Roman" w:cs="Times New Roman"/>
          <w:sz w:val="24"/>
          <w:szCs w:val="24"/>
        </w:rPr>
        <w:t>and BAL-003-0.1b in that the regional standard includes additional requirements and applies to generator owners and generator operators as well as balancing authorities.  The expanded applicability of the regional Reliability Standard, thus, increases the reporting burden for entities that operate within the ERCOT Interconnection.</w:t>
      </w:r>
    </w:p>
    <w:p w14:paraId="16126462" w14:textId="77777777" w:rsidR="00850ED0" w:rsidRDefault="00850ED0" w:rsidP="002273A2">
      <w:pPr>
        <w:spacing w:after="0"/>
        <w:rPr>
          <w:rFonts w:ascii="Times New Roman" w:hAnsi="Times New Roman" w:cs="Times New Roman"/>
          <w:sz w:val="24"/>
          <w:szCs w:val="24"/>
        </w:rPr>
      </w:pPr>
    </w:p>
    <w:p w14:paraId="3EB2CADA" w14:textId="713294F4" w:rsidR="0092159E" w:rsidRDefault="0093321F" w:rsidP="002273A2">
      <w:pPr>
        <w:spacing w:after="0"/>
        <w:rPr>
          <w:rFonts w:ascii="Times New Roman" w:hAnsi="Times New Roman" w:cs="Times New Roman"/>
          <w:sz w:val="24"/>
          <w:szCs w:val="24"/>
        </w:rPr>
      </w:pPr>
      <w:r w:rsidRPr="0093321F">
        <w:rPr>
          <w:rFonts w:ascii="Times New Roman" w:hAnsi="Times New Roman" w:cs="Times New Roman"/>
          <w:sz w:val="24"/>
          <w:szCs w:val="24"/>
        </w:rPr>
        <w:t>The information collection requirements entail the setting or configuration of the Control System software, identification and recording of events, data retention</w:t>
      </w:r>
      <w:r w:rsidR="009E6FC9">
        <w:rPr>
          <w:rFonts w:ascii="Times New Roman" w:hAnsi="Times New Roman" w:cs="Times New Roman"/>
          <w:sz w:val="24"/>
          <w:szCs w:val="24"/>
        </w:rPr>
        <w:t>,</w:t>
      </w:r>
      <w:r w:rsidRPr="0093321F">
        <w:rPr>
          <w:rFonts w:ascii="Times New Roman" w:hAnsi="Times New Roman" w:cs="Times New Roman"/>
          <w:sz w:val="24"/>
          <w:szCs w:val="24"/>
        </w:rPr>
        <w:t xml:space="preserve"> and submitting </w:t>
      </w:r>
      <w:r w:rsidR="009E6FC9">
        <w:rPr>
          <w:rFonts w:ascii="Times New Roman" w:hAnsi="Times New Roman" w:cs="Times New Roman"/>
          <w:sz w:val="24"/>
          <w:szCs w:val="24"/>
        </w:rPr>
        <w:t>frequency measurable events to the compliance enforcement authority</w:t>
      </w:r>
      <w:r w:rsidR="00D45624">
        <w:rPr>
          <w:rFonts w:ascii="Times New Roman" w:hAnsi="Times New Roman" w:cs="Times New Roman"/>
          <w:sz w:val="24"/>
          <w:szCs w:val="24"/>
        </w:rPr>
        <w:t xml:space="preserve"> (Regional Entity or NERC)</w:t>
      </w:r>
      <w:r w:rsidR="009E6FC9">
        <w:rPr>
          <w:rFonts w:ascii="Times New Roman" w:hAnsi="Times New Roman" w:cs="Times New Roman"/>
          <w:sz w:val="24"/>
          <w:szCs w:val="24"/>
        </w:rPr>
        <w:t>.</w:t>
      </w:r>
    </w:p>
    <w:p w14:paraId="29D86CF7" w14:textId="77777777" w:rsidR="0092159E" w:rsidRDefault="0092159E" w:rsidP="002273A2">
      <w:pPr>
        <w:spacing w:after="0"/>
        <w:rPr>
          <w:rFonts w:ascii="Times New Roman" w:hAnsi="Times New Roman" w:cs="Times New Roman"/>
          <w:sz w:val="24"/>
          <w:szCs w:val="24"/>
        </w:rPr>
      </w:pPr>
    </w:p>
    <w:p w14:paraId="276443E4" w14:textId="1E8B83EA" w:rsidR="0092159E" w:rsidRDefault="0092159E" w:rsidP="00D45624">
      <w:pPr>
        <w:spacing w:after="0"/>
        <w:ind w:left="360"/>
        <w:rPr>
          <w:rFonts w:ascii="Times New Roman" w:hAnsi="Times New Roman" w:cs="Times New Roman"/>
          <w:sz w:val="24"/>
          <w:szCs w:val="24"/>
        </w:rPr>
      </w:pPr>
      <w:r>
        <w:rPr>
          <w:rFonts w:ascii="Times New Roman" w:hAnsi="Times New Roman" w:cs="Times New Roman"/>
          <w:sz w:val="24"/>
          <w:szCs w:val="24"/>
        </w:rPr>
        <w:t xml:space="preserve">Control System software: Each </w:t>
      </w:r>
      <w:r w:rsidR="006C5341">
        <w:rPr>
          <w:rFonts w:ascii="Times New Roman" w:hAnsi="Times New Roman" w:cs="Times New Roman"/>
          <w:sz w:val="24"/>
          <w:szCs w:val="24"/>
        </w:rPr>
        <w:t>GO</w:t>
      </w:r>
      <w:r>
        <w:rPr>
          <w:rFonts w:ascii="Times New Roman" w:hAnsi="Times New Roman" w:cs="Times New Roman"/>
          <w:sz w:val="24"/>
          <w:szCs w:val="24"/>
        </w:rPr>
        <w:t xml:space="preserve"> must set its governor settings according to Requirement R6.  In order to modify its settings the </w:t>
      </w:r>
      <w:r w:rsidR="006C5341">
        <w:rPr>
          <w:rFonts w:ascii="Times New Roman" w:hAnsi="Times New Roman" w:cs="Times New Roman"/>
          <w:sz w:val="24"/>
          <w:szCs w:val="24"/>
        </w:rPr>
        <w:t>GO</w:t>
      </w:r>
      <w:r>
        <w:rPr>
          <w:rFonts w:ascii="Times New Roman" w:hAnsi="Times New Roman" w:cs="Times New Roman"/>
          <w:sz w:val="24"/>
          <w:szCs w:val="24"/>
        </w:rPr>
        <w:t xml:space="preserve"> may have to generate governor test reports, governor setting sheets, and/or performance monitoring reports. </w:t>
      </w:r>
    </w:p>
    <w:p w14:paraId="65F9E12E" w14:textId="77777777" w:rsidR="0092159E" w:rsidRDefault="0092159E" w:rsidP="00D45624">
      <w:pPr>
        <w:spacing w:after="0"/>
        <w:ind w:left="360"/>
        <w:rPr>
          <w:rFonts w:ascii="Times New Roman" w:hAnsi="Times New Roman" w:cs="Times New Roman"/>
          <w:sz w:val="24"/>
          <w:szCs w:val="24"/>
        </w:rPr>
      </w:pPr>
    </w:p>
    <w:p w14:paraId="33924DB6" w14:textId="79A66883" w:rsidR="00B76880" w:rsidRDefault="00B76880" w:rsidP="00D45624">
      <w:pPr>
        <w:spacing w:after="0"/>
        <w:ind w:left="360"/>
        <w:rPr>
          <w:rFonts w:ascii="Times New Roman" w:hAnsi="Times New Roman" w:cs="Times New Roman"/>
          <w:sz w:val="24"/>
          <w:szCs w:val="24"/>
        </w:rPr>
      </w:pPr>
      <w:r>
        <w:rPr>
          <w:rFonts w:ascii="Times New Roman" w:hAnsi="Times New Roman" w:cs="Times New Roman"/>
          <w:sz w:val="24"/>
          <w:szCs w:val="24"/>
        </w:rPr>
        <w:t>Submitting frequency measurable events</w:t>
      </w:r>
      <w:r w:rsidR="0092159E">
        <w:rPr>
          <w:rFonts w:ascii="Times New Roman" w:hAnsi="Times New Roman" w:cs="Times New Roman"/>
          <w:sz w:val="24"/>
          <w:szCs w:val="24"/>
        </w:rPr>
        <w:t xml:space="preserve">:  </w:t>
      </w:r>
      <w:r>
        <w:rPr>
          <w:rFonts w:ascii="Times New Roman" w:hAnsi="Times New Roman" w:cs="Times New Roman"/>
          <w:sz w:val="24"/>
          <w:szCs w:val="24"/>
        </w:rPr>
        <w:t xml:space="preserve">As per Requirement R1, the </w:t>
      </w:r>
      <w:r w:rsidR="006C5341">
        <w:rPr>
          <w:rFonts w:ascii="Times New Roman" w:hAnsi="Times New Roman" w:cs="Times New Roman"/>
          <w:sz w:val="24"/>
          <w:szCs w:val="24"/>
        </w:rPr>
        <w:t>BA</w:t>
      </w:r>
      <w:r>
        <w:rPr>
          <w:rFonts w:ascii="Times New Roman" w:hAnsi="Times New Roman" w:cs="Times New Roman"/>
          <w:sz w:val="24"/>
          <w:szCs w:val="24"/>
        </w:rPr>
        <w:t xml:space="preserve"> has to</w:t>
      </w:r>
      <w:r w:rsidR="007A192B">
        <w:rPr>
          <w:rFonts w:ascii="Times New Roman" w:hAnsi="Times New Roman" w:cs="Times New Roman"/>
          <w:sz w:val="24"/>
          <w:szCs w:val="24"/>
        </w:rPr>
        <w:t xml:space="preserve"> identify and</w:t>
      </w:r>
      <w:r>
        <w:rPr>
          <w:rFonts w:ascii="Times New Roman" w:hAnsi="Times New Roman" w:cs="Times New Roman"/>
          <w:sz w:val="24"/>
          <w:szCs w:val="24"/>
        </w:rPr>
        <w:t xml:space="preserve"> </w:t>
      </w:r>
      <w:r w:rsidR="007A192B">
        <w:rPr>
          <w:rFonts w:ascii="Times New Roman" w:hAnsi="Times New Roman" w:cs="Times New Roman"/>
          <w:sz w:val="24"/>
          <w:szCs w:val="24"/>
        </w:rPr>
        <w:t>post information regarding</w:t>
      </w:r>
      <w:r>
        <w:rPr>
          <w:rFonts w:ascii="Times New Roman" w:hAnsi="Times New Roman" w:cs="Times New Roman"/>
          <w:sz w:val="24"/>
          <w:szCs w:val="24"/>
        </w:rPr>
        <w:t xml:space="preserve"> Frequency Measurable Events (FME).  Further, the </w:t>
      </w:r>
      <w:r w:rsidR="006C5341">
        <w:rPr>
          <w:rFonts w:ascii="Times New Roman" w:hAnsi="Times New Roman" w:cs="Times New Roman"/>
          <w:sz w:val="24"/>
          <w:szCs w:val="24"/>
        </w:rPr>
        <w:t>BA</w:t>
      </w:r>
      <w:r>
        <w:rPr>
          <w:rFonts w:ascii="Times New Roman" w:hAnsi="Times New Roman" w:cs="Times New Roman"/>
          <w:sz w:val="24"/>
          <w:szCs w:val="24"/>
        </w:rPr>
        <w:t xml:space="preserve"> has to calculate and report</w:t>
      </w:r>
      <w:r w:rsidR="007A192B">
        <w:rPr>
          <w:rFonts w:ascii="Times New Roman" w:hAnsi="Times New Roman" w:cs="Times New Roman"/>
          <w:sz w:val="24"/>
          <w:szCs w:val="24"/>
        </w:rPr>
        <w:t xml:space="preserve"> to the Compliance Enforcement Authority</w:t>
      </w:r>
      <w:r>
        <w:rPr>
          <w:rFonts w:ascii="Times New Roman" w:hAnsi="Times New Roman" w:cs="Times New Roman"/>
          <w:sz w:val="24"/>
          <w:szCs w:val="24"/>
        </w:rPr>
        <w:t xml:space="preserve"> data related to Primary Frequency Response</w:t>
      </w:r>
      <w:r w:rsidR="006C5341">
        <w:rPr>
          <w:rFonts w:ascii="Times New Roman" w:hAnsi="Times New Roman" w:cs="Times New Roman"/>
          <w:sz w:val="24"/>
          <w:szCs w:val="24"/>
        </w:rPr>
        <w:t xml:space="preserve"> (PFR)</w:t>
      </w:r>
      <w:r>
        <w:rPr>
          <w:rFonts w:ascii="Times New Roman" w:hAnsi="Times New Roman" w:cs="Times New Roman"/>
          <w:sz w:val="24"/>
          <w:szCs w:val="24"/>
        </w:rPr>
        <w:t xml:space="preserve"> performance of each generating unit/genera</w:t>
      </w:r>
      <w:r w:rsidR="00997F2A">
        <w:rPr>
          <w:rFonts w:ascii="Times New Roman" w:hAnsi="Times New Roman" w:cs="Times New Roman"/>
          <w:sz w:val="24"/>
          <w:szCs w:val="24"/>
        </w:rPr>
        <w:t>ting facility</w:t>
      </w:r>
      <w:r>
        <w:rPr>
          <w:rFonts w:ascii="Times New Roman" w:hAnsi="Times New Roman" w:cs="Times New Roman"/>
          <w:sz w:val="24"/>
          <w:szCs w:val="24"/>
        </w:rPr>
        <w:t>.</w:t>
      </w:r>
    </w:p>
    <w:p w14:paraId="621EB4C7" w14:textId="77777777" w:rsidR="00B76880" w:rsidRDefault="00B76880" w:rsidP="00D45624">
      <w:pPr>
        <w:spacing w:after="0"/>
        <w:ind w:left="360"/>
        <w:rPr>
          <w:rFonts w:ascii="Times New Roman" w:hAnsi="Times New Roman" w:cs="Times New Roman"/>
          <w:sz w:val="24"/>
          <w:szCs w:val="24"/>
        </w:rPr>
      </w:pPr>
    </w:p>
    <w:p w14:paraId="02DCEC46" w14:textId="6C46776A" w:rsidR="006C5341" w:rsidRPr="006C5341" w:rsidRDefault="00B76880" w:rsidP="00D45624">
      <w:pPr>
        <w:spacing w:after="0"/>
        <w:ind w:left="360"/>
        <w:rPr>
          <w:rFonts w:ascii="Times New Roman" w:hAnsi="Times New Roman" w:cs="Times New Roman"/>
          <w:sz w:val="24"/>
          <w:szCs w:val="24"/>
        </w:rPr>
      </w:pPr>
      <w:r>
        <w:rPr>
          <w:rFonts w:ascii="Times New Roman" w:hAnsi="Times New Roman" w:cs="Times New Roman"/>
          <w:sz w:val="24"/>
          <w:szCs w:val="24"/>
        </w:rPr>
        <w:t xml:space="preserve">Data retention: </w:t>
      </w:r>
      <w:r w:rsidR="006C5341" w:rsidRPr="006C5341">
        <w:rPr>
          <w:rFonts w:ascii="Times New Roman" w:hAnsi="Times New Roman" w:cs="Times New Roman"/>
          <w:sz w:val="24"/>
          <w:szCs w:val="24"/>
        </w:rPr>
        <w:t xml:space="preserve">The </w:t>
      </w:r>
      <w:r w:rsidR="006C5341">
        <w:rPr>
          <w:rFonts w:ascii="Times New Roman" w:hAnsi="Times New Roman" w:cs="Times New Roman"/>
          <w:sz w:val="24"/>
          <w:szCs w:val="24"/>
        </w:rPr>
        <w:t>BA</w:t>
      </w:r>
      <w:r w:rsidR="006C5341" w:rsidRPr="006C5341">
        <w:rPr>
          <w:rFonts w:ascii="Times New Roman" w:hAnsi="Times New Roman" w:cs="Times New Roman"/>
          <w:sz w:val="24"/>
          <w:szCs w:val="24"/>
        </w:rPr>
        <w:t xml:space="preserve">, </w:t>
      </w:r>
      <w:r w:rsidR="006C5341">
        <w:rPr>
          <w:rFonts w:ascii="Times New Roman" w:hAnsi="Times New Roman" w:cs="Times New Roman"/>
          <w:sz w:val="24"/>
          <w:szCs w:val="24"/>
        </w:rPr>
        <w:t>GO</w:t>
      </w:r>
      <w:r w:rsidR="006C5341" w:rsidRPr="006C5341">
        <w:rPr>
          <w:rFonts w:ascii="Times New Roman" w:hAnsi="Times New Roman" w:cs="Times New Roman"/>
          <w:sz w:val="24"/>
          <w:szCs w:val="24"/>
        </w:rPr>
        <w:t xml:space="preserve">, and </w:t>
      </w:r>
      <w:r w:rsidR="006C5341">
        <w:rPr>
          <w:rFonts w:ascii="Times New Roman" w:hAnsi="Times New Roman" w:cs="Times New Roman"/>
          <w:sz w:val="24"/>
          <w:szCs w:val="24"/>
        </w:rPr>
        <w:t>GOP</w:t>
      </w:r>
      <w:r w:rsidR="006C5341" w:rsidRPr="006C5341">
        <w:rPr>
          <w:rFonts w:ascii="Times New Roman" w:hAnsi="Times New Roman" w:cs="Times New Roman"/>
          <w:sz w:val="24"/>
          <w:szCs w:val="24"/>
        </w:rPr>
        <w:t xml:space="preserve"> shall keep data or evidence to show compliance, as identified below, unless d</w:t>
      </w:r>
      <w:bookmarkStart w:id="0" w:name="_GoBack"/>
      <w:bookmarkEnd w:id="0"/>
      <w:r w:rsidR="006C5341" w:rsidRPr="006C5341">
        <w:rPr>
          <w:rFonts w:ascii="Times New Roman" w:hAnsi="Times New Roman" w:cs="Times New Roman"/>
          <w:sz w:val="24"/>
          <w:szCs w:val="24"/>
        </w:rPr>
        <w:t>irected by its Compliance Enforcement Authority to retain specific evidence for a longer period of time as part of an investigation</w:t>
      </w:r>
      <w:r w:rsidR="006C5341">
        <w:rPr>
          <w:rFonts w:ascii="Times New Roman" w:hAnsi="Times New Roman" w:cs="Times New Roman"/>
          <w:sz w:val="24"/>
          <w:szCs w:val="24"/>
        </w:rPr>
        <w:t>.  Compliance audits are generally about three years apart.</w:t>
      </w:r>
    </w:p>
    <w:p w14:paraId="7060F512" w14:textId="77777777" w:rsidR="006C5341" w:rsidRPr="006C5341" w:rsidRDefault="006C5341" w:rsidP="006C5341">
      <w:pPr>
        <w:spacing w:after="0"/>
        <w:rPr>
          <w:rFonts w:ascii="Times New Roman" w:hAnsi="Times New Roman" w:cs="Times New Roman"/>
          <w:sz w:val="24"/>
          <w:szCs w:val="24"/>
        </w:rPr>
      </w:pPr>
    </w:p>
    <w:p w14:paraId="52A6A3DC" w14:textId="77777777" w:rsidR="006C5341" w:rsidRPr="006C5341" w:rsidRDefault="006C5341" w:rsidP="00D45624">
      <w:pPr>
        <w:numPr>
          <w:ilvl w:val="0"/>
          <w:numId w:val="14"/>
        </w:numPr>
        <w:spacing w:after="0"/>
        <w:ind w:left="1080"/>
        <w:rPr>
          <w:rFonts w:ascii="Times New Roman" w:hAnsi="Times New Roman" w:cs="Times New Roman"/>
          <w:sz w:val="24"/>
          <w:szCs w:val="24"/>
        </w:rPr>
      </w:pPr>
      <w:r w:rsidRPr="006C5341">
        <w:rPr>
          <w:rFonts w:ascii="Times New Roman" w:hAnsi="Times New Roman" w:cs="Times New Roman"/>
          <w:sz w:val="24"/>
          <w:szCs w:val="24"/>
        </w:rPr>
        <w:t>The BA shall retain a list of identified Frequency Measurable Events and shall retain FME information since its last compliance audit for Requirement R1, Measure M1.</w:t>
      </w:r>
    </w:p>
    <w:p w14:paraId="5DE9041D" w14:textId="467EF7CA" w:rsidR="006C5341" w:rsidRPr="006C5341" w:rsidRDefault="006C5341" w:rsidP="00D45624">
      <w:pPr>
        <w:numPr>
          <w:ilvl w:val="0"/>
          <w:numId w:val="14"/>
        </w:numPr>
        <w:spacing w:after="0"/>
        <w:ind w:left="1080"/>
        <w:rPr>
          <w:rFonts w:ascii="Times New Roman" w:hAnsi="Times New Roman" w:cs="Times New Roman"/>
          <w:sz w:val="24"/>
          <w:szCs w:val="24"/>
        </w:rPr>
      </w:pPr>
      <w:r w:rsidRPr="006C5341">
        <w:rPr>
          <w:rFonts w:ascii="Times New Roman" w:hAnsi="Times New Roman" w:cs="Times New Roman"/>
          <w:sz w:val="24"/>
          <w:szCs w:val="24"/>
        </w:rPr>
        <w:t>The BA shall retain all monthly PFR performance reports since its last compliance audit for Requirement R2, Measure M2.</w:t>
      </w:r>
    </w:p>
    <w:p w14:paraId="4F4FBA87" w14:textId="0EA2906A" w:rsidR="006C5341" w:rsidRPr="006C5341" w:rsidRDefault="006C5341" w:rsidP="00D45624">
      <w:pPr>
        <w:numPr>
          <w:ilvl w:val="0"/>
          <w:numId w:val="14"/>
        </w:numPr>
        <w:spacing w:after="0"/>
        <w:ind w:left="1080"/>
        <w:rPr>
          <w:rFonts w:ascii="Times New Roman" w:hAnsi="Times New Roman" w:cs="Times New Roman"/>
          <w:sz w:val="24"/>
          <w:szCs w:val="24"/>
        </w:rPr>
      </w:pPr>
      <w:r w:rsidRPr="006C5341">
        <w:rPr>
          <w:rFonts w:ascii="Times New Roman" w:hAnsi="Times New Roman" w:cs="Times New Roman"/>
          <w:sz w:val="24"/>
          <w:szCs w:val="24"/>
        </w:rPr>
        <w:t>The BA shall retain all annual Interconnection minimum Frequency Response calculations, and related methodology and criteria documents, relating to time periods since its last compliance audit for Requirement R3, Measure M3.</w:t>
      </w:r>
    </w:p>
    <w:p w14:paraId="40B3BFC2" w14:textId="77777777" w:rsidR="006C5341" w:rsidRPr="006C5341" w:rsidRDefault="006C5341" w:rsidP="00D45624">
      <w:pPr>
        <w:numPr>
          <w:ilvl w:val="0"/>
          <w:numId w:val="14"/>
        </w:numPr>
        <w:spacing w:after="0"/>
        <w:ind w:left="1080"/>
        <w:rPr>
          <w:rFonts w:ascii="Times New Roman" w:hAnsi="Times New Roman" w:cs="Times New Roman"/>
          <w:sz w:val="24"/>
          <w:szCs w:val="24"/>
        </w:rPr>
      </w:pPr>
      <w:r w:rsidRPr="006C5341">
        <w:rPr>
          <w:rFonts w:ascii="Times New Roman" w:hAnsi="Times New Roman" w:cs="Times New Roman"/>
          <w:sz w:val="24"/>
          <w:szCs w:val="24"/>
        </w:rPr>
        <w:lastRenderedPageBreak/>
        <w:t>The BA shall retain all data and calculations relating to the Interconnection’s Frequency Response, and all evidence of actions taken to increase the Interconnection’s Frequency Response, since its last compliance audit for Requirements R4 and R5, Measures M4 and M5.</w:t>
      </w:r>
    </w:p>
    <w:p w14:paraId="4AD052D6" w14:textId="77777777" w:rsidR="006C5341" w:rsidRPr="006C5341" w:rsidRDefault="006C5341" w:rsidP="00D45624">
      <w:pPr>
        <w:numPr>
          <w:ilvl w:val="0"/>
          <w:numId w:val="14"/>
        </w:numPr>
        <w:spacing w:after="0"/>
        <w:ind w:left="1080"/>
        <w:rPr>
          <w:rFonts w:ascii="Times New Roman" w:hAnsi="Times New Roman" w:cs="Times New Roman"/>
          <w:sz w:val="24"/>
          <w:szCs w:val="24"/>
        </w:rPr>
      </w:pPr>
      <w:r w:rsidRPr="006C5341">
        <w:rPr>
          <w:rFonts w:ascii="Times New Roman" w:hAnsi="Times New Roman" w:cs="Times New Roman"/>
          <w:sz w:val="24"/>
          <w:szCs w:val="24"/>
        </w:rPr>
        <w:t>Each GOP shall retain evidence since its last compliance audit for Requirement R8, Measure M8.</w:t>
      </w:r>
    </w:p>
    <w:p w14:paraId="07B3E406" w14:textId="3506C205" w:rsidR="00B76880" w:rsidRPr="00153DF6" w:rsidRDefault="006C5341" w:rsidP="00153DF6">
      <w:pPr>
        <w:pStyle w:val="ListParagraph"/>
        <w:numPr>
          <w:ilvl w:val="0"/>
          <w:numId w:val="14"/>
        </w:numPr>
        <w:spacing w:after="0"/>
        <w:ind w:left="1080"/>
        <w:rPr>
          <w:rFonts w:ascii="Times New Roman" w:hAnsi="Times New Roman" w:cs="Times New Roman"/>
          <w:sz w:val="24"/>
          <w:szCs w:val="24"/>
        </w:rPr>
      </w:pPr>
      <w:r w:rsidRPr="00153DF6">
        <w:rPr>
          <w:rFonts w:ascii="Times New Roman" w:hAnsi="Times New Roman" w:cs="Times New Roman"/>
          <w:sz w:val="24"/>
          <w:szCs w:val="24"/>
        </w:rPr>
        <w:t>Each GO shall retain evidence since its last compliance audit for Requirements R6, R7, R9 and R10, Measures M6, M7, M9 and M10.</w:t>
      </w:r>
    </w:p>
    <w:p w14:paraId="73C4DFBF" w14:textId="55E1F10C" w:rsidR="00BC581E" w:rsidRPr="00EB3E6F" w:rsidRDefault="00B76880" w:rsidP="00EB3E6F">
      <w:pPr>
        <w:spacing w:after="0"/>
        <w:rPr>
          <w:rFonts w:ascii="Times New Roman" w:hAnsi="Times New Roman" w:cs="Times New Roman"/>
          <w:sz w:val="24"/>
          <w:szCs w:val="24"/>
        </w:rPr>
      </w:pPr>
      <w:r>
        <w:rPr>
          <w:rFonts w:ascii="Times New Roman" w:hAnsi="Times New Roman" w:cs="Times New Roman"/>
          <w:sz w:val="24"/>
          <w:szCs w:val="24"/>
        </w:rPr>
        <w:t xml:space="preserve"> </w:t>
      </w:r>
      <w:r w:rsidR="0092159E">
        <w:rPr>
          <w:rFonts w:ascii="Times New Roman" w:hAnsi="Times New Roman" w:cs="Times New Roman"/>
          <w:sz w:val="24"/>
          <w:szCs w:val="24"/>
        </w:rPr>
        <w:t xml:space="preserve">  </w:t>
      </w:r>
    </w:p>
    <w:p w14:paraId="73C4DFC0"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73C4DFC1" w14:textId="77777777" w:rsidR="00EB3E6F" w:rsidRDefault="00EB3E6F" w:rsidP="00EB3E6F">
      <w:pPr>
        <w:spacing w:after="0"/>
        <w:rPr>
          <w:rFonts w:ascii="Times New Roman" w:hAnsi="Times New Roman" w:cs="Times New Roman"/>
          <w:sz w:val="24"/>
          <w:szCs w:val="24"/>
        </w:rPr>
      </w:pPr>
    </w:p>
    <w:p w14:paraId="73C4DFC2" w14:textId="0779E8BC" w:rsidR="00EB3E6F" w:rsidRDefault="00E24323" w:rsidP="00EB3E6F">
      <w:pPr>
        <w:spacing w:after="0"/>
        <w:rPr>
          <w:rFonts w:ascii="Times New Roman" w:hAnsi="Times New Roman" w:cs="Times New Roman"/>
          <w:sz w:val="24"/>
          <w:szCs w:val="24"/>
        </w:rPr>
      </w:pPr>
      <w:r w:rsidRPr="00AD5F12">
        <w:rPr>
          <w:rFonts w:ascii="Times New Roman" w:hAnsi="Times New Roman" w:cs="Times New Roman"/>
          <w:sz w:val="24"/>
          <w:szCs w:val="24"/>
        </w:rPr>
        <w:t>The use of current or improved technology and the medium are not c</w:t>
      </w:r>
      <w:r w:rsidR="00DA275B">
        <w:rPr>
          <w:rFonts w:ascii="Times New Roman" w:hAnsi="Times New Roman" w:cs="Times New Roman"/>
          <w:sz w:val="24"/>
          <w:szCs w:val="24"/>
        </w:rPr>
        <w:t>overed in Reliability Standards</w:t>
      </w:r>
      <w:r w:rsidRPr="00AD5F12">
        <w:rPr>
          <w:rFonts w:ascii="Times New Roman" w:hAnsi="Times New Roman" w:cs="Times New Roman"/>
          <w:sz w:val="24"/>
          <w:szCs w:val="24"/>
        </w:rPr>
        <w:t xml:space="preserve"> and are</w:t>
      </w:r>
      <w:r w:rsidR="00DA275B">
        <w:rPr>
          <w:rFonts w:ascii="Times New Roman" w:hAnsi="Times New Roman" w:cs="Times New Roman"/>
          <w:sz w:val="24"/>
          <w:szCs w:val="24"/>
        </w:rPr>
        <w:t>,</w:t>
      </w:r>
      <w:r w:rsidRPr="00AD5F12">
        <w:rPr>
          <w:rFonts w:ascii="Times New Roman" w:hAnsi="Times New Roman" w:cs="Times New Roman"/>
          <w:sz w:val="24"/>
          <w:szCs w:val="24"/>
        </w:rPr>
        <w:t xml:space="preserve"> therefore</w:t>
      </w:r>
      <w:r w:rsidR="00DA275B">
        <w:rPr>
          <w:rFonts w:ascii="Times New Roman" w:hAnsi="Times New Roman" w:cs="Times New Roman"/>
          <w:sz w:val="24"/>
          <w:szCs w:val="24"/>
        </w:rPr>
        <w:t>,</w:t>
      </w:r>
      <w:r w:rsidRPr="00AD5F12">
        <w:rPr>
          <w:rFonts w:ascii="Times New Roman" w:hAnsi="Times New Roman" w:cs="Times New Roman"/>
          <w:sz w:val="24"/>
          <w:szCs w:val="24"/>
        </w:rPr>
        <w:t xml:space="preserve"> left to the discretion of each </w:t>
      </w:r>
      <w:r>
        <w:rPr>
          <w:rFonts w:ascii="Times New Roman" w:hAnsi="Times New Roman" w:cs="Times New Roman"/>
          <w:sz w:val="24"/>
          <w:szCs w:val="24"/>
        </w:rPr>
        <w:t>respondent</w:t>
      </w:r>
      <w:r w:rsidRPr="00AD5F12">
        <w:rPr>
          <w:rFonts w:ascii="Times New Roman" w:hAnsi="Times New Roman" w:cs="Times New Roman"/>
          <w:sz w:val="24"/>
          <w:szCs w:val="24"/>
        </w:rPr>
        <w:t xml:space="preserve">.  </w:t>
      </w:r>
    </w:p>
    <w:p w14:paraId="73C4DFC3" w14:textId="77777777" w:rsidR="00B51356" w:rsidRPr="00EB3E6F" w:rsidRDefault="00B51356" w:rsidP="00EB3E6F">
      <w:pPr>
        <w:spacing w:after="0"/>
        <w:rPr>
          <w:rFonts w:ascii="Times New Roman" w:hAnsi="Times New Roman" w:cs="Times New Roman"/>
          <w:sz w:val="24"/>
          <w:szCs w:val="24"/>
        </w:rPr>
      </w:pPr>
    </w:p>
    <w:p w14:paraId="73C4DFC4" w14:textId="0687B141"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811F36">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73C4DFC5" w14:textId="77777777" w:rsidR="00EB3E6F" w:rsidRDefault="00EB3E6F" w:rsidP="00EB3E6F">
      <w:pPr>
        <w:spacing w:after="0"/>
        <w:rPr>
          <w:rFonts w:ascii="Times New Roman" w:hAnsi="Times New Roman" w:cs="Times New Roman"/>
          <w:sz w:val="24"/>
          <w:szCs w:val="24"/>
        </w:rPr>
      </w:pPr>
    </w:p>
    <w:p w14:paraId="73C4DFC6" w14:textId="64BB45BE" w:rsidR="00EB3E6F" w:rsidRDefault="005506B5" w:rsidP="00571C5E">
      <w:pPr>
        <w:spacing w:after="0"/>
        <w:rPr>
          <w:rFonts w:ascii="Times New Roman" w:hAnsi="Times New Roman" w:cs="Times New Roman"/>
          <w:sz w:val="24"/>
          <w:szCs w:val="24"/>
        </w:rPr>
      </w:pPr>
      <w:r>
        <w:rPr>
          <w:rFonts w:ascii="Times New Roman" w:hAnsi="Times New Roman" w:cs="Times New Roman"/>
          <w:sz w:val="24"/>
          <w:szCs w:val="24"/>
        </w:rPr>
        <w:t>The Commission periodically reviews filing requirements concurrent with OMB review or as the Commission deems nec</w:t>
      </w:r>
      <w:r w:rsidR="001178C8">
        <w:rPr>
          <w:rFonts w:ascii="Times New Roman" w:hAnsi="Times New Roman" w:cs="Times New Roman"/>
          <w:sz w:val="24"/>
          <w:szCs w:val="24"/>
        </w:rPr>
        <w:t xml:space="preserve">essary to eliminate duplicative filing and to minimize the filing burden.  </w:t>
      </w:r>
      <w:r w:rsidR="00325A82">
        <w:rPr>
          <w:rFonts w:ascii="Times New Roman" w:hAnsi="Times New Roman" w:cs="Times New Roman"/>
          <w:sz w:val="24"/>
          <w:szCs w:val="24"/>
        </w:rPr>
        <w:t xml:space="preserve">Under this proceeding, the </w:t>
      </w:r>
      <w:r w:rsidR="00325A82" w:rsidRPr="00325A82">
        <w:rPr>
          <w:rFonts w:ascii="Times New Roman" w:hAnsi="Times New Roman" w:cs="Times New Roman"/>
          <w:sz w:val="24"/>
          <w:szCs w:val="24"/>
        </w:rPr>
        <w:t>Reliability Standard</w:t>
      </w:r>
      <w:r w:rsidR="009E6FC9">
        <w:rPr>
          <w:rFonts w:ascii="Times New Roman" w:hAnsi="Times New Roman" w:cs="Times New Roman"/>
          <w:sz w:val="24"/>
          <w:szCs w:val="24"/>
        </w:rPr>
        <w:t xml:space="preserve"> BAL-001-TRE-1 is</w:t>
      </w:r>
      <w:r w:rsidR="00EE569C">
        <w:rPr>
          <w:rFonts w:ascii="Times New Roman" w:hAnsi="Times New Roman" w:cs="Times New Roman"/>
          <w:sz w:val="24"/>
          <w:szCs w:val="24"/>
        </w:rPr>
        <w:t xml:space="preserve"> new</w:t>
      </w:r>
      <w:r w:rsidR="009E6FC9">
        <w:rPr>
          <w:rFonts w:ascii="Times New Roman" w:hAnsi="Times New Roman" w:cs="Times New Roman"/>
          <w:sz w:val="24"/>
          <w:szCs w:val="24"/>
        </w:rPr>
        <w:t xml:space="preserve"> and does not duplicate any other collections.</w:t>
      </w:r>
    </w:p>
    <w:p w14:paraId="73C4DFC7" w14:textId="77777777" w:rsidR="001178C8" w:rsidRDefault="001178C8" w:rsidP="00571C5E">
      <w:pPr>
        <w:spacing w:after="0"/>
        <w:rPr>
          <w:rFonts w:ascii="Times New Roman" w:hAnsi="Times New Roman" w:cs="Times New Roman"/>
          <w:sz w:val="24"/>
          <w:szCs w:val="24"/>
        </w:rPr>
      </w:pPr>
    </w:p>
    <w:p w14:paraId="73C4DFC8" w14:textId="77777777" w:rsidR="001178C8" w:rsidRDefault="001178C8" w:rsidP="00571C5E">
      <w:pPr>
        <w:spacing w:after="0"/>
        <w:rPr>
          <w:rFonts w:ascii="Times New Roman" w:hAnsi="Times New Roman" w:cs="Times New Roman"/>
          <w:sz w:val="24"/>
          <w:szCs w:val="24"/>
        </w:rPr>
      </w:pPr>
      <w:r>
        <w:rPr>
          <w:rFonts w:ascii="Times New Roman" w:hAnsi="Times New Roman" w:cs="Times New Roman"/>
          <w:sz w:val="24"/>
          <w:szCs w:val="24"/>
        </w:rPr>
        <w:t>The Commission is unaware of any other source of information similar to the additional requirements.</w:t>
      </w:r>
    </w:p>
    <w:p w14:paraId="73C4DFC9" w14:textId="77777777" w:rsidR="00EB3E6F" w:rsidRPr="00EB3E6F" w:rsidRDefault="00EB3E6F" w:rsidP="00EB3E6F">
      <w:pPr>
        <w:spacing w:after="0"/>
        <w:rPr>
          <w:rFonts w:ascii="Times New Roman" w:hAnsi="Times New Roman" w:cs="Times New Roman"/>
          <w:sz w:val="24"/>
          <w:szCs w:val="24"/>
        </w:rPr>
      </w:pPr>
    </w:p>
    <w:p w14:paraId="73C4DFCA"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73C4DFCB" w14:textId="77777777" w:rsidR="00EB3E6F" w:rsidRDefault="00EB3E6F" w:rsidP="00EB3E6F">
      <w:pPr>
        <w:spacing w:after="0"/>
        <w:rPr>
          <w:rFonts w:ascii="Times New Roman" w:hAnsi="Times New Roman" w:cs="Times New Roman"/>
          <w:sz w:val="24"/>
          <w:szCs w:val="24"/>
        </w:rPr>
      </w:pPr>
    </w:p>
    <w:p w14:paraId="73C4DFCC" w14:textId="1D0ADA2D" w:rsidR="003E0FDF" w:rsidRPr="00E16E70" w:rsidRDefault="003E0FDF" w:rsidP="003E0FDF">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 xml:space="preserve">Small entities </w:t>
      </w:r>
      <w:r w:rsidR="00372A4C">
        <w:rPr>
          <w:rFonts w:ascii="Times New Roman" w:hAnsi="Times New Roman" w:cs="Times New Roman"/>
          <w:sz w:val="24"/>
          <w:szCs w:val="24"/>
        </w:rPr>
        <w:t>should expect</w:t>
      </w:r>
      <w:r w:rsidRPr="00E16E70">
        <w:rPr>
          <w:rFonts w:ascii="Times New Roman" w:hAnsi="Times New Roman" w:cs="Times New Roman"/>
          <w:sz w:val="24"/>
          <w:szCs w:val="24"/>
        </w:rPr>
        <w:t xml:space="preserve"> to see a </w:t>
      </w:r>
      <w:r w:rsidR="00FD716E">
        <w:rPr>
          <w:rFonts w:ascii="Times New Roman" w:hAnsi="Times New Roman" w:cs="Times New Roman"/>
          <w:sz w:val="24"/>
          <w:szCs w:val="24"/>
        </w:rPr>
        <w:t xml:space="preserve">very </w:t>
      </w:r>
      <w:r w:rsidRPr="00E16E70">
        <w:rPr>
          <w:rFonts w:ascii="Times New Roman" w:hAnsi="Times New Roman" w:cs="Times New Roman"/>
          <w:sz w:val="24"/>
          <w:szCs w:val="24"/>
        </w:rPr>
        <w:t>small</w:t>
      </w:r>
      <w:r w:rsidR="00FD716E">
        <w:rPr>
          <w:rFonts w:ascii="Times New Roman" w:hAnsi="Times New Roman" w:cs="Times New Roman"/>
          <w:sz w:val="24"/>
          <w:szCs w:val="24"/>
        </w:rPr>
        <w:t xml:space="preserve"> burden</w:t>
      </w:r>
      <w:r w:rsidRPr="00E16E70">
        <w:rPr>
          <w:rFonts w:ascii="Times New Roman" w:hAnsi="Times New Roman" w:cs="Times New Roman"/>
          <w:sz w:val="24"/>
          <w:szCs w:val="24"/>
        </w:rPr>
        <w:t xml:space="preserve"> increase</w:t>
      </w:r>
      <w:r w:rsidR="00FD716E">
        <w:rPr>
          <w:rFonts w:ascii="Times New Roman" w:hAnsi="Times New Roman" w:cs="Times New Roman"/>
          <w:sz w:val="24"/>
          <w:szCs w:val="24"/>
        </w:rPr>
        <w:t xml:space="preserve"> </w:t>
      </w:r>
      <w:r w:rsidRPr="00E16E70">
        <w:rPr>
          <w:rFonts w:ascii="Times New Roman" w:hAnsi="Times New Roman" w:cs="Times New Roman"/>
          <w:sz w:val="24"/>
          <w:szCs w:val="24"/>
        </w:rPr>
        <w:t xml:space="preserve">due to the </w:t>
      </w:r>
      <w:r w:rsidR="00FD716E">
        <w:rPr>
          <w:rFonts w:ascii="Times New Roman" w:hAnsi="Times New Roman" w:cs="Times New Roman"/>
          <w:sz w:val="24"/>
          <w:szCs w:val="24"/>
        </w:rPr>
        <w:t xml:space="preserve">information collection </w:t>
      </w:r>
      <w:r w:rsidRPr="00E16E70">
        <w:rPr>
          <w:rFonts w:ascii="Times New Roman" w:hAnsi="Times New Roman" w:cs="Times New Roman"/>
          <w:sz w:val="24"/>
          <w:szCs w:val="24"/>
        </w:rPr>
        <w:t xml:space="preserve">requirements in the </w:t>
      </w:r>
      <w:r w:rsidR="00FD716E">
        <w:rPr>
          <w:rFonts w:ascii="Times New Roman" w:hAnsi="Times New Roman" w:cs="Times New Roman"/>
          <w:sz w:val="24"/>
          <w:szCs w:val="24"/>
        </w:rPr>
        <w:t>new Reliability Standard</w:t>
      </w:r>
      <w:r w:rsidRPr="00E16E70">
        <w:rPr>
          <w:rFonts w:ascii="Times New Roman" w:hAnsi="Times New Roman" w:cs="Times New Roman"/>
          <w:sz w:val="24"/>
          <w:szCs w:val="24"/>
        </w:rPr>
        <w:t xml:space="preserve">.   </w:t>
      </w:r>
    </w:p>
    <w:p w14:paraId="73C4DFCD" w14:textId="77777777" w:rsidR="003E0FDF" w:rsidRDefault="003E0FDF" w:rsidP="00571C5E">
      <w:pPr>
        <w:spacing w:after="0"/>
        <w:rPr>
          <w:rFonts w:ascii="Times New Roman" w:hAnsi="Times New Roman" w:cs="Times New Roman"/>
          <w:sz w:val="24"/>
          <w:szCs w:val="24"/>
        </w:rPr>
      </w:pPr>
    </w:p>
    <w:p w14:paraId="73C4DFCE" w14:textId="7D7EAFC6" w:rsidR="00CE3F27" w:rsidRDefault="00445971" w:rsidP="00571C5E">
      <w:pPr>
        <w:spacing w:after="0"/>
        <w:rPr>
          <w:rFonts w:ascii="Times New Roman" w:hAnsi="Times New Roman" w:cs="Times New Roman"/>
          <w:sz w:val="24"/>
          <w:szCs w:val="24"/>
        </w:rPr>
      </w:pPr>
      <w:r w:rsidRPr="00E16E70">
        <w:rPr>
          <w:rFonts w:ascii="Times New Roman" w:hAnsi="Times New Roman" w:cs="Times New Roman"/>
          <w:sz w:val="24"/>
          <w:szCs w:val="24"/>
        </w:rPr>
        <w:t>In general, small entities may reduce their burden by taking part in a joint registration organization or a coordinated functional registration.  These options allow an entity to share its compliance burden with other entities.</w:t>
      </w:r>
      <w:r w:rsidR="00CE3F27">
        <w:rPr>
          <w:rFonts w:ascii="Times New Roman" w:hAnsi="Times New Roman" w:cs="Times New Roman"/>
          <w:sz w:val="24"/>
          <w:szCs w:val="24"/>
        </w:rPr>
        <w:t xml:space="preserve">  </w:t>
      </w:r>
      <w:r w:rsidR="00083E1C">
        <w:rPr>
          <w:rFonts w:ascii="Times New Roman" w:hAnsi="Times New Roman" w:cs="Times New Roman"/>
          <w:sz w:val="24"/>
          <w:szCs w:val="24"/>
        </w:rPr>
        <w:t xml:space="preserve"> </w:t>
      </w:r>
    </w:p>
    <w:p w14:paraId="73C4DFCF" w14:textId="77777777" w:rsidR="00EB3E6F" w:rsidRPr="00EB3E6F" w:rsidRDefault="00EB3E6F" w:rsidP="00EB3E6F">
      <w:pPr>
        <w:spacing w:after="0"/>
        <w:rPr>
          <w:rFonts w:ascii="Times New Roman" w:hAnsi="Times New Roman" w:cs="Times New Roman"/>
          <w:sz w:val="24"/>
          <w:szCs w:val="24"/>
        </w:rPr>
      </w:pPr>
    </w:p>
    <w:p w14:paraId="73C4DFD0"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CONSEQUENCE TO FEDERAL PROGRAM IF COLLECTION WERE CONDUCTED LESS FREQUENTLY</w:t>
      </w:r>
    </w:p>
    <w:p w14:paraId="73C4DFD1" w14:textId="77777777" w:rsidR="00EB3E6F" w:rsidRDefault="00EB3E6F" w:rsidP="00EB3E6F">
      <w:pPr>
        <w:spacing w:after="0"/>
        <w:rPr>
          <w:rFonts w:ascii="Times New Roman" w:hAnsi="Times New Roman" w:cs="Times New Roman"/>
          <w:sz w:val="24"/>
          <w:szCs w:val="24"/>
        </w:rPr>
      </w:pPr>
    </w:p>
    <w:p w14:paraId="6FC8AE40" w14:textId="43FCE661" w:rsidR="00C531C4" w:rsidRDefault="00C531C4" w:rsidP="00EB3E6F">
      <w:pPr>
        <w:spacing w:after="0"/>
        <w:rPr>
          <w:rFonts w:ascii="Times New Roman" w:hAnsi="Times New Roman" w:cs="Times New Roman"/>
          <w:sz w:val="24"/>
          <w:szCs w:val="24"/>
        </w:rPr>
      </w:pPr>
      <w:r>
        <w:rPr>
          <w:rFonts w:ascii="Times New Roman" w:hAnsi="Times New Roman" w:cs="Times New Roman"/>
          <w:sz w:val="24"/>
          <w:szCs w:val="24"/>
        </w:rPr>
        <w:t>The purpose of BAL-001-TRE-01 is to establish and maintain adequate frequency response in the ERCOT region.  If the frequency in a system gets out of balance it can lead to load shedding and blackouts.  The information collection requirements help ensure adequate levels of frequency response.  The frequency of the requirements was vetted and approved by industry consensus in the NERC standard development process.</w:t>
      </w:r>
      <w:r w:rsidR="00085D08">
        <w:rPr>
          <w:rFonts w:ascii="Times New Roman" w:hAnsi="Times New Roman" w:cs="Times New Roman"/>
          <w:sz w:val="24"/>
          <w:szCs w:val="24"/>
        </w:rPr>
        <w:t xml:space="preserve">  Reduced frequency would likely lead to increased risk of load shedding and blackout.</w:t>
      </w:r>
      <w:r>
        <w:rPr>
          <w:rFonts w:ascii="Times New Roman" w:hAnsi="Times New Roman" w:cs="Times New Roman"/>
          <w:sz w:val="24"/>
          <w:szCs w:val="24"/>
        </w:rPr>
        <w:t xml:space="preserve">  </w:t>
      </w:r>
    </w:p>
    <w:p w14:paraId="73C4DFD3" w14:textId="77777777" w:rsidR="0085599C" w:rsidRPr="00EB3E6F" w:rsidRDefault="0085599C" w:rsidP="00EB3E6F">
      <w:pPr>
        <w:spacing w:after="0"/>
        <w:rPr>
          <w:rFonts w:ascii="Times New Roman" w:hAnsi="Times New Roman" w:cs="Times New Roman"/>
          <w:sz w:val="24"/>
          <w:szCs w:val="24"/>
        </w:rPr>
      </w:pPr>
    </w:p>
    <w:p w14:paraId="73C4DFD4"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73C4DFD5" w14:textId="77777777" w:rsidR="00EB3E6F" w:rsidRDefault="00EB3E6F" w:rsidP="00EB3E6F">
      <w:pPr>
        <w:spacing w:after="0"/>
        <w:rPr>
          <w:rFonts w:ascii="Times New Roman" w:hAnsi="Times New Roman" w:cs="Times New Roman"/>
          <w:sz w:val="24"/>
          <w:szCs w:val="24"/>
        </w:rPr>
      </w:pPr>
    </w:p>
    <w:p w14:paraId="73C4DFDA" w14:textId="0D8ADBA6" w:rsidR="00370748" w:rsidRDefault="00085D08" w:rsidP="00085D08">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related to the information collection.</w:t>
      </w:r>
      <w:r w:rsidR="005D170E">
        <w:rPr>
          <w:rFonts w:ascii="Times New Roman" w:hAnsi="Times New Roman" w:cs="Times New Roman"/>
          <w:sz w:val="24"/>
          <w:szCs w:val="24"/>
        </w:rPr>
        <w:t xml:space="preserve">   </w:t>
      </w:r>
    </w:p>
    <w:p w14:paraId="73C4E00A" w14:textId="77777777" w:rsidR="00512DF0" w:rsidRPr="00EB3E6F" w:rsidRDefault="00512DF0" w:rsidP="00EB3E6F">
      <w:pPr>
        <w:spacing w:after="0"/>
        <w:rPr>
          <w:rFonts w:ascii="Times New Roman" w:hAnsi="Times New Roman" w:cs="Times New Roman"/>
          <w:sz w:val="24"/>
          <w:szCs w:val="24"/>
        </w:rPr>
      </w:pPr>
    </w:p>
    <w:p w14:paraId="73C4E00B"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73C4E00C" w14:textId="77777777" w:rsidR="00EB3E6F" w:rsidRDefault="00EB3E6F" w:rsidP="00EB3E6F">
      <w:pPr>
        <w:spacing w:after="0"/>
        <w:rPr>
          <w:rFonts w:ascii="Times New Roman" w:hAnsi="Times New Roman" w:cs="Times New Roman"/>
          <w:sz w:val="24"/>
          <w:szCs w:val="24"/>
        </w:rPr>
      </w:pPr>
    </w:p>
    <w:p w14:paraId="73C4E00D" w14:textId="77777777" w:rsidR="00F12DC2" w:rsidRDefault="00EE41E5" w:rsidP="00EE41E5">
      <w:pPr>
        <w:spacing w:after="0"/>
        <w:rPr>
          <w:rFonts w:ascii="Times New Roman" w:hAnsi="Times New Roman" w:cs="Times New Roman"/>
          <w:sz w:val="24"/>
          <w:szCs w:val="24"/>
        </w:rPr>
      </w:pPr>
      <w:r>
        <w:rPr>
          <w:rFonts w:ascii="Times New Roman" w:hAnsi="Times New Roman" w:cs="Times New Roman"/>
          <w:sz w:val="24"/>
          <w:szCs w:val="24"/>
        </w:rPr>
        <w:t xml:space="preserve">The ERO, Regional Entities, and others work within a collaborative process to </w:t>
      </w:r>
      <w:r w:rsidR="00800EAC">
        <w:rPr>
          <w:rFonts w:ascii="Times New Roman" w:hAnsi="Times New Roman" w:cs="Times New Roman"/>
          <w:sz w:val="24"/>
          <w:szCs w:val="24"/>
        </w:rPr>
        <w:t>establish</w:t>
      </w:r>
      <w:r>
        <w:rPr>
          <w:rFonts w:ascii="Times New Roman" w:hAnsi="Times New Roman" w:cs="Times New Roman"/>
          <w:sz w:val="24"/>
          <w:szCs w:val="24"/>
        </w:rPr>
        <w:t xml:space="preserve"> Reliability Standards by jointly developing/reviewing drafts</w:t>
      </w:r>
      <w:r w:rsidR="00CA6AB0">
        <w:rPr>
          <w:rFonts w:ascii="Times New Roman" w:hAnsi="Times New Roman" w:cs="Times New Roman"/>
          <w:sz w:val="24"/>
          <w:szCs w:val="24"/>
        </w:rPr>
        <w:t>, providing</w:t>
      </w:r>
      <w:r>
        <w:rPr>
          <w:rFonts w:ascii="Times New Roman" w:hAnsi="Times New Roman" w:cs="Times New Roman"/>
          <w:sz w:val="24"/>
          <w:szCs w:val="24"/>
        </w:rPr>
        <w:t xml:space="preserve"> </w:t>
      </w:r>
      <w:r w:rsidR="00800EAC">
        <w:rPr>
          <w:rFonts w:ascii="Times New Roman" w:hAnsi="Times New Roman" w:cs="Times New Roman"/>
          <w:sz w:val="24"/>
          <w:szCs w:val="24"/>
        </w:rPr>
        <w:t xml:space="preserve">responses to </w:t>
      </w:r>
      <w:r>
        <w:rPr>
          <w:rFonts w:ascii="Times New Roman" w:hAnsi="Times New Roman" w:cs="Times New Roman"/>
          <w:sz w:val="24"/>
          <w:szCs w:val="24"/>
        </w:rPr>
        <w:t>comments, and submitting to FERC a final proposed</w:t>
      </w:r>
      <w:r w:rsidR="00CA6AB0">
        <w:rPr>
          <w:rFonts w:ascii="Times New Roman" w:hAnsi="Times New Roman" w:cs="Times New Roman"/>
          <w:sz w:val="24"/>
          <w:szCs w:val="24"/>
        </w:rPr>
        <w:t xml:space="preserve"> standard for review</w:t>
      </w:r>
      <w:r w:rsidR="00800EAC">
        <w:rPr>
          <w:rFonts w:ascii="Times New Roman" w:hAnsi="Times New Roman" w:cs="Times New Roman"/>
          <w:sz w:val="24"/>
          <w:szCs w:val="24"/>
        </w:rPr>
        <w:t xml:space="preserve"> and subsequent approval</w:t>
      </w:r>
      <w:r w:rsidR="00CA6AB0">
        <w:rPr>
          <w:rFonts w:ascii="Times New Roman" w:hAnsi="Times New Roman" w:cs="Times New Roman"/>
          <w:sz w:val="24"/>
          <w:szCs w:val="24"/>
        </w:rPr>
        <w:t>.</w:t>
      </w:r>
    </w:p>
    <w:p w14:paraId="73C4E00E" w14:textId="77777777" w:rsidR="003F3F4A" w:rsidRDefault="003F3F4A" w:rsidP="00EE41E5">
      <w:pPr>
        <w:spacing w:after="0"/>
        <w:rPr>
          <w:rFonts w:ascii="Times New Roman" w:hAnsi="Times New Roman" w:cs="Times New Roman"/>
          <w:sz w:val="24"/>
          <w:szCs w:val="24"/>
        </w:rPr>
      </w:pPr>
    </w:p>
    <w:p w14:paraId="49E24753" w14:textId="09EFEE66" w:rsidR="008B3249" w:rsidRDefault="00CA6AB0" w:rsidP="00EE41E5">
      <w:pPr>
        <w:spacing w:after="0"/>
        <w:rPr>
          <w:rFonts w:ascii="Times New Roman" w:hAnsi="Times New Roman" w:cs="Times New Roman"/>
          <w:sz w:val="24"/>
          <w:szCs w:val="24"/>
        </w:rPr>
      </w:pPr>
      <w:r>
        <w:rPr>
          <w:rFonts w:ascii="Times New Roman" w:hAnsi="Times New Roman" w:cs="Times New Roman"/>
          <w:sz w:val="24"/>
          <w:szCs w:val="24"/>
        </w:rPr>
        <w:t xml:space="preserve">The Commission published </w:t>
      </w:r>
      <w:r w:rsidR="008B3249">
        <w:rPr>
          <w:rFonts w:ascii="Times New Roman" w:hAnsi="Times New Roman" w:cs="Times New Roman"/>
          <w:sz w:val="24"/>
          <w:szCs w:val="24"/>
        </w:rPr>
        <w:t>an order approving the regional Reliability Standard on February 10, 2014.  In that order the Commission invited comments on the information collection requirements and the associated burden estimates</w:t>
      </w:r>
      <w:r w:rsidR="008B3249" w:rsidRPr="00B71419">
        <w:rPr>
          <w:rFonts w:ascii="Times New Roman" w:hAnsi="Times New Roman" w:cs="Times New Roman"/>
          <w:sz w:val="24"/>
          <w:szCs w:val="24"/>
        </w:rPr>
        <w:t>.  The Commission did not receive any comments.</w:t>
      </w:r>
      <w:r w:rsidR="008B3249">
        <w:rPr>
          <w:rFonts w:ascii="Times New Roman" w:hAnsi="Times New Roman" w:cs="Times New Roman"/>
          <w:sz w:val="24"/>
          <w:szCs w:val="24"/>
        </w:rPr>
        <w:t xml:space="preserve">  </w:t>
      </w:r>
    </w:p>
    <w:p w14:paraId="3DAC891A" w14:textId="77777777" w:rsidR="00DB7AA6" w:rsidRPr="00EB3E6F" w:rsidRDefault="00DB7AA6" w:rsidP="00EB3E6F">
      <w:pPr>
        <w:spacing w:after="0"/>
        <w:rPr>
          <w:rFonts w:ascii="Times New Roman" w:hAnsi="Times New Roman" w:cs="Times New Roman"/>
          <w:sz w:val="24"/>
          <w:szCs w:val="24"/>
        </w:rPr>
      </w:pPr>
    </w:p>
    <w:p w14:paraId="73C4E014"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73C4E015" w14:textId="77777777" w:rsidR="00D80FBD" w:rsidRDefault="00D80FBD" w:rsidP="00D80FBD">
      <w:pPr>
        <w:spacing w:after="0"/>
        <w:rPr>
          <w:rFonts w:ascii="Times New Roman" w:hAnsi="Times New Roman" w:cs="Times New Roman"/>
          <w:sz w:val="24"/>
          <w:szCs w:val="24"/>
        </w:rPr>
      </w:pPr>
    </w:p>
    <w:p w14:paraId="73C4E016" w14:textId="77777777" w:rsidR="00D80FBD" w:rsidRDefault="00CA6AB0" w:rsidP="00F12DC2">
      <w:pPr>
        <w:spacing w:after="0"/>
        <w:rPr>
          <w:rFonts w:ascii="Times New Roman" w:hAnsi="Times New Roman" w:cs="Times New Roman"/>
          <w:sz w:val="24"/>
          <w:szCs w:val="24"/>
        </w:rPr>
      </w:pPr>
      <w:r>
        <w:rPr>
          <w:rFonts w:ascii="Times New Roman" w:hAnsi="Times New Roman" w:cs="Times New Roman"/>
          <w:sz w:val="24"/>
          <w:szCs w:val="24"/>
        </w:rPr>
        <w:t xml:space="preserve">There are </w:t>
      </w:r>
      <w:r w:rsidR="00053E63">
        <w:rPr>
          <w:rFonts w:ascii="Times New Roman" w:hAnsi="Times New Roman" w:cs="Times New Roman"/>
          <w:sz w:val="24"/>
          <w:szCs w:val="24"/>
        </w:rPr>
        <w:t>no payments or gifts to the</w:t>
      </w:r>
      <w:r>
        <w:rPr>
          <w:rFonts w:ascii="Times New Roman" w:hAnsi="Times New Roman" w:cs="Times New Roman"/>
          <w:sz w:val="24"/>
          <w:szCs w:val="24"/>
        </w:rPr>
        <w:t xml:space="preserve"> respondents.</w:t>
      </w:r>
    </w:p>
    <w:p w14:paraId="73C4E017" w14:textId="77777777" w:rsidR="00B31749" w:rsidRPr="00D80FBD" w:rsidRDefault="00B31749" w:rsidP="00D80FBD">
      <w:pPr>
        <w:spacing w:after="0"/>
        <w:rPr>
          <w:rFonts w:ascii="Times New Roman" w:hAnsi="Times New Roman" w:cs="Times New Roman"/>
          <w:sz w:val="24"/>
          <w:szCs w:val="24"/>
        </w:rPr>
      </w:pPr>
    </w:p>
    <w:p w14:paraId="73C4E018"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73C4E019" w14:textId="77777777" w:rsidR="00D80FBD" w:rsidRDefault="00D80FBD" w:rsidP="00D80FBD">
      <w:pPr>
        <w:spacing w:after="0"/>
        <w:rPr>
          <w:rFonts w:ascii="Times New Roman" w:hAnsi="Times New Roman" w:cs="Times New Roman"/>
          <w:sz w:val="24"/>
          <w:szCs w:val="24"/>
        </w:rPr>
      </w:pPr>
    </w:p>
    <w:p w14:paraId="73C4E01A" w14:textId="77777777" w:rsidR="003F3124" w:rsidRDefault="003F3124" w:rsidP="00D80FBD">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 of Procedure</w:t>
      </w:r>
      <w:r w:rsidRPr="001507E4">
        <w:rPr>
          <w:rStyle w:val="FootnoteReference"/>
          <w:rFonts w:ascii="Times New Roman" w:hAnsi="Times New Roman" w:cs="Times New Roman"/>
          <w:sz w:val="24"/>
          <w:szCs w:val="24"/>
          <w:vertAlign w:val="superscript"/>
        </w:rPr>
        <w:footnoteReference w:id="10"/>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73C4E01B" w14:textId="77777777" w:rsidR="00EF58A5" w:rsidRDefault="00EF58A5" w:rsidP="00D80FBD">
      <w:pPr>
        <w:spacing w:after="0"/>
        <w:rPr>
          <w:rFonts w:ascii="Times New Roman" w:hAnsi="Times New Roman" w:cs="Times New Roman"/>
          <w:sz w:val="24"/>
          <w:szCs w:val="24"/>
        </w:rPr>
      </w:pPr>
    </w:p>
    <w:p w14:paraId="73C4E01E" w14:textId="05416483" w:rsidR="00B31749" w:rsidRDefault="00EF58A5" w:rsidP="00D80FBD">
      <w:pPr>
        <w:spacing w:after="0"/>
        <w:rPr>
          <w:rFonts w:ascii="Times New Roman" w:hAnsi="Times New Roman" w:cs="Times New Roman"/>
          <w:sz w:val="24"/>
          <w:szCs w:val="24"/>
        </w:rPr>
      </w:pPr>
      <w:r>
        <w:rPr>
          <w:rFonts w:ascii="Times New Roman" w:hAnsi="Times New Roman" w:cs="Times New Roman"/>
          <w:sz w:val="24"/>
          <w:szCs w:val="24"/>
        </w:rPr>
        <w:t>Responding entities do not submit the information collected due to the Reliability Standards to FERC.  Rather, they submit the information to NERC</w:t>
      </w:r>
      <w:r w:rsidR="00623354">
        <w:rPr>
          <w:rFonts w:ascii="Times New Roman" w:hAnsi="Times New Roman" w:cs="Times New Roman"/>
          <w:sz w:val="24"/>
          <w:szCs w:val="24"/>
        </w:rPr>
        <w:t>, the regions,</w:t>
      </w:r>
      <w:r>
        <w:rPr>
          <w:rFonts w:ascii="Times New Roman" w:hAnsi="Times New Roman" w:cs="Times New Roman"/>
          <w:sz w:val="24"/>
          <w:szCs w:val="24"/>
        </w:rPr>
        <w:t xml:space="preserve"> or maintain it internally.  Since there are no submissions made to FERC, FERC provides no specific provisions in ord</w:t>
      </w:r>
      <w:r w:rsidR="00623354">
        <w:rPr>
          <w:rFonts w:ascii="Times New Roman" w:hAnsi="Times New Roman" w:cs="Times New Roman"/>
          <w:sz w:val="24"/>
          <w:szCs w:val="24"/>
        </w:rPr>
        <w:t xml:space="preserve">er to protect confidentiality. </w:t>
      </w:r>
    </w:p>
    <w:p w14:paraId="73C4E01F" w14:textId="77777777" w:rsidR="003E0FDF" w:rsidRPr="00D80FBD" w:rsidRDefault="003E0FDF" w:rsidP="00D80FBD">
      <w:pPr>
        <w:spacing w:after="0"/>
        <w:rPr>
          <w:rFonts w:ascii="Times New Roman" w:hAnsi="Times New Roman" w:cs="Times New Roman"/>
          <w:sz w:val="24"/>
          <w:szCs w:val="24"/>
        </w:rPr>
      </w:pPr>
    </w:p>
    <w:p w14:paraId="73C4E020"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14:paraId="73C4E021" w14:textId="77777777" w:rsidR="00D80FBD" w:rsidRDefault="00D80FBD" w:rsidP="00D80FBD">
      <w:pPr>
        <w:spacing w:after="0"/>
        <w:rPr>
          <w:rFonts w:ascii="Times New Roman" w:hAnsi="Times New Roman" w:cs="Times New Roman"/>
          <w:sz w:val="24"/>
          <w:szCs w:val="24"/>
        </w:rPr>
      </w:pPr>
    </w:p>
    <w:p w14:paraId="73C4E022" w14:textId="77777777" w:rsidR="00B31749" w:rsidRPr="00B31749" w:rsidRDefault="003E0FDF" w:rsidP="00053E63">
      <w:pPr>
        <w:spacing w:after="0"/>
        <w:rPr>
          <w:rFonts w:ascii="Times New Roman" w:hAnsi="Times New Roman" w:cs="Times New Roman"/>
          <w:b/>
          <w:bCs/>
          <w:sz w:val="24"/>
          <w:szCs w:val="24"/>
        </w:rPr>
      </w:pPr>
      <w:r>
        <w:rPr>
          <w:rFonts w:ascii="Times New Roman" w:hAnsi="Times New Roman" w:cs="Times New Roman"/>
          <w:sz w:val="24"/>
          <w:szCs w:val="24"/>
        </w:rPr>
        <w:t xml:space="preserve">This collection does not include any questions of </w:t>
      </w:r>
      <w:r w:rsidR="00F32089">
        <w:rPr>
          <w:rFonts w:ascii="Times New Roman" w:hAnsi="Times New Roman" w:cs="Times New Roman"/>
          <w:sz w:val="24"/>
          <w:szCs w:val="24"/>
        </w:rPr>
        <w:t xml:space="preserve">a </w:t>
      </w:r>
      <w:r>
        <w:rPr>
          <w:rFonts w:ascii="Times New Roman" w:hAnsi="Times New Roman" w:cs="Times New Roman"/>
          <w:sz w:val="24"/>
          <w:szCs w:val="24"/>
        </w:rPr>
        <w:t>sensitive nature.</w:t>
      </w:r>
    </w:p>
    <w:p w14:paraId="73C4E023" w14:textId="77777777" w:rsidR="00B31749" w:rsidRPr="00D80FBD" w:rsidRDefault="00B31749" w:rsidP="00D80FBD">
      <w:pPr>
        <w:spacing w:after="0"/>
        <w:rPr>
          <w:rFonts w:ascii="Times New Roman" w:hAnsi="Times New Roman" w:cs="Times New Roman"/>
          <w:sz w:val="24"/>
          <w:szCs w:val="24"/>
        </w:rPr>
      </w:pPr>
    </w:p>
    <w:p w14:paraId="73C4E02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73C4E025" w14:textId="77777777" w:rsidR="00F400D7" w:rsidRDefault="00F400D7" w:rsidP="00D80FBD">
      <w:pPr>
        <w:spacing w:after="0"/>
        <w:rPr>
          <w:rFonts w:ascii="Times New Roman" w:hAnsi="Times New Roman" w:cs="Times New Roman"/>
          <w:sz w:val="24"/>
          <w:szCs w:val="24"/>
        </w:rPr>
      </w:pPr>
    </w:p>
    <w:p w14:paraId="3D87C942" w14:textId="77777777" w:rsidR="008B3249" w:rsidRPr="008B3249" w:rsidRDefault="008B3249" w:rsidP="008B3249">
      <w:pPr>
        <w:spacing w:after="0"/>
        <w:rPr>
          <w:rFonts w:ascii="Times New Roman" w:hAnsi="Times New Roman" w:cs="Times New Roman"/>
          <w:sz w:val="24"/>
          <w:szCs w:val="24"/>
        </w:rPr>
      </w:pPr>
      <w:r w:rsidRPr="008B3249">
        <w:rPr>
          <w:rFonts w:ascii="Times New Roman" w:hAnsi="Times New Roman" w:cs="Times New Roman"/>
          <w:sz w:val="24"/>
          <w:szCs w:val="24"/>
        </w:rPr>
        <w:t>Our estimate below regarding the number of respondents is based on the NERC compliance registry as of October 2013.</w:t>
      </w:r>
      <w:r w:rsidRPr="008B3249">
        <w:rPr>
          <w:rFonts w:ascii="Times New Roman" w:hAnsi="Times New Roman" w:cs="Times New Roman"/>
          <w:b/>
          <w:sz w:val="24"/>
          <w:szCs w:val="24"/>
        </w:rPr>
        <w:t xml:space="preserve"> </w:t>
      </w:r>
      <w:r w:rsidRPr="008B3249">
        <w:rPr>
          <w:rFonts w:ascii="Times New Roman" w:hAnsi="Times New Roman" w:cs="Times New Roman"/>
          <w:sz w:val="24"/>
          <w:szCs w:val="24"/>
        </w:rPr>
        <w:t xml:space="preserve"> According to the registry, the ERCOT region includes 40 generator owners, 14 generator operators, 75 generator owners that are also generator operators, and one balancing authority.  Thus, we estimate that a total of 130 entities are potentially subject to the reporting requirements of BAL-001-TRE-01.  </w:t>
      </w:r>
    </w:p>
    <w:p w14:paraId="4919E6C5" w14:textId="77777777" w:rsidR="008B3249" w:rsidRDefault="008B3249" w:rsidP="008B3249">
      <w:pPr>
        <w:spacing w:after="0"/>
        <w:rPr>
          <w:rFonts w:ascii="Times New Roman" w:hAnsi="Times New Roman" w:cs="Times New Roman"/>
          <w:sz w:val="24"/>
          <w:szCs w:val="24"/>
        </w:rPr>
      </w:pPr>
    </w:p>
    <w:p w14:paraId="1D40AE96" w14:textId="77777777" w:rsidR="008B3249" w:rsidRDefault="008B3249" w:rsidP="008B3249">
      <w:pPr>
        <w:spacing w:after="0"/>
        <w:rPr>
          <w:rFonts w:ascii="Times New Roman" w:hAnsi="Times New Roman" w:cs="Times New Roman"/>
          <w:sz w:val="24"/>
          <w:szCs w:val="24"/>
        </w:rPr>
      </w:pPr>
      <w:r w:rsidRPr="008B3249">
        <w:rPr>
          <w:rFonts w:ascii="Times New Roman" w:hAnsi="Times New Roman" w:cs="Times New Roman"/>
          <w:sz w:val="24"/>
          <w:szCs w:val="24"/>
        </w:rPr>
        <w:t>The information collection requirements entail the setting or configuration of the Control System software, identification and recording of events, data retention and submitting a report as outlined in the table below.</w:t>
      </w:r>
    </w:p>
    <w:p w14:paraId="01B6EBE9" w14:textId="77777777" w:rsidR="008B3249" w:rsidRPr="008B3249" w:rsidRDefault="008B3249" w:rsidP="008B3249">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803"/>
        <w:gridCol w:w="1530"/>
        <w:gridCol w:w="1256"/>
        <w:gridCol w:w="1386"/>
        <w:gridCol w:w="1189"/>
      </w:tblGrid>
      <w:tr w:rsidR="008B3249" w:rsidRPr="008B3249" w14:paraId="101295C6" w14:textId="77777777" w:rsidTr="008B3249">
        <w:trPr>
          <w:cantSplit/>
        </w:trPr>
        <w:tc>
          <w:tcPr>
            <w:tcW w:w="1287" w:type="pct"/>
            <w:shd w:val="clear" w:color="auto" w:fill="D9D9D9"/>
            <w:vAlign w:val="bottom"/>
          </w:tcPr>
          <w:p w14:paraId="55768084" w14:textId="77777777" w:rsidR="008B3249" w:rsidRPr="008B3249" w:rsidRDefault="008B3249" w:rsidP="008B3249">
            <w:pPr>
              <w:spacing w:after="0"/>
              <w:jc w:val="center"/>
              <w:rPr>
                <w:rFonts w:ascii="Times New Roman" w:hAnsi="Times New Roman" w:cs="Times New Roman"/>
                <w:b/>
                <w:sz w:val="24"/>
                <w:szCs w:val="24"/>
              </w:rPr>
            </w:pPr>
            <w:r w:rsidRPr="008B3249">
              <w:rPr>
                <w:rFonts w:ascii="Times New Roman" w:hAnsi="Times New Roman" w:cs="Times New Roman"/>
                <w:b/>
                <w:sz w:val="24"/>
                <w:szCs w:val="24"/>
              </w:rPr>
              <w:t>FERC-725T</w:t>
            </w:r>
          </w:p>
        </w:tc>
        <w:tc>
          <w:tcPr>
            <w:tcW w:w="934" w:type="pct"/>
            <w:shd w:val="clear" w:color="auto" w:fill="D9D9D9"/>
            <w:vAlign w:val="bottom"/>
          </w:tcPr>
          <w:p w14:paraId="3E2D217E" w14:textId="77777777" w:rsidR="008B3249" w:rsidRPr="008B3249" w:rsidRDefault="008B3249" w:rsidP="008B3249">
            <w:pPr>
              <w:spacing w:after="0"/>
              <w:jc w:val="center"/>
              <w:rPr>
                <w:rFonts w:ascii="Times New Roman" w:hAnsi="Times New Roman" w:cs="Times New Roman"/>
                <w:b/>
                <w:sz w:val="24"/>
                <w:szCs w:val="24"/>
              </w:rPr>
            </w:pPr>
            <w:r w:rsidRPr="008B3249">
              <w:rPr>
                <w:rFonts w:ascii="Times New Roman" w:hAnsi="Times New Roman" w:cs="Times New Roman"/>
                <w:b/>
                <w:sz w:val="24"/>
                <w:szCs w:val="24"/>
              </w:rPr>
              <w:t>Number of Respondents</w:t>
            </w:r>
            <w:bookmarkStart w:id="1" w:name="_Ref366073937"/>
            <w:r w:rsidRPr="008B3249">
              <w:rPr>
                <w:rFonts w:ascii="Times New Roman" w:hAnsi="Times New Roman" w:cs="Times New Roman"/>
                <w:b/>
                <w:sz w:val="24"/>
                <w:szCs w:val="24"/>
                <w:vertAlign w:val="superscript"/>
              </w:rPr>
              <w:footnoteReference w:id="11"/>
            </w:r>
            <w:bookmarkEnd w:id="1"/>
            <w:r w:rsidRPr="008B3249">
              <w:rPr>
                <w:rFonts w:ascii="Times New Roman" w:hAnsi="Times New Roman" w:cs="Times New Roman"/>
                <w:b/>
                <w:sz w:val="24"/>
                <w:szCs w:val="24"/>
              </w:rPr>
              <w:br/>
              <w:t>(1)</w:t>
            </w:r>
          </w:p>
        </w:tc>
        <w:tc>
          <w:tcPr>
            <w:tcW w:w="793" w:type="pct"/>
            <w:shd w:val="clear" w:color="auto" w:fill="D9D9D9"/>
            <w:vAlign w:val="bottom"/>
          </w:tcPr>
          <w:p w14:paraId="646ABAEF" w14:textId="77777777" w:rsidR="008B3249" w:rsidRPr="008B3249" w:rsidRDefault="008B3249" w:rsidP="008B3249">
            <w:pPr>
              <w:spacing w:after="0"/>
              <w:jc w:val="center"/>
              <w:rPr>
                <w:rFonts w:ascii="Times New Roman" w:hAnsi="Times New Roman" w:cs="Times New Roman"/>
                <w:b/>
                <w:sz w:val="24"/>
                <w:szCs w:val="24"/>
              </w:rPr>
            </w:pPr>
            <w:r w:rsidRPr="008B3249">
              <w:rPr>
                <w:rFonts w:ascii="Times New Roman" w:hAnsi="Times New Roman" w:cs="Times New Roman"/>
                <w:b/>
                <w:sz w:val="24"/>
                <w:szCs w:val="24"/>
              </w:rPr>
              <w:t>Number of Responses per Respondent</w:t>
            </w:r>
          </w:p>
          <w:p w14:paraId="6D924CB2" w14:textId="77777777" w:rsidR="008B3249" w:rsidRPr="008B3249" w:rsidRDefault="008B3249" w:rsidP="008B3249">
            <w:pPr>
              <w:spacing w:after="0"/>
              <w:jc w:val="center"/>
              <w:rPr>
                <w:rFonts w:ascii="Times New Roman" w:hAnsi="Times New Roman" w:cs="Times New Roman"/>
                <w:b/>
                <w:sz w:val="24"/>
                <w:szCs w:val="24"/>
              </w:rPr>
            </w:pPr>
            <w:r w:rsidRPr="008B3249">
              <w:rPr>
                <w:rFonts w:ascii="Times New Roman" w:hAnsi="Times New Roman" w:cs="Times New Roman"/>
                <w:b/>
                <w:sz w:val="24"/>
                <w:szCs w:val="24"/>
              </w:rPr>
              <w:t>(2)</w:t>
            </w:r>
          </w:p>
        </w:tc>
        <w:tc>
          <w:tcPr>
            <w:tcW w:w="651" w:type="pct"/>
            <w:shd w:val="clear" w:color="auto" w:fill="D9D9D9"/>
            <w:vAlign w:val="bottom"/>
          </w:tcPr>
          <w:p w14:paraId="20953BC2" w14:textId="77777777" w:rsidR="008B3249" w:rsidRPr="008B3249" w:rsidRDefault="008B3249" w:rsidP="008B3249">
            <w:pPr>
              <w:spacing w:after="0"/>
              <w:jc w:val="center"/>
              <w:rPr>
                <w:rFonts w:ascii="Times New Roman" w:hAnsi="Times New Roman" w:cs="Times New Roman"/>
                <w:b/>
                <w:sz w:val="24"/>
                <w:szCs w:val="24"/>
              </w:rPr>
            </w:pPr>
            <w:r w:rsidRPr="008B3249">
              <w:rPr>
                <w:rFonts w:ascii="Times New Roman" w:hAnsi="Times New Roman" w:cs="Times New Roman"/>
                <w:b/>
                <w:sz w:val="24"/>
                <w:szCs w:val="24"/>
              </w:rPr>
              <w:t>Average Burden Hours Per Response</w:t>
            </w:r>
          </w:p>
          <w:p w14:paraId="182234F4" w14:textId="77777777" w:rsidR="008B3249" w:rsidRPr="008B3249" w:rsidRDefault="008B3249" w:rsidP="008B3249">
            <w:pPr>
              <w:spacing w:after="0"/>
              <w:jc w:val="center"/>
              <w:rPr>
                <w:rFonts w:ascii="Times New Roman" w:hAnsi="Times New Roman" w:cs="Times New Roman"/>
                <w:b/>
                <w:sz w:val="24"/>
                <w:szCs w:val="24"/>
              </w:rPr>
            </w:pPr>
            <w:r w:rsidRPr="008B3249">
              <w:rPr>
                <w:rFonts w:ascii="Times New Roman" w:hAnsi="Times New Roman" w:cs="Times New Roman"/>
                <w:b/>
                <w:sz w:val="24"/>
                <w:szCs w:val="24"/>
              </w:rPr>
              <w:t>(3)</w:t>
            </w:r>
          </w:p>
        </w:tc>
        <w:tc>
          <w:tcPr>
            <w:tcW w:w="718" w:type="pct"/>
            <w:shd w:val="clear" w:color="auto" w:fill="D9D9D9"/>
            <w:vAlign w:val="bottom"/>
          </w:tcPr>
          <w:p w14:paraId="7356464F" w14:textId="77777777" w:rsidR="008B3249" w:rsidRPr="008B3249" w:rsidRDefault="008B3249" w:rsidP="008B3249">
            <w:pPr>
              <w:spacing w:after="0"/>
              <w:jc w:val="center"/>
              <w:rPr>
                <w:rFonts w:ascii="Times New Roman" w:hAnsi="Times New Roman" w:cs="Times New Roman"/>
                <w:b/>
                <w:sz w:val="24"/>
                <w:szCs w:val="24"/>
              </w:rPr>
            </w:pPr>
            <w:r w:rsidRPr="008B3249">
              <w:rPr>
                <w:rFonts w:ascii="Times New Roman" w:hAnsi="Times New Roman" w:cs="Times New Roman"/>
                <w:b/>
                <w:sz w:val="24"/>
                <w:szCs w:val="24"/>
              </w:rPr>
              <w:t>Total Annual Burden Hours</w:t>
            </w:r>
          </w:p>
          <w:p w14:paraId="4FD44474" w14:textId="77777777" w:rsidR="008B3249" w:rsidRPr="008B3249" w:rsidRDefault="008B3249" w:rsidP="008B3249">
            <w:pPr>
              <w:spacing w:after="0"/>
              <w:jc w:val="center"/>
              <w:rPr>
                <w:rFonts w:ascii="Times New Roman" w:hAnsi="Times New Roman" w:cs="Times New Roman"/>
                <w:b/>
                <w:sz w:val="24"/>
                <w:szCs w:val="24"/>
              </w:rPr>
            </w:pPr>
            <w:r w:rsidRPr="008B3249">
              <w:rPr>
                <w:rFonts w:ascii="Times New Roman" w:hAnsi="Times New Roman" w:cs="Times New Roman"/>
                <w:b/>
                <w:sz w:val="24"/>
                <w:szCs w:val="24"/>
              </w:rPr>
              <w:t>(1)x(2)x(3)</w:t>
            </w:r>
          </w:p>
        </w:tc>
        <w:tc>
          <w:tcPr>
            <w:tcW w:w="616" w:type="pct"/>
            <w:shd w:val="clear" w:color="auto" w:fill="D9D9D9"/>
            <w:vAlign w:val="bottom"/>
          </w:tcPr>
          <w:p w14:paraId="1D52E471" w14:textId="77777777" w:rsidR="008B3249" w:rsidRPr="008B3249" w:rsidRDefault="008B3249" w:rsidP="008B3249">
            <w:pPr>
              <w:spacing w:after="0"/>
              <w:jc w:val="center"/>
              <w:rPr>
                <w:rFonts w:ascii="Times New Roman" w:hAnsi="Times New Roman" w:cs="Times New Roman"/>
                <w:b/>
                <w:sz w:val="24"/>
                <w:szCs w:val="24"/>
              </w:rPr>
            </w:pPr>
            <w:r w:rsidRPr="008B3249">
              <w:rPr>
                <w:rFonts w:ascii="Times New Roman" w:hAnsi="Times New Roman" w:cs="Times New Roman"/>
                <w:b/>
                <w:sz w:val="24"/>
                <w:szCs w:val="24"/>
              </w:rPr>
              <w:t>Total Annual Cost</w:t>
            </w:r>
            <w:bookmarkStart w:id="2" w:name="_Ref366073887"/>
            <w:r w:rsidRPr="008B3249">
              <w:rPr>
                <w:rFonts w:ascii="Times New Roman" w:hAnsi="Times New Roman" w:cs="Times New Roman"/>
                <w:b/>
                <w:sz w:val="24"/>
                <w:szCs w:val="24"/>
                <w:vertAlign w:val="superscript"/>
              </w:rPr>
              <w:footnoteReference w:id="12"/>
            </w:r>
            <w:bookmarkEnd w:id="2"/>
          </w:p>
        </w:tc>
      </w:tr>
      <w:tr w:rsidR="008B3249" w:rsidRPr="008B3249" w14:paraId="5AEA8905" w14:textId="77777777" w:rsidTr="008B3249">
        <w:trPr>
          <w:cantSplit/>
        </w:trPr>
        <w:tc>
          <w:tcPr>
            <w:tcW w:w="1287" w:type="pct"/>
          </w:tcPr>
          <w:p w14:paraId="340894C9" w14:textId="77777777" w:rsidR="008B3249" w:rsidRPr="008B3249" w:rsidRDefault="008B3249" w:rsidP="008B3249">
            <w:pPr>
              <w:spacing w:after="0"/>
              <w:rPr>
                <w:rFonts w:ascii="Times New Roman" w:hAnsi="Times New Roman" w:cs="Times New Roman"/>
                <w:sz w:val="24"/>
                <w:szCs w:val="24"/>
              </w:rPr>
            </w:pPr>
            <w:r w:rsidRPr="008B3249">
              <w:rPr>
                <w:rFonts w:ascii="Times New Roman" w:hAnsi="Times New Roman" w:cs="Times New Roman"/>
                <w:sz w:val="24"/>
                <w:szCs w:val="24"/>
              </w:rPr>
              <w:t>Maintain and submit Event Log Data</w:t>
            </w:r>
          </w:p>
        </w:tc>
        <w:tc>
          <w:tcPr>
            <w:tcW w:w="934" w:type="pct"/>
            <w:vAlign w:val="bottom"/>
          </w:tcPr>
          <w:p w14:paraId="4840C447"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1</w:t>
            </w:r>
          </w:p>
          <w:p w14:paraId="77B6A8CA"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BA</w:t>
            </w:r>
          </w:p>
        </w:tc>
        <w:tc>
          <w:tcPr>
            <w:tcW w:w="793" w:type="pct"/>
            <w:vAlign w:val="bottom"/>
          </w:tcPr>
          <w:p w14:paraId="357634C9"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1</w:t>
            </w:r>
          </w:p>
        </w:tc>
        <w:tc>
          <w:tcPr>
            <w:tcW w:w="651" w:type="pct"/>
            <w:vAlign w:val="bottom"/>
          </w:tcPr>
          <w:p w14:paraId="12D3CFF9"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16</w:t>
            </w:r>
          </w:p>
        </w:tc>
        <w:tc>
          <w:tcPr>
            <w:tcW w:w="718" w:type="pct"/>
            <w:vAlign w:val="bottom"/>
          </w:tcPr>
          <w:p w14:paraId="62DE4BD6"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 xml:space="preserve"> 16 </w:t>
            </w:r>
          </w:p>
        </w:tc>
        <w:tc>
          <w:tcPr>
            <w:tcW w:w="616" w:type="pct"/>
            <w:vAlign w:val="bottom"/>
          </w:tcPr>
          <w:p w14:paraId="05103C6B"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$960</w:t>
            </w:r>
            <w:r w:rsidRPr="008B3249">
              <w:rPr>
                <w:rFonts w:ascii="Times New Roman" w:hAnsi="Times New Roman" w:cs="Times New Roman"/>
                <w:sz w:val="24"/>
                <w:szCs w:val="24"/>
              </w:rPr>
              <w:br/>
              <w:t>($60/hr.)</w:t>
            </w:r>
          </w:p>
        </w:tc>
      </w:tr>
      <w:tr w:rsidR="008B3249" w:rsidRPr="008B3249" w14:paraId="61F70FFE" w14:textId="77777777" w:rsidTr="008B3249">
        <w:trPr>
          <w:cantSplit/>
          <w:trHeight w:val="467"/>
        </w:trPr>
        <w:tc>
          <w:tcPr>
            <w:tcW w:w="1287" w:type="pct"/>
          </w:tcPr>
          <w:p w14:paraId="72976ED6" w14:textId="77777777" w:rsidR="008B3249" w:rsidRPr="008B3249" w:rsidRDefault="008B3249" w:rsidP="008B3249">
            <w:pPr>
              <w:spacing w:after="0"/>
              <w:rPr>
                <w:rFonts w:ascii="Times New Roman" w:hAnsi="Times New Roman" w:cs="Times New Roman"/>
                <w:sz w:val="24"/>
                <w:szCs w:val="24"/>
              </w:rPr>
            </w:pPr>
            <w:r w:rsidRPr="008B3249">
              <w:rPr>
                <w:rFonts w:ascii="Times New Roman" w:hAnsi="Times New Roman" w:cs="Times New Roman"/>
                <w:sz w:val="24"/>
                <w:szCs w:val="24"/>
              </w:rPr>
              <w:lastRenderedPageBreak/>
              <w:t>Modification to Governor Controller Setting/Configuration</w:t>
            </w:r>
          </w:p>
        </w:tc>
        <w:tc>
          <w:tcPr>
            <w:tcW w:w="934" w:type="pct"/>
            <w:vAlign w:val="bottom"/>
          </w:tcPr>
          <w:p w14:paraId="368408C5"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114</w:t>
            </w:r>
          </w:p>
          <w:p w14:paraId="02513F51"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GO</w:t>
            </w:r>
          </w:p>
        </w:tc>
        <w:tc>
          <w:tcPr>
            <w:tcW w:w="793" w:type="pct"/>
            <w:vAlign w:val="bottom"/>
          </w:tcPr>
          <w:p w14:paraId="01F6C06D"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1</w:t>
            </w:r>
          </w:p>
        </w:tc>
        <w:tc>
          <w:tcPr>
            <w:tcW w:w="651" w:type="pct"/>
            <w:vAlign w:val="bottom"/>
          </w:tcPr>
          <w:p w14:paraId="7240B957"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8</w:t>
            </w:r>
          </w:p>
        </w:tc>
        <w:tc>
          <w:tcPr>
            <w:tcW w:w="718" w:type="pct"/>
            <w:vAlign w:val="bottom"/>
          </w:tcPr>
          <w:p w14:paraId="381321BB" w14:textId="094E4974" w:rsidR="008B3249" w:rsidRPr="008B3249" w:rsidRDefault="00EE4B39" w:rsidP="008B3249">
            <w:pPr>
              <w:spacing w:after="0"/>
              <w:jc w:val="right"/>
              <w:rPr>
                <w:rFonts w:ascii="Times New Roman" w:hAnsi="Times New Roman" w:cs="Times New Roman"/>
                <w:sz w:val="24"/>
                <w:szCs w:val="24"/>
              </w:rPr>
            </w:pPr>
            <w:r>
              <w:rPr>
                <w:rFonts w:ascii="Times New Roman" w:hAnsi="Times New Roman" w:cs="Times New Roman"/>
                <w:sz w:val="24"/>
                <w:szCs w:val="24"/>
              </w:rPr>
              <w:t>912</w:t>
            </w:r>
          </w:p>
        </w:tc>
        <w:tc>
          <w:tcPr>
            <w:tcW w:w="616" w:type="pct"/>
            <w:vAlign w:val="bottom"/>
          </w:tcPr>
          <w:p w14:paraId="5101E11E" w14:textId="1B64ADF3"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$75</w:t>
            </w:r>
            <w:r w:rsidR="00EE4B39">
              <w:rPr>
                <w:rFonts w:ascii="Times New Roman" w:hAnsi="Times New Roman" w:cs="Times New Roman"/>
                <w:sz w:val="24"/>
                <w:szCs w:val="24"/>
              </w:rPr>
              <w:t>,784</w:t>
            </w:r>
          </w:p>
          <w:p w14:paraId="5026221A"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One-time ($82/hr.)</w:t>
            </w:r>
          </w:p>
        </w:tc>
      </w:tr>
      <w:tr w:rsidR="008B3249" w:rsidRPr="008B3249" w14:paraId="4DBBAE7F" w14:textId="77777777" w:rsidTr="008B3249">
        <w:trPr>
          <w:cantSplit/>
          <w:trHeight w:val="485"/>
        </w:trPr>
        <w:tc>
          <w:tcPr>
            <w:tcW w:w="1287" w:type="pct"/>
          </w:tcPr>
          <w:p w14:paraId="5E2D673A" w14:textId="77777777" w:rsidR="008B3249" w:rsidRPr="008B3249" w:rsidRDefault="008B3249" w:rsidP="008B3249">
            <w:pPr>
              <w:spacing w:after="0"/>
              <w:rPr>
                <w:rFonts w:ascii="Times New Roman" w:hAnsi="Times New Roman" w:cs="Times New Roman"/>
                <w:sz w:val="24"/>
                <w:szCs w:val="24"/>
              </w:rPr>
            </w:pPr>
            <w:r w:rsidRPr="008B3249">
              <w:rPr>
                <w:rFonts w:ascii="Times New Roman" w:hAnsi="Times New Roman" w:cs="Times New Roman"/>
                <w:sz w:val="24"/>
                <w:szCs w:val="24"/>
              </w:rPr>
              <w:t>Evidence Retention</w:t>
            </w:r>
          </w:p>
        </w:tc>
        <w:tc>
          <w:tcPr>
            <w:tcW w:w="934" w:type="pct"/>
            <w:tcBorders>
              <w:bottom w:val="single" w:sz="4" w:space="0" w:color="auto"/>
            </w:tcBorders>
            <w:vAlign w:val="bottom"/>
          </w:tcPr>
          <w:p w14:paraId="0EDE01C0"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130</w:t>
            </w:r>
          </w:p>
          <w:p w14:paraId="75F5E8E1"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BA/GO/GOP</w:t>
            </w:r>
          </w:p>
        </w:tc>
        <w:tc>
          <w:tcPr>
            <w:tcW w:w="793" w:type="pct"/>
            <w:tcBorders>
              <w:bottom w:val="single" w:sz="4" w:space="0" w:color="auto"/>
            </w:tcBorders>
            <w:vAlign w:val="bottom"/>
          </w:tcPr>
          <w:p w14:paraId="75F40089"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1</w:t>
            </w:r>
          </w:p>
        </w:tc>
        <w:tc>
          <w:tcPr>
            <w:tcW w:w="651" w:type="pct"/>
            <w:tcBorders>
              <w:bottom w:val="single" w:sz="4" w:space="0" w:color="auto"/>
            </w:tcBorders>
            <w:vAlign w:val="bottom"/>
          </w:tcPr>
          <w:p w14:paraId="2CC59144"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2</w:t>
            </w:r>
          </w:p>
        </w:tc>
        <w:tc>
          <w:tcPr>
            <w:tcW w:w="718" w:type="pct"/>
            <w:vAlign w:val="bottom"/>
          </w:tcPr>
          <w:p w14:paraId="32629D2B"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260</w:t>
            </w:r>
          </w:p>
        </w:tc>
        <w:tc>
          <w:tcPr>
            <w:tcW w:w="616" w:type="pct"/>
            <w:vAlign w:val="bottom"/>
          </w:tcPr>
          <w:p w14:paraId="0C344EB2" w14:textId="77777777"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$8,320 ($32/hr.)</w:t>
            </w:r>
          </w:p>
        </w:tc>
      </w:tr>
      <w:tr w:rsidR="008B3249" w:rsidRPr="008B3249" w14:paraId="459F5BE1" w14:textId="77777777" w:rsidTr="008B3249">
        <w:trPr>
          <w:cantSplit/>
          <w:trHeight w:val="485"/>
        </w:trPr>
        <w:tc>
          <w:tcPr>
            <w:tcW w:w="1287" w:type="pct"/>
            <w:tcBorders>
              <w:bottom w:val="single" w:sz="4" w:space="0" w:color="auto"/>
            </w:tcBorders>
          </w:tcPr>
          <w:p w14:paraId="342221F1" w14:textId="77777777" w:rsidR="008B3249" w:rsidRPr="008B3249" w:rsidRDefault="008B3249" w:rsidP="008B3249">
            <w:pPr>
              <w:spacing w:after="0"/>
              <w:rPr>
                <w:rFonts w:ascii="Times New Roman" w:hAnsi="Times New Roman" w:cs="Times New Roman"/>
                <w:sz w:val="24"/>
                <w:szCs w:val="24"/>
              </w:rPr>
            </w:pPr>
            <w:r w:rsidRPr="008B3249">
              <w:rPr>
                <w:rFonts w:ascii="Times New Roman" w:hAnsi="Times New Roman" w:cs="Times New Roman"/>
                <w:sz w:val="24"/>
                <w:szCs w:val="24"/>
              </w:rPr>
              <w:t>TOTAL</w:t>
            </w:r>
          </w:p>
        </w:tc>
        <w:tc>
          <w:tcPr>
            <w:tcW w:w="2378" w:type="pct"/>
            <w:gridSpan w:val="3"/>
            <w:tcBorders>
              <w:bottom w:val="single" w:sz="4" w:space="0" w:color="auto"/>
            </w:tcBorders>
            <w:shd w:val="clear" w:color="auto" w:fill="D9D9D9"/>
            <w:vAlign w:val="bottom"/>
          </w:tcPr>
          <w:p w14:paraId="1C7CF24B" w14:textId="77777777" w:rsidR="008B3249" w:rsidRPr="008B3249" w:rsidRDefault="008B3249" w:rsidP="008B3249">
            <w:pPr>
              <w:spacing w:after="0"/>
              <w:jc w:val="right"/>
              <w:rPr>
                <w:rFonts w:ascii="Times New Roman" w:hAnsi="Times New Roman" w:cs="Times New Roman"/>
                <w:sz w:val="24"/>
                <w:szCs w:val="24"/>
              </w:rPr>
            </w:pPr>
          </w:p>
        </w:tc>
        <w:tc>
          <w:tcPr>
            <w:tcW w:w="718" w:type="pct"/>
            <w:tcBorders>
              <w:bottom w:val="single" w:sz="4" w:space="0" w:color="auto"/>
            </w:tcBorders>
            <w:vAlign w:val="bottom"/>
          </w:tcPr>
          <w:p w14:paraId="0067F5A0" w14:textId="47FD7616"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1,1</w:t>
            </w:r>
            <w:r w:rsidR="00EE4B39">
              <w:rPr>
                <w:rFonts w:ascii="Times New Roman" w:hAnsi="Times New Roman" w:cs="Times New Roman"/>
                <w:sz w:val="24"/>
                <w:szCs w:val="24"/>
              </w:rPr>
              <w:t>88</w:t>
            </w:r>
          </w:p>
        </w:tc>
        <w:tc>
          <w:tcPr>
            <w:tcW w:w="616" w:type="pct"/>
            <w:tcBorders>
              <w:bottom w:val="single" w:sz="4" w:space="0" w:color="auto"/>
            </w:tcBorders>
            <w:vAlign w:val="bottom"/>
          </w:tcPr>
          <w:p w14:paraId="2F46AE74" w14:textId="61A7FBF6" w:rsidR="008B3249" w:rsidRPr="008B3249" w:rsidRDefault="008B3249" w:rsidP="008B3249">
            <w:pPr>
              <w:spacing w:after="0"/>
              <w:jc w:val="right"/>
              <w:rPr>
                <w:rFonts w:ascii="Times New Roman" w:hAnsi="Times New Roman" w:cs="Times New Roman"/>
                <w:sz w:val="24"/>
                <w:szCs w:val="24"/>
              </w:rPr>
            </w:pPr>
            <w:r w:rsidRPr="008B3249">
              <w:rPr>
                <w:rFonts w:ascii="Times New Roman" w:hAnsi="Times New Roman" w:cs="Times New Roman"/>
                <w:sz w:val="24"/>
                <w:szCs w:val="24"/>
              </w:rPr>
              <w:t>$84,</w:t>
            </w:r>
            <w:r w:rsidR="00EE4B39">
              <w:rPr>
                <w:rFonts w:ascii="Times New Roman" w:hAnsi="Times New Roman" w:cs="Times New Roman"/>
                <w:sz w:val="24"/>
                <w:szCs w:val="24"/>
              </w:rPr>
              <w:t>064</w:t>
            </w:r>
          </w:p>
        </w:tc>
      </w:tr>
    </w:tbl>
    <w:p w14:paraId="73C4E118" w14:textId="77777777" w:rsidR="009165BD" w:rsidRDefault="009165BD" w:rsidP="00D80FBD">
      <w:pPr>
        <w:spacing w:after="0"/>
        <w:rPr>
          <w:rFonts w:ascii="Times New Roman" w:hAnsi="Times New Roman" w:cs="Times New Roman"/>
          <w:sz w:val="24"/>
          <w:szCs w:val="24"/>
        </w:rPr>
      </w:pPr>
    </w:p>
    <w:p w14:paraId="0089EE6B" w14:textId="74ECA785" w:rsidR="00A82C77" w:rsidRDefault="00A82C77" w:rsidP="00D80FBD">
      <w:pPr>
        <w:spacing w:after="0"/>
        <w:rPr>
          <w:rFonts w:ascii="Times New Roman" w:hAnsi="Times New Roman" w:cs="Times New Roman"/>
          <w:sz w:val="24"/>
          <w:szCs w:val="24"/>
        </w:rPr>
      </w:pPr>
      <w:r>
        <w:rPr>
          <w:rFonts w:ascii="Times New Roman" w:hAnsi="Times New Roman" w:cs="Times New Roman"/>
          <w:sz w:val="24"/>
          <w:szCs w:val="24"/>
        </w:rPr>
        <w:t>As shown in the burden table above, one of the burden elements is only one-time.  The Commission is averaging</w:t>
      </w:r>
      <w:r w:rsidR="006C59F4">
        <w:rPr>
          <w:rFonts w:ascii="Times New Roman" w:hAnsi="Times New Roman" w:cs="Times New Roman"/>
          <w:sz w:val="24"/>
          <w:szCs w:val="24"/>
        </w:rPr>
        <w:t xml:space="preserve"> this burden over three years.  After three years the Commission intends to remove the one-time burden.</w:t>
      </w:r>
      <w:r>
        <w:rPr>
          <w:rFonts w:ascii="Times New Roman" w:hAnsi="Times New Roman" w:cs="Times New Roman"/>
          <w:sz w:val="24"/>
          <w:szCs w:val="24"/>
        </w:rPr>
        <w:t xml:space="preserve">  </w:t>
      </w:r>
    </w:p>
    <w:p w14:paraId="10358295" w14:textId="77777777" w:rsidR="00A82C77" w:rsidRDefault="00A82C77" w:rsidP="00D80FBD">
      <w:pPr>
        <w:spacing w:after="0"/>
        <w:rPr>
          <w:rFonts w:ascii="Times New Roman" w:hAnsi="Times New Roman" w:cs="Times New Roman"/>
          <w:sz w:val="24"/>
          <w:szCs w:val="24"/>
        </w:rPr>
      </w:pPr>
    </w:p>
    <w:p w14:paraId="6462F7C7" w14:textId="592FB4EA" w:rsidR="00A82C77" w:rsidRDefault="00A82C77" w:rsidP="00A82C77">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Ongoing burden: 276 hours per year</w:t>
      </w:r>
    </w:p>
    <w:p w14:paraId="06572B95" w14:textId="4BB5D178" w:rsidR="00A82C77" w:rsidRDefault="00A82C77" w:rsidP="00A82C77">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One-time burde</w:t>
      </w:r>
      <w:r w:rsidR="006C59F4">
        <w:rPr>
          <w:rFonts w:ascii="Times New Roman" w:hAnsi="Times New Roman" w:cs="Times New Roman"/>
          <w:sz w:val="24"/>
          <w:szCs w:val="24"/>
        </w:rPr>
        <w:t>n averaged over three years: 30</w:t>
      </w:r>
      <w:r w:rsidR="00EE4B39">
        <w:rPr>
          <w:rFonts w:ascii="Times New Roman" w:hAnsi="Times New Roman" w:cs="Times New Roman"/>
          <w:sz w:val="24"/>
          <w:szCs w:val="24"/>
        </w:rPr>
        <w:t>4</w:t>
      </w:r>
      <w:r w:rsidR="006C59F4">
        <w:rPr>
          <w:rFonts w:ascii="Times New Roman" w:hAnsi="Times New Roman" w:cs="Times New Roman"/>
          <w:sz w:val="24"/>
          <w:szCs w:val="24"/>
        </w:rPr>
        <w:t xml:space="preserve"> hours per year (9</w:t>
      </w:r>
      <w:r w:rsidR="00EE4B39">
        <w:rPr>
          <w:rFonts w:ascii="Times New Roman" w:hAnsi="Times New Roman" w:cs="Times New Roman"/>
          <w:sz w:val="24"/>
          <w:szCs w:val="24"/>
        </w:rPr>
        <w:t>12</w:t>
      </w:r>
      <w:r w:rsidR="006C59F4">
        <w:rPr>
          <w:rFonts w:ascii="Times New Roman" w:hAnsi="Times New Roman" w:cs="Times New Roman"/>
          <w:sz w:val="24"/>
          <w:szCs w:val="24"/>
        </w:rPr>
        <w:t xml:space="preserve"> hours/3 = 30</w:t>
      </w:r>
      <w:r w:rsidR="00EE4B39">
        <w:rPr>
          <w:rFonts w:ascii="Times New Roman" w:hAnsi="Times New Roman" w:cs="Times New Roman"/>
          <w:sz w:val="24"/>
          <w:szCs w:val="24"/>
        </w:rPr>
        <w:t>4</w:t>
      </w:r>
      <w:r w:rsidR="006C59F4">
        <w:rPr>
          <w:rFonts w:ascii="Times New Roman" w:hAnsi="Times New Roman" w:cs="Times New Roman"/>
          <w:sz w:val="24"/>
          <w:szCs w:val="24"/>
        </w:rPr>
        <w:t>).</w:t>
      </w:r>
    </w:p>
    <w:p w14:paraId="35E389A3" w14:textId="77777777" w:rsidR="006C59F4" w:rsidRDefault="006C59F4" w:rsidP="006C59F4">
      <w:pPr>
        <w:spacing w:after="0"/>
        <w:rPr>
          <w:rFonts w:ascii="Times New Roman" w:hAnsi="Times New Roman" w:cs="Times New Roman"/>
          <w:sz w:val="24"/>
          <w:szCs w:val="24"/>
        </w:rPr>
      </w:pPr>
    </w:p>
    <w:p w14:paraId="69F842B0" w14:textId="7316436F" w:rsidR="006C59F4" w:rsidRPr="006C59F4" w:rsidRDefault="006C59F4" w:rsidP="006C59F4">
      <w:pPr>
        <w:spacing w:after="0"/>
        <w:rPr>
          <w:rFonts w:ascii="Times New Roman" w:hAnsi="Times New Roman" w:cs="Times New Roman"/>
          <w:sz w:val="24"/>
          <w:szCs w:val="24"/>
        </w:rPr>
      </w:pPr>
      <w:r>
        <w:rPr>
          <w:rFonts w:ascii="Times New Roman" w:hAnsi="Times New Roman" w:cs="Times New Roman"/>
          <w:sz w:val="24"/>
          <w:szCs w:val="24"/>
        </w:rPr>
        <w:t xml:space="preserve">The total annual burden shown </w:t>
      </w:r>
      <w:r w:rsidR="00A57E8A">
        <w:rPr>
          <w:rFonts w:ascii="Times New Roman" w:hAnsi="Times New Roman" w:cs="Times New Roman"/>
          <w:sz w:val="24"/>
          <w:szCs w:val="24"/>
        </w:rPr>
        <w:t>in ROCIS is 580</w:t>
      </w:r>
      <w:r>
        <w:rPr>
          <w:rFonts w:ascii="Times New Roman" w:hAnsi="Times New Roman" w:cs="Times New Roman"/>
          <w:sz w:val="24"/>
          <w:szCs w:val="24"/>
        </w:rPr>
        <w:t xml:space="preserve"> hours (276 + 30</w:t>
      </w:r>
      <w:r w:rsidR="00EE4B39">
        <w:rPr>
          <w:rFonts w:ascii="Times New Roman" w:hAnsi="Times New Roman" w:cs="Times New Roman"/>
          <w:sz w:val="24"/>
          <w:szCs w:val="24"/>
        </w:rPr>
        <w:t>4</w:t>
      </w:r>
      <w:r>
        <w:rPr>
          <w:rFonts w:ascii="Times New Roman" w:hAnsi="Times New Roman" w:cs="Times New Roman"/>
          <w:sz w:val="24"/>
          <w:szCs w:val="24"/>
        </w:rPr>
        <w:t xml:space="preserve"> = 5</w:t>
      </w:r>
      <w:r w:rsidR="00EE4B39">
        <w:rPr>
          <w:rFonts w:ascii="Times New Roman" w:hAnsi="Times New Roman" w:cs="Times New Roman"/>
          <w:sz w:val="24"/>
          <w:szCs w:val="24"/>
        </w:rPr>
        <w:t>80</w:t>
      </w:r>
      <w:r>
        <w:rPr>
          <w:rFonts w:ascii="Times New Roman" w:hAnsi="Times New Roman" w:cs="Times New Roman"/>
          <w:sz w:val="24"/>
          <w:szCs w:val="24"/>
        </w:rPr>
        <w:t>).</w:t>
      </w:r>
    </w:p>
    <w:p w14:paraId="468C3844" w14:textId="77777777" w:rsidR="00A82C77" w:rsidRPr="00D80FBD" w:rsidRDefault="00A82C77" w:rsidP="00D80FBD">
      <w:pPr>
        <w:spacing w:after="0"/>
        <w:rPr>
          <w:rFonts w:ascii="Times New Roman" w:hAnsi="Times New Roman" w:cs="Times New Roman"/>
          <w:sz w:val="24"/>
          <w:szCs w:val="24"/>
        </w:rPr>
      </w:pPr>
    </w:p>
    <w:p w14:paraId="73C4E119"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73C4E11A" w14:textId="77777777" w:rsidR="00E636D7" w:rsidRDefault="00E636D7" w:rsidP="00E636D7">
      <w:pPr>
        <w:spacing w:after="0"/>
        <w:rPr>
          <w:rFonts w:ascii="Times New Roman" w:hAnsi="Times New Roman" w:cs="Times New Roman"/>
          <w:sz w:val="24"/>
          <w:szCs w:val="24"/>
        </w:rPr>
      </w:pPr>
    </w:p>
    <w:p w14:paraId="73C4E11B" w14:textId="19A358B5" w:rsidR="008918DD" w:rsidRDefault="008918DD" w:rsidP="00E636D7">
      <w:pPr>
        <w:spacing w:after="0"/>
        <w:rPr>
          <w:rFonts w:ascii="Times New Roman" w:hAnsi="Times New Roman" w:cs="Times New Roman"/>
          <w:sz w:val="24"/>
          <w:szCs w:val="24"/>
        </w:rPr>
      </w:pPr>
      <w:r w:rsidRPr="008918DD">
        <w:rPr>
          <w:rFonts w:ascii="Times New Roman" w:hAnsi="Times New Roman" w:cs="Times New Roman"/>
          <w:sz w:val="24"/>
          <w:szCs w:val="24"/>
        </w:rPr>
        <w:t xml:space="preserve">There </w:t>
      </w:r>
      <w:r>
        <w:rPr>
          <w:rFonts w:ascii="Times New Roman" w:hAnsi="Times New Roman" w:cs="Times New Roman"/>
          <w:sz w:val="24"/>
          <w:szCs w:val="24"/>
        </w:rPr>
        <w:t>are</w:t>
      </w:r>
      <w:r w:rsidRPr="008918DD">
        <w:rPr>
          <w:rFonts w:ascii="Times New Roman" w:hAnsi="Times New Roman" w:cs="Times New Roman"/>
          <w:sz w:val="24"/>
          <w:szCs w:val="24"/>
        </w:rPr>
        <w:t xml:space="preserve"> no start-up or other non-labor hour cost</w:t>
      </w:r>
      <w:r>
        <w:rPr>
          <w:rFonts w:ascii="Times New Roman" w:hAnsi="Times New Roman" w:cs="Times New Roman"/>
          <w:sz w:val="24"/>
          <w:szCs w:val="24"/>
        </w:rPr>
        <w:t xml:space="preserve">s associated with </w:t>
      </w:r>
      <w:r w:rsidR="003F137D">
        <w:rPr>
          <w:rFonts w:ascii="Times New Roman" w:hAnsi="Times New Roman" w:cs="Times New Roman"/>
          <w:sz w:val="24"/>
          <w:szCs w:val="24"/>
        </w:rPr>
        <w:t>the information collection in the rulemaking</w:t>
      </w:r>
      <w:r w:rsidRPr="008918DD">
        <w:rPr>
          <w:rFonts w:ascii="Times New Roman" w:hAnsi="Times New Roman" w:cs="Times New Roman"/>
          <w:sz w:val="24"/>
          <w:szCs w:val="24"/>
        </w:rPr>
        <w:t xml:space="preserve">. </w:t>
      </w:r>
    </w:p>
    <w:p w14:paraId="73C4E11C" w14:textId="77777777" w:rsidR="008918DD" w:rsidRDefault="008918DD" w:rsidP="00E636D7">
      <w:pPr>
        <w:spacing w:after="0"/>
        <w:rPr>
          <w:rFonts w:ascii="Times New Roman" w:hAnsi="Times New Roman" w:cs="Times New Roman"/>
          <w:sz w:val="24"/>
          <w:szCs w:val="24"/>
        </w:rPr>
      </w:pPr>
    </w:p>
    <w:p w14:paraId="73C4E11D" w14:textId="77777777" w:rsidR="005F1C3C"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Cap</w:t>
      </w:r>
      <w:r w:rsidR="00526E53">
        <w:rPr>
          <w:rFonts w:ascii="Times New Roman" w:hAnsi="Times New Roman" w:cs="Times New Roman"/>
          <w:sz w:val="24"/>
          <w:szCs w:val="24"/>
        </w:rPr>
        <w:t>ital and Start-up cost: $0</w:t>
      </w:r>
    </w:p>
    <w:p w14:paraId="73C4E11E" w14:textId="77777777" w:rsidR="00E636D7"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Operation, Maintenance, and Purchase of Services</w:t>
      </w:r>
      <w:r w:rsidR="00526E53">
        <w:rPr>
          <w:rFonts w:ascii="Times New Roman" w:hAnsi="Times New Roman" w:cs="Times New Roman"/>
          <w:sz w:val="24"/>
          <w:szCs w:val="24"/>
        </w:rPr>
        <w:t>: $0</w:t>
      </w:r>
    </w:p>
    <w:p w14:paraId="73C4E11F" w14:textId="77777777" w:rsidR="00E636D7" w:rsidRPr="00E636D7" w:rsidRDefault="00E636D7" w:rsidP="00E636D7">
      <w:pPr>
        <w:spacing w:after="0"/>
        <w:rPr>
          <w:rFonts w:ascii="Times New Roman" w:hAnsi="Times New Roman" w:cs="Times New Roman"/>
          <w:sz w:val="24"/>
          <w:szCs w:val="24"/>
        </w:rPr>
      </w:pPr>
    </w:p>
    <w:p w14:paraId="73C4E120"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73C4E121" w14:textId="77777777" w:rsidR="008A21A4" w:rsidRDefault="008A21A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A276F5" w:rsidRPr="00A276F5" w14:paraId="73C4E125" w14:textId="77777777" w:rsidTr="005F1C3C">
        <w:tc>
          <w:tcPr>
            <w:tcW w:w="3182" w:type="dxa"/>
            <w:shd w:val="clear" w:color="auto" w:fill="CCCCCC"/>
          </w:tcPr>
          <w:p w14:paraId="73C4E122" w14:textId="72C7E434" w:rsidR="00A276F5" w:rsidRPr="00355D34" w:rsidRDefault="006C59F4" w:rsidP="00A276F5">
            <w:pPr>
              <w:spacing w:after="0" w:line="240" w:lineRule="auto"/>
              <w:rPr>
                <w:rFonts w:ascii="Times New Roman" w:hAnsi="Times New Roman" w:cs="Times New Roman"/>
                <w:b/>
                <w:sz w:val="24"/>
                <w:szCs w:val="24"/>
              </w:rPr>
            </w:pPr>
            <w:r>
              <w:rPr>
                <w:rFonts w:ascii="Times New Roman" w:hAnsi="Times New Roman" w:cs="Times New Roman"/>
                <w:b/>
                <w:sz w:val="24"/>
                <w:szCs w:val="24"/>
              </w:rPr>
              <w:t>FERC-725T</w:t>
            </w:r>
          </w:p>
        </w:tc>
        <w:tc>
          <w:tcPr>
            <w:tcW w:w="3201" w:type="dxa"/>
            <w:shd w:val="clear" w:color="auto" w:fill="CCCCCC"/>
          </w:tcPr>
          <w:p w14:paraId="73C4E123" w14:textId="72C24FBB"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r w:rsidR="003F137D">
              <w:rPr>
                <w:rFonts w:ascii="Times New Roman" w:hAnsi="Times New Roman" w:cs="Times New Roman"/>
                <w:b/>
                <w:sz w:val="24"/>
                <w:szCs w:val="24"/>
              </w:rPr>
              <w:t xml:space="preserve"> or Number of Hours</w:t>
            </w:r>
          </w:p>
        </w:tc>
        <w:tc>
          <w:tcPr>
            <w:tcW w:w="2995" w:type="dxa"/>
            <w:shd w:val="clear" w:color="auto" w:fill="CCCCCC"/>
          </w:tcPr>
          <w:p w14:paraId="73C4E124" w14:textId="77777777"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A276F5" w:rsidRPr="00A276F5" w14:paraId="73C4E129" w14:textId="77777777" w:rsidTr="005F1C3C">
        <w:tc>
          <w:tcPr>
            <w:tcW w:w="3182" w:type="dxa"/>
            <w:shd w:val="clear" w:color="auto" w:fill="auto"/>
          </w:tcPr>
          <w:p w14:paraId="73C4E126" w14:textId="798A9859" w:rsidR="00A276F5" w:rsidRPr="00A276F5" w:rsidRDefault="00A276F5" w:rsidP="006C59F4">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p>
        </w:tc>
        <w:tc>
          <w:tcPr>
            <w:tcW w:w="3201" w:type="dxa"/>
            <w:tcBorders>
              <w:bottom w:val="single" w:sz="4" w:space="0" w:color="auto"/>
            </w:tcBorders>
            <w:shd w:val="clear" w:color="auto" w:fill="auto"/>
            <w:vAlign w:val="center"/>
          </w:tcPr>
          <w:p w14:paraId="73C4E127" w14:textId="77777777" w:rsidR="00A276F5" w:rsidRPr="00A276F5" w:rsidRDefault="00D267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14:paraId="73C4E128" w14:textId="77777777" w:rsidR="00A276F5"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F1C3C" w:rsidRPr="00A276F5" w14:paraId="73C4E12D" w14:textId="77777777" w:rsidTr="005F1C3C">
        <w:tc>
          <w:tcPr>
            <w:tcW w:w="3182" w:type="dxa"/>
            <w:shd w:val="clear" w:color="auto" w:fill="auto"/>
          </w:tcPr>
          <w:p w14:paraId="73C4E12A" w14:textId="77777777" w:rsidR="005F1C3C" w:rsidRPr="00A276F5" w:rsidRDefault="00F400D7" w:rsidP="00A276F5">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r w:rsidR="00283003" w:rsidRPr="00AE5B29">
              <w:rPr>
                <w:rFonts w:ascii="Times New Roman" w:eastAsia="Times New Roman" w:hAnsi="Times New Roman" w:cs="Times New Roman"/>
                <w:sz w:val="24"/>
                <w:szCs w:val="24"/>
                <w:vertAlign w:val="superscript"/>
              </w:rPr>
              <w:footnoteReference w:id="13"/>
            </w:r>
          </w:p>
        </w:tc>
        <w:tc>
          <w:tcPr>
            <w:tcW w:w="3201" w:type="dxa"/>
            <w:vMerge w:val="restart"/>
            <w:shd w:val="clear" w:color="auto" w:fill="D9D9D9" w:themeFill="background1" w:themeFillShade="D9"/>
            <w:vAlign w:val="center"/>
          </w:tcPr>
          <w:p w14:paraId="73C4E12B" w14:textId="77777777"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73C4E12C" w14:textId="231B3AD4" w:rsidR="005F1C3C" w:rsidRPr="00A276F5" w:rsidRDefault="005664EE" w:rsidP="002178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17871">
              <w:rPr>
                <w:rFonts w:ascii="Times New Roman" w:hAnsi="Times New Roman" w:cs="Times New Roman"/>
                <w:sz w:val="24"/>
                <w:szCs w:val="24"/>
              </w:rPr>
              <w:t>5,092</w:t>
            </w:r>
          </w:p>
        </w:tc>
      </w:tr>
      <w:tr w:rsidR="005F1C3C" w:rsidRPr="00A276F5" w14:paraId="73C4E131" w14:textId="77777777" w:rsidTr="005F1C3C">
        <w:tc>
          <w:tcPr>
            <w:tcW w:w="3182" w:type="dxa"/>
            <w:shd w:val="clear" w:color="auto" w:fill="auto"/>
          </w:tcPr>
          <w:p w14:paraId="73C4E12E" w14:textId="77777777" w:rsidR="005F1C3C" w:rsidRPr="00A276F5" w:rsidRDefault="005F1C3C"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14:paraId="73C4E12F" w14:textId="77777777"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73C4E130" w14:textId="780F213D" w:rsidR="005F1C3C" w:rsidRPr="00A276F5" w:rsidRDefault="005664EE" w:rsidP="002178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17871">
              <w:rPr>
                <w:rFonts w:ascii="Times New Roman" w:hAnsi="Times New Roman" w:cs="Times New Roman"/>
                <w:sz w:val="24"/>
                <w:szCs w:val="24"/>
              </w:rPr>
              <w:t>5,092</w:t>
            </w:r>
          </w:p>
        </w:tc>
      </w:tr>
    </w:tbl>
    <w:p w14:paraId="73C4E132" w14:textId="77777777" w:rsidR="00A276F5" w:rsidRDefault="00A276F5" w:rsidP="00A276F5">
      <w:pPr>
        <w:spacing w:after="0"/>
        <w:rPr>
          <w:rFonts w:ascii="Times New Roman" w:hAnsi="Times New Roman" w:cs="Times New Roman"/>
          <w:sz w:val="24"/>
          <w:szCs w:val="24"/>
        </w:rPr>
      </w:pPr>
    </w:p>
    <w:p w14:paraId="73C4E133"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73C4E134" w14:textId="77777777" w:rsidR="00B17171" w:rsidRDefault="00B17171" w:rsidP="00A276F5">
      <w:pPr>
        <w:spacing w:after="0"/>
        <w:rPr>
          <w:rFonts w:ascii="Times New Roman" w:hAnsi="Times New Roman" w:cs="Times New Roman"/>
          <w:sz w:val="24"/>
          <w:szCs w:val="24"/>
        </w:rPr>
      </w:pPr>
    </w:p>
    <w:p w14:paraId="73C4E139" w14:textId="0F37441A" w:rsidR="00B17171" w:rsidRDefault="008446D1" w:rsidP="00A276F5">
      <w:pPr>
        <w:spacing w:after="0"/>
        <w:rPr>
          <w:rFonts w:ascii="Times New Roman" w:hAnsi="Times New Roman" w:cs="Times New Roman"/>
          <w:sz w:val="24"/>
          <w:szCs w:val="24"/>
        </w:rPr>
      </w:pPr>
      <w:r>
        <w:rPr>
          <w:rFonts w:ascii="Times New Roman" w:hAnsi="Times New Roman" w:cs="Times New Roman"/>
          <w:sz w:val="24"/>
          <w:szCs w:val="24"/>
        </w:rPr>
        <w:lastRenderedPageBreak/>
        <w:t>The Commission has approved regional Reliability Standard BAL-001-TRE-01, which, because of physical differences</w:t>
      </w:r>
      <w:r w:rsidR="00A10D30">
        <w:rPr>
          <w:rFonts w:ascii="Times New Roman" w:hAnsi="Times New Roman" w:cs="Times New Roman"/>
          <w:sz w:val="24"/>
          <w:szCs w:val="24"/>
        </w:rPr>
        <w:t xml:space="preserve"> in the region</w:t>
      </w:r>
      <w:r>
        <w:rPr>
          <w:rFonts w:ascii="Times New Roman" w:hAnsi="Times New Roman" w:cs="Times New Roman"/>
          <w:sz w:val="24"/>
          <w:szCs w:val="24"/>
        </w:rPr>
        <w:t>, contains more stringent requirements than the nation wide BAL-001 standard.  These requirements lead to</w:t>
      </w:r>
      <w:r w:rsidR="00606887">
        <w:rPr>
          <w:rFonts w:ascii="Times New Roman" w:hAnsi="Times New Roman" w:cs="Times New Roman"/>
          <w:sz w:val="24"/>
          <w:szCs w:val="24"/>
        </w:rPr>
        <w:t xml:space="preserve"> a small</w:t>
      </w:r>
      <w:r>
        <w:rPr>
          <w:rFonts w:ascii="Times New Roman" w:hAnsi="Times New Roman" w:cs="Times New Roman"/>
          <w:sz w:val="24"/>
          <w:szCs w:val="24"/>
        </w:rPr>
        <w:t xml:space="preserve"> additional burden, as summarized in the table below.  </w:t>
      </w:r>
      <w:r w:rsidR="001F77D0">
        <w:rPr>
          <w:rFonts w:ascii="Times New Roman" w:hAnsi="Times New Roman" w:cs="Times New Roman"/>
          <w:sz w:val="24"/>
          <w:szCs w:val="24"/>
        </w:rPr>
        <w:t xml:space="preserve">   </w:t>
      </w:r>
      <w:r w:rsidR="00B17171" w:rsidRPr="000B3AF7">
        <w:rPr>
          <w:rFonts w:ascii="Times New Roman" w:hAnsi="Times New Roman" w:cs="Times New Roman"/>
          <w:sz w:val="24"/>
          <w:szCs w:val="24"/>
        </w:rPr>
        <w:t xml:space="preserve">  </w:t>
      </w:r>
    </w:p>
    <w:p w14:paraId="73C4E13C" w14:textId="77777777" w:rsidR="00B945E3" w:rsidRDefault="00B945E3"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C01698" w:rsidRPr="00D80FBD" w14:paraId="73C4E142" w14:textId="77777777" w:rsidTr="005F1C3C">
        <w:trPr>
          <w:trHeight w:val="870"/>
        </w:trPr>
        <w:tc>
          <w:tcPr>
            <w:tcW w:w="2679" w:type="dxa"/>
            <w:shd w:val="clear" w:color="auto" w:fill="D9D9D9"/>
            <w:vAlign w:val="bottom"/>
          </w:tcPr>
          <w:p w14:paraId="73C4E13D" w14:textId="3B90A871" w:rsidR="00C01698" w:rsidRPr="00D80FBD" w:rsidRDefault="00C01698" w:rsidP="008446D1">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4C1CE3">
              <w:rPr>
                <w:rFonts w:ascii="Times New Roman" w:hAnsi="Times New Roman" w:cs="Times New Roman"/>
                <w:b/>
                <w:sz w:val="24"/>
                <w:szCs w:val="24"/>
              </w:rPr>
              <w:t>725</w:t>
            </w:r>
            <w:r w:rsidR="008446D1">
              <w:rPr>
                <w:rFonts w:ascii="Times New Roman" w:hAnsi="Times New Roman" w:cs="Times New Roman"/>
                <w:b/>
                <w:sz w:val="24"/>
                <w:szCs w:val="24"/>
              </w:rPr>
              <w:t>T</w:t>
            </w:r>
          </w:p>
        </w:tc>
        <w:tc>
          <w:tcPr>
            <w:tcW w:w="1461" w:type="dxa"/>
            <w:shd w:val="clear" w:color="auto" w:fill="D9D9D9"/>
            <w:vAlign w:val="bottom"/>
          </w:tcPr>
          <w:p w14:paraId="73C4E13E"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73C4E13F"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73C4E140"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73C4E141"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C01698" w:rsidRPr="00D80FBD" w14:paraId="73C4E148" w14:textId="77777777" w:rsidTr="005F1C3C">
        <w:trPr>
          <w:trHeight w:val="591"/>
        </w:trPr>
        <w:tc>
          <w:tcPr>
            <w:tcW w:w="2679" w:type="dxa"/>
            <w:shd w:val="clear" w:color="auto" w:fill="auto"/>
          </w:tcPr>
          <w:p w14:paraId="73C4E143" w14:textId="77777777"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73C4E144" w14:textId="2ABE0FAC" w:rsidR="00C01698" w:rsidRPr="00FC440E" w:rsidRDefault="00B87FFB"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244</w:t>
            </w:r>
          </w:p>
        </w:tc>
        <w:tc>
          <w:tcPr>
            <w:tcW w:w="1620" w:type="dxa"/>
            <w:shd w:val="clear" w:color="auto" w:fill="auto"/>
            <w:vAlign w:val="center"/>
          </w:tcPr>
          <w:p w14:paraId="73C4E145" w14:textId="48441866" w:rsidR="00C01698" w:rsidRPr="00D80FBD" w:rsidRDefault="008446D1"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800" w:type="dxa"/>
            <w:shd w:val="clear" w:color="auto" w:fill="auto"/>
            <w:vAlign w:val="center"/>
          </w:tcPr>
          <w:p w14:paraId="73C4E146" w14:textId="32B0E1CF" w:rsidR="00C01698" w:rsidRPr="00D80FBD" w:rsidRDefault="006C59F4"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800" w:type="dxa"/>
            <w:shd w:val="clear" w:color="auto" w:fill="auto"/>
            <w:vAlign w:val="center"/>
          </w:tcPr>
          <w:p w14:paraId="73C4E147" w14:textId="4E9037F8" w:rsidR="00C01698" w:rsidRPr="00D80FBD" w:rsidRDefault="00B87FFB"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244</w:t>
            </w:r>
          </w:p>
        </w:tc>
      </w:tr>
      <w:tr w:rsidR="00C01698" w:rsidRPr="00D80FBD" w14:paraId="73C4E14E" w14:textId="77777777" w:rsidTr="005F1C3C">
        <w:trPr>
          <w:trHeight w:val="575"/>
        </w:trPr>
        <w:tc>
          <w:tcPr>
            <w:tcW w:w="2679" w:type="dxa"/>
            <w:shd w:val="clear" w:color="auto" w:fill="auto"/>
          </w:tcPr>
          <w:p w14:paraId="73C4E149" w14:textId="77777777"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73C4E14A" w14:textId="767EA7D3" w:rsidR="00C01698" w:rsidRPr="00FC440E" w:rsidRDefault="006C59F4"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58</w:t>
            </w:r>
            <w:r w:rsidR="003A53B9">
              <w:rPr>
                <w:rFonts w:ascii="Times New Roman" w:hAnsi="Times New Roman" w:cs="Times New Roman"/>
                <w:sz w:val="24"/>
                <w:szCs w:val="24"/>
              </w:rPr>
              <w:t>0</w:t>
            </w:r>
          </w:p>
        </w:tc>
        <w:tc>
          <w:tcPr>
            <w:tcW w:w="1620" w:type="dxa"/>
            <w:shd w:val="clear" w:color="auto" w:fill="auto"/>
            <w:vAlign w:val="center"/>
          </w:tcPr>
          <w:p w14:paraId="73C4E14B" w14:textId="0BE49D67" w:rsidR="00C01698" w:rsidRPr="00D80FBD" w:rsidRDefault="008446D1"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800" w:type="dxa"/>
            <w:shd w:val="clear" w:color="auto" w:fill="auto"/>
            <w:vAlign w:val="center"/>
          </w:tcPr>
          <w:p w14:paraId="73C4E14C" w14:textId="3C24DF30" w:rsidR="00C01698" w:rsidRPr="00D80FBD" w:rsidRDefault="006C59F4"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800" w:type="dxa"/>
            <w:shd w:val="clear" w:color="auto" w:fill="auto"/>
            <w:vAlign w:val="center"/>
          </w:tcPr>
          <w:p w14:paraId="73C4E14D" w14:textId="73F94BF3" w:rsidR="00C01698" w:rsidRPr="00D80FBD" w:rsidRDefault="006C59F4"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58</w:t>
            </w:r>
            <w:r w:rsidR="003A53B9">
              <w:rPr>
                <w:rFonts w:ascii="Times New Roman" w:hAnsi="Times New Roman" w:cs="Times New Roman"/>
                <w:sz w:val="24"/>
                <w:szCs w:val="24"/>
              </w:rPr>
              <w:t>0</w:t>
            </w:r>
          </w:p>
        </w:tc>
      </w:tr>
      <w:tr w:rsidR="00C01698" w:rsidRPr="00D80FBD" w14:paraId="73C4E154" w14:textId="77777777" w:rsidTr="005F1C3C">
        <w:trPr>
          <w:trHeight w:val="295"/>
        </w:trPr>
        <w:tc>
          <w:tcPr>
            <w:tcW w:w="2679" w:type="dxa"/>
            <w:tcBorders>
              <w:bottom w:val="single" w:sz="4" w:space="0" w:color="auto"/>
            </w:tcBorders>
            <w:shd w:val="clear" w:color="auto" w:fill="auto"/>
          </w:tcPr>
          <w:p w14:paraId="73C4E14F" w14:textId="77777777"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73C4E150" w14:textId="73C79088" w:rsidR="00C01698" w:rsidRPr="000C7221" w:rsidRDefault="006C59F4" w:rsidP="005F1C3C">
            <w:pPr>
              <w:spacing w:after="0" w:line="240" w:lineRule="auto"/>
              <w:jc w:val="right"/>
              <w:rPr>
                <w:rFonts w:ascii="Times New Roman" w:hAnsi="Times New Roman" w:cs="Times New Roman"/>
                <w:sz w:val="24"/>
                <w:szCs w:val="24"/>
                <w:highlight w:val="yellow"/>
              </w:rPr>
            </w:pPr>
            <w:r w:rsidRPr="006C59F4">
              <w:rPr>
                <w:rFonts w:ascii="Times New Roman" w:hAnsi="Times New Roman" w:cs="Times New Roman"/>
                <w:sz w:val="24"/>
                <w:szCs w:val="24"/>
              </w:rPr>
              <w:t>-</w:t>
            </w:r>
          </w:p>
        </w:tc>
        <w:tc>
          <w:tcPr>
            <w:tcW w:w="1620" w:type="dxa"/>
            <w:tcBorders>
              <w:bottom w:val="single" w:sz="4" w:space="0" w:color="auto"/>
            </w:tcBorders>
            <w:shd w:val="clear" w:color="auto" w:fill="auto"/>
            <w:vAlign w:val="center"/>
          </w:tcPr>
          <w:p w14:paraId="73C4E151" w14:textId="634EBCB0" w:rsidR="00C01698" w:rsidRPr="00D80FBD" w:rsidRDefault="008446D1"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800" w:type="dxa"/>
            <w:tcBorders>
              <w:bottom w:val="single" w:sz="4" w:space="0" w:color="auto"/>
            </w:tcBorders>
            <w:shd w:val="clear" w:color="auto" w:fill="auto"/>
            <w:vAlign w:val="center"/>
          </w:tcPr>
          <w:p w14:paraId="73C4E152" w14:textId="3E5B02AC" w:rsidR="00C01698" w:rsidRPr="00D80FBD" w:rsidRDefault="006C59F4"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800" w:type="dxa"/>
            <w:tcBorders>
              <w:bottom w:val="single" w:sz="4" w:space="0" w:color="auto"/>
            </w:tcBorders>
            <w:shd w:val="clear" w:color="auto" w:fill="auto"/>
            <w:vAlign w:val="center"/>
          </w:tcPr>
          <w:p w14:paraId="73C4E153" w14:textId="38D6EB23" w:rsidR="00C01698" w:rsidRPr="00D80FBD" w:rsidRDefault="006C59F4"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bl>
    <w:p w14:paraId="73C4E16E" w14:textId="77777777" w:rsidR="005358C0" w:rsidRDefault="005358C0" w:rsidP="00A276F5">
      <w:pPr>
        <w:spacing w:after="0"/>
        <w:rPr>
          <w:rFonts w:ascii="Times New Roman" w:hAnsi="Times New Roman" w:cs="Times New Roman"/>
          <w:sz w:val="24"/>
          <w:szCs w:val="24"/>
        </w:rPr>
      </w:pPr>
    </w:p>
    <w:p w14:paraId="73C4E16F" w14:textId="77777777" w:rsidR="00C01698" w:rsidRDefault="00970FE4"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format, label, and definitions of the table above follow the </w:t>
      </w:r>
      <w:r w:rsidR="00CE4C25">
        <w:rPr>
          <w:rFonts w:ascii="Times New Roman" w:hAnsi="Times New Roman" w:cs="Times New Roman"/>
          <w:sz w:val="24"/>
          <w:szCs w:val="24"/>
        </w:rPr>
        <w:t xml:space="preserve">Office of Management and Budget’s online submittal system for information collection requests. </w:t>
      </w:r>
    </w:p>
    <w:p w14:paraId="73C4E170" w14:textId="77777777" w:rsidR="00970FE4" w:rsidRPr="00A276F5" w:rsidRDefault="00970FE4" w:rsidP="00A276F5">
      <w:pPr>
        <w:spacing w:after="0"/>
        <w:rPr>
          <w:rFonts w:ascii="Times New Roman" w:hAnsi="Times New Roman" w:cs="Times New Roman"/>
          <w:sz w:val="24"/>
          <w:szCs w:val="24"/>
        </w:rPr>
      </w:pPr>
    </w:p>
    <w:p w14:paraId="73C4E171"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73C4E172" w14:textId="77777777" w:rsidR="00414F32" w:rsidRDefault="00414F32" w:rsidP="00414F32">
      <w:pPr>
        <w:spacing w:after="0"/>
        <w:rPr>
          <w:rFonts w:ascii="Times New Roman" w:hAnsi="Times New Roman" w:cs="Times New Roman"/>
          <w:sz w:val="24"/>
          <w:szCs w:val="24"/>
        </w:rPr>
      </w:pPr>
    </w:p>
    <w:p w14:paraId="73C4E173" w14:textId="77777777"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There are no tabulating, statistical or tabulating analysis or publication plans for the collection of information.  </w:t>
      </w:r>
    </w:p>
    <w:p w14:paraId="73C4E174" w14:textId="77777777" w:rsidR="00414F32" w:rsidRPr="00414F32" w:rsidRDefault="00414F32" w:rsidP="00414F32">
      <w:pPr>
        <w:spacing w:after="0"/>
        <w:rPr>
          <w:rFonts w:ascii="Times New Roman" w:hAnsi="Times New Roman" w:cs="Times New Roman"/>
          <w:sz w:val="24"/>
          <w:szCs w:val="24"/>
        </w:rPr>
      </w:pPr>
    </w:p>
    <w:p w14:paraId="73C4E175"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73C4E176" w14:textId="77777777" w:rsidR="00414F32" w:rsidRDefault="00414F32" w:rsidP="00414F32">
      <w:pPr>
        <w:spacing w:after="0"/>
        <w:rPr>
          <w:rFonts w:ascii="Times New Roman" w:hAnsi="Times New Roman" w:cs="Times New Roman"/>
          <w:sz w:val="24"/>
          <w:szCs w:val="24"/>
        </w:rPr>
      </w:pPr>
    </w:p>
    <w:p w14:paraId="73C4E177" w14:textId="77777777"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It is not appropriate to display the expiration date for OMB approval of the information collection.  The </w:t>
      </w:r>
      <w:r w:rsidR="000954E0">
        <w:rPr>
          <w:rFonts w:ascii="Times New Roman" w:hAnsi="Times New Roman" w:cs="Times New Roman"/>
          <w:sz w:val="24"/>
          <w:szCs w:val="24"/>
        </w:rPr>
        <w:t>information is not collected</w:t>
      </w:r>
      <w:r w:rsidRPr="005F6467">
        <w:rPr>
          <w:rFonts w:ascii="Times New Roman" w:hAnsi="Times New Roman" w:cs="Times New Roman"/>
          <w:sz w:val="24"/>
          <w:szCs w:val="24"/>
        </w:rPr>
        <w:t xml:space="preserve"> upon a standard form which would facilitate the display of the expiration date for OMB approval.</w:t>
      </w:r>
    </w:p>
    <w:p w14:paraId="73C4E178" w14:textId="77777777" w:rsidR="00414F32" w:rsidRPr="00414F32" w:rsidRDefault="00414F32" w:rsidP="00414F32">
      <w:pPr>
        <w:spacing w:after="0"/>
        <w:rPr>
          <w:rFonts w:ascii="Times New Roman" w:hAnsi="Times New Roman" w:cs="Times New Roman"/>
          <w:sz w:val="24"/>
          <w:szCs w:val="24"/>
        </w:rPr>
      </w:pPr>
    </w:p>
    <w:p w14:paraId="73C4E179"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73C4E17A" w14:textId="77777777" w:rsidR="0057700F" w:rsidRDefault="0057700F" w:rsidP="0057700F">
      <w:pPr>
        <w:spacing w:after="0"/>
        <w:rPr>
          <w:rFonts w:ascii="Times New Roman" w:hAnsi="Times New Roman" w:cs="Times New Roman"/>
          <w:b/>
          <w:sz w:val="24"/>
          <w:szCs w:val="24"/>
        </w:rPr>
      </w:pPr>
    </w:p>
    <w:p w14:paraId="73C4E17B" w14:textId="77777777"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5F6467">
        <w:rPr>
          <w:rFonts w:ascii="Times New Roman" w:hAnsi="Times New Roman" w:cs="Times New Roman"/>
          <w:sz w:val="24"/>
          <w:szCs w:val="24"/>
        </w:rPr>
        <w:t>i</w:t>
      </w:r>
      <w:proofErr w:type="spellEnd"/>
      <w:r w:rsidRPr="005F6467">
        <w:rPr>
          <w:rFonts w:ascii="Times New Roman" w:hAnsi="Times New Roman" w:cs="Times New Roman"/>
          <w:sz w:val="24"/>
          <w:szCs w:val="24"/>
        </w:rPr>
        <w:t>) of the certification to OMB "effective and efficient statistical survey methodology."  The information collected is case specific to each information collection.</w:t>
      </w:r>
    </w:p>
    <w:p w14:paraId="73C4E17C" w14:textId="77777777" w:rsidR="00414F32" w:rsidRPr="007A2F92" w:rsidRDefault="00414F32" w:rsidP="007A2F92">
      <w:pPr>
        <w:spacing w:after="0"/>
        <w:rPr>
          <w:rFonts w:ascii="Times New Roman" w:hAnsi="Times New Roman" w:cs="Times New Roman"/>
          <w:sz w:val="24"/>
          <w:szCs w:val="24"/>
        </w:rPr>
      </w:pPr>
    </w:p>
    <w:sectPr w:rsidR="00414F32" w:rsidRPr="007A2F92" w:rsidSect="00934F3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1F43B" w14:textId="77777777" w:rsidR="00F961D8" w:rsidRDefault="00F961D8" w:rsidP="00FD66F1">
      <w:pPr>
        <w:spacing w:after="0" w:line="240" w:lineRule="auto"/>
      </w:pPr>
      <w:r>
        <w:separator/>
      </w:r>
    </w:p>
  </w:endnote>
  <w:endnote w:type="continuationSeparator" w:id="0">
    <w:p w14:paraId="2E9D78A3" w14:textId="77777777" w:rsidR="00F961D8" w:rsidRDefault="00F961D8"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573208"/>
      <w:docPartObj>
        <w:docPartGallery w:val="Page Numbers (Bottom of Page)"/>
        <w:docPartUnique/>
      </w:docPartObj>
    </w:sdtPr>
    <w:sdtEndPr>
      <w:rPr>
        <w:noProof/>
      </w:rPr>
    </w:sdtEndPr>
    <w:sdtContent>
      <w:p w14:paraId="158147B0" w14:textId="139068B9" w:rsidR="00A10D30" w:rsidRDefault="00A10D30">
        <w:pPr>
          <w:pStyle w:val="Footer"/>
          <w:jc w:val="right"/>
        </w:pPr>
        <w:r w:rsidRPr="00A10D30">
          <w:rPr>
            <w:rFonts w:ascii="Times New Roman" w:hAnsi="Times New Roman" w:cs="Times New Roman"/>
          </w:rPr>
          <w:fldChar w:fldCharType="begin"/>
        </w:r>
        <w:r w:rsidRPr="00A10D30">
          <w:rPr>
            <w:rFonts w:ascii="Times New Roman" w:hAnsi="Times New Roman" w:cs="Times New Roman"/>
          </w:rPr>
          <w:instrText xml:space="preserve"> PAGE   \* MERGEFORMAT </w:instrText>
        </w:r>
        <w:r w:rsidRPr="00A10D30">
          <w:rPr>
            <w:rFonts w:ascii="Times New Roman" w:hAnsi="Times New Roman" w:cs="Times New Roman"/>
          </w:rPr>
          <w:fldChar w:fldCharType="separate"/>
        </w:r>
        <w:r w:rsidR="00153DF6">
          <w:rPr>
            <w:rFonts w:ascii="Times New Roman" w:hAnsi="Times New Roman" w:cs="Times New Roman"/>
            <w:noProof/>
          </w:rPr>
          <w:t>2</w:t>
        </w:r>
        <w:r w:rsidRPr="00A10D30">
          <w:rPr>
            <w:rFonts w:ascii="Times New Roman" w:hAnsi="Times New Roman" w:cs="Times New Roman"/>
            <w:noProof/>
          </w:rPr>
          <w:fldChar w:fldCharType="end"/>
        </w:r>
      </w:p>
    </w:sdtContent>
  </w:sdt>
  <w:p w14:paraId="3349C438" w14:textId="77777777" w:rsidR="00A10D30" w:rsidRDefault="00A10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F6F85" w14:textId="77777777" w:rsidR="00F961D8" w:rsidRDefault="00F961D8" w:rsidP="00FD66F1">
      <w:pPr>
        <w:spacing w:after="0" w:line="240" w:lineRule="auto"/>
      </w:pPr>
      <w:r>
        <w:separator/>
      </w:r>
    </w:p>
  </w:footnote>
  <w:footnote w:type="continuationSeparator" w:id="0">
    <w:p w14:paraId="0124D2FE" w14:textId="77777777" w:rsidR="00F961D8" w:rsidRDefault="00F961D8" w:rsidP="00FD66F1">
      <w:pPr>
        <w:spacing w:after="0" w:line="240" w:lineRule="auto"/>
      </w:pPr>
      <w:r>
        <w:continuationSeparator/>
      </w:r>
    </w:p>
  </w:footnote>
  <w:footnote w:id="1">
    <w:p w14:paraId="1C1080DB" w14:textId="1FAC1AB2"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w:t>
      </w:r>
      <w:r w:rsidR="00983457">
        <w:rPr>
          <w:sz w:val="22"/>
          <w:szCs w:val="22"/>
        </w:rPr>
        <w:t xml:space="preserve">NERC </w:t>
      </w:r>
      <w:r w:rsidRPr="008446D1">
        <w:rPr>
          <w:sz w:val="22"/>
          <w:szCs w:val="22"/>
        </w:rPr>
        <w:t>Petition at 10</w:t>
      </w:r>
      <w:r w:rsidRPr="008446D1">
        <w:rPr>
          <w:i/>
          <w:sz w:val="22"/>
          <w:szCs w:val="22"/>
        </w:rPr>
        <w:t>.</w:t>
      </w:r>
    </w:p>
  </w:footnote>
  <w:footnote w:id="2">
    <w:p w14:paraId="73C4E188" w14:textId="77777777"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Energy Policy Act of 2005, Pub. L. No 109-58, Title XII, Subtitle A, 119 Stat. 594, 941 (2005), to be codified at 16 U.S.C. 824o.</w:t>
      </w:r>
    </w:p>
  </w:footnote>
  <w:footnote w:id="3">
    <w:p w14:paraId="73C4E189" w14:textId="6960F549" w:rsidR="00F961D8" w:rsidRPr="008446D1" w:rsidRDefault="00F961D8" w:rsidP="008446D1">
      <w:pPr>
        <w:pStyle w:val="FootnoteText"/>
        <w:ind w:firstLine="720"/>
        <w:rPr>
          <w:sz w:val="22"/>
          <w:szCs w:val="22"/>
          <w:lang w:val="pt-BR"/>
        </w:rPr>
      </w:pPr>
      <w:r w:rsidRPr="008446D1">
        <w:rPr>
          <w:rStyle w:val="FootnoteReference"/>
          <w:sz w:val="22"/>
          <w:szCs w:val="22"/>
        </w:rPr>
        <w:footnoteRef/>
      </w:r>
      <w:r w:rsidRPr="008446D1">
        <w:rPr>
          <w:sz w:val="22"/>
          <w:szCs w:val="22"/>
          <w:lang w:val="es-ES"/>
        </w:rPr>
        <w:t xml:space="preserve"> 16 USC </w:t>
      </w:r>
      <w:proofErr w:type="gramStart"/>
      <w:r w:rsidRPr="008446D1">
        <w:rPr>
          <w:sz w:val="22"/>
          <w:szCs w:val="22"/>
          <w:lang w:val="es-ES"/>
        </w:rPr>
        <w:t>824o(</w:t>
      </w:r>
      <w:proofErr w:type="gramEnd"/>
      <w:r w:rsidRPr="008446D1">
        <w:rPr>
          <w:sz w:val="22"/>
          <w:szCs w:val="22"/>
          <w:lang w:val="es-ES"/>
        </w:rPr>
        <w:t>e)(3) (2012)</w:t>
      </w:r>
      <w:r w:rsidRPr="008446D1">
        <w:rPr>
          <w:sz w:val="22"/>
          <w:szCs w:val="22"/>
          <w:lang w:val="pt-BR"/>
        </w:rPr>
        <w:t>.</w:t>
      </w:r>
    </w:p>
  </w:footnote>
  <w:footnote w:id="4">
    <w:p w14:paraId="73C4E18B" w14:textId="246B3B52"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Rules Concerning Certification of the Electric Reliability Organization; Procedures for the Establishment, Approval and Enforcement of Electric Reliability Standards, Order No. 672, 71 FR 8662 (February 17, 2006), FERC Stats. &amp; </w:t>
      </w:r>
      <w:proofErr w:type="spellStart"/>
      <w:r w:rsidRPr="008446D1">
        <w:rPr>
          <w:sz w:val="22"/>
          <w:szCs w:val="22"/>
        </w:rPr>
        <w:t>Regs</w:t>
      </w:r>
      <w:proofErr w:type="spellEnd"/>
      <w:r w:rsidRPr="008446D1">
        <w:rPr>
          <w:sz w:val="22"/>
          <w:szCs w:val="22"/>
        </w:rPr>
        <w:t xml:space="preserve">. ¶ 31,204 (2006), order on </w:t>
      </w:r>
      <w:proofErr w:type="spellStart"/>
      <w:r w:rsidRPr="008446D1">
        <w:rPr>
          <w:sz w:val="22"/>
          <w:szCs w:val="22"/>
        </w:rPr>
        <w:t>reh’g</w:t>
      </w:r>
      <w:proofErr w:type="spellEnd"/>
      <w:r w:rsidRPr="008446D1">
        <w:rPr>
          <w:sz w:val="22"/>
          <w:szCs w:val="22"/>
        </w:rPr>
        <w:t>, Order No. 672-A, 71 FR 19814 (April 18, 2006), FERC</w:t>
      </w:r>
      <w:r w:rsidR="00983457">
        <w:rPr>
          <w:sz w:val="22"/>
          <w:szCs w:val="22"/>
        </w:rPr>
        <w:t xml:space="preserve"> </w:t>
      </w:r>
      <w:r w:rsidRPr="008446D1">
        <w:rPr>
          <w:sz w:val="22"/>
          <w:szCs w:val="22"/>
        </w:rPr>
        <w:t xml:space="preserve">Stats. &amp; </w:t>
      </w:r>
      <w:proofErr w:type="spellStart"/>
      <w:r w:rsidRPr="008446D1">
        <w:rPr>
          <w:sz w:val="22"/>
          <w:szCs w:val="22"/>
        </w:rPr>
        <w:t>Regs</w:t>
      </w:r>
      <w:proofErr w:type="spellEnd"/>
      <w:r w:rsidRPr="008446D1">
        <w:rPr>
          <w:sz w:val="22"/>
          <w:szCs w:val="22"/>
        </w:rPr>
        <w:t>. ¶ 31,212 (2006).</w:t>
      </w:r>
    </w:p>
  </w:footnote>
  <w:footnote w:id="5">
    <w:p w14:paraId="73C4E18C" w14:textId="77777777"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North American Electric Reliability Corp., 116 FERC ¶ 61,062 (ERO Certification Order), order on </w:t>
      </w:r>
      <w:proofErr w:type="spellStart"/>
      <w:r w:rsidRPr="008446D1">
        <w:rPr>
          <w:sz w:val="22"/>
          <w:szCs w:val="22"/>
        </w:rPr>
        <w:t>reh’g</w:t>
      </w:r>
      <w:proofErr w:type="spellEnd"/>
      <w:r w:rsidRPr="008446D1">
        <w:rPr>
          <w:sz w:val="22"/>
          <w:szCs w:val="22"/>
        </w:rPr>
        <w:t xml:space="preserve"> &amp; compliance, 117 FERC ¶ 61,126 (ERO Rehearing Order) (2006), order on compliance, 118 FERC ¶ 61,030 (2007) (January 2007 Compliance Order).</w:t>
      </w:r>
    </w:p>
  </w:footnote>
  <w:footnote w:id="6">
    <w:p w14:paraId="73C4E18E" w14:textId="056060E9"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Section 215(a</w:t>
      </w:r>
      <w:proofErr w:type="gramStart"/>
      <w:r w:rsidRPr="008446D1">
        <w:rPr>
          <w:sz w:val="22"/>
          <w:szCs w:val="22"/>
        </w:rPr>
        <w:t>)(</w:t>
      </w:r>
      <w:proofErr w:type="gramEnd"/>
      <w:r w:rsidRPr="008446D1">
        <w:rPr>
          <w:sz w:val="22"/>
          <w:szCs w:val="22"/>
        </w:rPr>
        <w:t>3) of the FPA defines the term Reliability Standard to mean "a requirement, approved by the Commission under this section, to provide for reliable operation of the Bulk-Power System. This term includes requirements for the operation of existing Bulk-Power System facilities, including cybersecurity protection, and the</w:t>
      </w:r>
      <w:r w:rsidR="00773C4D">
        <w:rPr>
          <w:sz w:val="22"/>
          <w:szCs w:val="22"/>
        </w:rPr>
        <w:t xml:space="preserve"> </w:t>
      </w:r>
      <w:r w:rsidRPr="008446D1">
        <w:rPr>
          <w:sz w:val="22"/>
          <w:szCs w:val="22"/>
        </w:rPr>
        <w:t xml:space="preserve">design of planned additions or modifications to such facilities to the extent necessary to provide for the reliable operation of the Bulk-Power System, but the term does not include any requirement to enlarge such facilities or to construct new transmission capacity or generation capacity.” 16 U.S.C. </w:t>
      </w:r>
      <w:proofErr w:type="gramStart"/>
      <w:r w:rsidRPr="008446D1">
        <w:rPr>
          <w:sz w:val="22"/>
          <w:szCs w:val="22"/>
        </w:rPr>
        <w:t>824o(</w:t>
      </w:r>
      <w:proofErr w:type="gramEnd"/>
      <w:r w:rsidRPr="008446D1">
        <w:rPr>
          <w:sz w:val="22"/>
          <w:szCs w:val="22"/>
        </w:rPr>
        <w:t>a)(3).</w:t>
      </w:r>
    </w:p>
  </w:footnote>
  <w:footnote w:id="7">
    <w:p w14:paraId="73C4E18F" w14:textId="77777777"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Order No. 672 at P 262, 321-37.</w:t>
      </w:r>
    </w:p>
  </w:footnote>
  <w:footnote w:id="8">
    <w:p w14:paraId="6D0E48D8" w14:textId="77777777"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Petition at 11.</w:t>
      </w:r>
    </w:p>
  </w:footnote>
  <w:footnote w:id="9">
    <w:p w14:paraId="389B9140" w14:textId="77777777"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w:t>
      </w:r>
      <w:r w:rsidRPr="008446D1">
        <w:rPr>
          <w:i/>
          <w:sz w:val="22"/>
          <w:szCs w:val="22"/>
        </w:rPr>
        <w:t>Id.</w:t>
      </w:r>
      <w:r w:rsidRPr="008446D1">
        <w:rPr>
          <w:sz w:val="22"/>
          <w:szCs w:val="22"/>
        </w:rPr>
        <w:t xml:space="preserve"> at 3.</w:t>
      </w:r>
    </w:p>
  </w:footnote>
  <w:footnote w:id="10">
    <w:p w14:paraId="73C4E194" w14:textId="77777777"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Section 1502, paragraph 2, available at NERCs website</w:t>
      </w:r>
    </w:p>
  </w:footnote>
  <w:footnote w:id="11">
    <w:p w14:paraId="0D949065" w14:textId="77777777"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BA = Balancing Authority, GO = Generator Owner, GOP = Generator Operator.  </w:t>
      </w:r>
    </w:p>
  </w:footnote>
  <w:footnote w:id="12">
    <w:p w14:paraId="17743B60" w14:textId="77777777"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The estimates for cost per hour (rounded to the nearest dollar) are derived as follows: </w:t>
      </w:r>
    </w:p>
    <w:p w14:paraId="61168CB1" w14:textId="77777777" w:rsidR="00F961D8" w:rsidRPr="008446D1" w:rsidRDefault="00F961D8" w:rsidP="008446D1">
      <w:pPr>
        <w:pStyle w:val="ListParagraph"/>
        <w:numPr>
          <w:ilvl w:val="0"/>
          <w:numId w:val="5"/>
        </w:numPr>
        <w:spacing w:after="0" w:line="240" w:lineRule="auto"/>
        <w:ind w:left="180" w:firstLine="720"/>
        <w:rPr>
          <w:rFonts w:ascii="Times New Roman" w:hAnsi="Times New Roman" w:cs="Times New Roman"/>
        </w:rPr>
      </w:pPr>
      <w:r w:rsidRPr="008446D1">
        <w:rPr>
          <w:rFonts w:ascii="Times New Roman" w:hAnsi="Times New Roman" w:cs="Times New Roman"/>
        </w:rPr>
        <w:t xml:space="preserve">$60/hour, the average salary plus benefits per engineer (from Bureau of Labor Statistics at </w:t>
      </w:r>
      <w:hyperlink r:id="rId1" w:history="1">
        <w:r w:rsidRPr="008446D1">
          <w:rPr>
            <w:rStyle w:val="Hyperlink"/>
            <w:rFonts w:ascii="Times New Roman" w:hAnsi="Times New Roman" w:cs="Times New Roman"/>
          </w:rPr>
          <w:t>http://bls.gov/oes/current/naics3_221000.htm</w:t>
        </w:r>
      </w:hyperlink>
      <w:r w:rsidRPr="008446D1">
        <w:rPr>
          <w:rStyle w:val="Hyperlink"/>
          <w:rFonts w:ascii="Times New Roman" w:hAnsi="Times New Roman" w:cs="Times New Roman"/>
        </w:rPr>
        <w:t>)</w:t>
      </w:r>
    </w:p>
    <w:p w14:paraId="392052B2" w14:textId="77777777" w:rsidR="00F961D8" w:rsidRPr="008446D1" w:rsidRDefault="00F961D8" w:rsidP="008446D1">
      <w:pPr>
        <w:pStyle w:val="ListParagraph"/>
        <w:numPr>
          <w:ilvl w:val="0"/>
          <w:numId w:val="5"/>
        </w:numPr>
        <w:spacing w:after="0" w:line="240" w:lineRule="auto"/>
        <w:ind w:left="180" w:firstLine="720"/>
        <w:rPr>
          <w:rFonts w:ascii="Times New Roman" w:hAnsi="Times New Roman" w:cs="Times New Roman"/>
        </w:rPr>
      </w:pPr>
      <w:r w:rsidRPr="008446D1">
        <w:rPr>
          <w:rFonts w:ascii="Times New Roman" w:hAnsi="Times New Roman" w:cs="Times New Roman"/>
        </w:rPr>
        <w:t xml:space="preserve">$82/hour, the salary plus benefits per manager (from Bureau of Labor Statistics at </w:t>
      </w:r>
      <w:hyperlink r:id="rId2" w:tooltip="blocked::http://bls.gov/oes/current/naics3_221000.htm" w:history="1">
        <w:r w:rsidRPr="008446D1">
          <w:rPr>
            <w:rStyle w:val="Hyperlink"/>
            <w:rFonts w:ascii="Times New Roman" w:hAnsi="Times New Roman" w:cs="Times New Roman"/>
          </w:rPr>
          <w:t>http://bls.gov/oes/current/naics3_221000.htm</w:t>
        </w:r>
      </w:hyperlink>
      <w:r w:rsidRPr="008446D1">
        <w:rPr>
          <w:rStyle w:val="Hyperlink"/>
          <w:rFonts w:ascii="Times New Roman" w:hAnsi="Times New Roman" w:cs="Times New Roman"/>
        </w:rPr>
        <w:t>)</w:t>
      </w:r>
    </w:p>
    <w:p w14:paraId="28113BD3" w14:textId="77777777" w:rsidR="00F961D8" w:rsidRPr="008446D1" w:rsidRDefault="00F961D8" w:rsidP="008446D1">
      <w:pPr>
        <w:pStyle w:val="ListParagraph"/>
        <w:numPr>
          <w:ilvl w:val="0"/>
          <w:numId w:val="5"/>
        </w:numPr>
        <w:spacing w:after="120" w:line="240" w:lineRule="auto"/>
        <w:ind w:left="180" w:firstLine="720"/>
        <w:rPr>
          <w:rFonts w:ascii="Times New Roman" w:hAnsi="Times New Roman" w:cs="Times New Roman"/>
        </w:rPr>
      </w:pPr>
      <w:r w:rsidRPr="008446D1">
        <w:rPr>
          <w:rFonts w:ascii="Times New Roman" w:hAnsi="Times New Roman" w:cs="Times New Roman"/>
        </w:rPr>
        <w:t xml:space="preserve">$32/hour, the salary plus benefits per information and record clerks (from Bureau of Labor Statistics at </w:t>
      </w:r>
      <w:hyperlink r:id="rId3" w:tooltip="blocked::http://bls.gov/oes/current/naics3_221000.htm" w:history="1">
        <w:r w:rsidRPr="008446D1">
          <w:rPr>
            <w:rStyle w:val="Hyperlink"/>
            <w:rFonts w:ascii="Times New Roman" w:hAnsi="Times New Roman" w:cs="Times New Roman"/>
          </w:rPr>
          <w:t>http://bls.gov/oes/current/naics3_221000.htm</w:t>
        </w:r>
      </w:hyperlink>
      <w:r w:rsidRPr="008446D1">
        <w:rPr>
          <w:rStyle w:val="Hyperlink"/>
          <w:rFonts w:ascii="Times New Roman" w:hAnsi="Times New Roman" w:cs="Times New Roman"/>
        </w:rPr>
        <w:t>)</w:t>
      </w:r>
      <w:r w:rsidRPr="008446D1">
        <w:rPr>
          <w:rFonts w:ascii="Times New Roman" w:hAnsi="Times New Roman" w:cs="Times New Roman"/>
        </w:rPr>
        <w:t xml:space="preserve"> </w:t>
      </w:r>
    </w:p>
  </w:footnote>
  <w:footnote w:id="13">
    <w:p w14:paraId="73C4E19C" w14:textId="33A82CAA" w:rsidR="00F961D8" w:rsidRPr="008446D1" w:rsidRDefault="00F961D8" w:rsidP="008446D1">
      <w:pPr>
        <w:pStyle w:val="FootnoteText"/>
        <w:ind w:firstLine="720"/>
        <w:rPr>
          <w:sz w:val="22"/>
          <w:szCs w:val="22"/>
        </w:rPr>
      </w:pPr>
      <w:r w:rsidRPr="008446D1">
        <w:rPr>
          <w:rStyle w:val="FootnoteReference"/>
          <w:sz w:val="22"/>
          <w:szCs w:val="22"/>
        </w:rPr>
        <w:footnoteRef/>
      </w:r>
      <w:r w:rsidRPr="008446D1">
        <w:rPr>
          <w:sz w:val="22"/>
          <w:szCs w:val="22"/>
        </w:rPr>
        <w:t xml:space="preserve"> </w:t>
      </w:r>
      <w:r w:rsidR="00217871" w:rsidRPr="005D7A1B">
        <w:t>The Commission bases the cost of Paperwork Reduction Act administration on staff time, and other costs related to compliance with the Paperwork Reduction Act of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E181" w14:textId="2484BF82" w:rsidR="00F961D8" w:rsidRDefault="00F961D8">
    <w:pPr>
      <w:pStyle w:val="Header"/>
      <w:rPr>
        <w:rFonts w:ascii="Times New Roman" w:hAnsi="Times New Roman" w:cs="Times New Roman"/>
        <w:sz w:val="24"/>
        <w:szCs w:val="24"/>
      </w:rPr>
    </w:pPr>
    <w:r>
      <w:rPr>
        <w:rFonts w:ascii="Times New Roman" w:hAnsi="Times New Roman" w:cs="Times New Roman"/>
        <w:sz w:val="24"/>
        <w:szCs w:val="24"/>
      </w:rPr>
      <w:t>FERC-725T (OMB Control No.: to be determined)</w:t>
    </w:r>
  </w:p>
  <w:p w14:paraId="73C4E184" w14:textId="546DBB2E" w:rsidR="00F961D8" w:rsidRDefault="00F961D8">
    <w:pPr>
      <w:pStyle w:val="Header"/>
      <w:rPr>
        <w:rFonts w:ascii="Times New Roman" w:hAnsi="Times New Roman" w:cs="Times New Roman"/>
        <w:sz w:val="24"/>
        <w:szCs w:val="24"/>
      </w:rPr>
    </w:pPr>
    <w:r>
      <w:rPr>
        <w:rFonts w:ascii="Times New Roman" w:hAnsi="Times New Roman" w:cs="Times New Roman"/>
        <w:sz w:val="24"/>
        <w:szCs w:val="24"/>
      </w:rPr>
      <w:t>Order in Docket No. RD13-12</w:t>
    </w:r>
    <w:r w:rsidR="00D45624">
      <w:rPr>
        <w:rFonts w:ascii="Times New Roman" w:hAnsi="Times New Roman" w:cs="Times New Roman"/>
        <w:sz w:val="24"/>
        <w:szCs w:val="24"/>
      </w:rPr>
      <w:t xml:space="preserve"> (Issued 1/16/2014)</w:t>
    </w:r>
  </w:p>
  <w:p w14:paraId="557DC14E" w14:textId="10B2B87E" w:rsidR="00D45624" w:rsidRDefault="00D45624">
    <w:pPr>
      <w:pStyle w:val="Header"/>
      <w:rPr>
        <w:rFonts w:ascii="Times New Roman" w:hAnsi="Times New Roman" w:cs="Times New Roman"/>
        <w:sz w:val="24"/>
        <w:szCs w:val="24"/>
      </w:rPr>
    </w:pPr>
    <w:r>
      <w:rPr>
        <w:rFonts w:ascii="Times New Roman" w:hAnsi="Times New Roman" w:cs="Times New Roman"/>
        <w:sz w:val="24"/>
        <w:szCs w:val="24"/>
      </w:rPr>
      <w:t>Updated: 6/2/2014</w:t>
    </w:r>
  </w:p>
  <w:p w14:paraId="73C4E185" w14:textId="77777777" w:rsidR="00F961D8" w:rsidRDefault="00F961D8">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57D8"/>
    <w:multiLevelType w:val="hybridMultilevel"/>
    <w:tmpl w:val="80DA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35832239"/>
    <w:multiLevelType w:val="hybridMultilevel"/>
    <w:tmpl w:val="5598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6D0D25"/>
    <w:multiLevelType w:val="hybridMultilevel"/>
    <w:tmpl w:val="7306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77E33"/>
    <w:multiLevelType w:val="hybridMultilevel"/>
    <w:tmpl w:val="6368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EB7371"/>
    <w:multiLevelType w:val="hybridMultilevel"/>
    <w:tmpl w:val="B63CD2F8"/>
    <w:lvl w:ilvl="0" w:tplc="77BE40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984DCA"/>
    <w:multiLevelType w:val="hybridMultilevel"/>
    <w:tmpl w:val="3AC894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2150C"/>
    <w:multiLevelType w:val="hybridMultilevel"/>
    <w:tmpl w:val="5C3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4E4DD3"/>
    <w:multiLevelType w:val="hybridMultilevel"/>
    <w:tmpl w:val="47783C4C"/>
    <w:lvl w:ilvl="0" w:tplc="BB683C0C">
      <w:start w:val="1"/>
      <w:numFmt w:val="decimal"/>
      <w:lvlText w:val="%1."/>
      <w:lvlJc w:val="left"/>
      <w:pPr>
        <w:tabs>
          <w:tab w:val="num" w:pos="2520"/>
        </w:tabs>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430"/>
        </w:tabs>
        <w:ind w:left="243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num w:numId="1">
    <w:abstractNumId w:val="8"/>
  </w:num>
  <w:num w:numId="2">
    <w:abstractNumId w:val="1"/>
  </w:num>
  <w:num w:numId="3">
    <w:abstractNumId w:val="9"/>
  </w:num>
  <w:num w:numId="4">
    <w:abstractNumId w:val="11"/>
  </w:num>
  <w:num w:numId="5">
    <w:abstractNumId w:val="5"/>
  </w:num>
  <w:num w:numId="6">
    <w:abstractNumId w:val="10"/>
  </w:num>
  <w:num w:numId="7">
    <w:abstractNumId w:val="0"/>
  </w:num>
  <w:num w:numId="8">
    <w:abstractNumId w:val="2"/>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06BE"/>
    <w:rsid w:val="000029C1"/>
    <w:rsid w:val="00003ACA"/>
    <w:rsid w:val="00010D02"/>
    <w:rsid w:val="00020AAB"/>
    <w:rsid w:val="00027D7B"/>
    <w:rsid w:val="00033472"/>
    <w:rsid w:val="00035845"/>
    <w:rsid w:val="00037921"/>
    <w:rsid w:val="00037D9B"/>
    <w:rsid w:val="00040FAB"/>
    <w:rsid w:val="00053E63"/>
    <w:rsid w:val="000576B9"/>
    <w:rsid w:val="0007518A"/>
    <w:rsid w:val="000758EA"/>
    <w:rsid w:val="00083E1C"/>
    <w:rsid w:val="00085D08"/>
    <w:rsid w:val="00086B9E"/>
    <w:rsid w:val="000954E0"/>
    <w:rsid w:val="000A1A83"/>
    <w:rsid w:val="000A3991"/>
    <w:rsid w:val="000B0C37"/>
    <w:rsid w:val="000B3AF7"/>
    <w:rsid w:val="000C5F38"/>
    <w:rsid w:val="000C7221"/>
    <w:rsid w:val="000E034D"/>
    <w:rsid w:val="000E1461"/>
    <w:rsid w:val="000F2DE8"/>
    <w:rsid w:val="000F471C"/>
    <w:rsid w:val="0010531D"/>
    <w:rsid w:val="0011444E"/>
    <w:rsid w:val="001178C8"/>
    <w:rsid w:val="0014103B"/>
    <w:rsid w:val="00143103"/>
    <w:rsid w:val="00147F3A"/>
    <w:rsid w:val="001507E4"/>
    <w:rsid w:val="00153DF6"/>
    <w:rsid w:val="001641B7"/>
    <w:rsid w:val="001806D3"/>
    <w:rsid w:val="00181727"/>
    <w:rsid w:val="00185730"/>
    <w:rsid w:val="00187E9C"/>
    <w:rsid w:val="001A38A5"/>
    <w:rsid w:val="001A593C"/>
    <w:rsid w:val="001B3FAF"/>
    <w:rsid w:val="001C25E8"/>
    <w:rsid w:val="001C710B"/>
    <w:rsid w:val="001E209B"/>
    <w:rsid w:val="001E2319"/>
    <w:rsid w:val="001E439A"/>
    <w:rsid w:val="001F77D0"/>
    <w:rsid w:val="00210C0B"/>
    <w:rsid w:val="00217871"/>
    <w:rsid w:val="0022505A"/>
    <w:rsid w:val="002273A2"/>
    <w:rsid w:val="0023625D"/>
    <w:rsid w:val="00244AE0"/>
    <w:rsid w:val="00252919"/>
    <w:rsid w:val="00253742"/>
    <w:rsid w:val="00264274"/>
    <w:rsid w:val="002644C5"/>
    <w:rsid w:val="0026674D"/>
    <w:rsid w:val="00270AC6"/>
    <w:rsid w:val="00283003"/>
    <w:rsid w:val="0029046B"/>
    <w:rsid w:val="002B3F33"/>
    <w:rsid w:val="002B6123"/>
    <w:rsid w:val="002C60D2"/>
    <w:rsid w:val="002D11C6"/>
    <w:rsid w:val="002D7931"/>
    <w:rsid w:val="002F7E24"/>
    <w:rsid w:val="00310854"/>
    <w:rsid w:val="00315356"/>
    <w:rsid w:val="00317A26"/>
    <w:rsid w:val="00325A82"/>
    <w:rsid w:val="00345BD0"/>
    <w:rsid w:val="00346D83"/>
    <w:rsid w:val="00355D34"/>
    <w:rsid w:val="00357341"/>
    <w:rsid w:val="00370748"/>
    <w:rsid w:val="00372A4C"/>
    <w:rsid w:val="00377709"/>
    <w:rsid w:val="003847B0"/>
    <w:rsid w:val="00396932"/>
    <w:rsid w:val="003A127D"/>
    <w:rsid w:val="003A1984"/>
    <w:rsid w:val="003A53B9"/>
    <w:rsid w:val="003C18B4"/>
    <w:rsid w:val="003C2ED2"/>
    <w:rsid w:val="003C61AA"/>
    <w:rsid w:val="003D12CC"/>
    <w:rsid w:val="003D3E5D"/>
    <w:rsid w:val="003D5A86"/>
    <w:rsid w:val="003E0FDF"/>
    <w:rsid w:val="003E33F6"/>
    <w:rsid w:val="003E720B"/>
    <w:rsid w:val="003F137D"/>
    <w:rsid w:val="003F3124"/>
    <w:rsid w:val="003F3F4A"/>
    <w:rsid w:val="003F5E0D"/>
    <w:rsid w:val="003F6D63"/>
    <w:rsid w:val="00414F32"/>
    <w:rsid w:val="00420784"/>
    <w:rsid w:val="00431B81"/>
    <w:rsid w:val="00445971"/>
    <w:rsid w:val="004515F3"/>
    <w:rsid w:val="00481700"/>
    <w:rsid w:val="00497EE1"/>
    <w:rsid w:val="004A7822"/>
    <w:rsid w:val="004B0740"/>
    <w:rsid w:val="004B4F26"/>
    <w:rsid w:val="004B5F04"/>
    <w:rsid w:val="004C1CE3"/>
    <w:rsid w:val="004C4C89"/>
    <w:rsid w:val="004D0210"/>
    <w:rsid w:val="004E2A04"/>
    <w:rsid w:val="004F271A"/>
    <w:rsid w:val="004F3EA1"/>
    <w:rsid w:val="004F6977"/>
    <w:rsid w:val="00512DF0"/>
    <w:rsid w:val="00522F69"/>
    <w:rsid w:val="00526E53"/>
    <w:rsid w:val="0053287C"/>
    <w:rsid w:val="005358C0"/>
    <w:rsid w:val="005506B5"/>
    <w:rsid w:val="005632E4"/>
    <w:rsid w:val="005664EE"/>
    <w:rsid w:val="00571C5E"/>
    <w:rsid w:val="005765A2"/>
    <w:rsid w:val="0057700F"/>
    <w:rsid w:val="005A2792"/>
    <w:rsid w:val="005A6588"/>
    <w:rsid w:val="005B77CE"/>
    <w:rsid w:val="005C35BE"/>
    <w:rsid w:val="005D0E7F"/>
    <w:rsid w:val="005D170E"/>
    <w:rsid w:val="005E2D91"/>
    <w:rsid w:val="005E431C"/>
    <w:rsid w:val="005F147C"/>
    <w:rsid w:val="005F1C3C"/>
    <w:rsid w:val="005F272B"/>
    <w:rsid w:val="005F6467"/>
    <w:rsid w:val="006048EF"/>
    <w:rsid w:val="00606887"/>
    <w:rsid w:val="006103BD"/>
    <w:rsid w:val="006166FA"/>
    <w:rsid w:val="00622377"/>
    <w:rsid w:val="00623354"/>
    <w:rsid w:val="006511E3"/>
    <w:rsid w:val="006533CF"/>
    <w:rsid w:val="006546B7"/>
    <w:rsid w:val="006619F6"/>
    <w:rsid w:val="00664BC0"/>
    <w:rsid w:val="006674B7"/>
    <w:rsid w:val="00674751"/>
    <w:rsid w:val="00690136"/>
    <w:rsid w:val="006A502A"/>
    <w:rsid w:val="006A6E1A"/>
    <w:rsid w:val="006C5341"/>
    <w:rsid w:val="006C59F4"/>
    <w:rsid w:val="006C61FA"/>
    <w:rsid w:val="006D3608"/>
    <w:rsid w:val="006D4BDA"/>
    <w:rsid w:val="006E3688"/>
    <w:rsid w:val="006F78CE"/>
    <w:rsid w:val="0070685A"/>
    <w:rsid w:val="00711119"/>
    <w:rsid w:val="007147A4"/>
    <w:rsid w:val="007174D1"/>
    <w:rsid w:val="00720C35"/>
    <w:rsid w:val="00754AEA"/>
    <w:rsid w:val="00760B47"/>
    <w:rsid w:val="00773AEB"/>
    <w:rsid w:val="00773C4D"/>
    <w:rsid w:val="00781CC5"/>
    <w:rsid w:val="00787670"/>
    <w:rsid w:val="00787D97"/>
    <w:rsid w:val="007A109E"/>
    <w:rsid w:val="007A192B"/>
    <w:rsid w:val="007A2F92"/>
    <w:rsid w:val="007E5069"/>
    <w:rsid w:val="007E7C0F"/>
    <w:rsid w:val="007F6B50"/>
    <w:rsid w:val="00800EAC"/>
    <w:rsid w:val="00802AAA"/>
    <w:rsid w:val="00811F36"/>
    <w:rsid w:val="008140D5"/>
    <w:rsid w:val="00815180"/>
    <w:rsid w:val="00842BCB"/>
    <w:rsid w:val="008435CF"/>
    <w:rsid w:val="008446D1"/>
    <w:rsid w:val="00850238"/>
    <w:rsid w:val="00850ED0"/>
    <w:rsid w:val="0085599C"/>
    <w:rsid w:val="008619E1"/>
    <w:rsid w:val="0087322D"/>
    <w:rsid w:val="00876F75"/>
    <w:rsid w:val="008918DD"/>
    <w:rsid w:val="008A21A4"/>
    <w:rsid w:val="008B136F"/>
    <w:rsid w:val="008B3249"/>
    <w:rsid w:val="008C288D"/>
    <w:rsid w:val="008E70CD"/>
    <w:rsid w:val="008F2342"/>
    <w:rsid w:val="008F3249"/>
    <w:rsid w:val="0091269C"/>
    <w:rsid w:val="00912EE7"/>
    <w:rsid w:val="00913A8B"/>
    <w:rsid w:val="009165BD"/>
    <w:rsid w:val="0092159E"/>
    <w:rsid w:val="0093321F"/>
    <w:rsid w:val="00934F32"/>
    <w:rsid w:val="009407B5"/>
    <w:rsid w:val="009410F5"/>
    <w:rsid w:val="00947D1E"/>
    <w:rsid w:val="009550CD"/>
    <w:rsid w:val="00970FE4"/>
    <w:rsid w:val="00983457"/>
    <w:rsid w:val="009930F3"/>
    <w:rsid w:val="00995CE3"/>
    <w:rsid w:val="00997F2A"/>
    <w:rsid w:val="009A1023"/>
    <w:rsid w:val="009B6C7A"/>
    <w:rsid w:val="009C29EB"/>
    <w:rsid w:val="009C3DFC"/>
    <w:rsid w:val="009E1190"/>
    <w:rsid w:val="009E6FC9"/>
    <w:rsid w:val="009F6339"/>
    <w:rsid w:val="00A017DF"/>
    <w:rsid w:val="00A10D30"/>
    <w:rsid w:val="00A14E51"/>
    <w:rsid w:val="00A24C0C"/>
    <w:rsid w:val="00A276F5"/>
    <w:rsid w:val="00A57E8A"/>
    <w:rsid w:val="00A6260C"/>
    <w:rsid w:val="00A66474"/>
    <w:rsid w:val="00A72556"/>
    <w:rsid w:val="00A72E7B"/>
    <w:rsid w:val="00A80703"/>
    <w:rsid w:val="00A82C77"/>
    <w:rsid w:val="00A96B65"/>
    <w:rsid w:val="00AA1AAD"/>
    <w:rsid w:val="00AA5C96"/>
    <w:rsid w:val="00AB5BA8"/>
    <w:rsid w:val="00AB6BE3"/>
    <w:rsid w:val="00AD3DE5"/>
    <w:rsid w:val="00AE461D"/>
    <w:rsid w:val="00AE685D"/>
    <w:rsid w:val="00B12F15"/>
    <w:rsid w:val="00B17171"/>
    <w:rsid w:val="00B21C90"/>
    <w:rsid w:val="00B31749"/>
    <w:rsid w:val="00B44328"/>
    <w:rsid w:val="00B51356"/>
    <w:rsid w:val="00B525FF"/>
    <w:rsid w:val="00B64057"/>
    <w:rsid w:val="00B71419"/>
    <w:rsid w:val="00B76880"/>
    <w:rsid w:val="00B8674E"/>
    <w:rsid w:val="00B87FFB"/>
    <w:rsid w:val="00B93F7E"/>
    <w:rsid w:val="00B945E3"/>
    <w:rsid w:val="00B94AB6"/>
    <w:rsid w:val="00BA1C7D"/>
    <w:rsid w:val="00BA7C56"/>
    <w:rsid w:val="00BA7E10"/>
    <w:rsid w:val="00BB78E6"/>
    <w:rsid w:val="00BC581E"/>
    <w:rsid w:val="00BC5C2B"/>
    <w:rsid w:val="00BD6F3E"/>
    <w:rsid w:val="00BD78A5"/>
    <w:rsid w:val="00BF5306"/>
    <w:rsid w:val="00C01698"/>
    <w:rsid w:val="00C24A0B"/>
    <w:rsid w:val="00C277C0"/>
    <w:rsid w:val="00C510DD"/>
    <w:rsid w:val="00C531C4"/>
    <w:rsid w:val="00C63CC8"/>
    <w:rsid w:val="00C70EB8"/>
    <w:rsid w:val="00C84516"/>
    <w:rsid w:val="00C93C75"/>
    <w:rsid w:val="00CA59C3"/>
    <w:rsid w:val="00CA6AB0"/>
    <w:rsid w:val="00CB313D"/>
    <w:rsid w:val="00CC1FA0"/>
    <w:rsid w:val="00CE03A3"/>
    <w:rsid w:val="00CE3F27"/>
    <w:rsid w:val="00CE4C25"/>
    <w:rsid w:val="00CF360D"/>
    <w:rsid w:val="00CF54D6"/>
    <w:rsid w:val="00D06873"/>
    <w:rsid w:val="00D23B0B"/>
    <w:rsid w:val="00D267E3"/>
    <w:rsid w:val="00D4481A"/>
    <w:rsid w:val="00D45624"/>
    <w:rsid w:val="00D51FB0"/>
    <w:rsid w:val="00D55634"/>
    <w:rsid w:val="00D64C43"/>
    <w:rsid w:val="00D76EC9"/>
    <w:rsid w:val="00D80FBD"/>
    <w:rsid w:val="00D93BB5"/>
    <w:rsid w:val="00DA2617"/>
    <w:rsid w:val="00DA275B"/>
    <w:rsid w:val="00DA2F30"/>
    <w:rsid w:val="00DB7AA6"/>
    <w:rsid w:val="00DC283A"/>
    <w:rsid w:val="00DC4E36"/>
    <w:rsid w:val="00DD45C5"/>
    <w:rsid w:val="00DD6006"/>
    <w:rsid w:val="00DE2C54"/>
    <w:rsid w:val="00DE5B13"/>
    <w:rsid w:val="00DE6C34"/>
    <w:rsid w:val="00E00A12"/>
    <w:rsid w:val="00E11CA6"/>
    <w:rsid w:val="00E131B1"/>
    <w:rsid w:val="00E14565"/>
    <w:rsid w:val="00E20612"/>
    <w:rsid w:val="00E24323"/>
    <w:rsid w:val="00E244B9"/>
    <w:rsid w:val="00E305CD"/>
    <w:rsid w:val="00E466EE"/>
    <w:rsid w:val="00E50CC0"/>
    <w:rsid w:val="00E54916"/>
    <w:rsid w:val="00E636D7"/>
    <w:rsid w:val="00E726E3"/>
    <w:rsid w:val="00E73AEE"/>
    <w:rsid w:val="00E80B50"/>
    <w:rsid w:val="00E87A4F"/>
    <w:rsid w:val="00E91AD0"/>
    <w:rsid w:val="00EA645C"/>
    <w:rsid w:val="00EB3E6F"/>
    <w:rsid w:val="00ED2F77"/>
    <w:rsid w:val="00ED5560"/>
    <w:rsid w:val="00EE0B69"/>
    <w:rsid w:val="00EE2085"/>
    <w:rsid w:val="00EE41E5"/>
    <w:rsid w:val="00EE4B39"/>
    <w:rsid w:val="00EE569C"/>
    <w:rsid w:val="00EE5934"/>
    <w:rsid w:val="00EF58A5"/>
    <w:rsid w:val="00EF5F82"/>
    <w:rsid w:val="00F12DC2"/>
    <w:rsid w:val="00F152DF"/>
    <w:rsid w:val="00F1616B"/>
    <w:rsid w:val="00F27BE3"/>
    <w:rsid w:val="00F32089"/>
    <w:rsid w:val="00F400D7"/>
    <w:rsid w:val="00F43D22"/>
    <w:rsid w:val="00F55C87"/>
    <w:rsid w:val="00F757B1"/>
    <w:rsid w:val="00F961D8"/>
    <w:rsid w:val="00FB71BA"/>
    <w:rsid w:val="00FC440E"/>
    <w:rsid w:val="00FC6FAB"/>
    <w:rsid w:val="00FD2F9D"/>
    <w:rsid w:val="00FD66F1"/>
    <w:rsid w:val="00FD716E"/>
    <w:rsid w:val="00FF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C4DFA5"/>
  <w15:docId w15:val="{543A8F57-28E3-47B4-84B2-07EFB7B7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fn Char1,Footnote Text Char1 Char3,Footnote Text Char Char Char2,fn1 Char1"/>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nhideWhenUsed/>
    <w:rsid w:val="007F6B50"/>
    <w:rPr>
      <w:color w:val="0000FF"/>
      <w:u w:val="single"/>
    </w:rPr>
  </w:style>
  <w:style w:type="character" w:styleId="FollowedHyperlink">
    <w:name w:val="FollowedHyperlink"/>
    <w:basedOn w:val="DefaultParagraphFont"/>
    <w:uiPriority w:val="99"/>
    <w:semiHidden/>
    <w:unhideWhenUsed/>
    <w:rsid w:val="00037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9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3_221000.htm" TargetMode="External"/><Relationship Id="rId2" Type="http://schemas.openxmlformats.org/officeDocument/2006/relationships/hyperlink" Target="http://bls.gov/oes/current/naics3_221000.htm" TargetMode="External"/><Relationship Id="rId1"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dms="http://schemas.microsoft.com/office/2006/documentManagement/types" targetNamespace="d6eefc7d-9817-4fa6-84d5-3bc009be21b8" elementFormDefault="qualified">
    <xsd:import namespace="http://schemas.microsoft.com/office/2006/documentManagement/type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725T</_x0031__x002e__x0020_Collection_x0020_Number>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RD13-12</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A152-AA39-4EAD-A192-3700974F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DBEBBA-C0E1-4AF3-A445-4C9D59B0928E}">
  <ds:schemaRefs>
    <ds:schemaRef ds:uri="http://purl.org/dc/terms/"/>
    <ds:schemaRef ds:uri="http://schemas.microsoft.com/office/2006/documentManagement/types"/>
    <ds:schemaRef ds:uri="http://schemas.microsoft.com/office/2006/metadata/properties"/>
    <ds:schemaRef ds:uri="http://www.w3.org/XML/1998/namespace"/>
    <ds:schemaRef ds:uri="d6eefc7d-9817-4fa6-84d5-3bc009be21b8"/>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534C3CC-0E11-4A8C-9031-5B40D8A60799}">
  <ds:schemaRefs>
    <ds:schemaRef ds:uri="http://schemas.microsoft.com/sharepoint/v3/contenttype/forms"/>
  </ds:schemaRefs>
</ds:datastoreItem>
</file>

<file path=customXml/itemProps4.xml><?xml version="1.0" encoding="utf-8"?>
<ds:datastoreItem xmlns:ds="http://schemas.openxmlformats.org/officeDocument/2006/customXml" ds:itemID="{82BA559D-739A-42AA-B25F-8FEC7C017710}">
  <ds:schemaRefs>
    <ds:schemaRef ds:uri="http://schemas.microsoft.com/office/2006/metadata/customXsn"/>
  </ds:schemaRefs>
</ds:datastoreItem>
</file>

<file path=customXml/itemProps5.xml><?xml version="1.0" encoding="utf-8"?>
<ds:datastoreItem xmlns:ds="http://schemas.openxmlformats.org/officeDocument/2006/customXml" ds:itemID="{D6F2D9A1-E88A-4E6F-B7F3-F35B6E60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Richard Palmer</cp:lastModifiedBy>
  <cp:revision>24</cp:revision>
  <cp:lastPrinted>2012-10-02T14:10:00Z</cp:lastPrinted>
  <dcterms:created xsi:type="dcterms:W3CDTF">2014-03-19T11:46:00Z</dcterms:created>
  <dcterms:modified xsi:type="dcterms:W3CDTF">2014-06-02T20:38:00Z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