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spacing w:line="480" w:lineRule="auto"/>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SUPPORTING STATEMENT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NATIONAL EMISSION STANDARDS FOR HAZARDOUS AIR POLLUTANTS EMISSIONS: GROUP IV POLYMERS AND RESINS</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Pr>
          <w:b/>
          <w:bCs/>
          <w:sz w:val="24"/>
          <w:szCs w:val="24"/>
        </w:rPr>
        <w:t xml:space="preserve"> </w:t>
      </w:r>
    </w:p>
    <w:p>
      <w:pPr>
        <w:widowControl/>
        <w:rPr>
          <w:sz w:val="24"/>
          <w:szCs w:val="24"/>
        </w:rPr>
      </w:pPr>
    </w:p>
    <w:p>
      <w:pPr>
        <w:widowControl/>
        <w:spacing w:line="480" w:lineRule="auto"/>
        <w:rPr>
          <w:sz w:val="24"/>
          <w:szCs w:val="24"/>
        </w:rPr>
      </w:pPr>
      <w:r>
        <w:rPr>
          <w:b/>
          <w:bCs/>
          <w:sz w:val="24"/>
          <w:szCs w:val="24"/>
        </w:rPr>
        <w:t>PART A</w:t>
      </w:r>
    </w:p>
    <w:p>
      <w:pPr>
        <w:widowControl/>
        <w:spacing w:line="480" w:lineRule="auto"/>
        <w:rPr>
          <w:sz w:val="24"/>
          <w:szCs w:val="24"/>
        </w:rPr>
      </w:pPr>
      <w:r>
        <w:rPr>
          <w:b/>
          <w:bCs/>
          <w:sz w:val="24"/>
          <w:szCs w:val="24"/>
        </w:rPr>
        <w:t xml:space="preserve">1.0  </w:t>
      </w:r>
      <w:r>
        <w:rPr>
          <w:b/>
          <w:bCs/>
          <w:sz w:val="24"/>
          <w:szCs w:val="24"/>
        </w:rPr>
        <w:tab/>
        <w:t>Identification of the Information Collection</w:t>
      </w:r>
    </w:p>
    <w:p>
      <w:pPr>
        <w:widowControl/>
        <w:spacing w:line="480" w:lineRule="auto"/>
        <w:rPr>
          <w:i/>
          <w:iCs/>
          <w:sz w:val="24"/>
          <w:szCs w:val="24"/>
        </w:rPr>
      </w:pPr>
      <w:r>
        <w:rPr>
          <w:i/>
          <w:iCs/>
          <w:sz w:val="24"/>
          <w:szCs w:val="24"/>
        </w:rPr>
        <w:t xml:space="preserve">(a) </w:t>
      </w:r>
      <w:r>
        <w:rPr>
          <w:i/>
          <w:iCs/>
          <w:sz w:val="24"/>
          <w:szCs w:val="24"/>
        </w:rPr>
        <w:tab/>
        <w:t>Title and Number of the Information Collection.</w:t>
      </w:r>
    </w:p>
    <w:p>
      <w:pPr>
        <w:widowControl/>
        <w:spacing w:line="360" w:lineRule="auto"/>
        <w:rPr>
          <w:sz w:val="24"/>
          <w:szCs w:val="24"/>
        </w:rPr>
      </w:pPr>
      <w:r>
        <w:rPr>
          <w:i/>
          <w:iCs/>
          <w:sz w:val="24"/>
          <w:szCs w:val="24"/>
        </w:rPr>
        <w:tab/>
      </w:r>
      <w:r>
        <w:rPr>
          <w:iCs/>
          <w:sz w:val="24"/>
          <w:szCs w:val="24"/>
        </w:rPr>
        <w:t xml:space="preserve">This information collection request (ICR) is entitled </w:t>
      </w:r>
      <w:r>
        <w:rPr>
          <w:sz w:val="24"/>
          <w:szCs w:val="24"/>
        </w:rPr>
        <w:t>“Amendments to Requirements for Sources regulated by the National Emission Standards for Hazardous Air Pollutant Emissions: Group IV Polymers and Resins.” The EPA tracking number is 2457.</w:t>
      </w:r>
      <w:r>
        <w:rPr>
          <w:sz w:val="24"/>
          <w:szCs w:val="24"/>
        </w:rPr>
        <w:t>0</w:t>
      </w:r>
      <w:r>
        <w:rPr>
          <w:sz w:val="24"/>
          <w:szCs w:val="24"/>
        </w:rPr>
        <w:t>2. The Office of Management and Budget (OMB) number is 2060-0351.</w:t>
      </w:r>
    </w:p>
    <w:p>
      <w:pPr>
        <w:widowControl/>
        <w:spacing w:line="360" w:lineRule="auto"/>
        <w:rPr>
          <w:i/>
          <w:iCs/>
          <w:sz w:val="24"/>
          <w:szCs w:val="24"/>
        </w:rPr>
      </w:pPr>
      <w:r>
        <w:rPr>
          <w:i/>
          <w:iCs/>
          <w:sz w:val="24"/>
          <w:szCs w:val="24"/>
        </w:rPr>
        <w:t xml:space="preserve"> (b) </w:t>
      </w:r>
      <w:r>
        <w:rPr>
          <w:i/>
          <w:iCs/>
          <w:sz w:val="24"/>
          <w:szCs w:val="24"/>
        </w:rPr>
        <w:tab/>
        <w:t>Short Characterization.</w:t>
      </w:r>
    </w:p>
    <w:p>
      <w:pPr>
        <w:widowControl/>
        <w:tabs>
          <w:tab w:val="left" w:pos="720"/>
        </w:tabs>
        <w:spacing w:line="360" w:lineRule="auto"/>
        <w:rPr>
          <w:rFonts w:cs="Courier New"/>
          <w:sz w:val="24"/>
          <w:szCs w:val="24"/>
        </w:rPr>
      </w:pPr>
      <w:r>
        <w:rPr>
          <w:rFonts w:cs="Courier New"/>
          <w:sz w:val="24"/>
          <w:szCs w:val="24"/>
        </w:rPr>
        <w:tab/>
        <w:t xml:space="preserve">This ICR covers information collection requirements in the final rulemaking that amend title 40, chapter I, </w:t>
      </w:r>
      <w:proofErr w:type="gramStart"/>
      <w:r>
        <w:rPr>
          <w:rFonts w:cs="Courier New"/>
          <w:sz w:val="24"/>
          <w:szCs w:val="24"/>
        </w:rPr>
        <w:t>part</w:t>
      </w:r>
      <w:proofErr w:type="gramEnd"/>
      <w:r>
        <w:rPr>
          <w:rFonts w:cs="Courier New"/>
          <w:sz w:val="24"/>
          <w:szCs w:val="24"/>
        </w:rPr>
        <w:t xml:space="preserve"> 63 of the Code of Federal Regulations (CFR) Subpart JJJ National Emission Standards for Hazardous Air Pollutants: Group IV Polymers and Resins, hereafter, this subpart is referred to as the “Polymers and Resins IV NESHAP”. Respondents are owners or operators who will be subject to the new requirements of the Polymers &amp; Resins IV NESHAP, which include an estimated 31 existing facilities that produce thermoplastic resin in the following source categories: </w:t>
      </w:r>
      <w:proofErr w:type="spellStart"/>
      <w:r>
        <w:rPr>
          <w:rFonts w:cs="Courier New"/>
          <w:sz w:val="24"/>
          <w:szCs w:val="24"/>
        </w:rPr>
        <w:t>Acrylonitirile</w:t>
      </w:r>
      <w:proofErr w:type="spellEnd"/>
      <w:r>
        <w:rPr>
          <w:rFonts w:cs="Courier New"/>
          <w:sz w:val="24"/>
          <w:szCs w:val="24"/>
        </w:rPr>
        <w:t xml:space="preserve"> Butadiene Styrene (ABS), Methyl Methacrylate Butadiene Styrene (MBS), Polyethylene Terephthalate (PET), Polystyrene (PS), and Styrene Acrylonitrile (SAN).  Respondents also include any of the 31 facilities who may wish to make use of the new affirmative defense provisions in the amendments to the rule.</w:t>
      </w:r>
    </w:p>
    <w:p>
      <w:pPr>
        <w:widowControl/>
        <w:tabs>
          <w:tab w:val="left" w:pos="720"/>
        </w:tabs>
        <w:spacing w:line="360" w:lineRule="auto"/>
        <w:rPr>
          <w:rFonts w:cs="Courier New"/>
          <w:sz w:val="24"/>
          <w:szCs w:val="24"/>
        </w:rPr>
      </w:pPr>
      <w:r>
        <w:rPr>
          <w:rFonts w:cs="Courier New"/>
          <w:sz w:val="24"/>
          <w:szCs w:val="24"/>
        </w:rPr>
        <w:tab/>
        <w:t xml:space="preserve"> The final amendments require that that there be no discharge to the atmosphere from any pressure relief device (PRD) on any equipment in organic HAP service within the process units for the Polymers and Resins IV source category. To ensure compliance with this requirement, facility owners or operators are required to monitor each PRD in a way that would be able to identify and record the time and duration of each pressure release and notify operators that a pressure release is occurring. </w:t>
      </w:r>
    </w:p>
    <w:p>
      <w:pPr>
        <w:widowControl/>
        <w:tabs>
          <w:tab w:val="left" w:pos="720"/>
        </w:tabs>
        <w:spacing w:line="360" w:lineRule="auto"/>
        <w:rPr>
          <w:rFonts w:cs="Courier New"/>
          <w:sz w:val="24"/>
          <w:szCs w:val="24"/>
        </w:rPr>
      </w:pPr>
      <w:r>
        <w:rPr>
          <w:rFonts w:cs="Courier New"/>
          <w:sz w:val="24"/>
          <w:szCs w:val="24"/>
        </w:rPr>
        <w:lastRenderedPageBreak/>
        <w:tab/>
        <w:t>In addition to requirements for PRD, the amendments also provide requirements for equipment leaks and process contact cooling towers (PCCT) for one facility in the PET continuous TPA high viscosity multiple end finisher subcategory. Under the new requirements, this facility must report certain information when a leak is detected for equipment components in gas/vapor or light liquid service. The facility must also report all cases when the ethylene glycol concentration in the PCCT exceeds the standard. Information related to these new provisions is required to be submitted in the semi-annual reports that are already required by the existing Polymers and Resins IV NESHAP.</w:t>
      </w:r>
    </w:p>
    <w:p>
      <w:pPr>
        <w:widowControl/>
        <w:tabs>
          <w:tab w:val="left" w:pos="720"/>
        </w:tabs>
        <w:spacing w:line="360" w:lineRule="auto"/>
        <w:rPr>
          <w:rFonts w:cs="Courier New"/>
          <w:sz w:val="24"/>
          <w:szCs w:val="24"/>
        </w:rPr>
      </w:pPr>
      <w:r>
        <w:rPr>
          <w:rFonts w:cs="Courier New"/>
          <w:sz w:val="24"/>
          <w:szCs w:val="24"/>
        </w:rPr>
        <w:tab/>
        <w:t>The final amendments also add provisions for facility owners or operators to use if they wish to assert an affirmative defense to avoid civil penalties for exceedances of the applicable standards that are caused by a malfunction. If these provisions are used, the owner or operator is required to meet certain criteria during the malfunction, notify the Administrator of malfunctions that may cause an exceedance of the emissions standards, and submit a report of the malfunction to the Administrator, to include a root cause analysis of the malfunction, within certain timeframes.</w:t>
      </w:r>
    </w:p>
    <w:p>
      <w:pPr>
        <w:widowControl/>
        <w:tabs>
          <w:tab w:val="left" w:pos="720"/>
        </w:tabs>
        <w:spacing w:line="360" w:lineRule="auto"/>
        <w:rPr>
          <w:rFonts w:cs="Courier New"/>
          <w:sz w:val="24"/>
          <w:szCs w:val="24"/>
        </w:rPr>
      </w:pPr>
      <w:r>
        <w:rPr>
          <w:rFonts w:cs="Courier New"/>
          <w:sz w:val="24"/>
          <w:szCs w:val="24"/>
        </w:rPr>
        <w:tab/>
        <w:t>Existing major sources subject to the new PRD requirements will be required to comply with these requirements within three years of the effective date of the standards. Existing major sources may use the affirmative defense provisions upon the effective date of the standards. All new or reconstructed affected sources must be in compliance with the existing and new requirements of the Polymers and Resins IV NESHAP on the date of startup or the effective date, whichever is later.</w:t>
      </w:r>
    </w:p>
    <w:p>
      <w:pPr>
        <w:widowControl/>
        <w:tabs>
          <w:tab w:val="left" w:pos="720"/>
        </w:tabs>
        <w:spacing w:line="360" w:lineRule="auto"/>
        <w:rPr>
          <w:sz w:val="24"/>
          <w:szCs w:val="24"/>
        </w:rPr>
      </w:pPr>
      <w:r>
        <w:rPr>
          <w:rFonts w:cs="Courier New"/>
          <w:sz w:val="24"/>
          <w:szCs w:val="24"/>
        </w:rPr>
        <w:tab/>
      </w:r>
      <w:r>
        <w:rPr>
          <w:sz w:val="24"/>
          <w:szCs w:val="24"/>
        </w:rPr>
        <w:t xml:space="preserve">  The new information collection requirements for existing and new </w:t>
      </w:r>
      <w:r>
        <w:rPr>
          <w:rFonts w:cs="Courier New"/>
          <w:sz w:val="24"/>
          <w:szCs w:val="24"/>
        </w:rPr>
        <w:t xml:space="preserve">Polymers and Resins IV </w:t>
      </w:r>
      <w:r>
        <w:rPr>
          <w:sz w:val="24"/>
          <w:szCs w:val="24"/>
        </w:rPr>
        <w:t>manufacturing sources are listed in Attachment 1.</w:t>
      </w:r>
    </w:p>
    <w:p>
      <w:pPr>
        <w:widowControl/>
        <w:tabs>
          <w:tab w:val="left" w:pos="720"/>
        </w:tabs>
        <w:spacing w:line="360" w:lineRule="auto"/>
        <w:rPr>
          <w:sz w:val="24"/>
          <w:szCs w:val="24"/>
        </w:rPr>
      </w:pPr>
    </w:p>
    <w:p>
      <w:pPr>
        <w:widowControl/>
        <w:tabs>
          <w:tab w:val="left" w:pos="720"/>
        </w:tabs>
        <w:spacing w:line="360" w:lineRule="auto"/>
        <w:rPr>
          <w:b/>
          <w:bCs/>
          <w:sz w:val="24"/>
          <w:szCs w:val="24"/>
        </w:rPr>
      </w:pPr>
      <w:r>
        <w:rPr>
          <w:b/>
          <w:bCs/>
          <w:sz w:val="24"/>
          <w:szCs w:val="24"/>
        </w:rPr>
        <w:t xml:space="preserve">2. </w:t>
      </w:r>
      <w:r>
        <w:rPr>
          <w:b/>
          <w:bCs/>
          <w:sz w:val="24"/>
          <w:szCs w:val="24"/>
        </w:rPr>
        <w:tab/>
        <w:t>Need For and Use of the Collection</w:t>
      </w:r>
    </w:p>
    <w:p>
      <w:pPr>
        <w:widowControl/>
        <w:tabs>
          <w:tab w:val="left" w:pos="720"/>
        </w:tabs>
        <w:spacing w:line="360" w:lineRule="auto"/>
        <w:rPr>
          <w:sz w:val="24"/>
          <w:szCs w:val="24"/>
        </w:rPr>
      </w:pPr>
      <w:r>
        <w:rPr>
          <w:i/>
          <w:iCs/>
          <w:sz w:val="24"/>
          <w:szCs w:val="24"/>
        </w:rPr>
        <w:t>(a)</w:t>
      </w:r>
      <w:r>
        <w:rPr>
          <w:i/>
          <w:iCs/>
          <w:sz w:val="24"/>
          <w:szCs w:val="24"/>
        </w:rPr>
        <w:tab/>
        <w:t>Need/Authority for the Collection</w:t>
      </w:r>
      <w:r>
        <w:rPr>
          <w:sz w:val="24"/>
          <w:szCs w:val="24"/>
        </w:rPr>
        <w:t>.</w:t>
      </w:r>
    </w:p>
    <w:p>
      <w:pPr>
        <w:widowControl/>
        <w:spacing w:line="360" w:lineRule="auto"/>
        <w:rPr>
          <w:sz w:val="24"/>
          <w:szCs w:val="24"/>
        </w:rPr>
      </w:pPr>
      <w:r>
        <w:rPr>
          <w:sz w:val="24"/>
          <w:szCs w:val="24"/>
        </w:rPr>
        <w:tab/>
        <w:t xml:space="preserve">Section 112 of the Clean Air Act (CAA) requires EPA to establish NESHAP for both major and area sources of HAP that are listed for regulation under CAA section 112(c). A major source is a stationary source that has the potential to emit more than 10 tons per year [tpy] of any single HAP and more than 25 tpy of any combination of HAP. The </w:t>
      </w:r>
      <w:r>
        <w:rPr>
          <w:rFonts w:cs="Courier New"/>
          <w:sz w:val="24"/>
          <w:szCs w:val="24"/>
        </w:rPr>
        <w:t xml:space="preserve">Polymers and Resins IV </w:t>
      </w:r>
      <w:r>
        <w:rPr>
          <w:sz w:val="24"/>
          <w:szCs w:val="24"/>
        </w:rPr>
        <w:lastRenderedPageBreak/>
        <w:t xml:space="preserve">source category contains major sources of HAP emissions and is included on EPA’s list of categories for regulation. The </w:t>
      </w:r>
      <w:r>
        <w:rPr>
          <w:rFonts w:cs="Courier New"/>
          <w:sz w:val="24"/>
          <w:szCs w:val="24"/>
        </w:rPr>
        <w:t xml:space="preserve">Polymers and Resins IV </w:t>
      </w:r>
      <w:r>
        <w:rPr>
          <w:sz w:val="24"/>
          <w:szCs w:val="24"/>
        </w:rPr>
        <w:t>NESHAP are based on maximum achievable control technology (MACT).</w:t>
      </w:r>
    </w:p>
    <w:p>
      <w:pPr>
        <w:widowControl/>
        <w:spacing w:line="360" w:lineRule="auto"/>
        <w:ind w:firstLine="720"/>
        <w:rPr>
          <w:i/>
          <w:iCs/>
          <w:sz w:val="24"/>
          <w:szCs w:val="24"/>
        </w:rPr>
      </w:pPr>
      <w:r>
        <w:rPr>
          <w:sz w:val="24"/>
          <w:szCs w:val="24"/>
        </w:rPr>
        <w:t>Certain records and reports are necessary for the Administrator to confirm the compliance status of major sources, identify any new or reconstructed sources subject to the standards, and confirm that the standards are being achieved on a continuous basis. These recordkeeping and reporting requirements are specifically authorized by section 114 of the Clean Air Act (42 U.S.C. 7414) and set out in the part 63 NESHAP General Provisions. The recordkeeping and reporting requirements for title V permits are contained in 40 CFR 70.6 and 40 CFR 71.6. Under parts 63 and 70 or 71, the owner or operator must keep each record for 5 years following the date of each occurrence, measurement, maintenance, corrective action, report, or record.</w:t>
      </w:r>
      <w:r>
        <w:rPr>
          <w:i/>
          <w:iCs/>
          <w:sz w:val="24"/>
          <w:szCs w:val="24"/>
        </w:rPr>
        <w:t xml:space="preserve"> </w:t>
      </w:r>
    </w:p>
    <w:p>
      <w:pPr>
        <w:widowControl/>
        <w:spacing w:line="360" w:lineRule="auto"/>
        <w:rPr>
          <w:sz w:val="24"/>
          <w:szCs w:val="24"/>
        </w:rPr>
      </w:pPr>
      <w:r>
        <w:rPr>
          <w:i/>
          <w:iCs/>
          <w:sz w:val="24"/>
          <w:szCs w:val="24"/>
        </w:rPr>
        <w:t>(b)</w:t>
      </w:r>
      <w:r>
        <w:rPr>
          <w:i/>
          <w:iCs/>
          <w:sz w:val="24"/>
          <w:szCs w:val="24"/>
        </w:rPr>
        <w:tab/>
        <w:t>Use/Users of the Data.</w:t>
      </w:r>
    </w:p>
    <w:p>
      <w:pPr>
        <w:widowControl/>
        <w:spacing w:line="360" w:lineRule="auto"/>
        <w:rPr>
          <w:sz w:val="24"/>
          <w:szCs w:val="24"/>
        </w:rPr>
      </w:pPr>
      <w:r>
        <w:rPr>
          <w:sz w:val="24"/>
          <w:szCs w:val="24"/>
        </w:rPr>
        <w:tab/>
        <w:t xml:space="preserve">The information will be used by the delegated authority (state agency, or Regional Administrator if there is no delegated state agency) to ensure that the standards in the amendments are being achieved. Based on review of the recorded information at the site and the reported information, the delegated permitting authority can identify facilities that may be in violation of the emission standards due to the emissions of HAP from pressure release events, equipment leaks, and/or exceedances of the ethylene glycol concentration limit in a PCCT. The information will also be used by the delegated authority to determine if a source meets the criteria for affirmative defense. If a source meets the affirmative defense criteria, they may be excused from civil penalties for exceedances of an emission limit. </w:t>
      </w:r>
    </w:p>
    <w:p>
      <w:pPr>
        <w:widowControl/>
        <w:spacing w:line="360" w:lineRule="auto"/>
        <w:rPr>
          <w:sz w:val="24"/>
          <w:szCs w:val="24"/>
        </w:rPr>
      </w:pPr>
    </w:p>
    <w:p>
      <w:pPr>
        <w:widowControl/>
        <w:spacing w:line="360" w:lineRule="auto"/>
        <w:rPr>
          <w:sz w:val="24"/>
          <w:szCs w:val="24"/>
        </w:rPr>
      </w:pPr>
      <w:r>
        <w:rPr>
          <w:b/>
          <w:bCs/>
          <w:sz w:val="24"/>
          <w:szCs w:val="24"/>
        </w:rPr>
        <w:t>3.</w:t>
      </w:r>
      <w:r>
        <w:rPr>
          <w:sz w:val="24"/>
          <w:szCs w:val="24"/>
        </w:rPr>
        <w:tab/>
      </w:r>
      <w:proofErr w:type="spellStart"/>
      <w:r>
        <w:rPr>
          <w:b/>
          <w:bCs/>
          <w:sz w:val="24"/>
          <w:szCs w:val="24"/>
        </w:rPr>
        <w:t>Nonduplication</w:t>
      </w:r>
      <w:proofErr w:type="spellEnd"/>
      <w:r>
        <w:rPr>
          <w:b/>
          <w:bCs/>
          <w:sz w:val="24"/>
          <w:szCs w:val="24"/>
        </w:rPr>
        <w:t>, Consultations, and Other Collection Criteria</w:t>
      </w:r>
    </w:p>
    <w:p>
      <w:pPr>
        <w:widowControl/>
        <w:spacing w:line="360" w:lineRule="auto"/>
        <w:rPr>
          <w:sz w:val="24"/>
          <w:szCs w:val="24"/>
        </w:rPr>
      </w:pPr>
      <w:r>
        <w:rPr>
          <w:i/>
          <w:iCs/>
          <w:sz w:val="24"/>
          <w:szCs w:val="24"/>
        </w:rPr>
        <w:t>(a)</w:t>
      </w:r>
      <w:r>
        <w:rPr>
          <w:i/>
          <w:iCs/>
          <w:sz w:val="24"/>
          <w:szCs w:val="24"/>
        </w:rPr>
        <w:tab/>
      </w:r>
      <w:proofErr w:type="spellStart"/>
      <w:r>
        <w:rPr>
          <w:i/>
          <w:iCs/>
          <w:sz w:val="24"/>
          <w:szCs w:val="24"/>
        </w:rPr>
        <w:t>Nonduplication</w:t>
      </w:r>
      <w:proofErr w:type="spellEnd"/>
      <w:r>
        <w:rPr>
          <w:i/>
          <w:iCs/>
          <w:sz w:val="24"/>
          <w:szCs w:val="24"/>
        </w:rPr>
        <w:t>.</w:t>
      </w:r>
    </w:p>
    <w:p>
      <w:pPr>
        <w:widowControl/>
        <w:spacing w:line="360" w:lineRule="auto"/>
        <w:ind w:firstLine="720"/>
        <w:rPr>
          <w:sz w:val="24"/>
          <w:szCs w:val="24"/>
        </w:rPr>
      </w:pPr>
      <w:r>
        <w:rPr>
          <w:sz w:val="24"/>
          <w:szCs w:val="24"/>
        </w:rPr>
        <w:t xml:space="preserve">A computer search of our existing standards and ongoing ICRs revealed no duplication of information gathering efforts.  However, certain reports required by State or local agencies may duplicate information required by the standards. In such cases, a copy of the report submitted to the State or local agency can be provided to the Administrator in lieu of the required report. </w:t>
      </w:r>
    </w:p>
    <w:p>
      <w:pPr>
        <w:keepNext/>
        <w:keepLines/>
        <w:widowControl/>
        <w:spacing w:line="360" w:lineRule="auto"/>
        <w:rPr>
          <w:i/>
          <w:iCs/>
          <w:sz w:val="24"/>
          <w:szCs w:val="24"/>
        </w:rPr>
      </w:pPr>
      <w:r>
        <w:rPr>
          <w:i/>
          <w:iCs/>
          <w:sz w:val="24"/>
          <w:szCs w:val="24"/>
        </w:rPr>
        <w:lastRenderedPageBreak/>
        <w:t xml:space="preserve"> (b)  </w:t>
      </w:r>
      <w:r>
        <w:rPr>
          <w:i/>
          <w:iCs/>
          <w:sz w:val="24"/>
          <w:szCs w:val="24"/>
        </w:rPr>
        <w:tab/>
        <w:t>Public Notice Required Prior to ICR Submission to OMB.</w:t>
      </w:r>
    </w:p>
    <w:p>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rPr>
          <w:sz w:val="24"/>
          <w:szCs w:val="24"/>
        </w:rPr>
      </w:pPr>
      <w:r>
        <w:rPr>
          <w:sz w:val="24"/>
          <w:szCs w:val="24"/>
        </w:rPr>
        <w:t>This ICR is related to amendments to the Polymers and Resins IV NESHAP. Comments were solicited on the proposal package and the proposed ICR. No comments were received on the proposed ICR.</w:t>
      </w:r>
    </w:p>
    <w:p>
      <w:pPr>
        <w:widowControl/>
        <w:spacing w:line="360" w:lineRule="auto"/>
        <w:rPr>
          <w:i/>
          <w:iCs/>
          <w:sz w:val="24"/>
          <w:szCs w:val="24"/>
        </w:rPr>
      </w:pPr>
      <w:r>
        <w:rPr>
          <w:i/>
          <w:iCs/>
          <w:sz w:val="24"/>
          <w:szCs w:val="24"/>
        </w:rPr>
        <w:t>(c)</w:t>
      </w:r>
      <w:r>
        <w:rPr>
          <w:i/>
          <w:iCs/>
          <w:sz w:val="24"/>
          <w:szCs w:val="24"/>
        </w:rPr>
        <w:tab/>
        <w:t xml:space="preserve">Consultations. </w:t>
      </w:r>
    </w:p>
    <w:p>
      <w:pPr>
        <w:widowControl/>
        <w:spacing w:line="360" w:lineRule="auto"/>
        <w:ind w:firstLine="720"/>
        <w:rPr>
          <w:sz w:val="24"/>
          <w:szCs w:val="24"/>
        </w:rPr>
      </w:pPr>
      <w:r>
        <w:rPr>
          <w:sz w:val="24"/>
          <w:szCs w:val="24"/>
        </w:rPr>
        <w:t xml:space="preserve">Upon review of the standard, information available and the data, the Agency has determined the recordkeeping and reporting requirements in the “Active” ICR is fully supported and necessary to fulfill the requirements of the Clean Air Act (CAA). It has been determined that no further consultations with industry are necessary to calculate the burden associated with the amendments to the Polymers and Resins IV NESHAP. </w:t>
      </w:r>
    </w:p>
    <w:p>
      <w:pPr>
        <w:widowControl/>
        <w:spacing w:line="360" w:lineRule="auto"/>
        <w:rPr>
          <w:sz w:val="24"/>
          <w:szCs w:val="24"/>
        </w:rPr>
      </w:pPr>
      <w:r>
        <w:rPr>
          <w:i/>
          <w:iCs/>
          <w:sz w:val="24"/>
          <w:szCs w:val="24"/>
        </w:rPr>
        <w:t>(d)</w:t>
      </w:r>
      <w:r>
        <w:rPr>
          <w:i/>
          <w:iCs/>
          <w:sz w:val="24"/>
          <w:szCs w:val="24"/>
        </w:rPr>
        <w:tab/>
        <w:t>Effects of Less Frequent Collection.</w:t>
      </w:r>
    </w:p>
    <w:p>
      <w:pPr>
        <w:widowControl/>
        <w:spacing w:line="360" w:lineRule="auto"/>
        <w:ind w:firstLine="720"/>
        <w:rPr>
          <w:sz w:val="24"/>
          <w:szCs w:val="24"/>
        </w:rPr>
      </w:pPr>
      <w:r>
        <w:rPr>
          <w:sz w:val="24"/>
          <w:szCs w:val="24"/>
        </w:rPr>
        <w:t>If the relevant information were collected less frequently, the delegated permitting authority (State or EPA) will not be reasonably assured that a facility is in compliance with the standards. In addition, the EPA's authority to take administrative action would be significantly reduced; section l13(d) of the CAA limits the assessment of administrative penalties to violations which occur no more than 12 months before initiation of the administrative proceeding.  Since administrative proceedings are less costly and require use of fewer resources than judicial proceedings, both the EPA and the regulated community benefit from preservation of the EPA's administrative powers.</w:t>
      </w:r>
    </w:p>
    <w:p>
      <w:pPr>
        <w:keepNext/>
        <w:keepLines/>
        <w:widowControl/>
        <w:spacing w:line="360" w:lineRule="auto"/>
        <w:rPr>
          <w:sz w:val="24"/>
          <w:szCs w:val="24"/>
        </w:rPr>
      </w:pPr>
      <w:r>
        <w:rPr>
          <w:i/>
          <w:iCs/>
          <w:sz w:val="24"/>
          <w:szCs w:val="24"/>
        </w:rPr>
        <w:t xml:space="preserve"> (e)</w:t>
      </w:r>
      <w:r>
        <w:rPr>
          <w:i/>
          <w:iCs/>
          <w:sz w:val="24"/>
          <w:szCs w:val="24"/>
        </w:rPr>
        <w:tab/>
        <w:t>General Guidelines</w:t>
      </w:r>
      <w:r>
        <w:rPr>
          <w:i/>
          <w:sz w:val="24"/>
          <w:szCs w:val="24"/>
        </w:rPr>
        <w:t>.</w:t>
      </w:r>
      <w:r>
        <w:rPr>
          <w:sz w:val="24"/>
          <w:szCs w:val="24"/>
        </w:rPr>
        <w:t xml:space="preserve"> </w:t>
      </w:r>
    </w:p>
    <w:p>
      <w:pPr>
        <w:keepNext/>
        <w:keepLines/>
        <w:widowControl/>
        <w:spacing w:line="360" w:lineRule="auto"/>
        <w:rPr>
          <w:sz w:val="24"/>
          <w:szCs w:val="24"/>
        </w:rPr>
      </w:pPr>
      <w:r>
        <w:rPr>
          <w:sz w:val="24"/>
          <w:szCs w:val="24"/>
        </w:rPr>
        <w:tab/>
        <w:t xml:space="preserve">The </w:t>
      </w:r>
      <w:r>
        <w:rPr>
          <w:rFonts w:cs="Courier New"/>
          <w:sz w:val="24"/>
          <w:szCs w:val="24"/>
        </w:rPr>
        <w:t xml:space="preserve">Polymers &amp; Resins IV </w:t>
      </w:r>
      <w:r>
        <w:rPr>
          <w:sz w:val="24"/>
          <w:szCs w:val="24"/>
        </w:rPr>
        <w:t>NESHAP requires that facility owners or operators retain records for a period of 5 years, which exceeds the 3-year retention period contained in the guidelines in 5 CFR 1320.6. The 5-year retention period is consistent with the subpart A General Provisions of 40 CFR part 63 and the retention requirement in the operating permit program under Title V of the CAA. All subsequent general guidelines have been followed and do not violate any of the Paperwork Reduction Act guidelines contained in 5 CFR 1320.6.</w:t>
      </w:r>
    </w:p>
    <w:p>
      <w:pPr>
        <w:widowControl/>
        <w:spacing w:line="360" w:lineRule="auto"/>
        <w:rPr>
          <w:sz w:val="24"/>
          <w:szCs w:val="24"/>
        </w:rPr>
      </w:pPr>
      <w:r>
        <w:rPr>
          <w:i/>
          <w:iCs/>
          <w:sz w:val="24"/>
          <w:szCs w:val="24"/>
        </w:rPr>
        <w:t>(f)</w:t>
      </w:r>
      <w:r>
        <w:rPr>
          <w:i/>
          <w:iCs/>
          <w:sz w:val="24"/>
          <w:szCs w:val="24"/>
        </w:rPr>
        <w:tab/>
        <w:t>Confidentiality.</w:t>
      </w:r>
    </w:p>
    <w:p>
      <w:pPr>
        <w:widowControl/>
        <w:spacing w:line="360" w:lineRule="auto"/>
        <w:rPr>
          <w:i/>
          <w:iCs/>
          <w:sz w:val="24"/>
          <w:szCs w:val="24"/>
        </w:rPr>
      </w:pPr>
      <w:r>
        <w:rPr>
          <w:sz w:val="24"/>
          <w:szCs w:val="24"/>
        </w:rPr>
        <w:tab/>
        <w:t xml:space="preserve">All information submitted to the Agency for which a claim of confidentiality is made will be safeguarded according to the Agency policies set forth in Title 40, Chapter 1, Part 2, Subpart B--Confidentiality of Business Information (see 40 CFR 2; 41 FR 36902, September 1, 1976; </w:t>
      </w:r>
      <w:r>
        <w:rPr>
          <w:sz w:val="24"/>
          <w:szCs w:val="24"/>
        </w:rPr>
        <w:lastRenderedPageBreak/>
        <w:t>amended by 43 FR 39999, September 28, 1978; 43 FR 42251, September 28, 1978; 44 FR 17674, March 23, 1979).</w:t>
      </w:r>
    </w:p>
    <w:p>
      <w:pPr>
        <w:keepNext/>
        <w:widowControl/>
        <w:spacing w:line="360" w:lineRule="auto"/>
        <w:rPr>
          <w:sz w:val="24"/>
          <w:szCs w:val="24"/>
        </w:rPr>
      </w:pPr>
      <w:r>
        <w:rPr>
          <w:i/>
          <w:iCs/>
          <w:sz w:val="24"/>
          <w:szCs w:val="24"/>
        </w:rPr>
        <w:t xml:space="preserve">(g)  </w:t>
      </w:r>
      <w:r>
        <w:rPr>
          <w:i/>
          <w:iCs/>
          <w:sz w:val="24"/>
          <w:szCs w:val="24"/>
        </w:rPr>
        <w:tab/>
        <w:t xml:space="preserve">Sensitive Questions. </w:t>
      </w:r>
    </w:p>
    <w:p>
      <w:pPr>
        <w:keepNext/>
        <w:widowControl/>
        <w:spacing w:line="360" w:lineRule="auto"/>
        <w:rPr>
          <w:sz w:val="24"/>
          <w:szCs w:val="24"/>
        </w:rPr>
      </w:pPr>
      <w:r>
        <w:rPr>
          <w:sz w:val="24"/>
          <w:szCs w:val="24"/>
        </w:rPr>
        <w:tab/>
        <w:t>This section is not applicable because this ICR does not involve matters of a sensitive nature.</w:t>
      </w:r>
    </w:p>
    <w:p>
      <w:pPr>
        <w:keepNext/>
        <w:widowControl/>
        <w:spacing w:line="360" w:lineRule="auto"/>
        <w:rPr>
          <w:sz w:val="24"/>
          <w:szCs w:val="24"/>
        </w:rPr>
      </w:pPr>
    </w:p>
    <w:p>
      <w:pPr>
        <w:widowControl/>
        <w:tabs>
          <w:tab w:val="left" w:pos="720"/>
        </w:tabs>
        <w:spacing w:line="360" w:lineRule="auto"/>
        <w:rPr>
          <w:sz w:val="24"/>
          <w:szCs w:val="24"/>
        </w:rPr>
      </w:pPr>
      <w:r>
        <w:rPr>
          <w:b/>
          <w:bCs/>
          <w:sz w:val="24"/>
          <w:szCs w:val="24"/>
        </w:rPr>
        <w:t>4.</w:t>
      </w:r>
      <w:r>
        <w:rPr>
          <w:b/>
          <w:bCs/>
          <w:sz w:val="24"/>
          <w:szCs w:val="24"/>
        </w:rPr>
        <w:tab/>
        <w:t>The Respondents and the Information Requested</w:t>
      </w:r>
    </w:p>
    <w:p>
      <w:pPr>
        <w:widowControl/>
        <w:tabs>
          <w:tab w:val="left" w:pos="720"/>
        </w:tabs>
        <w:spacing w:line="360" w:lineRule="auto"/>
        <w:ind w:left="720" w:hanging="720"/>
        <w:rPr>
          <w:i/>
          <w:sz w:val="24"/>
          <w:szCs w:val="24"/>
        </w:rPr>
      </w:pPr>
      <w:r>
        <w:rPr>
          <w:i/>
          <w:iCs/>
          <w:sz w:val="24"/>
          <w:szCs w:val="24"/>
        </w:rPr>
        <w:t>(a)</w:t>
      </w:r>
      <w:r>
        <w:rPr>
          <w:i/>
          <w:iCs/>
          <w:sz w:val="24"/>
          <w:szCs w:val="24"/>
        </w:rPr>
        <w:tab/>
        <w:t>Respondents/NAICS Codes</w:t>
      </w:r>
      <w:r>
        <w:rPr>
          <w:i/>
          <w:sz w:val="24"/>
          <w:szCs w:val="24"/>
        </w:rPr>
        <w:t>.</w:t>
      </w:r>
    </w:p>
    <w:p>
      <w:pPr>
        <w:widowControl/>
        <w:spacing w:line="360" w:lineRule="auto"/>
        <w:ind w:firstLine="720"/>
        <w:rPr>
          <w:sz w:val="24"/>
          <w:szCs w:val="24"/>
        </w:rPr>
      </w:pPr>
      <w:r>
        <w:rPr>
          <w:sz w:val="24"/>
          <w:szCs w:val="24"/>
        </w:rPr>
        <w:t xml:space="preserve">Potential respondents under Subpart JJJ are owners or operators </w:t>
      </w:r>
      <w:r>
        <w:rPr>
          <w:rFonts w:cs="Courier New"/>
          <w:sz w:val="24"/>
          <w:szCs w:val="24"/>
        </w:rPr>
        <w:t>of any existing or new Polymers &amp; Resins IV manufacturing facility that is a major source</w:t>
      </w:r>
      <w:r>
        <w:rPr>
          <w:sz w:val="24"/>
          <w:szCs w:val="24"/>
        </w:rPr>
        <w:t xml:space="preserve"> of HAP emissions, including any facilities who may wish to make use of the new affirmative defense provisions to avoid civil penalties resulting from the exceedance of an emission limit. The source category and affected sources regulated by the </w:t>
      </w:r>
      <w:r>
        <w:rPr>
          <w:rFonts w:cs="Courier New"/>
          <w:sz w:val="24"/>
          <w:szCs w:val="24"/>
        </w:rPr>
        <w:t xml:space="preserve">Polymers &amp; Resins IV </w:t>
      </w:r>
      <w:r>
        <w:rPr>
          <w:sz w:val="24"/>
          <w:szCs w:val="24"/>
        </w:rPr>
        <w:t xml:space="preserve">NESHAP are classified under the North American Industrial Classification System (NAICS) code is 325211, for plastic material and resin manufacturing. </w:t>
      </w:r>
    </w:p>
    <w:p>
      <w:pPr>
        <w:widowControl/>
        <w:tabs>
          <w:tab w:val="left" w:pos="720"/>
        </w:tabs>
        <w:spacing w:line="360" w:lineRule="auto"/>
        <w:rPr>
          <w:rFonts w:cs="Courier New"/>
          <w:sz w:val="24"/>
          <w:szCs w:val="24"/>
        </w:rPr>
      </w:pPr>
      <w:r>
        <w:rPr>
          <w:rFonts w:cs="Courier New"/>
          <w:sz w:val="24"/>
          <w:szCs w:val="24"/>
        </w:rPr>
        <w:tab/>
        <w:t>The Polymers &amp; Resins IV source category is estimated to consist of 31 existing facilities nationwide, all of which are major sources and would be subject to the major source provisions specified under the Polymers &amp; Resins IV NESHAP. All 31 existing facilities could make use of the new affirmative defense provisions added to the rule. N</w:t>
      </w:r>
      <w:r>
        <w:rPr>
          <w:sz w:val="24"/>
          <w:szCs w:val="24"/>
        </w:rPr>
        <w:t xml:space="preserve">o new major sources are projected during the 3-year period of this ICR. </w:t>
      </w:r>
    </w:p>
    <w:p>
      <w:pPr>
        <w:widowControl/>
        <w:spacing w:line="360" w:lineRule="auto"/>
        <w:rPr>
          <w:sz w:val="24"/>
          <w:szCs w:val="24"/>
        </w:rPr>
      </w:pPr>
      <w:r>
        <w:rPr>
          <w:i/>
          <w:iCs/>
          <w:sz w:val="24"/>
          <w:szCs w:val="24"/>
        </w:rPr>
        <w:t>(b) Information Requested.</w:t>
      </w:r>
    </w:p>
    <w:p>
      <w:pPr>
        <w:widowControl/>
        <w:spacing w:line="360" w:lineRule="auto"/>
        <w:rPr>
          <w:sz w:val="24"/>
          <w:szCs w:val="24"/>
        </w:rPr>
      </w:pPr>
      <w:r>
        <w:rPr>
          <w:sz w:val="24"/>
          <w:szCs w:val="24"/>
        </w:rPr>
        <w:tab/>
      </w:r>
      <w:r>
        <w:rPr>
          <w:i/>
          <w:iCs/>
          <w:sz w:val="24"/>
          <w:szCs w:val="24"/>
        </w:rPr>
        <w:t>(</w:t>
      </w:r>
      <w:proofErr w:type="spellStart"/>
      <w:r>
        <w:rPr>
          <w:i/>
          <w:iCs/>
          <w:sz w:val="24"/>
          <w:szCs w:val="24"/>
        </w:rPr>
        <w:t>i</w:t>
      </w:r>
      <w:proofErr w:type="spellEnd"/>
      <w:r>
        <w:rPr>
          <w:i/>
          <w:iCs/>
          <w:sz w:val="24"/>
          <w:szCs w:val="24"/>
        </w:rPr>
        <w:t xml:space="preserve">)  Data Items, Including Recordkeeping Requirements. </w:t>
      </w:r>
      <w:r>
        <w:rPr>
          <w:sz w:val="24"/>
          <w:szCs w:val="24"/>
        </w:rPr>
        <w:t xml:space="preserve"> Attachment 1, Information Requirements, summarizes the data items, including recordkeeping and reporting requirements, for the </w:t>
      </w:r>
      <w:r>
        <w:rPr>
          <w:rFonts w:cs="Courier New"/>
          <w:sz w:val="24"/>
          <w:szCs w:val="24"/>
        </w:rPr>
        <w:t xml:space="preserve">Polymers and Resins IV </w:t>
      </w:r>
      <w:r>
        <w:rPr>
          <w:sz w:val="24"/>
          <w:szCs w:val="24"/>
        </w:rPr>
        <w:t>source category.</w:t>
      </w:r>
    </w:p>
    <w:p>
      <w:pPr>
        <w:widowControl/>
        <w:spacing w:line="360" w:lineRule="auto"/>
        <w:rPr>
          <w:sz w:val="24"/>
          <w:szCs w:val="24"/>
        </w:rPr>
      </w:pPr>
      <w:r>
        <w:rPr>
          <w:sz w:val="24"/>
          <w:szCs w:val="24"/>
        </w:rPr>
        <w:tab/>
      </w:r>
      <w:r>
        <w:rPr>
          <w:i/>
          <w:sz w:val="24"/>
          <w:szCs w:val="24"/>
        </w:rPr>
        <w:t xml:space="preserve">(ii)  Respondent Activities. </w:t>
      </w:r>
      <w:r>
        <w:rPr>
          <w:sz w:val="24"/>
          <w:szCs w:val="24"/>
        </w:rPr>
        <w:t xml:space="preserve">The respondent activities that are required by the new provisions of the </w:t>
      </w:r>
      <w:r>
        <w:rPr>
          <w:rFonts w:cs="Courier New"/>
          <w:sz w:val="24"/>
          <w:szCs w:val="24"/>
        </w:rPr>
        <w:t>Polymers and Resins IV</w:t>
      </w:r>
      <w:r>
        <w:rPr>
          <w:sz w:val="24"/>
          <w:szCs w:val="24"/>
        </w:rPr>
        <w:t xml:space="preserve"> NESHAP are identified in Table 1 (located at the end of this supporting statement) and are introduced in section 6(a).</w:t>
      </w:r>
    </w:p>
    <w:p>
      <w:pPr>
        <w:widowControl/>
        <w:spacing w:line="360" w:lineRule="auto"/>
        <w:rPr>
          <w:sz w:val="24"/>
          <w:szCs w:val="24"/>
        </w:rPr>
      </w:pPr>
      <w:r>
        <w:rPr>
          <w:sz w:val="24"/>
          <w:szCs w:val="24"/>
        </w:rPr>
        <w:tab/>
      </w:r>
      <w:r>
        <w:rPr>
          <w:i/>
          <w:sz w:val="24"/>
          <w:szCs w:val="24"/>
        </w:rPr>
        <w:t xml:space="preserve">(iii)  Summary of Requirements. </w:t>
      </w:r>
      <w:r>
        <w:rPr>
          <w:sz w:val="24"/>
          <w:szCs w:val="24"/>
        </w:rPr>
        <w:t xml:space="preserve">The amendments to the Polymers and Resins IV NESHAP require that facilities report any pressure device releases, equipment leaks from equipment in gas/vapor or light liquid service, or exceedances of the ethylene glycol </w:t>
      </w:r>
      <w:r>
        <w:rPr>
          <w:sz w:val="24"/>
          <w:szCs w:val="24"/>
        </w:rPr>
        <w:lastRenderedPageBreak/>
        <w:t>concentration limit in a PCCT. The above information is required to be submitted with the next periodic report required by the existing Polymers and Resins IV NESHAP. Facility owners or operators are required to monitor each PRD in organic HAP service that releases to the atmosphere to identify and record the time and duration of each pressure release. For affirmative defense, the primary data item required is a written report which proves that all the criteria for asserting an affirmative defense have been met. The owner or operator may submit this report (which is to include a root cause analysis of the reported violation) in the first periodic compliance report, deviation report or excess emissions report otherwise required after the initial occurrence of the exceedance of the relevant standard. However, if such report is due less than 45 days after the exceedance, the affirmative defense report may be included in the next such required report.</w:t>
      </w:r>
    </w:p>
    <w:p>
      <w:pPr>
        <w:widowControl/>
        <w:spacing w:line="360" w:lineRule="auto"/>
        <w:ind w:firstLine="720"/>
        <w:rPr>
          <w:sz w:val="24"/>
          <w:szCs w:val="24"/>
        </w:rPr>
      </w:pPr>
      <w:r>
        <w:rPr>
          <w:sz w:val="24"/>
          <w:szCs w:val="24"/>
        </w:rPr>
        <w:t xml:space="preserve">The EPA is including in Table 2 (located at the end of this supporting statement) an estimate of the burden associated with performing an affirmative defense. The EPA is providing this as an illustrative example of the potential additional administrative burden a source may incur to assert in an Affirmative Defense in response to an action to enforce the standards set forth in the applicable subpart. </w:t>
      </w:r>
    </w:p>
    <w:p>
      <w:pPr>
        <w:spacing w:line="360" w:lineRule="auto"/>
        <w:ind w:firstLine="720"/>
        <w:rPr>
          <w:sz w:val="24"/>
          <w:szCs w:val="24"/>
        </w:rPr>
      </w:pPr>
      <w:r>
        <w:rPr>
          <w:sz w:val="24"/>
          <w:szCs w:val="24"/>
        </w:rPr>
        <w:t>This illustrative estimate is not considered a duplicate estimate of cost under the General Duty to Minimize Emissions clause under 63.6(e</w:t>
      </w:r>
      <w:proofErr w:type="gramStart"/>
      <w:r>
        <w:rPr>
          <w:sz w:val="24"/>
          <w:szCs w:val="24"/>
        </w:rPr>
        <w:t>)(</w:t>
      </w:r>
      <w:proofErr w:type="gramEnd"/>
      <w:r>
        <w:rPr>
          <w:sz w:val="24"/>
          <w:szCs w:val="24"/>
        </w:rPr>
        <w:t>1)(</w:t>
      </w:r>
      <w:proofErr w:type="spellStart"/>
      <w:r>
        <w:rPr>
          <w:sz w:val="24"/>
          <w:szCs w:val="24"/>
        </w:rPr>
        <w:t>i</w:t>
      </w:r>
      <w:proofErr w:type="spellEnd"/>
      <w:r>
        <w:rPr>
          <w:sz w:val="24"/>
          <w:szCs w:val="24"/>
        </w:rPr>
        <w:t xml:space="preserve">), which states: “At all times, the owner and operator must operate and maintain any affected source, including associated air pollution control equipment and monitoring equipment, in a manner consistent with safety and good air pollution control practices for minimizing emissions. Determining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p>
    <w:p>
      <w:pPr>
        <w:spacing w:line="360" w:lineRule="auto"/>
        <w:ind w:firstLine="720"/>
        <w:rPr>
          <w:sz w:val="24"/>
          <w:szCs w:val="24"/>
        </w:rPr>
      </w:pPr>
      <w:r>
        <w:rPr>
          <w:sz w:val="24"/>
          <w:szCs w:val="24"/>
        </w:rPr>
        <w:t xml:space="preserve">To provide the public with an estimate of the relative magnitude of the burden associated with an assertion of the affirmative defense position adopted by a source, the EPA provides an administrative adjustment to this ICR that estimates the costs of the notification, recordkeeping and reporting requirements associated with the assertion of the affirmative defense. The EPA’s estimate for the required notification, reports and records, including the root cause analysis, </w:t>
      </w:r>
      <w:r>
        <w:rPr>
          <w:sz w:val="24"/>
          <w:szCs w:val="24"/>
        </w:rPr>
        <w:lastRenderedPageBreak/>
        <w:t xml:space="preserve">associated with a single incident totals approximately $2,375 and is based on the time and effort required of a source to review relevant data, interview plant employees, and document the events surrounding a malfunction that has caused an exceedance of an emission limit. The estimate also includes time to produce and retain the records and reports for submission to the EPA. The EPA provides this illustrative estimate of this burden because these costs are only incurred if there has been a violation and a source chooses to take advantage of the affirmative defense. </w:t>
      </w:r>
    </w:p>
    <w:p>
      <w:pPr>
        <w:spacing w:line="360" w:lineRule="auto"/>
        <w:ind w:firstLine="720"/>
        <w:rPr>
          <w:sz w:val="24"/>
          <w:szCs w:val="24"/>
        </w:rPr>
      </w:pPr>
      <w:r>
        <w:rPr>
          <w:sz w:val="24"/>
          <w:szCs w:val="24"/>
        </w:rPr>
        <w:t xml:space="preserve">Of the number of excess emission events reported by source operators, only a small number would be expected to result from a malfunction, and only a subset of excess emissions caused by malfunctions would result in the source choosing to assert the affirmative defense. Thus we believe the number of instances in which source operators might be expected to avail themselves of the affirmative defense will be extremely small. For this reason, we estimate no more than 2 or 3 such occurrences for all sources within a given category over the 3-year period covered by this ICR. For the purpose of this estimate, we are adding two (2) instances of affirmative defense. We expect to gather information on such events in the future and will revise this estimate as better information becomes available. </w:t>
      </w:r>
    </w:p>
    <w:p>
      <w:pPr>
        <w:widowControl/>
        <w:spacing w:line="360" w:lineRule="auto"/>
        <w:rPr>
          <w:sz w:val="24"/>
          <w:szCs w:val="24"/>
        </w:rPr>
      </w:pPr>
    </w:p>
    <w:p>
      <w:pPr>
        <w:widowControl/>
        <w:tabs>
          <w:tab w:val="left" w:pos="720"/>
        </w:tabs>
        <w:spacing w:line="360" w:lineRule="auto"/>
        <w:ind w:left="720" w:hanging="720"/>
        <w:rPr>
          <w:sz w:val="24"/>
          <w:szCs w:val="24"/>
        </w:rPr>
      </w:pPr>
      <w:r>
        <w:rPr>
          <w:b/>
          <w:bCs/>
          <w:sz w:val="24"/>
          <w:szCs w:val="24"/>
        </w:rPr>
        <w:t>5.</w:t>
      </w:r>
      <w:r>
        <w:rPr>
          <w:b/>
          <w:bCs/>
          <w:sz w:val="24"/>
          <w:szCs w:val="24"/>
        </w:rPr>
        <w:tab/>
        <w:t>The Information Collected–Agency Activities, Collection Methodology, and Information Management</w:t>
      </w:r>
    </w:p>
    <w:p>
      <w:pPr>
        <w:widowControl/>
        <w:spacing w:line="360" w:lineRule="auto"/>
        <w:rPr>
          <w:sz w:val="24"/>
          <w:szCs w:val="24"/>
        </w:rPr>
      </w:pPr>
      <w:r>
        <w:rPr>
          <w:i/>
          <w:iCs/>
          <w:sz w:val="24"/>
          <w:szCs w:val="24"/>
        </w:rPr>
        <w:t>(a)</w:t>
      </w:r>
      <w:r>
        <w:rPr>
          <w:i/>
          <w:iCs/>
          <w:sz w:val="24"/>
          <w:szCs w:val="24"/>
        </w:rPr>
        <w:tab/>
        <w:t>Agency Activities.</w:t>
      </w:r>
    </w:p>
    <w:p>
      <w:pPr>
        <w:widowControl/>
        <w:spacing w:line="360" w:lineRule="auto"/>
        <w:rPr>
          <w:sz w:val="24"/>
          <w:szCs w:val="24"/>
        </w:rPr>
      </w:pPr>
      <w:r>
        <w:rPr>
          <w:sz w:val="24"/>
          <w:szCs w:val="24"/>
        </w:rPr>
        <w:tab/>
        <w:t>The Agency activities associated with this ICR are provided in Table 3 (located at the end of this supporting statement) and are introduced in section 6(c).</w:t>
      </w:r>
    </w:p>
    <w:p>
      <w:pPr>
        <w:widowControl/>
        <w:spacing w:line="360" w:lineRule="auto"/>
        <w:rPr>
          <w:sz w:val="24"/>
          <w:szCs w:val="24"/>
        </w:rPr>
      </w:pPr>
      <w:r>
        <w:rPr>
          <w:i/>
          <w:iCs/>
          <w:sz w:val="24"/>
          <w:szCs w:val="24"/>
        </w:rPr>
        <w:t>(b)</w:t>
      </w:r>
      <w:r>
        <w:rPr>
          <w:i/>
          <w:iCs/>
          <w:sz w:val="24"/>
          <w:szCs w:val="24"/>
        </w:rPr>
        <w:tab/>
        <w:t>Collection Methodology and Management</w:t>
      </w:r>
      <w:r>
        <w:rPr>
          <w:sz w:val="24"/>
          <w:szCs w:val="24"/>
        </w:rPr>
        <w:t>.</w:t>
      </w:r>
    </w:p>
    <w:p>
      <w:pPr>
        <w:widowControl/>
        <w:spacing w:line="360" w:lineRule="auto"/>
        <w:rPr>
          <w:i/>
          <w:iCs/>
          <w:sz w:val="24"/>
          <w:szCs w:val="24"/>
        </w:rPr>
      </w:pPr>
      <w:r>
        <w:rPr>
          <w:sz w:val="24"/>
          <w:szCs w:val="24"/>
        </w:rPr>
        <w:tab/>
        <w:t xml:space="preserve">Data and records maintained by the respondents are tabulated and published for use in compliance and enforcement programs of the delegated permitting authority. The semiannual reports are used for problem identification, as a check on source operation and maintenance, and for compliance determinations. The required report for facilities who wish to avail themselves of the affirmative defense will be used by the delegated authority to determine if a source meets the criteria for affirmative defense. If a source meets the criteria for affirmative defense, they may be excused from civil penalties for exceedances of an emission limit. The EPA is the permitting authority until the state agency is delegated authority to implement the rule. Therefore, </w:t>
      </w:r>
      <w:r>
        <w:rPr>
          <w:sz w:val="24"/>
          <w:szCs w:val="24"/>
        </w:rPr>
        <w:lastRenderedPageBreak/>
        <w:t>information contained in the reports submitted to the Regional Administrator will be entered into the Air Facility System (AFS), which is operated and maintained by the EPA’s Office of Compliance. The AFS is the EPA’s database for the collection, maintenance, and retrieval of compliance data for approximately 125,000 industrial and government-owned facilities. The EPA uses the AFS for tracking air pollution compliance and enforcement by local and state regulatory agencies, EPA regional offices and EPA headquarters. The EPA and its delegated authorities can edit, store, retrieve and analyze the data.</w:t>
      </w:r>
      <w:r>
        <w:rPr>
          <w:i/>
          <w:iCs/>
          <w:sz w:val="24"/>
          <w:szCs w:val="24"/>
        </w:rPr>
        <w:t xml:space="preserve"> </w:t>
      </w:r>
    </w:p>
    <w:p>
      <w:pPr>
        <w:widowControl/>
        <w:spacing w:line="360" w:lineRule="auto"/>
        <w:rPr>
          <w:i/>
          <w:iCs/>
          <w:sz w:val="24"/>
          <w:szCs w:val="24"/>
        </w:rPr>
      </w:pPr>
      <w:r>
        <w:rPr>
          <w:i/>
          <w:iCs/>
          <w:sz w:val="24"/>
          <w:szCs w:val="24"/>
        </w:rPr>
        <w:t xml:space="preserve">(c)  </w:t>
      </w:r>
      <w:r>
        <w:rPr>
          <w:i/>
          <w:iCs/>
          <w:sz w:val="24"/>
          <w:szCs w:val="24"/>
        </w:rPr>
        <w:tab/>
        <w:t>Small Entity Flexibility.</w:t>
      </w:r>
    </w:p>
    <w:p>
      <w:pPr>
        <w:widowControl/>
        <w:spacing w:line="360" w:lineRule="auto"/>
        <w:ind w:firstLine="720"/>
        <w:rPr>
          <w:sz w:val="24"/>
          <w:szCs w:val="24"/>
        </w:rPr>
      </w:pPr>
      <w:r>
        <w:rPr>
          <w:sz w:val="24"/>
          <w:szCs w:val="24"/>
        </w:rPr>
        <w:t xml:space="preserve">A majority of the affected facilities are large entities (e.g., large businesses). However, the impact on the one small entity (i.e., small business) in this source category was taken into consideration during development of the final amendments. Due to the type of monitoring equipment to be used, the recordkeeping and reporting requirements are the same for both small and large entities. The Agency considers these requirements the minimum needed to ensure compliance and, therefore, cannot reduce them further for small entities. </w:t>
      </w:r>
    </w:p>
    <w:p>
      <w:pPr>
        <w:widowControl/>
        <w:spacing w:line="360" w:lineRule="auto"/>
        <w:rPr>
          <w:sz w:val="24"/>
          <w:szCs w:val="24"/>
        </w:rPr>
      </w:pPr>
      <w:r>
        <w:rPr>
          <w:i/>
          <w:iCs/>
          <w:sz w:val="24"/>
          <w:szCs w:val="24"/>
        </w:rPr>
        <w:t xml:space="preserve">(d)  </w:t>
      </w:r>
      <w:r>
        <w:rPr>
          <w:i/>
          <w:iCs/>
          <w:sz w:val="24"/>
          <w:szCs w:val="24"/>
        </w:rPr>
        <w:tab/>
        <w:t>Collection Schedule</w:t>
      </w:r>
      <w:r>
        <w:rPr>
          <w:sz w:val="24"/>
          <w:szCs w:val="24"/>
        </w:rPr>
        <w:t>.</w:t>
      </w:r>
    </w:p>
    <w:p>
      <w:pPr>
        <w:widowControl/>
        <w:spacing w:line="360" w:lineRule="auto"/>
        <w:rPr>
          <w:sz w:val="24"/>
          <w:szCs w:val="24"/>
        </w:rPr>
      </w:pPr>
      <w:r>
        <w:rPr>
          <w:sz w:val="24"/>
          <w:szCs w:val="24"/>
        </w:rPr>
        <w:tab/>
        <w:t xml:space="preserve">The specific frequency for each information collection activity within this request is shown in Table 1 for the </w:t>
      </w:r>
      <w:r>
        <w:rPr>
          <w:rFonts w:cs="Courier New"/>
          <w:sz w:val="24"/>
          <w:szCs w:val="24"/>
        </w:rPr>
        <w:t>Polymers &amp; Resins IV</w:t>
      </w:r>
      <w:r>
        <w:rPr>
          <w:sz w:val="24"/>
          <w:szCs w:val="24"/>
        </w:rPr>
        <w:t xml:space="preserve"> source category.</w:t>
      </w:r>
    </w:p>
    <w:p>
      <w:pPr>
        <w:widowControl/>
        <w:spacing w:line="360" w:lineRule="auto"/>
        <w:rPr>
          <w:sz w:val="24"/>
          <w:szCs w:val="24"/>
        </w:rPr>
      </w:pPr>
    </w:p>
    <w:p>
      <w:pPr>
        <w:widowControl/>
        <w:spacing w:line="360" w:lineRule="auto"/>
        <w:rPr>
          <w:sz w:val="24"/>
          <w:szCs w:val="24"/>
        </w:rPr>
      </w:pPr>
      <w:r>
        <w:rPr>
          <w:b/>
          <w:bCs/>
          <w:sz w:val="24"/>
          <w:szCs w:val="24"/>
        </w:rPr>
        <w:t xml:space="preserve">6.  </w:t>
      </w:r>
      <w:r>
        <w:rPr>
          <w:b/>
          <w:bCs/>
          <w:sz w:val="24"/>
          <w:szCs w:val="24"/>
        </w:rPr>
        <w:tab/>
        <w:t>Estimating the Burden and Cost of the Collection</w:t>
      </w:r>
    </w:p>
    <w:p>
      <w:pPr>
        <w:widowControl/>
        <w:spacing w:line="360" w:lineRule="auto"/>
        <w:rPr>
          <w:sz w:val="24"/>
          <w:szCs w:val="24"/>
        </w:rPr>
      </w:pPr>
      <w:r>
        <w:rPr>
          <w:i/>
          <w:iCs/>
          <w:sz w:val="24"/>
          <w:szCs w:val="24"/>
        </w:rPr>
        <w:t xml:space="preserve">(a)  </w:t>
      </w:r>
      <w:r>
        <w:rPr>
          <w:i/>
          <w:iCs/>
          <w:sz w:val="24"/>
          <w:szCs w:val="24"/>
        </w:rPr>
        <w:tab/>
        <w:t>Estimating Respondent Burden.</w:t>
      </w:r>
    </w:p>
    <w:p>
      <w:pPr>
        <w:widowControl/>
        <w:spacing w:line="360" w:lineRule="auto"/>
        <w:rPr>
          <w:sz w:val="24"/>
          <w:szCs w:val="24"/>
        </w:rPr>
      </w:pPr>
      <w:r>
        <w:rPr>
          <w:sz w:val="24"/>
          <w:szCs w:val="24"/>
        </w:rPr>
        <w:tab/>
        <w:t xml:space="preserve">The annual burden estimates for the final amendments to the </w:t>
      </w:r>
      <w:r>
        <w:rPr>
          <w:rFonts w:cs="Courier New"/>
          <w:sz w:val="24"/>
          <w:szCs w:val="24"/>
        </w:rPr>
        <w:t xml:space="preserve">Polymers and Resins IV </w:t>
      </w:r>
      <w:r>
        <w:rPr>
          <w:sz w:val="24"/>
          <w:szCs w:val="24"/>
        </w:rPr>
        <w:t>NESHAP are shown in Table 1. These numbers were derived from estimates based on the EPA’s experience with this and other standards. No burden estimates are provided for new sources because no new facilities are expected to become affected sources during the 3­year period of this ICR.</w:t>
      </w:r>
    </w:p>
    <w:p>
      <w:pPr>
        <w:widowControl/>
        <w:tabs>
          <w:tab w:val="left" w:pos="720"/>
        </w:tabs>
        <w:spacing w:line="360" w:lineRule="auto"/>
        <w:ind w:left="720" w:hanging="720"/>
        <w:rPr>
          <w:sz w:val="24"/>
          <w:szCs w:val="24"/>
        </w:rPr>
      </w:pPr>
      <w:r>
        <w:rPr>
          <w:i/>
          <w:iCs/>
          <w:sz w:val="24"/>
          <w:szCs w:val="24"/>
        </w:rPr>
        <w:t xml:space="preserve">(b)  </w:t>
      </w:r>
      <w:r>
        <w:rPr>
          <w:i/>
          <w:iCs/>
          <w:sz w:val="24"/>
          <w:szCs w:val="24"/>
        </w:rPr>
        <w:tab/>
        <w:t>Estimating Respondent Costs.</w:t>
      </w:r>
    </w:p>
    <w:p>
      <w:pPr>
        <w:widowControl/>
        <w:spacing w:line="360" w:lineRule="auto"/>
        <w:ind w:firstLine="720"/>
        <w:rPr>
          <w:sz w:val="24"/>
          <w:szCs w:val="24"/>
        </w:rPr>
      </w:pPr>
      <w:r>
        <w:rPr>
          <w:sz w:val="24"/>
          <w:szCs w:val="24"/>
        </w:rPr>
        <w:t xml:space="preserve">The estimates of total technical-hours per year per source and the number of activities per respondent per year for the new PRD, equipment leaks, and PCCT requirements are listed in Table 1. Information used to estimate the burden resulting from the new requirements is based </w:t>
      </w:r>
      <w:r>
        <w:rPr>
          <w:sz w:val="24"/>
          <w:szCs w:val="24"/>
        </w:rPr>
        <w:lastRenderedPageBreak/>
        <w:t>upon experience with similar information collection requirements in the Polyvinyl Chloride and Copolymers Production NESHAP (Subpart HHHHHHH).</w:t>
      </w:r>
    </w:p>
    <w:p>
      <w:pPr>
        <w:widowControl/>
        <w:spacing w:line="360" w:lineRule="auto"/>
        <w:ind w:firstLine="720"/>
        <w:rPr>
          <w:sz w:val="24"/>
          <w:szCs w:val="24"/>
        </w:rPr>
      </w:pPr>
      <w:r>
        <w:rPr>
          <w:sz w:val="24"/>
          <w:szCs w:val="24"/>
        </w:rPr>
        <w:t xml:space="preserve">The EPA’s estimate for an affirmative defense and root cause analysis is based on the time and effort required of a source to review relevant data, interview plant employees, and reconstruct the events prior to a malfunction in order to determine primary and contributing causes. The level of effort also includes time to produce and retain the report in document form so that the source will have it available should the EPA or state enforcement agencies ever request to review it. The estimates of total technical-hours per year per source for asserting an affirmative defense are listed in Table 2 and are based upon experience with similar information collection requirements in the Sewage Sludge Incineration Units NESHAP (Subpart MMMM). </w:t>
      </w:r>
    </w:p>
    <w:p>
      <w:pPr>
        <w:widowControl/>
        <w:spacing w:line="360" w:lineRule="auto"/>
        <w:ind w:firstLine="720"/>
        <w:rPr>
          <w:sz w:val="24"/>
          <w:szCs w:val="24"/>
        </w:rPr>
      </w:pPr>
      <w:r>
        <w:rPr>
          <w:sz w:val="24"/>
          <w:szCs w:val="24"/>
        </w:rPr>
        <w:t>(</w:t>
      </w:r>
      <w:proofErr w:type="spellStart"/>
      <w:r>
        <w:rPr>
          <w:sz w:val="24"/>
          <w:szCs w:val="24"/>
        </w:rPr>
        <w:t>i</w:t>
      </w:r>
      <w:proofErr w:type="spellEnd"/>
      <w:r>
        <w:rPr>
          <w:sz w:val="24"/>
          <w:szCs w:val="24"/>
        </w:rPr>
        <w:t xml:space="preserve">)  </w:t>
      </w:r>
      <w:r>
        <w:rPr>
          <w:i/>
          <w:iCs/>
          <w:sz w:val="24"/>
          <w:szCs w:val="24"/>
        </w:rPr>
        <w:t>Estimating Labor Costs</w:t>
      </w:r>
      <w:r>
        <w:rPr>
          <w:sz w:val="24"/>
          <w:szCs w:val="24"/>
        </w:rPr>
        <w:t xml:space="preserve">. Labor rates and associated costs are based on data from the United States Department of Labor, Bureau of Labor Statistics (BLS) from May 2012. The data provides technical, management, and clerical average hourly rates for private industry workers. Wages for technical labor are from the category “chemical plant and system operators” with a mean hourly wage of $26.03/hour. Wages for management labor are from the category “general and operations managers” with a mean hourly wage of $55.22/hour. Wages for clerical labor are from the category “secretaries and administrative assistants” with a mean hourly wage of $18.16/hour. These rates represent salaries plus fringe benefits and do not include the cost of overhead. The wages provided above were increased by a rate of 110 percent to account for overhead. The fully-burdened hourly wage rates used to represent respondent labor costs are:  technical at $54.66, management at $115.96, and clerical at $38.14. </w:t>
      </w:r>
      <w:r>
        <w:rPr>
          <w:sz w:val="24"/>
          <w:szCs w:val="24"/>
        </w:rPr>
        <w:tab/>
      </w:r>
    </w:p>
    <w:p>
      <w:pPr>
        <w:widowControl/>
        <w:spacing w:line="360" w:lineRule="auto"/>
        <w:rPr>
          <w:sz w:val="24"/>
          <w:szCs w:val="24"/>
        </w:rPr>
      </w:pPr>
      <w:r>
        <w:rPr>
          <w:i/>
          <w:iCs/>
          <w:sz w:val="24"/>
          <w:szCs w:val="24"/>
        </w:rPr>
        <w:t xml:space="preserve"> </w:t>
      </w:r>
      <w:r>
        <w:rPr>
          <w:i/>
          <w:iCs/>
          <w:sz w:val="24"/>
          <w:szCs w:val="24"/>
        </w:rPr>
        <w:tab/>
        <w:t>(ii)  Estimating Capital and Operations and Maintenance (O&amp;M) Costs</w:t>
      </w:r>
      <w:r>
        <w:rPr>
          <w:sz w:val="24"/>
          <w:szCs w:val="24"/>
        </w:rPr>
        <w:t xml:space="preserve">. As part of the amendments to the Polymers and Resins IV NESHAP, facility owners or operators are required to monitor each </w:t>
      </w:r>
      <w:bookmarkStart w:id="0" w:name="_GoBack"/>
      <w:r>
        <w:rPr>
          <w:sz w:val="24"/>
          <w:szCs w:val="24"/>
        </w:rPr>
        <w:t>PRD</w:t>
      </w:r>
      <w:bookmarkEnd w:id="0"/>
      <w:r>
        <w:rPr>
          <w:sz w:val="24"/>
          <w:szCs w:val="24"/>
        </w:rPr>
        <w:t xml:space="preserve"> to identify and record the time and duration of each pressure release. For purposes of estimating the costs of this requirement, we assumed that operators would install electronic indicators on each PRD in organic HAP service that vents to the atmosphere to identify and record the time and duration of each pressure release. The cost of each such monitoring system is expected to be $112,180 and the total cost for these capital expenditures for all facilities in the Polymers and Resins IV source category is estimated to be $3,814,120. The </w:t>
      </w:r>
      <w:r>
        <w:rPr>
          <w:sz w:val="24"/>
          <w:szCs w:val="24"/>
        </w:rPr>
        <w:lastRenderedPageBreak/>
        <w:t xml:space="preserve">operation and maintenance (O&amp;M) costs expected from operating the electronic indicators have not been estimated. </w:t>
      </w:r>
    </w:p>
    <w:p>
      <w:pPr>
        <w:widowControl/>
        <w:spacing w:line="360" w:lineRule="auto"/>
        <w:ind w:firstLine="720"/>
        <w:rPr>
          <w:sz w:val="24"/>
          <w:szCs w:val="24"/>
        </w:rPr>
      </w:pPr>
      <w:r>
        <w:rPr>
          <w:i/>
          <w:iCs/>
          <w:sz w:val="24"/>
          <w:szCs w:val="24"/>
        </w:rPr>
        <w:t>(iii)  Annualizing Capital Costs</w:t>
      </w:r>
      <w:r>
        <w:rPr>
          <w:sz w:val="24"/>
          <w:szCs w:val="24"/>
        </w:rPr>
        <w:t>. Annualized costs are calculated by multiplying the capital recovery factor by the capital cost. The capital recovery factor is 0.142 based on an interest rate of 7 percent and an assumed equipment life of 10 years. The total annualized capital cost is $541,620.</w:t>
      </w:r>
    </w:p>
    <w:p>
      <w:pPr>
        <w:widowControl/>
        <w:spacing w:line="360" w:lineRule="auto"/>
        <w:rPr>
          <w:sz w:val="24"/>
          <w:szCs w:val="24"/>
        </w:rPr>
      </w:pPr>
      <w:r>
        <w:rPr>
          <w:i/>
          <w:iCs/>
          <w:sz w:val="24"/>
          <w:szCs w:val="24"/>
        </w:rPr>
        <w:t xml:space="preserve"> (c)  </w:t>
      </w:r>
      <w:r>
        <w:rPr>
          <w:i/>
          <w:iCs/>
          <w:sz w:val="24"/>
          <w:szCs w:val="24"/>
        </w:rPr>
        <w:tab/>
        <w:t>Estimating Agency Burden and Cost</w:t>
      </w:r>
      <w:r>
        <w:rPr>
          <w:sz w:val="24"/>
          <w:szCs w:val="24"/>
        </w:rPr>
        <w:t>.</w:t>
      </w:r>
    </w:p>
    <w:p>
      <w:pPr>
        <w:widowControl/>
        <w:spacing w:line="360" w:lineRule="auto"/>
        <w:rPr>
          <w:i/>
          <w:iCs/>
          <w:sz w:val="24"/>
          <w:szCs w:val="24"/>
        </w:rPr>
      </w:pPr>
      <w:r>
        <w:rPr>
          <w:sz w:val="24"/>
          <w:szCs w:val="24"/>
        </w:rPr>
        <w:tab/>
        <w:t>Because the information collection requirements were developed as an incidental part of standards development, no costs can be attributed to the development of the information collection requirements. Because reporting and recordkeeping requirements on the part of the respondents are required under the operating permits rules in 40 CFR part 70 or part 71 and the part 63 NESHAP General Provisions, no operational costs will be incurred by the Federal Government. Publication and distribution of the information are part of the Compliance Data System, with the result that no Federal costs can be directly attributed to the ICR. Examination of records to be maintained by the respondents will occur incidentally as part of the periodic inspection of sources that is part of EPA’s overall compliance and enforcement program, and, therefore, is not attributable to the ICR. The only costs that the Federal government will incur are user costs associated with the analysis of the reported information, as presented in Table 4.</w:t>
      </w:r>
    </w:p>
    <w:p>
      <w:pPr>
        <w:widowControl/>
        <w:spacing w:line="360" w:lineRule="auto"/>
        <w:rPr>
          <w:sz w:val="24"/>
          <w:szCs w:val="24"/>
        </w:rPr>
      </w:pPr>
      <w:r>
        <w:rPr>
          <w:i/>
          <w:iCs/>
          <w:sz w:val="24"/>
          <w:szCs w:val="24"/>
        </w:rPr>
        <w:t xml:space="preserve">(d) </w:t>
      </w:r>
      <w:r>
        <w:rPr>
          <w:i/>
          <w:iCs/>
          <w:sz w:val="24"/>
          <w:szCs w:val="24"/>
        </w:rPr>
        <w:tab/>
        <w:t>Estimating the Respondent Universe and Total Burden and Costs</w:t>
      </w:r>
      <w:r>
        <w:rPr>
          <w:sz w:val="24"/>
          <w:szCs w:val="24"/>
        </w:rPr>
        <w:t>.</w:t>
      </w:r>
    </w:p>
    <w:p>
      <w:pPr>
        <w:widowControl/>
        <w:spacing w:line="360" w:lineRule="auto"/>
        <w:rPr>
          <w:rFonts w:cs="Courier New"/>
          <w:sz w:val="24"/>
          <w:szCs w:val="24"/>
        </w:rPr>
      </w:pPr>
      <w:r>
        <w:rPr>
          <w:sz w:val="24"/>
          <w:szCs w:val="24"/>
        </w:rPr>
        <w:tab/>
        <w:t xml:space="preserve">    For the final amendments related to PRD, </w:t>
      </w:r>
      <w:r>
        <w:rPr>
          <w:rFonts w:cs="Courier New"/>
          <w:sz w:val="24"/>
          <w:szCs w:val="24"/>
        </w:rPr>
        <w:t xml:space="preserve">respondents include owners or operators of all 31 existing facilities regulated by the Polymers and Resins IV NESHAP. For the amendments related to equipment leaks from components in gas/vapor service or light liquid service and for PCCT, there is only one respondent - the facility in the PET continuous TPA high viscosity multiple end finisher </w:t>
      </w:r>
      <w:proofErr w:type="gramStart"/>
      <w:r>
        <w:rPr>
          <w:rFonts w:cs="Courier New"/>
          <w:sz w:val="24"/>
          <w:szCs w:val="24"/>
        </w:rPr>
        <w:t>subcategory</w:t>
      </w:r>
      <w:proofErr w:type="gramEnd"/>
      <w:r>
        <w:rPr>
          <w:rFonts w:cs="Courier New"/>
          <w:sz w:val="24"/>
          <w:szCs w:val="24"/>
        </w:rPr>
        <w:t xml:space="preserve">. Each facility will be required to submit information in the periodic report required by the existing Polymers and Resins IV NESHAP. Periodic reports are required to be submitted two times per year, but the extent of the required information in each submittal is dependent upon the occurrence of an emission discharge from a PRD, an equipment leak, or an emission exceedance from a PCCT. </w:t>
      </w:r>
    </w:p>
    <w:p>
      <w:pPr>
        <w:widowControl/>
        <w:spacing w:line="360" w:lineRule="auto"/>
        <w:ind w:firstLine="720"/>
        <w:rPr>
          <w:sz w:val="24"/>
          <w:szCs w:val="24"/>
        </w:rPr>
      </w:pPr>
      <w:r>
        <w:rPr>
          <w:sz w:val="24"/>
          <w:szCs w:val="24"/>
        </w:rPr>
        <w:t>While a</w:t>
      </w:r>
      <w:r>
        <w:rPr>
          <w:rFonts w:cs="Courier New"/>
          <w:sz w:val="24"/>
          <w:szCs w:val="24"/>
        </w:rPr>
        <w:t xml:space="preserve">ll 31 of the existing facilities could make use of the new affirmative defense provisions added to the rule, the EPA estimates only two total instances of the use of these </w:t>
      </w:r>
      <w:r>
        <w:rPr>
          <w:rFonts w:cs="Courier New"/>
          <w:sz w:val="24"/>
          <w:szCs w:val="24"/>
        </w:rPr>
        <w:lastRenderedPageBreak/>
        <w:t xml:space="preserve">provisions over the three year ICR period. </w:t>
      </w:r>
      <w:r>
        <w:rPr>
          <w:sz w:val="24"/>
          <w:szCs w:val="24"/>
        </w:rPr>
        <w:t xml:space="preserve">Consequently, the average annual number of </w:t>
      </w:r>
      <w:r>
        <w:rPr>
          <w:rFonts w:cs="Courier New"/>
          <w:sz w:val="24"/>
          <w:szCs w:val="24"/>
        </w:rPr>
        <w:t xml:space="preserve">Pesticide Active Ingredient </w:t>
      </w:r>
      <w:r>
        <w:rPr>
          <w:sz w:val="24"/>
          <w:szCs w:val="24"/>
        </w:rPr>
        <w:t>manufacturing facility respondents during the 3-year period of this ICR is 2.</w:t>
      </w:r>
    </w:p>
    <w:p>
      <w:pPr>
        <w:widowControl/>
        <w:spacing w:line="360" w:lineRule="auto"/>
        <w:rPr>
          <w:rFonts w:cs="Courier New"/>
          <w:sz w:val="24"/>
          <w:szCs w:val="24"/>
        </w:rPr>
      </w:pPr>
      <w:r>
        <w:rPr>
          <w:sz w:val="24"/>
          <w:szCs w:val="24"/>
        </w:rPr>
        <w:tab/>
        <w:t>The average annual burden and cost over the next three years is shown in Table 1</w:t>
      </w:r>
      <w:r>
        <w:rPr>
          <w:rFonts w:cs="Courier New"/>
          <w:sz w:val="24"/>
          <w:szCs w:val="24"/>
        </w:rPr>
        <w:t xml:space="preserve">. The EPA’s estimate for the total burden and cost for a single incident of an affirmative defense is shown in Table 2. </w:t>
      </w:r>
    </w:p>
    <w:p>
      <w:pPr>
        <w:widowControl/>
        <w:spacing w:line="360" w:lineRule="auto"/>
        <w:rPr>
          <w:sz w:val="24"/>
          <w:szCs w:val="24"/>
        </w:rPr>
      </w:pPr>
      <w:r>
        <w:rPr>
          <w:i/>
          <w:iCs/>
          <w:sz w:val="24"/>
          <w:szCs w:val="24"/>
        </w:rPr>
        <w:t>(e)</w:t>
      </w:r>
      <w:r>
        <w:rPr>
          <w:i/>
          <w:iCs/>
          <w:sz w:val="24"/>
          <w:szCs w:val="24"/>
        </w:rPr>
        <w:tab/>
        <w:t>Bottom Line Burden Hours and Cost Tables.</w:t>
      </w:r>
    </w:p>
    <w:p>
      <w:pPr>
        <w:widowControl/>
        <w:spacing w:line="360" w:lineRule="auto"/>
        <w:ind w:firstLine="720"/>
        <w:rPr>
          <w:sz w:val="24"/>
          <w:szCs w:val="24"/>
        </w:rPr>
      </w:pPr>
      <w:r>
        <w:rPr>
          <w:i/>
          <w:iCs/>
          <w:sz w:val="24"/>
          <w:szCs w:val="24"/>
        </w:rPr>
        <w:t>(</w:t>
      </w:r>
      <w:proofErr w:type="spellStart"/>
      <w:r>
        <w:rPr>
          <w:i/>
          <w:iCs/>
          <w:sz w:val="24"/>
          <w:szCs w:val="24"/>
        </w:rPr>
        <w:t>i</w:t>
      </w:r>
      <w:proofErr w:type="spellEnd"/>
      <w:r>
        <w:rPr>
          <w:i/>
          <w:iCs/>
          <w:sz w:val="24"/>
          <w:szCs w:val="24"/>
        </w:rPr>
        <w:t xml:space="preserve">)  Respondent tally. </w:t>
      </w:r>
      <w:r>
        <w:rPr>
          <w:sz w:val="24"/>
          <w:szCs w:val="24"/>
        </w:rPr>
        <w:t xml:space="preserve">The bottom line respondent burden hours and costs, presented in Table 1, are calculated by adding person-hours per year down each column for technical, managerial, and clerical staff, and by adding down the cost column. The annual burden for the recordkeeping and reporting requirements for the 31 existing facilities subject to the amendments to the </w:t>
      </w:r>
      <w:r>
        <w:rPr>
          <w:rFonts w:cs="Courier New"/>
          <w:sz w:val="24"/>
          <w:szCs w:val="24"/>
        </w:rPr>
        <w:t>Polymers and Resins</w:t>
      </w:r>
      <w:r>
        <w:rPr>
          <w:sz w:val="24"/>
          <w:szCs w:val="24"/>
        </w:rPr>
        <w:t xml:space="preserve"> NESHAP is 459 person-hours, with an annual labor cost of $26,137.</w:t>
      </w:r>
    </w:p>
    <w:p>
      <w:pPr>
        <w:widowControl/>
        <w:spacing w:line="360" w:lineRule="auto"/>
        <w:rPr>
          <w:sz w:val="24"/>
          <w:szCs w:val="24"/>
        </w:rPr>
      </w:pPr>
      <w:r>
        <w:rPr>
          <w:sz w:val="24"/>
          <w:szCs w:val="24"/>
        </w:rPr>
        <w:tab/>
      </w:r>
      <w:r>
        <w:rPr>
          <w:i/>
          <w:iCs/>
          <w:sz w:val="24"/>
          <w:szCs w:val="24"/>
        </w:rPr>
        <w:t xml:space="preserve">(ii)  The Agency tally. </w:t>
      </w:r>
      <w:r>
        <w:rPr>
          <w:sz w:val="24"/>
          <w:szCs w:val="24"/>
        </w:rPr>
        <w:t xml:space="preserve"> There is no significant burden or </w:t>
      </w:r>
      <w:proofErr w:type="gramStart"/>
      <w:r>
        <w:rPr>
          <w:sz w:val="24"/>
          <w:szCs w:val="24"/>
        </w:rPr>
        <w:t>cost expected to the agency as a result of the amendments; see</w:t>
      </w:r>
      <w:proofErr w:type="gramEnd"/>
      <w:r>
        <w:rPr>
          <w:sz w:val="24"/>
          <w:szCs w:val="24"/>
        </w:rPr>
        <w:t xml:space="preserve"> Table 3.</w:t>
      </w:r>
    </w:p>
    <w:p>
      <w:pPr>
        <w:widowControl/>
        <w:spacing w:line="360" w:lineRule="auto"/>
        <w:rPr>
          <w:sz w:val="24"/>
          <w:szCs w:val="24"/>
        </w:rPr>
      </w:pPr>
      <w:r>
        <w:rPr>
          <w:sz w:val="24"/>
          <w:szCs w:val="24"/>
        </w:rPr>
        <w:tab/>
      </w:r>
      <w:r>
        <w:rPr>
          <w:i/>
          <w:iCs/>
          <w:sz w:val="24"/>
          <w:szCs w:val="24"/>
        </w:rPr>
        <w:t xml:space="preserve">(iii)  Variations in the annual bottom line. </w:t>
      </w:r>
      <w:r>
        <w:rPr>
          <w:sz w:val="24"/>
          <w:szCs w:val="24"/>
        </w:rPr>
        <w:t>This section does not apply since no significant variation is anticipated.</w:t>
      </w:r>
    </w:p>
    <w:p>
      <w:pPr>
        <w:widowControl/>
        <w:spacing w:line="360" w:lineRule="auto"/>
        <w:rPr>
          <w:sz w:val="24"/>
          <w:szCs w:val="24"/>
        </w:rPr>
      </w:pPr>
      <w:r>
        <w:rPr>
          <w:i/>
          <w:iCs/>
          <w:sz w:val="24"/>
          <w:szCs w:val="24"/>
        </w:rPr>
        <w:t>(f)</w:t>
      </w:r>
      <w:r>
        <w:rPr>
          <w:i/>
          <w:iCs/>
          <w:sz w:val="24"/>
          <w:szCs w:val="24"/>
        </w:rPr>
        <w:tab/>
        <w:t>Reasons for Change in Burden.</w:t>
      </w:r>
    </w:p>
    <w:p>
      <w:pPr>
        <w:pBdr>
          <w:top w:val="single" w:sz="6" w:space="0" w:color="FFFFFF"/>
          <w:left w:val="single" w:sz="6" w:space="0" w:color="FFFFFF"/>
          <w:bottom w:val="single" w:sz="6" w:space="0" w:color="FFFFFF"/>
          <w:right w:val="single" w:sz="6" w:space="0" w:color="FFFFFF"/>
        </w:pBdr>
        <w:spacing w:line="360" w:lineRule="auto"/>
        <w:ind w:firstLine="720"/>
        <w:rPr>
          <w:sz w:val="24"/>
          <w:szCs w:val="24"/>
        </w:rPr>
      </w:pPr>
      <w:r>
        <w:rPr>
          <w:sz w:val="24"/>
          <w:szCs w:val="24"/>
        </w:rPr>
        <w:t xml:space="preserve">We are requesting an increase in burden of 459 hours per year due to implementation of the new provisions of this regulation. </w:t>
      </w:r>
      <w:r>
        <w:rPr>
          <w:rFonts w:cs="Courier New"/>
          <w:sz w:val="24"/>
          <w:szCs w:val="24"/>
        </w:rPr>
        <w:t xml:space="preserve">The EPA provides an adjustment to this ICR that estimates the costs of the notification, recordkeeping and reporting requirements associated with the assertion of the affirmative defense. The EPA’s estimate for the required notification, reports and records, including the root cause analysis, associated with a single incident totals approximately $2,375 and is based on the time and effort required of a source to review relevant data, interview plant employees, and document the events surrounding a malfunction that has caused an exceedance of an emission limit. The estimate also includes time to produce and retain the records and reports for submission to the EPA. For the purpose of estimating the annual burden, the EPA is attributing a total of 2 instances of affirmative defense over a three year period across all sources in the category. The EPA is using this frequency of 2 events in three years because, of the number of excess emission events reported by source operators, only a small number would be expected to result from a malfunction, and only a subset of excess emissions caused by malfunctions would result in the source choosing to assert the affirmative defense. Thus, we </w:t>
      </w:r>
      <w:r>
        <w:rPr>
          <w:rFonts w:cs="Courier New"/>
          <w:sz w:val="24"/>
          <w:szCs w:val="24"/>
        </w:rPr>
        <w:lastRenderedPageBreak/>
        <w:t xml:space="preserve">believe the number of instances in which source operators might be expected to avail themselves of the affirmative defense will be extremely small. </w:t>
      </w:r>
    </w:p>
    <w:p>
      <w:pPr>
        <w:widowControl/>
        <w:spacing w:line="360" w:lineRule="auto"/>
        <w:rPr>
          <w:i/>
          <w:iCs/>
          <w:sz w:val="24"/>
          <w:szCs w:val="24"/>
        </w:rPr>
      </w:pPr>
      <w:r>
        <w:rPr>
          <w:i/>
          <w:iCs/>
          <w:sz w:val="24"/>
          <w:szCs w:val="24"/>
        </w:rPr>
        <w:t xml:space="preserve"> (g)  </w:t>
      </w:r>
      <w:r>
        <w:rPr>
          <w:i/>
          <w:iCs/>
          <w:sz w:val="24"/>
          <w:szCs w:val="24"/>
        </w:rPr>
        <w:tab/>
        <w:t>Burden Statement</w:t>
      </w:r>
    </w:p>
    <w:p>
      <w:pPr>
        <w:widowControl/>
        <w:spacing w:line="360" w:lineRule="auto"/>
        <w:rPr>
          <w:sz w:val="24"/>
          <w:szCs w:val="24"/>
        </w:rPr>
      </w:pPr>
      <w:r>
        <w:rPr>
          <w:sz w:val="24"/>
          <w:szCs w:val="24"/>
        </w:rPr>
        <w:tab/>
        <w:t>The average annual respondent burden is estimated to average 459 hours.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pPr>
        <w:widowControl/>
        <w:spacing w:line="360" w:lineRule="auto"/>
        <w:rPr>
          <w:sz w:val="24"/>
          <w:szCs w:val="24"/>
        </w:rPr>
      </w:pPr>
      <w:r>
        <w:rPr>
          <w:sz w:val="24"/>
          <w:szCs w:val="24"/>
        </w:rPr>
        <w:tab/>
        <w:t xml:space="preserve">An agency may not conduct or sponsor, and a person is not required to respond to a collection of information unless it displays a currently valid OMB control number. The OMB control numbers for EPA’s regulations in 40 CFR </w:t>
      </w:r>
      <w:proofErr w:type="gramStart"/>
      <w:r>
        <w:rPr>
          <w:sz w:val="24"/>
          <w:szCs w:val="24"/>
        </w:rPr>
        <w:t>part</w:t>
      </w:r>
      <w:proofErr w:type="gramEnd"/>
      <w:r>
        <w:rPr>
          <w:sz w:val="24"/>
          <w:szCs w:val="24"/>
        </w:rPr>
        <w:t xml:space="preserve"> 63 are listed in 40 CFR part 9.</w:t>
      </w:r>
    </w:p>
    <w:p>
      <w:pPr>
        <w:widowControl/>
        <w:spacing w:line="360" w:lineRule="auto"/>
        <w:rPr>
          <w:sz w:val="24"/>
          <w:szCs w:val="24"/>
        </w:rPr>
      </w:pPr>
      <w:r>
        <w:rPr>
          <w:sz w:val="24"/>
          <w:szCs w:val="24"/>
        </w:rPr>
        <w:tab/>
        <w:t>To comment on the Agency’s need for this information the accuracy of the provided burden estimates, and any suggestions for minimizing respondent burden, including through the use of automated collection techniques, the EPA has established a public docket for this ICR under Docket ID No. EPA-HQ-</w:t>
      </w:r>
      <w:r>
        <w:rPr>
          <w:rStyle w:val="defaultlabelstyle"/>
          <w:sz w:val="24"/>
          <w:szCs w:val="24"/>
        </w:rPr>
        <w:t>OAR-2011-0435</w:t>
      </w:r>
      <w:r>
        <w:rPr>
          <w:sz w:val="24"/>
        </w:rPr>
        <w:t>,</w:t>
      </w:r>
      <w:r>
        <w:rPr>
          <w:sz w:val="24"/>
          <w:szCs w:val="24"/>
        </w:rPr>
        <w:t xml:space="preserve"> which is available for online viewing at </w:t>
      </w:r>
      <w:hyperlink r:id="rId8" w:history="1">
        <w:r>
          <w:rPr>
            <w:rStyle w:val="Hyperlink"/>
            <w:sz w:val="24"/>
            <w:szCs w:val="24"/>
          </w:rPr>
          <w:t>http://www.regulations.gov</w:t>
        </w:r>
      </w:hyperlink>
      <w:r>
        <w:rPr>
          <w:sz w:val="24"/>
          <w:szCs w:val="24"/>
        </w:rPr>
        <w:t xml:space="preserve">, or in person viewing at the Air and Radiation Docket and Information Center in the EPA Docket Center (EPA/DC), EPA West, Room 3334, 1301 Constitution Ave., NW, Washington, DC. The EPA Docket Center Public Reading Room is open from </w:t>
      </w:r>
      <w:smartTag w:uri="urn:schemas-microsoft-com:office:smarttags" w:element="time">
        <w:smartTagPr>
          <w:attr w:name="Hour" w:val="8"/>
          <w:attr w:name="Minute" w:val="30"/>
        </w:smartTagPr>
        <w:r>
          <w:rPr>
            <w:sz w:val="24"/>
            <w:szCs w:val="24"/>
          </w:rPr>
          <w:t>8:30 a.m.</w:t>
        </w:r>
      </w:smartTag>
      <w:r>
        <w:rPr>
          <w:sz w:val="24"/>
          <w:szCs w:val="24"/>
        </w:rPr>
        <w:t xml:space="preserve"> to </w:t>
      </w:r>
      <w:smartTag w:uri="urn:schemas-microsoft-com:office:smarttags" w:element="time">
        <w:smartTagPr>
          <w:attr w:name="Hour" w:val="16"/>
          <w:attr w:name="Minute" w:val="30"/>
        </w:smartTagPr>
        <w:r>
          <w:rPr>
            <w:sz w:val="24"/>
            <w:szCs w:val="24"/>
          </w:rPr>
          <w:t>4:30 p.m.</w:t>
        </w:r>
      </w:smartTag>
      <w:r>
        <w:rPr>
          <w:sz w:val="24"/>
          <w:szCs w:val="24"/>
        </w:rPr>
        <w:t xml:space="preserve">, Monday through Friday, excluding legal holidays. The telephone number for the Reading Room is (202) 566-1744, and the telephone number for the Air Docket is (202) 566-1742. An electronic version of the public docket is available at </w:t>
      </w:r>
      <w:hyperlink r:id="rId9" w:history="1">
        <w:r>
          <w:rPr>
            <w:rStyle w:val="Hyperlink"/>
            <w:sz w:val="24"/>
            <w:szCs w:val="24"/>
          </w:rPr>
          <w:t>http://www.regulations.gov.</w:t>
        </w:r>
      </w:hyperlink>
      <w:r>
        <w:rPr>
          <w:sz w:val="24"/>
          <w:szCs w:val="24"/>
        </w:rPr>
        <w:t xml:space="preserve">  </w:t>
      </w:r>
      <w:r>
        <w:rPr>
          <w:color w:val="0F0F0F"/>
          <w:sz w:val="24"/>
          <w:szCs w:val="24"/>
        </w:rPr>
        <w:t xml:space="preserve">This site can be used to submit or view public comments, access the index listing of the contents of the public docket, and to access those documents in the public docket that are available electronically. When in the system, select “search,” then key in one of the Docket ID Numbers identified above. </w:t>
      </w:r>
      <w:r>
        <w:rPr>
          <w:sz w:val="24"/>
          <w:szCs w:val="24"/>
        </w:rPr>
        <w:t xml:space="preserve">Also, you can send comments to the Office of Information and Regulatory Affairs, Office of Management and Budget, </w:t>
      </w:r>
      <w:smartTag w:uri="urn:schemas-microsoft-com:office:smarttags" w:element="address">
        <w:smartTag w:uri="urn:schemas-microsoft-com:office:smarttags" w:element="Street">
          <w:r>
            <w:rPr>
              <w:sz w:val="24"/>
              <w:szCs w:val="24"/>
            </w:rPr>
            <w:t>725 17</w:t>
          </w:r>
          <w:r>
            <w:rPr>
              <w:sz w:val="24"/>
              <w:szCs w:val="24"/>
              <w:vertAlign w:val="superscript"/>
            </w:rPr>
            <w:t>th</w:t>
          </w:r>
          <w:r>
            <w:rPr>
              <w:sz w:val="24"/>
              <w:szCs w:val="24"/>
            </w:rPr>
            <w:t xml:space="preserve"> Street, NW</w:t>
          </w:r>
        </w:smartTag>
        <w:r>
          <w:rPr>
            <w:sz w:val="24"/>
            <w:szCs w:val="24"/>
          </w:rPr>
          <w:t xml:space="preserve">, </w:t>
        </w:r>
        <w:smartTag w:uri="urn:schemas-microsoft-com:office:smarttags" w:element="City">
          <w:r>
            <w:rPr>
              <w:sz w:val="24"/>
              <w:szCs w:val="24"/>
            </w:rPr>
            <w:lastRenderedPageBreak/>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20503</w:t>
          </w:r>
        </w:smartTag>
      </w:smartTag>
      <w:r>
        <w:rPr>
          <w:sz w:val="24"/>
          <w:szCs w:val="24"/>
        </w:rPr>
        <w:t>, Attention Desk Officer for EPA. Please include the relevant Docket ID Number (EPA-HQ-</w:t>
      </w:r>
      <w:r>
        <w:rPr>
          <w:rStyle w:val="defaultlabelstyle"/>
          <w:sz w:val="24"/>
          <w:szCs w:val="24"/>
        </w:rPr>
        <w:t>OAR-201-0435</w:t>
      </w:r>
      <w:r>
        <w:rPr>
          <w:sz w:val="24"/>
        </w:rPr>
        <w:t xml:space="preserve">) </w:t>
      </w:r>
      <w:r>
        <w:rPr>
          <w:sz w:val="24"/>
          <w:szCs w:val="24"/>
        </w:rPr>
        <w:t>in any correspondence.</w:t>
      </w:r>
    </w:p>
    <w:p>
      <w:pPr>
        <w:keepNext/>
        <w:keepLines/>
        <w:widowControl/>
        <w:spacing w:line="360" w:lineRule="auto"/>
        <w:rPr>
          <w:sz w:val="24"/>
          <w:szCs w:val="24"/>
        </w:rPr>
      </w:pPr>
      <w:r>
        <w:rPr>
          <w:b/>
          <w:bCs/>
          <w:sz w:val="24"/>
          <w:szCs w:val="24"/>
        </w:rPr>
        <w:t>PART B</w:t>
      </w:r>
    </w:p>
    <w:p>
      <w:pPr>
        <w:widowControl/>
        <w:spacing w:line="360" w:lineRule="auto"/>
        <w:rPr>
          <w:sz w:val="24"/>
          <w:szCs w:val="24"/>
        </w:rPr>
      </w:pPr>
      <w:r>
        <w:rPr>
          <w:sz w:val="24"/>
          <w:szCs w:val="24"/>
        </w:rPr>
        <w:tab/>
        <w:t>This section is not applicable because statistical methods are not used in data collection associated with the rule.</w:t>
      </w:r>
      <w:bookmarkStart w:id="1" w:name="RANGE!A1:I56"/>
    </w:p>
    <w:bookmarkEnd w:id="1"/>
    <w:p>
      <w:pPr>
        <w:widowControl/>
        <w:spacing w:line="360" w:lineRule="auto"/>
        <w:rPr>
          <w:sz w:val="24"/>
          <w:szCs w:val="24"/>
        </w:rPr>
        <w:sectPr>
          <w:footerReference w:type="even" r:id="rId10"/>
          <w:footerReference w:type="default" r:id="rId11"/>
          <w:footerReference w:type="first" r:id="rId12"/>
          <w:endnotePr>
            <w:numFmt w:val="decimal"/>
          </w:endnotePr>
          <w:pgSz w:w="12240" w:h="15840" w:code="1"/>
          <w:pgMar w:top="1440" w:right="1440" w:bottom="1440" w:left="1440" w:header="1440" w:footer="1440" w:gutter="0"/>
          <w:cols w:space="720"/>
          <w:noEndnote/>
        </w:sectPr>
      </w:pPr>
    </w:p>
    <w:p>
      <w:pPr>
        <w:widowControl/>
        <w:autoSpaceDE/>
        <w:autoSpaceDN/>
        <w:adjustRightInd/>
        <w:jc w:val="center"/>
        <w:rPr>
          <w:b/>
          <w:bCs/>
        </w:rPr>
      </w:pPr>
      <w:proofErr w:type="gramStart"/>
      <w:r>
        <w:rPr>
          <w:b/>
          <w:bCs/>
        </w:rPr>
        <w:lastRenderedPageBreak/>
        <w:t>TABLE 1.</w:t>
      </w:r>
      <w:proofErr w:type="gramEnd"/>
      <w:r>
        <w:rPr>
          <w:b/>
          <w:bCs/>
        </w:rPr>
        <w:t xml:space="preserve">  ANNUAL RESPONDENT BURDEN AND COST OF REPORTING AND RECORDKEEPING REQUIREMENTS OF THE FINAL STANDARD</w:t>
      </w:r>
    </w:p>
    <w:p>
      <w:pPr>
        <w:widowControl/>
        <w:autoSpaceDE/>
        <w:autoSpaceDN/>
        <w:adjustRightInd/>
        <w:jc w:val="center"/>
        <w:rPr>
          <w:b/>
          <w:bCs/>
          <w:sz w:val="18"/>
          <w:szCs w:val="18"/>
        </w:rPr>
      </w:pPr>
    </w:p>
    <w:tbl>
      <w:tblPr>
        <w:tblW w:w="5069" w:type="pct"/>
        <w:tblInd w:w="-190" w:type="dxa"/>
        <w:tblLook w:val="04A0"/>
      </w:tblPr>
      <w:tblGrid>
        <w:gridCol w:w="5246"/>
        <w:gridCol w:w="1123"/>
        <w:gridCol w:w="1215"/>
        <w:gridCol w:w="1316"/>
        <w:gridCol w:w="892"/>
        <w:gridCol w:w="1298"/>
        <w:gridCol w:w="1298"/>
        <w:gridCol w:w="1298"/>
        <w:gridCol w:w="1132"/>
      </w:tblGrid>
      <w:tr>
        <w:trPr>
          <w:trHeight w:val="264"/>
          <w:tblHeader/>
        </w:trPr>
        <w:tc>
          <w:tcPr>
            <w:tcW w:w="1770" w:type="pct"/>
            <w:vMerge w:val="restart"/>
            <w:tcBorders>
              <w:top w:val="single" w:sz="4" w:space="0" w:color="auto"/>
              <w:left w:val="single" w:sz="4" w:space="0" w:color="auto"/>
              <w:right w:val="nil"/>
            </w:tcBorders>
            <w:shd w:val="clear" w:color="000000" w:fill="FFFFFF"/>
            <w:noWrap/>
            <w:vAlign w:val="bottom"/>
            <w:hideMark/>
          </w:tcPr>
          <w:p>
            <w:pPr>
              <w:widowControl/>
              <w:autoSpaceDE/>
              <w:autoSpaceDN/>
              <w:adjustRightInd/>
            </w:pPr>
            <w:r>
              <w:t> </w:t>
            </w:r>
          </w:p>
          <w:p>
            <w:pPr>
              <w:widowControl/>
              <w:autoSpaceDE/>
              <w:autoSpaceDN/>
              <w:adjustRightInd/>
            </w:pPr>
            <w:r>
              <w:t> </w:t>
            </w:r>
          </w:p>
          <w:p>
            <w:pPr>
              <w:widowControl/>
              <w:autoSpaceDE/>
              <w:autoSpaceDN/>
              <w:adjustRightInd/>
              <w:jc w:val="center"/>
            </w:pPr>
            <w:r>
              <w:t>Burden Item</w:t>
            </w:r>
          </w:p>
          <w:p>
            <w:pPr>
              <w:widowControl/>
              <w:autoSpaceDE/>
              <w:autoSpaceDN/>
              <w:adjustRightInd/>
            </w:pPr>
            <w:r>
              <w:t> </w:t>
            </w:r>
          </w:p>
          <w:p>
            <w:r>
              <w:t> </w:t>
            </w:r>
          </w:p>
        </w:tc>
        <w:tc>
          <w:tcPr>
            <w:tcW w:w="379" w:type="pct"/>
            <w:tcBorders>
              <w:top w:val="single" w:sz="4" w:space="0" w:color="auto"/>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(A)</w:t>
            </w:r>
          </w:p>
        </w:tc>
        <w:tc>
          <w:tcPr>
            <w:tcW w:w="410" w:type="pct"/>
            <w:tcBorders>
              <w:top w:val="single" w:sz="4" w:space="0" w:color="auto"/>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(B)</w:t>
            </w:r>
          </w:p>
        </w:tc>
        <w:tc>
          <w:tcPr>
            <w:tcW w:w="444" w:type="pct"/>
            <w:tcBorders>
              <w:top w:val="single" w:sz="4" w:space="0" w:color="auto"/>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(C)</w:t>
            </w:r>
          </w:p>
        </w:tc>
        <w:tc>
          <w:tcPr>
            <w:tcW w:w="301" w:type="pct"/>
            <w:tcBorders>
              <w:top w:val="single" w:sz="4" w:space="0" w:color="auto"/>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(D)</w:t>
            </w:r>
          </w:p>
        </w:tc>
        <w:tc>
          <w:tcPr>
            <w:tcW w:w="438" w:type="pct"/>
            <w:tcBorders>
              <w:top w:val="single" w:sz="4" w:space="0" w:color="auto"/>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(E)</w:t>
            </w:r>
          </w:p>
        </w:tc>
        <w:tc>
          <w:tcPr>
            <w:tcW w:w="438" w:type="pct"/>
            <w:tcBorders>
              <w:top w:val="single" w:sz="4" w:space="0" w:color="auto"/>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(F)</w:t>
            </w:r>
          </w:p>
        </w:tc>
        <w:tc>
          <w:tcPr>
            <w:tcW w:w="438" w:type="pct"/>
            <w:tcBorders>
              <w:top w:val="single" w:sz="4" w:space="0" w:color="auto"/>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(G)</w:t>
            </w:r>
          </w:p>
        </w:tc>
        <w:tc>
          <w:tcPr>
            <w:tcW w:w="383" w:type="pct"/>
            <w:tcBorders>
              <w:top w:val="single" w:sz="4" w:space="0" w:color="auto"/>
              <w:left w:val="single" w:sz="4" w:space="0" w:color="auto"/>
              <w:bottom w:val="single" w:sz="4" w:space="0" w:color="FFFFFF"/>
              <w:right w:val="single" w:sz="4" w:space="0" w:color="auto"/>
            </w:tcBorders>
            <w:shd w:val="clear" w:color="000000" w:fill="FFFFFF"/>
            <w:noWrap/>
            <w:vAlign w:val="bottom"/>
            <w:hideMark/>
          </w:tcPr>
          <w:p>
            <w:pPr>
              <w:widowControl/>
              <w:autoSpaceDE/>
              <w:autoSpaceDN/>
              <w:adjustRightInd/>
              <w:jc w:val="center"/>
            </w:pPr>
            <w:r>
              <w:t>(H)</w:t>
            </w:r>
          </w:p>
        </w:tc>
      </w:tr>
      <w:tr>
        <w:trPr>
          <w:trHeight w:val="264"/>
          <w:tblHeader/>
        </w:trPr>
        <w:tc>
          <w:tcPr>
            <w:tcW w:w="1770" w:type="pct"/>
            <w:vMerge/>
            <w:tcBorders>
              <w:left w:val="single" w:sz="4" w:space="0" w:color="auto"/>
              <w:right w:val="nil"/>
            </w:tcBorders>
            <w:shd w:val="clear" w:color="000000" w:fill="FFFFFF"/>
            <w:noWrap/>
            <w:vAlign w:val="bottom"/>
            <w:hideMark/>
          </w:tcPr>
          <w:p/>
        </w:tc>
        <w:tc>
          <w:tcPr>
            <w:tcW w:w="379"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Person-</w:t>
            </w:r>
          </w:p>
        </w:tc>
        <w:tc>
          <w:tcPr>
            <w:tcW w:w="410"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No. of</w:t>
            </w:r>
          </w:p>
        </w:tc>
        <w:tc>
          <w:tcPr>
            <w:tcW w:w="444"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Person-hours</w:t>
            </w:r>
          </w:p>
        </w:tc>
        <w:tc>
          <w:tcPr>
            <w:tcW w:w="301"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Sources</w:t>
            </w:r>
          </w:p>
        </w:tc>
        <w:tc>
          <w:tcPr>
            <w:tcW w:w="438"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Technical</w:t>
            </w:r>
          </w:p>
        </w:tc>
        <w:tc>
          <w:tcPr>
            <w:tcW w:w="438"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Management</w:t>
            </w:r>
          </w:p>
        </w:tc>
        <w:tc>
          <w:tcPr>
            <w:tcW w:w="438"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Clerical</w:t>
            </w:r>
          </w:p>
        </w:tc>
        <w:tc>
          <w:tcPr>
            <w:tcW w:w="383" w:type="pct"/>
            <w:tcBorders>
              <w:top w:val="single" w:sz="4" w:space="0" w:color="FFFFFF"/>
              <w:left w:val="single" w:sz="4" w:space="0" w:color="auto"/>
              <w:bottom w:val="single" w:sz="4" w:space="0" w:color="FFFFFF"/>
              <w:right w:val="single" w:sz="4" w:space="0" w:color="auto"/>
            </w:tcBorders>
            <w:shd w:val="clear" w:color="000000" w:fill="FFFFFF"/>
            <w:noWrap/>
            <w:vAlign w:val="bottom"/>
            <w:hideMark/>
          </w:tcPr>
          <w:p>
            <w:pPr>
              <w:widowControl/>
              <w:autoSpaceDE/>
              <w:autoSpaceDN/>
              <w:adjustRightInd/>
              <w:jc w:val="center"/>
            </w:pPr>
            <w:r>
              <w:t>Cost,$ (c)</w:t>
            </w:r>
          </w:p>
        </w:tc>
      </w:tr>
      <w:tr>
        <w:trPr>
          <w:trHeight w:val="264"/>
          <w:tblHeader/>
        </w:trPr>
        <w:tc>
          <w:tcPr>
            <w:tcW w:w="1770" w:type="pct"/>
            <w:vMerge/>
            <w:tcBorders>
              <w:left w:val="single" w:sz="4" w:space="0" w:color="auto"/>
              <w:right w:val="nil"/>
            </w:tcBorders>
            <w:shd w:val="clear" w:color="000000" w:fill="FFFFFF"/>
            <w:noWrap/>
            <w:vAlign w:val="bottom"/>
            <w:hideMark/>
          </w:tcPr>
          <w:p/>
        </w:tc>
        <w:tc>
          <w:tcPr>
            <w:tcW w:w="379"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hours per</w:t>
            </w:r>
          </w:p>
        </w:tc>
        <w:tc>
          <w:tcPr>
            <w:tcW w:w="410"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occurrences</w:t>
            </w:r>
          </w:p>
        </w:tc>
        <w:tc>
          <w:tcPr>
            <w:tcW w:w="444"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 source</w:t>
            </w:r>
          </w:p>
        </w:tc>
        <w:tc>
          <w:tcPr>
            <w:tcW w:w="301"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 year</w:t>
            </w:r>
          </w:p>
        </w:tc>
        <w:tc>
          <w:tcPr>
            <w:tcW w:w="438"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person-hours</w:t>
            </w:r>
          </w:p>
        </w:tc>
        <w:tc>
          <w:tcPr>
            <w:tcW w:w="438"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person-hours</w:t>
            </w:r>
          </w:p>
        </w:tc>
        <w:tc>
          <w:tcPr>
            <w:tcW w:w="438"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person-hours</w:t>
            </w:r>
          </w:p>
        </w:tc>
        <w:tc>
          <w:tcPr>
            <w:tcW w:w="383" w:type="pct"/>
            <w:tcBorders>
              <w:top w:val="single" w:sz="4" w:space="0" w:color="FFFFFF"/>
              <w:left w:val="single" w:sz="4" w:space="0" w:color="auto"/>
              <w:bottom w:val="single" w:sz="4" w:space="0" w:color="FFFFFF"/>
              <w:right w:val="single" w:sz="4" w:space="0" w:color="auto"/>
            </w:tcBorders>
            <w:shd w:val="clear" w:color="000000" w:fill="FFFFFF"/>
            <w:noWrap/>
            <w:vAlign w:val="bottom"/>
            <w:hideMark/>
          </w:tcPr>
          <w:p>
            <w:pPr>
              <w:widowControl/>
              <w:autoSpaceDE/>
              <w:autoSpaceDN/>
              <w:adjustRightInd/>
              <w:jc w:val="center"/>
            </w:pPr>
            <w:r>
              <w:t> </w:t>
            </w:r>
          </w:p>
        </w:tc>
      </w:tr>
      <w:tr>
        <w:trPr>
          <w:trHeight w:val="264"/>
          <w:tblHeader/>
        </w:trPr>
        <w:tc>
          <w:tcPr>
            <w:tcW w:w="1770" w:type="pct"/>
            <w:vMerge/>
            <w:tcBorders>
              <w:left w:val="single" w:sz="4" w:space="0" w:color="auto"/>
              <w:right w:val="nil"/>
            </w:tcBorders>
            <w:shd w:val="clear" w:color="000000" w:fill="FFFFFF"/>
            <w:noWrap/>
            <w:vAlign w:val="bottom"/>
            <w:hideMark/>
          </w:tcPr>
          <w:p/>
        </w:tc>
        <w:tc>
          <w:tcPr>
            <w:tcW w:w="379"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occurrence</w:t>
            </w:r>
          </w:p>
        </w:tc>
        <w:tc>
          <w:tcPr>
            <w:tcW w:w="410"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 source</w:t>
            </w:r>
          </w:p>
        </w:tc>
        <w:tc>
          <w:tcPr>
            <w:tcW w:w="444"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 year</w:t>
            </w:r>
          </w:p>
        </w:tc>
        <w:tc>
          <w:tcPr>
            <w:tcW w:w="301"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 </w:t>
            </w:r>
          </w:p>
        </w:tc>
        <w:tc>
          <w:tcPr>
            <w:tcW w:w="438"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 year</w:t>
            </w:r>
          </w:p>
        </w:tc>
        <w:tc>
          <w:tcPr>
            <w:tcW w:w="438"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 year</w:t>
            </w:r>
          </w:p>
        </w:tc>
        <w:tc>
          <w:tcPr>
            <w:tcW w:w="438" w:type="pct"/>
            <w:tcBorders>
              <w:top w:val="nil"/>
              <w:left w:val="single" w:sz="4" w:space="0" w:color="auto"/>
              <w:bottom w:val="single" w:sz="4" w:space="0" w:color="FFFFFF"/>
              <w:right w:val="nil"/>
            </w:tcBorders>
            <w:shd w:val="clear" w:color="000000" w:fill="FFFFFF"/>
            <w:noWrap/>
            <w:vAlign w:val="bottom"/>
            <w:hideMark/>
          </w:tcPr>
          <w:p>
            <w:pPr>
              <w:widowControl/>
              <w:autoSpaceDE/>
              <w:autoSpaceDN/>
              <w:adjustRightInd/>
              <w:jc w:val="center"/>
            </w:pPr>
            <w:r>
              <w:t>per year</w:t>
            </w:r>
          </w:p>
        </w:tc>
        <w:tc>
          <w:tcPr>
            <w:tcW w:w="383" w:type="pct"/>
            <w:tcBorders>
              <w:top w:val="single" w:sz="4" w:space="0" w:color="FFFFFF"/>
              <w:left w:val="single" w:sz="4" w:space="0" w:color="auto"/>
              <w:bottom w:val="single" w:sz="4" w:space="0" w:color="FFFFFF"/>
              <w:right w:val="single" w:sz="4" w:space="0" w:color="auto"/>
            </w:tcBorders>
            <w:shd w:val="clear" w:color="000000" w:fill="FFFFFF"/>
            <w:noWrap/>
            <w:vAlign w:val="bottom"/>
            <w:hideMark/>
          </w:tcPr>
          <w:p>
            <w:pPr>
              <w:widowControl/>
              <w:autoSpaceDE/>
              <w:autoSpaceDN/>
              <w:adjustRightInd/>
              <w:jc w:val="center"/>
            </w:pPr>
            <w:r>
              <w:t> </w:t>
            </w:r>
          </w:p>
        </w:tc>
      </w:tr>
      <w:tr>
        <w:trPr>
          <w:trHeight w:val="264"/>
          <w:tblHeader/>
        </w:trPr>
        <w:tc>
          <w:tcPr>
            <w:tcW w:w="1770" w:type="pct"/>
            <w:vMerge/>
            <w:tcBorders>
              <w:left w:val="single" w:sz="4" w:space="0" w:color="auto"/>
              <w:bottom w:val="single" w:sz="4" w:space="0" w:color="auto"/>
              <w:right w:val="nil"/>
            </w:tcBorders>
            <w:shd w:val="clear" w:color="000000" w:fill="FFFFFF"/>
            <w:noWrap/>
            <w:vAlign w:val="bottom"/>
            <w:hideMark/>
          </w:tcPr>
          <w:p>
            <w:pPr>
              <w:widowControl/>
              <w:autoSpaceDE/>
              <w:autoSpaceDN/>
              <w:adjustRightInd/>
            </w:pPr>
          </w:p>
        </w:tc>
        <w:tc>
          <w:tcPr>
            <w:tcW w:w="379" w:type="pct"/>
            <w:tcBorders>
              <w:top w:val="nil"/>
              <w:left w:val="single" w:sz="4" w:space="0" w:color="auto"/>
              <w:bottom w:val="single" w:sz="4" w:space="0" w:color="auto"/>
              <w:right w:val="nil"/>
            </w:tcBorders>
            <w:shd w:val="clear" w:color="000000" w:fill="FFFFFF"/>
            <w:noWrap/>
            <w:vAlign w:val="bottom"/>
            <w:hideMark/>
          </w:tcPr>
          <w:p>
            <w:pPr>
              <w:widowControl/>
              <w:autoSpaceDE/>
              <w:autoSpaceDN/>
              <w:adjustRightInd/>
              <w:jc w:val="center"/>
            </w:pPr>
            <w:r>
              <w:t>(a)</w:t>
            </w:r>
          </w:p>
        </w:tc>
        <w:tc>
          <w:tcPr>
            <w:tcW w:w="410" w:type="pct"/>
            <w:tcBorders>
              <w:top w:val="nil"/>
              <w:left w:val="single" w:sz="4" w:space="0" w:color="auto"/>
              <w:bottom w:val="single" w:sz="4" w:space="0" w:color="auto"/>
              <w:right w:val="nil"/>
            </w:tcBorders>
            <w:shd w:val="clear" w:color="000000" w:fill="FFFFFF"/>
            <w:noWrap/>
            <w:vAlign w:val="bottom"/>
            <w:hideMark/>
          </w:tcPr>
          <w:p>
            <w:pPr>
              <w:widowControl/>
              <w:autoSpaceDE/>
              <w:autoSpaceDN/>
              <w:adjustRightInd/>
              <w:jc w:val="center"/>
            </w:pPr>
            <w:r>
              <w:t>per year (b)</w:t>
            </w:r>
          </w:p>
        </w:tc>
        <w:tc>
          <w:tcPr>
            <w:tcW w:w="444" w:type="pct"/>
            <w:tcBorders>
              <w:top w:val="nil"/>
              <w:left w:val="single" w:sz="4" w:space="0" w:color="auto"/>
              <w:bottom w:val="single" w:sz="4" w:space="0" w:color="auto"/>
              <w:right w:val="nil"/>
            </w:tcBorders>
            <w:shd w:val="clear" w:color="000000" w:fill="FFFFFF"/>
            <w:noWrap/>
            <w:vAlign w:val="bottom"/>
            <w:hideMark/>
          </w:tcPr>
          <w:p>
            <w:pPr>
              <w:widowControl/>
              <w:autoSpaceDE/>
              <w:autoSpaceDN/>
              <w:adjustRightInd/>
              <w:jc w:val="center"/>
            </w:pPr>
            <w:r>
              <w:t>(C=</w:t>
            </w:r>
            <w:proofErr w:type="spellStart"/>
            <w:r>
              <w:t>AxB</w:t>
            </w:r>
            <w:proofErr w:type="spellEnd"/>
            <w:r>
              <w:t xml:space="preserve">) </w:t>
            </w:r>
          </w:p>
        </w:tc>
        <w:tc>
          <w:tcPr>
            <w:tcW w:w="301" w:type="pct"/>
            <w:tcBorders>
              <w:top w:val="nil"/>
              <w:left w:val="single" w:sz="4" w:space="0" w:color="auto"/>
              <w:bottom w:val="single" w:sz="4" w:space="0" w:color="auto"/>
              <w:right w:val="nil"/>
            </w:tcBorders>
            <w:shd w:val="clear" w:color="000000" w:fill="FFFFFF"/>
            <w:noWrap/>
            <w:vAlign w:val="bottom"/>
            <w:hideMark/>
          </w:tcPr>
          <w:p>
            <w:pPr>
              <w:widowControl/>
              <w:autoSpaceDE/>
              <w:autoSpaceDN/>
              <w:adjustRightInd/>
              <w:jc w:val="center"/>
            </w:pPr>
            <w:r>
              <w:t> </w:t>
            </w:r>
          </w:p>
        </w:tc>
        <w:tc>
          <w:tcPr>
            <w:tcW w:w="438" w:type="pct"/>
            <w:tcBorders>
              <w:top w:val="nil"/>
              <w:left w:val="single" w:sz="4" w:space="0" w:color="auto"/>
              <w:bottom w:val="single" w:sz="4" w:space="0" w:color="auto"/>
              <w:right w:val="nil"/>
            </w:tcBorders>
            <w:shd w:val="clear" w:color="000000" w:fill="FFFFFF"/>
            <w:noWrap/>
            <w:vAlign w:val="bottom"/>
            <w:hideMark/>
          </w:tcPr>
          <w:p>
            <w:pPr>
              <w:widowControl/>
              <w:autoSpaceDE/>
              <w:autoSpaceDN/>
              <w:adjustRightInd/>
              <w:jc w:val="center"/>
            </w:pPr>
            <w:r>
              <w:t>(E=</w:t>
            </w:r>
            <w:proofErr w:type="spellStart"/>
            <w:r>
              <w:t>CxD</w:t>
            </w:r>
            <w:proofErr w:type="spellEnd"/>
            <w:r>
              <w:t>)</w:t>
            </w:r>
          </w:p>
        </w:tc>
        <w:tc>
          <w:tcPr>
            <w:tcW w:w="438" w:type="pct"/>
            <w:tcBorders>
              <w:top w:val="nil"/>
              <w:left w:val="single" w:sz="4" w:space="0" w:color="auto"/>
              <w:bottom w:val="single" w:sz="4" w:space="0" w:color="auto"/>
              <w:right w:val="nil"/>
            </w:tcBorders>
            <w:shd w:val="clear" w:color="000000" w:fill="FFFFFF"/>
            <w:noWrap/>
            <w:vAlign w:val="bottom"/>
            <w:hideMark/>
          </w:tcPr>
          <w:p>
            <w:pPr>
              <w:widowControl/>
              <w:autoSpaceDE/>
              <w:autoSpaceDN/>
              <w:adjustRightInd/>
              <w:jc w:val="center"/>
            </w:pPr>
            <w:r>
              <w:t>(Ex0.05)</w:t>
            </w:r>
          </w:p>
        </w:tc>
        <w:tc>
          <w:tcPr>
            <w:tcW w:w="438" w:type="pct"/>
            <w:tcBorders>
              <w:top w:val="nil"/>
              <w:left w:val="single" w:sz="4" w:space="0" w:color="auto"/>
              <w:bottom w:val="single" w:sz="4" w:space="0" w:color="auto"/>
              <w:right w:val="nil"/>
            </w:tcBorders>
            <w:shd w:val="clear" w:color="000000" w:fill="FFFFFF"/>
            <w:noWrap/>
            <w:vAlign w:val="bottom"/>
            <w:hideMark/>
          </w:tcPr>
          <w:p>
            <w:pPr>
              <w:widowControl/>
              <w:autoSpaceDE/>
              <w:autoSpaceDN/>
              <w:adjustRightInd/>
              <w:jc w:val="center"/>
            </w:pPr>
            <w:r>
              <w:t>(Ex0.1)</w:t>
            </w:r>
          </w:p>
        </w:tc>
        <w:tc>
          <w:tcPr>
            <w:tcW w:w="383" w:type="pct"/>
            <w:tcBorders>
              <w:top w:val="single" w:sz="4" w:space="0" w:color="FFFFFF"/>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1. Applications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2. Survey and Studies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3. Acquisition, Installation, &amp; Utilization of Tech. &amp; Systems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4. Reporting Requirements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A. Read instructions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B. Required activities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C. Create information</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D. Gather existing information</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E. Write report</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Semi-annual periodic reports (PRD monitoring)(d)</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5.50</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2.0</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11.0</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34.0</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374.0</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18.7</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37.4</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$24,038</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Semi-annual periodic reports (Equip. leaks)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3.00</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2.0</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6.0</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1.0</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6.0</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0.3</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0.6</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$386</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Semi-annual periodic reports (PCCT)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1.00</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2.0</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2.0</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1.0</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2.0</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0.1</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0.2</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$129</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Leak detection and repair reports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Performance test notification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Performance test report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Affirmative defense (e)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30</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0.67</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12</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8</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0.0</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$1,584</w:t>
            </w:r>
          </w:p>
        </w:tc>
      </w:tr>
      <w:tr>
        <w:trPr>
          <w:trHeight w:val="528"/>
        </w:trPr>
        <w:tc>
          <w:tcPr>
            <w:tcW w:w="1770" w:type="pct"/>
            <w:tcBorders>
              <w:top w:val="nil"/>
              <w:left w:val="single" w:sz="4" w:space="0" w:color="auto"/>
              <w:bottom w:val="single" w:sz="4" w:space="0" w:color="auto"/>
              <w:right w:val="single" w:sz="4" w:space="0" w:color="auto"/>
            </w:tcBorders>
            <w:shd w:val="clear" w:color="000000" w:fill="FFFFFF"/>
            <w:vAlign w:val="bottom"/>
            <w:hideMark/>
          </w:tcPr>
          <w:p>
            <w:pPr>
              <w:widowControl/>
              <w:autoSpaceDE/>
              <w:autoSpaceDN/>
              <w:adjustRightInd/>
            </w:pPr>
            <w:r>
              <w:t xml:space="preserve">   Other reports ( e.g., quarterly periodic reports where a respondent did not qualify for semiannual reporting)</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vAlign w:val="bottom"/>
            <w:hideMark/>
          </w:tcPr>
          <w:p>
            <w:pPr>
              <w:widowControl/>
              <w:autoSpaceDE/>
              <w:autoSpaceDN/>
              <w:adjustRightInd/>
              <w:rPr>
                <w:b/>
                <w:bCs/>
              </w:rPr>
            </w:pPr>
            <w:r>
              <w:rPr>
                <w:b/>
                <w:bCs/>
              </w:rPr>
              <w:t>REPORTING SUBTOTAL</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39.50</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6.00</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19.0</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36.7</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394.0</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27.1</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38.2</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$26,137</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5.  Recordkeeping Requirements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A. Read instructions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N/A</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B.  Plan activities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C.  Implement activities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D.  Develop record system</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E.  Time to enter information</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Plan Activities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Create, Test, Research, Develop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Gather information, Monitor, Inspect</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           Process, Compile, Review</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F.  Time to train personnel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G.  Time to adjust existing ways to comply w/ prev. appl. req.</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H.  Time to Record and disclose information</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lastRenderedPageBreak/>
              <w:t xml:space="preserve">      Store, file and maintain records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I.  Time for audits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TOTAL ANNUAL NUMBER OF RESPONSES (f)</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xml:space="preserve">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62.7</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TOTAL ANNUAL BURDEN HOURS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394.0</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27.1</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38.2</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459.3</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TOTAL ANNUAL COST (SALARY)</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$26,137</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INITIAL CAPITAL COSTS:</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$3,814,120</w:t>
            </w:r>
          </w:p>
        </w:tc>
      </w:tr>
      <w:tr>
        <w:trPr>
          <w:trHeight w:val="264"/>
        </w:trPr>
        <w:tc>
          <w:tcPr>
            <w:tcW w:w="1770"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 xml:space="preserve">ANNUALIZED CAPITAL COSTS: </w:t>
            </w:r>
          </w:p>
        </w:tc>
        <w:tc>
          <w:tcPr>
            <w:tcW w:w="379"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10"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44"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01"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438"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383" w:type="pct"/>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rPr>
            </w:pPr>
            <w:r>
              <w:rPr>
                <w:b/>
                <w:bCs/>
              </w:rPr>
              <w:t>$541,620</w:t>
            </w:r>
          </w:p>
        </w:tc>
      </w:tr>
      <w:tr>
        <w:trPr>
          <w:trHeight w:val="264"/>
        </w:trPr>
        <w:tc>
          <w:tcPr>
            <w:tcW w:w="5000" w:type="pct"/>
            <w:gridSpan w:val="9"/>
            <w:tcBorders>
              <w:top w:val="single" w:sz="4" w:space="0" w:color="auto"/>
              <w:left w:val="single" w:sz="4" w:space="0" w:color="FFFFFF"/>
              <w:bottom w:val="single" w:sz="4" w:space="0" w:color="FFFFFF"/>
              <w:right w:val="single" w:sz="4" w:space="0" w:color="FFFFFF"/>
            </w:tcBorders>
            <w:shd w:val="clear" w:color="000000" w:fill="FFFFFF"/>
            <w:noWrap/>
            <w:vAlign w:val="bottom"/>
            <w:hideMark/>
          </w:tcPr>
          <w:p>
            <w:pPr>
              <w:widowControl/>
              <w:autoSpaceDE/>
              <w:autoSpaceDN/>
              <w:adjustRightInd/>
            </w:pPr>
            <w:r>
              <w:t>N/A = Not Applicable.</w:t>
            </w:r>
          </w:p>
        </w:tc>
      </w:tr>
      <w:tr>
        <w:trPr>
          <w:trHeight w:val="264"/>
        </w:trPr>
        <w:tc>
          <w:tcPr>
            <w:tcW w:w="5000" w:type="pct"/>
            <w:gridSpan w:val="9"/>
            <w:tcBorders>
              <w:top w:val="single" w:sz="4" w:space="0" w:color="FFFFFF"/>
              <w:left w:val="single" w:sz="4" w:space="0" w:color="FFFFFF"/>
              <w:bottom w:val="single" w:sz="4" w:space="0" w:color="FFFFFF"/>
              <w:right w:val="single" w:sz="4" w:space="0" w:color="FFFFFF"/>
            </w:tcBorders>
            <w:shd w:val="clear" w:color="000000" w:fill="FFFFFF"/>
            <w:noWrap/>
            <w:vAlign w:val="bottom"/>
            <w:hideMark/>
          </w:tcPr>
          <w:p>
            <w:pPr>
              <w:widowControl/>
              <w:autoSpaceDE/>
              <w:autoSpaceDN/>
              <w:adjustRightInd/>
            </w:pPr>
            <w:r>
              <w:t>(a) Estimate of burden for each activity, technical hours only</w:t>
            </w:r>
          </w:p>
        </w:tc>
      </w:tr>
      <w:tr>
        <w:trPr>
          <w:trHeight w:val="264"/>
        </w:trPr>
        <w:tc>
          <w:tcPr>
            <w:tcW w:w="5000" w:type="pct"/>
            <w:gridSpan w:val="9"/>
            <w:tcBorders>
              <w:top w:val="single" w:sz="4" w:space="0" w:color="FFFFFF"/>
              <w:left w:val="single" w:sz="4" w:space="0" w:color="FFFFFF"/>
              <w:bottom w:val="single" w:sz="4" w:space="0" w:color="FFFFFF"/>
              <w:right w:val="single" w:sz="4" w:space="0" w:color="FFFFFF"/>
            </w:tcBorders>
            <w:shd w:val="clear" w:color="000000" w:fill="FFFFFF"/>
            <w:noWrap/>
            <w:vAlign w:val="bottom"/>
            <w:hideMark/>
          </w:tcPr>
          <w:p>
            <w:pPr>
              <w:widowControl/>
              <w:autoSpaceDE/>
              <w:autoSpaceDN/>
              <w:adjustRightInd/>
            </w:pPr>
            <w:r>
              <w:t>(b) Estimate based on average facilities</w:t>
            </w:r>
          </w:p>
        </w:tc>
      </w:tr>
      <w:tr>
        <w:trPr>
          <w:trHeight w:val="264"/>
        </w:trPr>
        <w:tc>
          <w:tcPr>
            <w:tcW w:w="5000" w:type="pct"/>
            <w:gridSpan w:val="9"/>
            <w:tcBorders>
              <w:top w:val="single" w:sz="4" w:space="0" w:color="FFFFFF"/>
              <w:left w:val="single" w:sz="4" w:space="0" w:color="FFFFFF"/>
              <w:bottom w:val="single" w:sz="4" w:space="0" w:color="FFFFFF"/>
              <w:right w:val="single" w:sz="4" w:space="0" w:color="FFFFFF"/>
            </w:tcBorders>
            <w:shd w:val="clear" w:color="000000" w:fill="FFFFFF"/>
            <w:noWrap/>
            <w:vAlign w:val="bottom"/>
            <w:hideMark/>
          </w:tcPr>
          <w:p>
            <w:pPr>
              <w:widowControl/>
              <w:autoSpaceDE/>
              <w:autoSpaceDN/>
              <w:adjustRightInd/>
            </w:pPr>
            <w:r>
              <w:t>(c) Costs are based on the following hourly rates:  technical at $54.66, management at $115.96, and clerical at $38.14</w:t>
            </w:r>
          </w:p>
          <w:p>
            <w:pPr>
              <w:widowControl/>
              <w:autoSpaceDE/>
              <w:autoSpaceDN/>
              <w:adjustRightInd/>
            </w:pPr>
            <w:r>
              <w:t xml:space="preserve">(d) There are 31 facilities, but several facilities have operations of more than one P&amp;R IV source category at the site. The PRD costs for each facility and P&amp;R IV source category </w:t>
            </w:r>
          </w:p>
          <w:p>
            <w:pPr>
              <w:widowControl/>
              <w:autoSpaceDE/>
              <w:autoSpaceDN/>
              <w:adjustRightInd/>
            </w:pPr>
            <w:proofErr w:type="gramStart"/>
            <w:r>
              <w:t>present</w:t>
            </w:r>
            <w:proofErr w:type="gramEnd"/>
            <w:r>
              <w:t xml:space="preserve"> were considered separately for a total of 34 sources per year.</w:t>
            </w:r>
          </w:p>
        </w:tc>
      </w:tr>
      <w:tr>
        <w:trPr>
          <w:trHeight w:val="264"/>
        </w:trPr>
        <w:tc>
          <w:tcPr>
            <w:tcW w:w="5000" w:type="pct"/>
            <w:gridSpan w:val="9"/>
            <w:vMerge w:val="restart"/>
            <w:tcBorders>
              <w:top w:val="single" w:sz="4" w:space="0" w:color="FFFFFF"/>
              <w:left w:val="single" w:sz="4" w:space="0" w:color="FFFFFF"/>
              <w:bottom w:val="single" w:sz="4" w:space="0" w:color="FFFFFF"/>
              <w:right w:val="single" w:sz="4" w:space="0" w:color="FFFFFF"/>
            </w:tcBorders>
            <w:shd w:val="clear" w:color="000000" w:fill="FFFFFF"/>
            <w:hideMark/>
          </w:tcPr>
          <w:p>
            <w:pPr>
              <w:widowControl/>
              <w:autoSpaceDE/>
              <w:autoSpaceDN/>
              <w:adjustRightInd/>
            </w:pPr>
            <w:r>
              <w:t>(e) Assumes 2 affirmative defense reports for entire industry during the 3-yr ICR period.  For affirmative defense, hours required assumes 18 hours technical, 12 hours management, 0 clerical for each instance of affirmative defense.  Formulas not followed for person hours per year.</w:t>
            </w:r>
          </w:p>
        </w:tc>
      </w:tr>
      <w:tr>
        <w:trPr>
          <w:trHeight w:val="230"/>
        </w:trPr>
        <w:tc>
          <w:tcPr>
            <w:tcW w:w="5000" w:type="pct"/>
            <w:gridSpan w:val="9"/>
            <w:vMerge/>
            <w:tcBorders>
              <w:top w:val="single" w:sz="4" w:space="0" w:color="FFFFFF"/>
              <w:left w:val="single" w:sz="4" w:space="0" w:color="FFFFFF"/>
              <w:bottom w:val="single" w:sz="4" w:space="0" w:color="FFFFFF"/>
              <w:right w:val="single" w:sz="4" w:space="0" w:color="FFFFFF"/>
            </w:tcBorders>
            <w:vAlign w:val="center"/>
            <w:hideMark/>
          </w:tcPr>
          <w:p>
            <w:pPr>
              <w:widowControl/>
              <w:autoSpaceDE/>
              <w:autoSpaceDN/>
              <w:adjustRightInd/>
            </w:pPr>
          </w:p>
        </w:tc>
      </w:tr>
      <w:tr>
        <w:trPr>
          <w:trHeight w:val="58"/>
        </w:trPr>
        <w:tc>
          <w:tcPr>
            <w:tcW w:w="5000" w:type="pct"/>
            <w:gridSpan w:val="9"/>
            <w:tcBorders>
              <w:top w:val="single" w:sz="4" w:space="0" w:color="FFFFFF"/>
              <w:left w:val="nil"/>
              <w:bottom w:val="single" w:sz="4" w:space="0" w:color="FFFFFF"/>
              <w:right w:val="single" w:sz="4" w:space="0" w:color="FFFFFF"/>
            </w:tcBorders>
            <w:shd w:val="clear" w:color="000000" w:fill="FFFFFF"/>
            <w:noWrap/>
            <w:vAlign w:val="bottom"/>
            <w:hideMark/>
          </w:tcPr>
          <w:p>
            <w:pPr>
              <w:widowControl/>
              <w:autoSpaceDE/>
              <w:autoSpaceDN/>
              <w:adjustRightInd/>
            </w:pPr>
            <w:r>
              <w:t>(f) Total responses calculated by adding semiannual reports (31 sources * 2 responses) and affirmative defense (0.67 responses (2 responses in 3 years))</w:t>
            </w:r>
          </w:p>
        </w:tc>
      </w:tr>
      <w:tr>
        <w:trPr>
          <w:trHeight w:val="264"/>
        </w:trPr>
        <w:tc>
          <w:tcPr>
            <w:tcW w:w="1770" w:type="pct"/>
            <w:tcBorders>
              <w:top w:val="nil"/>
              <w:left w:val="nil"/>
              <w:bottom w:val="nil"/>
              <w:right w:val="nil"/>
            </w:tcBorders>
            <w:shd w:val="clear" w:color="auto" w:fill="auto"/>
            <w:noWrap/>
            <w:vAlign w:val="bottom"/>
            <w:hideMark/>
          </w:tcPr>
          <w:p>
            <w:pPr>
              <w:widowControl/>
              <w:autoSpaceDE/>
              <w:autoSpaceDN/>
              <w:adjustRightInd/>
            </w:pPr>
          </w:p>
        </w:tc>
        <w:tc>
          <w:tcPr>
            <w:tcW w:w="379" w:type="pct"/>
            <w:tcBorders>
              <w:top w:val="nil"/>
              <w:left w:val="nil"/>
              <w:bottom w:val="nil"/>
              <w:right w:val="nil"/>
            </w:tcBorders>
            <w:shd w:val="clear" w:color="auto" w:fill="auto"/>
            <w:noWrap/>
            <w:vAlign w:val="bottom"/>
            <w:hideMark/>
          </w:tcPr>
          <w:p>
            <w:pPr>
              <w:widowControl/>
              <w:autoSpaceDE/>
              <w:autoSpaceDN/>
              <w:adjustRightInd/>
            </w:pPr>
          </w:p>
        </w:tc>
        <w:tc>
          <w:tcPr>
            <w:tcW w:w="410" w:type="pct"/>
            <w:tcBorders>
              <w:top w:val="nil"/>
              <w:left w:val="nil"/>
              <w:bottom w:val="nil"/>
              <w:right w:val="nil"/>
            </w:tcBorders>
            <w:shd w:val="clear" w:color="auto" w:fill="auto"/>
            <w:noWrap/>
            <w:vAlign w:val="bottom"/>
            <w:hideMark/>
          </w:tcPr>
          <w:p>
            <w:pPr>
              <w:widowControl/>
              <w:autoSpaceDE/>
              <w:autoSpaceDN/>
              <w:adjustRightInd/>
            </w:pPr>
          </w:p>
        </w:tc>
        <w:tc>
          <w:tcPr>
            <w:tcW w:w="444" w:type="pct"/>
            <w:tcBorders>
              <w:top w:val="nil"/>
              <w:left w:val="nil"/>
              <w:bottom w:val="nil"/>
              <w:right w:val="nil"/>
            </w:tcBorders>
            <w:shd w:val="clear" w:color="auto" w:fill="auto"/>
            <w:noWrap/>
            <w:vAlign w:val="bottom"/>
            <w:hideMark/>
          </w:tcPr>
          <w:p>
            <w:pPr>
              <w:widowControl/>
              <w:autoSpaceDE/>
              <w:autoSpaceDN/>
              <w:adjustRightInd/>
            </w:pPr>
          </w:p>
        </w:tc>
        <w:tc>
          <w:tcPr>
            <w:tcW w:w="301" w:type="pct"/>
            <w:tcBorders>
              <w:top w:val="nil"/>
              <w:left w:val="nil"/>
              <w:bottom w:val="nil"/>
              <w:right w:val="nil"/>
            </w:tcBorders>
            <w:shd w:val="clear" w:color="auto" w:fill="auto"/>
            <w:noWrap/>
            <w:vAlign w:val="bottom"/>
            <w:hideMark/>
          </w:tcPr>
          <w:p>
            <w:pPr>
              <w:widowControl/>
              <w:autoSpaceDE/>
              <w:autoSpaceDN/>
              <w:adjustRightInd/>
            </w:pPr>
          </w:p>
        </w:tc>
        <w:tc>
          <w:tcPr>
            <w:tcW w:w="438" w:type="pct"/>
            <w:tcBorders>
              <w:top w:val="nil"/>
              <w:left w:val="nil"/>
              <w:bottom w:val="nil"/>
              <w:right w:val="nil"/>
            </w:tcBorders>
            <w:shd w:val="clear" w:color="auto" w:fill="auto"/>
            <w:noWrap/>
            <w:vAlign w:val="bottom"/>
            <w:hideMark/>
          </w:tcPr>
          <w:p>
            <w:pPr>
              <w:widowControl/>
              <w:autoSpaceDE/>
              <w:autoSpaceDN/>
              <w:adjustRightInd/>
            </w:pPr>
          </w:p>
        </w:tc>
        <w:tc>
          <w:tcPr>
            <w:tcW w:w="438" w:type="pct"/>
            <w:tcBorders>
              <w:top w:val="nil"/>
              <w:left w:val="nil"/>
              <w:bottom w:val="nil"/>
              <w:right w:val="nil"/>
            </w:tcBorders>
            <w:shd w:val="clear" w:color="auto" w:fill="auto"/>
            <w:noWrap/>
            <w:vAlign w:val="bottom"/>
            <w:hideMark/>
          </w:tcPr>
          <w:p>
            <w:pPr>
              <w:widowControl/>
              <w:autoSpaceDE/>
              <w:autoSpaceDN/>
              <w:adjustRightInd/>
            </w:pPr>
          </w:p>
        </w:tc>
        <w:tc>
          <w:tcPr>
            <w:tcW w:w="438" w:type="pct"/>
            <w:tcBorders>
              <w:top w:val="nil"/>
              <w:left w:val="nil"/>
              <w:bottom w:val="nil"/>
              <w:right w:val="nil"/>
            </w:tcBorders>
            <w:shd w:val="clear" w:color="auto" w:fill="auto"/>
            <w:noWrap/>
            <w:vAlign w:val="bottom"/>
            <w:hideMark/>
          </w:tcPr>
          <w:p>
            <w:pPr>
              <w:widowControl/>
              <w:autoSpaceDE/>
              <w:autoSpaceDN/>
              <w:adjustRightInd/>
            </w:pPr>
          </w:p>
        </w:tc>
        <w:tc>
          <w:tcPr>
            <w:tcW w:w="383" w:type="pct"/>
            <w:tcBorders>
              <w:top w:val="nil"/>
              <w:left w:val="nil"/>
              <w:bottom w:val="nil"/>
              <w:right w:val="nil"/>
            </w:tcBorders>
            <w:shd w:val="clear" w:color="auto" w:fill="auto"/>
            <w:noWrap/>
            <w:vAlign w:val="bottom"/>
            <w:hideMark/>
          </w:tcPr>
          <w:p>
            <w:pPr>
              <w:widowControl/>
              <w:autoSpaceDE/>
              <w:autoSpaceDN/>
              <w:adjustRightInd/>
            </w:pPr>
          </w:p>
        </w:tc>
      </w:tr>
    </w:tbl>
    <w:p>
      <w:pPr>
        <w:widowControl/>
        <w:autoSpaceDE/>
        <w:autoSpaceDN/>
        <w:adjustRightInd/>
        <w:rPr>
          <w:bCs/>
          <w:sz w:val="18"/>
          <w:szCs w:val="18"/>
        </w:rPr>
      </w:pPr>
    </w:p>
    <w:p>
      <w:pPr>
        <w:widowControl/>
        <w:rPr>
          <w:bCs/>
          <w:sz w:val="18"/>
          <w:szCs w:val="18"/>
        </w:rPr>
      </w:pPr>
    </w:p>
    <w:tbl>
      <w:tblPr>
        <w:tblW w:w="13220" w:type="dxa"/>
        <w:tblInd w:w="5" w:type="dxa"/>
        <w:tblLook w:val="04A0"/>
      </w:tblPr>
      <w:tblGrid>
        <w:gridCol w:w="2586"/>
        <w:gridCol w:w="2591"/>
        <w:gridCol w:w="3191"/>
        <w:gridCol w:w="1423"/>
        <w:gridCol w:w="2225"/>
        <w:gridCol w:w="1204"/>
      </w:tblGrid>
      <w:tr>
        <w:trPr>
          <w:trHeight w:val="264"/>
        </w:trPr>
        <w:tc>
          <w:tcPr>
            <w:tcW w:w="13220" w:type="dxa"/>
            <w:gridSpan w:val="6"/>
            <w:tcBorders>
              <w:top w:val="nil"/>
              <w:left w:val="nil"/>
              <w:bottom w:val="single" w:sz="4" w:space="0" w:color="auto"/>
              <w:right w:val="nil"/>
            </w:tcBorders>
            <w:shd w:val="clear" w:color="000000" w:fill="FFFFFF"/>
            <w:noWrap/>
            <w:hideMark/>
          </w:tcPr>
          <w:p>
            <w:pPr>
              <w:widowControl/>
              <w:autoSpaceDE/>
              <w:autoSpaceDN/>
              <w:adjustRightInd/>
              <w:jc w:val="center"/>
              <w:rPr>
                <w:b/>
                <w:bCs/>
              </w:rPr>
            </w:pPr>
            <w:r>
              <w:rPr>
                <w:b/>
                <w:bCs/>
              </w:rPr>
              <w:t>Table 2. Cost Estimate for Affirmative Defense/Root Cause Analysis</w:t>
            </w:r>
          </w:p>
          <w:p>
            <w:pPr>
              <w:widowControl/>
              <w:autoSpaceDE/>
              <w:autoSpaceDN/>
              <w:adjustRightInd/>
              <w:jc w:val="center"/>
              <w:rPr>
                <w:b/>
                <w:bCs/>
              </w:rPr>
            </w:pPr>
          </w:p>
        </w:tc>
      </w:tr>
      <w:tr>
        <w:trPr>
          <w:trHeight w:val="288"/>
        </w:trPr>
        <w:tc>
          <w:tcPr>
            <w:tcW w:w="2586" w:type="dxa"/>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jc w:val="center"/>
              <w:rPr>
                <w:b/>
                <w:bCs/>
                <w:color w:val="000000"/>
                <w:sz w:val="22"/>
                <w:szCs w:val="22"/>
              </w:rPr>
            </w:pPr>
            <w:r>
              <w:rPr>
                <w:b/>
                <w:bCs/>
                <w:color w:val="000000"/>
                <w:sz w:val="22"/>
                <w:szCs w:val="22"/>
              </w:rPr>
              <w:t xml:space="preserve">RCFA Personnel </w:t>
            </w:r>
          </w:p>
        </w:tc>
        <w:tc>
          <w:tcPr>
            <w:tcW w:w="2591"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color w:val="000000"/>
                <w:sz w:val="22"/>
                <w:szCs w:val="22"/>
              </w:rPr>
            </w:pPr>
            <w:r>
              <w:rPr>
                <w:b/>
                <w:bCs/>
                <w:color w:val="000000"/>
                <w:sz w:val="22"/>
                <w:szCs w:val="22"/>
              </w:rPr>
              <w:t xml:space="preserve">Number of Personnel </w:t>
            </w:r>
          </w:p>
        </w:tc>
        <w:tc>
          <w:tcPr>
            <w:tcW w:w="3191"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color w:val="000000"/>
                <w:sz w:val="22"/>
                <w:szCs w:val="22"/>
              </w:rPr>
            </w:pPr>
            <w:r>
              <w:rPr>
                <w:b/>
                <w:bCs/>
                <w:color w:val="000000"/>
                <w:sz w:val="22"/>
                <w:szCs w:val="22"/>
              </w:rPr>
              <w:t>Time Requirement (hours)</w:t>
            </w:r>
          </w:p>
        </w:tc>
        <w:tc>
          <w:tcPr>
            <w:tcW w:w="1423"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color w:val="000000"/>
                <w:sz w:val="22"/>
                <w:szCs w:val="22"/>
              </w:rPr>
            </w:pPr>
            <w:r>
              <w:rPr>
                <w:b/>
                <w:bCs/>
                <w:color w:val="000000"/>
                <w:sz w:val="22"/>
                <w:szCs w:val="22"/>
              </w:rPr>
              <w:t>Total Hours</w:t>
            </w:r>
          </w:p>
        </w:tc>
        <w:tc>
          <w:tcPr>
            <w:tcW w:w="2225"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color w:val="000000"/>
                <w:sz w:val="22"/>
                <w:szCs w:val="22"/>
              </w:rPr>
            </w:pPr>
            <w:r>
              <w:rPr>
                <w:b/>
                <w:bCs/>
                <w:color w:val="000000"/>
                <w:sz w:val="22"/>
                <w:szCs w:val="22"/>
              </w:rPr>
              <w:t>Hourly Rate ($/hr)</w:t>
            </w:r>
          </w:p>
        </w:tc>
        <w:tc>
          <w:tcPr>
            <w:tcW w:w="1204"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rPr>
                <w:b/>
                <w:bCs/>
                <w:color w:val="000000"/>
                <w:sz w:val="22"/>
                <w:szCs w:val="22"/>
              </w:rPr>
            </w:pPr>
            <w:r>
              <w:rPr>
                <w:b/>
                <w:bCs/>
                <w:color w:val="000000"/>
                <w:sz w:val="22"/>
                <w:szCs w:val="22"/>
              </w:rPr>
              <w:t>Total</w:t>
            </w:r>
          </w:p>
        </w:tc>
      </w:tr>
      <w:tr>
        <w:trPr>
          <w:trHeight w:val="264"/>
        </w:trPr>
        <w:tc>
          <w:tcPr>
            <w:tcW w:w="2586" w:type="dxa"/>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Technical Personnel</w:t>
            </w:r>
          </w:p>
        </w:tc>
        <w:tc>
          <w:tcPr>
            <w:tcW w:w="2591"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3</w:t>
            </w:r>
          </w:p>
        </w:tc>
        <w:tc>
          <w:tcPr>
            <w:tcW w:w="3191"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6</w:t>
            </w:r>
          </w:p>
        </w:tc>
        <w:tc>
          <w:tcPr>
            <w:tcW w:w="1423"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18</w:t>
            </w:r>
          </w:p>
        </w:tc>
        <w:tc>
          <w:tcPr>
            <w:tcW w:w="2225" w:type="dxa"/>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pPr>
            <w:r>
              <w:t>$54.66</w:t>
            </w:r>
          </w:p>
        </w:tc>
        <w:tc>
          <w:tcPr>
            <w:tcW w:w="1204"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$983.93</w:t>
            </w:r>
          </w:p>
        </w:tc>
      </w:tr>
      <w:tr>
        <w:trPr>
          <w:trHeight w:val="264"/>
        </w:trPr>
        <w:tc>
          <w:tcPr>
            <w:tcW w:w="2586" w:type="dxa"/>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Managerial Personnel</w:t>
            </w:r>
          </w:p>
        </w:tc>
        <w:tc>
          <w:tcPr>
            <w:tcW w:w="2591"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2</w:t>
            </w:r>
          </w:p>
        </w:tc>
        <w:tc>
          <w:tcPr>
            <w:tcW w:w="3191"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6</w:t>
            </w:r>
          </w:p>
        </w:tc>
        <w:tc>
          <w:tcPr>
            <w:tcW w:w="1423"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12</w:t>
            </w:r>
          </w:p>
        </w:tc>
        <w:tc>
          <w:tcPr>
            <w:tcW w:w="2225" w:type="dxa"/>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pPr>
            <w:r>
              <w:t>$115.96</w:t>
            </w:r>
          </w:p>
        </w:tc>
        <w:tc>
          <w:tcPr>
            <w:tcW w:w="1204"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$1,391.54</w:t>
            </w:r>
          </w:p>
        </w:tc>
      </w:tr>
      <w:tr>
        <w:trPr>
          <w:trHeight w:val="264"/>
        </w:trPr>
        <w:tc>
          <w:tcPr>
            <w:tcW w:w="2586" w:type="dxa"/>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pPr>
            <w:r>
              <w:t>Total</w:t>
            </w:r>
          </w:p>
        </w:tc>
        <w:tc>
          <w:tcPr>
            <w:tcW w:w="2591"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5</w:t>
            </w:r>
          </w:p>
        </w:tc>
        <w:tc>
          <w:tcPr>
            <w:tcW w:w="3191"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1423"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30</w:t>
            </w:r>
          </w:p>
        </w:tc>
        <w:tc>
          <w:tcPr>
            <w:tcW w:w="2225"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 </w:t>
            </w:r>
          </w:p>
        </w:tc>
        <w:tc>
          <w:tcPr>
            <w:tcW w:w="1204" w:type="dxa"/>
            <w:tcBorders>
              <w:top w:val="nil"/>
              <w:left w:val="nil"/>
              <w:bottom w:val="single" w:sz="4" w:space="0" w:color="auto"/>
              <w:right w:val="single" w:sz="4" w:space="0" w:color="auto"/>
            </w:tcBorders>
            <w:shd w:val="clear" w:color="000000" w:fill="FFFFFF"/>
            <w:noWrap/>
            <w:vAlign w:val="bottom"/>
            <w:hideMark/>
          </w:tcPr>
          <w:p>
            <w:pPr>
              <w:widowControl/>
              <w:autoSpaceDE/>
              <w:autoSpaceDN/>
              <w:adjustRightInd/>
              <w:jc w:val="center"/>
            </w:pPr>
            <w:r>
              <w:t>$2,375.48</w:t>
            </w:r>
          </w:p>
        </w:tc>
      </w:tr>
      <w:tr>
        <w:trPr>
          <w:trHeight w:val="255"/>
        </w:trPr>
        <w:tc>
          <w:tcPr>
            <w:tcW w:w="13220" w:type="dxa"/>
            <w:gridSpan w:val="6"/>
            <w:vMerge w:val="restart"/>
            <w:tcBorders>
              <w:top w:val="single" w:sz="4" w:space="0" w:color="auto"/>
              <w:left w:val="single" w:sz="4" w:space="0" w:color="auto"/>
              <w:bottom w:val="single" w:sz="4" w:space="0" w:color="000000"/>
              <w:right w:val="single" w:sz="4" w:space="0" w:color="000000"/>
            </w:tcBorders>
            <w:shd w:val="clear" w:color="000000" w:fill="FFFFFF"/>
            <w:hideMark/>
          </w:tcPr>
          <w:p>
            <w:pPr>
              <w:widowControl/>
              <w:autoSpaceDE/>
              <w:autoSpaceDN/>
              <w:adjustRightInd/>
            </w:pPr>
            <w:r>
              <w:t>May 2012 National Occupational Employment and Wage Estimates United States - Production Occupations http://www.bls.gov/oes/current/oes_nat.htm#51-0000.</w:t>
            </w:r>
          </w:p>
        </w:tc>
      </w:tr>
      <w:tr>
        <w:trPr>
          <w:trHeight w:val="264"/>
        </w:trPr>
        <w:tc>
          <w:tcPr>
            <w:tcW w:w="13220" w:type="dxa"/>
            <w:gridSpan w:val="6"/>
            <w:vMerge/>
            <w:tcBorders>
              <w:top w:val="single" w:sz="4" w:space="0" w:color="auto"/>
              <w:left w:val="single" w:sz="4" w:space="0" w:color="auto"/>
              <w:bottom w:val="single" w:sz="4" w:space="0" w:color="000000"/>
              <w:right w:val="single" w:sz="4" w:space="0" w:color="000000"/>
            </w:tcBorders>
            <w:vAlign w:val="center"/>
            <w:hideMark/>
          </w:tcPr>
          <w:p>
            <w:pPr>
              <w:widowControl/>
              <w:autoSpaceDE/>
              <w:autoSpaceDN/>
              <w:adjustRightInd/>
            </w:pPr>
          </w:p>
        </w:tc>
      </w:tr>
    </w:tbl>
    <w:p>
      <w:pPr>
        <w:widowControl/>
        <w:rPr>
          <w:bCs/>
          <w:sz w:val="18"/>
          <w:szCs w:val="18"/>
        </w:rPr>
      </w:pPr>
    </w:p>
    <w:p>
      <w:pPr>
        <w:widowControl/>
        <w:rPr>
          <w:bCs/>
          <w:sz w:val="18"/>
          <w:szCs w:val="18"/>
        </w:rPr>
      </w:pPr>
    </w:p>
    <w:p>
      <w:pPr>
        <w:widowControl/>
        <w:rPr>
          <w:bCs/>
          <w:sz w:val="18"/>
          <w:szCs w:val="18"/>
        </w:rPr>
      </w:pPr>
    </w:p>
    <w:p>
      <w:pPr>
        <w:widowControl/>
        <w:rPr>
          <w:bCs/>
          <w:sz w:val="18"/>
          <w:szCs w:val="18"/>
        </w:rPr>
      </w:pPr>
    </w:p>
    <w:p>
      <w:pPr>
        <w:widowControl/>
        <w:rPr>
          <w:bCs/>
          <w:sz w:val="18"/>
          <w:szCs w:val="18"/>
        </w:rPr>
      </w:pPr>
    </w:p>
    <w:p>
      <w:pPr>
        <w:widowControl/>
        <w:rPr>
          <w:bCs/>
          <w:sz w:val="18"/>
          <w:szCs w:val="18"/>
        </w:rPr>
      </w:pPr>
    </w:p>
    <w:p>
      <w:pPr>
        <w:widowControl/>
        <w:rPr>
          <w:b/>
        </w:rPr>
      </w:pPr>
      <w:r>
        <w:rPr>
          <w:b/>
        </w:rPr>
        <w:br w:type="page"/>
      </w:r>
    </w:p>
    <w:p>
      <w:pPr>
        <w:widowControl/>
        <w:autoSpaceDE/>
        <w:autoSpaceDN/>
        <w:adjustRightInd/>
        <w:jc w:val="center"/>
        <w:rPr>
          <w:b/>
          <w:bCs/>
        </w:rPr>
      </w:pPr>
      <w:proofErr w:type="gramStart"/>
      <w:r>
        <w:rPr>
          <w:b/>
          <w:bCs/>
        </w:rPr>
        <w:lastRenderedPageBreak/>
        <w:t>TABLE 3.</w:t>
      </w:r>
      <w:proofErr w:type="gramEnd"/>
      <w:r>
        <w:rPr>
          <w:b/>
          <w:bCs/>
        </w:rPr>
        <w:t xml:space="preserve">  ANNUAL BURDEN AND COST TO THE FEDERAL GOVERNMENT OF THE FINAL STANDARDS</w:t>
      </w:r>
    </w:p>
    <w:p>
      <w:pPr>
        <w:widowControl/>
        <w:autoSpaceDE/>
        <w:autoSpaceDN/>
        <w:adjustRightInd/>
        <w:rPr>
          <w:b/>
          <w:bCs/>
        </w:rPr>
      </w:pPr>
    </w:p>
    <w:tbl>
      <w:tblPr>
        <w:tblW w:w="5000" w:type="pct"/>
        <w:tblLook w:val="04A0"/>
      </w:tblPr>
      <w:tblGrid>
        <w:gridCol w:w="4317"/>
        <w:gridCol w:w="1244"/>
        <w:gridCol w:w="1216"/>
        <w:gridCol w:w="1296"/>
        <w:gridCol w:w="1153"/>
        <w:gridCol w:w="1407"/>
        <w:gridCol w:w="1424"/>
        <w:gridCol w:w="1138"/>
        <w:gridCol w:w="1421"/>
      </w:tblGrid>
      <w:tr>
        <w:trPr>
          <w:trHeight w:val="264"/>
        </w:trPr>
        <w:tc>
          <w:tcPr>
            <w:tcW w:w="14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widowControl/>
              <w:autoSpaceDE/>
              <w:autoSpaceDN/>
              <w:adjustRightInd/>
              <w:jc w:val="center"/>
            </w:pPr>
            <w:r>
              <w:t>Burden Item</w:t>
            </w:r>
          </w:p>
        </w:tc>
        <w:tc>
          <w:tcPr>
            <w:tcW w:w="403" w:type="pct"/>
            <w:tcBorders>
              <w:top w:val="single" w:sz="4" w:space="0" w:color="auto"/>
              <w:left w:val="nil"/>
              <w:bottom w:val="single" w:sz="4" w:space="0" w:color="FFFFFF"/>
              <w:right w:val="nil"/>
            </w:tcBorders>
            <w:shd w:val="clear" w:color="auto" w:fill="auto"/>
            <w:noWrap/>
            <w:vAlign w:val="bottom"/>
            <w:hideMark/>
          </w:tcPr>
          <w:p>
            <w:pPr>
              <w:widowControl/>
              <w:autoSpaceDE/>
              <w:autoSpaceDN/>
              <w:adjustRightInd/>
              <w:jc w:val="center"/>
            </w:pPr>
            <w:r>
              <w:t>(A)</w:t>
            </w:r>
          </w:p>
        </w:tc>
        <w:tc>
          <w:tcPr>
            <w:tcW w:w="419" w:type="pct"/>
            <w:tcBorders>
              <w:top w:val="single" w:sz="4" w:space="0" w:color="auto"/>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(B)</w:t>
            </w:r>
          </w:p>
        </w:tc>
        <w:tc>
          <w:tcPr>
            <w:tcW w:w="446" w:type="pct"/>
            <w:tcBorders>
              <w:top w:val="single" w:sz="4" w:space="0" w:color="auto"/>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(C)</w:t>
            </w:r>
          </w:p>
        </w:tc>
        <w:tc>
          <w:tcPr>
            <w:tcW w:w="397" w:type="pct"/>
            <w:tcBorders>
              <w:top w:val="single" w:sz="4" w:space="0" w:color="auto"/>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(D)</w:t>
            </w:r>
          </w:p>
        </w:tc>
        <w:tc>
          <w:tcPr>
            <w:tcW w:w="484" w:type="pct"/>
            <w:tcBorders>
              <w:top w:val="single" w:sz="4" w:space="0" w:color="auto"/>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(E)</w:t>
            </w:r>
          </w:p>
        </w:tc>
        <w:tc>
          <w:tcPr>
            <w:tcW w:w="490" w:type="pct"/>
            <w:tcBorders>
              <w:top w:val="single" w:sz="4" w:space="0" w:color="auto"/>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(F)</w:t>
            </w:r>
          </w:p>
        </w:tc>
        <w:tc>
          <w:tcPr>
            <w:tcW w:w="392" w:type="pct"/>
            <w:tcBorders>
              <w:top w:val="single" w:sz="4" w:space="0" w:color="auto"/>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(G)</w:t>
            </w:r>
          </w:p>
        </w:tc>
        <w:tc>
          <w:tcPr>
            <w:tcW w:w="490" w:type="pct"/>
            <w:tcBorders>
              <w:top w:val="single" w:sz="4" w:space="0" w:color="auto"/>
              <w:left w:val="single" w:sz="4" w:space="0" w:color="auto"/>
              <w:bottom w:val="single" w:sz="4" w:space="0" w:color="FFFFFF"/>
              <w:right w:val="single" w:sz="4" w:space="0" w:color="auto"/>
            </w:tcBorders>
            <w:shd w:val="clear" w:color="auto" w:fill="auto"/>
            <w:noWrap/>
            <w:vAlign w:val="bottom"/>
            <w:hideMark/>
          </w:tcPr>
          <w:p>
            <w:pPr>
              <w:widowControl/>
              <w:autoSpaceDE/>
              <w:autoSpaceDN/>
              <w:adjustRightInd/>
              <w:jc w:val="center"/>
            </w:pPr>
            <w:r>
              <w:t>(H)</w:t>
            </w:r>
          </w:p>
        </w:tc>
      </w:tr>
      <w:tr>
        <w:trPr>
          <w:trHeight w:val="264"/>
        </w:trPr>
        <w:tc>
          <w:tcPr>
            <w:tcW w:w="1480" w:type="pct"/>
            <w:vMerge/>
            <w:tcBorders>
              <w:top w:val="single" w:sz="4" w:space="0" w:color="auto"/>
              <w:left w:val="single" w:sz="4" w:space="0" w:color="auto"/>
              <w:bottom w:val="single" w:sz="4" w:space="0" w:color="000000"/>
              <w:right w:val="single" w:sz="4" w:space="0" w:color="auto"/>
            </w:tcBorders>
            <w:vAlign w:val="center"/>
            <w:hideMark/>
          </w:tcPr>
          <w:p>
            <w:pPr>
              <w:widowControl/>
              <w:autoSpaceDE/>
              <w:autoSpaceDN/>
              <w:adjustRightInd/>
            </w:pPr>
          </w:p>
        </w:tc>
        <w:tc>
          <w:tcPr>
            <w:tcW w:w="403" w:type="pct"/>
            <w:tcBorders>
              <w:top w:val="nil"/>
              <w:left w:val="nil"/>
              <w:bottom w:val="single" w:sz="4" w:space="0" w:color="FFFFFF"/>
              <w:right w:val="nil"/>
            </w:tcBorders>
            <w:shd w:val="clear" w:color="auto" w:fill="auto"/>
            <w:noWrap/>
            <w:vAlign w:val="bottom"/>
            <w:hideMark/>
          </w:tcPr>
          <w:p>
            <w:pPr>
              <w:widowControl/>
              <w:autoSpaceDE/>
              <w:autoSpaceDN/>
              <w:adjustRightInd/>
              <w:jc w:val="center"/>
            </w:pPr>
            <w:r>
              <w:t>EPA person-</w:t>
            </w:r>
          </w:p>
        </w:tc>
        <w:tc>
          <w:tcPr>
            <w:tcW w:w="419"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No. of</w:t>
            </w:r>
          </w:p>
        </w:tc>
        <w:tc>
          <w:tcPr>
            <w:tcW w:w="446"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EPA person-</w:t>
            </w:r>
          </w:p>
        </w:tc>
        <w:tc>
          <w:tcPr>
            <w:tcW w:w="397"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Plants</w:t>
            </w:r>
          </w:p>
        </w:tc>
        <w:tc>
          <w:tcPr>
            <w:tcW w:w="484"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Technical</w:t>
            </w:r>
          </w:p>
        </w:tc>
        <w:tc>
          <w:tcPr>
            <w:tcW w:w="490"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Management</w:t>
            </w:r>
          </w:p>
        </w:tc>
        <w:tc>
          <w:tcPr>
            <w:tcW w:w="392"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Clerical</w:t>
            </w:r>
          </w:p>
        </w:tc>
        <w:tc>
          <w:tcPr>
            <w:tcW w:w="490" w:type="pct"/>
            <w:tcBorders>
              <w:top w:val="single" w:sz="4" w:space="0" w:color="FFFFFF"/>
              <w:left w:val="single" w:sz="4" w:space="0" w:color="auto"/>
              <w:bottom w:val="single" w:sz="4" w:space="0" w:color="FFFFFF"/>
              <w:right w:val="single" w:sz="4" w:space="0" w:color="auto"/>
            </w:tcBorders>
            <w:shd w:val="clear" w:color="auto" w:fill="auto"/>
            <w:noWrap/>
            <w:vAlign w:val="bottom"/>
            <w:hideMark/>
          </w:tcPr>
          <w:p>
            <w:pPr>
              <w:widowControl/>
              <w:autoSpaceDE/>
              <w:autoSpaceDN/>
              <w:adjustRightInd/>
              <w:jc w:val="center"/>
            </w:pPr>
            <w:r>
              <w:t>Cost,$ (a)</w:t>
            </w:r>
          </w:p>
        </w:tc>
      </w:tr>
      <w:tr>
        <w:trPr>
          <w:trHeight w:val="264"/>
        </w:trPr>
        <w:tc>
          <w:tcPr>
            <w:tcW w:w="1480" w:type="pct"/>
            <w:vMerge/>
            <w:tcBorders>
              <w:top w:val="single" w:sz="4" w:space="0" w:color="auto"/>
              <w:left w:val="single" w:sz="4" w:space="0" w:color="auto"/>
              <w:bottom w:val="single" w:sz="4" w:space="0" w:color="000000"/>
              <w:right w:val="single" w:sz="4" w:space="0" w:color="auto"/>
            </w:tcBorders>
            <w:vAlign w:val="center"/>
            <w:hideMark/>
          </w:tcPr>
          <w:p>
            <w:pPr>
              <w:widowControl/>
              <w:autoSpaceDE/>
              <w:autoSpaceDN/>
              <w:adjustRightInd/>
            </w:pPr>
          </w:p>
        </w:tc>
        <w:tc>
          <w:tcPr>
            <w:tcW w:w="403" w:type="pct"/>
            <w:tcBorders>
              <w:top w:val="nil"/>
              <w:left w:val="nil"/>
              <w:bottom w:val="single" w:sz="4" w:space="0" w:color="FFFFFF"/>
              <w:right w:val="nil"/>
            </w:tcBorders>
            <w:shd w:val="clear" w:color="auto" w:fill="auto"/>
            <w:noWrap/>
            <w:vAlign w:val="bottom"/>
            <w:hideMark/>
          </w:tcPr>
          <w:p>
            <w:pPr>
              <w:widowControl/>
              <w:autoSpaceDE/>
              <w:autoSpaceDN/>
              <w:adjustRightInd/>
              <w:jc w:val="center"/>
            </w:pPr>
            <w:r>
              <w:t>hours per</w:t>
            </w:r>
          </w:p>
        </w:tc>
        <w:tc>
          <w:tcPr>
            <w:tcW w:w="419"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occurrences</w:t>
            </w:r>
          </w:p>
        </w:tc>
        <w:tc>
          <w:tcPr>
            <w:tcW w:w="446"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hours per</w:t>
            </w:r>
          </w:p>
        </w:tc>
        <w:tc>
          <w:tcPr>
            <w:tcW w:w="397"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per</w:t>
            </w:r>
          </w:p>
        </w:tc>
        <w:tc>
          <w:tcPr>
            <w:tcW w:w="484"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person-hours</w:t>
            </w:r>
          </w:p>
        </w:tc>
        <w:tc>
          <w:tcPr>
            <w:tcW w:w="490"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person-hours</w:t>
            </w:r>
          </w:p>
        </w:tc>
        <w:tc>
          <w:tcPr>
            <w:tcW w:w="392"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person-</w:t>
            </w:r>
          </w:p>
        </w:tc>
        <w:tc>
          <w:tcPr>
            <w:tcW w:w="490" w:type="pct"/>
            <w:tcBorders>
              <w:top w:val="single" w:sz="4" w:space="0" w:color="FFFFFF"/>
              <w:left w:val="single" w:sz="4" w:space="0" w:color="auto"/>
              <w:bottom w:val="single" w:sz="4" w:space="0" w:color="FFFFFF"/>
              <w:right w:val="single" w:sz="4" w:space="0" w:color="auto"/>
            </w:tcBorders>
            <w:shd w:val="clear" w:color="auto" w:fill="auto"/>
            <w:noWrap/>
            <w:vAlign w:val="bottom"/>
            <w:hideMark/>
          </w:tcPr>
          <w:p>
            <w:pPr>
              <w:widowControl/>
              <w:autoSpaceDE/>
              <w:autoSpaceDN/>
              <w:adjustRightInd/>
              <w:jc w:val="center"/>
            </w:pPr>
            <w:r>
              <w:t> </w:t>
            </w:r>
          </w:p>
        </w:tc>
      </w:tr>
      <w:tr>
        <w:trPr>
          <w:trHeight w:val="264"/>
        </w:trPr>
        <w:tc>
          <w:tcPr>
            <w:tcW w:w="1480" w:type="pct"/>
            <w:vMerge/>
            <w:tcBorders>
              <w:top w:val="single" w:sz="4" w:space="0" w:color="auto"/>
              <w:left w:val="single" w:sz="4" w:space="0" w:color="auto"/>
              <w:bottom w:val="single" w:sz="4" w:space="0" w:color="000000"/>
              <w:right w:val="single" w:sz="4" w:space="0" w:color="auto"/>
            </w:tcBorders>
            <w:vAlign w:val="center"/>
            <w:hideMark/>
          </w:tcPr>
          <w:p>
            <w:pPr>
              <w:widowControl/>
              <w:autoSpaceDE/>
              <w:autoSpaceDN/>
              <w:adjustRightInd/>
            </w:pPr>
          </w:p>
        </w:tc>
        <w:tc>
          <w:tcPr>
            <w:tcW w:w="403" w:type="pct"/>
            <w:tcBorders>
              <w:top w:val="nil"/>
              <w:left w:val="nil"/>
              <w:bottom w:val="single" w:sz="4" w:space="0" w:color="FFFFFF"/>
              <w:right w:val="nil"/>
            </w:tcBorders>
            <w:shd w:val="clear" w:color="auto" w:fill="auto"/>
            <w:noWrap/>
            <w:vAlign w:val="bottom"/>
            <w:hideMark/>
          </w:tcPr>
          <w:p>
            <w:pPr>
              <w:widowControl/>
              <w:autoSpaceDE/>
              <w:autoSpaceDN/>
              <w:adjustRightInd/>
              <w:jc w:val="center"/>
            </w:pPr>
            <w:r>
              <w:t>occurrence</w:t>
            </w:r>
          </w:p>
        </w:tc>
        <w:tc>
          <w:tcPr>
            <w:tcW w:w="419"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per plant</w:t>
            </w:r>
          </w:p>
        </w:tc>
        <w:tc>
          <w:tcPr>
            <w:tcW w:w="446"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plant per</w:t>
            </w:r>
          </w:p>
        </w:tc>
        <w:tc>
          <w:tcPr>
            <w:tcW w:w="397"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year</w:t>
            </w:r>
          </w:p>
        </w:tc>
        <w:tc>
          <w:tcPr>
            <w:tcW w:w="484"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per year</w:t>
            </w:r>
          </w:p>
        </w:tc>
        <w:tc>
          <w:tcPr>
            <w:tcW w:w="490"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per year</w:t>
            </w:r>
          </w:p>
        </w:tc>
        <w:tc>
          <w:tcPr>
            <w:tcW w:w="392" w:type="pct"/>
            <w:tcBorders>
              <w:top w:val="nil"/>
              <w:left w:val="single" w:sz="4" w:space="0" w:color="auto"/>
              <w:bottom w:val="single" w:sz="4" w:space="0" w:color="FFFFFF"/>
              <w:right w:val="nil"/>
            </w:tcBorders>
            <w:shd w:val="clear" w:color="auto" w:fill="auto"/>
            <w:noWrap/>
            <w:vAlign w:val="bottom"/>
            <w:hideMark/>
          </w:tcPr>
          <w:p>
            <w:pPr>
              <w:widowControl/>
              <w:autoSpaceDE/>
              <w:autoSpaceDN/>
              <w:adjustRightInd/>
              <w:jc w:val="center"/>
            </w:pPr>
            <w:r>
              <w:t>hours per</w:t>
            </w:r>
          </w:p>
        </w:tc>
        <w:tc>
          <w:tcPr>
            <w:tcW w:w="490" w:type="pct"/>
            <w:tcBorders>
              <w:top w:val="single" w:sz="4" w:space="0" w:color="FFFFFF"/>
              <w:left w:val="single" w:sz="4" w:space="0" w:color="auto"/>
              <w:bottom w:val="single" w:sz="4" w:space="0" w:color="FFFFFF"/>
              <w:right w:val="single" w:sz="4" w:space="0" w:color="auto"/>
            </w:tcBorders>
            <w:shd w:val="clear" w:color="auto" w:fill="auto"/>
            <w:noWrap/>
            <w:vAlign w:val="bottom"/>
            <w:hideMark/>
          </w:tcPr>
          <w:p>
            <w:pPr>
              <w:widowControl/>
              <w:autoSpaceDE/>
              <w:autoSpaceDN/>
              <w:adjustRightInd/>
              <w:jc w:val="center"/>
            </w:pPr>
            <w:r>
              <w:t> </w:t>
            </w:r>
          </w:p>
        </w:tc>
      </w:tr>
      <w:tr>
        <w:trPr>
          <w:trHeight w:val="264"/>
        </w:trPr>
        <w:tc>
          <w:tcPr>
            <w:tcW w:w="1480" w:type="pct"/>
            <w:vMerge/>
            <w:tcBorders>
              <w:top w:val="single" w:sz="4" w:space="0" w:color="auto"/>
              <w:left w:val="single" w:sz="4" w:space="0" w:color="auto"/>
              <w:bottom w:val="single" w:sz="4" w:space="0" w:color="000000"/>
              <w:right w:val="single" w:sz="4" w:space="0" w:color="auto"/>
            </w:tcBorders>
            <w:vAlign w:val="center"/>
            <w:hideMark/>
          </w:tcPr>
          <w:p>
            <w:pPr>
              <w:widowControl/>
              <w:autoSpaceDE/>
              <w:autoSpaceDN/>
              <w:adjustRightInd/>
            </w:pPr>
          </w:p>
        </w:tc>
        <w:tc>
          <w:tcPr>
            <w:tcW w:w="403" w:type="pct"/>
            <w:tcBorders>
              <w:top w:val="nil"/>
              <w:left w:val="nil"/>
              <w:bottom w:val="single" w:sz="4" w:space="0" w:color="auto"/>
              <w:right w:val="nil"/>
            </w:tcBorders>
            <w:shd w:val="clear" w:color="auto" w:fill="auto"/>
            <w:noWrap/>
            <w:vAlign w:val="bottom"/>
            <w:hideMark/>
          </w:tcPr>
          <w:p>
            <w:pPr>
              <w:widowControl/>
              <w:autoSpaceDE/>
              <w:autoSpaceDN/>
              <w:adjustRightInd/>
            </w:pPr>
            <w:r>
              <w:t> </w:t>
            </w:r>
          </w:p>
        </w:tc>
        <w:tc>
          <w:tcPr>
            <w:tcW w:w="419" w:type="pct"/>
            <w:tcBorders>
              <w:top w:val="nil"/>
              <w:left w:val="single" w:sz="4" w:space="0" w:color="auto"/>
              <w:bottom w:val="single" w:sz="4" w:space="0" w:color="auto"/>
              <w:right w:val="nil"/>
            </w:tcBorders>
            <w:shd w:val="clear" w:color="auto" w:fill="auto"/>
            <w:noWrap/>
            <w:vAlign w:val="bottom"/>
            <w:hideMark/>
          </w:tcPr>
          <w:p>
            <w:pPr>
              <w:widowControl/>
              <w:autoSpaceDE/>
              <w:autoSpaceDN/>
              <w:adjustRightInd/>
              <w:jc w:val="center"/>
            </w:pPr>
            <w:r>
              <w:t>per year</w:t>
            </w:r>
          </w:p>
        </w:tc>
        <w:tc>
          <w:tcPr>
            <w:tcW w:w="446" w:type="pct"/>
            <w:tcBorders>
              <w:top w:val="nil"/>
              <w:left w:val="single" w:sz="4" w:space="0" w:color="auto"/>
              <w:bottom w:val="single" w:sz="4" w:space="0" w:color="auto"/>
              <w:right w:val="nil"/>
            </w:tcBorders>
            <w:shd w:val="clear" w:color="auto" w:fill="auto"/>
            <w:noWrap/>
            <w:vAlign w:val="bottom"/>
            <w:hideMark/>
          </w:tcPr>
          <w:p>
            <w:pPr>
              <w:widowControl/>
              <w:autoSpaceDE/>
              <w:autoSpaceDN/>
              <w:adjustRightInd/>
              <w:jc w:val="center"/>
            </w:pPr>
            <w:r>
              <w:t>year</w:t>
            </w:r>
          </w:p>
        </w:tc>
        <w:tc>
          <w:tcPr>
            <w:tcW w:w="397" w:type="pct"/>
            <w:tcBorders>
              <w:top w:val="nil"/>
              <w:left w:val="single" w:sz="4" w:space="0" w:color="auto"/>
              <w:bottom w:val="single" w:sz="4" w:space="0" w:color="auto"/>
              <w:right w:val="nil"/>
            </w:tcBorders>
            <w:shd w:val="clear" w:color="auto" w:fill="auto"/>
            <w:noWrap/>
            <w:vAlign w:val="bottom"/>
            <w:hideMark/>
          </w:tcPr>
          <w:p>
            <w:pPr>
              <w:widowControl/>
              <w:autoSpaceDE/>
              <w:autoSpaceDN/>
              <w:adjustRightInd/>
              <w:jc w:val="center"/>
            </w:pPr>
            <w:r>
              <w:t> </w:t>
            </w:r>
          </w:p>
        </w:tc>
        <w:tc>
          <w:tcPr>
            <w:tcW w:w="484" w:type="pct"/>
            <w:tcBorders>
              <w:top w:val="nil"/>
              <w:left w:val="single" w:sz="4" w:space="0" w:color="auto"/>
              <w:bottom w:val="single" w:sz="4" w:space="0" w:color="auto"/>
              <w:right w:val="nil"/>
            </w:tcBorders>
            <w:shd w:val="clear" w:color="auto" w:fill="auto"/>
            <w:noWrap/>
            <w:vAlign w:val="bottom"/>
            <w:hideMark/>
          </w:tcPr>
          <w:p>
            <w:pPr>
              <w:widowControl/>
              <w:autoSpaceDE/>
              <w:autoSpaceDN/>
              <w:adjustRightInd/>
              <w:jc w:val="center"/>
            </w:pPr>
            <w:r>
              <w:t>(E=</w:t>
            </w:r>
            <w:proofErr w:type="spellStart"/>
            <w:r>
              <w:t>CxD</w:t>
            </w:r>
            <w:proofErr w:type="spellEnd"/>
            <w:r>
              <w:t>)</w:t>
            </w:r>
          </w:p>
        </w:tc>
        <w:tc>
          <w:tcPr>
            <w:tcW w:w="490" w:type="pct"/>
            <w:tcBorders>
              <w:top w:val="nil"/>
              <w:left w:val="single" w:sz="4" w:space="0" w:color="auto"/>
              <w:bottom w:val="single" w:sz="4" w:space="0" w:color="auto"/>
              <w:right w:val="nil"/>
            </w:tcBorders>
            <w:shd w:val="clear" w:color="auto" w:fill="auto"/>
            <w:noWrap/>
            <w:vAlign w:val="bottom"/>
            <w:hideMark/>
          </w:tcPr>
          <w:p>
            <w:pPr>
              <w:widowControl/>
              <w:autoSpaceDE/>
              <w:autoSpaceDN/>
              <w:adjustRightInd/>
              <w:jc w:val="center"/>
            </w:pPr>
            <w:r>
              <w:t>(Ex0.05)</w:t>
            </w:r>
          </w:p>
        </w:tc>
        <w:tc>
          <w:tcPr>
            <w:tcW w:w="392" w:type="pct"/>
            <w:tcBorders>
              <w:top w:val="nil"/>
              <w:left w:val="single" w:sz="4" w:space="0" w:color="auto"/>
              <w:bottom w:val="single" w:sz="4" w:space="0" w:color="auto"/>
              <w:right w:val="nil"/>
            </w:tcBorders>
            <w:shd w:val="clear" w:color="auto" w:fill="auto"/>
            <w:noWrap/>
            <w:vAlign w:val="bottom"/>
            <w:hideMark/>
          </w:tcPr>
          <w:p>
            <w:pPr>
              <w:widowControl/>
              <w:autoSpaceDE/>
              <w:autoSpaceDN/>
              <w:adjustRightInd/>
              <w:jc w:val="center"/>
            </w:pPr>
            <w:r>
              <w:t>year</w:t>
            </w:r>
          </w:p>
        </w:tc>
        <w:tc>
          <w:tcPr>
            <w:tcW w:w="490" w:type="pct"/>
            <w:tcBorders>
              <w:top w:val="single" w:sz="4" w:space="0" w:color="FFFFFF"/>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jc w:val="center"/>
            </w:pPr>
            <w:r>
              <w:t> </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Activity</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pPr>
            <w:r>
              <w:t> </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pPr>
            <w:r>
              <w:t> </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pPr>
            <w:r>
              <w:t>(C=</w:t>
            </w:r>
            <w:proofErr w:type="spellStart"/>
            <w:r>
              <w:t>AxB</w:t>
            </w:r>
            <w:proofErr w:type="spellEnd"/>
            <w:r>
              <w:t>)</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pPr>
            <w:r>
              <w:t> </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pPr>
            <w:r>
              <w:t> </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pPr>
            <w:r>
              <w:t> </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pPr>
            <w:r>
              <w:t>(Ex0.1)</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pPr>
            <w:r>
              <w:t> </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Performance Tests: Initial</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Performance Tests: Repeat</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Litigation</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Reports Review:</w:t>
            </w:r>
          </w:p>
        </w:tc>
        <w:tc>
          <w:tcPr>
            <w:tcW w:w="403"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pPr>
            <w:r>
              <w:t> </w:t>
            </w:r>
          </w:p>
        </w:tc>
        <w:tc>
          <w:tcPr>
            <w:tcW w:w="419"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jc w:val="center"/>
            </w:pPr>
            <w:r>
              <w:t> </w:t>
            </w:r>
          </w:p>
        </w:tc>
        <w:tc>
          <w:tcPr>
            <w:tcW w:w="446"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jc w:val="center"/>
            </w:pPr>
            <w:r>
              <w:t> </w:t>
            </w:r>
          </w:p>
        </w:tc>
        <w:tc>
          <w:tcPr>
            <w:tcW w:w="397"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jc w:val="center"/>
            </w:pPr>
            <w:r>
              <w:t> </w:t>
            </w:r>
          </w:p>
        </w:tc>
        <w:tc>
          <w:tcPr>
            <w:tcW w:w="484"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jc w:val="center"/>
            </w:pPr>
            <w:r>
              <w:t> </w:t>
            </w:r>
          </w:p>
        </w:tc>
        <w:tc>
          <w:tcPr>
            <w:tcW w:w="490"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jc w:val="center"/>
            </w:pPr>
            <w:r>
              <w:t> </w:t>
            </w:r>
          </w:p>
        </w:tc>
        <w:tc>
          <w:tcPr>
            <w:tcW w:w="392"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jc w:val="center"/>
            </w:pPr>
            <w:r>
              <w:t> </w:t>
            </w:r>
          </w:p>
        </w:tc>
        <w:tc>
          <w:tcPr>
            <w:tcW w:w="490"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jc w:val="center"/>
            </w:pPr>
            <w:r>
              <w:t> </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 xml:space="preserve">Compliance status </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Review equipment leak monitoring</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 xml:space="preserve">Notification of front-end operations limit </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 xml:space="preserve">Notification of back-end operations limit </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 xml:space="preserve">Notification of construction/reconstruction </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 xml:space="preserve">Notification of anticipated startup </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 xml:space="preserve">Notification of actual startup  </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 xml:space="preserve">Notification of performance test  </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 xml:space="preserve">Review of test results  </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 xml:space="preserve">Review periodic reports </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 xml:space="preserve">Review other reports </w:t>
            </w:r>
          </w:p>
        </w:tc>
        <w:tc>
          <w:tcPr>
            <w:tcW w:w="403"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1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4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r>
        <w:trPr>
          <w:trHeight w:val="264"/>
        </w:trPr>
        <w:tc>
          <w:tcPr>
            <w:tcW w:w="1480"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pPr>
            <w:r>
              <w:t>TOTAL BURDEN AND COST (SALARY)</w:t>
            </w:r>
          </w:p>
        </w:tc>
        <w:tc>
          <w:tcPr>
            <w:tcW w:w="403"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pPr>
            <w:r>
              <w:t> </w:t>
            </w:r>
          </w:p>
        </w:tc>
        <w:tc>
          <w:tcPr>
            <w:tcW w:w="419"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pPr>
            <w:r>
              <w:t> </w:t>
            </w:r>
          </w:p>
        </w:tc>
        <w:tc>
          <w:tcPr>
            <w:tcW w:w="446"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pPr>
            <w:r>
              <w:t> </w:t>
            </w:r>
          </w:p>
        </w:tc>
        <w:tc>
          <w:tcPr>
            <w:tcW w:w="397" w:type="pct"/>
            <w:tcBorders>
              <w:top w:val="nil"/>
              <w:left w:val="nil"/>
              <w:bottom w:val="single" w:sz="4" w:space="0" w:color="auto"/>
              <w:right w:val="single" w:sz="4" w:space="0" w:color="auto"/>
            </w:tcBorders>
            <w:shd w:val="clear" w:color="000000" w:fill="BFBFBF"/>
            <w:noWrap/>
            <w:vAlign w:val="bottom"/>
            <w:hideMark/>
          </w:tcPr>
          <w:p>
            <w:pPr>
              <w:widowControl/>
              <w:autoSpaceDE/>
              <w:autoSpaceDN/>
              <w:adjustRightInd/>
            </w:pPr>
            <w:r>
              <w:t> </w:t>
            </w:r>
          </w:p>
        </w:tc>
        <w:tc>
          <w:tcPr>
            <w:tcW w:w="484"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39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0.0</w:t>
            </w:r>
          </w:p>
        </w:tc>
        <w:tc>
          <w:tcPr>
            <w:tcW w:w="490"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right"/>
            </w:pPr>
            <w:r>
              <w:t>$0</w:t>
            </w:r>
          </w:p>
        </w:tc>
      </w:tr>
    </w:tbl>
    <w:p>
      <w:pPr>
        <w:widowControl/>
        <w:autoSpaceDE/>
        <w:autoSpaceDN/>
        <w:adjustRightInd/>
        <w:rPr>
          <w:b/>
          <w:bCs/>
        </w:rPr>
      </w:pPr>
    </w:p>
    <w:p>
      <w:pPr>
        <w:widowControl/>
        <w:rPr>
          <w:b/>
        </w:rPr>
      </w:pPr>
    </w:p>
    <w:p>
      <w:pPr>
        <w:widowControl/>
        <w:jc w:val="center"/>
        <w:rPr>
          <w:b/>
        </w:rPr>
      </w:pPr>
      <w:r>
        <w:rPr>
          <w:b/>
        </w:rPr>
        <w:br w:type="page"/>
      </w:r>
    </w:p>
    <w:p>
      <w:pPr>
        <w:widowControl/>
        <w:jc w:val="center"/>
        <w:rPr>
          <w:b/>
        </w:rPr>
      </w:pPr>
      <w:proofErr w:type="gramStart"/>
      <w:r>
        <w:rPr>
          <w:b/>
        </w:rPr>
        <w:lastRenderedPageBreak/>
        <w:t>ATTACHMENT 1.</w:t>
      </w:r>
      <w:proofErr w:type="gramEnd"/>
      <w:r>
        <w:rPr>
          <w:b/>
        </w:rPr>
        <w:t xml:space="preserve"> INFORMATION REQUIREMENTS--NESHAP FOR POLYMERS AND RESINS IV MANUFACTURING</w:t>
      </w:r>
    </w:p>
    <w:p>
      <w:pPr>
        <w:widowControl/>
        <w:jc w:val="center"/>
        <w:rPr>
          <w: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888"/>
        <w:gridCol w:w="2970"/>
        <w:gridCol w:w="2880"/>
        <w:gridCol w:w="2970"/>
      </w:tblGrid>
      <w:tr>
        <w:trPr>
          <w:jc w:val="center"/>
        </w:trPr>
        <w:tc>
          <w:tcPr>
            <w:tcW w:w="3888" w:type="dxa"/>
            <w:vAlign w:val="bottom"/>
          </w:tcPr>
          <w:p>
            <w:pPr>
              <w:widowControl/>
              <w:ind w:right="-90"/>
              <w:jc w:val="center"/>
              <w:rPr>
                <w:b/>
                <w:sz w:val="18"/>
                <w:szCs w:val="18"/>
              </w:rPr>
            </w:pPr>
            <w:r>
              <w:rPr>
                <w:b/>
                <w:sz w:val="18"/>
                <w:szCs w:val="18"/>
              </w:rPr>
              <w:t>Requirement</w:t>
            </w:r>
          </w:p>
        </w:tc>
        <w:tc>
          <w:tcPr>
            <w:tcW w:w="2970" w:type="dxa"/>
            <w:vAlign w:val="bottom"/>
          </w:tcPr>
          <w:p>
            <w:pPr>
              <w:widowControl/>
              <w:ind w:right="-90"/>
              <w:jc w:val="center"/>
              <w:rPr>
                <w:b/>
                <w:sz w:val="18"/>
                <w:szCs w:val="18"/>
              </w:rPr>
            </w:pPr>
            <w:r>
              <w:rPr>
                <w:b/>
                <w:sz w:val="18"/>
                <w:szCs w:val="18"/>
              </w:rPr>
              <w:t>Citation for existing sources</w:t>
            </w:r>
          </w:p>
        </w:tc>
        <w:tc>
          <w:tcPr>
            <w:tcW w:w="2880" w:type="dxa"/>
            <w:vAlign w:val="bottom"/>
          </w:tcPr>
          <w:p>
            <w:pPr>
              <w:widowControl/>
              <w:ind w:right="-90"/>
              <w:jc w:val="center"/>
              <w:rPr>
                <w:b/>
                <w:sz w:val="18"/>
                <w:szCs w:val="18"/>
              </w:rPr>
            </w:pPr>
            <w:r>
              <w:rPr>
                <w:b/>
                <w:sz w:val="18"/>
                <w:szCs w:val="18"/>
              </w:rPr>
              <w:t>Citation for new sources</w:t>
            </w:r>
          </w:p>
        </w:tc>
        <w:tc>
          <w:tcPr>
            <w:tcW w:w="2970" w:type="dxa"/>
            <w:vAlign w:val="bottom"/>
          </w:tcPr>
          <w:p>
            <w:pPr>
              <w:widowControl/>
              <w:ind w:right="-90"/>
              <w:jc w:val="center"/>
              <w:rPr>
                <w:b/>
                <w:sz w:val="18"/>
                <w:szCs w:val="18"/>
              </w:rPr>
            </w:pPr>
            <w:r>
              <w:rPr>
                <w:b/>
                <w:sz w:val="18"/>
                <w:szCs w:val="18"/>
              </w:rPr>
              <w:t>General Provisions citation</w:t>
            </w:r>
          </w:p>
        </w:tc>
      </w:tr>
      <w:tr>
        <w:trPr>
          <w:jc w:val="center"/>
        </w:trPr>
        <w:tc>
          <w:tcPr>
            <w:tcW w:w="3888" w:type="dxa"/>
          </w:tcPr>
          <w:p>
            <w:pPr>
              <w:widowControl/>
              <w:ind w:right="-90"/>
              <w:jc w:val="center"/>
              <w:rPr>
                <w:b/>
                <w:i/>
                <w:sz w:val="18"/>
                <w:szCs w:val="18"/>
              </w:rPr>
            </w:pPr>
            <w:r>
              <w:rPr>
                <w:b/>
                <w:i/>
                <w:sz w:val="18"/>
                <w:szCs w:val="18"/>
              </w:rPr>
              <w:t>Reports</w:t>
            </w:r>
          </w:p>
        </w:tc>
        <w:tc>
          <w:tcPr>
            <w:tcW w:w="2970" w:type="dxa"/>
          </w:tcPr>
          <w:p>
            <w:pPr>
              <w:widowControl/>
              <w:ind w:right="-90"/>
              <w:jc w:val="center"/>
              <w:rPr>
                <w:sz w:val="18"/>
                <w:szCs w:val="18"/>
              </w:rPr>
            </w:pPr>
          </w:p>
        </w:tc>
        <w:tc>
          <w:tcPr>
            <w:tcW w:w="2880" w:type="dxa"/>
          </w:tcPr>
          <w:p>
            <w:pPr>
              <w:widowControl/>
              <w:ind w:right="-90"/>
              <w:jc w:val="center"/>
              <w:rPr>
                <w:sz w:val="18"/>
                <w:szCs w:val="18"/>
              </w:rPr>
            </w:pPr>
          </w:p>
        </w:tc>
        <w:tc>
          <w:tcPr>
            <w:tcW w:w="2970" w:type="dxa"/>
          </w:tcPr>
          <w:p>
            <w:pPr>
              <w:widowControl/>
              <w:ind w:right="-90"/>
              <w:jc w:val="center"/>
              <w:rPr>
                <w:sz w:val="18"/>
                <w:szCs w:val="18"/>
              </w:rPr>
            </w:pPr>
          </w:p>
        </w:tc>
      </w:tr>
      <w:tr>
        <w:trPr>
          <w:jc w:val="center"/>
        </w:trPr>
        <w:tc>
          <w:tcPr>
            <w:tcW w:w="3888" w:type="dxa"/>
          </w:tcPr>
          <w:p>
            <w:pPr>
              <w:widowControl/>
              <w:ind w:right="-90"/>
              <w:jc w:val="center"/>
              <w:rPr>
                <w:sz w:val="18"/>
                <w:szCs w:val="18"/>
              </w:rPr>
            </w:pPr>
            <w:r>
              <w:rPr>
                <w:sz w:val="18"/>
                <w:szCs w:val="18"/>
              </w:rPr>
              <w:t>PRD requirements in Periodic reports</w:t>
            </w:r>
          </w:p>
        </w:tc>
        <w:tc>
          <w:tcPr>
            <w:tcW w:w="2970" w:type="dxa"/>
          </w:tcPr>
          <w:p>
            <w:pPr>
              <w:widowControl/>
              <w:ind w:right="-90"/>
              <w:jc w:val="center"/>
              <w:rPr>
                <w:sz w:val="18"/>
                <w:szCs w:val="18"/>
              </w:rPr>
            </w:pPr>
            <w:r>
              <w:rPr>
                <w:sz w:val="18"/>
                <w:szCs w:val="18"/>
              </w:rPr>
              <w:t>§63.1335(e)(9)</w:t>
            </w:r>
          </w:p>
        </w:tc>
        <w:tc>
          <w:tcPr>
            <w:tcW w:w="2880" w:type="dxa"/>
          </w:tcPr>
          <w:p>
            <w:pPr>
              <w:widowControl/>
              <w:ind w:right="-90"/>
              <w:jc w:val="center"/>
              <w:rPr>
                <w:sz w:val="18"/>
                <w:szCs w:val="18"/>
              </w:rPr>
            </w:pPr>
            <w:r>
              <w:rPr>
                <w:sz w:val="18"/>
                <w:szCs w:val="18"/>
              </w:rPr>
              <w:t>§63.1335(e)(9)</w:t>
            </w:r>
          </w:p>
        </w:tc>
        <w:tc>
          <w:tcPr>
            <w:tcW w:w="2970" w:type="dxa"/>
          </w:tcPr>
          <w:p>
            <w:pPr>
              <w:widowControl/>
              <w:ind w:right="-90"/>
              <w:jc w:val="center"/>
              <w:rPr>
                <w:sz w:val="18"/>
                <w:szCs w:val="18"/>
              </w:rPr>
            </w:pPr>
          </w:p>
        </w:tc>
      </w:tr>
      <w:tr>
        <w:trPr>
          <w:jc w:val="center"/>
        </w:trPr>
        <w:tc>
          <w:tcPr>
            <w:tcW w:w="3888" w:type="dxa"/>
          </w:tcPr>
          <w:p>
            <w:pPr>
              <w:widowControl/>
              <w:ind w:right="-90"/>
              <w:jc w:val="center"/>
              <w:rPr>
                <w:sz w:val="18"/>
                <w:szCs w:val="18"/>
              </w:rPr>
            </w:pPr>
            <w:r>
              <w:rPr>
                <w:sz w:val="18"/>
                <w:szCs w:val="18"/>
              </w:rPr>
              <w:t>Equipment leak requirements in Periodic reports for “multiple-end-finisher” subcategory</w:t>
            </w:r>
          </w:p>
        </w:tc>
        <w:tc>
          <w:tcPr>
            <w:tcW w:w="2970" w:type="dxa"/>
          </w:tcPr>
          <w:p>
            <w:pPr>
              <w:widowControl/>
              <w:ind w:right="-90"/>
              <w:jc w:val="center"/>
              <w:rPr>
                <w:sz w:val="18"/>
                <w:szCs w:val="18"/>
              </w:rPr>
            </w:pPr>
            <w:r>
              <w:rPr>
                <w:sz w:val="18"/>
                <w:szCs w:val="18"/>
              </w:rPr>
              <w:t>§63.1331(c)(4)</w:t>
            </w:r>
          </w:p>
        </w:tc>
        <w:tc>
          <w:tcPr>
            <w:tcW w:w="2880" w:type="dxa"/>
          </w:tcPr>
          <w:p>
            <w:pPr>
              <w:widowControl/>
              <w:ind w:right="-90"/>
              <w:jc w:val="center"/>
              <w:rPr>
                <w:sz w:val="18"/>
                <w:szCs w:val="18"/>
              </w:rPr>
            </w:pPr>
            <w:r>
              <w:rPr>
                <w:sz w:val="18"/>
                <w:szCs w:val="18"/>
              </w:rPr>
              <w:t>§63.1331(c)(4)</w:t>
            </w:r>
          </w:p>
        </w:tc>
        <w:tc>
          <w:tcPr>
            <w:tcW w:w="2970" w:type="dxa"/>
          </w:tcPr>
          <w:p>
            <w:pPr>
              <w:widowControl/>
              <w:ind w:right="-90"/>
              <w:jc w:val="center"/>
              <w:rPr>
                <w:sz w:val="18"/>
                <w:szCs w:val="18"/>
              </w:rPr>
            </w:pPr>
          </w:p>
        </w:tc>
      </w:tr>
      <w:tr>
        <w:trPr>
          <w:jc w:val="center"/>
        </w:trPr>
        <w:tc>
          <w:tcPr>
            <w:tcW w:w="3888" w:type="dxa"/>
          </w:tcPr>
          <w:p>
            <w:pPr>
              <w:widowControl/>
              <w:ind w:right="-90"/>
              <w:jc w:val="center"/>
              <w:rPr>
                <w:sz w:val="18"/>
                <w:szCs w:val="18"/>
              </w:rPr>
            </w:pPr>
            <w:r>
              <w:rPr>
                <w:sz w:val="18"/>
                <w:szCs w:val="18"/>
              </w:rPr>
              <w:t>PCCT requirements in Periodic reports for “multiple-end-finisher” subcategory</w:t>
            </w:r>
          </w:p>
        </w:tc>
        <w:tc>
          <w:tcPr>
            <w:tcW w:w="2970" w:type="dxa"/>
          </w:tcPr>
          <w:p>
            <w:pPr>
              <w:widowControl/>
              <w:ind w:right="-90"/>
              <w:jc w:val="center"/>
              <w:rPr>
                <w:sz w:val="18"/>
                <w:szCs w:val="18"/>
              </w:rPr>
            </w:pPr>
            <w:r>
              <w:rPr>
                <w:sz w:val="18"/>
                <w:szCs w:val="18"/>
              </w:rPr>
              <w:t>§63.1329(c)</w:t>
            </w:r>
          </w:p>
        </w:tc>
        <w:tc>
          <w:tcPr>
            <w:tcW w:w="2880" w:type="dxa"/>
          </w:tcPr>
          <w:p>
            <w:pPr>
              <w:widowControl/>
              <w:ind w:right="-90"/>
              <w:jc w:val="center"/>
              <w:rPr>
                <w:sz w:val="18"/>
                <w:szCs w:val="18"/>
              </w:rPr>
            </w:pPr>
            <w:r>
              <w:rPr>
                <w:sz w:val="18"/>
                <w:szCs w:val="18"/>
              </w:rPr>
              <w:t>§63.1329(c)</w:t>
            </w:r>
          </w:p>
        </w:tc>
        <w:tc>
          <w:tcPr>
            <w:tcW w:w="2970" w:type="dxa"/>
          </w:tcPr>
          <w:p>
            <w:pPr>
              <w:widowControl/>
              <w:ind w:right="-90"/>
              <w:jc w:val="center"/>
              <w:rPr>
                <w:sz w:val="18"/>
                <w:szCs w:val="18"/>
              </w:rPr>
            </w:pPr>
          </w:p>
        </w:tc>
      </w:tr>
      <w:tr>
        <w:trPr>
          <w:jc w:val="center"/>
        </w:trPr>
        <w:tc>
          <w:tcPr>
            <w:tcW w:w="3888" w:type="dxa"/>
          </w:tcPr>
          <w:p>
            <w:pPr>
              <w:widowControl/>
              <w:ind w:right="-90"/>
              <w:jc w:val="center"/>
              <w:rPr>
                <w:sz w:val="18"/>
                <w:szCs w:val="18"/>
              </w:rPr>
            </w:pPr>
            <w:r>
              <w:rPr>
                <w:sz w:val="18"/>
                <w:szCs w:val="18"/>
              </w:rPr>
              <w:t>Reports of malfunctions that result in an exceedances of the standard for the purpose of affirmative defense</w:t>
            </w:r>
          </w:p>
        </w:tc>
        <w:tc>
          <w:tcPr>
            <w:tcW w:w="2970" w:type="dxa"/>
          </w:tcPr>
          <w:p>
            <w:pPr>
              <w:widowControl/>
              <w:ind w:right="-90"/>
              <w:jc w:val="center"/>
              <w:rPr>
                <w:sz w:val="18"/>
                <w:szCs w:val="18"/>
              </w:rPr>
            </w:pPr>
            <w:r>
              <w:rPr>
                <w:sz w:val="18"/>
                <w:szCs w:val="18"/>
              </w:rPr>
              <w:t>§63.</w:t>
            </w:r>
            <w:r>
              <w:t xml:space="preserve"> </w:t>
            </w:r>
            <w:r>
              <w:rPr>
                <w:sz w:val="18"/>
                <w:szCs w:val="18"/>
              </w:rPr>
              <w:t>1310(k)</w:t>
            </w:r>
          </w:p>
        </w:tc>
        <w:tc>
          <w:tcPr>
            <w:tcW w:w="2880" w:type="dxa"/>
          </w:tcPr>
          <w:p>
            <w:pPr>
              <w:widowControl/>
              <w:ind w:right="-90"/>
              <w:jc w:val="center"/>
              <w:rPr>
                <w:sz w:val="18"/>
                <w:szCs w:val="18"/>
              </w:rPr>
            </w:pPr>
            <w:r>
              <w:rPr>
                <w:sz w:val="18"/>
                <w:szCs w:val="18"/>
              </w:rPr>
              <w:t>§63.</w:t>
            </w:r>
            <w:r>
              <w:t xml:space="preserve"> </w:t>
            </w:r>
            <w:r>
              <w:rPr>
                <w:sz w:val="18"/>
                <w:szCs w:val="18"/>
              </w:rPr>
              <w:t>1360(k)</w:t>
            </w:r>
          </w:p>
        </w:tc>
        <w:tc>
          <w:tcPr>
            <w:tcW w:w="2970" w:type="dxa"/>
          </w:tcPr>
          <w:p>
            <w:pPr>
              <w:widowControl/>
              <w:ind w:right="-90"/>
              <w:jc w:val="center"/>
              <w:rPr>
                <w:sz w:val="18"/>
                <w:szCs w:val="18"/>
              </w:rPr>
            </w:pPr>
          </w:p>
        </w:tc>
      </w:tr>
    </w:tbl>
    <w:p>
      <w:pPr>
        <w:widowControl/>
        <w:jc w:val="center"/>
        <w:rPr>
          <w:bCs/>
          <w:sz w:val="18"/>
          <w:szCs w:val="18"/>
        </w:rPr>
      </w:pPr>
    </w:p>
    <w:p>
      <w:pPr>
        <w:widowControl/>
        <w:jc w:val="center"/>
        <w:rPr>
          <w:bCs/>
          <w:sz w:val="18"/>
          <w:szCs w:val="18"/>
        </w:rPr>
      </w:pPr>
    </w:p>
    <w:p>
      <w:pPr>
        <w:widowControl/>
        <w:jc w:val="center"/>
        <w:rPr>
          <w:bCs/>
          <w:sz w:val="18"/>
          <w:szCs w:val="18"/>
        </w:rPr>
      </w:pPr>
    </w:p>
    <w:p>
      <w:pPr>
        <w:widowControl/>
        <w:rPr>
          <w:bCs/>
          <w:sz w:val="18"/>
          <w:szCs w:val="18"/>
        </w:rPr>
      </w:pPr>
    </w:p>
    <w:p>
      <w:pPr>
        <w:widowControl/>
        <w:rPr>
          <w:bCs/>
          <w:sz w:val="18"/>
          <w:szCs w:val="18"/>
        </w:rPr>
      </w:pPr>
    </w:p>
    <w:p>
      <w:pPr>
        <w:widowControl/>
        <w:rPr>
          <w:bCs/>
          <w:sz w:val="18"/>
          <w:szCs w:val="18"/>
        </w:rPr>
      </w:pPr>
    </w:p>
    <w:p>
      <w:pPr>
        <w:widowControl/>
        <w:rPr>
          <w:bCs/>
          <w:sz w:val="18"/>
          <w:szCs w:val="18"/>
        </w:rPr>
      </w:pPr>
    </w:p>
    <w:p>
      <w:pPr>
        <w:widowControl/>
        <w:rPr>
          <w:bCs/>
          <w:sz w:val="18"/>
          <w:szCs w:val="18"/>
        </w:rPr>
      </w:pPr>
    </w:p>
    <w:p>
      <w:pPr>
        <w:widowControl/>
        <w:rPr>
          <w:bCs/>
          <w:sz w:val="18"/>
          <w:szCs w:val="18"/>
        </w:rPr>
      </w:pPr>
    </w:p>
    <w:p>
      <w:pPr>
        <w:widowControl/>
        <w:rPr>
          <w:bCs/>
          <w:sz w:val="18"/>
          <w:szCs w:val="18"/>
        </w:rPr>
      </w:pPr>
    </w:p>
    <w:p>
      <w:pPr>
        <w:widowControl/>
        <w:rPr>
          <w:bCs/>
          <w:sz w:val="18"/>
          <w:szCs w:val="18"/>
        </w:rPr>
      </w:pPr>
    </w:p>
    <w:p>
      <w:pPr>
        <w:widowControl/>
        <w:rPr>
          <w:bCs/>
          <w:sz w:val="18"/>
          <w:szCs w:val="18"/>
        </w:rPr>
      </w:pPr>
    </w:p>
    <w:p>
      <w:pPr>
        <w:widowControl/>
        <w:ind w:right="-90"/>
      </w:pPr>
    </w:p>
    <w:sectPr>
      <w:footerReference w:type="default" r:id="rId13"/>
      <w:footnotePr>
        <w:numRestart w:val="eachPage"/>
      </w:footnotePr>
      <w:endnotePr>
        <w:numFmt w:val="decimal"/>
      </w:endnotePr>
      <w:pgSz w:w="15840" w:h="12240" w:orient="landscape" w:code="1"/>
      <w:pgMar w:top="720" w:right="720" w:bottom="720" w:left="720" w:header="288" w:footer="28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line="240" w:lineRule="exact"/>
    </w:pPr>
  </w:p>
  <w:p>
    <w:pPr>
      <w:framePr w:wrap="around" w:vAnchor="text" w:hAnchor="margin" w:xAlign="center" w:y="1"/>
      <w:jc w:val="center"/>
      <w:rPr>
        <w:sz w:val="24"/>
        <w:szCs w:val="24"/>
      </w:rPr>
    </w:pPr>
    <w:r>
      <w:rPr>
        <w:sz w:val="24"/>
        <w:szCs w:val="24"/>
      </w:rPr>
      <w:fldChar w:fldCharType="begin"/>
    </w:r>
    <w:r>
      <w:rPr>
        <w:sz w:val="24"/>
        <w:szCs w:val="24"/>
      </w:rPr>
      <w:instrText xml:space="preserve">PAGE </w:instrText>
    </w:r>
    <w:r>
      <w:rPr>
        <w:sz w:val="24"/>
        <w:szCs w:val="24"/>
      </w:rPr>
      <w:fldChar w:fldCharType="separate"/>
    </w:r>
    <w:r>
      <w:rPr>
        <w:noProof/>
        <w:sz w:val="24"/>
        <w:szCs w:val="24"/>
      </w:rPr>
      <w:t>1</w:t>
    </w:r>
    <w:r>
      <w:rPr>
        <w:sz w:val="24"/>
        <w:szCs w:val="24"/>
      </w:rPr>
      <w:fldChar w:fldCharType="end"/>
    </w:r>
  </w:p>
  <w:p>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14</w:t>
    </w:r>
    <w:r>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17</w:t>
    </w:r>
    <w:r>
      <w:rPr>
        <w:sz w:val="24"/>
        <w:szCs w:val="24"/>
      </w:rPr>
      <w:fldChar w:fldCharType="end"/>
    </w:r>
  </w:p>
  <w:p>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3CD4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10134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BC8BC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206EB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05C8E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F7007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F02B8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AFAD5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DE29FE"/>
    <w:lvl w:ilvl="0">
      <w:start w:val="1"/>
      <w:numFmt w:val="decimal"/>
      <w:pStyle w:val="ListNumber"/>
      <w:lvlText w:val="%1."/>
      <w:lvlJc w:val="left"/>
      <w:pPr>
        <w:tabs>
          <w:tab w:val="num" w:pos="360"/>
        </w:tabs>
        <w:ind w:left="360" w:hanging="360"/>
      </w:pPr>
    </w:lvl>
  </w:abstractNum>
  <w:abstractNum w:abstractNumId="9">
    <w:nsid w:val="FFFFFF89"/>
    <w:multiLevelType w:val="singleLevel"/>
    <w:tmpl w:val="78CE17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81BE3"/>
    <w:multiLevelType w:val="hybridMultilevel"/>
    <w:tmpl w:val="8F3A3624"/>
    <w:lvl w:ilvl="0" w:tplc="EBCED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2F77CC"/>
    <w:multiLevelType w:val="hybridMultilevel"/>
    <w:tmpl w:val="E0D04696"/>
    <w:lvl w:ilvl="0" w:tplc="3580F358">
      <w:start w:val="1"/>
      <w:numFmt w:val="decimal"/>
      <w:lvlText w:val="(%1)"/>
      <w:lvlJc w:val="left"/>
      <w:pPr>
        <w:ind w:left="720" w:hanging="720"/>
      </w:pPr>
      <w:rPr>
        <w:rFonts w:ascii="Courier New" w:eastAsia="Calibri" w:hAnsi="Courier New" w:cs="Courier New"/>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ya Parise">
    <w15:presenceInfo w15:providerId="None" w15:userId="Tanya Paris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Formatting/>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ti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FootnoteText">
    <w:name w:val="footnote text"/>
    <w:basedOn w:val="Normal"/>
    <w:link w:val="FootnoteTextChar"/>
    <w:uiPriority w:val="99"/>
    <w:semiHidden/>
  </w:style>
  <w:style w:type="character" w:styleId="FootnoteReference">
    <w:name w:val="footnote reference"/>
    <w:basedOn w:val="DefaultParagraphFont"/>
    <w:uiPriority w:val="99"/>
    <w:semiHidden/>
    <w:rPr>
      <w:vertAlign w:val="superscript"/>
    </w:rPr>
  </w:style>
  <w:style w:type="character" w:styleId="FollowedHyperlink">
    <w:name w:val="FollowedHyperlink"/>
    <w:basedOn w:val="DefaultParagraphFont"/>
    <w:rPr>
      <w:color w:val="800080"/>
      <w:u w:val="single"/>
    </w:r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style>
  <w:style w:type="character" w:customStyle="1" w:styleId="eudoraheader">
    <w:name w:val="eudoraheader"/>
    <w:basedOn w:val="DefaultParagraphFont"/>
  </w:style>
  <w:style w:type="character" w:customStyle="1" w:styleId="CommentTextChar">
    <w:name w:val="Comment Text Char"/>
    <w:basedOn w:val="DefaultParagraphFont"/>
    <w:link w:val="CommentText"/>
    <w:uiPriority w:val="99"/>
    <w:semiHidden/>
  </w:style>
  <w:style w:type="character" w:customStyle="1" w:styleId="HeaderChar">
    <w:name w:val="Header Char"/>
    <w:basedOn w:val="DefaultParagraphFont"/>
    <w:link w:val="Header"/>
    <w:uiPriority w:val="99"/>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rPr>
      <w:b/>
      <w:bCs/>
    </w:rPr>
  </w:style>
  <w:style w:type="paragraph" w:styleId="Closing">
    <w:name w:val="Closing"/>
    <w:basedOn w:val="Normal"/>
    <w:link w:val="ClosingChar"/>
    <w:pPr>
      <w:ind w:left="4320"/>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rPr>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Pr>
      <w:rFonts w:ascii="Cambria" w:eastAsia="Times New Roman" w:hAnsi="Cambria" w:cs="Times New Roman"/>
      <w:b/>
      <w:bCs/>
      <w:sz w:val="26"/>
      <w:szCs w:val="26"/>
    </w:rPr>
  </w:style>
  <w:style w:type="character" w:customStyle="1" w:styleId="Heading4Char">
    <w:name w:val="Heading 4 Char"/>
    <w:basedOn w:val="DefaultParagraphFont"/>
    <w:link w:val="Heading4"/>
    <w:semiHidden/>
    <w:rPr>
      <w:rFonts w:ascii="Calibri" w:eastAsia="Times New Roman" w:hAnsi="Calibri" w:cs="Times New Roman"/>
      <w:b/>
      <w:bCs/>
      <w:sz w:val="28"/>
      <w:szCs w:val="28"/>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Pr>
      <w:rFonts w:ascii="Calibri" w:eastAsia="Times New Roman" w:hAnsi="Calibri" w:cs="Times New Roman"/>
      <w:b/>
      <w:bCs/>
      <w:sz w:val="22"/>
      <w:szCs w:val="22"/>
    </w:rPr>
  </w:style>
  <w:style w:type="character" w:customStyle="1" w:styleId="Heading7Char">
    <w:name w:val="Heading 7 Char"/>
    <w:basedOn w:val="DefaultParagraphFont"/>
    <w:link w:val="Heading7"/>
    <w:semiHidden/>
    <w:rPr>
      <w:rFonts w:ascii="Calibri" w:eastAsia="Times New Roman" w:hAnsi="Calibri" w:cs="Times New Roman"/>
      <w:sz w:val="24"/>
      <w:szCs w:val="24"/>
    </w:rPr>
  </w:style>
  <w:style w:type="character" w:customStyle="1" w:styleId="Heading8Char">
    <w:name w:val="Heading 8 Char"/>
    <w:basedOn w:val="DefaultParagraphFont"/>
    <w:link w:val="Heading8"/>
    <w:semiHidden/>
    <w:rPr>
      <w:rFonts w:ascii="Calibri" w:eastAsia="Times New Roman" w:hAnsi="Calibri" w:cs="Times New Roman"/>
      <w:i/>
      <w:iCs/>
      <w:sz w:val="24"/>
      <w:szCs w:val="24"/>
    </w:rPr>
  </w:style>
  <w:style w:type="character" w:customStyle="1" w:styleId="Heading9Char">
    <w:name w:val="Heading 9 Char"/>
    <w:basedOn w:val="DefaultParagraphFont"/>
    <w:link w:val="Heading9"/>
    <w:semiHidden/>
    <w:rPr>
      <w:rFonts w:ascii="Cambria" w:eastAsia="Times New Roman" w:hAnsi="Cambria" w:cs="Times New Roman"/>
      <w:sz w:val="22"/>
      <w:szCs w:val="22"/>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autoRedefine/>
    <w:pPr>
      <w:ind w:left="200" w:hanging="200"/>
    </w:pPr>
  </w:style>
  <w:style w:type="paragraph" w:styleId="Index2">
    <w:name w:val="index 2"/>
    <w:basedOn w:val="Normal"/>
    <w:next w:val="Normal"/>
    <w:autoRedefine/>
    <w:pPr>
      <w:ind w:left="400" w:hanging="200"/>
    </w:p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4"/>
      </w:numPr>
      <w:contextualSpacing/>
    </w:pPr>
  </w:style>
  <w:style w:type="paragraph" w:styleId="ListBullet2">
    <w:name w:val="List Bullet 2"/>
    <w:basedOn w:val="Normal"/>
    <w:pPr>
      <w:numPr>
        <w:numId w:val="5"/>
      </w:numPr>
      <w:contextualSpacing/>
    </w:pPr>
  </w:style>
  <w:style w:type="paragraph" w:styleId="ListBullet3">
    <w:name w:val="List Bullet 3"/>
    <w:basedOn w:val="Normal"/>
    <w:pPr>
      <w:numPr>
        <w:numId w:val="6"/>
      </w:numPr>
      <w:contextualSpacing/>
    </w:pPr>
  </w:style>
  <w:style w:type="paragraph" w:styleId="ListBullet4">
    <w:name w:val="List Bullet 4"/>
    <w:basedOn w:val="Normal"/>
    <w:pPr>
      <w:numPr>
        <w:numId w:val="7"/>
      </w:numPr>
      <w:contextualSpacing/>
    </w:pPr>
  </w:style>
  <w:style w:type="paragraph" w:styleId="ListBullet5">
    <w:name w:val="List Bullet 5"/>
    <w:basedOn w:val="Normal"/>
    <w:pPr>
      <w:numPr>
        <w:numId w:val="8"/>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MacroText">
    <w:name w:val="macro"/>
    <w:link w:val="MacroTextChar"/>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pPr>
      <w:widowControl w:val="0"/>
      <w:autoSpaceDE w:val="0"/>
      <w:autoSpaceDN w:val="0"/>
      <w:adjustRightInd w:val="0"/>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rPr>
      <w:rFonts w:ascii="Courier New" w:hAnsi="Courier New" w:cs="Courier New"/>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00"/>
    </w:pPr>
  </w:style>
  <w:style w:type="paragraph" w:styleId="TOC3">
    <w:name w:val="toc 3"/>
    <w:basedOn w:val="Normal"/>
    <w:next w:val="Normal"/>
    <w:autoRedefine/>
    <w:pPr>
      <w:ind w:left="400"/>
    </w:p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 w:type="paragraph" w:styleId="TOCHeading">
    <w:name w:val="TOC Heading"/>
    <w:basedOn w:val="Heading1"/>
    <w:next w:val="Normal"/>
    <w:uiPriority w:val="39"/>
    <w:semiHidden/>
    <w:unhideWhenUsed/>
    <w:qFormat/>
    <w:pPr>
      <w:outlineLvl w:val="9"/>
    </w:pPr>
  </w:style>
  <w:style w:type="character" w:customStyle="1" w:styleId="defaultlabelstyle">
    <w:name w:val="defaultlabelstyle"/>
    <w:basedOn w:val="DefaultParagraphFont"/>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86F"/>
    <w:pPr>
      <w:widowControl w:val="0"/>
      <w:autoSpaceDE w:val="0"/>
      <w:autoSpaceDN w:val="0"/>
      <w:adjustRightInd w:val="0"/>
    </w:pPr>
  </w:style>
  <w:style w:type="paragraph" w:styleId="Heading1">
    <w:name w:val="heading 1"/>
    <w:basedOn w:val="Normal"/>
    <w:next w:val="Normal"/>
    <w:link w:val="Heading1Char"/>
    <w:qFormat/>
    <w:rsid w:val="00916C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16C3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16C3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16C3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16C3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16C3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16C3F"/>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916C3F"/>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916C3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sid w:val="004A1B23"/>
    <w:rPr>
      <w:color w:val="0000FF"/>
      <w:u w:val="single"/>
    </w:rPr>
  </w:style>
  <w:style w:type="paragraph" w:styleId="FootnoteText">
    <w:name w:val="footnote text"/>
    <w:basedOn w:val="Normal"/>
    <w:link w:val="FootnoteTextChar"/>
    <w:uiPriority w:val="99"/>
    <w:semiHidden/>
    <w:rsid w:val="00552CF0"/>
  </w:style>
  <w:style w:type="character" w:styleId="FootnoteReference">
    <w:name w:val="footnote reference"/>
    <w:basedOn w:val="DefaultParagraphFont"/>
    <w:uiPriority w:val="99"/>
    <w:semiHidden/>
    <w:rsid w:val="00552CF0"/>
    <w:rPr>
      <w:vertAlign w:val="superscript"/>
    </w:rPr>
  </w:style>
  <w:style w:type="character" w:styleId="FollowedHyperlink">
    <w:name w:val="FollowedHyperlink"/>
    <w:basedOn w:val="DefaultParagraphFont"/>
    <w:rsid w:val="00552CF0"/>
    <w:rPr>
      <w:color w:val="800080"/>
      <w:u w:val="single"/>
    </w:rPr>
  </w:style>
  <w:style w:type="paragraph" w:styleId="Header">
    <w:name w:val="header"/>
    <w:basedOn w:val="Normal"/>
    <w:link w:val="HeaderChar"/>
    <w:uiPriority w:val="99"/>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basedOn w:val="DefaultParagraphFont"/>
    <w:uiPriority w:val="99"/>
    <w:semiHidden/>
    <w:rsid w:val="00907DE1"/>
    <w:rPr>
      <w:sz w:val="16"/>
      <w:szCs w:val="16"/>
    </w:rPr>
  </w:style>
  <w:style w:type="paragraph" w:styleId="CommentText">
    <w:name w:val="annotation text"/>
    <w:basedOn w:val="Normal"/>
    <w:link w:val="CommentTextChar"/>
    <w:uiPriority w:val="99"/>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7B73F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C3715E"/>
  </w:style>
  <w:style w:type="character" w:customStyle="1" w:styleId="eudoraheader">
    <w:name w:val="eudoraheader"/>
    <w:basedOn w:val="DefaultParagraphFont"/>
    <w:rsid w:val="005348E7"/>
  </w:style>
  <w:style w:type="character" w:customStyle="1" w:styleId="CommentTextChar">
    <w:name w:val="Comment Text Char"/>
    <w:basedOn w:val="DefaultParagraphFont"/>
    <w:link w:val="CommentText"/>
    <w:uiPriority w:val="99"/>
    <w:semiHidden/>
    <w:rsid w:val="009112ED"/>
  </w:style>
  <w:style w:type="character" w:customStyle="1" w:styleId="HeaderChar">
    <w:name w:val="Header Char"/>
    <w:basedOn w:val="DefaultParagraphFont"/>
    <w:link w:val="Header"/>
    <w:uiPriority w:val="99"/>
    <w:rsid w:val="0055093E"/>
  </w:style>
  <w:style w:type="paragraph" w:styleId="Bibliography">
    <w:name w:val="Bibliography"/>
    <w:basedOn w:val="Normal"/>
    <w:next w:val="Normal"/>
    <w:uiPriority w:val="37"/>
    <w:semiHidden/>
    <w:unhideWhenUsed/>
    <w:rsid w:val="00916C3F"/>
  </w:style>
  <w:style w:type="paragraph" w:styleId="BlockText">
    <w:name w:val="Block Text"/>
    <w:basedOn w:val="Normal"/>
    <w:rsid w:val="00916C3F"/>
    <w:pPr>
      <w:spacing w:after="120"/>
      <w:ind w:left="1440" w:right="1440"/>
    </w:pPr>
  </w:style>
  <w:style w:type="paragraph" w:styleId="BodyText">
    <w:name w:val="Body Text"/>
    <w:basedOn w:val="Normal"/>
    <w:link w:val="BodyTextChar"/>
    <w:rsid w:val="00916C3F"/>
    <w:pPr>
      <w:spacing w:after="120"/>
    </w:pPr>
  </w:style>
  <w:style w:type="character" w:customStyle="1" w:styleId="BodyTextChar">
    <w:name w:val="Body Text Char"/>
    <w:basedOn w:val="DefaultParagraphFont"/>
    <w:link w:val="BodyText"/>
    <w:rsid w:val="00916C3F"/>
  </w:style>
  <w:style w:type="paragraph" w:styleId="BodyText2">
    <w:name w:val="Body Text 2"/>
    <w:basedOn w:val="Normal"/>
    <w:link w:val="BodyText2Char"/>
    <w:rsid w:val="00916C3F"/>
    <w:pPr>
      <w:spacing w:after="120" w:line="480" w:lineRule="auto"/>
    </w:pPr>
  </w:style>
  <w:style w:type="character" w:customStyle="1" w:styleId="BodyText2Char">
    <w:name w:val="Body Text 2 Char"/>
    <w:basedOn w:val="DefaultParagraphFont"/>
    <w:link w:val="BodyText2"/>
    <w:rsid w:val="00916C3F"/>
  </w:style>
  <w:style w:type="paragraph" w:styleId="BodyText3">
    <w:name w:val="Body Text 3"/>
    <w:basedOn w:val="Normal"/>
    <w:link w:val="BodyText3Char"/>
    <w:rsid w:val="00916C3F"/>
    <w:pPr>
      <w:spacing w:after="120"/>
    </w:pPr>
    <w:rPr>
      <w:sz w:val="16"/>
      <w:szCs w:val="16"/>
    </w:rPr>
  </w:style>
  <w:style w:type="character" w:customStyle="1" w:styleId="BodyText3Char">
    <w:name w:val="Body Text 3 Char"/>
    <w:basedOn w:val="DefaultParagraphFont"/>
    <w:link w:val="BodyText3"/>
    <w:rsid w:val="00916C3F"/>
    <w:rPr>
      <w:sz w:val="16"/>
      <w:szCs w:val="16"/>
    </w:rPr>
  </w:style>
  <w:style w:type="paragraph" w:styleId="BodyTextFirstIndent">
    <w:name w:val="Body Text First Indent"/>
    <w:basedOn w:val="BodyText"/>
    <w:link w:val="BodyTextFirstIndentChar"/>
    <w:rsid w:val="00916C3F"/>
    <w:pPr>
      <w:ind w:firstLine="210"/>
    </w:pPr>
  </w:style>
  <w:style w:type="character" w:customStyle="1" w:styleId="BodyTextFirstIndentChar">
    <w:name w:val="Body Text First Indent Char"/>
    <w:basedOn w:val="BodyTextChar"/>
    <w:link w:val="BodyTextFirstIndent"/>
    <w:rsid w:val="00916C3F"/>
  </w:style>
  <w:style w:type="paragraph" w:styleId="BodyTextIndent">
    <w:name w:val="Body Text Indent"/>
    <w:basedOn w:val="Normal"/>
    <w:link w:val="BodyTextIndentChar"/>
    <w:rsid w:val="00916C3F"/>
    <w:pPr>
      <w:spacing w:after="120"/>
      <w:ind w:left="360"/>
    </w:pPr>
  </w:style>
  <w:style w:type="character" w:customStyle="1" w:styleId="BodyTextIndentChar">
    <w:name w:val="Body Text Indent Char"/>
    <w:basedOn w:val="DefaultParagraphFont"/>
    <w:link w:val="BodyTextIndent"/>
    <w:rsid w:val="00916C3F"/>
  </w:style>
  <w:style w:type="paragraph" w:styleId="BodyTextFirstIndent2">
    <w:name w:val="Body Text First Indent 2"/>
    <w:basedOn w:val="BodyTextIndent"/>
    <w:link w:val="BodyTextFirstIndent2Char"/>
    <w:rsid w:val="00916C3F"/>
    <w:pPr>
      <w:ind w:firstLine="210"/>
    </w:pPr>
  </w:style>
  <w:style w:type="character" w:customStyle="1" w:styleId="BodyTextFirstIndent2Char">
    <w:name w:val="Body Text First Indent 2 Char"/>
    <w:basedOn w:val="BodyTextIndentChar"/>
    <w:link w:val="BodyTextFirstIndent2"/>
    <w:rsid w:val="00916C3F"/>
  </w:style>
  <w:style w:type="paragraph" w:styleId="BodyTextIndent2">
    <w:name w:val="Body Text Indent 2"/>
    <w:basedOn w:val="Normal"/>
    <w:link w:val="BodyTextIndent2Char"/>
    <w:rsid w:val="00916C3F"/>
    <w:pPr>
      <w:spacing w:after="120" w:line="480" w:lineRule="auto"/>
      <w:ind w:left="360"/>
    </w:pPr>
  </w:style>
  <w:style w:type="character" w:customStyle="1" w:styleId="BodyTextIndent2Char">
    <w:name w:val="Body Text Indent 2 Char"/>
    <w:basedOn w:val="DefaultParagraphFont"/>
    <w:link w:val="BodyTextIndent2"/>
    <w:rsid w:val="00916C3F"/>
  </w:style>
  <w:style w:type="paragraph" w:styleId="BodyTextIndent3">
    <w:name w:val="Body Text Indent 3"/>
    <w:basedOn w:val="Normal"/>
    <w:link w:val="BodyTextIndent3Char"/>
    <w:rsid w:val="00916C3F"/>
    <w:pPr>
      <w:spacing w:after="120"/>
      <w:ind w:left="360"/>
    </w:pPr>
    <w:rPr>
      <w:sz w:val="16"/>
      <w:szCs w:val="16"/>
    </w:rPr>
  </w:style>
  <w:style w:type="character" w:customStyle="1" w:styleId="BodyTextIndent3Char">
    <w:name w:val="Body Text Indent 3 Char"/>
    <w:basedOn w:val="DefaultParagraphFont"/>
    <w:link w:val="BodyTextIndent3"/>
    <w:rsid w:val="00916C3F"/>
    <w:rPr>
      <w:sz w:val="16"/>
      <w:szCs w:val="16"/>
    </w:rPr>
  </w:style>
  <w:style w:type="paragraph" w:styleId="Caption">
    <w:name w:val="caption"/>
    <w:basedOn w:val="Normal"/>
    <w:next w:val="Normal"/>
    <w:semiHidden/>
    <w:unhideWhenUsed/>
    <w:qFormat/>
    <w:rsid w:val="00916C3F"/>
    <w:rPr>
      <w:b/>
      <w:bCs/>
    </w:rPr>
  </w:style>
  <w:style w:type="paragraph" w:styleId="Closing">
    <w:name w:val="Closing"/>
    <w:basedOn w:val="Normal"/>
    <w:link w:val="ClosingChar"/>
    <w:rsid w:val="00916C3F"/>
    <w:pPr>
      <w:ind w:left="4320"/>
    </w:pPr>
  </w:style>
  <w:style w:type="character" w:customStyle="1" w:styleId="ClosingChar">
    <w:name w:val="Closing Char"/>
    <w:basedOn w:val="DefaultParagraphFont"/>
    <w:link w:val="Closing"/>
    <w:rsid w:val="00916C3F"/>
  </w:style>
  <w:style w:type="paragraph" w:styleId="Date">
    <w:name w:val="Date"/>
    <w:basedOn w:val="Normal"/>
    <w:next w:val="Normal"/>
    <w:link w:val="DateChar"/>
    <w:rsid w:val="00916C3F"/>
  </w:style>
  <w:style w:type="character" w:customStyle="1" w:styleId="DateChar">
    <w:name w:val="Date Char"/>
    <w:basedOn w:val="DefaultParagraphFont"/>
    <w:link w:val="Date"/>
    <w:rsid w:val="00916C3F"/>
  </w:style>
  <w:style w:type="paragraph" w:styleId="DocumentMap">
    <w:name w:val="Document Map"/>
    <w:basedOn w:val="Normal"/>
    <w:link w:val="DocumentMapChar"/>
    <w:rsid w:val="00916C3F"/>
    <w:rPr>
      <w:rFonts w:ascii="Tahoma" w:hAnsi="Tahoma" w:cs="Tahoma"/>
      <w:sz w:val="16"/>
      <w:szCs w:val="16"/>
    </w:rPr>
  </w:style>
  <w:style w:type="character" w:customStyle="1" w:styleId="DocumentMapChar">
    <w:name w:val="Document Map Char"/>
    <w:basedOn w:val="DefaultParagraphFont"/>
    <w:link w:val="DocumentMap"/>
    <w:rsid w:val="00916C3F"/>
    <w:rPr>
      <w:rFonts w:ascii="Tahoma" w:hAnsi="Tahoma" w:cs="Tahoma"/>
      <w:sz w:val="16"/>
      <w:szCs w:val="16"/>
    </w:rPr>
  </w:style>
  <w:style w:type="paragraph" w:styleId="E-mailSignature">
    <w:name w:val="E-mail Signature"/>
    <w:basedOn w:val="Normal"/>
    <w:link w:val="E-mailSignatureChar"/>
    <w:rsid w:val="00916C3F"/>
  </w:style>
  <w:style w:type="character" w:customStyle="1" w:styleId="E-mailSignatureChar">
    <w:name w:val="E-mail Signature Char"/>
    <w:basedOn w:val="DefaultParagraphFont"/>
    <w:link w:val="E-mailSignature"/>
    <w:rsid w:val="00916C3F"/>
  </w:style>
  <w:style w:type="paragraph" w:styleId="EndnoteText">
    <w:name w:val="endnote text"/>
    <w:basedOn w:val="Normal"/>
    <w:link w:val="EndnoteTextChar"/>
    <w:rsid w:val="00916C3F"/>
  </w:style>
  <w:style w:type="character" w:customStyle="1" w:styleId="EndnoteTextChar">
    <w:name w:val="Endnote Text Char"/>
    <w:basedOn w:val="DefaultParagraphFont"/>
    <w:link w:val="EndnoteText"/>
    <w:rsid w:val="00916C3F"/>
  </w:style>
  <w:style w:type="paragraph" w:styleId="EnvelopeAddress">
    <w:name w:val="envelope address"/>
    <w:basedOn w:val="Normal"/>
    <w:rsid w:val="00916C3F"/>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16C3F"/>
    <w:rPr>
      <w:rFonts w:ascii="Cambria" w:hAnsi="Cambria"/>
    </w:rPr>
  </w:style>
  <w:style w:type="character" w:customStyle="1" w:styleId="Heading1Char">
    <w:name w:val="Heading 1 Char"/>
    <w:basedOn w:val="DefaultParagraphFont"/>
    <w:link w:val="Heading1"/>
    <w:rsid w:val="00916C3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916C3F"/>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916C3F"/>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916C3F"/>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916C3F"/>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916C3F"/>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916C3F"/>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916C3F"/>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916C3F"/>
    <w:rPr>
      <w:rFonts w:ascii="Cambria" w:eastAsia="Times New Roman" w:hAnsi="Cambria" w:cs="Times New Roman"/>
      <w:sz w:val="22"/>
      <w:szCs w:val="22"/>
    </w:rPr>
  </w:style>
  <w:style w:type="paragraph" w:styleId="HTMLAddress">
    <w:name w:val="HTML Address"/>
    <w:basedOn w:val="Normal"/>
    <w:link w:val="HTMLAddressChar"/>
    <w:rsid w:val="00916C3F"/>
    <w:rPr>
      <w:i/>
      <w:iCs/>
    </w:rPr>
  </w:style>
  <w:style w:type="character" w:customStyle="1" w:styleId="HTMLAddressChar">
    <w:name w:val="HTML Address Char"/>
    <w:basedOn w:val="DefaultParagraphFont"/>
    <w:link w:val="HTMLAddress"/>
    <w:rsid w:val="00916C3F"/>
    <w:rPr>
      <w:i/>
      <w:iCs/>
    </w:rPr>
  </w:style>
  <w:style w:type="paragraph" w:styleId="HTMLPreformatted">
    <w:name w:val="HTML Preformatted"/>
    <w:basedOn w:val="Normal"/>
    <w:link w:val="HTMLPreformattedChar"/>
    <w:rsid w:val="00916C3F"/>
    <w:rPr>
      <w:rFonts w:ascii="Courier New" w:hAnsi="Courier New" w:cs="Courier New"/>
    </w:rPr>
  </w:style>
  <w:style w:type="character" w:customStyle="1" w:styleId="HTMLPreformattedChar">
    <w:name w:val="HTML Preformatted Char"/>
    <w:basedOn w:val="DefaultParagraphFont"/>
    <w:link w:val="HTMLPreformatted"/>
    <w:rsid w:val="00916C3F"/>
    <w:rPr>
      <w:rFonts w:ascii="Courier New" w:hAnsi="Courier New" w:cs="Courier New"/>
    </w:rPr>
  </w:style>
  <w:style w:type="paragraph" w:styleId="Index1">
    <w:name w:val="index 1"/>
    <w:basedOn w:val="Normal"/>
    <w:next w:val="Normal"/>
    <w:autoRedefine/>
    <w:rsid w:val="00916C3F"/>
    <w:pPr>
      <w:ind w:left="200" w:hanging="200"/>
    </w:pPr>
  </w:style>
  <w:style w:type="paragraph" w:styleId="Index2">
    <w:name w:val="index 2"/>
    <w:basedOn w:val="Normal"/>
    <w:next w:val="Normal"/>
    <w:autoRedefine/>
    <w:rsid w:val="00916C3F"/>
    <w:pPr>
      <w:ind w:left="400" w:hanging="200"/>
    </w:pPr>
  </w:style>
  <w:style w:type="paragraph" w:styleId="Index3">
    <w:name w:val="index 3"/>
    <w:basedOn w:val="Normal"/>
    <w:next w:val="Normal"/>
    <w:autoRedefine/>
    <w:rsid w:val="00916C3F"/>
    <w:pPr>
      <w:ind w:left="600" w:hanging="200"/>
    </w:pPr>
  </w:style>
  <w:style w:type="paragraph" w:styleId="Index4">
    <w:name w:val="index 4"/>
    <w:basedOn w:val="Normal"/>
    <w:next w:val="Normal"/>
    <w:autoRedefine/>
    <w:rsid w:val="00916C3F"/>
    <w:pPr>
      <w:ind w:left="800" w:hanging="200"/>
    </w:pPr>
  </w:style>
  <w:style w:type="paragraph" w:styleId="Index5">
    <w:name w:val="index 5"/>
    <w:basedOn w:val="Normal"/>
    <w:next w:val="Normal"/>
    <w:autoRedefine/>
    <w:rsid w:val="00916C3F"/>
    <w:pPr>
      <w:ind w:left="1000" w:hanging="200"/>
    </w:pPr>
  </w:style>
  <w:style w:type="paragraph" w:styleId="Index6">
    <w:name w:val="index 6"/>
    <w:basedOn w:val="Normal"/>
    <w:next w:val="Normal"/>
    <w:autoRedefine/>
    <w:rsid w:val="00916C3F"/>
    <w:pPr>
      <w:ind w:left="1200" w:hanging="200"/>
    </w:pPr>
  </w:style>
  <w:style w:type="paragraph" w:styleId="Index7">
    <w:name w:val="index 7"/>
    <w:basedOn w:val="Normal"/>
    <w:next w:val="Normal"/>
    <w:autoRedefine/>
    <w:rsid w:val="00916C3F"/>
    <w:pPr>
      <w:ind w:left="1400" w:hanging="200"/>
    </w:pPr>
  </w:style>
  <w:style w:type="paragraph" w:styleId="Index8">
    <w:name w:val="index 8"/>
    <w:basedOn w:val="Normal"/>
    <w:next w:val="Normal"/>
    <w:autoRedefine/>
    <w:rsid w:val="00916C3F"/>
    <w:pPr>
      <w:ind w:left="1600" w:hanging="200"/>
    </w:pPr>
  </w:style>
  <w:style w:type="paragraph" w:styleId="Index9">
    <w:name w:val="index 9"/>
    <w:basedOn w:val="Normal"/>
    <w:next w:val="Normal"/>
    <w:autoRedefine/>
    <w:rsid w:val="00916C3F"/>
    <w:pPr>
      <w:ind w:left="1800" w:hanging="200"/>
    </w:pPr>
  </w:style>
  <w:style w:type="paragraph" w:styleId="IndexHeading">
    <w:name w:val="index heading"/>
    <w:basedOn w:val="Normal"/>
    <w:next w:val="Index1"/>
    <w:rsid w:val="00916C3F"/>
    <w:rPr>
      <w:rFonts w:ascii="Cambria" w:hAnsi="Cambria"/>
      <w:b/>
      <w:bCs/>
    </w:rPr>
  </w:style>
  <w:style w:type="paragraph" w:styleId="IntenseQuote">
    <w:name w:val="Intense Quote"/>
    <w:basedOn w:val="Normal"/>
    <w:next w:val="Normal"/>
    <w:link w:val="IntenseQuoteChar"/>
    <w:uiPriority w:val="30"/>
    <w:qFormat/>
    <w:rsid w:val="00916C3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16C3F"/>
    <w:rPr>
      <w:b/>
      <w:bCs/>
      <w:i/>
      <w:iCs/>
      <w:color w:val="4F81BD"/>
    </w:rPr>
  </w:style>
  <w:style w:type="paragraph" w:styleId="List">
    <w:name w:val="List"/>
    <w:basedOn w:val="Normal"/>
    <w:rsid w:val="00916C3F"/>
    <w:pPr>
      <w:ind w:left="360" w:hanging="360"/>
      <w:contextualSpacing/>
    </w:pPr>
  </w:style>
  <w:style w:type="paragraph" w:styleId="List2">
    <w:name w:val="List 2"/>
    <w:basedOn w:val="Normal"/>
    <w:rsid w:val="00916C3F"/>
    <w:pPr>
      <w:ind w:left="720" w:hanging="360"/>
      <w:contextualSpacing/>
    </w:pPr>
  </w:style>
  <w:style w:type="paragraph" w:styleId="List3">
    <w:name w:val="List 3"/>
    <w:basedOn w:val="Normal"/>
    <w:rsid w:val="00916C3F"/>
    <w:pPr>
      <w:ind w:left="1080" w:hanging="360"/>
      <w:contextualSpacing/>
    </w:pPr>
  </w:style>
  <w:style w:type="paragraph" w:styleId="List4">
    <w:name w:val="List 4"/>
    <w:basedOn w:val="Normal"/>
    <w:rsid w:val="00916C3F"/>
    <w:pPr>
      <w:ind w:left="1440" w:hanging="360"/>
      <w:contextualSpacing/>
    </w:pPr>
  </w:style>
  <w:style w:type="paragraph" w:styleId="List5">
    <w:name w:val="List 5"/>
    <w:basedOn w:val="Normal"/>
    <w:rsid w:val="00916C3F"/>
    <w:pPr>
      <w:ind w:left="1800" w:hanging="360"/>
      <w:contextualSpacing/>
    </w:pPr>
  </w:style>
  <w:style w:type="paragraph" w:styleId="ListBullet">
    <w:name w:val="List Bullet"/>
    <w:basedOn w:val="Normal"/>
    <w:rsid w:val="00916C3F"/>
    <w:pPr>
      <w:numPr>
        <w:numId w:val="4"/>
      </w:numPr>
      <w:contextualSpacing/>
    </w:pPr>
  </w:style>
  <w:style w:type="paragraph" w:styleId="ListBullet2">
    <w:name w:val="List Bullet 2"/>
    <w:basedOn w:val="Normal"/>
    <w:rsid w:val="00916C3F"/>
    <w:pPr>
      <w:numPr>
        <w:numId w:val="5"/>
      </w:numPr>
      <w:contextualSpacing/>
    </w:pPr>
  </w:style>
  <w:style w:type="paragraph" w:styleId="ListBullet3">
    <w:name w:val="List Bullet 3"/>
    <w:basedOn w:val="Normal"/>
    <w:rsid w:val="00916C3F"/>
    <w:pPr>
      <w:numPr>
        <w:numId w:val="6"/>
      </w:numPr>
      <w:contextualSpacing/>
    </w:pPr>
  </w:style>
  <w:style w:type="paragraph" w:styleId="ListBullet4">
    <w:name w:val="List Bullet 4"/>
    <w:basedOn w:val="Normal"/>
    <w:rsid w:val="00916C3F"/>
    <w:pPr>
      <w:numPr>
        <w:numId w:val="7"/>
      </w:numPr>
      <w:contextualSpacing/>
    </w:pPr>
  </w:style>
  <w:style w:type="paragraph" w:styleId="ListBullet5">
    <w:name w:val="List Bullet 5"/>
    <w:basedOn w:val="Normal"/>
    <w:rsid w:val="00916C3F"/>
    <w:pPr>
      <w:numPr>
        <w:numId w:val="8"/>
      </w:numPr>
      <w:contextualSpacing/>
    </w:pPr>
  </w:style>
  <w:style w:type="paragraph" w:styleId="ListContinue">
    <w:name w:val="List Continue"/>
    <w:basedOn w:val="Normal"/>
    <w:rsid w:val="00916C3F"/>
    <w:pPr>
      <w:spacing w:after="120"/>
      <w:ind w:left="360"/>
      <w:contextualSpacing/>
    </w:pPr>
  </w:style>
  <w:style w:type="paragraph" w:styleId="ListContinue2">
    <w:name w:val="List Continue 2"/>
    <w:basedOn w:val="Normal"/>
    <w:rsid w:val="00916C3F"/>
    <w:pPr>
      <w:spacing w:after="120"/>
      <w:ind w:left="720"/>
      <w:contextualSpacing/>
    </w:pPr>
  </w:style>
  <w:style w:type="paragraph" w:styleId="ListContinue3">
    <w:name w:val="List Continue 3"/>
    <w:basedOn w:val="Normal"/>
    <w:rsid w:val="00916C3F"/>
    <w:pPr>
      <w:spacing w:after="120"/>
      <w:ind w:left="1080"/>
      <w:contextualSpacing/>
    </w:pPr>
  </w:style>
  <w:style w:type="paragraph" w:styleId="ListContinue4">
    <w:name w:val="List Continue 4"/>
    <w:basedOn w:val="Normal"/>
    <w:rsid w:val="00916C3F"/>
    <w:pPr>
      <w:spacing w:after="120"/>
      <w:ind w:left="1440"/>
      <w:contextualSpacing/>
    </w:pPr>
  </w:style>
  <w:style w:type="paragraph" w:styleId="ListContinue5">
    <w:name w:val="List Continue 5"/>
    <w:basedOn w:val="Normal"/>
    <w:rsid w:val="00916C3F"/>
    <w:pPr>
      <w:spacing w:after="120"/>
      <w:ind w:left="1800"/>
      <w:contextualSpacing/>
    </w:pPr>
  </w:style>
  <w:style w:type="paragraph" w:styleId="ListNumber">
    <w:name w:val="List Number"/>
    <w:basedOn w:val="Normal"/>
    <w:rsid w:val="00916C3F"/>
    <w:pPr>
      <w:numPr>
        <w:numId w:val="9"/>
      </w:numPr>
      <w:contextualSpacing/>
    </w:pPr>
  </w:style>
  <w:style w:type="paragraph" w:styleId="ListNumber2">
    <w:name w:val="List Number 2"/>
    <w:basedOn w:val="Normal"/>
    <w:rsid w:val="00916C3F"/>
    <w:pPr>
      <w:numPr>
        <w:numId w:val="10"/>
      </w:numPr>
      <w:contextualSpacing/>
    </w:pPr>
  </w:style>
  <w:style w:type="paragraph" w:styleId="ListNumber3">
    <w:name w:val="List Number 3"/>
    <w:basedOn w:val="Normal"/>
    <w:rsid w:val="00916C3F"/>
    <w:pPr>
      <w:numPr>
        <w:numId w:val="11"/>
      </w:numPr>
      <w:contextualSpacing/>
    </w:pPr>
  </w:style>
  <w:style w:type="paragraph" w:styleId="ListNumber4">
    <w:name w:val="List Number 4"/>
    <w:basedOn w:val="Normal"/>
    <w:rsid w:val="00916C3F"/>
    <w:pPr>
      <w:numPr>
        <w:numId w:val="12"/>
      </w:numPr>
      <w:contextualSpacing/>
    </w:pPr>
  </w:style>
  <w:style w:type="paragraph" w:styleId="ListNumber5">
    <w:name w:val="List Number 5"/>
    <w:basedOn w:val="Normal"/>
    <w:rsid w:val="00916C3F"/>
    <w:pPr>
      <w:numPr>
        <w:numId w:val="13"/>
      </w:numPr>
      <w:contextualSpacing/>
    </w:pPr>
  </w:style>
  <w:style w:type="paragraph" w:styleId="MacroText">
    <w:name w:val="macro"/>
    <w:link w:val="MacroTextChar"/>
    <w:rsid w:val="00916C3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basedOn w:val="DefaultParagraphFont"/>
    <w:link w:val="MacroText"/>
    <w:rsid w:val="00916C3F"/>
    <w:rPr>
      <w:rFonts w:ascii="Courier New" w:hAnsi="Courier New" w:cs="Courier New"/>
      <w:lang w:val="en-US" w:eastAsia="en-US" w:bidi="ar-SA"/>
    </w:rPr>
  </w:style>
  <w:style w:type="paragraph" w:styleId="MessageHeader">
    <w:name w:val="Message Header"/>
    <w:basedOn w:val="Normal"/>
    <w:link w:val="MessageHeaderChar"/>
    <w:rsid w:val="00916C3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sid w:val="00916C3F"/>
    <w:rPr>
      <w:rFonts w:ascii="Cambria" w:eastAsia="Times New Roman" w:hAnsi="Cambria" w:cs="Times New Roman"/>
      <w:sz w:val="24"/>
      <w:szCs w:val="24"/>
      <w:shd w:val="pct20" w:color="auto" w:fill="auto"/>
    </w:rPr>
  </w:style>
  <w:style w:type="paragraph" w:styleId="NoSpacing">
    <w:name w:val="No Spacing"/>
    <w:uiPriority w:val="1"/>
    <w:qFormat/>
    <w:rsid w:val="00916C3F"/>
    <w:pPr>
      <w:widowControl w:val="0"/>
      <w:autoSpaceDE w:val="0"/>
      <w:autoSpaceDN w:val="0"/>
      <w:adjustRightInd w:val="0"/>
    </w:pPr>
  </w:style>
  <w:style w:type="paragraph" w:styleId="NormalWeb">
    <w:name w:val="Normal (Web)"/>
    <w:basedOn w:val="Normal"/>
    <w:rsid w:val="00916C3F"/>
    <w:rPr>
      <w:sz w:val="24"/>
      <w:szCs w:val="24"/>
    </w:rPr>
  </w:style>
  <w:style w:type="paragraph" w:styleId="NormalIndent">
    <w:name w:val="Normal Indent"/>
    <w:basedOn w:val="Normal"/>
    <w:rsid w:val="00916C3F"/>
    <w:pPr>
      <w:ind w:left="720"/>
    </w:pPr>
  </w:style>
  <w:style w:type="paragraph" w:styleId="NoteHeading">
    <w:name w:val="Note Heading"/>
    <w:basedOn w:val="Normal"/>
    <w:next w:val="Normal"/>
    <w:link w:val="NoteHeadingChar"/>
    <w:rsid w:val="00916C3F"/>
  </w:style>
  <w:style w:type="character" w:customStyle="1" w:styleId="NoteHeadingChar">
    <w:name w:val="Note Heading Char"/>
    <w:basedOn w:val="DefaultParagraphFont"/>
    <w:link w:val="NoteHeading"/>
    <w:rsid w:val="00916C3F"/>
  </w:style>
  <w:style w:type="paragraph" w:styleId="PlainText">
    <w:name w:val="Plain Text"/>
    <w:basedOn w:val="Normal"/>
    <w:link w:val="PlainTextChar"/>
    <w:rsid w:val="00916C3F"/>
    <w:rPr>
      <w:rFonts w:ascii="Courier New" w:hAnsi="Courier New" w:cs="Courier New"/>
    </w:rPr>
  </w:style>
  <w:style w:type="character" w:customStyle="1" w:styleId="PlainTextChar">
    <w:name w:val="Plain Text Char"/>
    <w:basedOn w:val="DefaultParagraphFont"/>
    <w:link w:val="PlainText"/>
    <w:rsid w:val="00916C3F"/>
    <w:rPr>
      <w:rFonts w:ascii="Courier New" w:hAnsi="Courier New" w:cs="Courier New"/>
    </w:rPr>
  </w:style>
  <w:style w:type="paragraph" w:styleId="Quote">
    <w:name w:val="Quote"/>
    <w:basedOn w:val="Normal"/>
    <w:next w:val="Normal"/>
    <w:link w:val="QuoteChar"/>
    <w:uiPriority w:val="29"/>
    <w:qFormat/>
    <w:rsid w:val="00916C3F"/>
    <w:rPr>
      <w:i/>
      <w:iCs/>
      <w:color w:val="000000"/>
    </w:rPr>
  </w:style>
  <w:style w:type="character" w:customStyle="1" w:styleId="QuoteChar">
    <w:name w:val="Quote Char"/>
    <w:basedOn w:val="DefaultParagraphFont"/>
    <w:link w:val="Quote"/>
    <w:uiPriority w:val="29"/>
    <w:rsid w:val="00916C3F"/>
    <w:rPr>
      <w:i/>
      <w:iCs/>
      <w:color w:val="000000"/>
    </w:rPr>
  </w:style>
  <w:style w:type="paragraph" w:styleId="Salutation">
    <w:name w:val="Salutation"/>
    <w:basedOn w:val="Normal"/>
    <w:next w:val="Normal"/>
    <w:link w:val="SalutationChar"/>
    <w:rsid w:val="00916C3F"/>
  </w:style>
  <w:style w:type="character" w:customStyle="1" w:styleId="SalutationChar">
    <w:name w:val="Salutation Char"/>
    <w:basedOn w:val="DefaultParagraphFont"/>
    <w:link w:val="Salutation"/>
    <w:rsid w:val="00916C3F"/>
  </w:style>
  <w:style w:type="paragraph" w:styleId="Signature">
    <w:name w:val="Signature"/>
    <w:basedOn w:val="Normal"/>
    <w:link w:val="SignatureChar"/>
    <w:rsid w:val="00916C3F"/>
    <w:pPr>
      <w:ind w:left="4320"/>
    </w:pPr>
  </w:style>
  <w:style w:type="character" w:customStyle="1" w:styleId="SignatureChar">
    <w:name w:val="Signature Char"/>
    <w:basedOn w:val="DefaultParagraphFont"/>
    <w:link w:val="Signature"/>
    <w:rsid w:val="00916C3F"/>
  </w:style>
  <w:style w:type="paragraph" w:styleId="Subtitle">
    <w:name w:val="Subtitle"/>
    <w:basedOn w:val="Normal"/>
    <w:next w:val="Normal"/>
    <w:link w:val="SubtitleChar"/>
    <w:qFormat/>
    <w:rsid w:val="00916C3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16C3F"/>
    <w:rPr>
      <w:rFonts w:ascii="Cambria" w:eastAsia="Times New Roman" w:hAnsi="Cambria" w:cs="Times New Roman"/>
      <w:sz w:val="24"/>
      <w:szCs w:val="24"/>
    </w:rPr>
  </w:style>
  <w:style w:type="paragraph" w:styleId="TableofAuthorities">
    <w:name w:val="table of authorities"/>
    <w:basedOn w:val="Normal"/>
    <w:next w:val="Normal"/>
    <w:rsid w:val="00916C3F"/>
    <w:pPr>
      <w:ind w:left="200" w:hanging="200"/>
    </w:pPr>
  </w:style>
  <w:style w:type="paragraph" w:styleId="TableofFigures">
    <w:name w:val="table of figures"/>
    <w:basedOn w:val="Normal"/>
    <w:next w:val="Normal"/>
    <w:rsid w:val="00916C3F"/>
  </w:style>
  <w:style w:type="paragraph" w:styleId="Title">
    <w:name w:val="Title"/>
    <w:basedOn w:val="Normal"/>
    <w:next w:val="Normal"/>
    <w:link w:val="TitleChar"/>
    <w:qFormat/>
    <w:rsid w:val="00916C3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16C3F"/>
    <w:rPr>
      <w:rFonts w:ascii="Cambria" w:eastAsia="Times New Roman" w:hAnsi="Cambria" w:cs="Times New Roman"/>
      <w:b/>
      <w:bCs/>
      <w:kern w:val="28"/>
      <w:sz w:val="32"/>
      <w:szCs w:val="32"/>
    </w:rPr>
  </w:style>
  <w:style w:type="paragraph" w:styleId="TOAHeading">
    <w:name w:val="toa heading"/>
    <w:basedOn w:val="Normal"/>
    <w:next w:val="Normal"/>
    <w:rsid w:val="00916C3F"/>
    <w:pPr>
      <w:spacing w:before="120"/>
    </w:pPr>
    <w:rPr>
      <w:rFonts w:ascii="Cambria" w:hAnsi="Cambria"/>
      <w:b/>
      <w:bCs/>
      <w:sz w:val="24"/>
      <w:szCs w:val="24"/>
    </w:rPr>
  </w:style>
  <w:style w:type="paragraph" w:styleId="TOC1">
    <w:name w:val="toc 1"/>
    <w:basedOn w:val="Normal"/>
    <w:next w:val="Normal"/>
    <w:autoRedefine/>
    <w:rsid w:val="00916C3F"/>
  </w:style>
  <w:style w:type="paragraph" w:styleId="TOC2">
    <w:name w:val="toc 2"/>
    <w:basedOn w:val="Normal"/>
    <w:next w:val="Normal"/>
    <w:autoRedefine/>
    <w:rsid w:val="00916C3F"/>
    <w:pPr>
      <w:ind w:left="200"/>
    </w:pPr>
  </w:style>
  <w:style w:type="paragraph" w:styleId="TOC3">
    <w:name w:val="toc 3"/>
    <w:basedOn w:val="Normal"/>
    <w:next w:val="Normal"/>
    <w:autoRedefine/>
    <w:rsid w:val="00916C3F"/>
    <w:pPr>
      <w:ind w:left="400"/>
    </w:pPr>
  </w:style>
  <w:style w:type="paragraph" w:styleId="TOC4">
    <w:name w:val="toc 4"/>
    <w:basedOn w:val="Normal"/>
    <w:next w:val="Normal"/>
    <w:autoRedefine/>
    <w:rsid w:val="00916C3F"/>
    <w:pPr>
      <w:ind w:left="600"/>
    </w:pPr>
  </w:style>
  <w:style w:type="paragraph" w:styleId="TOC5">
    <w:name w:val="toc 5"/>
    <w:basedOn w:val="Normal"/>
    <w:next w:val="Normal"/>
    <w:autoRedefine/>
    <w:rsid w:val="00916C3F"/>
    <w:pPr>
      <w:ind w:left="800"/>
    </w:pPr>
  </w:style>
  <w:style w:type="paragraph" w:styleId="TOC6">
    <w:name w:val="toc 6"/>
    <w:basedOn w:val="Normal"/>
    <w:next w:val="Normal"/>
    <w:autoRedefine/>
    <w:rsid w:val="00916C3F"/>
    <w:pPr>
      <w:ind w:left="1000"/>
    </w:pPr>
  </w:style>
  <w:style w:type="paragraph" w:styleId="TOC7">
    <w:name w:val="toc 7"/>
    <w:basedOn w:val="Normal"/>
    <w:next w:val="Normal"/>
    <w:autoRedefine/>
    <w:rsid w:val="00916C3F"/>
    <w:pPr>
      <w:ind w:left="1200"/>
    </w:pPr>
  </w:style>
  <w:style w:type="paragraph" w:styleId="TOC8">
    <w:name w:val="toc 8"/>
    <w:basedOn w:val="Normal"/>
    <w:next w:val="Normal"/>
    <w:autoRedefine/>
    <w:rsid w:val="00916C3F"/>
    <w:pPr>
      <w:ind w:left="1400"/>
    </w:pPr>
  </w:style>
  <w:style w:type="paragraph" w:styleId="TOC9">
    <w:name w:val="toc 9"/>
    <w:basedOn w:val="Normal"/>
    <w:next w:val="Normal"/>
    <w:autoRedefine/>
    <w:rsid w:val="00916C3F"/>
    <w:pPr>
      <w:ind w:left="1600"/>
    </w:pPr>
  </w:style>
  <w:style w:type="paragraph" w:styleId="TOCHeading">
    <w:name w:val="TOC Heading"/>
    <w:basedOn w:val="Heading1"/>
    <w:next w:val="Normal"/>
    <w:uiPriority w:val="39"/>
    <w:semiHidden/>
    <w:unhideWhenUsed/>
    <w:qFormat/>
    <w:rsid w:val="00916C3F"/>
    <w:pPr>
      <w:outlineLvl w:val="9"/>
    </w:pPr>
  </w:style>
  <w:style w:type="character" w:customStyle="1" w:styleId="defaultlabelstyle">
    <w:name w:val="defaultlabelstyle"/>
    <w:basedOn w:val="DefaultParagraphFont"/>
    <w:rsid w:val="000D35A9"/>
  </w:style>
  <w:style w:type="paragraph" w:styleId="Revision">
    <w:name w:val="Revision"/>
    <w:hidden/>
    <w:uiPriority w:val="99"/>
    <w:semiHidden/>
    <w:rsid w:val="00136227"/>
  </w:style>
</w:styles>
</file>

<file path=word/webSettings.xml><?xml version="1.0" encoding="utf-8"?>
<w:webSettings xmlns:r="http://schemas.openxmlformats.org/officeDocument/2006/relationships" xmlns:w="http://schemas.openxmlformats.org/wordprocessingml/2006/main">
  <w:divs>
    <w:div w:id="11031142">
      <w:bodyDiv w:val="1"/>
      <w:marLeft w:val="0"/>
      <w:marRight w:val="0"/>
      <w:marTop w:val="0"/>
      <w:marBottom w:val="0"/>
      <w:divBdr>
        <w:top w:val="none" w:sz="0" w:space="0" w:color="auto"/>
        <w:left w:val="none" w:sz="0" w:space="0" w:color="auto"/>
        <w:bottom w:val="none" w:sz="0" w:space="0" w:color="auto"/>
        <w:right w:val="none" w:sz="0" w:space="0" w:color="auto"/>
      </w:divBdr>
    </w:div>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173956864">
      <w:bodyDiv w:val="1"/>
      <w:marLeft w:val="0"/>
      <w:marRight w:val="0"/>
      <w:marTop w:val="0"/>
      <w:marBottom w:val="0"/>
      <w:divBdr>
        <w:top w:val="none" w:sz="0" w:space="0" w:color="auto"/>
        <w:left w:val="none" w:sz="0" w:space="0" w:color="auto"/>
        <w:bottom w:val="none" w:sz="0" w:space="0" w:color="auto"/>
        <w:right w:val="none" w:sz="0" w:space="0" w:color="auto"/>
      </w:divBdr>
    </w:div>
    <w:div w:id="377516785">
      <w:bodyDiv w:val="1"/>
      <w:marLeft w:val="0"/>
      <w:marRight w:val="0"/>
      <w:marTop w:val="0"/>
      <w:marBottom w:val="0"/>
      <w:divBdr>
        <w:top w:val="none" w:sz="0" w:space="0" w:color="auto"/>
        <w:left w:val="none" w:sz="0" w:space="0" w:color="auto"/>
        <w:bottom w:val="none" w:sz="0" w:space="0" w:color="auto"/>
        <w:right w:val="none" w:sz="0" w:space="0" w:color="auto"/>
      </w:divBdr>
    </w:div>
    <w:div w:id="398136023">
      <w:bodyDiv w:val="1"/>
      <w:marLeft w:val="0"/>
      <w:marRight w:val="0"/>
      <w:marTop w:val="0"/>
      <w:marBottom w:val="0"/>
      <w:divBdr>
        <w:top w:val="none" w:sz="0" w:space="0" w:color="auto"/>
        <w:left w:val="none" w:sz="0" w:space="0" w:color="auto"/>
        <w:bottom w:val="none" w:sz="0" w:space="0" w:color="auto"/>
        <w:right w:val="none" w:sz="0" w:space="0" w:color="auto"/>
      </w:divBdr>
    </w:div>
    <w:div w:id="435028643">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98890366">
      <w:bodyDiv w:val="1"/>
      <w:marLeft w:val="0"/>
      <w:marRight w:val="0"/>
      <w:marTop w:val="0"/>
      <w:marBottom w:val="0"/>
      <w:divBdr>
        <w:top w:val="none" w:sz="0" w:space="0" w:color="auto"/>
        <w:left w:val="none" w:sz="0" w:space="0" w:color="auto"/>
        <w:bottom w:val="none" w:sz="0" w:space="0" w:color="auto"/>
        <w:right w:val="none" w:sz="0" w:space="0" w:color="auto"/>
      </w:divBdr>
    </w:div>
    <w:div w:id="601031816">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42080538">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695275918">
      <w:bodyDiv w:val="1"/>
      <w:marLeft w:val="0"/>
      <w:marRight w:val="0"/>
      <w:marTop w:val="0"/>
      <w:marBottom w:val="0"/>
      <w:divBdr>
        <w:top w:val="none" w:sz="0" w:space="0" w:color="auto"/>
        <w:left w:val="none" w:sz="0" w:space="0" w:color="auto"/>
        <w:bottom w:val="none" w:sz="0" w:space="0" w:color="auto"/>
        <w:right w:val="none" w:sz="0" w:space="0" w:color="auto"/>
      </w:divBdr>
    </w:div>
    <w:div w:id="804811337">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957175093">
      <w:bodyDiv w:val="1"/>
      <w:marLeft w:val="0"/>
      <w:marRight w:val="0"/>
      <w:marTop w:val="0"/>
      <w:marBottom w:val="0"/>
      <w:divBdr>
        <w:top w:val="none" w:sz="0" w:space="0" w:color="auto"/>
        <w:left w:val="none" w:sz="0" w:space="0" w:color="auto"/>
        <w:bottom w:val="none" w:sz="0" w:space="0" w:color="auto"/>
        <w:right w:val="none" w:sz="0" w:space="0" w:color="auto"/>
      </w:divBdr>
    </w:div>
    <w:div w:id="970015127">
      <w:bodyDiv w:val="1"/>
      <w:marLeft w:val="0"/>
      <w:marRight w:val="0"/>
      <w:marTop w:val="0"/>
      <w:marBottom w:val="0"/>
      <w:divBdr>
        <w:top w:val="none" w:sz="0" w:space="0" w:color="auto"/>
        <w:left w:val="none" w:sz="0" w:space="0" w:color="auto"/>
        <w:bottom w:val="none" w:sz="0" w:space="0" w:color="auto"/>
        <w:right w:val="none" w:sz="0" w:space="0" w:color="auto"/>
      </w:divBdr>
    </w:div>
    <w:div w:id="983385803">
      <w:bodyDiv w:val="1"/>
      <w:marLeft w:val="0"/>
      <w:marRight w:val="0"/>
      <w:marTop w:val="0"/>
      <w:marBottom w:val="0"/>
      <w:divBdr>
        <w:top w:val="none" w:sz="0" w:space="0" w:color="auto"/>
        <w:left w:val="none" w:sz="0" w:space="0" w:color="auto"/>
        <w:bottom w:val="none" w:sz="0" w:space="0" w:color="auto"/>
        <w:right w:val="none" w:sz="0" w:space="0" w:color="auto"/>
      </w:divBdr>
    </w:div>
    <w:div w:id="1090270561">
      <w:bodyDiv w:val="1"/>
      <w:marLeft w:val="0"/>
      <w:marRight w:val="0"/>
      <w:marTop w:val="0"/>
      <w:marBottom w:val="0"/>
      <w:divBdr>
        <w:top w:val="none" w:sz="0" w:space="0" w:color="auto"/>
        <w:left w:val="none" w:sz="0" w:space="0" w:color="auto"/>
        <w:bottom w:val="none" w:sz="0" w:space="0" w:color="auto"/>
        <w:right w:val="none" w:sz="0" w:space="0" w:color="auto"/>
      </w:divBdr>
    </w:div>
    <w:div w:id="1092815938">
      <w:bodyDiv w:val="1"/>
      <w:marLeft w:val="0"/>
      <w:marRight w:val="0"/>
      <w:marTop w:val="0"/>
      <w:marBottom w:val="0"/>
      <w:divBdr>
        <w:top w:val="none" w:sz="0" w:space="0" w:color="auto"/>
        <w:left w:val="none" w:sz="0" w:space="0" w:color="auto"/>
        <w:bottom w:val="none" w:sz="0" w:space="0" w:color="auto"/>
        <w:right w:val="none" w:sz="0" w:space="0" w:color="auto"/>
      </w:divBdr>
    </w:div>
    <w:div w:id="1216576732">
      <w:bodyDiv w:val="1"/>
      <w:marLeft w:val="0"/>
      <w:marRight w:val="0"/>
      <w:marTop w:val="0"/>
      <w:marBottom w:val="0"/>
      <w:divBdr>
        <w:top w:val="none" w:sz="0" w:space="0" w:color="auto"/>
        <w:left w:val="none" w:sz="0" w:space="0" w:color="auto"/>
        <w:bottom w:val="none" w:sz="0" w:space="0" w:color="auto"/>
        <w:right w:val="none" w:sz="0" w:space="0" w:color="auto"/>
      </w:divBdr>
    </w:div>
    <w:div w:id="1236941156">
      <w:bodyDiv w:val="1"/>
      <w:marLeft w:val="0"/>
      <w:marRight w:val="0"/>
      <w:marTop w:val="0"/>
      <w:marBottom w:val="0"/>
      <w:divBdr>
        <w:top w:val="none" w:sz="0" w:space="0" w:color="auto"/>
        <w:left w:val="none" w:sz="0" w:space="0" w:color="auto"/>
        <w:bottom w:val="none" w:sz="0" w:space="0" w:color="auto"/>
        <w:right w:val="none" w:sz="0" w:space="0" w:color="auto"/>
      </w:divBdr>
    </w:div>
    <w:div w:id="1367297442">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494686375">
      <w:bodyDiv w:val="1"/>
      <w:marLeft w:val="0"/>
      <w:marRight w:val="0"/>
      <w:marTop w:val="0"/>
      <w:marBottom w:val="0"/>
      <w:divBdr>
        <w:top w:val="none" w:sz="0" w:space="0" w:color="auto"/>
        <w:left w:val="none" w:sz="0" w:space="0" w:color="auto"/>
        <w:bottom w:val="none" w:sz="0" w:space="0" w:color="auto"/>
        <w:right w:val="none" w:sz="0" w:space="0" w:color="auto"/>
      </w:divBdr>
    </w:div>
    <w:div w:id="1531383173">
      <w:bodyDiv w:val="1"/>
      <w:marLeft w:val="0"/>
      <w:marRight w:val="0"/>
      <w:marTop w:val="0"/>
      <w:marBottom w:val="0"/>
      <w:divBdr>
        <w:top w:val="none" w:sz="0" w:space="0" w:color="auto"/>
        <w:left w:val="none" w:sz="0" w:space="0" w:color="auto"/>
        <w:bottom w:val="none" w:sz="0" w:space="0" w:color="auto"/>
        <w:right w:val="none" w:sz="0" w:space="0" w:color="auto"/>
      </w:divBdr>
    </w:div>
    <w:div w:id="1586186151">
      <w:bodyDiv w:val="1"/>
      <w:marLeft w:val="0"/>
      <w:marRight w:val="0"/>
      <w:marTop w:val="0"/>
      <w:marBottom w:val="0"/>
      <w:divBdr>
        <w:top w:val="none" w:sz="0" w:space="0" w:color="auto"/>
        <w:left w:val="none" w:sz="0" w:space="0" w:color="auto"/>
        <w:bottom w:val="none" w:sz="0" w:space="0" w:color="auto"/>
        <w:right w:val="none" w:sz="0" w:space="0" w:color="auto"/>
      </w:divBdr>
    </w:div>
    <w:div w:id="1634553866">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785148705">
      <w:bodyDiv w:val="1"/>
      <w:marLeft w:val="0"/>
      <w:marRight w:val="0"/>
      <w:marTop w:val="0"/>
      <w:marBottom w:val="0"/>
      <w:divBdr>
        <w:top w:val="none" w:sz="0" w:space="0" w:color="auto"/>
        <w:left w:val="none" w:sz="0" w:space="0" w:color="auto"/>
        <w:bottom w:val="none" w:sz="0" w:space="0" w:color="auto"/>
        <w:right w:val="none" w:sz="0" w:space="0" w:color="auto"/>
      </w:divBdr>
    </w:div>
    <w:div w:id="1785266219">
      <w:bodyDiv w:val="1"/>
      <w:marLeft w:val="0"/>
      <w:marRight w:val="0"/>
      <w:marTop w:val="0"/>
      <w:marBottom w:val="0"/>
      <w:divBdr>
        <w:top w:val="none" w:sz="0" w:space="0" w:color="auto"/>
        <w:left w:val="none" w:sz="0" w:space="0" w:color="auto"/>
        <w:bottom w:val="none" w:sz="0" w:space="0" w:color="auto"/>
        <w:right w:val="none" w:sz="0" w:space="0" w:color="auto"/>
      </w:divBdr>
    </w:div>
    <w:div w:id="1830755717">
      <w:bodyDiv w:val="1"/>
      <w:marLeft w:val="0"/>
      <w:marRight w:val="0"/>
      <w:marTop w:val="0"/>
      <w:marBottom w:val="0"/>
      <w:divBdr>
        <w:top w:val="none" w:sz="0" w:space="0" w:color="auto"/>
        <w:left w:val="none" w:sz="0" w:space="0" w:color="auto"/>
        <w:bottom w:val="none" w:sz="0" w:space="0" w:color="auto"/>
        <w:right w:val="none" w:sz="0" w:space="0" w:color="auto"/>
      </w:divBdr>
    </w:div>
    <w:div w:id="1877309077">
      <w:bodyDiv w:val="1"/>
      <w:marLeft w:val="0"/>
      <w:marRight w:val="0"/>
      <w:marTop w:val="0"/>
      <w:marBottom w:val="0"/>
      <w:divBdr>
        <w:top w:val="none" w:sz="0" w:space="0" w:color="auto"/>
        <w:left w:val="none" w:sz="0" w:space="0" w:color="auto"/>
        <w:bottom w:val="none" w:sz="0" w:space="0" w:color="auto"/>
        <w:right w:val="none" w:sz="0" w:space="0" w:color="auto"/>
      </w:divBdr>
    </w:div>
    <w:div w:id="2052610508">
      <w:bodyDiv w:val="1"/>
      <w:marLeft w:val="0"/>
      <w:marRight w:val="0"/>
      <w:marTop w:val="0"/>
      <w:marBottom w:val="0"/>
      <w:divBdr>
        <w:top w:val="none" w:sz="0" w:space="0" w:color="auto"/>
        <w:left w:val="none" w:sz="0" w:space="0" w:color="auto"/>
        <w:bottom w:val="none" w:sz="0" w:space="0" w:color="auto"/>
        <w:right w:val="none" w:sz="0" w:space="0" w:color="auto"/>
      </w:divBdr>
    </w:div>
    <w:div w:id="21227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E0B0F-2821-458E-BBF5-296CC363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5158</Words>
  <Characters>29407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34497</CharactersWithSpaces>
  <SharedDoc>false</SharedDoc>
  <HLinks>
    <vt:vector size="12" baseType="variant">
      <vt:variant>
        <vt:i4>262217</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Marvin Branscome</dc:creator>
  <cp:lastModifiedBy>Nick Parsons</cp:lastModifiedBy>
  <cp:revision>9</cp:revision>
  <cp:lastPrinted>2011-10-11T20:56:00Z</cp:lastPrinted>
  <dcterms:created xsi:type="dcterms:W3CDTF">2014-01-21T19:08:00Z</dcterms:created>
  <dcterms:modified xsi:type="dcterms:W3CDTF">2014-01-21T21:01:00Z</dcterms:modified>
</cp:coreProperties>
</file>