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ADE" w:rsidRDefault="00384ADE" w:rsidP="00245028">
      <w:pPr>
        <w:widowControl/>
        <w:jc w:val="center"/>
        <w:rPr>
          <w:b/>
          <w:sz w:val="24"/>
        </w:rPr>
      </w:pPr>
      <w:bookmarkStart w:id="0" w:name="_GoBack"/>
      <w:bookmarkEnd w:id="0"/>
      <w:r>
        <w:rPr>
          <w:b/>
          <w:sz w:val="24"/>
        </w:rPr>
        <w:t>Department of Transportation</w:t>
      </w:r>
    </w:p>
    <w:p w:rsidR="00384ADE" w:rsidRDefault="00384ADE" w:rsidP="00245028">
      <w:pPr>
        <w:widowControl/>
        <w:jc w:val="center"/>
        <w:rPr>
          <w:b/>
          <w:sz w:val="24"/>
        </w:rPr>
      </w:pPr>
      <w:r>
        <w:rPr>
          <w:b/>
          <w:sz w:val="24"/>
        </w:rPr>
        <w:t>Office of the Chief Information Officer</w:t>
      </w:r>
    </w:p>
    <w:p w:rsidR="00384ADE" w:rsidRDefault="00384ADE" w:rsidP="00245028">
      <w:pPr>
        <w:widowControl/>
        <w:jc w:val="center"/>
        <w:rPr>
          <w:b/>
          <w:sz w:val="24"/>
        </w:rPr>
      </w:pPr>
    </w:p>
    <w:p w:rsidR="002D786C" w:rsidRPr="002D786C" w:rsidRDefault="00384ADE" w:rsidP="00245028">
      <w:pPr>
        <w:widowControl/>
        <w:jc w:val="center"/>
        <w:rPr>
          <w:b/>
          <w:sz w:val="24"/>
        </w:rPr>
      </w:pPr>
      <w:r>
        <w:rPr>
          <w:b/>
          <w:sz w:val="24"/>
        </w:rPr>
        <w:t>SUPPORTING STATEMENT</w:t>
      </w:r>
    </w:p>
    <w:p w:rsidR="002D786C" w:rsidRPr="002D786C" w:rsidRDefault="00DB218E" w:rsidP="00245028">
      <w:pPr>
        <w:widowControl/>
        <w:jc w:val="center"/>
        <w:rPr>
          <w:b/>
          <w:sz w:val="24"/>
        </w:rPr>
      </w:pPr>
      <w:r>
        <w:rPr>
          <w:b/>
          <w:sz w:val="24"/>
        </w:rPr>
        <w:t>Lease and Interchange of Vehicles</w:t>
      </w:r>
    </w:p>
    <w:p w:rsidR="002D786C" w:rsidRPr="002D786C" w:rsidRDefault="002D786C" w:rsidP="00245028">
      <w:pPr>
        <w:widowControl/>
        <w:jc w:val="center"/>
        <w:rPr>
          <w:b/>
          <w:sz w:val="24"/>
        </w:rPr>
      </w:pPr>
    </w:p>
    <w:p w:rsidR="002D786C" w:rsidRDefault="002D786C" w:rsidP="00245028">
      <w:pPr>
        <w:widowControl/>
        <w:rPr>
          <w:sz w:val="24"/>
        </w:rPr>
      </w:pPr>
    </w:p>
    <w:p w:rsidR="002D786C" w:rsidRDefault="00661617" w:rsidP="00245028">
      <w:pPr>
        <w:widowControl/>
        <w:rPr>
          <w:sz w:val="24"/>
        </w:rPr>
      </w:pPr>
      <w:r w:rsidRPr="00171E27">
        <w:rPr>
          <w:b/>
          <w:sz w:val="24"/>
        </w:rPr>
        <w:t>INTRODUCTION</w:t>
      </w:r>
      <w:r w:rsidR="00ED622E" w:rsidRPr="00171E27">
        <w:rPr>
          <w:b/>
          <w:sz w:val="24"/>
        </w:rPr>
        <w:t>:</w:t>
      </w:r>
      <w:r w:rsidR="00ED622E">
        <w:rPr>
          <w:sz w:val="24"/>
        </w:rPr>
        <w:t xml:space="preserve">  </w:t>
      </w:r>
      <w:r w:rsidR="001B2927" w:rsidRPr="001B2927">
        <w:rPr>
          <w:sz w:val="24"/>
        </w:rPr>
        <w:t>This is to request the Office of Management and Budget’s (OMB) approval of a new information collection request (ICR) entitled, “</w:t>
      </w:r>
      <w:r w:rsidR="001B2927">
        <w:rPr>
          <w:sz w:val="24"/>
        </w:rPr>
        <w:t>Lease and Interchange of Vehicles,</w:t>
      </w:r>
      <w:r w:rsidR="001B2927" w:rsidRPr="001B2927">
        <w:rPr>
          <w:sz w:val="24"/>
        </w:rPr>
        <w:t>”</w:t>
      </w:r>
      <w:r w:rsidR="008E46CB">
        <w:rPr>
          <w:sz w:val="24"/>
        </w:rPr>
        <w:t xml:space="preserve"> w</w:t>
      </w:r>
      <w:r w:rsidR="001B2927">
        <w:rPr>
          <w:sz w:val="24"/>
        </w:rPr>
        <w:t>hich will enable</w:t>
      </w:r>
      <w:r w:rsidR="00CB31CD">
        <w:rPr>
          <w:sz w:val="24"/>
        </w:rPr>
        <w:t xml:space="preserve"> the Federal Motor Carrier Safety Administration (FMCSA) </w:t>
      </w:r>
      <w:r w:rsidR="001B2927">
        <w:rPr>
          <w:sz w:val="24"/>
        </w:rPr>
        <w:t xml:space="preserve">to </w:t>
      </w:r>
      <w:r w:rsidR="001A5631">
        <w:rPr>
          <w:sz w:val="24"/>
        </w:rPr>
        <w:t xml:space="preserve">document the burden associated with the former ICC regulations now codified in 49 CFR </w:t>
      </w:r>
      <w:r w:rsidR="00281936">
        <w:rPr>
          <w:sz w:val="24"/>
        </w:rPr>
        <w:t>p</w:t>
      </w:r>
      <w:r w:rsidR="001A5631">
        <w:rPr>
          <w:sz w:val="24"/>
        </w:rPr>
        <w:t>art 376</w:t>
      </w:r>
      <w:r w:rsidR="00C241F8">
        <w:rPr>
          <w:sz w:val="24"/>
        </w:rPr>
        <w:t>, “Lease and Interchange of Vehicles</w:t>
      </w:r>
      <w:r w:rsidR="00833715">
        <w:rPr>
          <w:sz w:val="24"/>
        </w:rPr>
        <w:t>,</w:t>
      </w:r>
      <w:r w:rsidR="00C241F8">
        <w:rPr>
          <w:sz w:val="24"/>
        </w:rPr>
        <w:t>”</w:t>
      </w:r>
      <w:r w:rsidR="00833715">
        <w:rPr>
          <w:sz w:val="24"/>
        </w:rPr>
        <w:t>(Attachment 1)</w:t>
      </w:r>
      <w:r w:rsidR="00D02B53">
        <w:rPr>
          <w:sz w:val="24"/>
        </w:rPr>
        <w:t>.</w:t>
      </w:r>
      <w:r w:rsidR="001A5631">
        <w:rPr>
          <w:sz w:val="24"/>
        </w:rPr>
        <w:t xml:space="preserve">  These regulations require certain </w:t>
      </w:r>
      <w:r w:rsidR="008A33F5">
        <w:rPr>
          <w:sz w:val="24"/>
        </w:rPr>
        <w:t xml:space="preserve">for-hire </w:t>
      </w:r>
      <w:r w:rsidR="001A5631">
        <w:rPr>
          <w:sz w:val="24"/>
        </w:rPr>
        <w:t>motor carriers to have a formal lease when leasing equipment</w:t>
      </w:r>
      <w:r w:rsidR="00D82974">
        <w:rPr>
          <w:sz w:val="24"/>
        </w:rPr>
        <w:t xml:space="preserve">. </w:t>
      </w:r>
      <w:r w:rsidR="00D02B53">
        <w:rPr>
          <w:sz w:val="24"/>
        </w:rPr>
        <w:t xml:space="preserve"> </w:t>
      </w:r>
      <w:r w:rsidR="00D82974">
        <w:rPr>
          <w:sz w:val="24"/>
        </w:rPr>
        <w:t xml:space="preserve">They require </w:t>
      </w:r>
      <w:r w:rsidR="006B29EF">
        <w:rPr>
          <w:sz w:val="24"/>
        </w:rPr>
        <w:t xml:space="preserve">less </w:t>
      </w:r>
      <w:r w:rsidR="00D82974">
        <w:rPr>
          <w:sz w:val="24"/>
        </w:rPr>
        <w:t>documentation for other leasing arrangements</w:t>
      </w:r>
      <w:r w:rsidR="008A33F5">
        <w:rPr>
          <w:sz w:val="24"/>
        </w:rPr>
        <w:t xml:space="preserve"> involving for-hire carriers</w:t>
      </w:r>
      <w:r w:rsidR="00D82974">
        <w:rPr>
          <w:sz w:val="24"/>
        </w:rPr>
        <w:t>.</w:t>
      </w:r>
    </w:p>
    <w:p w:rsidR="005237DC" w:rsidRDefault="005237DC" w:rsidP="00245028">
      <w:pPr>
        <w:widowControl/>
        <w:rPr>
          <w:sz w:val="24"/>
        </w:rPr>
      </w:pPr>
    </w:p>
    <w:p w:rsidR="005237DC" w:rsidRPr="005237DC" w:rsidRDefault="005237DC" w:rsidP="00245028">
      <w:pPr>
        <w:widowControl/>
        <w:rPr>
          <w:b/>
          <w:sz w:val="24"/>
        </w:rPr>
      </w:pPr>
      <w:r w:rsidRPr="005237DC">
        <w:rPr>
          <w:b/>
          <w:sz w:val="24"/>
          <w:u w:val="single"/>
        </w:rPr>
        <w:t xml:space="preserve">Part A.  </w:t>
      </w:r>
      <w:proofErr w:type="gramStart"/>
      <w:r w:rsidRPr="005237DC">
        <w:rPr>
          <w:b/>
          <w:sz w:val="24"/>
          <w:u w:val="single"/>
        </w:rPr>
        <w:t>Justification</w:t>
      </w:r>
      <w:r w:rsidRPr="005237DC">
        <w:rPr>
          <w:b/>
          <w:sz w:val="24"/>
        </w:rPr>
        <w:t>.</w:t>
      </w:r>
      <w:proofErr w:type="gramEnd"/>
    </w:p>
    <w:p w:rsidR="00AD1AD8" w:rsidRPr="005237DC" w:rsidRDefault="00AD1AD8" w:rsidP="00245028">
      <w:pPr>
        <w:widowControl/>
        <w:rPr>
          <w:b/>
          <w:color w:val="000000"/>
          <w:sz w:val="24"/>
          <w:u w:val="single"/>
        </w:rPr>
      </w:pPr>
    </w:p>
    <w:p w:rsidR="00AD1AD8" w:rsidRDefault="00AD1AD8" w:rsidP="00245028">
      <w:pPr>
        <w:widowControl/>
        <w:rPr>
          <w:sz w:val="24"/>
        </w:rPr>
      </w:pPr>
      <w:r>
        <w:rPr>
          <w:b/>
          <w:bCs/>
          <w:sz w:val="24"/>
        </w:rPr>
        <w:t xml:space="preserve">1. </w:t>
      </w:r>
      <w:r w:rsidR="00380B22">
        <w:rPr>
          <w:b/>
          <w:bCs/>
          <w:sz w:val="24"/>
        </w:rPr>
        <w:t>CIRCUMSTANCES THAT MAKE COLLECTION OF INFORMATION NECESSARY</w:t>
      </w:r>
      <w:r w:rsidR="00380B22">
        <w:rPr>
          <w:sz w:val="24"/>
        </w:rPr>
        <w:t>.</w:t>
      </w:r>
    </w:p>
    <w:p w:rsidR="00711089" w:rsidRDefault="00711089" w:rsidP="00245028">
      <w:pPr>
        <w:widowControl/>
        <w:rPr>
          <w:sz w:val="24"/>
        </w:rPr>
      </w:pPr>
    </w:p>
    <w:p w:rsidR="00AD1AD8" w:rsidRDefault="00D82974" w:rsidP="00245028">
      <w:pPr>
        <w:widowControl/>
        <w:rPr>
          <w:sz w:val="24"/>
        </w:rPr>
      </w:pPr>
      <w:r>
        <w:rPr>
          <w:sz w:val="24"/>
        </w:rPr>
        <w:t xml:space="preserve">The rules were adopted to ensure that small trucking companies were protected when they agreed to lease their equipment and drivers to larger </w:t>
      </w:r>
      <w:r w:rsidR="008A33F5">
        <w:rPr>
          <w:sz w:val="24"/>
        </w:rPr>
        <w:t xml:space="preserve">for-hire </w:t>
      </w:r>
      <w:r>
        <w:rPr>
          <w:sz w:val="24"/>
        </w:rPr>
        <w:t xml:space="preserve">carriers. </w:t>
      </w:r>
      <w:r w:rsidR="00DE628E">
        <w:rPr>
          <w:sz w:val="24"/>
        </w:rPr>
        <w:t xml:space="preserve"> </w:t>
      </w:r>
      <w:r>
        <w:rPr>
          <w:sz w:val="24"/>
        </w:rPr>
        <w:t xml:space="preserve">They also ensure that the government and members of the public can determine who is responsible for a property-carrying commercial motor vehicle.  Prior to the regulations some equipment was leased without written agreements, leading to disputes over which party to the lease was responsible for charges and actions and, at times, who was legally responsible for the vehicle.  </w:t>
      </w:r>
      <w:r w:rsidR="008E46CB">
        <w:rPr>
          <w:sz w:val="24"/>
        </w:rPr>
        <w:t>Under 49 U.S.C. 14102(a),</w:t>
      </w:r>
      <w:r w:rsidR="00833715">
        <w:rPr>
          <w:sz w:val="24"/>
        </w:rPr>
        <w:t xml:space="preserve"> (Attachment 2)</w:t>
      </w:r>
      <w:r w:rsidR="008E46CB">
        <w:rPr>
          <w:sz w:val="24"/>
        </w:rPr>
        <w:t xml:space="preserve"> FMCSA “</w:t>
      </w:r>
      <w:r w:rsidR="008E46CB" w:rsidRPr="008E46CB">
        <w:rPr>
          <w:sz w:val="24"/>
        </w:rPr>
        <w:t>may require a motor carrier providing</w:t>
      </w:r>
      <w:r w:rsidR="008E46CB">
        <w:rPr>
          <w:sz w:val="24"/>
        </w:rPr>
        <w:t xml:space="preserve"> for-hire </w:t>
      </w:r>
      <w:r w:rsidR="008E46CB" w:rsidRPr="008E46CB">
        <w:rPr>
          <w:sz w:val="24"/>
        </w:rPr>
        <w:t>transportation that uses motor vehicles</w:t>
      </w:r>
      <w:r w:rsidR="008E46CB">
        <w:rPr>
          <w:sz w:val="24"/>
        </w:rPr>
        <w:t xml:space="preserve"> </w:t>
      </w:r>
      <w:r w:rsidR="008E46CB" w:rsidRPr="008E46CB">
        <w:rPr>
          <w:sz w:val="24"/>
        </w:rPr>
        <w:t>not owned by it to transport property under an</w:t>
      </w:r>
      <w:r w:rsidR="008E46CB">
        <w:rPr>
          <w:sz w:val="24"/>
        </w:rPr>
        <w:t xml:space="preserve"> </w:t>
      </w:r>
      <w:r w:rsidR="008E46CB" w:rsidRPr="008E46CB">
        <w:rPr>
          <w:sz w:val="24"/>
        </w:rPr>
        <w:t>arrangement with another party to—</w:t>
      </w:r>
    </w:p>
    <w:p w:rsidR="008E46CB" w:rsidRPr="008E46CB" w:rsidRDefault="008E46CB" w:rsidP="00245028">
      <w:pPr>
        <w:widowControl/>
        <w:ind w:left="720"/>
        <w:rPr>
          <w:sz w:val="24"/>
        </w:rPr>
      </w:pPr>
      <w:r w:rsidRPr="008E46CB">
        <w:rPr>
          <w:sz w:val="24"/>
        </w:rPr>
        <w:t xml:space="preserve">(1) </w:t>
      </w:r>
      <w:proofErr w:type="gramStart"/>
      <w:r w:rsidRPr="008E46CB">
        <w:rPr>
          <w:sz w:val="24"/>
        </w:rPr>
        <w:t>make</w:t>
      </w:r>
      <w:proofErr w:type="gramEnd"/>
      <w:r w:rsidRPr="008E46CB">
        <w:rPr>
          <w:sz w:val="24"/>
        </w:rPr>
        <w:t xml:space="preserve"> the arrangement in writing signed</w:t>
      </w:r>
      <w:r>
        <w:rPr>
          <w:sz w:val="24"/>
        </w:rPr>
        <w:t xml:space="preserve"> </w:t>
      </w:r>
      <w:r w:rsidRPr="008E46CB">
        <w:rPr>
          <w:sz w:val="24"/>
        </w:rPr>
        <w:t>by the parties specifying its duration and the</w:t>
      </w:r>
      <w:r>
        <w:rPr>
          <w:sz w:val="24"/>
        </w:rPr>
        <w:t xml:space="preserve"> </w:t>
      </w:r>
      <w:r w:rsidRPr="008E46CB">
        <w:rPr>
          <w:sz w:val="24"/>
        </w:rPr>
        <w:t>compensation to be paid by the motor carrier;</w:t>
      </w:r>
    </w:p>
    <w:p w:rsidR="008E46CB" w:rsidRPr="008E46CB" w:rsidRDefault="008E46CB" w:rsidP="00245028">
      <w:pPr>
        <w:widowControl/>
        <w:ind w:left="720"/>
        <w:rPr>
          <w:sz w:val="24"/>
        </w:rPr>
      </w:pPr>
      <w:r w:rsidRPr="008E46CB">
        <w:rPr>
          <w:sz w:val="24"/>
        </w:rPr>
        <w:t xml:space="preserve">(2) </w:t>
      </w:r>
      <w:proofErr w:type="gramStart"/>
      <w:r w:rsidRPr="008E46CB">
        <w:rPr>
          <w:sz w:val="24"/>
        </w:rPr>
        <w:t>carry</w:t>
      </w:r>
      <w:proofErr w:type="gramEnd"/>
      <w:r w:rsidRPr="008E46CB">
        <w:rPr>
          <w:sz w:val="24"/>
        </w:rPr>
        <w:t xml:space="preserve"> a copy of the arrangement in each</w:t>
      </w:r>
      <w:r>
        <w:rPr>
          <w:sz w:val="24"/>
        </w:rPr>
        <w:t xml:space="preserve"> </w:t>
      </w:r>
      <w:r w:rsidRPr="008E46CB">
        <w:rPr>
          <w:sz w:val="24"/>
        </w:rPr>
        <w:t>motor vehicle to which it applies during the</w:t>
      </w:r>
      <w:r>
        <w:rPr>
          <w:sz w:val="24"/>
        </w:rPr>
        <w:t xml:space="preserve"> </w:t>
      </w:r>
      <w:r w:rsidRPr="008E46CB">
        <w:rPr>
          <w:sz w:val="24"/>
        </w:rPr>
        <w:t>period the arrangement is in effect;</w:t>
      </w:r>
    </w:p>
    <w:p w:rsidR="008E46CB" w:rsidRPr="008E46CB" w:rsidRDefault="008E46CB" w:rsidP="00245028">
      <w:pPr>
        <w:widowControl/>
        <w:ind w:left="720"/>
        <w:rPr>
          <w:sz w:val="24"/>
        </w:rPr>
      </w:pPr>
      <w:r w:rsidRPr="008E46CB">
        <w:rPr>
          <w:sz w:val="24"/>
        </w:rPr>
        <w:t xml:space="preserve">(3) </w:t>
      </w:r>
      <w:proofErr w:type="gramStart"/>
      <w:r w:rsidRPr="008E46CB">
        <w:rPr>
          <w:sz w:val="24"/>
        </w:rPr>
        <w:t>inspect</w:t>
      </w:r>
      <w:proofErr w:type="gramEnd"/>
      <w:r w:rsidRPr="008E46CB">
        <w:rPr>
          <w:sz w:val="24"/>
        </w:rPr>
        <w:t xml:space="preserve"> the motor vehicles and obtain liability</w:t>
      </w:r>
      <w:r>
        <w:rPr>
          <w:sz w:val="24"/>
        </w:rPr>
        <w:t xml:space="preserve"> </w:t>
      </w:r>
      <w:r w:rsidRPr="008E46CB">
        <w:rPr>
          <w:sz w:val="24"/>
        </w:rPr>
        <w:t>and cargo insurance on them; and</w:t>
      </w:r>
    </w:p>
    <w:p w:rsidR="008E46CB" w:rsidRDefault="008E46CB" w:rsidP="00245028">
      <w:pPr>
        <w:widowControl/>
        <w:ind w:left="720"/>
        <w:rPr>
          <w:sz w:val="24"/>
        </w:rPr>
      </w:pPr>
      <w:r w:rsidRPr="008E46CB">
        <w:rPr>
          <w:sz w:val="24"/>
        </w:rPr>
        <w:t xml:space="preserve">(4) </w:t>
      </w:r>
      <w:proofErr w:type="gramStart"/>
      <w:r w:rsidRPr="008E46CB">
        <w:rPr>
          <w:sz w:val="24"/>
        </w:rPr>
        <w:t>have</w:t>
      </w:r>
      <w:proofErr w:type="gramEnd"/>
      <w:r w:rsidRPr="008E46CB">
        <w:rPr>
          <w:sz w:val="24"/>
        </w:rPr>
        <w:t xml:space="preserve"> control of and be responsible for operating</w:t>
      </w:r>
      <w:r>
        <w:rPr>
          <w:sz w:val="24"/>
        </w:rPr>
        <w:t xml:space="preserve"> </w:t>
      </w:r>
      <w:r w:rsidRPr="008E46CB">
        <w:rPr>
          <w:sz w:val="24"/>
        </w:rPr>
        <w:t>those motor vehicles in compliance</w:t>
      </w:r>
      <w:r>
        <w:rPr>
          <w:sz w:val="24"/>
        </w:rPr>
        <w:t xml:space="preserve"> </w:t>
      </w:r>
      <w:r w:rsidRPr="008E46CB">
        <w:rPr>
          <w:sz w:val="24"/>
        </w:rPr>
        <w:t>with requirements prescribed by the Secretary</w:t>
      </w:r>
      <w:r>
        <w:rPr>
          <w:sz w:val="24"/>
        </w:rPr>
        <w:t xml:space="preserve"> </w:t>
      </w:r>
      <w:r w:rsidRPr="008E46CB">
        <w:rPr>
          <w:sz w:val="24"/>
        </w:rPr>
        <w:t>on safety of operations and equipment, and</w:t>
      </w:r>
      <w:r>
        <w:rPr>
          <w:sz w:val="24"/>
        </w:rPr>
        <w:t xml:space="preserve"> </w:t>
      </w:r>
      <w:r w:rsidRPr="008E46CB">
        <w:rPr>
          <w:sz w:val="24"/>
        </w:rPr>
        <w:t>with other applicable law as if the motor vehicles</w:t>
      </w:r>
      <w:r>
        <w:rPr>
          <w:sz w:val="24"/>
        </w:rPr>
        <w:t xml:space="preserve"> </w:t>
      </w:r>
      <w:r w:rsidRPr="008E46CB">
        <w:rPr>
          <w:sz w:val="24"/>
        </w:rPr>
        <w:t>were owned by the motor carrier.</w:t>
      </w:r>
      <w:r>
        <w:rPr>
          <w:sz w:val="24"/>
        </w:rPr>
        <w:t>”</w:t>
      </w:r>
    </w:p>
    <w:p w:rsidR="00D82974" w:rsidRDefault="00D82974" w:rsidP="00245028">
      <w:pPr>
        <w:widowControl/>
        <w:rPr>
          <w:sz w:val="24"/>
        </w:rPr>
      </w:pPr>
    </w:p>
    <w:p w:rsidR="00C6719E" w:rsidRPr="00C6719E" w:rsidRDefault="00C6719E" w:rsidP="00C6719E">
      <w:pPr>
        <w:widowControl/>
        <w:autoSpaceDE/>
        <w:autoSpaceDN/>
        <w:adjustRightInd/>
        <w:rPr>
          <w:bCs/>
          <w:sz w:val="24"/>
        </w:rPr>
      </w:pPr>
      <w:r w:rsidRPr="00C6719E">
        <w:rPr>
          <w:bCs/>
          <w:sz w:val="24"/>
        </w:rPr>
        <w:t xml:space="preserve">The Secretary has delegated authority pertaining to leased motor vehicles to FMCSA pursuant to 49 CFR </w:t>
      </w:r>
      <w:r w:rsidR="003E6BA7">
        <w:rPr>
          <w:bCs/>
          <w:sz w:val="24"/>
        </w:rPr>
        <w:t>p</w:t>
      </w:r>
      <w:r w:rsidRPr="00C6719E">
        <w:rPr>
          <w:bCs/>
          <w:sz w:val="24"/>
        </w:rPr>
        <w:t>art 1.87(a)(6)</w:t>
      </w:r>
      <w:r w:rsidR="000D2EA1">
        <w:rPr>
          <w:bCs/>
          <w:sz w:val="24"/>
        </w:rPr>
        <w:t xml:space="preserve"> (Attachment 3)</w:t>
      </w:r>
      <w:r w:rsidRPr="00C6719E">
        <w:rPr>
          <w:bCs/>
          <w:sz w:val="24"/>
        </w:rPr>
        <w:t>.  The Agency’s regulations governing leased motor vehicles are at 49 CFR Part 376.</w:t>
      </w:r>
    </w:p>
    <w:p w:rsidR="00C6719E" w:rsidRDefault="00C6719E" w:rsidP="00245028">
      <w:pPr>
        <w:widowControl/>
        <w:rPr>
          <w:sz w:val="24"/>
        </w:rPr>
      </w:pPr>
    </w:p>
    <w:p w:rsidR="00D82974" w:rsidRDefault="00D82974" w:rsidP="00245028">
      <w:pPr>
        <w:widowControl/>
        <w:rPr>
          <w:color w:val="000000"/>
          <w:sz w:val="24"/>
        </w:rPr>
      </w:pPr>
      <w:r>
        <w:rPr>
          <w:sz w:val="24"/>
        </w:rPr>
        <w:t xml:space="preserve">The rules specify what must be covered in the lease, </w:t>
      </w:r>
      <w:r w:rsidR="00B02A78">
        <w:rPr>
          <w:sz w:val="24"/>
        </w:rPr>
        <w:t>and to some degree</w:t>
      </w:r>
      <w:r w:rsidR="009761C4">
        <w:rPr>
          <w:sz w:val="24"/>
        </w:rPr>
        <w:t>,</w:t>
      </w:r>
      <w:r>
        <w:rPr>
          <w:sz w:val="24"/>
        </w:rPr>
        <w:t xml:space="preserve"> responsibilities </w:t>
      </w:r>
      <w:r w:rsidR="00B02A78">
        <w:rPr>
          <w:sz w:val="24"/>
        </w:rPr>
        <w:t>of the motor carrier</w:t>
      </w:r>
      <w:r>
        <w:rPr>
          <w:sz w:val="24"/>
        </w:rPr>
        <w:t xml:space="preserve">.  The parties to the lease determine </w:t>
      </w:r>
      <w:r w:rsidR="00B02A78">
        <w:rPr>
          <w:sz w:val="24"/>
        </w:rPr>
        <w:t xml:space="preserve">much of </w:t>
      </w:r>
      <w:r>
        <w:rPr>
          <w:sz w:val="24"/>
        </w:rPr>
        <w:t xml:space="preserve">the details between themselves.  </w:t>
      </w:r>
    </w:p>
    <w:p w:rsidR="00174590" w:rsidRDefault="00174590" w:rsidP="00245028">
      <w:pPr>
        <w:widowControl/>
        <w:rPr>
          <w:color w:val="000000"/>
          <w:sz w:val="24"/>
        </w:rPr>
      </w:pPr>
    </w:p>
    <w:p w:rsidR="000563FB" w:rsidRPr="000563FB" w:rsidRDefault="000563FB" w:rsidP="00245028">
      <w:pPr>
        <w:widowControl/>
        <w:autoSpaceDE/>
        <w:autoSpaceDN/>
        <w:adjustRightInd/>
        <w:rPr>
          <w:sz w:val="24"/>
        </w:rPr>
      </w:pPr>
      <w:r w:rsidRPr="000563FB">
        <w:rPr>
          <w:sz w:val="24"/>
        </w:rPr>
        <w:lastRenderedPageBreak/>
        <w:t xml:space="preserve">This ICR supports the Department of Transportation’s strategic goal of </w:t>
      </w:r>
      <w:r w:rsidR="00E46246">
        <w:rPr>
          <w:sz w:val="24"/>
        </w:rPr>
        <w:t>economic competitiveness</w:t>
      </w:r>
      <w:r w:rsidRPr="000563FB">
        <w:rPr>
          <w:sz w:val="24"/>
        </w:rPr>
        <w:t xml:space="preserve"> </w:t>
      </w:r>
      <w:r>
        <w:rPr>
          <w:sz w:val="24"/>
        </w:rPr>
        <w:t xml:space="preserve">by </w:t>
      </w:r>
      <w:r w:rsidR="00E46246" w:rsidRPr="00E46246">
        <w:rPr>
          <w:sz w:val="24"/>
        </w:rPr>
        <w:t xml:space="preserve">promoting economic opportunities for freight operations </w:t>
      </w:r>
      <w:r w:rsidR="00281936">
        <w:rPr>
          <w:sz w:val="24"/>
        </w:rPr>
        <w:t>i</w:t>
      </w:r>
      <w:r w:rsidR="00E46246" w:rsidRPr="00E46246">
        <w:rPr>
          <w:sz w:val="24"/>
        </w:rPr>
        <w:t>n surrounding communities</w:t>
      </w:r>
      <w:r w:rsidR="00E46246">
        <w:rPr>
          <w:sz w:val="24"/>
        </w:rPr>
        <w:t>.</w:t>
      </w:r>
    </w:p>
    <w:p w:rsidR="000563FB" w:rsidRDefault="000563FB" w:rsidP="00245028">
      <w:pPr>
        <w:widowControl/>
        <w:rPr>
          <w:color w:val="000000"/>
          <w:sz w:val="24"/>
        </w:rPr>
      </w:pPr>
    </w:p>
    <w:p w:rsidR="00AD1AD8" w:rsidRDefault="00AD1AD8" w:rsidP="00245028">
      <w:pPr>
        <w:keepNext/>
        <w:widowControl/>
        <w:rPr>
          <w:color w:val="000000"/>
          <w:sz w:val="24"/>
        </w:rPr>
      </w:pPr>
      <w:r>
        <w:rPr>
          <w:b/>
          <w:bCs/>
          <w:color w:val="000000"/>
          <w:sz w:val="24"/>
        </w:rPr>
        <w:t xml:space="preserve">2.  </w:t>
      </w:r>
      <w:r w:rsidR="00380B22">
        <w:rPr>
          <w:b/>
          <w:bCs/>
          <w:color w:val="000000"/>
          <w:sz w:val="24"/>
        </w:rPr>
        <w:t>HOW, BY WHOM, AND FOR WHAT PURPOSE THE INFORMATION IS TO BE USED</w:t>
      </w:r>
      <w:r w:rsidR="00380B22">
        <w:rPr>
          <w:color w:val="000000"/>
          <w:sz w:val="24"/>
        </w:rPr>
        <w:t>.</w:t>
      </w:r>
    </w:p>
    <w:p w:rsidR="00AD1AD8" w:rsidRDefault="00AD1AD8" w:rsidP="00245028">
      <w:pPr>
        <w:keepNext/>
        <w:widowControl/>
        <w:rPr>
          <w:color w:val="000000"/>
          <w:sz w:val="24"/>
        </w:rPr>
      </w:pPr>
    </w:p>
    <w:p w:rsidR="00AD1AD8" w:rsidRDefault="00870C36" w:rsidP="00245028">
      <w:pPr>
        <w:widowControl/>
        <w:rPr>
          <w:sz w:val="24"/>
        </w:rPr>
      </w:pPr>
      <w:r>
        <w:rPr>
          <w:sz w:val="24"/>
        </w:rPr>
        <w:t xml:space="preserve">The government collects no information </w:t>
      </w:r>
      <w:r w:rsidR="00380B22">
        <w:rPr>
          <w:sz w:val="24"/>
        </w:rPr>
        <w:t>with this ICR</w:t>
      </w:r>
      <w:r>
        <w:rPr>
          <w:sz w:val="24"/>
        </w:rPr>
        <w:t>.  The leases and other agreements are developed and held by the lessor</w:t>
      </w:r>
      <w:r w:rsidR="00281936">
        <w:rPr>
          <w:sz w:val="24"/>
        </w:rPr>
        <w:t xml:space="preserve"> (e.g., those granting use of equipment)</w:t>
      </w:r>
      <w:r>
        <w:rPr>
          <w:sz w:val="24"/>
        </w:rPr>
        <w:t xml:space="preserve"> and lessee</w:t>
      </w:r>
      <w:r w:rsidR="00281936">
        <w:rPr>
          <w:sz w:val="24"/>
        </w:rPr>
        <w:t xml:space="preserve"> (e.g., party acquiring equipment)</w:t>
      </w:r>
      <w:r>
        <w:rPr>
          <w:sz w:val="24"/>
        </w:rPr>
        <w:t xml:space="preserve">.  </w:t>
      </w:r>
      <w:r w:rsidR="00985B7A">
        <w:rPr>
          <w:sz w:val="24"/>
        </w:rPr>
        <w:t xml:space="preserve">They are used to assign duties and responsibilities.  The information may also be used by law enforcement to determine legal responsibility in the event that a leased vehicle is in violation of the regulations or is involved in an accident.  </w:t>
      </w:r>
    </w:p>
    <w:p w:rsidR="00AD1AD8" w:rsidRDefault="00AD1AD8" w:rsidP="00245028">
      <w:pPr>
        <w:widowControl/>
        <w:rPr>
          <w:sz w:val="24"/>
        </w:rPr>
      </w:pPr>
    </w:p>
    <w:p w:rsidR="00AD1AD8" w:rsidRDefault="00AD1AD8" w:rsidP="00245028">
      <w:pPr>
        <w:widowControl/>
        <w:rPr>
          <w:sz w:val="24"/>
        </w:rPr>
      </w:pPr>
      <w:r>
        <w:rPr>
          <w:b/>
          <w:bCs/>
          <w:sz w:val="24"/>
        </w:rPr>
        <w:t xml:space="preserve">3.  </w:t>
      </w:r>
      <w:r w:rsidR="00380B22">
        <w:rPr>
          <w:b/>
          <w:bCs/>
          <w:sz w:val="24"/>
        </w:rPr>
        <w:t>EXTENT OF AUTOMATED INFORMATION COLLECTION.</w:t>
      </w:r>
    </w:p>
    <w:p w:rsidR="00AD1AD8" w:rsidRDefault="00AD1AD8" w:rsidP="00245028">
      <w:pPr>
        <w:widowControl/>
        <w:rPr>
          <w:sz w:val="24"/>
        </w:rPr>
      </w:pPr>
    </w:p>
    <w:p w:rsidR="00722850" w:rsidRDefault="00985B7A" w:rsidP="00245028">
      <w:pPr>
        <w:widowControl/>
        <w:rPr>
          <w:color w:val="000000"/>
          <w:sz w:val="24"/>
        </w:rPr>
      </w:pPr>
      <w:r>
        <w:rPr>
          <w:color w:val="000000"/>
          <w:sz w:val="24"/>
        </w:rPr>
        <w:t>Leases may be created and maintained electronically.</w:t>
      </w:r>
      <w:r w:rsidR="00842CE3">
        <w:rPr>
          <w:color w:val="000000"/>
          <w:sz w:val="24"/>
        </w:rPr>
        <w:t xml:space="preserve"> </w:t>
      </w:r>
      <w:r w:rsidR="00281936">
        <w:rPr>
          <w:color w:val="000000"/>
          <w:sz w:val="24"/>
        </w:rPr>
        <w:t xml:space="preserve">FMCSA </w:t>
      </w:r>
      <w:r w:rsidR="00A867A4">
        <w:rPr>
          <w:color w:val="000000"/>
          <w:sz w:val="24"/>
        </w:rPr>
        <w:t xml:space="preserve">estimate that 50% of the leases are </w:t>
      </w:r>
      <w:r w:rsidR="00281936">
        <w:rPr>
          <w:color w:val="000000"/>
          <w:sz w:val="24"/>
        </w:rPr>
        <w:t xml:space="preserve">electronic.  </w:t>
      </w:r>
    </w:p>
    <w:p w:rsidR="00985B7A" w:rsidRDefault="00985B7A" w:rsidP="00245028">
      <w:pPr>
        <w:widowControl/>
        <w:rPr>
          <w:color w:val="000000"/>
          <w:sz w:val="24"/>
        </w:rPr>
      </w:pPr>
    </w:p>
    <w:p w:rsidR="00AD1AD8" w:rsidRDefault="00AD1AD8" w:rsidP="00245028">
      <w:pPr>
        <w:widowControl/>
        <w:rPr>
          <w:sz w:val="24"/>
        </w:rPr>
      </w:pPr>
      <w:r>
        <w:rPr>
          <w:b/>
          <w:bCs/>
          <w:sz w:val="24"/>
        </w:rPr>
        <w:t xml:space="preserve">4.  </w:t>
      </w:r>
      <w:r w:rsidR="00380B22">
        <w:rPr>
          <w:b/>
          <w:bCs/>
          <w:sz w:val="24"/>
        </w:rPr>
        <w:t>EFFORTS TO IDENTIFY DUPLICATION</w:t>
      </w:r>
      <w:r w:rsidR="00380B22">
        <w:rPr>
          <w:sz w:val="24"/>
        </w:rPr>
        <w:t>.</w:t>
      </w:r>
    </w:p>
    <w:p w:rsidR="003F5233" w:rsidRDefault="003F5233" w:rsidP="00245028">
      <w:pPr>
        <w:widowControl/>
        <w:rPr>
          <w:sz w:val="24"/>
        </w:rPr>
      </w:pPr>
    </w:p>
    <w:p w:rsidR="00E3695E" w:rsidRPr="00497FFE" w:rsidRDefault="00985B7A" w:rsidP="00245028">
      <w:pPr>
        <w:pStyle w:val="1AutoList39"/>
        <w:widowControl/>
        <w:tabs>
          <w:tab w:val="left" w:pos="0"/>
        </w:tabs>
      </w:pPr>
      <w:r>
        <w:t>FMCSA knows of no duplicative regulations.</w:t>
      </w:r>
    </w:p>
    <w:p w:rsidR="006C647C" w:rsidRDefault="006C647C" w:rsidP="00245028">
      <w:pPr>
        <w:widowControl/>
        <w:rPr>
          <w:sz w:val="24"/>
        </w:rPr>
      </w:pPr>
    </w:p>
    <w:p w:rsidR="00AD1AD8" w:rsidRDefault="00AD1AD8" w:rsidP="00245028">
      <w:pPr>
        <w:keepNext/>
        <w:keepLines/>
        <w:widowControl/>
        <w:rPr>
          <w:sz w:val="24"/>
        </w:rPr>
      </w:pPr>
      <w:r>
        <w:rPr>
          <w:b/>
          <w:bCs/>
          <w:sz w:val="24"/>
        </w:rPr>
        <w:t xml:space="preserve">5.  </w:t>
      </w:r>
      <w:r w:rsidR="00380B22">
        <w:rPr>
          <w:b/>
          <w:bCs/>
          <w:sz w:val="24"/>
        </w:rPr>
        <w:t>EFFORTS TO MINIMIZE THE BURDEN ON SMALL BUSINESSES</w:t>
      </w:r>
      <w:r w:rsidR="00380B22">
        <w:rPr>
          <w:sz w:val="24"/>
        </w:rPr>
        <w:t>.</w:t>
      </w:r>
    </w:p>
    <w:p w:rsidR="00AD1AD8" w:rsidRDefault="00AD1AD8" w:rsidP="00245028">
      <w:pPr>
        <w:keepNext/>
        <w:keepLines/>
        <w:widowControl/>
        <w:rPr>
          <w:sz w:val="24"/>
        </w:rPr>
      </w:pPr>
    </w:p>
    <w:p w:rsidR="00AD1AD8" w:rsidRDefault="00985B7A" w:rsidP="00245028">
      <w:pPr>
        <w:widowControl/>
        <w:rPr>
          <w:sz w:val="24"/>
        </w:rPr>
      </w:pPr>
      <w:r>
        <w:rPr>
          <w:sz w:val="24"/>
        </w:rPr>
        <w:t xml:space="preserve">The purpose of the rule is to protect small businesses by ensuring that the terms under which they lease their equipment to other motor carriers are specified in a legal document.  </w:t>
      </w:r>
      <w:r w:rsidR="00A85C4A">
        <w:rPr>
          <w:sz w:val="24"/>
        </w:rPr>
        <w:t>Relatively few of the small trucking firms (less than 4 percent) lease vehicles</w:t>
      </w:r>
      <w:r w:rsidR="00387FDF">
        <w:rPr>
          <w:sz w:val="24"/>
        </w:rPr>
        <w:t xml:space="preserve"> from other carriers</w:t>
      </w:r>
      <w:r w:rsidR="00A85C4A">
        <w:rPr>
          <w:sz w:val="24"/>
        </w:rPr>
        <w:t>.  The less</w:t>
      </w:r>
      <w:r w:rsidR="00387FDF">
        <w:rPr>
          <w:sz w:val="24"/>
        </w:rPr>
        <w:t>or</w:t>
      </w:r>
      <w:r w:rsidR="00A85C4A">
        <w:rPr>
          <w:sz w:val="24"/>
        </w:rPr>
        <w:t>s, however, are almost all small businesses.</w:t>
      </w:r>
    </w:p>
    <w:p w:rsidR="005237DC" w:rsidRDefault="005237DC" w:rsidP="00245028">
      <w:pPr>
        <w:keepNext/>
        <w:keepLines/>
        <w:widowControl/>
        <w:rPr>
          <w:b/>
          <w:bCs/>
          <w:sz w:val="24"/>
        </w:rPr>
      </w:pPr>
    </w:p>
    <w:p w:rsidR="00AD1AD8" w:rsidRDefault="00AD1AD8" w:rsidP="00245028">
      <w:pPr>
        <w:keepNext/>
        <w:keepLines/>
        <w:widowControl/>
        <w:rPr>
          <w:sz w:val="24"/>
        </w:rPr>
      </w:pPr>
      <w:r>
        <w:rPr>
          <w:b/>
          <w:bCs/>
          <w:sz w:val="24"/>
        </w:rPr>
        <w:t xml:space="preserve">6.  </w:t>
      </w:r>
      <w:r w:rsidR="00380B22">
        <w:rPr>
          <w:b/>
          <w:bCs/>
          <w:sz w:val="24"/>
        </w:rPr>
        <w:t>IMPACT OF LESS FREQUENT COLLECTION OF INFORMATION</w:t>
      </w:r>
      <w:r w:rsidR="00380B22">
        <w:rPr>
          <w:sz w:val="24"/>
        </w:rPr>
        <w:t>.</w:t>
      </w:r>
    </w:p>
    <w:p w:rsidR="00AD1AD8" w:rsidRDefault="00AD1AD8" w:rsidP="00245028">
      <w:pPr>
        <w:keepNext/>
        <w:keepLines/>
        <w:widowControl/>
        <w:rPr>
          <w:sz w:val="24"/>
        </w:rPr>
      </w:pPr>
    </w:p>
    <w:p w:rsidR="00AD1AD8" w:rsidRDefault="00985B7A" w:rsidP="00245028">
      <w:pPr>
        <w:keepLines/>
        <w:widowControl/>
        <w:rPr>
          <w:sz w:val="24"/>
        </w:rPr>
      </w:pPr>
      <w:r>
        <w:rPr>
          <w:sz w:val="24"/>
        </w:rPr>
        <w:t>Not applicable.</w:t>
      </w:r>
    </w:p>
    <w:p w:rsidR="00787D91" w:rsidRDefault="00787D91" w:rsidP="00245028">
      <w:pPr>
        <w:keepLines/>
        <w:widowControl/>
        <w:rPr>
          <w:sz w:val="24"/>
        </w:rPr>
      </w:pPr>
    </w:p>
    <w:p w:rsidR="00AD1AD8" w:rsidRDefault="00AD1AD8" w:rsidP="00245028">
      <w:pPr>
        <w:widowControl/>
        <w:rPr>
          <w:sz w:val="24"/>
        </w:rPr>
      </w:pPr>
      <w:r>
        <w:rPr>
          <w:b/>
          <w:bCs/>
          <w:sz w:val="24"/>
        </w:rPr>
        <w:t xml:space="preserve">7.  </w:t>
      </w:r>
      <w:r w:rsidR="00380B22">
        <w:rPr>
          <w:b/>
          <w:bCs/>
          <w:sz w:val="24"/>
        </w:rPr>
        <w:t>SPECIAL CIRCUMSTANCES</w:t>
      </w:r>
      <w:r w:rsidR="00380B22">
        <w:rPr>
          <w:sz w:val="24"/>
        </w:rPr>
        <w:t>.</w:t>
      </w:r>
    </w:p>
    <w:p w:rsidR="00AD1AD8" w:rsidRDefault="00AD1AD8" w:rsidP="00245028">
      <w:pPr>
        <w:widowControl/>
        <w:rPr>
          <w:sz w:val="24"/>
        </w:rPr>
      </w:pPr>
    </w:p>
    <w:p w:rsidR="00AD1AD8" w:rsidRDefault="00AD1AD8" w:rsidP="00245028">
      <w:pPr>
        <w:pStyle w:val="BodyText"/>
        <w:widowControl/>
      </w:pPr>
      <w:r>
        <w:t>There are no special circumstances related to this information collection.</w:t>
      </w:r>
    </w:p>
    <w:p w:rsidR="00AD1AD8" w:rsidRDefault="00AD1AD8" w:rsidP="00245028">
      <w:pPr>
        <w:widowControl/>
        <w:rPr>
          <w:sz w:val="24"/>
        </w:rPr>
      </w:pPr>
    </w:p>
    <w:p w:rsidR="00AD1AD8" w:rsidRDefault="00AD1AD8" w:rsidP="00245028">
      <w:pPr>
        <w:widowControl/>
        <w:rPr>
          <w:sz w:val="24"/>
        </w:rPr>
      </w:pPr>
      <w:r>
        <w:rPr>
          <w:b/>
          <w:bCs/>
          <w:sz w:val="24"/>
        </w:rPr>
        <w:t xml:space="preserve">8.  </w:t>
      </w:r>
      <w:r w:rsidR="00380B22">
        <w:rPr>
          <w:b/>
          <w:bCs/>
          <w:sz w:val="24"/>
        </w:rPr>
        <w:t>COMPLIANCE WITH 5 CFR 1320.8.</w:t>
      </w:r>
    </w:p>
    <w:p w:rsidR="00AD1AD8" w:rsidRDefault="00AD1AD8" w:rsidP="00245028">
      <w:pPr>
        <w:widowControl/>
        <w:rPr>
          <w:sz w:val="24"/>
        </w:rPr>
      </w:pPr>
    </w:p>
    <w:p w:rsidR="005943F0" w:rsidRPr="005943F0" w:rsidRDefault="000563FB" w:rsidP="004F7E74">
      <w:pPr>
        <w:widowControl/>
        <w:autoSpaceDE/>
        <w:autoSpaceDN/>
        <w:adjustRightInd/>
        <w:rPr>
          <w:rFonts w:eastAsia="Calibri"/>
          <w:sz w:val="24"/>
        </w:rPr>
      </w:pPr>
      <w:r>
        <w:rPr>
          <w:sz w:val="24"/>
        </w:rPr>
        <w:t>O</w:t>
      </w:r>
      <w:r w:rsidRPr="000563FB">
        <w:rPr>
          <w:sz w:val="24"/>
        </w:rPr>
        <w:t xml:space="preserve">n </w:t>
      </w:r>
      <w:r w:rsidR="000D2EA1">
        <w:rPr>
          <w:sz w:val="24"/>
        </w:rPr>
        <w:t>March 27</w:t>
      </w:r>
      <w:r w:rsidRPr="000563FB">
        <w:rPr>
          <w:sz w:val="24"/>
        </w:rPr>
        <w:t>, 201</w:t>
      </w:r>
      <w:r w:rsidR="00AC7E95">
        <w:rPr>
          <w:sz w:val="24"/>
        </w:rPr>
        <w:t>3</w:t>
      </w:r>
      <w:r w:rsidRPr="000563FB">
        <w:rPr>
          <w:sz w:val="24"/>
        </w:rPr>
        <w:t xml:space="preserve"> (7</w:t>
      </w:r>
      <w:r w:rsidR="00AC7E95">
        <w:rPr>
          <w:sz w:val="24"/>
        </w:rPr>
        <w:t>8</w:t>
      </w:r>
      <w:r w:rsidRPr="000563FB">
        <w:rPr>
          <w:sz w:val="24"/>
        </w:rPr>
        <w:t xml:space="preserve"> FR </w:t>
      </w:r>
      <w:r w:rsidR="000D2EA1">
        <w:rPr>
          <w:sz w:val="24"/>
        </w:rPr>
        <w:t>18666</w:t>
      </w:r>
      <w:r w:rsidR="00833715">
        <w:rPr>
          <w:sz w:val="24"/>
        </w:rPr>
        <w:t>)</w:t>
      </w:r>
      <w:r w:rsidRPr="000563FB">
        <w:rPr>
          <w:sz w:val="24"/>
        </w:rPr>
        <w:t xml:space="preserve"> (See Attachment </w:t>
      </w:r>
      <w:r w:rsidR="000D2EA1">
        <w:rPr>
          <w:sz w:val="24"/>
        </w:rPr>
        <w:t>4</w:t>
      </w:r>
      <w:r w:rsidRPr="000563FB">
        <w:rPr>
          <w:sz w:val="24"/>
        </w:rPr>
        <w:t xml:space="preserve">), FMCSA published </w:t>
      </w:r>
      <w:r>
        <w:rPr>
          <w:sz w:val="24"/>
        </w:rPr>
        <w:t xml:space="preserve">a </w:t>
      </w:r>
      <w:r w:rsidRPr="000563FB">
        <w:rPr>
          <w:sz w:val="24"/>
        </w:rPr>
        <w:t>notice in the Federal Register requesting public comments on th</w:t>
      </w:r>
      <w:r>
        <w:rPr>
          <w:sz w:val="24"/>
        </w:rPr>
        <w:t>is</w:t>
      </w:r>
      <w:r w:rsidRPr="000563FB">
        <w:rPr>
          <w:sz w:val="24"/>
        </w:rPr>
        <w:t xml:space="preserve"> proposed </w:t>
      </w:r>
      <w:r>
        <w:rPr>
          <w:sz w:val="24"/>
        </w:rPr>
        <w:t xml:space="preserve">new ICR. </w:t>
      </w:r>
      <w:r w:rsidR="005943F0" w:rsidRPr="005943F0">
        <w:rPr>
          <w:rFonts w:eastAsia="Calibri"/>
          <w:sz w:val="24"/>
        </w:rPr>
        <w:t>FMCSA received three comments</w:t>
      </w:r>
      <w:r w:rsidR="005943F0">
        <w:rPr>
          <w:rFonts w:eastAsia="Calibri"/>
          <w:sz w:val="24"/>
        </w:rPr>
        <w:t xml:space="preserve"> in response to this notice</w:t>
      </w:r>
      <w:r w:rsidR="004F7E74">
        <w:rPr>
          <w:rFonts w:eastAsia="Calibri"/>
          <w:sz w:val="24"/>
        </w:rPr>
        <w:t xml:space="preserve"> </w:t>
      </w:r>
      <w:r w:rsidR="005943F0" w:rsidRPr="005943F0">
        <w:rPr>
          <w:rFonts w:eastAsia="Calibri"/>
          <w:sz w:val="24"/>
        </w:rPr>
        <w:t xml:space="preserve">from the Owner Operator Independent Drivers Association, Inc. (OOIDA), Transportation Intermediaries Association (TIA), and </w:t>
      </w:r>
      <w:r w:rsidR="005943F0" w:rsidRPr="005943F0">
        <w:rPr>
          <w:sz w:val="24"/>
        </w:rPr>
        <w:t>Sharp Auto Transport</w:t>
      </w:r>
      <w:r w:rsidR="004F7E74">
        <w:rPr>
          <w:sz w:val="24"/>
        </w:rPr>
        <w:t xml:space="preserve"> (See Attachment 5)</w:t>
      </w:r>
      <w:r w:rsidR="005943F0" w:rsidRPr="005943F0">
        <w:rPr>
          <w:sz w:val="24"/>
        </w:rPr>
        <w:t xml:space="preserve">.  </w:t>
      </w:r>
      <w:r w:rsidR="005943F0" w:rsidRPr="005943F0">
        <w:rPr>
          <w:rFonts w:eastAsia="Calibri"/>
          <w:sz w:val="24"/>
        </w:rPr>
        <w:t>Comments and responsive considerations are as follows:</w:t>
      </w:r>
    </w:p>
    <w:p w:rsidR="005943F0" w:rsidRPr="005943F0" w:rsidRDefault="005943F0" w:rsidP="00112F4F">
      <w:pPr>
        <w:widowControl/>
        <w:autoSpaceDE/>
        <w:autoSpaceDN/>
        <w:adjustRightInd/>
        <w:ind w:firstLine="720"/>
        <w:rPr>
          <w:rFonts w:eastAsia="Calibri"/>
          <w:sz w:val="24"/>
        </w:rPr>
      </w:pPr>
      <w:r w:rsidRPr="005943F0">
        <w:rPr>
          <w:rFonts w:eastAsia="Calibri"/>
          <w:sz w:val="24"/>
        </w:rPr>
        <w:t xml:space="preserve">OOIDA provided detailed comments, though they concluded that the burden estimates are justified and the </w:t>
      </w:r>
      <w:proofErr w:type="gramStart"/>
      <w:r w:rsidRPr="005943F0">
        <w:rPr>
          <w:rFonts w:eastAsia="Calibri"/>
          <w:sz w:val="24"/>
        </w:rPr>
        <w:t>burden of compliance with truck rules are</w:t>
      </w:r>
      <w:proofErr w:type="gramEnd"/>
      <w:r w:rsidRPr="005943F0">
        <w:rPr>
          <w:rFonts w:eastAsia="Calibri"/>
          <w:sz w:val="24"/>
        </w:rPr>
        <w:t xml:space="preserve"> “minimal.”</w:t>
      </w:r>
    </w:p>
    <w:p w:rsidR="005943F0" w:rsidRPr="005943F0" w:rsidRDefault="005943F0" w:rsidP="00112F4F">
      <w:pPr>
        <w:widowControl/>
        <w:autoSpaceDE/>
        <w:autoSpaceDN/>
        <w:adjustRightInd/>
        <w:rPr>
          <w:color w:val="000000"/>
          <w:sz w:val="24"/>
        </w:rPr>
      </w:pPr>
      <w:r w:rsidRPr="005943F0">
        <w:rPr>
          <w:color w:val="000000"/>
          <w:sz w:val="24"/>
        </w:rPr>
        <w:lastRenderedPageBreak/>
        <w:t>OOIDA asked several questions.  First, OOIDA asked why FMCSA initiated a</w:t>
      </w:r>
      <w:r w:rsidRPr="005943F0">
        <w:rPr>
          <w:color w:val="000000"/>
          <w:spacing w:val="-1"/>
          <w:sz w:val="24"/>
        </w:rPr>
        <w:t xml:space="preserve"> re</w:t>
      </w:r>
      <w:r w:rsidRPr="005943F0">
        <w:rPr>
          <w:color w:val="000000"/>
          <w:sz w:val="24"/>
        </w:rPr>
        <w:t>q</w:t>
      </w:r>
      <w:r w:rsidRPr="005943F0">
        <w:rPr>
          <w:color w:val="000000"/>
          <w:spacing w:val="2"/>
          <w:sz w:val="24"/>
        </w:rPr>
        <w:t>u</w:t>
      </w:r>
      <w:r w:rsidRPr="005943F0">
        <w:rPr>
          <w:color w:val="000000"/>
          <w:spacing w:val="-1"/>
          <w:sz w:val="24"/>
        </w:rPr>
        <w:t>e</w:t>
      </w:r>
      <w:r w:rsidRPr="005943F0">
        <w:rPr>
          <w:color w:val="000000"/>
          <w:sz w:val="24"/>
        </w:rPr>
        <w:t>st</w:t>
      </w:r>
      <w:r w:rsidRPr="005943F0">
        <w:rPr>
          <w:color w:val="000000"/>
          <w:spacing w:val="1"/>
          <w:sz w:val="24"/>
        </w:rPr>
        <w:t xml:space="preserve"> </w:t>
      </w:r>
      <w:r w:rsidRPr="005943F0">
        <w:rPr>
          <w:color w:val="000000"/>
          <w:spacing w:val="-1"/>
          <w:sz w:val="24"/>
        </w:rPr>
        <w:t>f</w:t>
      </w:r>
      <w:r w:rsidRPr="005943F0">
        <w:rPr>
          <w:color w:val="000000"/>
          <w:sz w:val="24"/>
        </w:rPr>
        <w:t>or</w:t>
      </w:r>
      <w:r w:rsidRPr="005943F0">
        <w:rPr>
          <w:color w:val="000000"/>
          <w:spacing w:val="2"/>
          <w:sz w:val="24"/>
        </w:rPr>
        <w:t xml:space="preserve"> </w:t>
      </w:r>
      <w:r w:rsidRPr="005943F0">
        <w:rPr>
          <w:color w:val="000000"/>
          <w:spacing w:val="-1"/>
          <w:sz w:val="24"/>
        </w:rPr>
        <w:t>c</w:t>
      </w:r>
      <w:r w:rsidRPr="005943F0">
        <w:rPr>
          <w:color w:val="000000"/>
          <w:sz w:val="24"/>
        </w:rPr>
        <w:t>o</w:t>
      </w:r>
      <w:r w:rsidRPr="005943F0">
        <w:rPr>
          <w:color w:val="000000"/>
          <w:spacing w:val="-2"/>
          <w:sz w:val="24"/>
        </w:rPr>
        <w:t>mm</w:t>
      </w:r>
      <w:r w:rsidRPr="005943F0">
        <w:rPr>
          <w:color w:val="000000"/>
          <w:spacing w:val="-1"/>
          <w:sz w:val="24"/>
        </w:rPr>
        <w:t>e</w:t>
      </w:r>
      <w:r w:rsidRPr="005943F0">
        <w:rPr>
          <w:color w:val="000000"/>
          <w:sz w:val="24"/>
        </w:rPr>
        <w:t>nts on th</w:t>
      </w:r>
      <w:r w:rsidRPr="005943F0">
        <w:rPr>
          <w:color w:val="000000"/>
          <w:spacing w:val="1"/>
          <w:sz w:val="24"/>
        </w:rPr>
        <w:t>i</w:t>
      </w:r>
      <w:r w:rsidRPr="005943F0">
        <w:rPr>
          <w:color w:val="000000"/>
          <w:sz w:val="24"/>
        </w:rPr>
        <w:t>s</w:t>
      </w:r>
      <w:r w:rsidRPr="005943F0">
        <w:rPr>
          <w:color w:val="000000"/>
          <w:spacing w:val="6"/>
          <w:sz w:val="24"/>
        </w:rPr>
        <w:t xml:space="preserve"> </w:t>
      </w:r>
      <w:r w:rsidRPr="005943F0">
        <w:rPr>
          <w:color w:val="000000"/>
          <w:spacing w:val="-13"/>
          <w:sz w:val="24"/>
        </w:rPr>
        <w:t>I</w:t>
      </w:r>
      <w:r w:rsidRPr="005943F0">
        <w:rPr>
          <w:color w:val="000000"/>
          <w:spacing w:val="1"/>
          <w:sz w:val="24"/>
        </w:rPr>
        <w:t>CR, as well as who, or what prompted the ICR, and what is the ICR’s purpose.</w:t>
      </w:r>
    </w:p>
    <w:p w:rsidR="005943F0" w:rsidRPr="005943F0" w:rsidRDefault="005943F0" w:rsidP="00112F4F">
      <w:pPr>
        <w:widowControl/>
        <w:autoSpaceDE/>
        <w:autoSpaceDN/>
        <w:adjustRightInd/>
        <w:rPr>
          <w:b/>
          <w:color w:val="000000"/>
          <w:sz w:val="24"/>
          <w:u w:val="single"/>
        </w:rPr>
      </w:pPr>
      <w:r w:rsidRPr="005943F0">
        <w:rPr>
          <w:b/>
          <w:color w:val="000000"/>
          <w:sz w:val="24"/>
          <w:u w:val="single"/>
        </w:rPr>
        <w:t>FMCSA Response</w:t>
      </w:r>
      <w:r w:rsidRPr="005943F0">
        <w:rPr>
          <w:color w:val="000000"/>
          <w:sz w:val="24"/>
          <w:u w:val="single"/>
        </w:rPr>
        <w:t>:</w:t>
      </w:r>
    </w:p>
    <w:p w:rsidR="005943F0" w:rsidRPr="005943F0" w:rsidRDefault="005943F0" w:rsidP="00112F4F">
      <w:pPr>
        <w:widowControl/>
        <w:autoSpaceDE/>
        <w:autoSpaceDN/>
        <w:adjustRightInd/>
        <w:ind w:firstLine="720"/>
        <w:rPr>
          <w:color w:val="000000"/>
          <w:sz w:val="24"/>
        </w:rPr>
      </w:pPr>
      <w:r w:rsidRPr="005943F0">
        <w:rPr>
          <w:color w:val="000000"/>
          <w:sz w:val="24"/>
        </w:rPr>
        <w:t>In 2009, the National Transportation Safety Board (NTSB) recommended to FMCSA that the Agency require passenger motor carriers be subject to the same limitations on the leasing of equipment as interstate for-hire motor carriers of cargo (</w:t>
      </w:r>
      <w:r w:rsidRPr="005943F0">
        <w:rPr>
          <w:i/>
          <w:iCs/>
          <w:color w:val="000000"/>
          <w:sz w:val="24"/>
        </w:rPr>
        <w:t>NTSB Recommendation H-09-33</w:t>
      </w:r>
      <w:r w:rsidRPr="005943F0">
        <w:rPr>
          <w:color w:val="000000"/>
          <w:sz w:val="24"/>
        </w:rPr>
        <w:t>).</w:t>
      </w:r>
      <w:r w:rsidRPr="005943F0">
        <w:rPr>
          <w:color w:val="000000"/>
          <w:sz w:val="24"/>
          <w:vertAlign w:val="superscript"/>
        </w:rPr>
        <w:footnoteReference w:id="2"/>
      </w:r>
      <w:r w:rsidRPr="005943F0">
        <w:rPr>
          <w:color w:val="000000"/>
          <w:sz w:val="24"/>
        </w:rPr>
        <w:t>  Since 2012, the OMB has published an FMCSA Unified Agenda entry entitled “Lease and Interchange of Vehicles; Motor Carriers of Passengers,” RIN 2126-AB44, addressing regulations governing the lease and interchange of passenger-carrying commercial motor vehicles similar to the leasing of equipment by interstate for-hire motor carriers of cargo.</w:t>
      </w:r>
      <w:r w:rsidRPr="005943F0">
        <w:rPr>
          <w:color w:val="000000"/>
          <w:sz w:val="24"/>
          <w:vertAlign w:val="superscript"/>
        </w:rPr>
        <w:footnoteReference w:id="3"/>
      </w:r>
      <w:r w:rsidRPr="005943F0">
        <w:rPr>
          <w:color w:val="000000"/>
          <w:sz w:val="24"/>
        </w:rPr>
        <w:t xml:space="preserve">  FMCSA published a notice of public rulemaking (NPRM) entitled, “Lease and Interchange of Vehicles:  Motor Carriers of Passengers,” (bus carrier NPRM) under RIN 2126-AB44 on September 20, 2013 (78 FR 57822).  The proposal for bus carriers to address the NTSB recommendation has similar information collection requirements as the truck leasing rules.  Therefore, FMCSA will coordinate the bus and truck ICRs accordingly.</w:t>
      </w:r>
    </w:p>
    <w:p w:rsidR="005943F0" w:rsidRPr="005943F0" w:rsidRDefault="005943F0" w:rsidP="00112F4F">
      <w:pPr>
        <w:widowControl/>
        <w:autoSpaceDE/>
        <w:autoSpaceDN/>
        <w:adjustRightInd/>
        <w:ind w:firstLine="720"/>
        <w:rPr>
          <w:color w:val="000000"/>
          <w:sz w:val="24"/>
        </w:rPr>
      </w:pPr>
      <w:r w:rsidRPr="005943F0">
        <w:rPr>
          <w:color w:val="000000"/>
          <w:sz w:val="24"/>
        </w:rPr>
        <w:t xml:space="preserve">In addition, the bus carrier NPRM is necessary to ensure that unsafe passenger carriers cannot evade FMCSA oversight and enforcement by operating under the authority of another carrier that exercises no actual control over those operations.  This action will enable the FMCSA, the NTSB and our Federal and State partners to identify motor carriers transporting passengers in interstate commerce and correctly assign responsibility to these entities for regulatory violations during inspections, compliance investigations, and crash studies.  It also provides the general public with the means to identify the responsible motor carrier at the time of </w:t>
      </w:r>
      <w:proofErr w:type="spellStart"/>
      <w:r w:rsidRPr="005943F0">
        <w:rPr>
          <w:color w:val="000000"/>
          <w:sz w:val="24"/>
        </w:rPr>
        <w:t>motorcoach</w:t>
      </w:r>
      <w:proofErr w:type="spellEnd"/>
      <w:r w:rsidRPr="005943F0">
        <w:rPr>
          <w:color w:val="000000"/>
          <w:sz w:val="24"/>
        </w:rPr>
        <w:t xml:space="preserve"> transportation. </w:t>
      </w:r>
    </w:p>
    <w:p w:rsidR="00112F4F" w:rsidRDefault="00112F4F" w:rsidP="00112F4F">
      <w:pPr>
        <w:widowControl/>
        <w:autoSpaceDE/>
        <w:autoSpaceDN/>
        <w:adjustRightInd/>
        <w:rPr>
          <w:color w:val="000000"/>
          <w:sz w:val="24"/>
        </w:rPr>
      </w:pPr>
    </w:p>
    <w:p w:rsidR="005943F0" w:rsidRPr="005943F0" w:rsidRDefault="005943F0" w:rsidP="00112F4F">
      <w:pPr>
        <w:widowControl/>
        <w:autoSpaceDE/>
        <w:autoSpaceDN/>
        <w:adjustRightInd/>
        <w:rPr>
          <w:color w:val="000000"/>
          <w:sz w:val="24"/>
        </w:rPr>
      </w:pPr>
      <w:r w:rsidRPr="005943F0">
        <w:rPr>
          <w:color w:val="000000"/>
          <w:sz w:val="24"/>
        </w:rPr>
        <w:t>“</w:t>
      </w:r>
      <w:r w:rsidRPr="005943F0">
        <w:rPr>
          <w:color w:val="000000"/>
          <w:spacing w:val="1"/>
          <w:sz w:val="24"/>
        </w:rPr>
        <w:t>W</w:t>
      </w:r>
      <w:r w:rsidRPr="005943F0">
        <w:rPr>
          <w:color w:val="000000"/>
          <w:sz w:val="24"/>
        </w:rPr>
        <w:t>hy</w:t>
      </w:r>
      <w:r w:rsidRPr="005943F0">
        <w:rPr>
          <w:color w:val="000000"/>
          <w:spacing w:val="-7"/>
          <w:sz w:val="24"/>
        </w:rPr>
        <w:t xml:space="preserve"> </w:t>
      </w:r>
      <w:r w:rsidRPr="005943F0">
        <w:rPr>
          <w:color w:val="000000"/>
          <w:sz w:val="24"/>
        </w:rPr>
        <w:t>is</w:t>
      </w:r>
      <w:r w:rsidRPr="005943F0">
        <w:rPr>
          <w:color w:val="000000"/>
          <w:spacing w:val="1"/>
          <w:sz w:val="24"/>
        </w:rPr>
        <w:t xml:space="preserve"> </w:t>
      </w:r>
      <w:r w:rsidRPr="005943F0">
        <w:rPr>
          <w:color w:val="000000"/>
          <w:spacing w:val="-1"/>
          <w:sz w:val="24"/>
        </w:rPr>
        <w:t>F</w:t>
      </w:r>
      <w:r w:rsidRPr="005943F0">
        <w:rPr>
          <w:color w:val="000000"/>
          <w:spacing w:val="1"/>
          <w:sz w:val="24"/>
        </w:rPr>
        <w:t>MCS</w:t>
      </w:r>
      <w:r w:rsidRPr="005943F0">
        <w:rPr>
          <w:color w:val="000000"/>
          <w:sz w:val="24"/>
        </w:rPr>
        <w:t xml:space="preserve">A </w:t>
      </w:r>
      <w:r w:rsidRPr="005943F0">
        <w:rPr>
          <w:color w:val="000000"/>
          <w:spacing w:val="-1"/>
          <w:sz w:val="24"/>
        </w:rPr>
        <w:t>a</w:t>
      </w:r>
      <w:r w:rsidRPr="005943F0">
        <w:rPr>
          <w:color w:val="000000"/>
          <w:sz w:val="24"/>
        </w:rPr>
        <w:t>tt</w:t>
      </w:r>
      <w:r w:rsidRPr="005943F0">
        <w:rPr>
          <w:color w:val="000000"/>
          <w:spacing w:val="-1"/>
          <w:sz w:val="24"/>
        </w:rPr>
        <w:t>e</w:t>
      </w:r>
      <w:r w:rsidRPr="005943F0">
        <w:rPr>
          <w:color w:val="000000"/>
          <w:sz w:val="24"/>
        </w:rPr>
        <w:t>mp</w:t>
      </w:r>
      <w:r w:rsidRPr="005943F0">
        <w:rPr>
          <w:color w:val="000000"/>
          <w:spacing w:val="1"/>
          <w:sz w:val="24"/>
        </w:rPr>
        <w:t>ti</w:t>
      </w:r>
      <w:r w:rsidRPr="005943F0">
        <w:rPr>
          <w:color w:val="000000"/>
          <w:spacing w:val="2"/>
          <w:sz w:val="24"/>
        </w:rPr>
        <w:t>n</w:t>
      </w:r>
      <w:r w:rsidRPr="005943F0">
        <w:rPr>
          <w:color w:val="000000"/>
          <w:sz w:val="24"/>
        </w:rPr>
        <w:t>g</w:t>
      </w:r>
      <w:r w:rsidRPr="005943F0">
        <w:rPr>
          <w:color w:val="000000"/>
          <w:spacing w:val="-2"/>
          <w:sz w:val="24"/>
        </w:rPr>
        <w:t xml:space="preserve"> </w:t>
      </w:r>
      <w:r w:rsidRPr="005943F0">
        <w:rPr>
          <w:color w:val="000000"/>
          <w:spacing w:val="3"/>
          <w:sz w:val="24"/>
        </w:rPr>
        <w:t>t</w:t>
      </w:r>
      <w:r w:rsidRPr="005943F0">
        <w:rPr>
          <w:color w:val="000000"/>
          <w:sz w:val="24"/>
        </w:rPr>
        <w:t>o stu</w:t>
      </w:r>
      <w:r w:rsidRPr="005943F0">
        <w:rPr>
          <w:color w:val="000000"/>
          <w:spacing w:val="5"/>
          <w:sz w:val="24"/>
        </w:rPr>
        <w:t>d</w:t>
      </w:r>
      <w:r w:rsidRPr="005943F0">
        <w:rPr>
          <w:color w:val="000000"/>
          <w:sz w:val="24"/>
        </w:rPr>
        <w:t>y</w:t>
      </w:r>
      <w:r w:rsidRPr="005943F0">
        <w:rPr>
          <w:color w:val="000000"/>
          <w:spacing w:val="-12"/>
          <w:sz w:val="24"/>
        </w:rPr>
        <w:t xml:space="preserve"> </w:t>
      </w:r>
      <w:r w:rsidRPr="005943F0">
        <w:rPr>
          <w:color w:val="000000"/>
          <w:spacing w:val="-1"/>
          <w:sz w:val="24"/>
        </w:rPr>
        <w:t>a</w:t>
      </w:r>
      <w:r w:rsidRPr="005943F0">
        <w:rPr>
          <w:color w:val="000000"/>
          <w:sz w:val="24"/>
        </w:rPr>
        <w:t>n</w:t>
      </w:r>
      <w:r w:rsidRPr="005943F0">
        <w:rPr>
          <w:color w:val="000000"/>
          <w:spacing w:val="3"/>
          <w:sz w:val="24"/>
        </w:rPr>
        <w:t xml:space="preserve"> </w:t>
      </w:r>
      <w:r w:rsidRPr="005943F0">
        <w:rPr>
          <w:color w:val="000000"/>
          <w:spacing w:val="-1"/>
          <w:sz w:val="24"/>
        </w:rPr>
        <w:t>ar</w:t>
      </w:r>
      <w:r w:rsidRPr="005943F0">
        <w:rPr>
          <w:color w:val="000000"/>
          <w:spacing w:val="1"/>
          <w:sz w:val="24"/>
        </w:rPr>
        <w:t>e</w:t>
      </w:r>
      <w:r w:rsidRPr="005943F0">
        <w:rPr>
          <w:color w:val="000000"/>
          <w:sz w:val="24"/>
        </w:rPr>
        <w:t>a</w:t>
      </w:r>
      <w:r w:rsidRPr="005943F0">
        <w:rPr>
          <w:color w:val="000000"/>
          <w:spacing w:val="-1"/>
          <w:sz w:val="24"/>
        </w:rPr>
        <w:t xml:space="preserve"> </w:t>
      </w:r>
      <w:r w:rsidRPr="005943F0">
        <w:rPr>
          <w:color w:val="000000"/>
          <w:spacing w:val="2"/>
          <w:sz w:val="24"/>
        </w:rPr>
        <w:t>o</w:t>
      </w:r>
      <w:r w:rsidRPr="005943F0">
        <w:rPr>
          <w:color w:val="000000"/>
          <w:sz w:val="24"/>
        </w:rPr>
        <w:t xml:space="preserve">f </w:t>
      </w:r>
      <w:r w:rsidRPr="005943F0">
        <w:rPr>
          <w:color w:val="000000"/>
          <w:spacing w:val="-1"/>
          <w:sz w:val="24"/>
        </w:rPr>
        <w:t>r</w:t>
      </w:r>
      <w:r w:rsidRPr="005943F0">
        <w:rPr>
          <w:color w:val="000000"/>
          <w:spacing w:val="1"/>
          <w:sz w:val="24"/>
        </w:rPr>
        <w:t>e</w:t>
      </w:r>
      <w:r w:rsidRPr="005943F0">
        <w:rPr>
          <w:color w:val="000000"/>
          <w:spacing w:val="-5"/>
          <w:sz w:val="24"/>
        </w:rPr>
        <w:t>g</w:t>
      </w:r>
      <w:r w:rsidRPr="005943F0">
        <w:rPr>
          <w:color w:val="000000"/>
          <w:sz w:val="24"/>
        </w:rPr>
        <w:t>ul</w:t>
      </w:r>
      <w:r w:rsidRPr="005943F0">
        <w:rPr>
          <w:color w:val="000000"/>
          <w:spacing w:val="-1"/>
          <w:sz w:val="24"/>
        </w:rPr>
        <w:t>a</w:t>
      </w:r>
      <w:r w:rsidRPr="005943F0">
        <w:rPr>
          <w:color w:val="000000"/>
          <w:sz w:val="24"/>
        </w:rPr>
        <w:t>t</w:t>
      </w:r>
      <w:r w:rsidRPr="005943F0">
        <w:rPr>
          <w:color w:val="000000"/>
          <w:spacing w:val="1"/>
          <w:sz w:val="24"/>
        </w:rPr>
        <w:t>i</w:t>
      </w:r>
      <w:r w:rsidRPr="005943F0">
        <w:rPr>
          <w:color w:val="000000"/>
          <w:sz w:val="24"/>
        </w:rPr>
        <w:t>on t</w:t>
      </w:r>
      <w:r w:rsidRPr="005943F0">
        <w:rPr>
          <w:color w:val="000000"/>
          <w:spacing w:val="1"/>
          <w:sz w:val="24"/>
        </w:rPr>
        <w:t>h</w:t>
      </w:r>
      <w:r w:rsidRPr="005943F0">
        <w:rPr>
          <w:color w:val="000000"/>
          <w:spacing w:val="-1"/>
          <w:sz w:val="24"/>
        </w:rPr>
        <w:t>a</w:t>
      </w:r>
      <w:r w:rsidRPr="005943F0">
        <w:rPr>
          <w:color w:val="000000"/>
          <w:sz w:val="24"/>
        </w:rPr>
        <w:t xml:space="preserve">t </w:t>
      </w:r>
      <w:r w:rsidRPr="005943F0">
        <w:rPr>
          <w:color w:val="000000"/>
          <w:spacing w:val="1"/>
          <w:sz w:val="24"/>
        </w:rPr>
        <w:t>C</w:t>
      </w:r>
      <w:r w:rsidRPr="005943F0">
        <w:rPr>
          <w:color w:val="000000"/>
          <w:sz w:val="24"/>
        </w:rPr>
        <w:t>on</w:t>
      </w:r>
      <w:r w:rsidRPr="005943F0">
        <w:rPr>
          <w:color w:val="000000"/>
          <w:spacing w:val="-5"/>
          <w:sz w:val="24"/>
        </w:rPr>
        <w:t>g</w:t>
      </w:r>
      <w:r w:rsidRPr="005943F0">
        <w:rPr>
          <w:color w:val="000000"/>
          <w:spacing w:val="2"/>
          <w:sz w:val="24"/>
        </w:rPr>
        <w:t>r</w:t>
      </w:r>
      <w:r w:rsidRPr="005943F0">
        <w:rPr>
          <w:color w:val="000000"/>
          <w:spacing w:val="-1"/>
          <w:sz w:val="24"/>
        </w:rPr>
        <w:t>e</w:t>
      </w:r>
      <w:r w:rsidRPr="005943F0">
        <w:rPr>
          <w:color w:val="000000"/>
          <w:sz w:val="24"/>
        </w:rPr>
        <w:t>ss</w:t>
      </w:r>
      <w:r w:rsidRPr="005943F0">
        <w:rPr>
          <w:color w:val="000000"/>
          <w:spacing w:val="5"/>
          <w:sz w:val="24"/>
        </w:rPr>
        <w:t xml:space="preserve"> </w:t>
      </w:r>
      <w:r w:rsidRPr="005943F0">
        <w:rPr>
          <w:color w:val="000000"/>
          <w:sz w:val="24"/>
        </w:rPr>
        <w:t>l</w:t>
      </w:r>
      <w:r w:rsidRPr="005943F0">
        <w:rPr>
          <w:color w:val="000000"/>
          <w:spacing w:val="-1"/>
          <w:sz w:val="24"/>
        </w:rPr>
        <w:t>ar</w:t>
      </w:r>
      <w:r w:rsidRPr="005943F0">
        <w:rPr>
          <w:color w:val="000000"/>
          <w:spacing w:val="-2"/>
          <w:sz w:val="24"/>
        </w:rPr>
        <w:t>g</w:t>
      </w:r>
      <w:r w:rsidRPr="005943F0">
        <w:rPr>
          <w:color w:val="000000"/>
          <w:spacing w:val="-1"/>
          <w:sz w:val="24"/>
        </w:rPr>
        <w:t>e</w:t>
      </w:r>
      <w:r w:rsidRPr="005943F0">
        <w:rPr>
          <w:color w:val="000000"/>
          <w:spacing w:val="8"/>
          <w:sz w:val="24"/>
        </w:rPr>
        <w:t>l</w:t>
      </w:r>
      <w:r w:rsidRPr="005943F0">
        <w:rPr>
          <w:color w:val="000000"/>
          <w:sz w:val="24"/>
        </w:rPr>
        <w:t>y</w:t>
      </w:r>
      <w:r w:rsidRPr="005943F0">
        <w:rPr>
          <w:color w:val="000000"/>
          <w:spacing w:val="-10"/>
          <w:sz w:val="24"/>
        </w:rPr>
        <w:t xml:space="preserve"> </w:t>
      </w:r>
      <w:r w:rsidRPr="005943F0">
        <w:rPr>
          <w:color w:val="000000"/>
          <w:sz w:val="24"/>
        </w:rPr>
        <w:t>l</w:t>
      </w:r>
      <w:r w:rsidRPr="005943F0">
        <w:rPr>
          <w:color w:val="000000"/>
          <w:spacing w:val="-1"/>
          <w:sz w:val="24"/>
        </w:rPr>
        <w:t>ef</w:t>
      </w:r>
      <w:r w:rsidRPr="005943F0">
        <w:rPr>
          <w:color w:val="000000"/>
          <w:sz w:val="24"/>
        </w:rPr>
        <w:t xml:space="preserve">t </w:t>
      </w:r>
      <w:r w:rsidRPr="005943F0">
        <w:rPr>
          <w:color w:val="000000"/>
          <w:spacing w:val="1"/>
          <w:sz w:val="24"/>
        </w:rPr>
        <w:t>i</w:t>
      </w:r>
      <w:r w:rsidRPr="005943F0">
        <w:rPr>
          <w:color w:val="000000"/>
          <w:sz w:val="24"/>
        </w:rPr>
        <w:t>n the h</w:t>
      </w:r>
      <w:r w:rsidRPr="005943F0">
        <w:rPr>
          <w:color w:val="000000"/>
          <w:spacing w:val="-1"/>
          <w:sz w:val="24"/>
        </w:rPr>
        <w:t>a</w:t>
      </w:r>
      <w:r w:rsidRPr="005943F0">
        <w:rPr>
          <w:color w:val="000000"/>
          <w:sz w:val="24"/>
        </w:rPr>
        <w:t xml:space="preserve">nds </w:t>
      </w:r>
      <w:r w:rsidRPr="005943F0">
        <w:rPr>
          <w:color w:val="000000"/>
          <w:spacing w:val="2"/>
          <w:sz w:val="24"/>
        </w:rPr>
        <w:t>o</w:t>
      </w:r>
      <w:r w:rsidRPr="005943F0">
        <w:rPr>
          <w:color w:val="000000"/>
          <w:sz w:val="24"/>
        </w:rPr>
        <w:t>f</w:t>
      </w:r>
      <w:r w:rsidRPr="005943F0">
        <w:rPr>
          <w:color w:val="000000"/>
          <w:spacing w:val="-1"/>
          <w:sz w:val="24"/>
        </w:rPr>
        <w:t xml:space="preserve"> </w:t>
      </w:r>
      <w:r w:rsidRPr="005943F0">
        <w:rPr>
          <w:color w:val="000000"/>
          <w:sz w:val="24"/>
        </w:rPr>
        <w:t>p</w:t>
      </w:r>
      <w:r w:rsidRPr="005943F0">
        <w:rPr>
          <w:color w:val="000000"/>
          <w:spacing w:val="-1"/>
          <w:sz w:val="24"/>
        </w:rPr>
        <w:t>r</w:t>
      </w:r>
      <w:r w:rsidRPr="005943F0">
        <w:rPr>
          <w:color w:val="000000"/>
          <w:sz w:val="24"/>
        </w:rPr>
        <w:t>iv</w:t>
      </w:r>
      <w:r w:rsidRPr="005943F0">
        <w:rPr>
          <w:color w:val="000000"/>
          <w:spacing w:val="-1"/>
          <w:sz w:val="24"/>
        </w:rPr>
        <w:t>a</w:t>
      </w:r>
      <w:r w:rsidRPr="005943F0">
        <w:rPr>
          <w:color w:val="000000"/>
          <w:sz w:val="24"/>
        </w:rPr>
        <w:t>te</w:t>
      </w:r>
      <w:r w:rsidRPr="005943F0">
        <w:rPr>
          <w:color w:val="000000"/>
          <w:spacing w:val="-1"/>
          <w:sz w:val="24"/>
        </w:rPr>
        <w:t xml:space="preserve"> </w:t>
      </w:r>
      <w:r w:rsidRPr="005943F0">
        <w:rPr>
          <w:color w:val="000000"/>
          <w:sz w:val="24"/>
        </w:rPr>
        <w:t>p</w:t>
      </w:r>
      <w:r w:rsidRPr="005943F0">
        <w:rPr>
          <w:color w:val="000000"/>
          <w:spacing w:val="-1"/>
          <w:sz w:val="24"/>
        </w:rPr>
        <w:t>ar</w:t>
      </w:r>
      <w:r w:rsidRPr="005943F0">
        <w:rPr>
          <w:color w:val="000000"/>
          <w:sz w:val="24"/>
        </w:rPr>
        <w:t>ti</w:t>
      </w:r>
      <w:r w:rsidRPr="005943F0">
        <w:rPr>
          <w:color w:val="000000"/>
          <w:spacing w:val="-1"/>
          <w:sz w:val="24"/>
        </w:rPr>
        <w:t>e</w:t>
      </w:r>
      <w:r w:rsidRPr="005943F0">
        <w:rPr>
          <w:color w:val="000000"/>
          <w:sz w:val="24"/>
        </w:rPr>
        <w:t xml:space="preserve">s </w:t>
      </w:r>
      <w:r w:rsidRPr="005943F0">
        <w:rPr>
          <w:color w:val="000000"/>
          <w:spacing w:val="-1"/>
          <w:sz w:val="24"/>
        </w:rPr>
        <w:t>a</w:t>
      </w:r>
      <w:r w:rsidRPr="005943F0">
        <w:rPr>
          <w:color w:val="000000"/>
          <w:sz w:val="24"/>
        </w:rPr>
        <w:t>nd th</w:t>
      </w:r>
      <w:r w:rsidRPr="005943F0">
        <w:rPr>
          <w:color w:val="000000"/>
          <w:spacing w:val="-1"/>
          <w:sz w:val="24"/>
        </w:rPr>
        <w:t>a</w:t>
      </w:r>
      <w:r w:rsidRPr="005943F0">
        <w:rPr>
          <w:color w:val="000000"/>
          <w:sz w:val="24"/>
        </w:rPr>
        <w:t xml:space="preserve">t </w:t>
      </w:r>
      <w:r w:rsidRPr="005943F0">
        <w:rPr>
          <w:color w:val="000000"/>
          <w:spacing w:val="-1"/>
          <w:sz w:val="24"/>
        </w:rPr>
        <w:t>F</w:t>
      </w:r>
      <w:r w:rsidRPr="005943F0">
        <w:rPr>
          <w:color w:val="000000"/>
          <w:sz w:val="24"/>
        </w:rPr>
        <w:t>M</w:t>
      </w:r>
      <w:r w:rsidRPr="005943F0">
        <w:rPr>
          <w:color w:val="000000"/>
          <w:spacing w:val="1"/>
          <w:sz w:val="24"/>
        </w:rPr>
        <w:t>CS</w:t>
      </w:r>
      <w:r w:rsidRPr="005943F0">
        <w:rPr>
          <w:color w:val="000000"/>
          <w:sz w:val="24"/>
        </w:rPr>
        <w:t>A h</w:t>
      </w:r>
      <w:r w:rsidRPr="005943F0">
        <w:rPr>
          <w:color w:val="000000"/>
          <w:spacing w:val="-1"/>
          <w:sz w:val="24"/>
        </w:rPr>
        <w:t>a</w:t>
      </w:r>
      <w:r w:rsidRPr="005943F0">
        <w:rPr>
          <w:color w:val="000000"/>
          <w:sz w:val="24"/>
        </w:rPr>
        <w:t xml:space="preserve">s </w:t>
      </w:r>
      <w:r w:rsidRPr="005943F0">
        <w:rPr>
          <w:color w:val="000000"/>
          <w:position w:val="-1"/>
          <w:sz w:val="24"/>
        </w:rPr>
        <w:t>st</w:t>
      </w:r>
      <w:r w:rsidRPr="005943F0">
        <w:rPr>
          <w:color w:val="000000"/>
          <w:spacing w:val="-1"/>
          <w:position w:val="-1"/>
          <w:sz w:val="24"/>
        </w:rPr>
        <w:t>ea</w:t>
      </w:r>
      <w:r w:rsidRPr="005943F0">
        <w:rPr>
          <w:color w:val="000000"/>
          <w:position w:val="-1"/>
          <w:sz w:val="24"/>
        </w:rPr>
        <w:t>d</w:t>
      </w:r>
      <w:r w:rsidRPr="005943F0">
        <w:rPr>
          <w:color w:val="000000"/>
          <w:spacing w:val="-1"/>
          <w:position w:val="-1"/>
          <w:sz w:val="24"/>
        </w:rPr>
        <w:t>fa</w:t>
      </w:r>
      <w:r w:rsidRPr="005943F0">
        <w:rPr>
          <w:color w:val="000000"/>
          <w:position w:val="-1"/>
          <w:sz w:val="24"/>
        </w:rPr>
        <w:t>st</w:t>
      </w:r>
      <w:r w:rsidRPr="005943F0">
        <w:rPr>
          <w:color w:val="000000"/>
          <w:spacing w:val="8"/>
          <w:position w:val="-1"/>
          <w:sz w:val="24"/>
        </w:rPr>
        <w:t>l</w:t>
      </w:r>
      <w:r w:rsidRPr="005943F0">
        <w:rPr>
          <w:color w:val="000000"/>
          <w:position w:val="-1"/>
          <w:sz w:val="24"/>
        </w:rPr>
        <w:t>y</w:t>
      </w:r>
      <w:r w:rsidRPr="005943F0">
        <w:rPr>
          <w:color w:val="000000"/>
          <w:spacing w:val="-12"/>
          <w:position w:val="-1"/>
          <w:sz w:val="24"/>
        </w:rPr>
        <w:t xml:space="preserve"> </w:t>
      </w:r>
      <w:r w:rsidRPr="005943F0">
        <w:rPr>
          <w:color w:val="000000"/>
          <w:spacing w:val="2"/>
          <w:position w:val="-1"/>
          <w:sz w:val="24"/>
        </w:rPr>
        <w:t>r</w:t>
      </w:r>
      <w:r w:rsidRPr="005943F0">
        <w:rPr>
          <w:color w:val="000000"/>
          <w:spacing w:val="-1"/>
          <w:position w:val="-1"/>
          <w:sz w:val="24"/>
        </w:rPr>
        <w:t>ef</w:t>
      </w:r>
      <w:r w:rsidRPr="005943F0">
        <w:rPr>
          <w:color w:val="000000"/>
          <w:position w:val="-1"/>
          <w:sz w:val="24"/>
        </w:rPr>
        <w:t>us</w:t>
      </w:r>
      <w:r w:rsidRPr="005943F0">
        <w:rPr>
          <w:color w:val="000000"/>
          <w:spacing w:val="-1"/>
          <w:position w:val="-1"/>
          <w:sz w:val="24"/>
        </w:rPr>
        <w:t>e</w:t>
      </w:r>
      <w:r w:rsidRPr="005943F0">
        <w:rPr>
          <w:color w:val="000000"/>
          <w:position w:val="-1"/>
          <w:sz w:val="24"/>
        </w:rPr>
        <w:t>d to b</w:t>
      </w:r>
      <w:r w:rsidRPr="005943F0">
        <w:rPr>
          <w:color w:val="000000"/>
          <w:spacing w:val="1"/>
          <w:position w:val="-1"/>
          <w:sz w:val="24"/>
        </w:rPr>
        <w:t>ec</w:t>
      </w:r>
      <w:r w:rsidRPr="005943F0">
        <w:rPr>
          <w:color w:val="000000"/>
          <w:position w:val="-1"/>
          <w:sz w:val="24"/>
        </w:rPr>
        <w:t>ome invo</w:t>
      </w:r>
      <w:r w:rsidRPr="005943F0">
        <w:rPr>
          <w:color w:val="000000"/>
          <w:spacing w:val="1"/>
          <w:position w:val="-1"/>
          <w:sz w:val="24"/>
        </w:rPr>
        <w:t>l</w:t>
      </w:r>
      <w:r w:rsidRPr="005943F0">
        <w:rPr>
          <w:color w:val="000000"/>
          <w:position w:val="-1"/>
          <w:sz w:val="24"/>
        </w:rPr>
        <w:t>v</w:t>
      </w:r>
      <w:r w:rsidRPr="005943F0">
        <w:rPr>
          <w:color w:val="000000"/>
          <w:spacing w:val="-1"/>
          <w:position w:val="-1"/>
          <w:sz w:val="24"/>
        </w:rPr>
        <w:t>e</w:t>
      </w:r>
      <w:r w:rsidRPr="005943F0">
        <w:rPr>
          <w:color w:val="000000"/>
          <w:position w:val="-1"/>
          <w:sz w:val="24"/>
        </w:rPr>
        <w:t>d in d</w:t>
      </w:r>
      <w:r w:rsidRPr="005943F0">
        <w:rPr>
          <w:color w:val="000000"/>
          <w:spacing w:val="-1"/>
          <w:position w:val="-1"/>
          <w:sz w:val="24"/>
        </w:rPr>
        <w:t>e</w:t>
      </w:r>
      <w:r w:rsidRPr="005943F0">
        <w:rPr>
          <w:color w:val="000000"/>
          <w:position w:val="-1"/>
          <w:sz w:val="24"/>
        </w:rPr>
        <w:t>spi</w:t>
      </w:r>
      <w:r w:rsidRPr="005943F0">
        <w:rPr>
          <w:color w:val="000000"/>
          <w:spacing w:val="1"/>
          <w:position w:val="-1"/>
          <w:sz w:val="24"/>
        </w:rPr>
        <w:t>t</w:t>
      </w:r>
      <w:r w:rsidRPr="005943F0">
        <w:rPr>
          <w:color w:val="000000"/>
          <w:position w:val="-1"/>
          <w:sz w:val="24"/>
        </w:rPr>
        <w:t>e</w:t>
      </w:r>
      <w:r w:rsidRPr="005943F0">
        <w:rPr>
          <w:color w:val="000000"/>
          <w:spacing w:val="-3"/>
          <w:position w:val="-1"/>
          <w:sz w:val="24"/>
        </w:rPr>
        <w:t xml:space="preserve"> </w:t>
      </w:r>
      <w:r w:rsidRPr="005943F0">
        <w:rPr>
          <w:color w:val="000000"/>
          <w:spacing w:val="-2"/>
          <w:position w:val="-1"/>
          <w:sz w:val="24"/>
        </w:rPr>
        <w:t>s</w:t>
      </w:r>
      <w:r w:rsidRPr="005943F0">
        <w:rPr>
          <w:color w:val="000000"/>
          <w:spacing w:val="-1"/>
          <w:position w:val="-1"/>
          <w:sz w:val="24"/>
        </w:rPr>
        <w:t>e</w:t>
      </w:r>
      <w:r w:rsidRPr="005943F0">
        <w:rPr>
          <w:color w:val="000000"/>
          <w:position w:val="-1"/>
          <w:sz w:val="24"/>
        </w:rPr>
        <w:t>v</w:t>
      </w:r>
      <w:r w:rsidRPr="005943F0">
        <w:rPr>
          <w:color w:val="000000"/>
          <w:spacing w:val="-1"/>
          <w:position w:val="-1"/>
          <w:sz w:val="24"/>
        </w:rPr>
        <w:t>e</w:t>
      </w:r>
      <w:r w:rsidRPr="005943F0">
        <w:rPr>
          <w:color w:val="000000"/>
          <w:position w:val="-1"/>
          <w:sz w:val="24"/>
        </w:rPr>
        <w:t>r</w:t>
      </w:r>
      <w:r w:rsidRPr="005943F0">
        <w:rPr>
          <w:color w:val="000000"/>
          <w:spacing w:val="-2"/>
          <w:position w:val="-1"/>
          <w:sz w:val="24"/>
        </w:rPr>
        <w:t>a</w:t>
      </w:r>
      <w:r w:rsidRPr="005943F0">
        <w:rPr>
          <w:color w:val="000000"/>
          <w:position w:val="-1"/>
          <w:sz w:val="24"/>
        </w:rPr>
        <w:t>l</w:t>
      </w:r>
      <w:r w:rsidRPr="005943F0">
        <w:rPr>
          <w:color w:val="000000"/>
          <w:spacing w:val="3"/>
          <w:position w:val="-1"/>
          <w:sz w:val="24"/>
        </w:rPr>
        <w:t xml:space="preserve"> </w:t>
      </w:r>
      <w:r w:rsidRPr="005943F0">
        <w:rPr>
          <w:color w:val="000000"/>
          <w:spacing w:val="-1"/>
          <w:position w:val="-1"/>
          <w:sz w:val="24"/>
        </w:rPr>
        <w:t>e</w:t>
      </w:r>
      <w:r w:rsidRPr="005943F0">
        <w:rPr>
          <w:color w:val="000000"/>
          <w:position w:val="-1"/>
          <w:sz w:val="24"/>
        </w:rPr>
        <w:t>nt</w:t>
      </w:r>
      <w:r w:rsidRPr="005943F0">
        <w:rPr>
          <w:color w:val="000000"/>
          <w:spacing w:val="-1"/>
          <w:position w:val="-1"/>
          <w:sz w:val="24"/>
        </w:rPr>
        <w:t>rea</w:t>
      </w:r>
      <w:r w:rsidRPr="005943F0">
        <w:rPr>
          <w:color w:val="000000"/>
          <w:position w:val="-1"/>
          <w:sz w:val="24"/>
        </w:rPr>
        <w:t>ti</w:t>
      </w:r>
      <w:r w:rsidRPr="005943F0">
        <w:rPr>
          <w:color w:val="000000"/>
          <w:spacing w:val="-1"/>
          <w:position w:val="-1"/>
          <w:sz w:val="24"/>
        </w:rPr>
        <w:t>e</w:t>
      </w:r>
      <w:r w:rsidRPr="005943F0">
        <w:rPr>
          <w:color w:val="000000"/>
          <w:position w:val="-1"/>
          <w:sz w:val="24"/>
        </w:rPr>
        <w:t xml:space="preserve">s </w:t>
      </w:r>
      <w:r w:rsidRPr="005943F0">
        <w:rPr>
          <w:color w:val="000000"/>
          <w:spacing w:val="5"/>
          <w:position w:val="-1"/>
          <w:sz w:val="24"/>
        </w:rPr>
        <w:t>b</w:t>
      </w:r>
      <w:r w:rsidRPr="005943F0">
        <w:rPr>
          <w:color w:val="000000"/>
          <w:position w:val="-1"/>
          <w:sz w:val="24"/>
        </w:rPr>
        <w:t>y</w:t>
      </w:r>
      <w:r w:rsidRPr="005943F0">
        <w:rPr>
          <w:color w:val="000000"/>
          <w:spacing w:val="-7"/>
          <w:position w:val="-1"/>
          <w:sz w:val="24"/>
        </w:rPr>
        <w:t xml:space="preserve"> </w:t>
      </w:r>
      <w:r w:rsidRPr="005943F0">
        <w:rPr>
          <w:color w:val="000000"/>
          <w:position w:val="-1"/>
          <w:sz w:val="24"/>
        </w:rPr>
        <w:t>O</w:t>
      </w:r>
      <w:r w:rsidRPr="005943F0">
        <w:rPr>
          <w:color w:val="000000"/>
          <w:spacing w:val="4"/>
          <w:position w:val="-1"/>
          <w:sz w:val="24"/>
        </w:rPr>
        <w:t>O</w:t>
      </w:r>
      <w:r w:rsidRPr="005943F0">
        <w:rPr>
          <w:color w:val="000000"/>
          <w:spacing w:val="-1"/>
          <w:position w:val="-1"/>
          <w:sz w:val="24"/>
        </w:rPr>
        <w:t>I</w:t>
      </w:r>
      <w:r w:rsidRPr="005943F0">
        <w:rPr>
          <w:color w:val="000000"/>
          <w:position w:val="-1"/>
          <w:sz w:val="24"/>
        </w:rPr>
        <w:t>DA</w:t>
      </w:r>
      <w:r w:rsidRPr="005943F0">
        <w:rPr>
          <w:color w:val="000000"/>
          <w:spacing w:val="-1"/>
          <w:position w:val="-1"/>
          <w:sz w:val="24"/>
        </w:rPr>
        <w:t xml:space="preserve"> </w:t>
      </w:r>
      <w:r w:rsidRPr="005943F0">
        <w:rPr>
          <w:color w:val="000000"/>
          <w:position w:val="-1"/>
          <w:sz w:val="24"/>
        </w:rPr>
        <w:t xml:space="preserve">in </w:t>
      </w:r>
      <w:r w:rsidRPr="005943F0">
        <w:rPr>
          <w:color w:val="000000"/>
          <w:spacing w:val="1"/>
          <w:position w:val="-1"/>
          <w:sz w:val="24"/>
        </w:rPr>
        <w:t>t</w:t>
      </w:r>
      <w:r w:rsidRPr="005943F0">
        <w:rPr>
          <w:color w:val="000000"/>
          <w:position w:val="-1"/>
          <w:sz w:val="24"/>
        </w:rPr>
        <w:t>he p</w:t>
      </w:r>
      <w:r w:rsidRPr="005943F0">
        <w:rPr>
          <w:color w:val="000000"/>
          <w:spacing w:val="-1"/>
          <w:position w:val="-1"/>
          <w:sz w:val="24"/>
        </w:rPr>
        <w:t>a</w:t>
      </w:r>
      <w:r w:rsidRPr="005943F0">
        <w:rPr>
          <w:color w:val="000000"/>
          <w:position w:val="-1"/>
          <w:sz w:val="24"/>
        </w:rPr>
        <w:t>s</w:t>
      </w:r>
      <w:r w:rsidRPr="005943F0">
        <w:rPr>
          <w:color w:val="000000"/>
          <w:spacing w:val="-2"/>
          <w:position w:val="-1"/>
          <w:sz w:val="24"/>
        </w:rPr>
        <w:t>t</w:t>
      </w:r>
      <w:r w:rsidRPr="005943F0">
        <w:rPr>
          <w:color w:val="000000"/>
          <w:position w:val="-1"/>
          <w:sz w:val="24"/>
        </w:rPr>
        <w:t>?</w:t>
      </w:r>
      <w:r w:rsidRPr="005943F0">
        <w:rPr>
          <w:color w:val="000000"/>
          <w:sz w:val="24"/>
        </w:rPr>
        <w:t>”</w:t>
      </w:r>
    </w:p>
    <w:p w:rsidR="005943F0" w:rsidRPr="005943F0" w:rsidRDefault="005943F0" w:rsidP="00112F4F">
      <w:pPr>
        <w:widowControl/>
        <w:autoSpaceDE/>
        <w:autoSpaceDN/>
        <w:adjustRightInd/>
        <w:rPr>
          <w:color w:val="000000"/>
          <w:sz w:val="24"/>
        </w:rPr>
      </w:pPr>
      <w:r w:rsidRPr="005943F0">
        <w:rPr>
          <w:b/>
          <w:color w:val="000000"/>
          <w:sz w:val="24"/>
          <w:u w:val="single"/>
        </w:rPr>
        <w:t>FMCSA Response</w:t>
      </w:r>
      <w:r w:rsidRPr="005943F0">
        <w:rPr>
          <w:color w:val="000000"/>
          <w:sz w:val="24"/>
        </w:rPr>
        <w:t>:</w:t>
      </w:r>
    </w:p>
    <w:p w:rsidR="005943F0" w:rsidRPr="005943F0" w:rsidRDefault="005943F0" w:rsidP="00112F4F">
      <w:pPr>
        <w:widowControl/>
        <w:autoSpaceDE/>
        <w:autoSpaceDN/>
        <w:adjustRightInd/>
        <w:ind w:firstLine="720"/>
        <w:rPr>
          <w:color w:val="000000"/>
          <w:sz w:val="24"/>
        </w:rPr>
      </w:pPr>
      <w:r w:rsidRPr="005943F0">
        <w:rPr>
          <w:color w:val="000000"/>
          <w:sz w:val="24"/>
        </w:rPr>
        <w:t xml:space="preserve">The detailed lease and interchange regulations for cargo-carrying vehicles have been in effect since 1950 and are not within the scope of the bus carrier NPRM.  The ICR in this </w:t>
      </w:r>
      <w:r w:rsidRPr="005943F0">
        <w:rPr>
          <w:iCs/>
          <w:color w:val="000000"/>
          <w:sz w:val="24"/>
          <w:u w:val="single"/>
        </w:rPr>
        <w:t>truck leasing</w:t>
      </w:r>
      <w:r w:rsidRPr="005943F0">
        <w:rPr>
          <w:i/>
          <w:iCs/>
          <w:color w:val="000000"/>
          <w:sz w:val="24"/>
        </w:rPr>
        <w:t xml:space="preserve"> </w:t>
      </w:r>
      <w:r w:rsidRPr="005943F0">
        <w:rPr>
          <w:iCs/>
          <w:color w:val="000000"/>
          <w:sz w:val="24"/>
        </w:rPr>
        <w:t>ICR</w:t>
      </w:r>
      <w:r w:rsidRPr="005943F0">
        <w:rPr>
          <w:i/>
          <w:iCs/>
          <w:color w:val="000000"/>
          <w:sz w:val="24"/>
        </w:rPr>
        <w:t xml:space="preserve"> </w:t>
      </w:r>
      <w:r w:rsidRPr="005943F0">
        <w:rPr>
          <w:color w:val="000000"/>
          <w:sz w:val="24"/>
        </w:rPr>
        <w:t xml:space="preserve">action will be coordinated with that of the </w:t>
      </w:r>
      <w:r w:rsidRPr="005943F0">
        <w:rPr>
          <w:iCs/>
          <w:color w:val="000000"/>
          <w:sz w:val="24"/>
        </w:rPr>
        <w:t>bus leasing NPRM</w:t>
      </w:r>
      <w:r w:rsidRPr="005943F0">
        <w:rPr>
          <w:color w:val="000000"/>
          <w:sz w:val="24"/>
        </w:rPr>
        <w:t xml:space="preserve"> to eventually calculate a total burden for all regulations covering </w:t>
      </w:r>
      <w:r w:rsidRPr="005943F0">
        <w:rPr>
          <w:iCs/>
          <w:color w:val="000000"/>
          <w:sz w:val="24"/>
          <w:u w:val="single"/>
        </w:rPr>
        <w:t>all leases and interchanges of CMVs</w:t>
      </w:r>
      <w:r w:rsidRPr="005943F0">
        <w:rPr>
          <w:iCs/>
          <w:color w:val="000000"/>
          <w:sz w:val="24"/>
        </w:rPr>
        <w:t xml:space="preserve"> regulated by FMCSA</w:t>
      </w:r>
      <w:r w:rsidRPr="005943F0">
        <w:rPr>
          <w:color w:val="000000"/>
          <w:sz w:val="24"/>
        </w:rPr>
        <w:t>.</w:t>
      </w:r>
    </w:p>
    <w:p w:rsidR="005943F0" w:rsidRPr="005943F0" w:rsidRDefault="005943F0" w:rsidP="00112F4F">
      <w:pPr>
        <w:widowControl/>
        <w:ind w:firstLine="720"/>
        <w:rPr>
          <w:sz w:val="24"/>
        </w:rPr>
      </w:pPr>
      <w:r w:rsidRPr="005943F0">
        <w:rPr>
          <w:color w:val="000000"/>
          <w:sz w:val="24"/>
        </w:rPr>
        <w:t>OOIDA correctly pointed out a mistake in the 60-day notice.  “This</w:t>
      </w:r>
      <w:r w:rsidRPr="005943F0">
        <w:rPr>
          <w:color w:val="000000"/>
          <w:spacing w:val="5"/>
          <w:sz w:val="24"/>
        </w:rPr>
        <w:t xml:space="preserve"> </w:t>
      </w:r>
      <w:r w:rsidRPr="005943F0">
        <w:rPr>
          <w:color w:val="000000"/>
          <w:spacing w:val="-10"/>
          <w:sz w:val="24"/>
        </w:rPr>
        <w:t>I</w:t>
      </w:r>
      <w:r w:rsidRPr="005943F0">
        <w:rPr>
          <w:color w:val="000000"/>
          <w:spacing w:val="1"/>
          <w:sz w:val="24"/>
        </w:rPr>
        <w:t>C</w:t>
      </w:r>
      <w:r w:rsidRPr="005943F0">
        <w:rPr>
          <w:color w:val="000000"/>
          <w:sz w:val="24"/>
        </w:rPr>
        <w:t>R</w:t>
      </w:r>
      <w:r w:rsidRPr="005943F0">
        <w:rPr>
          <w:color w:val="000000"/>
          <w:spacing w:val="1"/>
          <w:sz w:val="24"/>
        </w:rPr>
        <w:t xml:space="preserve"> </w:t>
      </w:r>
      <w:r w:rsidRPr="005943F0">
        <w:rPr>
          <w:color w:val="000000"/>
          <w:sz w:val="24"/>
        </w:rPr>
        <w:t>will</w:t>
      </w:r>
      <w:r w:rsidRPr="005943F0">
        <w:rPr>
          <w:color w:val="000000"/>
          <w:spacing w:val="1"/>
          <w:sz w:val="24"/>
        </w:rPr>
        <w:t xml:space="preserve"> </w:t>
      </w:r>
      <w:r w:rsidRPr="005943F0">
        <w:rPr>
          <w:color w:val="000000"/>
          <w:spacing w:val="-1"/>
          <w:sz w:val="24"/>
        </w:rPr>
        <w:t>e</w:t>
      </w:r>
      <w:r w:rsidRPr="005943F0">
        <w:rPr>
          <w:color w:val="000000"/>
          <w:sz w:val="24"/>
        </w:rPr>
        <w:t>n</w:t>
      </w:r>
      <w:r w:rsidRPr="005943F0">
        <w:rPr>
          <w:color w:val="000000"/>
          <w:spacing w:val="-1"/>
          <w:sz w:val="24"/>
        </w:rPr>
        <w:t>a</w:t>
      </w:r>
      <w:r w:rsidRPr="005943F0">
        <w:rPr>
          <w:color w:val="000000"/>
          <w:sz w:val="24"/>
        </w:rPr>
        <w:t>ble</w:t>
      </w:r>
      <w:r w:rsidRPr="005943F0">
        <w:rPr>
          <w:color w:val="000000"/>
          <w:spacing w:val="2"/>
          <w:sz w:val="24"/>
        </w:rPr>
        <w:t xml:space="preserve"> </w:t>
      </w:r>
      <w:r w:rsidRPr="005943F0">
        <w:rPr>
          <w:color w:val="000000"/>
          <w:spacing w:val="1"/>
          <w:sz w:val="24"/>
        </w:rPr>
        <w:t>F</w:t>
      </w:r>
      <w:r w:rsidRPr="005943F0">
        <w:rPr>
          <w:color w:val="000000"/>
          <w:sz w:val="24"/>
        </w:rPr>
        <w:t>M</w:t>
      </w:r>
      <w:r w:rsidRPr="005943F0">
        <w:rPr>
          <w:color w:val="000000"/>
          <w:spacing w:val="1"/>
          <w:sz w:val="24"/>
        </w:rPr>
        <w:t>CS</w:t>
      </w:r>
      <w:r w:rsidRPr="005943F0">
        <w:rPr>
          <w:color w:val="000000"/>
          <w:sz w:val="24"/>
        </w:rPr>
        <w:t>A to d</w:t>
      </w:r>
      <w:r w:rsidRPr="005943F0">
        <w:rPr>
          <w:color w:val="000000"/>
          <w:spacing w:val="1"/>
          <w:sz w:val="24"/>
        </w:rPr>
        <w:t>o</w:t>
      </w:r>
      <w:r w:rsidRPr="005943F0">
        <w:rPr>
          <w:color w:val="000000"/>
          <w:spacing w:val="-1"/>
          <w:sz w:val="24"/>
        </w:rPr>
        <w:t>c</w:t>
      </w:r>
      <w:r w:rsidRPr="005943F0">
        <w:rPr>
          <w:color w:val="000000"/>
          <w:sz w:val="24"/>
        </w:rPr>
        <w:t>um</w:t>
      </w:r>
      <w:r w:rsidRPr="005943F0">
        <w:rPr>
          <w:color w:val="000000"/>
          <w:spacing w:val="-1"/>
          <w:sz w:val="24"/>
        </w:rPr>
        <w:t>e</w:t>
      </w:r>
      <w:r w:rsidRPr="005943F0">
        <w:rPr>
          <w:color w:val="000000"/>
          <w:sz w:val="24"/>
        </w:rPr>
        <w:t>nt the bu</w:t>
      </w:r>
      <w:r w:rsidRPr="005943F0">
        <w:rPr>
          <w:color w:val="000000"/>
          <w:spacing w:val="-1"/>
          <w:sz w:val="24"/>
        </w:rPr>
        <w:t>r</w:t>
      </w:r>
      <w:r w:rsidRPr="005943F0">
        <w:rPr>
          <w:color w:val="000000"/>
          <w:sz w:val="24"/>
        </w:rPr>
        <w:t>d</w:t>
      </w:r>
      <w:r w:rsidRPr="005943F0">
        <w:rPr>
          <w:color w:val="000000"/>
          <w:spacing w:val="-1"/>
          <w:sz w:val="24"/>
        </w:rPr>
        <w:t>e</w:t>
      </w:r>
      <w:r w:rsidRPr="005943F0">
        <w:rPr>
          <w:color w:val="000000"/>
          <w:sz w:val="24"/>
        </w:rPr>
        <w:t xml:space="preserve">n </w:t>
      </w:r>
      <w:r w:rsidRPr="005943F0">
        <w:rPr>
          <w:color w:val="000000"/>
          <w:spacing w:val="-1"/>
          <w:sz w:val="24"/>
        </w:rPr>
        <w:t>a</w:t>
      </w:r>
      <w:r w:rsidRPr="005943F0">
        <w:rPr>
          <w:color w:val="000000"/>
          <w:sz w:val="24"/>
        </w:rPr>
        <w:t>ss</w:t>
      </w:r>
      <w:r w:rsidRPr="005943F0">
        <w:rPr>
          <w:color w:val="000000"/>
          <w:spacing w:val="2"/>
          <w:sz w:val="24"/>
        </w:rPr>
        <w:t>o</w:t>
      </w:r>
      <w:r w:rsidRPr="005943F0">
        <w:rPr>
          <w:color w:val="000000"/>
          <w:spacing w:val="-1"/>
          <w:sz w:val="24"/>
        </w:rPr>
        <w:t>c</w:t>
      </w:r>
      <w:r w:rsidRPr="005943F0">
        <w:rPr>
          <w:color w:val="000000"/>
          <w:sz w:val="24"/>
        </w:rPr>
        <w:t>i</w:t>
      </w:r>
      <w:r w:rsidRPr="005943F0">
        <w:rPr>
          <w:color w:val="000000"/>
          <w:spacing w:val="-1"/>
          <w:sz w:val="24"/>
        </w:rPr>
        <w:t>a</w:t>
      </w:r>
      <w:r w:rsidRPr="005943F0">
        <w:rPr>
          <w:color w:val="000000"/>
          <w:sz w:val="24"/>
        </w:rPr>
        <w:t>t</w:t>
      </w:r>
      <w:r w:rsidRPr="005943F0">
        <w:rPr>
          <w:color w:val="000000"/>
          <w:spacing w:val="-1"/>
          <w:sz w:val="24"/>
        </w:rPr>
        <w:t>e</w:t>
      </w:r>
      <w:r w:rsidRPr="005943F0">
        <w:rPr>
          <w:color w:val="000000"/>
          <w:sz w:val="24"/>
        </w:rPr>
        <w:t xml:space="preserve">d with the </w:t>
      </w:r>
      <w:r w:rsidRPr="005943F0">
        <w:rPr>
          <w:b/>
          <w:bCs/>
          <w:i/>
          <w:iCs/>
          <w:color w:val="000000"/>
          <w:spacing w:val="5"/>
          <w:sz w:val="24"/>
        </w:rPr>
        <w:t>m</w:t>
      </w:r>
      <w:r w:rsidRPr="005943F0">
        <w:rPr>
          <w:b/>
          <w:bCs/>
          <w:i/>
          <w:iCs/>
          <w:color w:val="000000"/>
          <w:sz w:val="24"/>
        </w:rPr>
        <w:t>ark</w:t>
      </w:r>
      <w:r w:rsidRPr="005943F0">
        <w:rPr>
          <w:b/>
          <w:bCs/>
          <w:i/>
          <w:iCs/>
          <w:color w:val="000000"/>
          <w:spacing w:val="-2"/>
          <w:sz w:val="24"/>
        </w:rPr>
        <w:t>i</w:t>
      </w:r>
      <w:r w:rsidRPr="005943F0">
        <w:rPr>
          <w:b/>
          <w:bCs/>
          <w:i/>
          <w:iCs/>
          <w:color w:val="000000"/>
          <w:spacing w:val="1"/>
          <w:sz w:val="24"/>
        </w:rPr>
        <w:t>n</w:t>
      </w:r>
      <w:r w:rsidRPr="005943F0">
        <w:rPr>
          <w:b/>
          <w:bCs/>
          <w:i/>
          <w:iCs/>
          <w:color w:val="000000"/>
          <w:sz w:val="24"/>
        </w:rPr>
        <w:t>g r</w:t>
      </w:r>
      <w:r w:rsidRPr="005943F0">
        <w:rPr>
          <w:b/>
          <w:bCs/>
          <w:i/>
          <w:iCs/>
          <w:color w:val="000000"/>
          <w:spacing w:val="-1"/>
          <w:sz w:val="24"/>
        </w:rPr>
        <w:t>e</w:t>
      </w:r>
      <w:r w:rsidRPr="005943F0">
        <w:rPr>
          <w:b/>
          <w:bCs/>
          <w:i/>
          <w:iCs/>
          <w:color w:val="000000"/>
          <w:sz w:val="24"/>
        </w:rPr>
        <w:t>g</w:t>
      </w:r>
      <w:r w:rsidRPr="005943F0">
        <w:rPr>
          <w:b/>
          <w:bCs/>
          <w:i/>
          <w:iCs/>
          <w:color w:val="000000"/>
          <w:spacing w:val="-1"/>
          <w:sz w:val="24"/>
        </w:rPr>
        <w:t>u</w:t>
      </w:r>
      <w:r w:rsidRPr="005943F0">
        <w:rPr>
          <w:b/>
          <w:bCs/>
          <w:i/>
          <w:iCs/>
          <w:color w:val="000000"/>
          <w:sz w:val="24"/>
        </w:rPr>
        <w:t>la</w:t>
      </w:r>
      <w:r w:rsidRPr="005943F0">
        <w:rPr>
          <w:b/>
          <w:bCs/>
          <w:i/>
          <w:iCs/>
          <w:color w:val="000000"/>
          <w:spacing w:val="1"/>
          <w:sz w:val="24"/>
        </w:rPr>
        <w:t>ti</w:t>
      </w:r>
      <w:r w:rsidRPr="005943F0">
        <w:rPr>
          <w:b/>
          <w:bCs/>
          <w:i/>
          <w:iCs/>
          <w:color w:val="000000"/>
          <w:spacing w:val="-5"/>
          <w:sz w:val="24"/>
        </w:rPr>
        <w:t>o</w:t>
      </w:r>
      <w:r w:rsidRPr="005943F0">
        <w:rPr>
          <w:b/>
          <w:bCs/>
          <w:i/>
          <w:iCs/>
          <w:color w:val="000000"/>
          <w:spacing w:val="1"/>
          <w:sz w:val="24"/>
        </w:rPr>
        <w:t>n</w:t>
      </w:r>
      <w:r w:rsidRPr="005943F0">
        <w:rPr>
          <w:b/>
          <w:bCs/>
          <w:i/>
          <w:iCs/>
          <w:color w:val="000000"/>
          <w:sz w:val="24"/>
        </w:rPr>
        <w:t xml:space="preserve">s </w:t>
      </w:r>
      <w:r w:rsidRPr="005943F0">
        <w:rPr>
          <w:color w:val="000000"/>
          <w:spacing w:val="-1"/>
          <w:sz w:val="24"/>
        </w:rPr>
        <w:t>c</w:t>
      </w:r>
      <w:r w:rsidRPr="005943F0">
        <w:rPr>
          <w:color w:val="000000"/>
          <w:sz w:val="24"/>
        </w:rPr>
        <w:t>odifi</w:t>
      </w:r>
      <w:r w:rsidRPr="005943F0">
        <w:rPr>
          <w:color w:val="000000"/>
          <w:spacing w:val="-1"/>
          <w:sz w:val="24"/>
        </w:rPr>
        <w:t>e</w:t>
      </w:r>
      <w:r w:rsidRPr="005943F0">
        <w:rPr>
          <w:color w:val="000000"/>
          <w:sz w:val="24"/>
        </w:rPr>
        <w:t xml:space="preserve">d in 49 </w:t>
      </w:r>
      <w:r w:rsidRPr="005943F0">
        <w:rPr>
          <w:color w:val="000000"/>
          <w:spacing w:val="1"/>
          <w:sz w:val="24"/>
        </w:rPr>
        <w:t>C</w:t>
      </w:r>
      <w:r w:rsidRPr="005943F0">
        <w:rPr>
          <w:color w:val="000000"/>
          <w:spacing w:val="-1"/>
          <w:sz w:val="24"/>
        </w:rPr>
        <w:t>F</w:t>
      </w:r>
      <w:r w:rsidRPr="005943F0">
        <w:rPr>
          <w:color w:val="000000"/>
          <w:spacing w:val="1"/>
          <w:sz w:val="24"/>
        </w:rPr>
        <w:t>R</w:t>
      </w:r>
      <w:r w:rsidRPr="005943F0">
        <w:rPr>
          <w:color w:val="000000"/>
          <w:sz w:val="24"/>
        </w:rPr>
        <w:t xml:space="preserve"> </w:t>
      </w:r>
      <w:proofErr w:type="gramStart"/>
      <w:r w:rsidRPr="005943F0">
        <w:rPr>
          <w:color w:val="000000"/>
          <w:sz w:val="24"/>
        </w:rPr>
        <w:t>p</w:t>
      </w:r>
      <w:r w:rsidRPr="005943F0">
        <w:rPr>
          <w:color w:val="000000"/>
          <w:spacing w:val="-1"/>
          <w:sz w:val="24"/>
        </w:rPr>
        <w:t>ar</w:t>
      </w:r>
      <w:r w:rsidRPr="005943F0">
        <w:rPr>
          <w:color w:val="000000"/>
          <w:sz w:val="24"/>
        </w:rPr>
        <w:t>t</w:t>
      </w:r>
      <w:proofErr w:type="gramEnd"/>
      <w:r w:rsidRPr="005943F0">
        <w:rPr>
          <w:color w:val="000000"/>
          <w:sz w:val="24"/>
        </w:rPr>
        <w:t xml:space="preserve"> 376.  FMCSA incorrectly identified a CMV marking notice instead of the lease and interchange regulations that are codified in 49 CFR part 376.   This error has been corrected in this notice and the associated Supporting Statement for this ICR.</w:t>
      </w:r>
    </w:p>
    <w:p w:rsidR="005943F0" w:rsidRPr="005943F0" w:rsidRDefault="005943F0" w:rsidP="00112F4F">
      <w:pPr>
        <w:keepNext/>
        <w:widowControl/>
        <w:autoSpaceDE/>
        <w:autoSpaceDN/>
        <w:adjustRightInd/>
        <w:ind w:firstLine="720"/>
        <w:rPr>
          <w:color w:val="000000"/>
          <w:sz w:val="24"/>
        </w:rPr>
      </w:pPr>
      <w:r w:rsidRPr="005943F0">
        <w:rPr>
          <w:rFonts w:eastAsia="Calibri"/>
          <w:sz w:val="24"/>
        </w:rPr>
        <w:t>Sharp Transport and TIA both believe the</w:t>
      </w:r>
      <w:r w:rsidRPr="005943F0">
        <w:rPr>
          <w:color w:val="000000"/>
          <w:sz w:val="24"/>
        </w:rPr>
        <w:t xml:space="preserve"> elimination of written lease and interchange requirements would be a mistake. TIA believes</w:t>
      </w:r>
      <w:r w:rsidRPr="005943F0">
        <w:rPr>
          <w:sz w:val="24"/>
        </w:rPr>
        <w:t xml:space="preserve"> that leasing requirements alleviate concerns within the transportation industry of fraudulent entities in the supply chain, by placing safeguards </w:t>
      </w:r>
      <w:r w:rsidRPr="005943F0">
        <w:rPr>
          <w:sz w:val="24"/>
        </w:rPr>
        <w:lastRenderedPageBreak/>
        <w:t xml:space="preserve">in the industry. TIA believes if this requirement is eliminated it will make it easier for carriers who are illegally brokering to continue the detrimental practice.  Sharp Transport believes removal of the </w:t>
      </w:r>
      <w:r w:rsidRPr="005943F0">
        <w:rPr>
          <w:color w:val="000000"/>
          <w:sz w:val="24"/>
        </w:rPr>
        <w:t>provisions will make enforcement impossible.</w:t>
      </w:r>
    </w:p>
    <w:p w:rsidR="005943F0" w:rsidRPr="005943F0" w:rsidRDefault="005943F0" w:rsidP="00112F4F">
      <w:pPr>
        <w:widowControl/>
        <w:autoSpaceDE/>
        <w:autoSpaceDN/>
        <w:adjustRightInd/>
        <w:rPr>
          <w:rFonts w:eastAsia="Calibri"/>
          <w:b/>
          <w:sz w:val="24"/>
        </w:rPr>
      </w:pPr>
      <w:r w:rsidRPr="005943F0">
        <w:rPr>
          <w:rFonts w:eastAsia="Calibri"/>
          <w:b/>
          <w:sz w:val="24"/>
          <w:u w:val="single"/>
        </w:rPr>
        <w:t>FMCSA Response</w:t>
      </w:r>
      <w:r w:rsidRPr="005943F0">
        <w:rPr>
          <w:rFonts w:eastAsia="Calibri"/>
          <w:b/>
          <w:sz w:val="24"/>
        </w:rPr>
        <w:t>:</w:t>
      </w:r>
    </w:p>
    <w:p w:rsidR="005943F0" w:rsidRDefault="005943F0" w:rsidP="00112F4F">
      <w:pPr>
        <w:widowControl/>
        <w:autoSpaceDE/>
        <w:autoSpaceDN/>
        <w:adjustRightInd/>
        <w:rPr>
          <w:sz w:val="24"/>
        </w:rPr>
      </w:pPr>
      <w:r w:rsidRPr="005943F0">
        <w:rPr>
          <w:bCs/>
          <w:color w:val="000000"/>
          <w:sz w:val="24"/>
        </w:rPr>
        <w:t xml:space="preserve">FMCSA has not proposed elimination of written leasing agreements.  FMCSA is merely attempting to comply with the Paperwork Reduction Act of 1995 requirements and Office of Management and Budget (OMB) regulations at 5 CFR 1320 to calculate an accurate estimate of the time and cost burdens to for-hire freight motor carriers to collect information during lease negotiations and document the lease, receipts, and other paperwork required by 49 CFR part 376.  </w:t>
      </w:r>
    </w:p>
    <w:p w:rsidR="005943F0" w:rsidRDefault="005943F0" w:rsidP="00112F4F">
      <w:pPr>
        <w:widowControl/>
        <w:autoSpaceDE/>
        <w:autoSpaceDN/>
        <w:adjustRightInd/>
        <w:rPr>
          <w:sz w:val="24"/>
        </w:rPr>
      </w:pPr>
    </w:p>
    <w:p w:rsidR="000563FB" w:rsidRPr="000563FB" w:rsidRDefault="00380E13" w:rsidP="00112F4F">
      <w:pPr>
        <w:widowControl/>
        <w:autoSpaceDE/>
        <w:autoSpaceDN/>
        <w:adjustRightInd/>
        <w:rPr>
          <w:sz w:val="24"/>
        </w:rPr>
      </w:pPr>
      <w:r>
        <w:rPr>
          <w:sz w:val="24"/>
        </w:rPr>
        <w:t>The t</w:t>
      </w:r>
      <w:r w:rsidR="000D2EA1">
        <w:rPr>
          <w:sz w:val="24"/>
        </w:rPr>
        <w:t>hree</w:t>
      </w:r>
      <w:r w:rsidR="000563FB">
        <w:rPr>
          <w:sz w:val="24"/>
        </w:rPr>
        <w:t xml:space="preserve"> comments </w:t>
      </w:r>
      <w:r>
        <w:rPr>
          <w:sz w:val="24"/>
        </w:rPr>
        <w:t xml:space="preserve">that </w:t>
      </w:r>
      <w:r w:rsidR="000563FB">
        <w:rPr>
          <w:sz w:val="24"/>
        </w:rPr>
        <w:t xml:space="preserve">were received in </w:t>
      </w:r>
      <w:r w:rsidR="000563FB" w:rsidRPr="000563FB">
        <w:rPr>
          <w:sz w:val="24"/>
        </w:rPr>
        <w:t>response to th</w:t>
      </w:r>
      <w:r>
        <w:rPr>
          <w:sz w:val="24"/>
        </w:rPr>
        <w:t>is</w:t>
      </w:r>
      <w:r w:rsidR="000563FB" w:rsidRPr="000563FB">
        <w:rPr>
          <w:sz w:val="24"/>
        </w:rPr>
        <w:t xml:space="preserve"> notice</w:t>
      </w:r>
      <w:r>
        <w:rPr>
          <w:sz w:val="24"/>
        </w:rPr>
        <w:t xml:space="preserve"> generally supported this ICR</w:t>
      </w:r>
      <w:r w:rsidR="000563FB" w:rsidRPr="000563FB">
        <w:rPr>
          <w:sz w:val="24"/>
        </w:rPr>
        <w:t>.</w:t>
      </w:r>
      <w:r w:rsidR="000563FB">
        <w:rPr>
          <w:sz w:val="24"/>
        </w:rPr>
        <w:t xml:space="preserve"> </w:t>
      </w:r>
      <w:r w:rsidR="00DE628E">
        <w:rPr>
          <w:sz w:val="24"/>
        </w:rPr>
        <w:t xml:space="preserve"> </w:t>
      </w:r>
      <w:r w:rsidR="001D2E0B">
        <w:rPr>
          <w:sz w:val="24"/>
        </w:rPr>
        <w:t>These comments will be used to improve the utility of this ICR.  T</w:t>
      </w:r>
      <w:r w:rsidR="00DE628E">
        <w:rPr>
          <w:sz w:val="24"/>
        </w:rPr>
        <w:t>he Agency</w:t>
      </w:r>
      <w:r>
        <w:rPr>
          <w:sz w:val="24"/>
        </w:rPr>
        <w:t>’s</w:t>
      </w:r>
      <w:r w:rsidR="00DE628E">
        <w:rPr>
          <w:sz w:val="24"/>
        </w:rPr>
        <w:t xml:space="preserve"> replies </w:t>
      </w:r>
      <w:r w:rsidR="000563FB" w:rsidRPr="000563FB">
        <w:rPr>
          <w:sz w:val="24"/>
        </w:rPr>
        <w:t>to</w:t>
      </w:r>
      <w:r w:rsidR="000563FB">
        <w:rPr>
          <w:sz w:val="24"/>
        </w:rPr>
        <w:t xml:space="preserve"> the</w:t>
      </w:r>
      <w:r w:rsidR="000563FB" w:rsidRPr="000563FB">
        <w:rPr>
          <w:sz w:val="24"/>
        </w:rPr>
        <w:t xml:space="preserve"> comment</w:t>
      </w:r>
      <w:r w:rsidR="000563FB">
        <w:rPr>
          <w:sz w:val="24"/>
        </w:rPr>
        <w:t>s</w:t>
      </w:r>
      <w:r w:rsidR="000563FB" w:rsidRPr="000563FB">
        <w:rPr>
          <w:sz w:val="24"/>
        </w:rPr>
        <w:t xml:space="preserve"> received </w:t>
      </w:r>
      <w:r w:rsidR="000563FB">
        <w:rPr>
          <w:sz w:val="24"/>
        </w:rPr>
        <w:t>are</w:t>
      </w:r>
      <w:r w:rsidR="000563FB" w:rsidRPr="000563FB">
        <w:rPr>
          <w:sz w:val="24"/>
        </w:rPr>
        <w:t xml:space="preserve"> provided at Attachment</w:t>
      </w:r>
      <w:r w:rsidR="00833715">
        <w:rPr>
          <w:sz w:val="24"/>
        </w:rPr>
        <w:t xml:space="preserve"> </w:t>
      </w:r>
      <w:r w:rsidR="000D2EA1">
        <w:rPr>
          <w:sz w:val="24"/>
        </w:rPr>
        <w:t>6</w:t>
      </w:r>
      <w:r w:rsidR="004F7E74">
        <w:rPr>
          <w:sz w:val="24"/>
        </w:rPr>
        <w:t xml:space="preserve"> and in the 30-day comment request Federal Register notice for this ICR</w:t>
      </w:r>
      <w:r w:rsidR="000563FB" w:rsidRPr="000563FB">
        <w:rPr>
          <w:sz w:val="24"/>
        </w:rPr>
        <w:t xml:space="preserve">.   </w:t>
      </w:r>
    </w:p>
    <w:p w:rsidR="000563FB" w:rsidRPr="000563FB" w:rsidRDefault="000563FB" w:rsidP="00245028">
      <w:pPr>
        <w:widowControl/>
        <w:autoSpaceDE/>
        <w:autoSpaceDN/>
        <w:adjustRightInd/>
        <w:ind w:left="720"/>
        <w:rPr>
          <w:sz w:val="24"/>
        </w:rPr>
      </w:pPr>
    </w:p>
    <w:p w:rsidR="000563FB" w:rsidRPr="000563FB" w:rsidRDefault="000563FB" w:rsidP="00245028">
      <w:pPr>
        <w:widowControl/>
        <w:autoSpaceDE/>
        <w:autoSpaceDN/>
        <w:adjustRightInd/>
        <w:rPr>
          <w:sz w:val="24"/>
        </w:rPr>
      </w:pPr>
      <w:r w:rsidRPr="000563FB">
        <w:rPr>
          <w:sz w:val="24"/>
        </w:rPr>
        <w:t xml:space="preserve">FMCSA published a second notice on </w:t>
      </w:r>
      <w:r w:rsidR="003E6BA7">
        <w:rPr>
          <w:sz w:val="24"/>
        </w:rPr>
        <w:t>March</w:t>
      </w:r>
      <w:r>
        <w:rPr>
          <w:sz w:val="24"/>
        </w:rPr>
        <w:t xml:space="preserve"> </w:t>
      </w:r>
      <w:r w:rsidR="005943F0">
        <w:rPr>
          <w:sz w:val="24"/>
        </w:rPr>
        <w:t>27</w:t>
      </w:r>
      <w:r w:rsidRPr="000563FB">
        <w:rPr>
          <w:sz w:val="24"/>
        </w:rPr>
        <w:t>, 201</w:t>
      </w:r>
      <w:r w:rsidR="002B55CF">
        <w:rPr>
          <w:sz w:val="24"/>
        </w:rPr>
        <w:t>4</w:t>
      </w:r>
      <w:r w:rsidRPr="000563FB">
        <w:rPr>
          <w:sz w:val="24"/>
        </w:rPr>
        <w:t xml:space="preserve"> (7</w:t>
      </w:r>
      <w:r w:rsidR="002B55CF">
        <w:rPr>
          <w:sz w:val="24"/>
        </w:rPr>
        <w:t>9</w:t>
      </w:r>
      <w:r w:rsidRPr="000563FB">
        <w:rPr>
          <w:sz w:val="24"/>
        </w:rPr>
        <w:t xml:space="preserve"> FR </w:t>
      </w:r>
      <w:r w:rsidR="005943F0">
        <w:rPr>
          <w:sz w:val="24"/>
        </w:rPr>
        <w:t>17226</w:t>
      </w:r>
      <w:r w:rsidRPr="000563FB">
        <w:rPr>
          <w:sz w:val="24"/>
        </w:rPr>
        <w:t>) (See Attachment</w:t>
      </w:r>
      <w:r w:rsidR="00833715">
        <w:rPr>
          <w:sz w:val="24"/>
        </w:rPr>
        <w:t xml:space="preserve"> </w:t>
      </w:r>
      <w:r w:rsidR="000D2EA1">
        <w:rPr>
          <w:sz w:val="24"/>
        </w:rPr>
        <w:t>7</w:t>
      </w:r>
      <w:r w:rsidRPr="000563FB">
        <w:rPr>
          <w:sz w:val="24"/>
        </w:rPr>
        <w:t xml:space="preserve">) with a 30-day comment period that announced this information collection was being submitted to OMB for approval. </w:t>
      </w:r>
      <w:r w:rsidRPr="000563FB">
        <w:rPr>
          <w:sz w:val="24"/>
        </w:rPr>
        <w:tab/>
      </w:r>
    </w:p>
    <w:p w:rsidR="000563FB" w:rsidRDefault="000563FB" w:rsidP="00245028">
      <w:pPr>
        <w:pStyle w:val="BodyText"/>
        <w:widowControl/>
      </w:pPr>
    </w:p>
    <w:p w:rsidR="00AD1AD8" w:rsidRDefault="00AD1AD8" w:rsidP="00245028">
      <w:pPr>
        <w:widowControl/>
        <w:rPr>
          <w:sz w:val="24"/>
        </w:rPr>
      </w:pPr>
      <w:r>
        <w:rPr>
          <w:b/>
          <w:bCs/>
          <w:sz w:val="24"/>
        </w:rPr>
        <w:t xml:space="preserve">9.  </w:t>
      </w:r>
      <w:r w:rsidR="00380B22">
        <w:rPr>
          <w:b/>
          <w:bCs/>
          <w:sz w:val="24"/>
        </w:rPr>
        <w:t>PAYMENT OR GIFTS TO RESPONDENTS</w:t>
      </w:r>
      <w:r w:rsidR="00380B22">
        <w:rPr>
          <w:sz w:val="24"/>
        </w:rPr>
        <w:t>.</w:t>
      </w:r>
    </w:p>
    <w:p w:rsidR="00AD1AD8" w:rsidRDefault="00AD1AD8" w:rsidP="00245028">
      <w:pPr>
        <w:widowControl/>
        <w:rPr>
          <w:sz w:val="24"/>
        </w:rPr>
      </w:pPr>
    </w:p>
    <w:p w:rsidR="00AD1AD8" w:rsidRDefault="00AD1AD8" w:rsidP="00245028">
      <w:pPr>
        <w:widowControl/>
        <w:rPr>
          <w:sz w:val="24"/>
        </w:rPr>
      </w:pPr>
      <w:r>
        <w:rPr>
          <w:sz w:val="24"/>
        </w:rPr>
        <w:t>Respondents are not provided with any payment or gift for this information collection.</w:t>
      </w:r>
    </w:p>
    <w:p w:rsidR="000E4C5D" w:rsidRDefault="000E4C5D" w:rsidP="00245028">
      <w:pPr>
        <w:widowControl/>
        <w:rPr>
          <w:sz w:val="24"/>
        </w:rPr>
      </w:pPr>
    </w:p>
    <w:p w:rsidR="00AD1AD8" w:rsidRDefault="00AD1AD8" w:rsidP="00245028">
      <w:pPr>
        <w:keepNext/>
        <w:widowControl/>
        <w:rPr>
          <w:sz w:val="24"/>
        </w:rPr>
      </w:pPr>
      <w:r>
        <w:rPr>
          <w:b/>
          <w:bCs/>
          <w:sz w:val="24"/>
        </w:rPr>
        <w:t xml:space="preserve">10.  </w:t>
      </w:r>
      <w:r w:rsidR="00380B22">
        <w:rPr>
          <w:b/>
          <w:bCs/>
          <w:sz w:val="24"/>
        </w:rPr>
        <w:t>ASSURANCE OF CONFIDENTIALITY.</w:t>
      </w:r>
    </w:p>
    <w:p w:rsidR="00AD1AD8" w:rsidRDefault="00AD1AD8" w:rsidP="00245028">
      <w:pPr>
        <w:keepNext/>
        <w:widowControl/>
        <w:rPr>
          <w:sz w:val="24"/>
        </w:rPr>
      </w:pPr>
    </w:p>
    <w:p w:rsidR="00985B7A" w:rsidRDefault="00985B7A" w:rsidP="00245028">
      <w:pPr>
        <w:keepLines/>
        <w:widowControl/>
        <w:rPr>
          <w:sz w:val="24"/>
        </w:rPr>
      </w:pPr>
      <w:r>
        <w:rPr>
          <w:sz w:val="24"/>
        </w:rPr>
        <w:t>Not applicable.</w:t>
      </w:r>
      <w:r w:rsidR="00380B22">
        <w:rPr>
          <w:sz w:val="24"/>
        </w:rPr>
        <w:t xml:space="preserve">  The leases and other agreements are developed and held by the lessor and lessee.  </w:t>
      </w:r>
    </w:p>
    <w:p w:rsidR="007534EE" w:rsidRDefault="007534EE" w:rsidP="00245028">
      <w:pPr>
        <w:widowControl/>
        <w:rPr>
          <w:b/>
          <w:bCs/>
          <w:sz w:val="24"/>
        </w:rPr>
      </w:pPr>
    </w:p>
    <w:p w:rsidR="00AD1AD8" w:rsidRDefault="00AD1AD8" w:rsidP="00245028">
      <w:pPr>
        <w:keepNext/>
        <w:keepLines/>
        <w:widowControl/>
        <w:rPr>
          <w:sz w:val="24"/>
        </w:rPr>
      </w:pPr>
      <w:r>
        <w:rPr>
          <w:b/>
          <w:bCs/>
          <w:sz w:val="24"/>
        </w:rPr>
        <w:t xml:space="preserve">11.  </w:t>
      </w:r>
      <w:r w:rsidR="00380B22">
        <w:rPr>
          <w:b/>
          <w:bCs/>
          <w:sz w:val="24"/>
        </w:rPr>
        <w:t>JUSTIFICATION FOR COLLECTION OF SENSITIVE INFORMATION</w:t>
      </w:r>
      <w:r w:rsidR="00380B22">
        <w:rPr>
          <w:sz w:val="24"/>
        </w:rPr>
        <w:t>.</w:t>
      </w:r>
    </w:p>
    <w:p w:rsidR="00AD1AD8" w:rsidRDefault="00AD1AD8" w:rsidP="00245028">
      <w:pPr>
        <w:keepNext/>
        <w:keepLines/>
        <w:widowControl/>
        <w:rPr>
          <w:sz w:val="24"/>
        </w:rPr>
      </w:pPr>
    </w:p>
    <w:p w:rsidR="00AD1AD8" w:rsidRDefault="00AD1AD8" w:rsidP="00245028">
      <w:pPr>
        <w:pStyle w:val="BodyText"/>
        <w:keepLines/>
        <w:widowControl/>
      </w:pPr>
      <w:r>
        <w:t>There are no questions of a sensitive nature.</w:t>
      </w:r>
    </w:p>
    <w:p w:rsidR="00AD1AD8" w:rsidRDefault="00AD1AD8" w:rsidP="00245028">
      <w:pPr>
        <w:widowControl/>
        <w:rPr>
          <w:sz w:val="24"/>
        </w:rPr>
      </w:pPr>
    </w:p>
    <w:p w:rsidR="003E7470" w:rsidRDefault="00AD1AD8" w:rsidP="00245028">
      <w:pPr>
        <w:widowControl/>
        <w:rPr>
          <w:sz w:val="24"/>
        </w:rPr>
      </w:pPr>
      <w:r>
        <w:rPr>
          <w:b/>
          <w:bCs/>
          <w:sz w:val="24"/>
        </w:rPr>
        <w:t xml:space="preserve">12.  </w:t>
      </w:r>
      <w:r w:rsidR="00380B22">
        <w:rPr>
          <w:b/>
          <w:bCs/>
          <w:sz w:val="24"/>
        </w:rPr>
        <w:t>ESTIMATES OF BURDEN HOURS FOR INFORMATION REQUESTED</w:t>
      </w:r>
      <w:r w:rsidR="00380B22">
        <w:rPr>
          <w:sz w:val="24"/>
        </w:rPr>
        <w:t>.</w:t>
      </w:r>
    </w:p>
    <w:p w:rsidR="00363985" w:rsidRDefault="00363985" w:rsidP="00363985">
      <w:pPr>
        <w:widowControl/>
        <w:rPr>
          <w:sz w:val="24"/>
        </w:rPr>
      </w:pPr>
    </w:p>
    <w:p w:rsidR="00363985" w:rsidRDefault="00363985" w:rsidP="00363985">
      <w:pPr>
        <w:pStyle w:val="BodyText"/>
        <w:widowControl/>
      </w:pPr>
      <w:r>
        <w:t xml:space="preserve">Part 376 applies only </w:t>
      </w:r>
      <w:r w:rsidR="003E6BA7">
        <w:t xml:space="preserve">to </w:t>
      </w:r>
      <w:r>
        <w:t xml:space="preserve">certain motor carriers in interstate commerce and only </w:t>
      </w:r>
      <w:r w:rsidR="003E6BA7">
        <w:t xml:space="preserve">to </w:t>
      </w:r>
      <w:r>
        <w:t xml:space="preserve">certain leasing situations.  The rules cover leasing between a for-hire carrier that does not hold an operating authority and another for-hire carrier that does hold operating authority.  To determine the number of affected carriers, FMCSA used data from its Motor Carrier Management Information System (MCMIS) database from September 2012. Because straight trucks generally operate locally, FMCSA focused on carriers that lease CMVs that pull one or more trailers.  Because household goods carriers have relatively low mileage per CMV (20,000 to 35,000 miles/year), FMCSA included in its estimates all carriers that term-lease CMVs and average more than 20,000 miles per CMV.  This approach is conservative because it is likely that many of the leased vehicles/drivers are being leased from carriers that hold their own operating authority.    </w:t>
      </w:r>
      <w:r w:rsidR="00225406">
        <w:t xml:space="preserve">Based on </w:t>
      </w:r>
      <w:r w:rsidR="0039230C">
        <w:t xml:space="preserve">the </w:t>
      </w:r>
      <w:r w:rsidR="00225406">
        <w:t xml:space="preserve">MCMIS data, </w:t>
      </w:r>
      <w:r>
        <w:t xml:space="preserve">FMCSA estimates that </w:t>
      </w:r>
      <w:r w:rsidR="00C66F75">
        <w:t xml:space="preserve">about </w:t>
      </w:r>
      <w:r>
        <w:t>16,500 for-hire carriers lease 311,000 CMVs</w:t>
      </w:r>
      <w:r w:rsidR="00C66F75">
        <w:t xml:space="preserve"> annually</w:t>
      </w:r>
      <w:r>
        <w:t>.</w:t>
      </w:r>
    </w:p>
    <w:p w:rsidR="00363985" w:rsidRDefault="00363985" w:rsidP="00363985">
      <w:pPr>
        <w:pStyle w:val="BodyText"/>
        <w:widowControl/>
      </w:pPr>
    </w:p>
    <w:p w:rsidR="00363985" w:rsidRDefault="00363985" w:rsidP="00363985">
      <w:pPr>
        <w:pStyle w:val="BodyText"/>
        <w:widowControl/>
      </w:pPr>
      <w:r>
        <w:lastRenderedPageBreak/>
        <w:t xml:space="preserve">Section 376.11 requires a for-hire carrier to do the following when the carrier </w:t>
      </w:r>
      <w:r w:rsidR="00AE2044">
        <w:t xml:space="preserve">(lessee) </w:t>
      </w:r>
      <w:r>
        <w:t xml:space="preserve">leases equipment from a person </w:t>
      </w:r>
      <w:r w:rsidR="00AE2044">
        <w:t xml:space="preserve">(lessor) </w:t>
      </w:r>
      <w:r>
        <w:t>that does not hold its own operating authority and that is not a private carrier:</w:t>
      </w:r>
    </w:p>
    <w:p w:rsidR="00363985" w:rsidRDefault="00363985" w:rsidP="00363985">
      <w:pPr>
        <w:pStyle w:val="BodyText"/>
        <w:widowControl/>
      </w:pPr>
    </w:p>
    <w:p w:rsidR="00363985" w:rsidRDefault="00AE2044" w:rsidP="00363985">
      <w:pPr>
        <w:pStyle w:val="BodyText"/>
        <w:widowControl/>
        <w:numPr>
          <w:ilvl w:val="0"/>
          <w:numId w:val="4"/>
        </w:numPr>
      </w:pPr>
      <w:r>
        <w:t>T</w:t>
      </w:r>
      <w:r w:rsidR="00363985">
        <w:t>he lessor</w:t>
      </w:r>
      <w:r>
        <w:t xml:space="preserve"> and lessee enter into</w:t>
      </w:r>
      <w:r w:rsidR="00363985">
        <w:t xml:space="preserve"> a formal lease that specifies the terms and conditions</w:t>
      </w:r>
      <w:r>
        <w:t xml:space="preserve"> (49 CFR 376.12)</w:t>
      </w:r>
      <w:r w:rsidR="00363985">
        <w:t>.</w:t>
      </w:r>
    </w:p>
    <w:p w:rsidR="00363985" w:rsidRDefault="00AE2044" w:rsidP="00363985">
      <w:pPr>
        <w:pStyle w:val="BodyText"/>
        <w:widowControl/>
        <w:numPr>
          <w:ilvl w:val="0"/>
          <w:numId w:val="4"/>
        </w:numPr>
      </w:pPr>
      <w:r>
        <w:t>The lessee p</w:t>
      </w:r>
      <w:r w:rsidR="00363985">
        <w:t>rovide</w:t>
      </w:r>
      <w:r w:rsidR="006B29EF">
        <w:t>s</w:t>
      </w:r>
      <w:r w:rsidR="00363985">
        <w:t xml:space="preserve"> </w:t>
      </w:r>
      <w:r>
        <w:t xml:space="preserve">the lessor with </w:t>
      </w:r>
      <w:r w:rsidR="00363985">
        <w:t>receipts specifying the equipment being leased at the beginning of the lease and at the end of the lease if required by the lease.</w:t>
      </w:r>
    </w:p>
    <w:p w:rsidR="00363985" w:rsidRDefault="00281936" w:rsidP="00363985">
      <w:pPr>
        <w:pStyle w:val="BodyText"/>
        <w:widowControl/>
        <w:numPr>
          <w:ilvl w:val="0"/>
          <w:numId w:val="4"/>
        </w:numPr>
      </w:pPr>
      <w:r>
        <w:t>The lessee shall e</w:t>
      </w:r>
      <w:r w:rsidR="00363985">
        <w:t>nsure that either a copy of the lease or a statement certifying its use is on each piece of leased equipment.</w:t>
      </w:r>
    </w:p>
    <w:p w:rsidR="00363985" w:rsidRDefault="00281936" w:rsidP="00363985">
      <w:pPr>
        <w:pStyle w:val="BodyText"/>
        <w:widowControl/>
        <w:numPr>
          <w:ilvl w:val="0"/>
          <w:numId w:val="4"/>
        </w:numPr>
      </w:pPr>
      <w:r>
        <w:t>The lessee shall p</w:t>
      </w:r>
      <w:r w:rsidR="00363985">
        <w:t xml:space="preserve">repare and keep documents for each trip for each piece of leased equipment.  </w:t>
      </w:r>
      <w:r>
        <w:t>It should also c</w:t>
      </w:r>
      <w:r w:rsidR="00363985">
        <w:t>arry papers on the equipment documenting each trip and retain the records; a master lease and freight documents can replace these records.</w:t>
      </w:r>
    </w:p>
    <w:p w:rsidR="00363985" w:rsidRDefault="00363985" w:rsidP="00363985">
      <w:pPr>
        <w:pStyle w:val="BodyText"/>
        <w:widowControl/>
      </w:pPr>
    </w:p>
    <w:p w:rsidR="00363985" w:rsidRDefault="00363985" w:rsidP="00363985">
      <w:pPr>
        <w:pStyle w:val="BodyText"/>
        <w:widowControl/>
        <w:rPr>
          <w:color w:val="000000"/>
        </w:rPr>
      </w:pPr>
      <w:r>
        <w:rPr>
          <w:color w:val="000000"/>
        </w:rPr>
        <w:t xml:space="preserve">Most authorized carriers that lease equipment lease both power units and drivers, often from a </w:t>
      </w:r>
      <w:r w:rsidR="009C02D9">
        <w:rPr>
          <w:color w:val="000000"/>
        </w:rPr>
        <w:t xml:space="preserve">(lessee) </w:t>
      </w:r>
      <w:r>
        <w:rPr>
          <w:color w:val="000000"/>
        </w:rPr>
        <w:t xml:space="preserve">driver who owns a single CMV, and sometimes from many such drivers.  </w:t>
      </w:r>
      <w:r w:rsidRPr="002B55CF">
        <w:rPr>
          <w:color w:val="000000"/>
        </w:rPr>
        <w:t>The leasing carrier</w:t>
      </w:r>
      <w:r w:rsidR="00382A1D" w:rsidRPr="002B55CF">
        <w:rPr>
          <w:color w:val="000000"/>
        </w:rPr>
        <w:t>, or lessee,</w:t>
      </w:r>
      <w:r w:rsidRPr="002B55CF">
        <w:rPr>
          <w:color w:val="000000"/>
        </w:rPr>
        <w:t xml:space="preserve"> is assumed to have a master lease that it uses </w:t>
      </w:r>
      <w:r w:rsidR="009C02D9">
        <w:rPr>
          <w:color w:val="000000"/>
        </w:rPr>
        <w:t>for all lessors rather than negotiating the terms with each lessor.  Given this standardization, FMCSA assumes that time the lessor spends reviewing the lease is negligible</w:t>
      </w:r>
      <w:r w:rsidR="003E6BA7">
        <w:rPr>
          <w:color w:val="000000"/>
        </w:rPr>
        <w:t xml:space="preserve"> in the trucking context</w:t>
      </w:r>
      <w:r w:rsidR="009C02D9">
        <w:rPr>
          <w:color w:val="000000"/>
        </w:rPr>
        <w:t xml:space="preserve">.  </w:t>
      </w:r>
      <w:r>
        <w:rPr>
          <w:color w:val="000000"/>
        </w:rPr>
        <w:t xml:space="preserve">The lease or statement to be carried in the tractor will be standard documents that, once created, impose no additional burden.  Because trip records can be met by freight records, which are generated </w:t>
      </w:r>
      <w:r w:rsidR="003E6BA7">
        <w:rPr>
          <w:color w:val="000000"/>
        </w:rPr>
        <w:t>in the ordinary course</w:t>
      </w:r>
      <w:r>
        <w:rPr>
          <w:color w:val="000000"/>
        </w:rPr>
        <w:t xml:space="preserve"> of business, they impose no additional burden.  Similarly, receipts for the possession of the equipment are necessary documents that would be generated to establish legal responsibility at specific points in time.  Therefore, the burden associated with § 376.11 </w:t>
      </w:r>
      <w:proofErr w:type="gramStart"/>
      <w:r>
        <w:rPr>
          <w:color w:val="000000"/>
        </w:rPr>
        <w:t>is</w:t>
      </w:r>
      <w:proofErr w:type="gramEnd"/>
      <w:r>
        <w:rPr>
          <w:color w:val="000000"/>
        </w:rPr>
        <w:t xml:space="preserve"> the following:</w:t>
      </w:r>
    </w:p>
    <w:p w:rsidR="00363985" w:rsidRDefault="00363985" w:rsidP="00363985">
      <w:pPr>
        <w:pStyle w:val="BodyText"/>
        <w:widowControl/>
        <w:rPr>
          <w:color w:val="000000"/>
        </w:rPr>
      </w:pPr>
    </w:p>
    <w:p w:rsidR="00363985" w:rsidRPr="00515DE0" w:rsidRDefault="00363985" w:rsidP="00363985">
      <w:pPr>
        <w:pStyle w:val="BodyText"/>
        <w:widowControl/>
        <w:numPr>
          <w:ilvl w:val="0"/>
          <w:numId w:val="9"/>
        </w:numPr>
      </w:pPr>
      <w:r w:rsidRPr="000D0743">
        <w:rPr>
          <w:color w:val="000000"/>
        </w:rPr>
        <w:t>The creation of master leases by for-hire carriers that lease equipment and drivers from people without operating authority</w:t>
      </w:r>
      <w:r w:rsidRPr="008F4F51">
        <w:rPr>
          <w:color w:val="000000"/>
        </w:rPr>
        <w:t>.</w:t>
      </w:r>
    </w:p>
    <w:p w:rsidR="00363985" w:rsidRDefault="00363985" w:rsidP="00363985">
      <w:pPr>
        <w:pStyle w:val="BodyText"/>
        <w:widowControl/>
        <w:numPr>
          <w:ilvl w:val="0"/>
          <w:numId w:val="9"/>
        </w:numPr>
      </w:pPr>
      <w:r w:rsidRPr="000D0743">
        <w:rPr>
          <w:color w:val="000000"/>
        </w:rPr>
        <w:t>C</w:t>
      </w:r>
      <w:r>
        <w:t>reation of a statement or copy of the lease to be carried in each leased tractor/truck.</w:t>
      </w:r>
    </w:p>
    <w:p w:rsidR="00363985" w:rsidRDefault="00363985" w:rsidP="00363985">
      <w:pPr>
        <w:pStyle w:val="BodyText"/>
        <w:widowControl/>
        <w:ind w:left="360"/>
      </w:pPr>
    </w:p>
    <w:p w:rsidR="00EB1E09" w:rsidRDefault="00363985" w:rsidP="00363985">
      <w:pPr>
        <w:pStyle w:val="BodyText"/>
        <w:widowControl/>
        <w:rPr>
          <w:rFonts w:eastAsia="MS Mincho"/>
          <w:bCs/>
        </w:rPr>
      </w:pPr>
      <w:r>
        <w:rPr>
          <w:color w:val="000000"/>
        </w:rPr>
        <w:t xml:space="preserve">The analysis </w:t>
      </w:r>
      <w:r w:rsidRPr="008F4F51">
        <w:rPr>
          <w:color w:val="000000"/>
        </w:rPr>
        <w:t>assume</w:t>
      </w:r>
      <w:r>
        <w:rPr>
          <w:color w:val="000000"/>
        </w:rPr>
        <w:t>s</w:t>
      </w:r>
      <w:r w:rsidRPr="008F4F51">
        <w:rPr>
          <w:color w:val="000000"/>
        </w:rPr>
        <w:t xml:space="preserve"> that all impacted carriers will engage in </w:t>
      </w:r>
      <w:r w:rsidRPr="00540ACC">
        <w:rPr>
          <w:color w:val="000000"/>
        </w:rPr>
        <w:t>lease negotiation leading to a ‘master lease’ or repeat leases.</w:t>
      </w:r>
      <w:r w:rsidRPr="00540ACC">
        <w:rPr>
          <w:color w:val="000000"/>
          <w:vertAlign w:val="superscript"/>
        </w:rPr>
        <w:footnoteReference w:id="4"/>
      </w:r>
      <w:r w:rsidRPr="00540ACC">
        <w:rPr>
          <w:color w:val="000000"/>
        </w:rPr>
        <w:t xml:space="preserve"> T</w:t>
      </w:r>
      <w:r w:rsidRPr="00540ACC">
        <w:t xml:space="preserve">he Agency believes this </w:t>
      </w:r>
      <w:r w:rsidR="009C297E">
        <w:t xml:space="preserve">impact </w:t>
      </w:r>
      <w:r w:rsidRPr="00540ACC">
        <w:t xml:space="preserve">is minimal because several leases can be combined and negotiated as one (master) lease and many lease forms are available online and do not require legal assistance.  </w:t>
      </w:r>
      <w:r w:rsidRPr="002B55CF">
        <w:rPr>
          <w:rFonts w:eastAsia="MS Mincho"/>
          <w:bCs/>
        </w:rPr>
        <w:t xml:space="preserve">Lease negotiation and documentation </w:t>
      </w:r>
      <w:r w:rsidR="00A34A19" w:rsidRPr="002B55CF">
        <w:rPr>
          <w:rFonts w:eastAsia="MS Mincho"/>
          <w:bCs/>
        </w:rPr>
        <w:t>are assumed to be a</w:t>
      </w:r>
      <w:r w:rsidRPr="002B55CF">
        <w:rPr>
          <w:rFonts w:eastAsia="MS Mincho"/>
          <w:bCs/>
        </w:rPr>
        <w:t xml:space="preserve"> burden of 30 minutes (0.5 hours) of a transportation manager’s time</w:t>
      </w:r>
      <w:r w:rsidR="0081672D" w:rsidRPr="002B55CF">
        <w:rPr>
          <w:rFonts w:eastAsia="MS Mincho"/>
          <w:bCs/>
        </w:rPr>
        <w:t>.  This cost is applied to both the lessee and the lessor</w:t>
      </w:r>
      <w:r w:rsidRPr="002B55CF">
        <w:rPr>
          <w:rFonts w:eastAsia="MS Mincho"/>
          <w:bCs/>
        </w:rPr>
        <w:t>.</w:t>
      </w:r>
      <w:r w:rsidR="009C297E">
        <w:rPr>
          <w:rFonts w:eastAsia="MS Mincho"/>
          <w:bCs/>
        </w:rPr>
        <w:t xml:space="preserve"> </w:t>
      </w:r>
    </w:p>
    <w:p w:rsidR="00EB1E09" w:rsidRDefault="00EB1E09" w:rsidP="00363985">
      <w:pPr>
        <w:pStyle w:val="BodyText"/>
        <w:widowControl/>
        <w:rPr>
          <w:rFonts w:eastAsia="MS Mincho"/>
          <w:bCs/>
        </w:rPr>
      </w:pPr>
    </w:p>
    <w:p w:rsidR="00363985" w:rsidRPr="002B55CF" w:rsidRDefault="00363985" w:rsidP="00363985">
      <w:pPr>
        <w:pStyle w:val="BodyText"/>
        <w:widowControl/>
      </w:pPr>
      <w:r>
        <w:rPr>
          <w:color w:val="000000"/>
        </w:rPr>
        <w:t>The number of statements issued to lessors annually is uncertain because some leases may be open-ended</w:t>
      </w:r>
      <w:r w:rsidR="00EB1E09">
        <w:rPr>
          <w:color w:val="000000"/>
        </w:rPr>
        <w:t xml:space="preserve"> or self-renewing</w:t>
      </w:r>
      <w:r>
        <w:rPr>
          <w:color w:val="000000"/>
        </w:rPr>
        <w:t xml:space="preserve">.  </w:t>
      </w:r>
      <w:r w:rsidR="00EB1E09">
        <w:rPr>
          <w:color w:val="000000"/>
        </w:rPr>
        <w:t>Therefore, the burden of issuing copies of leases would be less for a motor carrier w</w:t>
      </w:r>
      <w:r w:rsidR="00B00EF1">
        <w:rPr>
          <w:color w:val="000000"/>
        </w:rPr>
        <w:t xml:space="preserve">ith </w:t>
      </w:r>
      <w:r w:rsidR="00EB1E09">
        <w:rPr>
          <w:color w:val="000000"/>
        </w:rPr>
        <w:t xml:space="preserve">a large percentage of owner-operators who automatically stay longer than one year.  Conversely, the trucking industry regularly reports annual driver turnover rates around </w:t>
      </w:r>
      <w:r w:rsidR="00EB1E09">
        <w:rPr>
          <w:color w:val="000000"/>
        </w:rPr>
        <w:lastRenderedPageBreak/>
        <w:t>the 100 percent mark for large truckload fleets, which may lead to</w:t>
      </w:r>
      <w:r w:rsidR="00B67438">
        <w:rPr>
          <w:color w:val="000000"/>
        </w:rPr>
        <w:t xml:space="preserve"> a greater number of </w:t>
      </w:r>
      <w:r w:rsidR="00EB1E09">
        <w:rPr>
          <w:color w:val="000000"/>
        </w:rPr>
        <w:t>lease</w:t>
      </w:r>
      <w:r w:rsidR="00B67438">
        <w:rPr>
          <w:color w:val="000000"/>
        </w:rPr>
        <w:t>s per year, thus, lease</w:t>
      </w:r>
      <w:r w:rsidR="00EB1E09">
        <w:rPr>
          <w:color w:val="000000"/>
        </w:rPr>
        <w:t xml:space="preserve"> statements</w:t>
      </w:r>
      <w:r w:rsidR="00B67438">
        <w:rPr>
          <w:color w:val="000000"/>
        </w:rPr>
        <w:t>.</w:t>
      </w:r>
      <w:r w:rsidR="00EB1E09">
        <w:rPr>
          <w:color w:val="000000"/>
        </w:rPr>
        <w:t xml:space="preserve">  </w:t>
      </w:r>
      <w:r w:rsidR="00333492">
        <w:rPr>
          <w:color w:val="000000"/>
        </w:rPr>
        <w:t>With many trucking carriers automatically renewing annual leases and many new lessors joining the industry, t</w:t>
      </w:r>
      <w:r w:rsidR="00B67438">
        <w:rPr>
          <w:color w:val="000000"/>
        </w:rPr>
        <w:t>he Agency assumes that these two effects equally offset each other</w:t>
      </w:r>
      <w:r w:rsidR="00333492">
        <w:rPr>
          <w:color w:val="000000"/>
        </w:rPr>
        <w:t>.  For the purpose of this analysis,</w:t>
      </w:r>
      <w:r>
        <w:rPr>
          <w:color w:val="000000"/>
        </w:rPr>
        <w:t xml:space="preserve"> each lease has a term of 1 year, so that a new statement </w:t>
      </w:r>
      <w:r w:rsidR="00B67438">
        <w:rPr>
          <w:color w:val="000000"/>
        </w:rPr>
        <w:t>is</w:t>
      </w:r>
      <w:r>
        <w:rPr>
          <w:color w:val="000000"/>
        </w:rPr>
        <w:t xml:space="preserve"> issued annually</w:t>
      </w:r>
      <w:r w:rsidR="00B67438">
        <w:rPr>
          <w:color w:val="000000"/>
        </w:rPr>
        <w:t>, on average</w:t>
      </w:r>
      <w:r>
        <w:rPr>
          <w:color w:val="000000"/>
        </w:rPr>
        <w:t xml:space="preserve">. </w:t>
      </w:r>
      <w:r w:rsidR="00D02B53">
        <w:rPr>
          <w:color w:val="000000"/>
        </w:rPr>
        <w:t xml:space="preserve"> </w:t>
      </w:r>
      <w:r>
        <w:rPr>
          <w:color w:val="000000"/>
        </w:rPr>
        <w:t xml:space="preserve">A standard leasing statement will incur </w:t>
      </w:r>
      <w:r w:rsidRPr="00BB479B">
        <w:rPr>
          <w:bCs/>
          <w:color w:val="000000"/>
        </w:rPr>
        <w:t xml:space="preserve">the </w:t>
      </w:r>
      <w:r>
        <w:rPr>
          <w:bCs/>
          <w:color w:val="000000"/>
        </w:rPr>
        <w:t>burden</w:t>
      </w:r>
      <w:r w:rsidRPr="00BB479B">
        <w:rPr>
          <w:bCs/>
          <w:color w:val="000000"/>
        </w:rPr>
        <w:t xml:space="preserve"> of preparing the written documentation of the requisite information and signature of the lease agreement</w:t>
      </w:r>
      <w:r>
        <w:rPr>
          <w:bCs/>
          <w:color w:val="000000"/>
        </w:rPr>
        <w:t>, which is</w:t>
      </w:r>
      <w:r w:rsidRPr="00BB479B">
        <w:rPr>
          <w:bCs/>
          <w:color w:val="000000"/>
        </w:rPr>
        <w:t xml:space="preserve"> undertaken in </w:t>
      </w:r>
      <w:r>
        <w:rPr>
          <w:bCs/>
          <w:color w:val="000000"/>
        </w:rPr>
        <w:t>5</w:t>
      </w:r>
      <w:r w:rsidRPr="00BB479B">
        <w:rPr>
          <w:bCs/>
          <w:color w:val="000000"/>
        </w:rPr>
        <w:t xml:space="preserve"> minutes (0.083 hours</w:t>
      </w:r>
      <w:r w:rsidRPr="002B55CF">
        <w:rPr>
          <w:bCs/>
          <w:color w:val="000000"/>
        </w:rPr>
        <w:t>)</w:t>
      </w:r>
      <w:r w:rsidRPr="002B55CF">
        <w:t xml:space="preserve">.  </w:t>
      </w:r>
      <w:r w:rsidR="0081672D" w:rsidRPr="002B55CF">
        <w:rPr>
          <w:rFonts w:eastAsia="MS Mincho"/>
          <w:bCs/>
        </w:rPr>
        <w:t>This cost is applied to both the lessee and the lessor.</w:t>
      </w:r>
    </w:p>
    <w:p w:rsidR="00363985" w:rsidRPr="002B55CF" w:rsidRDefault="00363985" w:rsidP="00363985">
      <w:pPr>
        <w:pStyle w:val="BodyText"/>
        <w:widowControl/>
      </w:pPr>
    </w:p>
    <w:p w:rsidR="00380B22" w:rsidRDefault="00363985" w:rsidP="00363985">
      <w:pPr>
        <w:pStyle w:val="BodyText"/>
        <w:widowControl/>
        <w:rPr>
          <w:color w:val="000000"/>
        </w:rPr>
      </w:pPr>
      <w:r w:rsidRPr="002B55CF">
        <w:rPr>
          <w:color w:val="000000"/>
        </w:rPr>
        <w:t xml:space="preserve">Based on MCMIS data, FMCSA estimates that there are about 16,500 for-hire carriers that lease 311,000 CMVs.  Therefore, motor carriers are estimated to spend about </w:t>
      </w:r>
      <w:r w:rsidR="00042777" w:rsidRPr="002B55CF">
        <w:rPr>
          <w:color w:val="000000"/>
        </w:rPr>
        <w:t>16,500</w:t>
      </w:r>
      <w:r w:rsidRPr="002B55CF">
        <w:rPr>
          <w:color w:val="000000"/>
        </w:rPr>
        <w:t xml:space="preserve"> hours (16,500 carriers × 0.</w:t>
      </w:r>
      <w:r w:rsidR="00116609" w:rsidRPr="002B55CF">
        <w:rPr>
          <w:color w:val="000000"/>
        </w:rPr>
        <w:t>5</w:t>
      </w:r>
      <w:r w:rsidRPr="002B55CF">
        <w:rPr>
          <w:color w:val="000000"/>
        </w:rPr>
        <w:t xml:space="preserve"> hours </w:t>
      </w:r>
      <w:r w:rsidR="00042777" w:rsidRPr="002B55CF">
        <w:rPr>
          <w:color w:val="000000"/>
        </w:rPr>
        <w:t xml:space="preserve">× 2 </w:t>
      </w:r>
      <w:r w:rsidRPr="002B55CF">
        <w:rPr>
          <w:color w:val="000000"/>
        </w:rPr>
        <w:t xml:space="preserve">= </w:t>
      </w:r>
      <w:r w:rsidR="00042777" w:rsidRPr="002B55CF">
        <w:rPr>
          <w:color w:val="000000"/>
        </w:rPr>
        <w:t>16,500</w:t>
      </w:r>
      <w:r w:rsidRPr="002B55CF">
        <w:rPr>
          <w:color w:val="000000"/>
        </w:rPr>
        <w:t xml:space="preserve"> hours, rounded to nearest hundred) on average, every year to develop a master lease.  Approximately </w:t>
      </w:r>
      <w:r w:rsidR="00042777" w:rsidRPr="002B55CF">
        <w:rPr>
          <w:color w:val="000000"/>
        </w:rPr>
        <w:t>51,600</w:t>
      </w:r>
      <w:r w:rsidRPr="002B55CF">
        <w:rPr>
          <w:color w:val="000000"/>
        </w:rPr>
        <w:t xml:space="preserve"> hours (311,000 power units × 0.083 hours </w:t>
      </w:r>
      <w:r w:rsidR="00042777" w:rsidRPr="002B55CF">
        <w:rPr>
          <w:color w:val="000000"/>
        </w:rPr>
        <w:t xml:space="preserve">× 2 </w:t>
      </w:r>
      <w:r w:rsidR="002560B2" w:rsidRPr="002B55CF">
        <w:rPr>
          <w:color w:val="000000"/>
        </w:rPr>
        <w:t xml:space="preserve">entities </w:t>
      </w:r>
      <w:r w:rsidRPr="002B55CF">
        <w:rPr>
          <w:color w:val="000000"/>
        </w:rPr>
        <w:t xml:space="preserve">= </w:t>
      </w:r>
      <w:r w:rsidR="00042777" w:rsidRPr="002B55CF">
        <w:rPr>
          <w:color w:val="000000"/>
        </w:rPr>
        <w:t>51,626</w:t>
      </w:r>
      <w:r w:rsidRPr="002B55CF">
        <w:rPr>
          <w:color w:val="000000"/>
        </w:rPr>
        <w:t xml:space="preserve"> hours, rounded to nearest hundred) will be spent annually on the creation of a copy of the standard leasing statement—this results in a total annual burden of about </w:t>
      </w:r>
      <w:r w:rsidR="00042777" w:rsidRPr="002B55CF">
        <w:rPr>
          <w:color w:val="000000"/>
        </w:rPr>
        <w:t>68,100</w:t>
      </w:r>
      <w:r w:rsidRPr="002B55CF">
        <w:rPr>
          <w:color w:val="000000"/>
        </w:rPr>
        <w:t xml:space="preserve"> hours (</w:t>
      </w:r>
      <w:r w:rsidR="00042777" w:rsidRPr="002B55CF">
        <w:rPr>
          <w:color w:val="000000"/>
        </w:rPr>
        <w:t>16,500</w:t>
      </w:r>
      <w:r w:rsidRPr="002B55CF">
        <w:rPr>
          <w:color w:val="000000"/>
        </w:rPr>
        <w:t xml:space="preserve"> hours + </w:t>
      </w:r>
      <w:r w:rsidR="00042777" w:rsidRPr="002B55CF">
        <w:rPr>
          <w:color w:val="000000"/>
        </w:rPr>
        <w:t>51,600</w:t>
      </w:r>
      <w:r w:rsidRPr="002B55CF">
        <w:rPr>
          <w:color w:val="000000"/>
        </w:rPr>
        <w:t xml:space="preserve"> hours) for leasing and interchange of vehicles.</w:t>
      </w:r>
      <w:r>
        <w:rPr>
          <w:color w:val="000000"/>
        </w:rPr>
        <w:t xml:space="preserve">  </w:t>
      </w:r>
    </w:p>
    <w:p w:rsidR="00380B22" w:rsidRDefault="00380B22" w:rsidP="00363985">
      <w:pPr>
        <w:pStyle w:val="BodyText"/>
        <w:widowControl/>
        <w:rPr>
          <w:color w:val="000000"/>
        </w:rPr>
      </w:pPr>
    </w:p>
    <w:p w:rsidR="00363985" w:rsidRPr="00515DE0" w:rsidRDefault="00363985" w:rsidP="00363985">
      <w:pPr>
        <w:pStyle w:val="BodyText"/>
        <w:widowControl/>
      </w:pPr>
      <w:r>
        <w:rPr>
          <w:color w:val="000000"/>
        </w:rPr>
        <w:t>Table</w:t>
      </w:r>
      <w:r w:rsidRPr="00BB479B">
        <w:rPr>
          <w:color w:val="000000"/>
        </w:rPr>
        <w:t xml:space="preserve"> 1 presents the burden hours covered by this ICR. </w:t>
      </w:r>
    </w:p>
    <w:p w:rsidR="00363985" w:rsidRDefault="00363985" w:rsidP="00363985">
      <w:pPr>
        <w:widowControl/>
        <w:rPr>
          <w:color w:val="000000"/>
          <w:sz w:val="24"/>
        </w:rPr>
      </w:pPr>
    </w:p>
    <w:p w:rsidR="00363985" w:rsidRPr="000D5D0C" w:rsidRDefault="00363985" w:rsidP="00363985">
      <w:pPr>
        <w:keepNext/>
        <w:widowControl/>
        <w:jc w:val="center"/>
        <w:rPr>
          <w:rFonts w:ascii="Arial" w:hAnsi="Arial" w:cs="Arial"/>
          <w:b/>
          <w:color w:val="000000"/>
          <w:szCs w:val="20"/>
        </w:rPr>
      </w:pPr>
      <w:proofErr w:type="gramStart"/>
      <w:r w:rsidRPr="002B55CF">
        <w:rPr>
          <w:rFonts w:ascii="Arial" w:hAnsi="Arial" w:cs="Arial"/>
          <w:b/>
          <w:color w:val="000000"/>
          <w:szCs w:val="20"/>
        </w:rPr>
        <w:t>Table 1.</w:t>
      </w:r>
      <w:proofErr w:type="gramEnd"/>
      <w:r w:rsidRPr="002B55CF">
        <w:rPr>
          <w:rFonts w:ascii="Arial" w:hAnsi="Arial" w:cs="Arial"/>
          <w:b/>
          <w:color w:val="000000"/>
          <w:szCs w:val="20"/>
        </w:rPr>
        <w:t xml:space="preserve">  Annual Burden Hours</w:t>
      </w:r>
    </w:p>
    <w:p w:rsidR="00363985" w:rsidRDefault="00363985" w:rsidP="00363985">
      <w:pPr>
        <w:keepNext/>
        <w:widowControl/>
        <w:jc w:val="center"/>
        <w:rPr>
          <w:b/>
          <w:color w:val="000000"/>
          <w:sz w:val="24"/>
        </w:rPr>
      </w:pPr>
    </w:p>
    <w:tbl>
      <w:tblPr>
        <w:tblW w:w="444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203"/>
        <w:gridCol w:w="1076"/>
        <w:gridCol w:w="999"/>
        <w:gridCol w:w="982"/>
        <w:gridCol w:w="1697"/>
        <w:gridCol w:w="1554"/>
      </w:tblGrid>
      <w:tr w:rsidR="00042777" w:rsidRPr="00EB0A86" w:rsidTr="002B55CF">
        <w:trPr>
          <w:trHeight w:val="300"/>
          <w:jc w:val="center"/>
        </w:trPr>
        <w:tc>
          <w:tcPr>
            <w:tcW w:w="1294" w:type="pct"/>
            <w:shd w:val="clear" w:color="auto" w:fill="D9D9D9" w:themeFill="background1" w:themeFillShade="D9"/>
            <w:noWrap/>
            <w:vAlign w:val="center"/>
            <w:hideMark/>
          </w:tcPr>
          <w:p w:rsidR="00042777" w:rsidRPr="00EB0A86" w:rsidRDefault="00042777" w:rsidP="002560B2">
            <w:pPr>
              <w:widowControl/>
              <w:autoSpaceDE/>
              <w:autoSpaceDN/>
              <w:adjustRightInd/>
              <w:jc w:val="center"/>
              <w:rPr>
                <w:color w:val="000000"/>
                <w:sz w:val="22"/>
                <w:szCs w:val="22"/>
              </w:rPr>
            </w:pPr>
          </w:p>
        </w:tc>
        <w:tc>
          <w:tcPr>
            <w:tcW w:w="632" w:type="pct"/>
            <w:shd w:val="clear" w:color="auto" w:fill="D9D9D9" w:themeFill="background1" w:themeFillShade="D9"/>
            <w:noWrap/>
            <w:vAlign w:val="center"/>
            <w:hideMark/>
          </w:tcPr>
          <w:p w:rsidR="00042777" w:rsidRPr="00EB0A86" w:rsidRDefault="00042777" w:rsidP="00540ACC">
            <w:pPr>
              <w:widowControl/>
              <w:autoSpaceDE/>
              <w:autoSpaceDN/>
              <w:adjustRightInd/>
              <w:jc w:val="center"/>
              <w:rPr>
                <w:b/>
                <w:bCs/>
                <w:color w:val="000000"/>
                <w:sz w:val="22"/>
                <w:szCs w:val="22"/>
              </w:rPr>
            </w:pPr>
            <w:r w:rsidRPr="00EB0A86">
              <w:rPr>
                <w:rFonts w:cs="Calibri"/>
                <w:b/>
                <w:bCs/>
                <w:color w:val="000000"/>
                <w:sz w:val="22"/>
                <w:szCs w:val="22"/>
              </w:rPr>
              <w:t>Carriers</w:t>
            </w:r>
          </w:p>
        </w:tc>
        <w:tc>
          <w:tcPr>
            <w:tcW w:w="587" w:type="pct"/>
            <w:shd w:val="clear" w:color="auto" w:fill="D9D9D9" w:themeFill="background1" w:themeFillShade="D9"/>
            <w:noWrap/>
            <w:vAlign w:val="center"/>
            <w:hideMark/>
          </w:tcPr>
          <w:p w:rsidR="00042777" w:rsidRPr="00EB0A86" w:rsidRDefault="00042777" w:rsidP="00540ACC">
            <w:pPr>
              <w:widowControl/>
              <w:autoSpaceDE/>
              <w:autoSpaceDN/>
              <w:adjustRightInd/>
              <w:jc w:val="center"/>
              <w:rPr>
                <w:b/>
                <w:bCs/>
                <w:color w:val="000000"/>
                <w:sz w:val="22"/>
                <w:szCs w:val="22"/>
              </w:rPr>
            </w:pPr>
            <w:r w:rsidRPr="00EB0A86">
              <w:rPr>
                <w:b/>
                <w:bCs/>
                <w:color w:val="000000"/>
                <w:sz w:val="22"/>
                <w:szCs w:val="22"/>
              </w:rPr>
              <w:t>Vehicles</w:t>
            </w:r>
          </w:p>
        </w:tc>
        <w:tc>
          <w:tcPr>
            <w:tcW w:w="577" w:type="pct"/>
            <w:shd w:val="clear" w:color="auto" w:fill="D9D9D9" w:themeFill="background1" w:themeFillShade="D9"/>
            <w:noWrap/>
            <w:vAlign w:val="center"/>
            <w:hideMark/>
          </w:tcPr>
          <w:p w:rsidR="00042777" w:rsidRPr="00EB0A86" w:rsidRDefault="00042777" w:rsidP="00540ACC">
            <w:pPr>
              <w:widowControl/>
              <w:autoSpaceDE/>
              <w:autoSpaceDN/>
              <w:adjustRightInd/>
              <w:jc w:val="center"/>
              <w:rPr>
                <w:b/>
                <w:bCs/>
                <w:color w:val="000000"/>
                <w:sz w:val="22"/>
                <w:szCs w:val="22"/>
              </w:rPr>
            </w:pPr>
            <w:r w:rsidRPr="00EB0A86">
              <w:rPr>
                <w:rFonts w:cs="Calibri"/>
                <w:b/>
                <w:bCs/>
                <w:color w:val="000000"/>
                <w:sz w:val="22"/>
                <w:szCs w:val="22"/>
              </w:rPr>
              <w:t>Hours</w:t>
            </w:r>
          </w:p>
        </w:tc>
        <w:tc>
          <w:tcPr>
            <w:tcW w:w="997" w:type="pct"/>
            <w:shd w:val="clear" w:color="auto" w:fill="D9D9D9" w:themeFill="background1" w:themeFillShade="D9"/>
            <w:vAlign w:val="center"/>
          </w:tcPr>
          <w:p w:rsidR="00042777" w:rsidRPr="00EB0A86" w:rsidRDefault="00042777">
            <w:pPr>
              <w:widowControl/>
              <w:autoSpaceDE/>
              <w:autoSpaceDN/>
              <w:adjustRightInd/>
              <w:jc w:val="center"/>
              <w:rPr>
                <w:rFonts w:cs="Calibri"/>
                <w:b/>
                <w:bCs/>
                <w:color w:val="000000"/>
                <w:sz w:val="22"/>
                <w:szCs w:val="22"/>
              </w:rPr>
            </w:pPr>
            <w:r>
              <w:rPr>
                <w:rFonts w:cs="Calibri"/>
                <w:b/>
                <w:bCs/>
                <w:color w:val="000000"/>
                <w:sz w:val="22"/>
                <w:szCs w:val="22"/>
              </w:rPr>
              <w:t>Entities (Lessee and Lessor)</w:t>
            </w:r>
          </w:p>
        </w:tc>
        <w:tc>
          <w:tcPr>
            <w:tcW w:w="914" w:type="pct"/>
            <w:shd w:val="clear" w:color="auto" w:fill="D9D9D9" w:themeFill="background1" w:themeFillShade="D9"/>
            <w:noWrap/>
            <w:vAlign w:val="center"/>
            <w:hideMark/>
          </w:tcPr>
          <w:p w:rsidR="00042777" w:rsidRPr="00EB0A86" w:rsidRDefault="00042777">
            <w:pPr>
              <w:widowControl/>
              <w:autoSpaceDE/>
              <w:autoSpaceDN/>
              <w:adjustRightInd/>
              <w:jc w:val="center"/>
              <w:rPr>
                <w:b/>
                <w:bCs/>
                <w:color w:val="000000"/>
                <w:sz w:val="22"/>
                <w:szCs w:val="22"/>
              </w:rPr>
            </w:pPr>
            <w:r w:rsidRPr="00EB0A86">
              <w:rPr>
                <w:rFonts w:cs="Calibri"/>
                <w:b/>
                <w:bCs/>
                <w:color w:val="000000"/>
                <w:sz w:val="22"/>
                <w:szCs w:val="22"/>
              </w:rPr>
              <w:t>Total Hours</w:t>
            </w:r>
          </w:p>
        </w:tc>
      </w:tr>
      <w:tr w:rsidR="00042777" w:rsidRPr="00EB0A86" w:rsidTr="002B55CF">
        <w:trPr>
          <w:trHeight w:val="300"/>
          <w:jc w:val="center"/>
        </w:trPr>
        <w:tc>
          <w:tcPr>
            <w:tcW w:w="1294" w:type="pct"/>
            <w:shd w:val="clear" w:color="auto" w:fill="FFFFFF" w:themeFill="background1"/>
            <w:noWrap/>
            <w:vAlign w:val="center"/>
            <w:hideMark/>
          </w:tcPr>
          <w:p w:rsidR="00042777" w:rsidRPr="00EB0A86" w:rsidRDefault="00042777" w:rsidP="002560B2">
            <w:pPr>
              <w:widowControl/>
              <w:autoSpaceDE/>
              <w:autoSpaceDN/>
              <w:adjustRightInd/>
              <w:jc w:val="center"/>
              <w:rPr>
                <w:b/>
                <w:bCs/>
                <w:color w:val="000000"/>
                <w:sz w:val="22"/>
                <w:szCs w:val="22"/>
              </w:rPr>
            </w:pPr>
            <w:r w:rsidRPr="00EB0A86">
              <w:rPr>
                <w:rFonts w:cs="Calibri"/>
                <w:b/>
                <w:bCs/>
                <w:color w:val="000000"/>
                <w:sz w:val="22"/>
                <w:szCs w:val="22"/>
              </w:rPr>
              <w:t>Master Lease</w:t>
            </w:r>
          </w:p>
        </w:tc>
        <w:tc>
          <w:tcPr>
            <w:tcW w:w="632" w:type="pct"/>
            <w:shd w:val="clear" w:color="auto" w:fill="FFFFFF" w:themeFill="background1"/>
            <w:noWrap/>
            <w:vAlign w:val="center"/>
            <w:hideMark/>
          </w:tcPr>
          <w:p w:rsidR="00042777" w:rsidRPr="00EB0A86" w:rsidRDefault="00042777" w:rsidP="00540ACC">
            <w:pPr>
              <w:widowControl/>
              <w:autoSpaceDE/>
              <w:autoSpaceDN/>
              <w:adjustRightInd/>
              <w:jc w:val="center"/>
              <w:rPr>
                <w:color w:val="000000"/>
                <w:sz w:val="22"/>
                <w:szCs w:val="22"/>
              </w:rPr>
            </w:pPr>
            <w:r w:rsidRPr="00EB0A86">
              <w:rPr>
                <w:rFonts w:cs="Calibri"/>
                <w:color w:val="000000"/>
                <w:sz w:val="22"/>
                <w:szCs w:val="22"/>
              </w:rPr>
              <w:t>16,500</w:t>
            </w:r>
          </w:p>
        </w:tc>
        <w:tc>
          <w:tcPr>
            <w:tcW w:w="587" w:type="pct"/>
            <w:shd w:val="clear" w:color="auto" w:fill="FFFFFF" w:themeFill="background1"/>
            <w:noWrap/>
            <w:vAlign w:val="center"/>
            <w:hideMark/>
          </w:tcPr>
          <w:p w:rsidR="00042777" w:rsidRPr="00EB0A86" w:rsidRDefault="00042777" w:rsidP="00540ACC">
            <w:pPr>
              <w:widowControl/>
              <w:autoSpaceDE/>
              <w:autoSpaceDN/>
              <w:adjustRightInd/>
              <w:jc w:val="center"/>
              <w:rPr>
                <w:color w:val="000000"/>
                <w:sz w:val="22"/>
                <w:szCs w:val="22"/>
              </w:rPr>
            </w:pPr>
          </w:p>
        </w:tc>
        <w:tc>
          <w:tcPr>
            <w:tcW w:w="577" w:type="pct"/>
            <w:shd w:val="clear" w:color="auto" w:fill="FFFFFF" w:themeFill="background1"/>
            <w:noWrap/>
            <w:vAlign w:val="center"/>
            <w:hideMark/>
          </w:tcPr>
          <w:p w:rsidR="00042777" w:rsidRPr="00EB0A86" w:rsidRDefault="00042777" w:rsidP="00540ACC">
            <w:pPr>
              <w:widowControl/>
              <w:autoSpaceDE/>
              <w:autoSpaceDN/>
              <w:adjustRightInd/>
              <w:jc w:val="center"/>
              <w:rPr>
                <w:color w:val="000000"/>
                <w:sz w:val="22"/>
                <w:szCs w:val="22"/>
              </w:rPr>
            </w:pPr>
            <w:r w:rsidRPr="00EB0A86">
              <w:rPr>
                <w:rFonts w:cs="Calibri"/>
                <w:color w:val="000000"/>
                <w:sz w:val="22"/>
                <w:szCs w:val="22"/>
              </w:rPr>
              <w:t>0.</w:t>
            </w:r>
            <w:r>
              <w:rPr>
                <w:rFonts w:cs="Calibri"/>
                <w:color w:val="000000"/>
                <w:sz w:val="22"/>
                <w:szCs w:val="22"/>
              </w:rPr>
              <w:t>5</w:t>
            </w:r>
          </w:p>
        </w:tc>
        <w:tc>
          <w:tcPr>
            <w:tcW w:w="997" w:type="pct"/>
            <w:shd w:val="clear" w:color="auto" w:fill="FFFFFF" w:themeFill="background1"/>
            <w:vAlign w:val="center"/>
          </w:tcPr>
          <w:p w:rsidR="00042777" w:rsidRDefault="00042777">
            <w:pPr>
              <w:widowControl/>
              <w:autoSpaceDE/>
              <w:autoSpaceDN/>
              <w:adjustRightInd/>
              <w:jc w:val="center"/>
              <w:rPr>
                <w:rFonts w:cs="Calibri"/>
                <w:color w:val="000000"/>
                <w:sz w:val="22"/>
                <w:szCs w:val="22"/>
              </w:rPr>
            </w:pPr>
            <w:r>
              <w:rPr>
                <w:rFonts w:cs="Calibri"/>
                <w:color w:val="000000"/>
                <w:sz w:val="22"/>
                <w:szCs w:val="22"/>
              </w:rPr>
              <w:t>2</w:t>
            </w:r>
          </w:p>
        </w:tc>
        <w:tc>
          <w:tcPr>
            <w:tcW w:w="914" w:type="pct"/>
            <w:shd w:val="clear" w:color="auto" w:fill="FFFFFF" w:themeFill="background1"/>
            <w:noWrap/>
            <w:vAlign w:val="center"/>
            <w:hideMark/>
          </w:tcPr>
          <w:p w:rsidR="00042777" w:rsidRPr="00EB0A86" w:rsidRDefault="005B7C24">
            <w:pPr>
              <w:widowControl/>
              <w:autoSpaceDE/>
              <w:autoSpaceDN/>
              <w:adjustRightInd/>
              <w:jc w:val="center"/>
              <w:rPr>
                <w:color w:val="000000"/>
                <w:sz w:val="22"/>
                <w:szCs w:val="22"/>
              </w:rPr>
            </w:pPr>
            <w:r>
              <w:rPr>
                <w:rFonts w:cs="Calibri"/>
                <w:color w:val="000000"/>
                <w:sz w:val="22"/>
                <w:szCs w:val="22"/>
              </w:rPr>
              <w:t>16,500</w:t>
            </w:r>
          </w:p>
        </w:tc>
      </w:tr>
      <w:tr w:rsidR="00042777" w:rsidRPr="00EB0A86" w:rsidTr="002B55CF">
        <w:trPr>
          <w:trHeight w:val="300"/>
          <w:jc w:val="center"/>
        </w:trPr>
        <w:tc>
          <w:tcPr>
            <w:tcW w:w="1294" w:type="pct"/>
            <w:shd w:val="clear" w:color="auto" w:fill="FFFFFF" w:themeFill="background1"/>
            <w:noWrap/>
            <w:vAlign w:val="center"/>
            <w:hideMark/>
          </w:tcPr>
          <w:p w:rsidR="00042777" w:rsidRPr="00EB0A86" w:rsidRDefault="00042777" w:rsidP="002560B2">
            <w:pPr>
              <w:widowControl/>
              <w:autoSpaceDE/>
              <w:autoSpaceDN/>
              <w:adjustRightInd/>
              <w:jc w:val="center"/>
              <w:rPr>
                <w:b/>
                <w:bCs/>
                <w:color w:val="000000"/>
                <w:sz w:val="22"/>
                <w:szCs w:val="22"/>
              </w:rPr>
            </w:pPr>
            <w:r w:rsidRPr="00EB0A86">
              <w:rPr>
                <w:rFonts w:cs="Calibri"/>
                <w:b/>
                <w:bCs/>
                <w:color w:val="000000"/>
                <w:sz w:val="22"/>
                <w:szCs w:val="22"/>
              </w:rPr>
              <w:t>Standard Statement</w:t>
            </w:r>
          </w:p>
        </w:tc>
        <w:tc>
          <w:tcPr>
            <w:tcW w:w="632" w:type="pct"/>
            <w:shd w:val="clear" w:color="auto" w:fill="FFFFFF" w:themeFill="background1"/>
            <w:noWrap/>
            <w:vAlign w:val="center"/>
            <w:hideMark/>
          </w:tcPr>
          <w:p w:rsidR="00042777" w:rsidRPr="00EB0A86" w:rsidRDefault="00042777" w:rsidP="00540ACC">
            <w:pPr>
              <w:widowControl/>
              <w:autoSpaceDE/>
              <w:autoSpaceDN/>
              <w:adjustRightInd/>
              <w:jc w:val="center"/>
              <w:rPr>
                <w:color w:val="000000"/>
                <w:sz w:val="22"/>
                <w:szCs w:val="22"/>
              </w:rPr>
            </w:pPr>
          </w:p>
        </w:tc>
        <w:tc>
          <w:tcPr>
            <w:tcW w:w="587" w:type="pct"/>
            <w:shd w:val="clear" w:color="auto" w:fill="FFFFFF" w:themeFill="background1"/>
            <w:noWrap/>
            <w:vAlign w:val="center"/>
            <w:hideMark/>
          </w:tcPr>
          <w:p w:rsidR="00042777" w:rsidRPr="00EB0A86" w:rsidRDefault="00042777" w:rsidP="00540ACC">
            <w:pPr>
              <w:widowControl/>
              <w:autoSpaceDE/>
              <w:autoSpaceDN/>
              <w:adjustRightInd/>
              <w:jc w:val="center"/>
              <w:rPr>
                <w:color w:val="000000"/>
                <w:sz w:val="22"/>
                <w:szCs w:val="22"/>
              </w:rPr>
            </w:pPr>
            <w:r w:rsidRPr="00EB0A86">
              <w:rPr>
                <w:color w:val="000000"/>
                <w:sz w:val="22"/>
                <w:szCs w:val="22"/>
              </w:rPr>
              <w:t>311,000</w:t>
            </w:r>
          </w:p>
        </w:tc>
        <w:tc>
          <w:tcPr>
            <w:tcW w:w="577" w:type="pct"/>
            <w:shd w:val="clear" w:color="auto" w:fill="FFFFFF" w:themeFill="background1"/>
            <w:noWrap/>
            <w:vAlign w:val="center"/>
            <w:hideMark/>
          </w:tcPr>
          <w:p w:rsidR="00042777" w:rsidRPr="00EB0A86" w:rsidRDefault="00042777" w:rsidP="00540ACC">
            <w:pPr>
              <w:widowControl/>
              <w:autoSpaceDE/>
              <w:autoSpaceDN/>
              <w:adjustRightInd/>
              <w:jc w:val="center"/>
              <w:rPr>
                <w:color w:val="000000"/>
                <w:sz w:val="22"/>
                <w:szCs w:val="22"/>
              </w:rPr>
            </w:pPr>
            <w:r w:rsidRPr="00EB0A86">
              <w:rPr>
                <w:rFonts w:cs="Calibri"/>
                <w:color w:val="000000"/>
                <w:sz w:val="22"/>
                <w:szCs w:val="22"/>
              </w:rPr>
              <w:t>0.083</w:t>
            </w:r>
          </w:p>
        </w:tc>
        <w:tc>
          <w:tcPr>
            <w:tcW w:w="997" w:type="pct"/>
            <w:shd w:val="clear" w:color="auto" w:fill="FFFFFF" w:themeFill="background1"/>
            <w:vAlign w:val="center"/>
          </w:tcPr>
          <w:p w:rsidR="00042777" w:rsidRPr="00EB0A86" w:rsidRDefault="00042777">
            <w:pPr>
              <w:widowControl/>
              <w:autoSpaceDE/>
              <w:autoSpaceDN/>
              <w:adjustRightInd/>
              <w:jc w:val="center"/>
              <w:rPr>
                <w:rFonts w:cs="Calibri"/>
                <w:color w:val="000000"/>
                <w:sz w:val="22"/>
                <w:szCs w:val="22"/>
              </w:rPr>
            </w:pPr>
            <w:r>
              <w:rPr>
                <w:rFonts w:cs="Calibri"/>
                <w:color w:val="000000"/>
                <w:sz w:val="22"/>
                <w:szCs w:val="22"/>
              </w:rPr>
              <w:t>2</w:t>
            </w:r>
          </w:p>
        </w:tc>
        <w:tc>
          <w:tcPr>
            <w:tcW w:w="914" w:type="pct"/>
            <w:shd w:val="clear" w:color="auto" w:fill="FFFFFF" w:themeFill="background1"/>
            <w:noWrap/>
            <w:vAlign w:val="center"/>
            <w:hideMark/>
          </w:tcPr>
          <w:p w:rsidR="00042777" w:rsidRPr="00EB0A86" w:rsidRDefault="005B7C24">
            <w:pPr>
              <w:widowControl/>
              <w:autoSpaceDE/>
              <w:autoSpaceDN/>
              <w:adjustRightInd/>
              <w:jc w:val="center"/>
              <w:rPr>
                <w:color w:val="000000"/>
                <w:sz w:val="22"/>
                <w:szCs w:val="22"/>
              </w:rPr>
            </w:pPr>
            <w:r>
              <w:rPr>
                <w:rFonts w:cs="Calibri"/>
                <w:color w:val="000000"/>
                <w:sz w:val="22"/>
                <w:szCs w:val="22"/>
              </w:rPr>
              <w:t>51,600</w:t>
            </w:r>
          </w:p>
        </w:tc>
      </w:tr>
      <w:tr w:rsidR="00042777" w:rsidRPr="00EB0A86" w:rsidTr="002B55CF">
        <w:trPr>
          <w:trHeight w:val="300"/>
          <w:jc w:val="center"/>
        </w:trPr>
        <w:tc>
          <w:tcPr>
            <w:tcW w:w="1294" w:type="pct"/>
            <w:shd w:val="clear" w:color="auto" w:fill="FFFFFF" w:themeFill="background1"/>
            <w:noWrap/>
            <w:vAlign w:val="center"/>
            <w:hideMark/>
          </w:tcPr>
          <w:p w:rsidR="00042777" w:rsidRPr="00EB0A86" w:rsidRDefault="00042777" w:rsidP="002560B2">
            <w:pPr>
              <w:widowControl/>
              <w:autoSpaceDE/>
              <w:autoSpaceDN/>
              <w:adjustRightInd/>
              <w:jc w:val="center"/>
              <w:rPr>
                <w:b/>
                <w:bCs/>
                <w:color w:val="000000"/>
                <w:sz w:val="22"/>
                <w:szCs w:val="22"/>
              </w:rPr>
            </w:pPr>
            <w:r w:rsidRPr="00EB0A86">
              <w:rPr>
                <w:rFonts w:cs="Calibri"/>
                <w:b/>
                <w:bCs/>
                <w:color w:val="000000"/>
                <w:sz w:val="22"/>
                <w:szCs w:val="22"/>
              </w:rPr>
              <w:t>Total</w:t>
            </w:r>
          </w:p>
        </w:tc>
        <w:tc>
          <w:tcPr>
            <w:tcW w:w="632" w:type="pct"/>
            <w:shd w:val="clear" w:color="auto" w:fill="FFFFFF" w:themeFill="background1"/>
            <w:noWrap/>
            <w:vAlign w:val="center"/>
            <w:hideMark/>
          </w:tcPr>
          <w:p w:rsidR="00042777" w:rsidRPr="00EB0A86" w:rsidRDefault="00042777" w:rsidP="00540ACC">
            <w:pPr>
              <w:widowControl/>
              <w:autoSpaceDE/>
              <w:autoSpaceDN/>
              <w:adjustRightInd/>
              <w:jc w:val="center"/>
              <w:rPr>
                <w:b/>
                <w:bCs/>
                <w:color w:val="000000"/>
                <w:sz w:val="22"/>
                <w:szCs w:val="22"/>
              </w:rPr>
            </w:pPr>
          </w:p>
        </w:tc>
        <w:tc>
          <w:tcPr>
            <w:tcW w:w="587" w:type="pct"/>
            <w:shd w:val="clear" w:color="auto" w:fill="FFFFFF" w:themeFill="background1"/>
            <w:noWrap/>
            <w:vAlign w:val="center"/>
            <w:hideMark/>
          </w:tcPr>
          <w:p w:rsidR="00042777" w:rsidRPr="00EB0A86" w:rsidRDefault="00042777" w:rsidP="00540ACC">
            <w:pPr>
              <w:widowControl/>
              <w:autoSpaceDE/>
              <w:autoSpaceDN/>
              <w:adjustRightInd/>
              <w:jc w:val="center"/>
              <w:rPr>
                <w:b/>
                <w:bCs/>
                <w:color w:val="000000"/>
                <w:sz w:val="22"/>
                <w:szCs w:val="22"/>
              </w:rPr>
            </w:pPr>
          </w:p>
        </w:tc>
        <w:tc>
          <w:tcPr>
            <w:tcW w:w="577" w:type="pct"/>
            <w:shd w:val="clear" w:color="auto" w:fill="FFFFFF" w:themeFill="background1"/>
            <w:noWrap/>
            <w:vAlign w:val="center"/>
            <w:hideMark/>
          </w:tcPr>
          <w:p w:rsidR="00042777" w:rsidRPr="00EB0A86" w:rsidRDefault="00042777" w:rsidP="00540ACC">
            <w:pPr>
              <w:widowControl/>
              <w:autoSpaceDE/>
              <w:autoSpaceDN/>
              <w:adjustRightInd/>
              <w:jc w:val="center"/>
              <w:rPr>
                <w:b/>
                <w:bCs/>
                <w:color w:val="000000"/>
                <w:sz w:val="22"/>
                <w:szCs w:val="22"/>
              </w:rPr>
            </w:pPr>
          </w:p>
        </w:tc>
        <w:tc>
          <w:tcPr>
            <w:tcW w:w="997" w:type="pct"/>
            <w:shd w:val="clear" w:color="auto" w:fill="FFFFFF" w:themeFill="background1"/>
            <w:vAlign w:val="center"/>
          </w:tcPr>
          <w:p w:rsidR="00042777" w:rsidRDefault="00042777">
            <w:pPr>
              <w:widowControl/>
              <w:autoSpaceDE/>
              <w:autoSpaceDN/>
              <w:adjustRightInd/>
              <w:jc w:val="center"/>
              <w:rPr>
                <w:b/>
                <w:bCs/>
                <w:color w:val="000000"/>
                <w:sz w:val="22"/>
                <w:szCs w:val="22"/>
              </w:rPr>
            </w:pPr>
          </w:p>
        </w:tc>
        <w:tc>
          <w:tcPr>
            <w:tcW w:w="914" w:type="pct"/>
            <w:shd w:val="clear" w:color="auto" w:fill="FFFFFF" w:themeFill="background1"/>
            <w:noWrap/>
            <w:vAlign w:val="center"/>
            <w:hideMark/>
          </w:tcPr>
          <w:p w:rsidR="00042777" w:rsidRPr="00EB0A86" w:rsidRDefault="005B7C24">
            <w:pPr>
              <w:widowControl/>
              <w:autoSpaceDE/>
              <w:autoSpaceDN/>
              <w:adjustRightInd/>
              <w:jc w:val="center"/>
              <w:rPr>
                <w:b/>
                <w:bCs/>
                <w:color w:val="000000"/>
                <w:sz w:val="22"/>
                <w:szCs w:val="22"/>
              </w:rPr>
            </w:pPr>
            <w:r>
              <w:rPr>
                <w:b/>
                <w:bCs/>
                <w:color w:val="000000"/>
                <w:sz w:val="22"/>
                <w:szCs w:val="22"/>
              </w:rPr>
              <w:t>68</w:t>
            </w:r>
            <w:r w:rsidR="00042777">
              <w:rPr>
                <w:b/>
                <w:bCs/>
                <w:color w:val="000000"/>
                <w:sz w:val="22"/>
                <w:szCs w:val="22"/>
              </w:rPr>
              <w:t>,100</w:t>
            </w:r>
          </w:p>
        </w:tc>
      </w:tr>
    </w:tbl>
    <w:p w:rsidR="00363985" w:rsidRDefault="00363985" w:rsidP="00363985">
      <w:pPr>
        <w:keepNext/>
        <w:widowControl/>
        <w:rPr>
          <w:color w:val="000000"/>
          <w:sz w:val="24"/>
        </w:rPr>
      </w:pPr>
      <w:r>
        <w:rPr>
          <w:color w:val="000000"/>
          <w:sz w:val="24"/>
        </w:rPr>
        <w:t xml:space="preserve"> </w:t>
      </w:r>
    </w:p>
    <w:p w:rsidR="00363985" w:rsidRPr="006B0E00" w:rsidRDefault="00363985" w:rsidP="00363985">
      <w:pPr>
        <w:widowControl/>
        <w:rPr>
          <w:bCs/>
          <w:sz w:val="24"/>
        </w:rPr>
      </w:pPr>
      <w:r w:rsidRPr="00B7031C">
        <w:rPr>
          <w:color w:val="000000"/>
          <w:sz w:val="24"/>
        </w:rPr>
        <w:t xml:space="preserve">Section 376.12 enumerates specific and detailed requirements regarding the provisions of contracts between carriers and owner-operators. </w:t>
      </w:r>
      <w:r>
        <w:rPr>
          <w:color w:val="000000"/>
          <w:sz w:val="24"/>
        </w:rPr>
        <w:t xml:space="preserve"> </w:t>
      </w:r>
      <w:r w:rsidRPr="006B0E00">
        <w:rPr>
          <w:bCs/>
          <w:sz w:val="24"/>
        </w:rPr>
        <w:t>When taken as a whole, the main thrust of §</w:t>
      </w:r>
      <w:r>
        <w:rPr>
          <w:bCs/>
          <w:sz w:val="24"/>
        </w:rPr>
        <w:t> </w:t>
      </w:r>
      <w:r w:rsidRPr="006B0E00">
        <w:rPr>
          <w:bCs/>
          <w:sz w:val="24"/>
        </w:rPr>
        <w:t xml:space="preserve">376.12 is </w:t>
      </w:r>
      <w:r>
        <w:rPr>
          <w:bCs/>
          <w:sz w:val="24"/>
        </w:rPr>
        <w:t>to achieve</w:t>
      </w:r>
      <w:r w:rsidRPr="006B0E00">
        <w:rPr>
          <w:bCs/>
          <w:sz w:val="24"/>
        </w:rPr>
        <w:t xml:space="preserve"> specificity and transparency in lease contracts and transactions governed by those contracts. </w:t>
      </w:r>
      <w:r>
        <w:rPr>
          <w:bCs/>
          <w:sz w:val="24"/>
        </w:rPr>
        <w:t xml:space="preserve"> </w:t>
      </w:r>
      <w:r w:rsidRPr="006B0E00">
        <w:rPr>
          <w:bCs/>
          <w:sz w:val="24"/>
        </w:rPr>
        <w:t xml:space="preserve">These rules require that all relevant terms of the arrangement be made clear to lessors and that lessors </w:t>
      </w:r>
      <w:proofErr w:type="gramStart"/>
      <w:r w:rsidR="00E67757">
        <w:rPr>
          <w:bCs/>
          <w:sz w:val="24"/>
        </w:rPr>
        <w:t>be</w:t>
      </w:r>
      <w:proofErr w:type="gramEnd"/>
      <w:r w:rsidR="00E67757">
        <w:rPr>
          <w:bCs/>
          <w:sz w:val="24"/>
        </w:rPr>
        <w:t xml:space="preserve"> </w:t>
      </w:r>
      <w:r w:rsidRPr="006B0E00">
        <w:rPr>
          <w:bCs/>
          <w:sz w:val="24"/>
        </w:rPr>
        <w:t xml:space="preserve">given sufficient information so that they can </w:t>
      </w:r>
      <w:r>
        <w:rPr>
          <w:bCs/>
          <w:sz w:val="24"/>
        </w:rPr>
        <w:t>determine</w:t>
      </w:r>
      <w:r w:rsidRPr="006B0E00">
        <w:rPr>
          <w:bCs/>
          <w:sz w:val="24"/>
        </w:rPr>
        <w:t xml:space="preserve"> whether </w:t>
      </w:r>
      <w:r>
        <w:rPr>
          <w:bCs/>
          <w:sz w:val="24"/>
        </w:rPr>
        <w:t xml:space="preserve">or not </w:t>
      </w:r>
      <w:r w:rsidRPr="006B0E00">
        <w:rPr>
          <w:bCs/>
          <w:sz w:val="24"/>
        </w:rPr>
        <w:t xml:space="preserve">carriers are complying with contracts. </w:t>
      </w:r>
      <w:r>
        <w:rPr>
          <w:bCs/>
          <w:sz w:val="24"/>
        </w:rPr>
        <w:t xml:space="preserve"> </w:t>
      </w:r>
      <w:r w:rsidRPr="006B0E00">
        <w:rPr>
          <w:bCs/>
          <w:sz w:val="24"/>
        </w:rPr>
        <w:t>The information burden associated with this section is that le</w:t>
      </w:r>
      <w:r>
        <w:rPr>
          <w:bCs/>
          <w:sz w:val="24"/>
        </w:rPr>
        <w:t>a</w:t>
      </w:r>
      <w:r w:rsidRPr="006B0E00">
        <w:rPr>
          <w:bCs/>
          <w:sz w:val="24"/>
        </w:rPr>
        <w:t>s</w:t>
      </w:r>
      <w:r>
        <w:rPr>
          <w:bCs/>
          <w:sz w:val="24"/>
        </w:rPr>
        <w:t>e</w:t>
      </w:r>
      <w:r w:rsidRPr="006B0E00">
        <w:rPr>
          <w:bCs/>
          <w:sz w:val="24"/>
        </w:rPr>
        <w:t>s must</w:t>
      </w:r>
      <w:r>
        <w:rPr>
          <w:bCs/>
          <w:sz w:val="24"/>
        </w:rPr>
        <w:t xml:space="preserve"> specify that an authorized carrier must</w:t>
      </w:r>
      <w:r w:rsidRPr="006B0E00">
        <w:rPr>
          <w:bCs/>
          <w:sz w:val="24"/>
        </w:rPr>
        <w:t xml:space="preserve"> provide </w:t>
      </w:r>
      <w:r>
        <w:rPr>
          <w:bCs/>
          <w:sz w:val="24"/>
        </w:rPr>
        <w:t>the</w:t>
      </w:r>
      <w:r w:rsidRPr="006B0E00">
        <w:rPr>
          <w:bCs/>
          <w:sz w:val="24"/>
        </w:rPr>
        <w:t xml:space="preserve"> less</w:t>
      </w:r>
      <w:r>
        <w:rPr>
          <w:bCs/>
          <w:sz w:val="24"/>
        </w:rPr>
        <w:t>or</w:t>
      </w:r>
      <w:r w:rsidRPr="006B0E00">
        <w:rPr>
          <w:bCs/>
          <w:sz w:val="24"/>
        </w:rPr>
        <w:t xml:space="preserve"> a copy of the freight bill </w:t>
      </w:r>
      <w:r>
        <w:rPr>
          <w:bCs/>
          <w:sz w:val="24"/>
        </w:rPr>
        <w:t>up</w:t>
      </w:r>
      <w:r w:rsidRPr="006B0E00">
        <w:rPr>
          <w:bCs/>
          <w:sz w:val="24"/>
        </w:rPr>
        <w:t>on request</w:t>
      </w:r>
      <w:r>
        <w:rPr>
          <w:bCs/>
          <w:sz w:val="24"/>
        </w:rPr>
        <w:t xml:space="preserve"> </w:t>
      </w:r>
      <w:r w:rsidRPr="00A63AC1">
        <w:rPr>
          <w:bCs/>
          <w:sz w:val="24"/>
        </w:rPr>
        <w:t>in circumstances where a lessor’s revenue is based on a percentage of gross revenue for a shipment</w:t>
      </w:r>
      <w:r>
        <w:rPr>
          <w:bCs/>
          <w:sz w:val="24"/>
        </w:rPr>
        <w:t xml:space="preserve"> (49 CFR 376.12(g))</w:t>
      </w:r>
      <w:r w:rsidRPr="006B0E00">
        <w:rPr>
          <w:bCs/>
          <w:sz w:val="24"/>
        </w:rPr>
        <w:t>.</w:t>
      </w:r>
      <w:r>
        <w:rPr>
          <w:bCs/>
          <w:sz w:val="24"/>
        </w:rPr>
        <w:t xml:space="preserve">  FMCSA has no basis for estimating how often such requests occur.  Many long-haul drivers are paid by distance traveled and not by value of a shipment.  For lessors paid a percentage of shipping charge, it is likely that the lessee would routinely provide documentation on the charges.  FMCSA, therefore, has not estimated a burden for this requirement. </w:t>
      </w:r>
    </w:p>
    <w:p w:rsidR="00363985" w:rsidRDefault="00363985" w:rsidP="00363985">
      <w:pPr>
        <w:pStyle w:val="BodyText"/>
        <w:widowControl/>
        <w:rPr>
          <w:bCs/>
        </w:rPr>
      </w:pPr>
    </w:p>
    <w:p w:rsidR="00363985" w:rsidRDefault="00363985" w:rsidP="00363985">
      <w:pPr>
        <w:pStyle w:val="BodyText"/>
        <w:widowControl/>
      </w:pPr>
      <w:r>
        <w:t xml:space="preserve">Section 376.22 requires that a for-hire carrier with operating authority or a private carrier leasing equipment to a for-hire carrier with operating authority have a written agreement between the parties that specifies which carrier is in control of the vehicle.  A copy is carried on the equipment.  The burden associated with this section is the creation of a copy to be carried in the vehicle.  FMCSA has not estimated a burden for these copies because it is </w:t>
      </w:r>
      <w:r w:rsidR="00AE2044" w:rsidRPr="002B55CF">
        <w:t>assumed to be</w:t>
      </w:r>
      <w:r>
        <w:t xml:space="preserve"> </w:t>
      </w:r>
      <w:r>
        <w:lastRenderedPageBreak/>
        <w:t>included in the burden associated with the lease agreement, as that covers all term-leased CMVs estimated to be operating outside of commercial zones.</w:t>
      </w:r>
    </w:p>
    <w:p w:rsidR="00363985" w:rsidRDefault="00363985" w:rsidP="00363985">
      <w:pPr>
        <w:pStyle w:val="BodyText"/>
        <w:widowControl/>
      </w:pPr>
    </w:p>
    <w:p w:rsidR="00363985" w:rsidRPr="002B55CF" w:rsidRDefault="00363985" w:rsidP="00363985">
      <w:pPr>
        <w:widowControl/>
        <w:rPr>
          <w:sz w:val="24"/>
        </w:rPr>
      </w:pPr>
      <w:r w:rsidRPr="002B55CF">
        <w:rPr>
          <w:b/>
          <w:sz w:val="24"/>
        </w:rPr>
        <w:t xml:space="preserve">Estimated Average Total Annual Burden Hours:  </w:t>
      </w:r>
      <w:r w:rsidR="00AE2044" w:rsidRPr="002B55CF">
        <w:rPr>
          <w:b/>
          <w:sz w:val="24"/>
        </w:rPr>
        <w:t>68,100</w:t>
      </w:r>
      <w:r w:rsidRPr="002B55CF">
        <w:rPr>
          <w:sz w:val="24"/>
        </w:rPr>
        <w:t xml:space="preserve"> (16,500 carriers × 0.</w:t>
      </w:r>
      <w:r w:rsidR="00CE2B3A" w:rsidRPr="002B55CF">
        <w:rPr>
          <w:sz w:val="24"/>
        </w:rPr>
        <w:t>5</w:t>
      </w:r>
      <w:r w:rsidRPr="002B55CF">
        <w:rPr>
          <w:sz w:val="24"/>
        </w:rPr>
        <w:t xml:space="preserve"> </w:t>
      </w:r>
      <w:r w:rsidR="00AE2044" w:rsidRPr="002B55CF">
        <w:rPr>
          <w:sz w:val="24"/>
        </w:rPr>
        <w:t xml:space="preserve">hours × 2 entities </w:t>
      </w:r>
      <w:r w:rsidRPr="002B55CF">
        <w:rPr>
          <w:sz w:val="24"/>
        </w:rPr>
        <w:t xml:space="preserve">+ 311,000 vehicles × 0.083 hours </w:t>
      </w:r>
      <w:r w:rsidR="00AE2044" w:rsidRPr="002B55CF">
        <w:rPr>
          <w:sz w:val="24"/>
        </w:rPr>
        <w:t xml:space="preserve">× 2 entities </w:t>
      </w:r>
      <w:r w:rsidRPr="002B55CF">
        <w:rPr>
          <w:sz w:val="24"/>
        </w:rPr>
        <w:t xml:space="preserve">= </w:t>
      </w:r>
      <w:r w:rsidR="00AE2044" w:rsidRPr="002B55CF">
        <w:rPr>
          <w:sz w:val="24"/>
        </w:rPr>
        <w:t>68,126</w:t>
      </w:r>
      <w:r w:rsidRPr="002B55CF">
        <w:rPr>
          <w:sz w:val="24"/>
        </w:rPr>
        <w:t xml:space="preserve"> hours, rounded to nearest hundred)</w:t>
      </w:r>
      <w:r w:rsidR="00112F4F">
        <w:rPr>
          <w:sz w:val="24"/>
        </w:rPr>
        <w:t>.</w:t>
      </w:r>
    </w:p>
    <w:p w:rsidR="00363985" w:rsidRPr="002B55CF" w:rsidRDefault="00363985" w:rsidP="00363985">
      <w:pPr>
        <w:widowControl/>
        <w:rPr>
          <w:b/>
          <w:sz w:val="24"/>
        </w:rPr>
      </w:pPr>
    </w:p>
    <w:p w:rsidR="00363985" w:rsidRPr="002B55CF" w:rsidRDefault="00363985" w:rsidP="00363985">
      <w:pPr>
        <w:widowControl/>
        <w:rPr>
          <w:b/>
          <w:sz w:val="24"/>
        </w:rPr>
      </w:pPr>
      <w:r w:rsidRPr="002B55CF">
        <w:rPr>
          <w:b/>
          <w:sz w:val="24"/>
        </w:rPr>
        <w:t xml:space="preserve">Estimated Annual Number of Respondents:  </w:t>
      </w:r>
      <w:r w:rsidR="006B5A3D" w:rsidRPr="002B55CF">
        <w:rPr>
          <w:b/>
          <w:sz w:val="24"/>
        </w:rPr>
        <w:t>32,100 (</w:t>
      </w:r>
      <w:r w:rsidRPr="002B55CF">
        <w:rPr>
          <w:sz w:val="24"/>
        </w:rPr>
        <w:t xml:space="preserve">16,500 </w:t>
      </w:r>
      <w:r w:rsidR="006B5A3D" w:rsidRPr="002B55CF">
        <w:rPr>
          <w:sz w:val="24"/>
        </w:rPr>
        <w:t>lessees + 16,500 lessors</w:t>
      </w:r>
      <w:r w:rsidR="007B6438" w:rsidRPr="002B55CF">
        <w:rPr>
          <w:sz w:val="24"/>
        </w:rPr>
        <w:t>)</w:t>
      </w:r>
      <w:r w:rsidR="00112F4F">
        <w:rPr>
          <w:sz w:val="24"/>
        </w:rPr>
        <w:t>.</w:t>
      </w:r>
    </w:p>
    <w:p w:rsidR="00363985" w:rsidRPr="002B55CF" w:rsidRDefault="00363985" w:rsidP="00363985">
      <w:pPr>
        <w:widowControl/>
        <w:rPr>
          <w:b/>
          <w:sz w:val="24"/>
        </w:rPr>
      </w:pPr>
    </w:p>
    <w:p w:rsidR="00363985" w:rsidRDefault="00363985" w:rsidP="00363985">
      <w:pPr>
        <w:widowControl/>
        <w:rPr>
          <w:b/>
          <w:sz w:val="24"/>
        </w:rPr>
      </w:pPr>
      <w:r w:rsidRPr="002B55CF">
        <w:rPr>
          <w:b/>
          <w:sz w:val="24"/>
        </w:rPr>
        <w:t xml:space="preserve">Estimated Annual Number of Responses:  </w:t>
      </w:r>
      <w:r w:rsidR="007B6438" w:rsidRPr="002B55CF">
        <w:rPr>
          <w:b/>
          <w:sz w:val="24"/>
        </w:rPr>
        <w:t>622,000 (</w:t>
      </w:r>
      <w:r w:rsidRPr="002B55CF">
        <w:rPr>
          <w:sz w:val="24"/>
        </w:rPr>
        <w:t xml:space="preserve">311,000 </w:t>
      </w:r>
      <w:r w:rsidR="007B6438" w:rsidRPr="002B55CF">
        <w:rPr>
          <w:sz w:val="24"/>
        </w:rPr>
        <w:t>lessee statements + 311,000 lessor statements)</w:t>
      </w:r>
      <w:r w:rsidR="00112F4F">
        <w:rPr>
          <w:sz w:val="24"/>
        </w:rPr>
        <w:t>.</w:t>
      </w:r>
      <w:r w:rsidRPr="001828E3">
        <w:rPr>
          <w:b/>
          <w:sz w:val="24"/>
        </w:rPr>
        <w:t xml:space="preserve"> </w:t>
      </w:r>
    </w:p>
    <w:p w:rsidR="003E7470" w:rsidRDefault="003E7470" w:rsidP="00363985">
      <w:pPr>
        <w:widowControl/>
        <w:rPr>
          <w:b/>
          <w:sz w:val="24"/>
        </w:rPr>
      </w:pPr>
    </w:p>
    <w:p w:rsidR="00363985" w:rsidRPr="003E7470" w:rsidRDefault="003E7470" w:rsidP="003E7470">
      <w:pPr>
        <w:widowControl/>
        <w:tabs>
          <w:tab w:val="left" w:pos="450"/>
        </w:tabs>
        <w:rPr>
          <w:b/>
          <w:sz w:val="24"/>
        </w:rPr>
      </w:pPr>
      <w:r w:rsidRPr="003E7470">
        <w:rPr>
          <w:b/>
          <w:sz w:val="24"/>
        </w:rPr>
        <w:t xml:space="preserve">13.  </w:t>
      </w:r>
      <w:r w:rsidR="00363985" w:rsidRPr="003E7470">
        <w:rPr>
          <w:b/>
          <w:bCs/>
          <w:sz w:val="24"/>
        </w:rPr>
        <w:t xml:space="preserve">ESTIMATE OF TOTAL ANNUAL COST TO RESPONDENTS </w:t>
      </w:r>
    </w:p>
    <w:p w:rsidR="00363985" w:rsidRDefault="00363985" w:rsidP="00363985">
      <w:pPr>
        <w:widowControl/>
        <w:rPr>
          <w:sz w:val="24"/>
        </w:rPr>
      </w:pPr>
    </w:p>
    <w:p w:rsidR="00380B22" w:rsidRPr="002B55CF" w:rsidRDefault="0032440C" w:rsidP="00363985">
      <w:pPr>
        <w:widowControl/>
        <w:rPr>
          <w:sz w:val="24"/>
        </w:rPr>
      </w:pPr>
      <w:r w:rsidRPr="0032440C">
        <w:rPr>
          <w:bCs/>
          <w:sz w:val="24"/>
        </w:rPr>
        <w:t>The estimated unit-cost of copying one lease agreement double-sided (i.e., a two page agreement) is</w:t>
      </w:r>
      <w:r w:rsidR="008833A3">
        <w:rPr>
          <w:bCs/>
          <w:sz w:val="24"/>
        </w:rPr>
        <w:t xml:space="preserve"> $0.15</w:t>
      </w:r>
      <w:r w:rsidR="00363985">
        <w:rPr>
          <w:sz w:val="24"/>
        </w:rPr>
        <w:t xml:space="preserve"> (incorporates cost per page of paper, ink used in printing, printer depreciation, etc.).  </w:t>
      </w:r>
      <w:r w:rsidR="008833A3" w:rsidRPr="0032440C">
        <w:rPr>
          <w:bCs/>
          <w:sz w:val="24"/>
        </w:rPr>
        <w:t>The estimated unit-cost corresponding to the lease receipts is $0.30.  This assumes two transactions, and hence two receipts: one for the delivery (or surrender) of the vehicle and one for the return of the vehicle.</w:t>
      </w:r>
      <w:r w:rsidR="008833A3">
        <w:rPr>
          <w:bCs/>
          <w:sz w:val="24"/>
        </w:rPr>
        <w:t xml:space="preserve">  </w:t>
      </w:r>
      <w:r w:rsidR="000445AA" w:rsidRPr="002B55CF">
        <w:rPr>
          <w:bCs/>
          <w:sz w:val="24"/>
        </w:rPr>
        <w:t xml:space="preserve">This cost is applied to both the lessee and lessor.  </w:t>
      </w:r>
      <w:r w:rsidR="00363985" w:rsidRPr="002B55CF">
        <w:rPr>
          <w:sz w:val="24"/>
        </w:rPr>
        <w:t>An estimated 311,000 vehicles leased every year would require 311,000 lease statements; therefore, the total cost of generating copies of lease statements would be $</w:t>
      </w:r>
      <w:r w:rsidR="008833A3" w:rsidRPr="002B55CF">
        <w:rPr>
          <w:sz w:val="24"/>
        </w:rPr>
        <w:t>93,300</w:t>
      </w:r>
      <w:r w:rsidR="00363985" w:rsidRPr="002B55CF">
        <w:rPr>
          <w:sz w:val="24"/>
        </w:rPr>
        <w:t xml:space="preserve"> (311,000 statements × $0.</w:t>
      </w:r>
      <w:r w:rsidR="008833A3" w:rsidRPr="002B55CF">
        <w:rPr>
          <w:sz w:val="24"/>
        </w:rPr>
        <w:t>3</w:t>
      </w:r>
      <w:r w:rsidR="00363985" w:rsidRPr="002B55CF">
        <w:rPr>
          <w:sz w:val="24"/>
        </w:rPr>
        <w:t>0 per page</w:t>
      </w:r>
      <w:r w:rsidR="000445AA" w:rsidRPr="002B55CF">
        <w:rPr>
          <w:sz w:val="24"/>
        </w:rPr>
        <w:t xml:space="preserve"> × 2</w:t>
      </w:r>
      <w:r w:rsidR="002560B2" w:rsidRPr="002B55CF">
        <w:rPr>
          <w:sz w:val="24"/>
        </w:rPr>
        <w:t xml:space="preserve"> entities</w:t>
      </w:r>
      <w:r w:rsidR="00363985" w:rsidRPr="002B55CF">
        <w:rPr>
          <w:sz w:val="24"/>
        </w:rPr>
        <w:t xml:space="preserve"> = $</w:t>
      </w:r>
      <w:r w:rsidR="000445AA" w:rsidRPr="002B55CF">
        <w:rPr>
          <w:sz w:val="24"/>
        </w:rPr>
        <w:t>186,600</w:t>
      </w:r>
      <w:r w:rsidR="00363985" w:rsidRPr="002B55CF">
        <w:rPr>
          <w:sz w:val="24"/>
        </w:rPr>
        <w:t xml:space="preserve">).  </w:t>
      </w:r>
    </w:p>
    <w:p w:rsidR="00380B22" w:rsidRPr="002B55CF" w:rsidRDefault="00380B22" w:rsidP="00363985">
      <w:pPr>
        <w:widowControl/>
        <w:rPr>
          <w:sz w:val="24"/>
        </w:rPr>
      </w:pPr>
    </w:p>
    <w:p w:rsidR="00363985" w:rsidRPr="002B55CF" w:rsidRDefault="00363985" w:rsidP="00363985">
      <w:pPr>
        <w:widowControl/>
        <w:rPr>
          <w:sz w:val="24"/>
        </w:rPr>
      </w:pPr>
      <w:r w:rsidRPr="002B55CF">
        <w:rPr>
          <w:sz w:val="24"/>
        </w:rPr>
        <w:t>The total annual cost of the information collection is shown in Table 2.</w:t>
      </w:r>
    </w:p>
    <w:p w:rsidR="00363985" w:rsidRPr="002B55CF" w:rsidRDefault="00363985" w:rsidP="00363985">
      <w:pPr>
        <w:widowControl/>
        <w:rPr>
          <w:sz w:val="24"/>
        </w:rPr>
      </w:pPr>
    </w:p>
    <w:p w:rsidR="00363985" w:rsidRPr="00CB0978" w:rsidRDefault="00363985" w:rsidP="00363985">
      <w:pPr>
        <w:widowControl/>
        <w:jc w:val="center"/>
        <w:rPr>
          <w:rFonts w:ascii="Arial" w:hAnsi="Arial" w:cs="Arial"/>
          <w:b/>
          <w:szCs w:val="20"/>
        </w:rPr>
      </w:pPr>
      <w:proofErr w:type="gramStart"/>
      <w:r w:rsidRPr="002B55CF">
        <w:rPr>
          <w:rFonts w:ascii="Arial" w:hAnsi="Arial" w:cs="Arial"/>
          <w:b/>
          <w:szCs w:val="20"/>
        </w:rPr>
        <w:t>Table 2.</w:t>
      </w:r>
      <w:proofErr w:type="gramEnd"/>
      <w:r w:rsidRPr="002B55CF">
        <w:rPr>
          <w:rFonts w:ascii="Arial" w:hAnsi="Arial" w:cs="Arial"/>
          <w:b/>
          <w:szCs w:val="20"/>
        </w:rPr>
        <w:t xml:space="preserve"> Total Annual Cost of the Information Collection</w:t>
      </w:r>
    </w:p>
    <w:p w:rsidR="00363985" w:rsidRDefault="00363985" w:rsidP="00363985">
      <w:pPr>
        <w:widowControl/>
        <w:rPr>
          <w:sz w:val="24"/>
        </w:rPr>
      </w:pPr>
    </w:p>
    <w:tbl>
      <w:tblPr>
        <w:tblW w:w="8313" w:type="dxa"/>
        <w:jc w:val="center"/>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429"/>
        <w:gridCol w:w="1225"/>
        <w:gridCol w:w="1275"/>
        <w:gridCol w:w="1738"/>
        <w:gridCol w:w="1646"/>
      </w:tblGrid>
      <w:tr w:rsidR="002560B2" w:rsidRPr="00AF6DA2" w:rsidTr="002B55CF">
        <w:trPr>
          <w:trHeight w:val="300"/>
          <w:jc w:val="center"/>
        </w:trPr>
        <w:tc>
          <w:tcPr>
            <w:tcW w:w="2429" w:type="dxa"/>
            <w:tcBorders>
              <w:top w:val="single" w:sz="12" w:space="0" w:color="auto"/>
              <w:left w:val="single" w:sz="12" w:space="0" w:color="auto"/>
              <w:bottom w:val="single" w:sz="12" w:space="0" w:color="auto"/>
            </w:tcBorders>
            <w:shd w:val="clear" w:color="auto" w:fill="D9D9D9" w:themeFill="background1" w:themeFillShade="D9"/>
            <w:noWrap/>
            <w:vAlign w:val="center"/>
            <w:hideMark/>
          </w:tcPr>
          <w:p w:rsidR="002560B2" w:rsidRPr="00515DE0" w:rsidRDefault="002560B2" w:rsidP="002560B2">
            <w:pPr>
              <w:widowControl/>
              <w:autoSpaceDE/>
              <w:autoSpaceDN/>
              <w:adjustRightInd/>
              <w:jc w:val="center"/>
              <w:rPr>
                <w:color w:val="000000"/>
                <w:sz w:val="22"/>
                <w:szCs w:val="22"/>
              </w:rPr>
            </w:pPr>
          </w:p>
        </w:tc>
        <w:tc>
          <w:tcPr>
            <w:tcW w:w="1225" w:type="dxa"/>
            <w:tcBorders>
              <w:top w:val="single" w:sz="12" w:space="0" w:color="auto"/>
              <w:bottom w:val="single" w:sz="12" w:space="0" w:color="auto"/>
            </w:tcBorders>
            <w:shd w:val="clear" w:color="auto" w:fill="D9D9D9" w:themeFill="background1" w:themeFillShade="D9"/>
            <w:noWrap/>
            <w:vAlign w:val="center"/>
            <w:hideMark/>
          </w:tcPr>
          <w:p w:rsidR="002560B2" w:rsidRPr="00515DE0" w:rsidRDefault="002560B2" w:rsidP="00655E97">
            <w:pPr>
              <w:widowControl/>
              <w:autoSpaceDE/>
              <w:autoSpaceDN/>
              <w:adjustRightInd/>
              <w:jc w:val="center"/>
              <w:rPr>
                <w:b/>
                <w:bCs/>
                <w:color w:val="000000"/>
                <w:sz w:val="22"/>
                <w:szCs w:val="22"/>
              </w:rPr>
            </w:pPr>
            <w:r w:rsidRPr="00515DE0">
              <w:rPr>
                <w:b/>
                <w:bCs/>
                <w:color w:val="000000"/>
                <w:sz w:val="22"/>
                <w:szCs w:val="22"/>
              </w:rPr>
              <w:t>Unit Cost</w:t>
            </w:r>
          </w:p>
        </w:tc>
        <w:tc>
          <w:tcPr>
            <w:tcW w:w="1275" w:type="dxa"/>
            <w:tcBorders>
              <w:top w:val="single" w:sz="12" w:space="0" w:color="auto"/>
              <w:bottom w:val="single" w:sz="12" w:space="0" w:color="auto"/>
            </w:tcBorders>
            <w:shd w:val="clear" w:color="auto" w:fill="D9D9D9" w:themeFill="background1" w:themeFillShade="D9"/>
            <w:noWrap/>
            <w:vAlign w:val="center"/>
            <w:hideMark/>
          </w:tcPr>
          <w:p w:rsidR="002560B2" w:rsidRPr="00515DE0" w:rsidRDefault="002560B2" w:rsidP="007B6438">
            <w:pPr>
              <w:widowControl/>
              <w:autoSpaceDE/>
              <w:autoSpaceDN/>
              <w:adjustRightInd/>
              <w:jc w:val="center"/>
              <w:rPr>
                <w:b/>
                <w:bCs/>
                <w:color w:val="000000"/>
                <w:sz w:val="22"/>
                <w:szCs w:val="22"/>
              </w:rPr>
            </w:pPr>
            <w:r>
              <w:rPr>
                <w:b/>
                <w:bCs/>
                <w:color w:val="000000"/>
                <w:sz w:val="22"/>
                <w:szCs w:val="22"/>
              </w:rPr>
              <w:t>Lease Statements</w:t>
            </w:r>
          </w:p>
        </w:tc>
        <w:tc>
          <w:tcPr>
            <w:tcW w:w="1738" w:type="dxa"/>
            <w:tcBorders>
              <w:top w:val="single" w:sz="12" w:space="0" w:color="auto"/>
              <w:bottom w:val="single" w:sz="12" w:space="0" w:color="auto"/>
            </w:tcBorders>
            <w:shd w:val="clear" w:color="auto" w:fill="D9D9D9" w:themeFill="background1" w:themeFillShade="D9"/>
            <w:vAlign w:val="center"/>
          </w:tcPr>
          <w:p w:rsidR="002560B2" w:rsidRPr="00515DE0" w:rsidRDefault="002560B2" w:rsidP="00540ACC">
            <w:pPr>
              <w:widowControl/>
              <w:autoSpaceDE/>
              <w:autoSpaceDN/>
              <w:adjustRightInd/>
              <w:jc w:val="center"/>
              <w:rPr>
                <w:b/>
                <w:bCs/>
                <w:color w:val="000000"/>
                <w:sz w:val="22"/>
                <w:szCs w:val="22"/>
              </w:rPr>
            </w:pPr>
            <w:r>
              <w:rPr>
                <w:rFonts w:cs="Calibri"/>
                <w:b/>
                <w:bCs/>
                <w:color w:val="000000"/>
                <w:sz w:val="22"/>
                <w:szCs w:val="22"/>
              </w:rPr>
              <w:t>Entities (Lessee and Lessor)</w:t>
            </w:r>
          </w:p>
        </w:tc>
        <w:tc>
          <w:tcPr>
            <w:tcW w:w="1646" w:type="dxa"/>
            <w:tcBorders>
              <w:top w:val="single" w:sz="12" w:space="0" w:color="auto"/>
              <w:bottom w:val="single" w:sz="12" w:space="0" w:color="auto"/>
              <w:right w:val="single" w:sz="12" w:space="0" w:color="auto"/>
            </w:tcBorders>
            <w:shd w:val="clear" w:color="auto" w:fill="D9D9D9" w:themeFill="background1" w:themeFillShade="D9"/>
            <w:noWrap/>
            <w:vAlign w:val="center"/>
            <w:hideMark/>
          </w:tcPr>
          <w:p w:rsidR="002560B2" w:rsidRPr="00515DE0" w:rsidRDefault="002560B2" w:rsidP="00540ACC">
            <w:pPr>
              <w:widowControl/>
              <w:autoSpaceDE/>
              <w:autoSpaceDN/>
              <w:adjustRightInd/>
              <w:jc w:val="center"/>
              <w:rPr>
                <w:b/>
                <w:bCs/>
                <w:color w:val="000000"/>
                <w:sz w:val="22"/>
                <w:szCs w:val="22"/>
              </w:rPr>
            </w:pPr>
            <w:r w:rsidRPr="00515DE0">
              <w:rPr>
                <w:b/>
                <w:bCs/>
                <w:color w:val="000000"/>
                <w:sz w:val="22"/>
                <w:szCs w:val="22"/>
              </w:rPr>
              <w:t>Total Cost</w:t>
            </w:r>
          </w:p>
        </w:tc>
      </w:tr>
      <w:tr w:rsidR="002560B2" w:rsidRPr="00AF6DA2" w:rsidTr="002B55CF">
        <w:trPr>
          <w:trHeight w:val="300"/>
          <w:jc w:val="center"/>
        </w:trPr>
        <w:tc>
          <w:tcPr>
            <w:tcW w:w="2429" w:type="dxa"/>
            <w:tcBorders>
              <w:top w:val="single" w:sz="12" w:space="0" w:color="auto"/>
              <w:left w:val="single" w:sz="12" w:space="0" w:color="auto"/>
            </w:tcBorders>
            <w:shd w:val="clear" w:color="auto" w:fill="FFFFFF" w:themeFill="background1"/>
            <w:noWrap/>
            <w:vAlign w:val="center"/>
            <w:hideMark/>
          </w:tcPr>
          <w:p w:rsidR="002560B2" w:rsidRPr="00515DE0" w:rsidRDefault="002560B2" w:rsidP="002560B2">
            <w:pPr>
              <w:widowControl/>
              <w:autoSpaceDE/>
              <w:autoSpaceDN/>
              <w:adjustRightInd/>
              <w:jc w:val="center"/>
              <w:rPr>
                <w:b/>
                <w:color w:val="000000"/>
                <w:sz w:val="22"/>
                <w:szCs w:val="22"/>
              </w:rPr>
            </w:pPr>
            <w:r w:rsidRPr="00515DE0">
              <w:rPr>
                <w:b/>
                <w:color w:val="000000"/>
                <w:sz w:val="22"/>
                <w:szCs w:val="22"/>
              </w:rPr>
              <w:t>Lease Statement Copy Generation</w:t>
            </w:r>
          </w:p>
        </w:tc>
        <w:tc>
          <w:tcPr>
            <w:tcW w:w="1225" w:type="dxa"/>
            <w:tcBorders>
              <w:top w:val="single" w:sz="12" w:space="0" w:color="auto"/>
            </w:tcBorders>
            <w:shd w:val="clear" w:color="auto" w:fill="FFFFFF" w:themeFill="background1"/>
            <w:noWrap/>
            <w:vAlign w:val="center"/>
            <w:hideMark/>
          </w:tcPr>
          <w:p w:rsidR="002560B2" w:rsidRPr="00515DE0" w:rsidRDefault="002560B2" w:rsidP="00655E97">
            <w:pPr>
              <w:widowControl/>
              <w:autoSpaceDE/>
              <w:autoSpaceDN/>
              <w:adjustRightInd/>
              <w:jc w:val="center"/>
              <w:rPr>
                <w:color w:val="000000"/>
                <w:sz w:val="22"/>
                <w:szCs w:val="22"/>
              </w:rPr>
            </w:pPr>
            <w:r w:rsidRPr="00515DE0">
              <w:rPr>
                <w:color w:val="000000"/>
                <w:sz w:val="22"/>
                <w:szCs w:val="22"/>
              </w:rPr>
              <w:t>0.</w:t>
            </w:r>
            <w:r>
              <w:rPr>
                <w:color w:val="000000"/>
                <w:sz w:val="22"/>
                <w:szCs w:val="22"/>
              </w:rPr>
              <w:t>3</w:t>
            </w:r>
            <w:r w:rsidRPr="00515DE0">
              <w:rPr>
                <w:color w:val="000000"/>
                <w:sz w:val="22"/>
                <w:szCs w:val="22"/>
              </w:rPr>
              <w:t>0</w:t>
            </w:r>
          </w:p>
        </w:tc>
        <w:tc>
          <w:tcPr>
            <w:tcW w:w="1275" w:type="dxa"/>
            <w:tcBorders>
              <w:top w:val="single" w:sz="12" w:space="0" w:color="auto"/>
            </w:tcBorders>
            <w:shd w:val="clear" w:color="auto" w:fill="FFFFFF" w:themeFill="background1"/>
            <w:noWrap/>
            <w:vAlign w:val="center"/>
            <w:hideMark/>
          </w:tcPr>
          <w:p w:rsidR="002560B2" w:rsidRPr="00515DE0" w:rsidRDefault="002560B2" w:rsidP="007B6438">
            <w:pPr>
              <w:widowControl/>
              <w:jc w:val="center"/>
              <w:rPr>
                <w:color w:val="000000"/>
                <w:sz w:val="22"/>
                <w:szCs w:val="22"/>
              </w:rPr>
            </w:pPr>
            <w:r w:rsidRPr="00515DE0">
              <w:rPr>
                <w:color w:val="000000"/>
                <w:sz w:val="22"/>
                <w:szCs w:val="22"/>
              </w:rPr>
              <w:t>311,000</w:t>
            </w:r>
          </w:p>
        </w:tc>
        <w:tc>
          <w:tcPr>
            <w:tcW w:w="1738" w:type="dxa"/>
            <w:tcBorders>
              <w:top w:val="single" w:sz="12" w:space="0" w:color="auto"/>
            </w:tcBorders>
            <w:shd w:val="clear" w:color="auto" w:fill="FFFFFF" w:themeFill="background1"/>
            <w:vAlign w:val="center"/>
          </w:tcPr>
          <w:p w:rsidR="002560B2" w:rsidRPr="00515DE0" w:rsidRDefault="002560B2" w:rsidP="00540ACC">
            <w:pPr>
              <w:widowControl/>
              <w:jc w:val="center"/>
              <w:rPr>
                <w:color w:val="000000"/>
                <w:sz w:val="22"/>
                <w:szCs w:val="22"/>
              </w:rPr>
            </w:pPr>
            <w:r>
              <w:rPr>
                <w:rFonts w:cs="Calibri"/>
                <w:color w:val="000000"/>
                <w:sz w:val="22"/>
                <w:szCs w:val="22"/>
              </w:rPr>
              <w:t>2</w:t>
            </w:r>
          </w:p>
        </w:tc>
        <w:tc>
          <w:tcPr>
            <w:tcW w:w="1646" w:type="dxa"/>
            <w:tcBorders>
              <w:top w:val="single" w:sz="12" w:space="0" w:color="auto"/>
              <w:right w:val="single" w:sz="12" w:space="0" w:color="auto"/>
            </w:tcBorders>
            <w:shd w:val="clear" w:color="auto" w:fill="FFFFFF" w:themeFill="background1"/>
            <w:noWrap/>
            <w:vAlign w:val="center"/>
            <w:hideMark/>
          </w:tcPr>
          <w:p w:rsidR="002560B2" w:rsidRPr="00515DE0" w:rsidRDefault="002560B2" w:rsidP="00540ACC">
            <w:pPr>
              <w:widowControl/>
              <w:jc w:val="center"/>
              <w:rPr>
                <w:color w:val="000000"/>
                <w:sz w:val="22"/>
                <w:szCs w:val="22"/>
              </w:rPr>
            </w:pPr>
            <w:r w:rsidRPr="00515DE0">
              <w:rPr>
                <w:color w:val="000000"/>
                <w:sz w:val="22"/>
                <w:szCs w:val="22"/>
              </w:rPr>
              <w:t>$</w:t>
            </w:r>
            <w:r>
              <w:rPr>
                <w:color w:val="000000"/>
                <w:sz w:val="22"/>
                <w:szCs w:val="22"/>
              </w:rPr>
              <w:t>186,600</w:t>
            </w:r>
          </w:p>
        </w:tc>
      </w:tr>
    </w:tbl>
    <w:p w:rsidR="00363985" w:rsidRDefault="00363985" w:rsidP="00363985">
      <w:pPr>
        <w:keepNext/>
        <w:widowControl/>
        <w:jc w:val="center"/>
        <w:rPr>
          <w:color w:val="000000"/>
          <w:sz w:val="24"/>
        </w:rPr>
      </w:pPr>
    </w:p>
    <w:p w:rsidR="003E7470" w:rsidRDefault="00363985" w:rsidP="00363985">
      <w:pPr>
        <w:widowControl/>
        <w:rPr>
          <w:bCs/>
          <w:sz w:val="24"/>
        </w:rPr>
      </w:pPr>
      <w:r w:rsidRPr="002B55CF">
        <w:rPr>
          <w:b/>
          <w:bCs/>
          <w:sz w:val="24"/>
        </w:rPr>
        <w:t xml:space="preserve">Estimated Average Annual Cost to Respondents:  </w:t>
      </w:r>
      <w:r w:rsidRPr="002B55CF">
        <w:rPr>
          <w:bCs/>
          <w:sz w:val="24"/>
        </w:rPr>
        <w:t>$</w:t>
      </w:r>
      <w:r w:rsidR="00E67757">
        <w:rPr>
          <w:bCs/>
          <w:sz w:val="24"/>
        </w:rPr>
        <w:t>186,600</w:t>
      </w:r>
      <w:r w:rsidR="00D02B53" w:rsidRPr="002B55CF">
        <w:rPr>
          <w:bCs/>
          <w:sz w:val="24"/>
        </w:rPr>
        <w:t xml:space="preserve"> [311,000 lease statements x $0.</w:t>
      </w:r>
      <w:r w:rsidR="008833A3" w:rsidRPr="002B55CF">
        <w:rPr>
          <w:bCs/>
          <w:sz w:val="24"/>
        </w:rPr>
        <w:t>3</w:t>
      </w:r>
      <w:r w:rsidR="00D02B53" w:rsidRPr="002B55CF">
        <w:rPr>
          <w:bCs/>
          <w:sz w:val="24"/>
        </w:rPr>
        <w:t xml:space="preserve">0 per statement </w:t>
      </w:r>
      <w:r w:rsidR="002560B2" w:rsidRPr="002B55CF">
        <w:rPr>
          <w:bCs/>
          <w:sz w:val="24"/>
        </w:rPr>
        <w:t xml:space="preserve">× 2 entities </w:t>
      </w:r>
      <w:r w:rsidR="00D02B53" w:rsidRPr="002B55CF">
        <w:rPr>
          <w:bCs/>
          <w:sz w:val="24"/>
        </w:rPr>
        <w:t>= $</w:t>
      </w:r>
      <w:r w:rsidR="00E67757">
        <w:rPr>
          <w:bCs/>
          <w:sz w:val="24"/>
        </w:rPr>
        <w:t>186,600</w:t>
      </w:r>
      <w:r w:rsidR="00D02B53" w:rsidRPr="002B55CF">
        <w:rPr>
          <w:bCs/>
          <w:sz w:val="24"/>
        </w:rPr>
        <w:t>]</w:t>
      </w:r>
      <w:r w:rsidRPr="002B55CF">
        <w:rPr>
          <w:bCs/>
          <w:sz w:val="24"/>
        </w:rPr>
        <w:t>.</w:t>
      </w:r>
    </w:p>
    <w:p w:rsidR="003E7470" w:rsidRDefault="003E7470" w:rsidP="00363985">
      <w:pPr>
        <w:widowControl/>
        <w:rPr>
          <w:bCs/>
          <w:sz w:val="24"/>
        </w:rPr>
      </w:pPr>
    </w:p>
    <w:p w:rsidR="00363985" w:rsidRPr="003E7470" w:rsidRDefault="003E7470" w:rsidP="003E7470">
      <w:pPr>
        <w:widowControl/>
        <w:tabs>
          <w:tab w:val="left" w:pos="450"/>
        </w:tabs>
        <w:rPr>
          <w:b/>
          <w:bCs/>
          <w:sz w:val="24"/>
        </w:rPr>
      </w:pPr>
      <w:r w:rsidRPr="003E7470">
        <w:rPr>
          <w:b/>
          <w:bCs/>
          <w:sz w:val="24"/>
        </w:rPr>
        <w:t>14.</w:t>
      </w:r>
      <w:r w:rsidRPr="003E7470">
        <w:rPr>
          <w:bCs/>
          <w:sz w:val="24"/>
        </w:rPr>
        <w:t xml:space="preserve">  </w:t>
      </w:r>
      <w:r w:rsidR="00363985" w:rsidRPr="003E7470">
        <w:rPr>
          <w:b/>
          <w:bCs/>
          <w:sz w:val="24"/>
        </w:rPr>
        <w:t xml:space="preserve">ESTIMATE OF COST TO THE FEDERAL GOVERNMENT </w:t>
      </w:r>
    </w:p>
    <w:p w:rsidR="00363985" w:rsidRDefault="00363985" w:rsidP="00363985">
      <w:pPr>
        <w:widowControl/>
        <w:rPr>
          <w:sz w:val="24"/>
        </w:rPr>
      </w:pPr>
    </w:p>
    <w:p w:rsidR="00363985" w:rsidRDefault="00363985" w:rsidP="00363985">
      <w:pPr>
        <w:widowControl/>
        <w:rPr>
          <w:color w:val="000000"/>
          <w:sz w:val="24"/>
        </w:rPr>
      </w:pPr>
      <w:proofErr w:type="gramStart"/>
      <w:r>
        <w:rPr>
          <w:color w:val="000000"/>
          <w:sz w:val="24"/>
        </w:rPr>
        <w:t>None.</w:t>
      </w:r>
      <w:proofErr w:type="gramEnd"/>
      <w:r w:rsidR="00112F4F">
        <w:rPr>
          <w:color w:val="000000"/>
          <w:sz w:val="24"/>
        </w:rPr>
        <w:t xml:space="preserve">  </w:t>
      </w:r>
      <w:r w:rsidR="008608F0">
        <w:rPr>
          <w:color w:val="000000"/>
          <w:sz w:val="24"/>
        </w:rPr>
        <w:t>These leases are maintained by the motor carriers and are not submitted to FMCSA.</w:t>
      </w:r>
    </w:p>
    <w:p w:rsidR="003E7470" w:rsidRDefault="003E7470" w:rsidP="00363985">
      <w:pPr>
        <w:widowControl/>
        <w:rPr>
          <w:color w:val="000000"/>
          <w:sz w:val="24"/>
        </w:rPr>
      </w:pPr>
    </w:p>
    <w:p w:rsidR="00363985" w:rsidRPr="003E7470" w:rsidRDefault="003E7470" w:rsidP="003E7470">
      <w:pPr>
        <w:widowControl/>
        <w:tabs>
          <w:tab w:val="left" w:pos="-1440"/>
          <w:tab w:val="left" w:pos="-720"/>
          <w:tab w:val="left" w:pos="0"/>
          <w:tab w:val="left" w:pos="450"/>
          <w:tab w:val="left" w:pos="1440"/>
          <w:tab w:val="left" w:pos="2160"/>
          <w:tab w:val="left" w:pos="2880"/>
          <w:tab w:val="left" w:pos="3600"/>
          <w:tab w:val="left" w:pos="4320"/>
          <w:tab w:val="left" w:pos="5040"/>
          <w:tab w:val="decimal" w:pos="5760"/>
        </w:tabs>
        <w:rPr>
          <w:b/>
          <w:sz w:val="24"/>
        </w:rPr>
      </w:pPr>
      <w:r w:rsidRPr="003E7470">
        <w:rPr>
          <w:b/>
          <w:color w:val="000000"/>
          <w:sz w:val="24"/>
        </w:rPr>
        <w:t>15.</w:t>
      </w:r>
      <w:r w:rsidRPr="003E7470">
        <w:rPr>
          <w:color w:val="000000"/>
          <w:sz w:val="24"/>
        </w:rPr>
        <w:t xml:space="preserve">  </w:t>
      </w:r>
      <w:r w:rsidR="00363985" w:rsidRPr="003E7470">
        <w:rPr>
          <w:b/>
          <w:bCs/>
          <w:sz w:val="24"/>
        </w:rPr>
        <w:t xml:space="preserve">EXPLANATION OF PROGRAM CHANGES OR ADJUSTMENTS </w:t>
      </w:r>
    </w:p>
    <w:p w:rsidR="00363985" w:rsidRPr="00073F97" w:rsidRDefault="00363985" w:rsidP="00363985">
      <w:pPr>
        <w:widowControl/>
        <w:tabs>
          <w:tab w:val="left" w:pos="-1440"/>
          <w:tab w:val="left" w:pos="-720"/>
          <w:tab w:val="left" w:pos="0"/>
          <w:tab w:val="left" w:pos="450"/>
          <w:tab w:val="left" w:pos="1440"/>
          <w:tab w:val="left" w:pos="2160"/>
          <w:tab w:val="left" w:pos="2880"/>
          <w:tab w:val="left" w:pos="3600"/>
          <w:tab w:val="left" w:pos="4320"/>
          <w:tab w:val="left" w:pos="5040"/>
          <w:tab w:val="decimal" w:pos="5760"/>
        </w:tabs>
        <w:ind w:hanging="720"/>
        <w:rPr>
          <w:b/>
          <w:sz w:val="24"/>
        </w:rPr>
      </w:pPr>
    </w:p>
    <w:p w:rsidR="00AD1AD8" w:rsidRDefault="00705021" w:rsidP="00245028">
      <w:pPr>
        <w:pStyle w:val="BodyText2"/>
        <w:widowControl/>
      </w:pPr>
      <w:r>
        <w:t xml:space="preserve">The program change increases of </w:t>
      </w:r>
      <w:r w:rsidR="00DA49AE">
        <w:t>34,100</w:t>
      </w:r>
      <w:r>
        <w:t xml:space="preserve"> annual burden hours and $</w:t>
      </w:r>
      <w:r w:rsidR="00E8451E">
        <w:t>186,600</w:t>
      </w:r>
      <w:r>
        <w:t xml:space="preserve"> annual cost to respondents are due to a new ICR.</w:t>
      </w:r>
    </w:p>
    <w:p w:rsidR="001828E3" w:rsidRDefault="001828E3" w:rsidP="00245028">
      <w:pPr>
        <w:pStyle w:val="BodyText2"/>
        <w:widowControl/>
      </w:pPr>
    </w:p>
    <w:p w:rsidR="00AD1AD8" w:rsidRDefault="00AD1AD8" w:rsidP="00487B10">
      <w:pPr>
        <w:keepNext/>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b/>
          <w:bCs/>
          <w:sz w:val="24"/>
        </w:rPr>
        <w:t xml:space="preserve">16.  </w:t>
      </w:r>
      <w:r w:rsidR="00380B22">
        <w:rPr>
          <w:b/>
          <w:bCs/>
          <w:sz w:val="24"/>
        </w:rPr>
        <w:t>PUBLICATION OF RESULTS OF DATA COLLECTION</w:t>
      </w:r>
      <w:r w:rsidR="00380B22">
        <w:rPr>
          <w:sz w:val="24"/>
        </w:rPr>
        <w:t>.</w:t>
      </w:r>
    </w:p>
    <w:p w:rsidR="00AD1AD8" w:rsidRDefault="00AD1AD8" w:rsidP="00487B10">
      <w:pPr>
        <w:keepNext/>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AD1AD8" w:rsidRDefault="00705021" w:rsidP="00245028">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sz w:val="24"/>
        </w:rPr>
        <w:t>The results of this ICR will not be published.</w:t>
      </w:r>
    </w:p>
    <w:p w:rsidR="007973EF" w:rsidRDefault="007973EF" w:rsidP="00245028">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AD1AD8" w:rsidRDefault="00AD1AD8" w:rsidP="00245028">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b/>
          <w:bCs/>
          <w:sz w:val="24"/>
        </w:rPr>
        <w:t xml:space="preserve">17.  </w:t>
      </w:r>
      <w:r w:rsidR="00380B22">
        <w:rPr>
          <w:b/>
          <w:bCs/>
          <w:sz w:val="24"/>
        </w:rPr>
        <w:t>APPROVAL FOR NOT DISPLAYING THE EXPIRATION DATE FOR OMB APPROVAL</w:t>
      </w:r>
      <w:r w:rsidR="00380B22">
        <w:rPr>
          <w:sz w:val="24"/>
        </w:rPr>
        <w:t>.</w:t>
      </w:r>
    </w:p>
    <w:p w:rsidR="00AD1AD8" w:rsidRDefault="00AD1AD8" w:rsidP="00245028">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AD1AD8" w:rsidRDefault="007973EF" w:rsidP="00245028">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sz w:val="24"/>
        </w:rPr>
        <w:t>Not applicable.</w:t>
      </w:r>
    </w:p>
    <w:p w:rsidR="003561EB" w:rsidRDefault="003561EB" w:rsidP="00245028">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AD1AD8" w:rsidRDefault="00AD1AD8" w:rsidP="00245028">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r>
        <w:rPr>
          <w:b/>
          <w:bCs/>
          <w:sz w:val="24"/>
        </w:rPr>
        <w:t xml:space="preserve">18.  </w:t>
      </w:r>
      <w:r w:rsidR="00380B22">
        <w:rPr>
          <w:b/>
          <w:bCs/>
          <w:sz w:val="24"/>
        </w:rPr>
        <w:t>EXCEPTION TO CERTIFICATION STATEMENT</w:t>
      </w:r>
      <w:r w:rsidR="00380B22">
        <w:rPr>
          <w:sz w:val="24"/>
        </w:rPr>
        <w:t>.</w:t>
      </w:r>
    </w:p>
    <w:p w:rsidR="00AD1AD8" w:rsidRDefault="00AD1AD8" w:rsidP="00245028">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AD1AD8" w:rsidRDefault="00AD1AD8" w:rsidP="00245028">
      <w:pPr>
        <w:pStyle w:val="BodyText"/>
        <w:widowControl/>
        <w:tabs>
          <w:tab w:val="left" w:pos="-1440"/>
          <w:tab w:val="left" w:pos="-720"/>
          <w:tab w:val="left" w:pos="0"/>
          <w:tab w:val="left" w:pos="720"/>
          <w:tab w:val="left" w:pos="1440"/>
          <w:tab w:val="left" w:pos="2160"/>
          <w:tab w:val="left" w:pos="2880"/>
          <w:tab w:val="left" w:pos="3600"/>
          <w:tab w:val="left" w:pos="4320"/>
          <w:tab w:val="left" w:pos="5040"/>
          <w:tab w:val="decimal" w:pos="5760"/>
        </w:tabs>
      </w:pPr>
      <w:r>
        <w:t>There are no exceptions to the certification statement.</w:t>
      </w:r>
    </w:p>
    <w:p w:rsidR="00AD1AD8" w:rsidRDefault="00AD1AD8" w:rsidP="00245028">
      <w:pPr>
        <w:widowControl/>
        <w:tabs>
          <w:tab w:val="left" w:pos="-1440"/>
          <w:tab w:val="left" w:pos="-720"/>
          <w:tab w:val="left" w:pos="0"/>
          <w:tab w:val="left" w:pos="720"/>
          <w:tab w:val="left" w:pos="1440"/>
          <w:tab w:val="left" w:pos="2160"/>
          <w:tab w:val="left" w:pos="2880"/>
          <w:tab w:val="left" w:pos="3600"/>
          <w:tab w:val="left" w:pos="4320"/>
          <w:tab w:val="left" w:pos="5040"/>
          <w:tab w:val="decimal" w:pos="5760"/>
        </w:tabs>
        <w:rPr>
          <w:sz w:val="24"/>
        </w:rPr>
      </w:pPr>
    </w:p>
    <w:p w:rsidR="00E8451E" w:rsidRDefault="00E8451E" w:rsidP="00245028">
      <w:pPr>
        <w:pStyle w:val="Heading1"/>
        <w:widowControl/>
      </w:pPr>
    </w:p>
    <w:p w:rsidR="00C241F8" w:rsidRDefault="00C241F8" w:rsidP="00245028">
      <w:pPr>
        <w:widowControl/>
        <w:rPr>
          <w:b/>
          <w:sz w:val="24"/>
          <w:u w:val="single"/>
        </w:rPr>
      </w:pPr>
    </w:p>
    <w:p w:rsidR="00C241F8" w:rsidRDefault="00C241F8" w:rsidP="00245028">
      <w:pPr>
        <w:widowControl/>
        <w:rPr>
          <w:b/>
          <w:sz w:val="24"/>
          <w:u w:val="single"/>
        </w:rPr>
      </w:pPr>
    </w:p>
    <w:p w:rsidR="00C241F8" w:rsidRDefault="00C241F8" w:rsidP="00245028">
      <w:pPr>
        <w:widowControl/>
        <w:rPr>
          <w:b/>
          <w:sz w:val="24"/>
          <w:u w:val="single"/>
        </w:rPr>
      </w:pPr>
    </w:p>
    <w:p w:rsidR="00C241F8" w:rsidRDefault="00C241F8" w:rsidP="00245028">
      <w:pPr>
        <w:widowControl/>
        <w:rPr>
          <w:b/>
          <w:sz w:val="24"/>
          <w:u w:val="single"/>
        </w:rPr>
      </w:pPr>
    </w:p>
    <w:p w:rsidR="00D17785" w:rsidRPr="00D17785" w:rsidRDefault="00D17785" w:rsidP="00245028">
      <w:pPr>
        <w:widowControl/>
        <w:rPr>
          <w:sz w:val="24"/>
        </w:rPr>
      </w:pPr>
    </w:p>
    <w:sectPr w:rsidR="00D17785" w:rsidRPr="00D17785" w:rsidSect="005C5663">
      <w:footerReference w:type="even" r:id="rId9"/>
      <w:footerReference w:type="default" r:id="rId10"/>
      <w:endnotePr>
        <w:numFmt w:val="decimal"/>
      </w:endnotePr>
      <w:pgSz w:w="12240" w:h="15840"/>
      <w:pgMar w:top="1440" w:right="1440" w:bottom="1440" w:left="1440" w:header="100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22" w:rsidRDefault="00C42A22">
      <w:r>
        <w:separator/>
      </w:r>
    </w:p>
  </w:endnote>
  <w:endnote w:type="continuationSeparator" w:id="0">
    <w:p w:rsidR="00C42A22" w:rsidRDefault="00C42A22">
      <w:r>
        <w:continuationSeparator/>
      </w:r>
    </w:p>
  </w:endnote>
  <w:endnote w:type="continuationNotice" w:id="1">
    <w:p w:rsidR="00C42A22" w:rsidRDefault="00C42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EE" w:rsidRDefault="00522BEE" w:rsidP="00DA4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2BEE" w:rsidRDefault="00522B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EE" w:rsidRDefault="00522BEE" w:rsidP="00572D19">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8608F0">
      <w:rPr>
        <w:noProof/>
        <w:sz w:val="24"/>
      </w:rPr>
      <w:t>8</w:t>
    </w:r>
    <w:r>
      <w:rPr>
        <w:sz w:val="24"/>
      </w:rPr>
      <w:fldChar w:fldCharType="end"/>
    </w:r>
  </w:p>
  <w:p w:rsidR="00522BEE" w:rsidRDefault="00522BEE">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22" w:rsidRDefault="00C42A22">
      <w:r>
        <w:separator/>
      </w:r>
    </w:p>
  </w:footnote>
  <w:footnote w:type="continuationSeparator" w:id="0">
    <w:p w:rsidR="00C42A22" w:rsidRDefault="00C42A22">
      <w:r>
        <w:continuationSeparator/>
      </w:r>
    </w:p>
  </w:footnote>
  <w:footnote w:type="continuationNotice" w:id="1">
    <w:p w:rsidR="00C42A22" w:rsidRDefault="00C42A22"/>
  </w:footnote>
  <w:footnote w:id="2">
    <w:p w:rsidR="005943F0" w:rsidRPr="00E00E29" w:rsidRDefault="005943F0" w:rsidP="005943F0">
      <w:pPr>
        <w:pStyle w:val="FootnoteText"/>
      </w:pPr>
      <w:r>
        <w:rPr>
          <w:rStyle w:val="FootnoteReference"/>
        </w:rPr>
        <w:footnoteRef/>
      </w:r>
      <w:r>
        <w:t xml:space="preserve"> </w:t>
      </w:r>
      <w:proofErr w:type="gramStart"/>
      <w:r w:rsidRPr="00E00E29">
        <w:t>National Transportation Safety Board.</w:t>
      </w:r>
      <w:proofErr w:type="gramEnd"/>
      <w:r w:rsidRPr="00E00E29">
        <w:t xml:space="preserve"> </w:t>
      </w:r>
      <w:proofErr w:type="gramStart"/>
      <w:r w:rsidRPr="00E00E29">
        <w:t xml:space="preserve">2009. </w:t>
      </w:r>
      <w:proofErr w:type="spellStart"/>
      <w:r w:rsidRPr="00E00E29">
        <w:t>Motorcoach</w:t>
      </w:r>
      <w:proofErr w:type="spellEnd"/>
      <w:r w:rsidRPr="00E00E29">
        <w:t xml:space="preserve"> Rollover on U.S. Highway 59 near Victoria, Texas, January 2, 2008.</w:t>
      </w:r>
      <w:proofErr w:type="gramEnd"/>
      <w:r w:rsidRPr="00E00E29">
        <w:t xml:space="preserve"> Highway Accident Summary Report. </w:t>
      </w:r>
      <w:proofErr w:type="gramStart"/>
      <w:r w:rsidRPr="00E00E29">
        <w:t>NTSB/HAR-09/03/SUM.</w:t>
      </w:r>
      <w:proofErr w:type="gramEnd"/>
      <w:r w:rsidRPr="00E00E29">
        <w:t xml:space="preserve"> Washington, DC.</w:t>
      </w:r>
    </w:p>
  </w:footnote>
  <w:footnote w:id="3">
    <w:p w:rsidR="005943F0" w:rsidRPr="00E00E29" w:rsidRDefault="005943F0" w:rsidP="005943F0">
      <w:pPr>
        <w:pStyle w:val="FootnoteText"/>
      </w:pPr>
      <w:r w:rsidRPr="00E00E29">
        <w:rPr>
          <w:rStyle w:val="FootnoteReference"/>
        </w:rPr>
        <w:footnoteRef/>
      </w:r>
      <w:r w:rsidRPr="00E00E29">
        <w:t xml:space="preserve"> </w:t>
      </w:r>
      <w:hyperlink r:id="rId1" w:history="1">
        <w:r w:rsidRPr="00C44928">
          <w:rPr>
            <w:color w:val="000000" w:themeColor="text1"/>
            <w:u w:val="single"/>
          </w:rPr>
          <w:t>http://www.reginfo.gov/public/do/eAgendaViewRule?pubId=201210&amp;RIN=2126-AB44</w:t>
        </w:r>
      </w:hyperlink>
      <w:r w:rsidRPr="00C44928">
        <w:rPr>
          <w:color w:val="000000" w:themeColor="text1"/>
          <w:u w:val="single"/>
        </w:rPr>
        <w:t>.</w:t>
      </w:r>
    </w:p>
  </w:footnote>
  <w:footnote w:id="4">
    <w:p w:rsidR="00363985" w:rsidRDefault="00363985" w:rsidP="00363985">
      <w:pPr>
        <w:pStyle w:val="FootnoteText"/>
      </w:pPr>
      <w:r w:rsidRPr="00FC4E0F">
        <w:rPr>
          <w:rStyle w:val="FootnoteReference"/>
          <w:vertAlign w:val="superscript"/>
        </w:rPr>
        <w:footnoteRef/>
      </w:r>
      <w:r w:rsidRPr="00FC4E0F">
        <w:rPr>
          <w:vertAlign w:val="superscript"/>
        </w:rPr>
        <w:t xml:space="preserve"> </w:t>
      </w:r>
      <w:r>
        <w:t xml:space="preserve">For multiple or complex lease agreements, it is assumed that such leases are already negotiated and finalized in writing. </w:t>
      </w:r>
      <w:r w:rsidR="002A4F49">
        <w:t>The CMV industry leasing practices differ between the trucking and busing sectors. The recently proposed</w:t>
      </w:r>
      <w:r w:rsidR="00E67757">
        <w:t xml:space="preserve"> rulemaking entitled, “Lease and Interchange of Vehicles: Motor Carriers of Passengers,” NPRM (78 FR 57872) (RIN 2126-AB44) dated September 20, 2013 and the related ICR contain different burden calculations based on variables such as number of leases utilized annually and the burden allocated to lessors versus lessees.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F1093"/>
    <w:multiLevelType w:val="hybridMultilevel"/>
    <w:tmpl w:val="165C4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722977"/>
    <w:multiLevelType w:val="hybridMultilevel"/>
    <w:tmpl w:val="D9AE8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921B77"/>
    <w:multiLevelType w:val="hybridMultilevel"/>
    <w:tmpl w:val="AFB2F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C1F4B7A"/>
    <w:multiLevelType w:val="hybridMultilevel"/>
    <w:tmpl w:val="1C229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680152"/>
    <w:multiLevelType w:val="hybridMultilevel"/>
    <w:tmpl w:val="F9F61FDC"/>
    <w:lvl w:ilvl="0" w:tplc="617C334A">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A85442E"/>
    <w:multiLevelType w:val="hybridMultilevel"/>
    <w:tmpl w:val="A0CE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F0C21"/>
    <w:multiLevelType w:val="hybridMultilevel"/>
    <w:tmpl w:val="587CF74A"/>
    <w:lvl w:ilvl="0" w:tplc="7DBC16FE">
      <w:start w:val="14"/>
      <w:numFmt w:val="decimal"/>
      <w:lvlText w:val="%1."/>
      <w:lvlJc w:val="left"/>
      <w:pPr>
        <w:tabs>
          <w:tab w:val="num" w:pos="870"/>
        </w:tabs>
        <w:ind w:left="87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13605D"/>
    <w:multiLevelType w:val="hybridMultilevel"/>
    <w:tmpl w:val="4040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D408C8"/>
    <w:multiLevelType w:val="hybridMultilevel"/>
    <w:tmpl w:val="525C1AB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53076F2"/>
    <w:multiLevelType w:val="hybridMultilevel"/>
    <w:tmpl w:val="FBBE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2"/>
  </w:num>
  <w:num w:numId="6">
    <w:abstractNumId w:val="1"/>
  </w:num>
  <w:num w:numId="7">
    <w:abstractNumId w:val="5"/>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9D"/>
    <w:rsid w:val="000034E9"/>
    <w:rsid w:val="00011F93"/>
    <w:rsid w:val="00035C9F"/>
    <w:rsid w:val="00042777"/>
    <w:rsid w:val="000440FA"/>
    <w:rsid w:val="000445AA"/>
    <w:rsid w:val="000454E5"/>
    <w:rsid w:val="00047580"/>
    <w:rsid w:val="000513EE"/>
    <w:rsid w:val="000563FB"/>
    <w:rsid w:val="00057601"/>
    <w:rsid w:val="00057CFF"/>
    <w:rsid w:val="00070EAA"/>
    <w:rsid w:val="00080A5D"/>
    <w:rsid w:val="00082313"/>
    <w:rsid w:val="000925D0"/>
    <w:rsid w:val="000935EA"/>
    <w:rsid w:val="00095D31"/>
    <w:rsid w:val="00096988"/>
    <w:rsid w:val="000C4B9F"/>
    <w:rsid w:val="000C6BDD"/>
    <w:rsid w:val="000D0A05"/>
    <w:rsid w:val="000D0B00"/>
    <w:rsid w:val="000D165E"/>
    <w:rsid w:val="000D2EA1"/>
    <w:rsid w:val="000E4C5D"/>
    <w:rsid w:val="000F1FF6"/>
    <w:rsid w:val="000F2FD4"/>
    <w:rsid w:val="000F7077"/>
    <w:rsid w:val="00112F4F"/>
    <w:rsid w:val="001133CC"/>
    <w:rsid w:val="00114470"/>
    <w:rsid w:val="00116609"/>
    <w:rsid w:val="0012305F"/>
    <w:rsid w:val="00127BA0"/>
    <w:rsid w:val="00130CA1"/>
    <w:rsid w:val="0015125D"/>
    <w:rsid w:val="001550C5"/>
    <w:rsid w:val="0015517E"/>
    <w:rsid w:val="00161F26"/>
    <w:rsid w:val="00171C6A"/>
    <w:rsid w:val="00171E27"/>
    <w:rsid w:val="00174590"/>
    <w:rsid w:val="001765AF"/>
    <w:rsid w:val="00182540"/>
    <w:rsid w:val="001828E3"/>
    <w:rsid w:val="00185AFD"/>
    <w:rsid w:val="001967B9"/>
    <w:rsid w:val="001A5631"/>
    <w:rsid w:val="001A5D32"/>
    <w:rsid w:val="001B0680"/>
    <w:rsid w:val="001B2927"/>
    <w:rsid w:val="001B33B0"/>
    <w:rsid w:val="001B3FE8"/>
    <w:rsid w:val="001C1237"/>
    <w:rsid w:val="001C682A"/>
    <w:rsid w:val="001D2E0B"/>
    <w:rsid w:val="001D34DF"/>
    <w:rsid w:val="001D7E7A"/>
    <w:rsid w:val="00206120"/>
    <w:rsid w:val="00211682"/>
    <w:rsid w:val="00220604"/>
    <w:rsid w:val="00225406"/>
    <w:rsid w:val="00226F45"/>
    <w:rsid w:val="002415CB"/>
    <w:rsid w:val="00245028"/>
    <w:rsid w:val="00254E7E"/>
    <w:rsid w:val="002560B2"/>
    <w:rsid w:val="002645DB"/>
    <w:rsid w:val="00271712"/>
    <w:rsid w:val="00272EC2"/>
    <w:rsid w:val="002766A2"/>
    <w:rsid w:val="00281936"/>
    <w:rsid w:val="0028272A"/>
    <w:rsid w:val="0028423F"/>
    <w:rsid w:val="00295046"/>
    <w:rsid w:val="00296EF1"/>
    <w:rsid w:val="002A4E6F"/>
    <w:rsid w:val="002A4F49"/>
    <w:rsid w:val="002A58BB"/>
    <w:rsid w:val="002B422E"/>
    <w:rsid w:val="002B55CF"/>
    <w:rsid w:val="002B68CA"/>
    <w:rsid w:val="002C1AA2"/>
    <w:rsid w:val="002C3CFB"/>
    <w:rsid w:val="002C7233"/>
    <w:rsid w:val="002D074B"/>
    <w:rsid w:val="002D2327"/>
    <w:rsid w:val="002D4B3F"/>
    <w:rsid w:val="002D786C"/>
    <w:rsid w:val="002E2F50"/>
    <w:rsid w:val="002F10ED"/>
    <w:rsid w:val="002F126F"/>
    <w:rsid w:val="00300611"/>
    <w:rsid w:val="0030654C"/>
    <w:rsid w:val="00307E37"/>
    <w:rsid w:val="003136A7"/>
    <w:rsid w:val="0031502E"/>
    <w:rsid w:val="003160F4"/>
    <w:rsid w:val="0032120B"/>
    <w:rsid w:val="003217A8"/>
    <w:rsid w:val="0032440C"/>
    <w:rsid w:val="0032785A"/>
    <w:rsid w:val="003313C5"/>
    <w:rsid w:val="00333492"/>
    <w:rsid w:val="00334101"/>
    <w:rsid w:val="00341F9B"/>
    <w:rsid w:val="0034542D"/>
    <w:rsid w:val="003457AA"/>
    <w:rsid w:val="00352551"/>
    <w:rsid w:val="003544A2"/>
    <w:rsid w:val="00354F94"/>
    <w:rsid w:val="003561EB"/>
    <w:rsid w:val="00363985"/>
    <w:rsid w:val="00380614"/>
    <w:rsid w:val="00380B22"/>
    <w:rsid w:val="00380E13"/>
    <w:rsid w:val="00382A1D"/>
    <w:rsid w:val="00383EA3"/>
    <w:rsid w:val="0038429F"/>
    <w:rsid w:val="003842D0"/>
    <w:rsid w:val="00384ADE"/>
    <w:rsid w:val="00387FDF"/>
    <w:rsid w:val="0039230C"/>
    <w:rsid w:val="003A7564"/>
    <w:rsid w:val="003D02F7"/>
    <w:rsid w:val="003E6B57"/>
    <w:rsid w:val="003E6BA7"/>
    <w:rsid w:val="003E7470"/>
    <w:rsid w:val="003E797E"/>
    <w:rsid w:val="003F2752"/>
    <w:rsid w:val="003F3ACE"/>
    <w:rsid w:val="003F5233"/>
    <w:rsid w:val="003F7B97"/>
    <w:rsid w:val="004037DF"/>
    <w:rsid w:val="00413342"/>
    <w:rsid w:val="004229A7"/>
    <w:rsid w:val="00425DA8"/>
    <w:rsid w:val="00440041"/>
    <w:rsid w:val="004574B2"/>
    <w:rsid w:val="00457669"/>
    <w:rsid w:val="0046005C"/>
    <w:rsid w:val="004627D6"/>
    <w:rsid w:val="004713B5"/>
    <w:rsid w:val="0047182F"/>
    <w:rsid w:val="004832A3"/>
    <w:rsid w:val="00487B10"/>
    <w:rsid w:val="00491082"/>
    <w:rsid w:val="004A1762"/>
    <w:rsid w:val="004A57E1"/>
    <w:rsid w:val="004B364B"/>
    <w:rsid w:val="004B3FE2"/>
    <w:rsid w:val="004D1068"/>
    <w:rsid w:val="004D29D9"/>
    <w:rsid w:val="004D40D9"/>
    <w:rsid w:val="004F0AEC"/>
    <w:rsid w:val="004F7E74"/>
    <w:rsid w:val="00500C92"/>
    <w:rsid w:val="005033CB"/>
    <w:rsid w:val="00506E9F"/>
    <w:rsid w:val="005105A3"/>
    <w:rsid w:val="00516EF4"/>
    <w:rsid w:val="00517D76"/>
    <w:rsid w:val="00522BEE"/>
    <w:rsid w:val="005237DC"/>
    <w:rsid w:val="005251CD"/>
    <w:rsid w:val="00536B00"/>
    <w:rsid w:val="00540ACC"/>
    <w:rsid w:val="00551A2F"/>
    <w:rsid w:val="005703C5"/>
    <w:rsid w:val="0057222C"/>
    <w:rsid w:val="00572D19"/>
    <w:rsid w:val="00581B99"/>
    <w:rsid w:val="0058237E"/>
    <w:rsid w:val="00586890"/>
    <w:rsid w:val="005943F0"/>
    <w:rsid w:val="00596A6D"/>
    <w:rsid w:val="005A29E8"/>
    <w:rsid w:val="005A7DC4"/>
    <w:rsid w:val="005B7C24"/>
    <w:rsid w:val="005C4C1F"/>
    <w:rsid w:val="005C55EE"/>
    <w:rsid w:val="005C5663"/>
    <w:rsid w:val="005D4BF0"/>
    <w:rsid w:val="005D6B2F"/>
    <w:rsid w:val="005F2C78"/>
    <w:rsid w:val="005F3582"/>
    <w:rsid w:val="005F5A3A"/>
    <w:rsid w:val="00625FD2"/>
    <w:rsid w:val="00640A67"/>
    <w:rsid w:val="00642CD6"/>
    <w:rsid w:val="00655E97"/>
    <w:rsid w:val="00660274"/>
    <w:rsid w:val="00661617"/>
    <w:rsid w:val="00661C9D"/>
    <w:rsid w:val="00673FC4"/>
    <w:rsid w:val="00683065"/>
    <w:rsid w:val="006921EB"/>
    <w:rsid w:val="00695C3D"/>
    <w:rsid w:val="006A1AE6"/>
    <w:rsid w:val="006B0E00"/>
    <w:rsid w:val="006B29EF"/>
    <w:rsid w:val="006B5A3D"/>
    <w:rsid w:val="006B5EF7"/>
    <w:rsid w:val="006B7B1A"/>
    <w:rsid w:val="006C49FA"/>
    <w:rsid w:val="006C647C"/>
    <w:rsid w:val="006C6AE9"/>
    <w:rsid w:val="006C78F5"/>
    <w:rsid w:val="006D1DBA"/>
    <w:rsid w:val="006D1F90"/>
    <w:rsid w:val="006D20D6"/>
    <w:rsid w:val="006D46EC"/>
    <w:rsid w:val="006D480B"/>
    <w:rsid w:val="006D5D39"/>
    <w:rsid w:val="006E2D00"/>
    <w:rsid w:val="00702AE6"/>
    <w:rsid w:val="00705021"/>
    <w:rsid w:val="00706815"/>
    <w:rsid w:val="00711089"/>
    <w:rsid w:val="007117C2"/>
    <w:rsid w:val="00712A8D"/>
    <w:rsid w:val="00722850"/>
    <w:rsid w:val="007236D1"/>
    <w:rsid w:val="00730284"/>
    <w:rsid w:val="00734283"/>
    <w:rsid w:val="007363DC"/>
    <w:rsid w:val="007534EE"/>
    <w:rsid w:val="00753684"/>
    <w:rsid w:val="00754874"/>
    <w:rsid w:val="00760DD3"/>
    <w:rsid w:val="00762AE9"/>
    <w:rsid w:val="00766582"/>
    <w:rsid w:val="00780F98"/>
    <w:rsid w:val="00783368"/>
    <w:rsid w:val="007835F8"/>
    <w:rsid w:val="00787D91"/>
    <w:rsid w:val="00791115"/>
    <w:rsid w:val="007954D1"/>
    <w:rsid w:val="00796D7A"/>
    <w:rsid w:val="007973EF"/>
    <w:rsid w:val="007B4612"/>
    <w:rsid w:val="007B6438"/>
    <w:rsid w:val="007D44EE"/>
    <w:rsid w:val="007D61BB"/>
    <w:rsid w:val="007D7382"/>
    <w:rsid w:val="007E5413"/>
    <w:rsid w:val="007F10F2"/>
    <w:rsid w:val="007F1860"/>
    <w:rsid w:val="007F595E"/>
    <w:rsid w:val="00804B26"/>
    <w:rsid w:val="008074C7"/>
    <w:rsid w:val="00812E05"/>
    <w:rsid w:val="0081672D"/>
    <w:rsid w:val="00832943"/>
    <w:rsid w:val="00833715"/>
    <w:rsid w:val="008351CD"/>
    <w:rsid w:val="00842CE3"/>
    <w:rsid w:val="008446CC"/>
    <w:rsid w:val="00847CE7"/>
    <w:rsid w:val="008521C9"/>
    <w:rsid w:val="00852EC7"/>
    <w:rsid w:val="008574F8"/>
    <w:rsid w:val="008604D4"/>
    <w:rsid w:val="008608F0"/>
    <w:rsid w:val="00863DAC"/>
    <w:rsid w:val="00870C36"/>
    <w:rsid w:val="008833A3"/>
    <w:rsid w:val="00883F7C"/>
    <w:rsid w:val="00884E97"/>
    <w:rsid w:val="00885E4E"/>
    <w:rsid w:val="0089447C"/>
    <w:rsid w:val="008977A3"/>
    <w:rsid w:val="008A33F5"/>
    <w:rsid w:val="008B2D53"/>
    <w:rsid w:val="008B643E"/>
    <w:rsid w:val="008B7707"/>
    <w:rsid w:val="008C4F68"/>
    <w:rsid w:val="008D0EFD"/>
    <w:rsid w:val="008D1FF1"/>
    <w:rsid w:val="008D2100"/>
    <w:rsid w:val="008D26DA"/>
    <w:rsid w:val="008D61D0"/>
    <w:rsid w:val="008E1DB8"/>
    <w:rsid w:val="008E46CB"/>
    <w:rsid w:val="008F43B4"/>
    <w:rsid w:val="008F6D92"/>
    <w:rsid w:val="00915A66"/>
    <w:rsid w:val="00921270"/>
    <w:rsid w:val="00925C98"/>
    <w:rsid w:val="0093016C"/>
    <w:rsid w:val="00934826"/>
    <w:rsid w:val="00935069"/>
    <w:rsid w:val="00965493"/>
    <w:rsid w:val="009700B2"/>
    <w:rsid w:val="0097062D"/>
    <w:rsid w:val="00973839"/>
    <w:rsid w:val="009761C4"/>
    <w:rsid w:val="00982CA9"/>
    <w:rsid w:val="00984636"/>
    <w:rsid w:val="00985B7A"/>
    <w:rsid w:val="00986730"/>
    <w:rsid w:val="0099606C"/>
    <w:rsid w:val="009960E4"/>
    <w:rsid w:val="009A2D1F"/>
    <w:rsid w:val="009C02D9"/>
    <w:rsid w:val="009C297E"/>
    <w:rsid w:val="009D6716"/>
    <w:rsid w:val="009D68E7"/>
    <w:rsid w:val="009E09B5"/>
    <w:rsid w:val="009F0208"/>
    <w:rsid w:val="009F0B79"/>
    <w:rsid w:val="009F2AF3"/>
    <w:rsid w:val="009F59D1"/>
    <w:rsid w:val="009F6DFA"/>
    <w:rsid w:val="00A07026"/>
    <w:rsid w:val="00A115B2"/>
    <w:rsid w:val="00A11A72"/>
    <w:rsid w:val="00A26C16"/>
    <w:rsid w:val="00A34A19"/>
    <w:rsid w:val="00A43508"/>
    <w:rsid w:val="00A56020"/>
    <w:rsid w:val="00A6356B"/>
    <w:rsid w:val="00A768D0"/>
    <w:rsid w:val="00A77631"/>
    <w:rsid w:val="00A83932"/>
    <w:rsid w:val="00A85C4A"/>
    <w:rsid w:val="00A867A4"/>
    <w:rsid w:val="00A91FB9"/>
    <w:rsid w:val="00A96AFE"/>
    <w:rsid w:val="00A97051"/>
    <w:rsid w:val="00AA326E"/>
    <w:rsid w:val="00AB5265"/>
    <w:rsid w:val="00AC7E95"/>
    <w:rsid w:val="00AD027E"/>
    <w:rsid w:val="00AD1AD8"/>
    <w:rsid w:val="00AD72E4"/>
    <w:rsid w:val="00AE127B"/>
    <w:rsid w:val="00AE1970"/>
    <w:rsid w:val="00AE1B88"/>
    <w:rsid w:val="00AE2044"/>
    <w:rsid w:val="00AE21F9"/>
    <w:rsid w:val="00B00EF1"/>
    <w:rsid w:val="00B02291"/>
    <w:rsid w:val="00B02A78"/>
    <w:rsid w:val="00B11063"/>
    <w:rsid w:val="00B223A5"/>
    <w:rsid w:val="00B47158"/>
    <w:rsid w:val="00B517B6"/>
    <w:rsid w:val="00B5197E"/>
    <w:rsid w:val="00B56271"/>
    <w:rsid w:val="00B61BBD"/>
    <w:rsid w:val="00B628BD"/>
    <w:rsid w:val="00B66556"/>
    <w:rsid w:val="00B665D0"/>
    <w:rsid w:val="00B67438"/>
    <w:rsid w:val="00B7031C"/>
    <w:rsid w:val="00B71AC5"/>
    <w:rsid w:val="00B731F7"/>
    <w:rsid w:val="00B7674A"/>
    <w:rsid w:val="00B8057A"/>
    <w:rsid w:val="00B8400F"/>
    <w:rsid w:val="00B9070E"/>
    <w:rsid w:val="00B90A0F"/>
    <w:rsid w:val="00B95892"/>
    <w:rsid w:val="00B96121"/>
    <w:rsid w:val="00B9791F"/>
    <w:rsid w:val="00BA414D"/>
    <w:rsid w:val="00BB153C"/>
    <w:rsid w:val="00BC03B5"/>
    <w:rsid w:val="00BD0C5A"/>
    <w:rsid w:val="00BD218F"/>
    <w:rsid w:val="00BD2E4C"/>
    <w:rsid w:val="00BD403F"/>
    <w:rsid w:val="00BF03D4"/>
    <w:rsid w:val="00BF3591"/>
    <w:rsid w:val="00BF7317"/>
    <w:rsid w:val="00C029B5"/>
    <w:rsid w:val="00C10B12"/>
    <w:rsid w:val="00C241F8"/>
    <w:rsid w:val="00C25A8F"/>
    <w:rsid w:val="00C3105B"/>
    <w:rsid w:val="00C42A22"/>
    <w:rsid w:val="00C54D67"/>
    <w:rsid w:val="00C57C44"/>
    <w:rsid w:val="00C66F75"/>
    <w:rsid w:val="00C6719E"/>
    <w:rsid w:val="00C8583E"/>
    <w:rsid w:val="00C86B9B"/>
    <w:rsid w:val="00C90F5E"/>
    <w:rsid w:val="00CA596E"/>
    <w:rsid w:val="00CB2146"/>
    <w:rsid w:val="00CB31CD"/>
    <w:rsid w:val="00CB34CC"/>
    <w:rsid w:val="00CC0430"/>
    <w:rsid w:val="00CC68A2"/>
    <w:rsid w:val="00CD0C65"/>
    <w:rsid w:val="00CD48F1"/>
    <w:rsid w:val="00CD7F13"/>
    <w:rsid w:val="00CE2B3A"/>
    <w:rsid w:val="00CE7228"/>
    <w:rsid w:val="00CF4414"/>
    <w:rsid w:val="00CF60F0"/>
    <w:rsid w:val="00CF7EC7"/>
    <w:rsid w:val="00D00829"/>
    <w:rsid w:val="00D02B53"/>
    <w:rsid w:val="00D129FB"/>
    <w:rsid w:val="00D167BC"/>
    <w:rsid w:val="00D17785"/>
    <w:rsid w:val="00D2019F"/>
    <w:rsid w:val="00D2153A"/>
    <w:rsid w:val="00D22389"/>
    <w:rsid w:val="00D232F2"/>
    <w:rsid w:val="00D37528"/>
    <w:rsid w:val="00D41629"/>
    <w:rsid w:val="00D4574C"/>
    <w:rsid w:val="00D52905"/>
    <w:rsid w:val="00D61E81"/>
    <w:rsid w:val="00D61EB1"/>
    <w:rsid w:val="00D66A1F"/>
    <w:rsid w:val="00D72B5F"/>
    <w:rsid w:val="00D82974"/>
    <w:rsid w:val="00D832A5"/>
    <w:rsid w:val="00D966A6"/>
    <w:rsid w:val="00D9770A"/>
    <w:rsid w:val="00DA44A5"/>
    <w:rsid w:val="00DA49AE"/>
    <w:rsid w:val="00DA74C5"/>
    <w:rsid w:val="00DB192E"/>
    <w:rsid w:val="00DB218E"/>
    <w:rsid w:val="00DC7FC7"/>
    <w:rsid w:val="00DD0156"/>
    <w:rsid w:val="00DD4E0F"/>
    <w:rsid w:val="00DE628E"/>
    <w:rsid w:val="00E155AC"/>
    <w:rsid w:val="00E174ED"/>
    <w:rsid w:val="00E3695E"/>
    <w:rsid w:val="00E370B5"/>
    <w:rsid w:val="00E4379B"/>
    <w:rsid w:val="00E46246"/>
    <w:rsid w:val="00E51230"/>
    <w:rsid w:val="00E5201D"/>
    <w:rsid w:val="00E55E9C"/>
    <w:rsid w:val="00E621E8"/>
    <w:rsid w:val="00E624FE"/>
    <w:rsid w:val="00E649D4"/>
    <w:rsid w:val="00E67757"/>
    <w:rsid w:val="00E8072C"/>
    <w:rsid w:val="00E8086D"/>
    <w:rsid w:val="00E81011"/>
    <w:rsid w:val="00E8451E"/>
    <w:rsid w:val="00E866FC"/>
    <w:rsid w:val="00EB1469"/>
    <w:rsid w:val="00EB1E09"/>
    <w:rsid w:val="00EB3837"/>
    <w:rsid w:val="00ED240F"/>
    <w:rsid w:val="00ED622E"/>
    <w:rsid w:val="00F009B2"/>
    <w:rsid w:val="00F03D3E"/>
    <w:rsid w:val="00F10A60"/>
    <w:rsid w:val="00F2164E"/>
    <w:rsid w:val="00F21A9D"/>
    <w:rsid w:val="00F31857"/>
    <w:rsid w:val="00F37682"/>
    <w:rsid w:val="00F510D8"/>
    <w:rsid w:val="00F556E8"/>
    <w:rsid w:val="00F7048D"/>
    <w:rsid w:val="00F773AF"/>
    <w:rsid w:val="00F8077E"/>
    <w:rsid w:val="00F82954"/>
    <w:rsid w:val="00F8357E"/>
    <w:rsid w:val="00F87C3E"/>
    <w:rsid w:val="00F928CB"/>
    <w:rsid w:val="00FA20FF"/>
    <w:rsid w:val="00FB269C"/>
    <w:rsid w:val="00FB5041"/>
    <w:rsid w:val="00FB6191"/>
    <w:rsid w:val="00FB63B8"/>
    <w:rsid w:val="00FC03DD"/>
    <w:rsid w:val="00FC1C09"/>
    <w:rsid w:val="00FC596F"/>
    <w:rsid w:val="00FD1E6D"/>
    <w:rsid w:val="00FD7D7F"/>
    <w:rsid w:val="00FE3636"/>
    <w:rsid w:val="00FF08ED"/>
    <w:rsid w:val="00FF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283"/>
    <w:pPr>
      <w:widowControl w:val="0"/>
      <w:autoSpaceDE w:val="0"/>
      <w:autoSpaceDN w:val="0"/>
      <w:adjustRightInd w:val="0"/>
    </w:pPr>
    <w:rPr>
      <w:szCs w:val="24"/>
    </w:rPr>
  </w:style>
  <w:style w:type="paragraph" w:styleId="Heading1">
    <w:name w:val="heading 1"/>
    <w:basedOn w:val="Normal"/>
    <w:next w:val="Normal"/>
    <w:qFormat/>
    <w:rsid w:val="00734283"/>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4283"/>
  </w:style>
  <w:style w:type="paragraph" w:styleId="Title">
    <w:name w:val="Title"/>
    <w:basedOn w:val="Normal"/>
    <w:qFormat/>
    <w:rsid w:val="00734283"/>
    <w:pPr>
      <w:spacing w:line="300" w:lineRule="auto"/>
      <w:jc w:val="center"/>
    </w:pPr>
    <w:rPr>
      <w:b/>
      <w:bCs/>
      <w:sz w:val="24"/>
    </w:rPr>
  </w:style>
  <w:style w:type="character" w:styleId="Hyperlink">
    <w:name w:val="Hyperlink"/>
    <w:basedOn w:val="DefaultParagraphFont"/>
    <w:rsid w:val="00734283"/>
    <w:rPr>
      <w:color w:val="0000FF"/>
      <w:u w:val="single"/>
    </w:rPr>
  </w:style>
  <w:style w:type="paragraph" w:styleId="BodyText">
    <w:name w:val="Body Text"/>
    <w:basedOn w:val="Normal"/>
    <w:rsid w:val="00734283"/>
    <w:rPr>
      <w:sz w:val="24"/>
    </w:rPr>
  </w:style>
  <w:style w:type="paragraph" w:styleId="BodyText2">
    <w:name w:val="Body Text 2"/>
    <w:basedOn w:val="Normal"/>
    <w:rsid w:val="00734283"/>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paragraph" w:styleId="BalloonText">
    <w:name w:val="Balloon Text"/>
    <w:basedOn w:val="Normal"/>
    <w:semiHidden/>
    <w:rsid w:val="00661C9D"/>
    <w:rPr>
      <w:rFonts w:ascii="Tahoma" w:hAnsi="Tahoma" w:cs="Tahoma"/>
      <w:sz w:val="16"/>
      <w:szCs w:val="16"/>
    </w:rPr>
  </w:style>
  <w:style w:type="paragraph" w:styleId="FootnoteText">
    <w:name w:val="footnote text"/>
    <w:basedOn w:val="Normal"/>
    <w:semiHidden/>
    <w:rsid w:val="000925D0"/>
    <w:rPr>
      <w:szCs w:val="20"/>
    </w:rPr>
  </w:style>
  <w:style w:type="paragraph" w:styleId="Header">
    <w:name w:val="header"/>
    <w:basedOn w:val="Normal"/>
    <w:rsid w:val="00E155AC"/>
    <w:pPr>
      <w:tabs>
        <w:tab w:val="center" w:pos="4320"/>
        <w:tab w:val="right" w:pos="8640"/>
      </w:tabs>
    </w:pPr>
  </w:style>
  <w:style w:type="paragraph" w:styleId="Footer">
    <w:name w:val="footer"/>
    <w:basedOn w:val="Normal"/>
    <w:rsid w:val="00E155AC"/>
    <w:pPr>
      <w:tabs>
        <w:tab w:val="center" w:pos="4320"/>
        <w:tab w:val="right" w:pos="8640"/>
      </w:tabs>
    </w:pPr>
  </w:style>
  <w:style w:type="table" w:styleId="TableGrid">
    <w:name w:val="Table Grid"/>
    <w:basedOn w:val="TableNormal"/>
    <w:rsid w:val="0097383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A2D1F"/>
    <w:rPr>
      <w:sz w:val="16"/>
      <w:szCs w:val="16"/>
    </w:rPr>
  </w:style>
  <w:style w:type="paragraph" w:styleId="CommentText">
    <w:name w:val="annotation text"/>
    <w:basedOn w:val="Normal"/>
    <w:link w:val="CommentTextChar"/>
    <w:rsid w:val="009A2D1F"/>
    <w:rPr>
      <w:szCs w:val="20"/>
    </w:rPr>
  </w:style>
  <w:style w:type="paragraph" w:styleId="CommentSubject">
    <w:name w:val="annotation subject"/>
    <w:basedOn w:val="CommentText"/>
    <w:next w:val="CommentText"/>
    <w:semiHidden/>
    <w:rsid w:val="009A2D1F"/>
    <w:rPr>
      <w:b/>
      <w:bCs/>
    </w:rPr>
  </w:style>
  <w:style w:type="paragraph" w:styleId="NormalWeb">
    <w:name w:val="Normal (Web)"/>
    <w:basedOn w:val="Normal"/>
    <w:rsid w:val="00057CFF"/>
    <w:pPr>
      <w:widowControl/>
      <w:autoSpaceDE/>
      <w:autoSpaceDN/>
      <w:adjustRightInd/>
      <w:spacing w:after="216" w:line="336" w:lineRule="atLeast"/>
    </w:pPr>
    <w:rPr>
      <w:sz w:val="24"/>
    </w:rPr>
  </w:style>
  <w:style w:type="character" w:styleId="PageNumber">
    <w:name w:val="page number"/>
    <w:basedOn w:val="DefaultParagraphFont"/>
    <w:rsid w:val="00572D19"/>
  </w:style>
  <w:style w:type="paragraph" w:customStyle="1" w:styleId="1AutoList39">
    <w:name w:val="1AutoList39"/>
    <w:rsid w:val="00E3695E"/>
    <w:pPr>
      <w:widowControl w:val="0"/>
      <w:autoSpaceDE w:val="0"/>
      <w:autoSpaceDN w:val="0"/>
      <w:adjustRightInd w:val="0"/>
    </w:pPr>
    <w:rPr>
      <w:sz w:val="24"/>
      <w:szCs w:val="24"/>
    </w:rPr>
  </w:style>
  <w:style w:type="character" w:customStyle="1" w:styleId="CommentTextChar">
    <w:name w:val="Comment Text Char"/>
    <w:basedOn w:val="DefaultParagraphFont"/>
    <w:link w:val="CommentText"/>
    <w:rsid w:val="00ED240F"/>
  </w:style>
  <w:style w:type="paragraph" w:styleId="ListParagraph">
    <w:name w:val="List Paragraph"/>
    <w:basedOn w:val="Normal"/>
    <w:uiPriority w:val="34"/>
    <w:qFormat/>
    <w:rsid w:val="008337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283"/>
    <w:pPr>
      <w:widowControl w:val="0"/>
      <w:autoSpaceDE w:val="0"/>
      <w:autoSpaceDN w:val="0"/>
      <w:adjustRightInd w:val="0"/>
    </w:pPr>
    <w:rPr>
      <w:szCs w:val="24"/>
    </w:rPr>
  </w:style>
  <w:style w:type="paragraph" w:styleId="Heading1">
    <w:name w:val="heading 1"/>
    <w:basedOn w:val="Normal"/>
    <w:next w:val="Normal"/>
    <w:qFormat/>
    <w:rsid w:val="00734283"/>
    <w:pPr>
      <w:keepNext/>
      <w:tabs>
        <w:tab w:val="left" w:pos="-1440"/>
        <w:tab w:val="left" w:pos="-720"/>
        <w:tab w:val="left" w:pos="0"/>
        <w:tab w:val="left" w:pos="720"/>
        <w:tab w:val="left" w:pos="1440"/>
        <w:tab w:val="left" w:pos="2160"/>
        <w:tab w:val="left" w:pos="2880"/>
        <w:tab w:val="left" w:pos="3600"/>
        <w:tab w:val="left" w:pos="4320"/>
        <w:tab w:val="left" w:pos="5040"/>
        <w:tab w:val="decimal" w:pos="5760"/>
      </w:tabs>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4283"/>
  </w:style>
  <w:style w:type="paragraph" w:styleId="Title">
    <w:name w:val="Title"/>
    <w:basedOn w:val="Normal"/>
    <w:qFormat/>
    <w:rsid w:val="00734283"/>
    <w:pPr>
      <w:spacing w:line="300" w:lineRule="auto"/>
      <w:jc w:val="center"/>
    </w:pPr>
    <w:rPr>
      <w:b/>
      <w:bCs/>
      <w:sz w:val="24"/>
    </w:rPr>
  </w:style>
  <w:style w:type="character" w:styleId="Hyperlink">
    <w:name w:val="Hyperlink"/>
    <w:basedOn w:val="DefaultParagraphFont"/>
    <w:rsid w:val="00734283"/>
    <w:rPr>
      <w:color w:val="0000FF"/>
      <w:u w:val="single"/>
    </w:rPr>
  </w:style>
  <w:style w:type="paragraph" w:styleId="BodyText">
    <w:name w:val="Body Text"/>
    <w:basedOn w:val="Normal"/>
    <w:rsid w:val="00734283"/>
    <w:rPr>
      <w:sz w:val="24"/>
    </w:rPr>
  </w:style>
  <w:style w:type="paragraph" w:styleId="BodyText2">
    <w:name w:val="Body Text 2"/>
    <w:basedOn w:val="Normal"/>
    <w:rsid w:val="00734283"/>
    <w:pPr>
      <w:tabs>
        <w:tab w:val="left" w:pos="-1440"/>
        <w:tab w:val="left" w:pos="-720"/>
        <w:tab w:val="left" w:pos="0"/>
        <w:tab w:val="left" w:pos="720"/>
        <w:tab w:val="left" w:pos="1440"/>
        <w:tab w:val="left" w:pos="2160"/>
        <w:tab w:val="left" w:pos="2880"/>
        <w:tab w:val="left" w:pos="3600"/>
        <w:tab w:val="left" w:pos="4320"/>
        <w:tab w:val="left" w:pos="5040"/>
        <w:tab w:val="decimal" w:pos="5760"/>
      </w:tabs>
    </w:pPr>
    <w:rPr>
      <w:color w:val="000000"/>
      <w:sz w:val="24"/>
    </w:rPr>
  </w:style>
  <w:style w:type="paragraph" w:styleId="BalloonText">
    <w:name w:val="Balloon Text"/>
    <w:basedOn w:val="Normal"/>
    <w:semiHidden/>
    <w:rsid w:val="00661C9D"/>
    <w:rPr>
      <w:rFonts w:ascii="Tahoma" w:hAnsi="Tahoma" w:cs="Tahoma"/>
      <w:sz w:val="16"/>
      <w:szCs w:val="16"/>
    </w:rPr>
  </w:style>
  <w:style w:type="paragraph" w:styleId="FootnoteText">
    <w:name w:val="footnote text"/>
    <w:basedOn w:val="Normal"/>
    <w:semiHidden/>
    <w:rsid w:val="000925D0"/>
    <w:rPr>
      <w:szCs w:val="20"/>
    </w:rPr>
  </w:style>
  <w:style w:type="paragraph" w:styleId="Header">
    <w:name w:val="header"/>
    <w:basedOn w:val="Normal"/>
    <w:rsid w:val="00E155AC"/>
    <w:pPr>
      <w:tabs>
        <w:tab w:val="center" w:pos="4320"/>
        <w:tab w:val="right" w:pos="8640"/>
      </w:tabs>
    </w:pPr>
  </w:style>
  <w:style w:type="paragraph" w:styleId="Footer">
    <w:name w:val="footer"/>
    <w:basedOn w:val="Normal"/>
    <w:rsid w:val="00E155AC"/>
    <w:pPr>
      <w:tabs>
        <w:tab w:val="center" w:pos="4320"/>
        <w:tab w:val="right" w:pos="8640"/>
      </w:tabs>
    </w:pPr>
  </w:style>
  <w:style w:type="table" w:styleId="TableGrid">
    <w:name w:val="Table Grid"/>
    <w:basedOn w:val="TableNormal"/>
    <w:rsid w:val="0097383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9A2D1F"/>
    <w:rPr>
      <w:sz w:val="16"/>
      <w:szCs w:val="16"/>
    </w:rPr>
  </w:style>
  <w:style w:type="paragraph" w:styleId="CommentText">
    <w:name w:val="annotation text"/>
    <w:basedOn w:val="Normal"/>
    <w:link w:val="CommentTextChar"/>
    <w:rsid w:val="009A2D1F"/>
    <w:rPr>
      <w:szCs w:val="20"/>
    </w:rPr>
  </w:style>
  <w:style w:type="paragraph" w:styleId="CommentSubject">
    <w:name w:val="annotation subject"/>
    <w:basedOn w:val="CommentText"/>
    <w:next w:val="CommentText"/>
    <w:semiHidden/>
    <w:rsid w:val="009A2D1F"/>
    <w:rPr>
      <w:b/>
      <w:bCs/>
    </w:rPr>
  </w:style>
  <w:style w:type="paragraph" w:styleId="NormalWeb">
    <w:name w:val="Normal (Web)"/>
    <w:basedOn w:val="Normal"/>
    <w:rsid w:val="00057CFF"/>
    <w:pPr>
      <w:widowControl/>
      <w:autoSpaceDE/>
      <w:autoSpaceDN/>
      <w:adjustRightInd/>
      <w:spacing w:after="216" w:line="336" w:lineRule="atLeast"/>
    </w:pPr>
    <w:rPr>
      <w:sz w:val="24"/>
    </w:rPr>
  </w:style>
  <w:style w:type="character" w:styleId="PageNumber">
    <w:name w:val="page number"/>
    <w:basedOn w:val="DefaultParagraphFont"/>
    <w:rsid w:val="00572D19"/>
  </w:style>
  <w:style w:type="paragraph" w:customStyle="1" w:styleId="1AutoList39">
    <w:name w:val="1AutoList39"/>
    <w:rsid w:val="00E3695E"/>
    <w:pPr>
      <w:widowControl w:val="0"/>
      <w:autoSpaceDE w:val="0"/>
      <w:autoSpaceDN w:val="0"/>
      <w:adjustRightInd w:val="0"/>
    </w:pPr>
    <w:rPr>
      <w:sz w:val="24"/>
      <w:szCs w:val="24"/>
    </w:rPr>
  </w:style>
  <w:style w:type="character" w:customStyle="1" w:styleId="CommentTextChar">
    <w:name w:val="Comment Text Char"/>
    <w:basedOn w:val="DefaultParagraphFont"/>
    <w:link w:val="CommentText"/>
    <w:rsid w:val="00ED240F"/>
  </w:style>
  <w:style w:type="paragraph" w:styleId="ListParagraph">
    <w:name w:val="List Paragraph"/>
    <w:basedOn w:val="Normal"/>
    <w:uiPriority w:val="34"/>
    <w:qFormat/>
    <w:rsid w:val="00833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2213">
      <w:bodyDiv w:val="1"/>
      <w:marLeft w:val="0"/>
      <w:marRight w:val="0"/>
      <w:marTop w:val="0"/>
      <w:marBottom w:val="0"/>
      <w:divBdr>
        <w:top w:val="none" w:sz="0" w:space="0" w:color="auto"/>
        <w:left w:val="none" w:sz="0" w:space="0" w:color="auto"/>
        <w:bottom w:val="none" w:sz="0" w:space="0" w:color="auto"/>
        <w:right w:val="none" w:sz="0" w:space="0" w:color="auto"/>
      </w:divBdr>
      <w:divsChild>
        <w:div w:id="186869033">
          <w:marLeft w:val="0"/>
          <w:marRight w:val="0"/>
          <w:marTop w:val="0"/>
          <w:marBottom w:val="75"/>
          <w:divBdr>
            <w:top w:val="none" w:sz="0" w:space="0" w:color="auto"/>
            <w:left w:val="single" w:sz="6" w:space="0" w:color="CCCCCC"/>
            <w:bottom w:val="single" w:sz="6" w:space="2" w:color="CCCCCC"/>
            <w:right w:val="single" w:sz="6" w:space="0" w:color="CCCCCC"/>
          </w:divBdr>
          <w:divsChild>
            <w:div w:id="1797672899">
              <w:marLeft w:val="2550"/>
              <w:marRight w:val="225"/>
              <w:marTop w:val="225"/>
              <w:marBottom w:val="450"/>
              <w:divBdr>
                <w:top w:val="none" w:sz="0" w:space="0" w:color="auto"/>
                <w:left w:val="none" w:sz="0" w:space="0" w:color="auto"/>
                <w:bottom w:val="none" w:sz="0" w:space="0" w:color="auto"/>
                <w:right w:val="none" w:sz="0" w:space="0" w:color="auto"/>
              </w:divBdr>
            </w:div>
          </w:divsChild>
        </w:div>
      </w:divsChild>
    </w:div>
    <w:div w:id="421073389">
      <w:bodyDiv w:val="1"/>
      <w:marLeft w:val="0"/>
      <w:marRight w:val="0"/>
      <w:marTop w:val="0"/>
      <w:marBottom w:val="0"/>
      <w:divBdr>
        <w:top w:val="none" w:sz="0" w:space="0" w:color="auto"/>
        <w:left w:val="none" w:sz="0" w:space="0" w:color="auto"/>
        <w:bottom w:val="none" w:sz="0" w:space="0" w:color="auto"/>
        <w:right w:val="none" w:sz="0" w:space="0" w:color="auto"/>
      </w:divBdr>
    </w:div>
    <w:div w:id="905530327">
      <w:bodyDiv w:val="1"/>
      <w:marLeft w:val="0"/>
      <w:marRight w:val="0"/>
      <w:marTop w:val="0"/>
      <w:marBottom w:val="0"/>
      <w:divBdr>
        <w:top w:val="none" w:sz="0" w:space="0" w:color="auto"/>
        <w:left w:val="none" w:sz="0" w:space="0" w:color="auto"/>
        <w:bottom w:val="none" w:sz="0" w:space="0" w:color="auto"/>
        <w:right w:val="none" w:sz="0" w:space="0" w:color="auto"/>
      </w:divBdr>
    </w:div>
    <w:div w:id="1124153919">
      <w:bodyDiv w:val="1"/>
      <w:marLeft w:val="0"/>
      <w:marRight w:val="0"/>
      <w:marTop w:val="0"/>
      <w:marBottom w:val="0"/>
      <w:divBdr>
        <w:top w:val="none" w:sz="0" w:space="0" w:color="auto"/>
        <w:left w:val="none" w:sz="0" w:space="0" w:color="auto"/>
        <w:bottom w:val="none" w:sz="0" w:space="0" w:color="auto"/>
        <w:right w:val="none" w:sz="0" w:space="0" w:color="auto"/>
      </w:divBdr>
    </w:div>
    <w:div w:id="1469585381">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777795662">
      <w:bodyDiv w:val="1"/>
      <w:marLeft w:val="0"/>
      <w:marRight w:val="0"/>
      <w:marTop w:val="0"/>
      <w:marBottom w:val="0"/>
      <w:divBdr>
        <w:top w:val="none" w:sz="0" w:space="0" w:color="auto"/>
        <w:left w:val="none" w:sz="0" w:space="0" w:color="auto"/>
        <w:bottom w:val="none" w:sz="0" w:space="0" w:color="auto"/>
        <w:right w:val="none" w:sz="0" w:space="0" w:color="auto"/>
      </w:divBdr>
    </w:div>
    <w:div w:id="17806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reginfo.gov/public/do/eAgendaViewRule?pubId=201210&amp;RIN=2126-AB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40E85-88A5-4A8F-AC1E-B4D7DBAD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2953</Words>
  <Characters>16165</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mcs</Company>
  <LinksUpToDate>false</LinksUpToDate>
  <CharactersWithSpaces>19080</CharactersWithSpaces>
  <SharedDoc>false</SharedDoc>
  <HLinks>
    <vt:vector size="6" baseType="variant">
      <vt:variant>
        <vt:i4>2228341</vt:i4>
      </vt:variant>
      <vt:variant>
        <vt:i4>0</vt:i4>
      </vt:variant>
      <vt:variant>
        <vt:i4>0</vt:i4>
      </vt:variant>
      <vt:variant>
        <vt:i4>5</vt:i4>
      </vt:variant>
      <vt:variant>
        <vt:lpwstr>http://www.fmcsa.dot.gov/factsfigs/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fmcsa</dc:creator>
  <cp:lastModifiedBy>herman.dogan</cp:lastModifiedBy>
  <cp:revision>2</cp:revision>
  <cp:lastPrinted>2014-03-28T17:05:00Z</cp:lastPrinted>
  <dcterms:created xsi:type="dcterms:W3CDTF">2014-03-28T17:06:00Z</dcterms:created>
  <dcterms:modified xsi:type="dcterms:W3CDTF">2014-03-28T17:06:00Z</dcterms:modified>
</cp:coreProperties>
</file>