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040CFA" w:rsidRDefault="00E44BD0" w:rsidP="00434E33">
      <w:pPr>
        <w:rPr>
          <w:b/>
        </w:rPr>
      </w:pPr>
      <w:r>
        <w:rPr>
          <w:b/>
          <w:noProof/>
        </w:rPr>
        <w:pict>
          <v:line id="_x0000_s1026" style="position:absolute;z-index:251657216" from="0,5.55pt" to="468pt,5.55pt" o:allowincell="f" strokeweight="1.5pt"/>
        </w:pict>
      </w:r>
    </w:p>
    <w:p w:rsidR="00040CFA" w:rsidRPr="008F45DC" w:rsidRDefault="005E714A" w:rsidP="008F45DC">
      <w:pPr>
        <w:spacing w:after="120"/>
        <w:rPr>
          <w:b/>
        </w:rPr>
      </w:pPr>
      <w:r w:rsidRPr="00434E33">
        <w:rPr>
          <w:b/>
        </w:rPr>
        <w:t>TITLE OF INFORMATION COLLECTION:</w:t>
      </w:r>
      <w:r>
        <w:t xml:space="preserve">  </w:t>
      </w:r>
    </w:p>
    <w:p w:rsidR="005E714A" w:rsidRPr="00040CFA" w:rsidRDefault="00040CFA" w:rsidP="00040CFA">
      <w:pPr>
        <w:rPr>
          <w:b/>
          <w:sz w:val="28"/>
          <w:szCs w:val="28"/>
        </w:rPr>
      </w:pPr>
      <w:proofErr w:type="spellStart"/>
      <w:r>
        <w:rPr>
          <w:b/>
          <w:sz w:val="28"/>
          <w:szCs w:val="28"/>
        </w:rPr>
        <w:t>Telehealth</w:t>
      </w:r>
      <w:proofErr w:type="spellEnd"/>
      <w:r>
        <w:rPr>
          <w:b/>
          <w:sz w:val="28"/>
          <w:szCs w:val="28"/>
        </w:rPr>
        <w:t xml:space="preserve"> in the PADRECC:</w:t>
      </w:r>
      <w:r w:rsidR="008F45DC">
        <w:rPr>
          <w:b/>
          <w:sz w:val="28"/>
          <w:szCs w:val="28"/>
        </w:rPr>
        <w:t xml:space="preserve">  </w:t>
      </w:r>
      <w:r w:rsidRPr="00793AD6">
        <w:rPr>
          <w:b/>
          <w:sz w:val="28"/>
          <w:szCs w:val="28"/>
        </w:rPr>
        <w:t>The Key to the Patient-Centered Medical Home?</w:t>
      </w:r>
      <w:r>
        <w:rPr>
          <w:b/>
          <w:sz w:val="28"/>
          <w:szCs w:val="28"/>
        </w:rPr>
        <w:t xml:space="preserve">   </w:t>
      </w:r>
      <w:r w:rsidRPr="00D63A41">
        <w:rPr>
          <w:b/>
          <w:bCs/>
          <w:sz w:val="28"/>
          <w:szCs w:val="28"/>
        </w:rPr>
        <w:t>Focus Group Component</w:t>
      </w:r>
    </w:p>
    <w:p w:rsidR="00040CFA" w:rsidRDefault="00040CFA">
      <w:pPr>
        <w:rPr>
          <w:b/>
        </w:rPr>
      </w:pPr>
    </w:p>
    <w:p w:rsidR="001B0AAA" w:rsidRDefault="00F15956">
      <w:r>
        <w:rPr>
          <w:b/>
        </w:rPr>
        <w:t>PURPOSE</w:t>
      </w:r>
      <w:r w:rsidRPr="009239AA">
        <w:rPr>
          <w:b/>
        </w:rPr>
        <w:t>:</w:t>
      </w:r>
      <w:r w:rsidR="00C14CC4" w:rsidRPr="009239AA">
        <w:rPr>
          <w:b/>
        </w:rPr>
        <w:t xml:space="preserve">  </w:t>
      </w:r>
    </w:p>
    <w:p w:rsidR="001B0AAA" w:rsidRDefault="001B0AAA"/>
    <w:p w:rsidR="00040CFA" w:rsidRPr="00793AD6" w:rsidRDefault="00040CFA" w:rsidP="008F45DC">
      <w:pPr>
        <w:spacing w:after="120"/>
      </w:pPr>
      <w:r w:rsidRPr="00793AD6">
        <w:t xml:space="preserve">The proposed collection of information is part of a clinical innovation project designed to assess the use of </w:t>
      </w:r>
      <w:proofErr w:type="spellStart"/>
      <w:r w:rsidRPr="00793AD6">
        <w:t>telehealth</w:t>
      </w:r>
      <w:proofErr w:type="spellEnd"/>
      <w:r w:rsidRPr="00793AD6">
        <w:t xml:space="preserve">/telemedicine technologies in the care of Veterans with </w:t>
      </w:r>
      <w:proofErr w:type="gramStart"/>
      <w:r w:rsidRPr="00793AD6">
        <w:t>Parkinson’s Disease</w:t>
      </w:r>
      <w:proofErr w:type="gramEnd"/>
      <w:r w:rsidRPr="00793AD6">
        <w:t xml:space="preserve"> (PD), and the role of the Parkinson’s Disease Research, Education &amp; Clinical Center (PADRECC) clinician in the Patient-Aligned Care Team (PACT) model. This project is being conducted under the auspices of the VISN 4 Demo Lab, which was funded by Patient Care Services to assess a PACT model of care for Veterans and to develop innovative clinical projects to improve care of veterans using a patient-centered model of care. </w:t>
      </w:r>
      <w:proofErr w:type="spellStart"/>
      <w:r w:rsidRPr="00793AD6">
        <w:t>Telehealth</w:t>
      </w:r>
      <w:proofErr w:type="spellEnd"/>
      <w:r w:rsidRPr="00793AD6">
        <w:t xml:space="preserve"> includes both the use of home-monitoring devices (“Home </w:t>
      </w:r>
      <w:proofErr w:type="spellStart"/>
      <w:r w:rsidRPr="00793AD6">
        <w:t>Telehealth</w:t>
      </w:r>
      <w:proofErr w:type="spellEnd"/>
      <w:r w:rsidRPr="00793AD6">
        <w:t xml:space="preserve">”), as well as connecting PADRECC providers with providers located at the various community-based outpatient clinics via videoconferencing (“Outreach </w:t>
      </w:r>
      <w:proofErr w:type="spellStart"/>
      <w:r w:rsidRPr="00793AD6">
        <w:t>Telehealth</w:t>
      </w:r>
      <w:proofErr w:type="spellEnd"/>
      <w:r w:rsidRPr="00793AD6">
        <w:t xml:space="preserve">”). </w:t>
      </w:r>
    </w:p>
    <w:p w:rsidR="00040CFA" w:rsidRPr="00793AD6" w:rsidRDefault="00040CFA" w:rsidP="00B05F45">
      <w:pPr>
        <w:spacing w:after="120"/>
      </w:pPr>
      <w:r w:rsidRPr="00793AD6">
        <w:t>This study will help determine:</w:t>
      </w:r>
    </w:p>
    <w:p w:rsidR="00040CFA" w:rsidRPr="00793AD6" w:rsidRDefault="00040CFA" w:rsidP="008F45DC">
      <w:pPr>
        <w:numPr>
          <w:ilvl w:val="0"/>
          <w:numId w:val="19"/>
        </w:numPr>
        <w:rPr>
          <w:i/>
        </w:rPr>
      </w:pPr>
      <w:r w:rsidRPr="00793AD6">
        <w:t xml:space="preserve">whether </w:t>
      </w:r>
      <w:proofErr w:type="spellStart"/>
      <w:r w:rsidRPr="00793AD6">
        <w:t>telehealth</w:t>
      </w:r>
      <w:proofErr w:type="spellEnd"/>
      <w:r w:rsidRPr="00793AD6">
        <w:t xml:space="preserve"> is an equal alternative to "in-office" visits in the clinic (in terms of patient outcomes such as number of hospitalizations, emergency room visits, and office visits); </w:t>
      </w:r>
    </w:p>
    <w:p w:rsidR="00040CFA" w:rsidRPr="00793AD6" w:rsidRDefault="00040CFA" w:rsidP="008F45DC">
      <w:pPr>
        <w:numPr>
          <w:ilvl w:val="0"/>
          <w:numId w:val="19"/>
        </w:numPr>
        <w:rPr>
          <w:i/>
        </w:rPr>
      </w:pPr>
      <w:r w:rsidRPr="00793AD6">
        <w:t>whether it reduces costs for Parkinson’s patients (less travel, etc); and</w:t>
      </w:r>
    </w:p>
    <w:p w:rsidR="00040CFA" w:rsidRPr="008F45DC" w:rsidRDefault="00040CFA" w:rsidP="008F45DC">
      <w:pPr>
        <w:numPr>
          <w:ilvl w:val="0"/>
          <w:numId w:val="19"/>
        </w:numPr>
        <w:spacing w:after="120"/>
        <w:rPr>
          <w:i/>
        </w:rPr>
      </w:pPr>
      <w:proofErr w:type="gramStart"/>
      <w:r w:rsidRPr="00793AD6">
        <w:t>whether</w:t>
      </w:r>
      <w:proofErr w:type="gramEnd"/>
      <w:r w:rsidRPr="00793AD6">
        <w:t xml:space="preserve"> </w:t>
      </w:r>
      <w:proofErr w:type="spellStart"/>
      <w:r w:rsidRPr="00793AD6">
        <w:t>telehealth</w:t>
      </w:r>
      <w:proofErr w:type="spellEnd"/>
      <w:r w:rsidRPr="00793AD6">
        <w:t xml:space="preserve"> is acceptable to both patients and providers, and what the potential barriers and facilitators to sustained use of </w:t>
      </w:r>
      <w:proofErr w:type="spellStart"/>
      <w:r w:rsidRPr="00793AD6">
        <w:t>telehealth</w:t>
      </w:r>
      <w:proofErr w:type="spellEnd"/>
      <w:r w:rsidRPr="00793AD6">
        <w:t xml:space="preserve"> care are.</w:t>
      </w:r>
    </w:p>
    <w:p w:rsidR="00C8488C" w:rsidRDefault="008F45DC" w:rsidP="008F45DC">
      <w:pPr>
        <w:spacing w:after="120"/>
      </w:pPr>
      <w:r w:rsidRPr="00793AD6">
        <w:t>Focus group discussions will be held in person and recorded digitally for subsequent transcription. Use of digital recorders reduces respondent burden when compared with methods of data collection that require written responses or access to and ability to navigate the Web. The burden of travel to and from focus groups will be minimized by scheduling focus groups at a time and location most convenient to participants.</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BA4C61" w:rsidRPr="00434E33" w:rsidRDefault="00BA4C61" w:rsidP="00434E33">
      <w:pPr>
        <w:pStyle w:val="Header"/>
        <w:tabs>
          <w:tab w:val="clear" w:pos="4320"/>
          <w:tab w:val="clear" w:pos="8640"/>
        </w:tabs>
        <w:rPr>
          <w:i/>
          <w:snapToGrid/>
        </w:rPr>
      </w:pPr>
    </w:p>
    <w:p w:rsidR="00BA4C61" w:rsidRPr="00793AD6" w:rsidRDefault="00BA4C61" w:rsidP="00BA4C61">
      <w:pPr>
        <w:pStyle w:val="Header"/>
        <w:tabs>
          <w:tab w:val="clear" w:pos="4320"/>
          <w:tab w:val="clear" w:pos="8640"/>
          <w:tab w:val="left" w:pos="547"/>
          <w:tab w:val="left" w:pos="1080"/>
          <w:tab w:val="left" w:pos="1627"/>
          <w:tab w:val="left" w:pos="2160"/>
          <w:tab w:val="left" w:pos="2880"/>
        </w:tabs>
      </w:pPr>
      <w:r w:rsidRPr="00793AD6">
        <w:t xml:space="preserve">To assess acceptability and potential barriers and facilitators to sustained use of </w:t>
      </w:r>
      <w:proofErr w:type="spellStart"/>
      <w:r w:rsidRPr="00793AD6">
        <w:t>telehealth</w:t>
      </w:r>
      <w:proofErr w:type="spellEnd"/>
      <w:r w:rsidRPr="00793AD6">
        <w:t xml:space="preserve"> care for patients, </w:t>
      </w:r>
      <w:r>
        <w:t>VHA</w:t>
      </w:r>
      <w:r w:rsidRPr="00793AD6">
        <w:t xml:space="preserve"> propose</w:t>
      </w:r>
      <w:r>
        <w:t>s</w:t>
      </w:r>
      <w:r w:rsidRPr="00793AD6">
        <w:t xml:space="preserve"> to conduct focus groups with a subset of patients enrolled in one of the two PVAMC PADRECC clinic study intervention groups (Home </w:t>
      </w:r>
      <w:proofErr w:type="spellStart"/>
      <w:r w:rsidRPr="00793AD6">
        <w:t>Telehealth</w:t>
      </w:r>
      <w:proofErr w:type="spellEnd"/>
      <w:r w:rsidRPr="00793AD6">
        <w:t xml:space="preserve"> and Outreach </w:t>
      </w:r>
      <w:proofErr w:type="spellStart"/>
      <w:r w:rsidRPr="00793AD6">
        <w:t>Telehealth</w:t>
      </w:r>
      <w:proofErr w:type="spellEnd"/>
      <w:r w:rsidRPr="00793AD6">
        <w:t xml:space="preserve">). Because of their first-hand experience with </w:t>
      </w:r>
      <w:proofErr w:type="spellStart"/>
      <w:r w:rsidRPr="00793AD6">
        <w:t>telehealth</w:t>
      </w:r>
      <w:proofErr w:type="spellEnd"/>
      <w:r w:rsidRPr="00793AD6">
        <w:t xml:space="preserve"> care, these participants offer the best source of information about its acceptability to patients.</w:t>
      </w:r>
      <w:r w:rsidRPr="00BA4C61">
        <w:t xml:space="preserve"> </w:t>
      </w:r>
      <w:r>
        <w:t>T</w:t>
      </w:r>
      <w:r w:rsidRPr="00793AD6">
        <w:t xml:space="preserve">hose patients who receive a </w:t>
      </w:r>
      <w:proofErr w:type="spellStart"/>
      <w:r w:rsidRPr="00793AD6">
        <w:t>telehealth</w:t>
      </w:r>
      <w:proofErr w:type="spellEnd"/>
      <w:r w:rsidRPr="00793AD6">
        <w:t xml:space="preserve"> intervention over the course of the study will be invited to participate in a focus group discussion. This information will be used as research data by the Principal Investigator, Jayne Wilkin</w:t>
      </w:r>
      <w:r w:rsidR="00B05F45">
        <w:t>son, and her research team.  T</w:t>
      </w:r>
      <w:r w:rsidR="00B05F45" w:rsidRPr="00793AD6">
        <w:t xml:space="preserve">he purpose of this information is to facilitate better understanding of the patient perspective on the acceptability of </w:t>
      </w:r>
      <w:proofErr w:type="spellStart"/>
      <w:r w:rsidR="00B05F45" w:rsidRPr="00793AD6">
        <w:t>telehealth</w:t>
      </w:r>
      <w:proofErr w:type="spellEnd"/>
      <w:r w:rsidR="00B05F45" w:rsidRPr="00793AD6">
        <w:t xml:space="preserve"> care and on the facilitators and barriers to its sustained use. </w:t>
      </w:r>
      <w:proofErr w:type="gramStart"/>
      <w:r w:rsidRPr="00793AD6">
        <w:t>to</w:t>
      </w:r>
      <w:proofErr w:type="gramEnd"/>
      <w:r w:rsidRPr="00793AD6">
        <w:t xml:space="preserve"> complement quantitative measures of patient outcomes and cost of care for patients with Parkinson’s disease.</w:t>
      </w:r>
    </w:p>
    <w:p w:rsidR="00040CFA" w:rsidRPr="00793AD6" w:rsidRDefault="00040CFA" w:rsidP="00040CFA">
      <w:pPr>
        <w:pStyle w:val="Header"/>
        <w:tabs>
          <w:tab w:val="clear" w:pos="4320"/>
          <w:tab w:val="clear" w:pos="8640"/>
          <w:tab w:val="left" w:pos="547"/>
          <w:tab w:val="left" w:pos="1080"/>
          <w:tab w:val="left" w:pos="1627"/>
          <w:tab w:val="left" w:pos="2160"/>
          <w:tab w:val="left" w:pos="2880"/>
        </w:tabs>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223DFA">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F45DC" w:rsidP="009C13B9">
      <w:r>
        <w:t>Name:</w:t>
      </w:r>
      <w:r>
        <w:tab/>
      </w:r>
      <w:r w:rsidR="00223DFA" w:rsidRPr="008F45DC">
        <w:rPr>
          <w:u w:val="single"/>
        </w:rPr>
        <w:t>Jayne Wilk</w:t>
      </w:r>
      <w:r w:rsidR="00BA4C61" w:rsidRPr="008F45DC">
        <w:rPr>
          <w:u w:val="single"/>
        </w:rPr>
        <w:t>in</w:t>
      </w:r>
      <w:r w:rsidR="00223DFA" w:rsidRPr="008F45DC">
        <w:rPr>
          <w:u w:val="single"/>
        </w:rPr>
        <w:t>son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7721DB" w:rsidRDefault="00C86E91" w:rsidP="00C86E91">
      <w:pPr>
        <w:rPr>
          <w:b/>
        </w:rPr>
      </w:pPr>
      <w:r w:rsidRPr="00C86E91">
        <w:rPr>
          <w:b/>
        </w:rPr>
        <w:t>Pers</w:t>
      </w:r>
      <w:r w:rsidR="007721DB">
        <w:rPr>
          <w:b/>
        </w:rPr>
        <w:t>onally Identifiable Information:</w:t>
      </w:r>
    </w:p>
    <w:p w:rsidR="007721DB" w:rsidRPr="00C86E91" w:rsidRDefault="007721DB"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B81383">
        <w:t>[</w:t>
      </w:r>
      <w:r w:rsidR="00017D44">
        <w:t xml:space="preserve">  </w:t>
      </w:r>
      <w:r w:rsidR="00223DFA">
        <w:t>] Yes  [</w:t>
      </w:r>
      <w:r w:rsidR="00017D44">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017D44">
        <w:t xml:space="preserve">  </w:t>
      </w:r>
      <w:r w:rsidR="009239AA">
        <w:t>]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rsidR="007721DB">
        <w:t xml:space="preserve"> been published?</w:t>
      </w:r>
      <w:r>
        <w:t xml:space="preserve"> [</w:t>
      </w:r>
      <w:r w:rsidR="0013058E">
        <w:t xml:space="preserve"> </w:t>
      </w:r>
      <w:r w:rsidR="007721DB">
        <w:t>] Yes  [</w:t>
      </w:r>
      <w:r w:rsidR="008F45DC">
        <w:t xml:space="preserve"> </w:t>
      </w:r>
      <w:r>
        <w:t>] No</w:t>
      </w:r>
    </w:p>
    <w:p w:rsidR="00CF6542" w:rsidRDefault="00CF6542" w:rsidP="00C86E91">
      <w:pPr>
        <w:pStyle w:val="ListParagraph"/>
        <w:ind w:left="0"/>
        <w:rPr>
          <w:b/>
        </w:rPr>
      </w:pPr>
    </w:p>
    <w:p w:rsidR="00822B08" w:rsidRDefault="00822B08"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w:t>
      </w:r>
      <w:r w:rsidR="00223DFA">
        <w:t>) provided to participants?  [X</w:t>
      </w:r>
      <w:r>
        <w:t xml:space="preserve">] Yes [  ] No  </w:t>
      </w:r>
    </w:p>
    <w:p w:rsidR="004D6E14" w:rsidRDefault="004D6E14">
      <w:pPr>
        <w:rPr>
          <w:b/>
        </w:rPr>
      </w:pPr>
    </w:p>
    <w:p w:rsidR="00BA4C61" w:rsidRPr="00793AD6" w:rsidRDefault="00BA4C61" w:rsidP="00BA4C61">
      <w:pPr>
        <w:tabs>
          <w:tab w:val="left" w:pos="547"/>
          <w:tab w:val="left" w:pos="1080"/>
          <w:tab w:val="left" w:pos="1627"/>
          <w:tab w:val="left" w:pos="2160"/>
          <w:tab w:val="left" w:pos="2880"/>
        </w:tabs>
      </w:pPr>
      <w:r w:rsidRPr="00793AD6">
        <w:t>Each focus group participant will receive a one-time cash payment in the amount of $20.00 as compensation for time and effort.</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2430"/>
        <w:gridCol w:w="2250"/>
        <w:gridCol w:w="1453"/>
      </w:tblGrid>
      <w:tr w:rsidR="00EF2095" w:rsidTr="00BA4C61">
        <w:trPr>
          <w:trHeight w:val="274"/>
        </w:trPr>
        <w:tc>
          <w:tcPr>
            <w:tcW w:w="3528" w:type="dxa"/>
            <w:vAlign w:val="center"/>
          </w:tcPr>
          <w:p w:rsidR="006832D9" w:rsidRPr="00BA4C61" w:rsidRDefault="00E40B50" w:rsidP="002352D0">
            <w:pPr>
              <w:rPr>
                <w:rFonts w:ascii="Arial" w:hAnsi="Arial" w:cs="Arial"/>
                <w:b/>
                <w:sz w:val="22"/>
                <w:szCs w:val="22"/>
              </w:rPr>
            </w:pPr>
            <w:r w:rsidRPr="00BA4C61">
              <w:rPr>
                <w:rFonts w:ascii="Arial" w:hAnsi="Arial" w:cs="Arial"/>
                <w:b/>
                <w:sz w:val="22"/>
                <w:szCs w:val="22"/>
              </w:rPr>
              <w:t>Category of Respondent</w:t>
            </w:r>
            <w:r w:rsidR="002352D0" w:rsidRPr="00BA4C61">
              <w:rPr>
                <w:rFonts w:ascii="Arial" w:hAnsi="Arial" w:cs="Arial"/>
                <w:b/>
                <w:sz w:val="22"/>
                <w:szCs w:val="22"/>
              </w:rPr>
              <w:t xml:space="preserve">: </w:t>
            </w:r>
            <w:r w:rsidR="002352D0" w:rsidRPr="00BA4C61">
              <w:rPr>
                <w:rFonts w:ascii="Arial" w:hAnsi="Arial" w:cs="Arial"/>
                <w:b/>
                <w:sz w:val="22"/>
                <w:szCs w:val="22"/>
              </w:rPr>
              <w:br/>
            </w:r>
            <w:r w:rsidR="002352D0" w:rsidRPr="007721DB">
              <w:rPr>
                <w:rFonts w:ascii="Arial" w:hAnsi="Arial" w:cs="Arial"/>
                <w:sz w:val="22"/>
                <w:szCs w:val="22"/>
              </w:rPr>
              <w:t>Individuals and Household</w:t>
            </w:r>
            <w:r w:rsidR="007721DB">
              <w:rPr>
                <w:rFonts w:ascii="Arial" w:hAnsi="Arial" w:cs="Arial"/>
                <w:sz w:val="22"/>
                <w:szCs w:val="22"/>
              </w:rPr>
              <w:t>s</w:t>
            </w:r>
          </w:p>
        </w:tc>
        <w:tc>
          <w:tcPr>
            <w:tcW w:w="2430" w:type="dxa"/>
            <w:vAlign w:val="center"/>
          </w:tcPr>
          <w:p w:rsidR="006832D9" w:rsidRPr="00BA4C61" w:rsidRDefault="006832D9" w:rsidP="00843796">
            <w:pPr>
              <w:rPr>
                <w:rFonts w:ascii="Arial" w:hAnsi="Arial" w:cs="Arial"/>
                <w:b/>
                <w:sz w:val="22"/>
                <w:szCs w:val="22"/>
              </w:rPr>
            </w:pPr>
            <w:r w:rsidRPr="00BA4C61">
              <w:rPr>
                <w:rFonts w:ascii="Arial" w:hAnsi="Arial" w:cs="Arial"/>
                <w:b/>
                <w:sz w:val="22"/>
                <w:szCs w:val="22"/>
              </w:rPr>
              <w:t>N</w:t>
            </w:r>
            <w:r w:rsidR="009F5923" w:rsidRPr="00BA4C61">
              <w:rPr>
                <w:rFonts w:ascii="Arial" w:hAnsi="Arial" w:cs="Arial"/>
                <w:b/>
                <w:sz w:val="22"/>
                <w:szCs w:val="22"/>
              </w:rPr>
              <w:t>o.</w:t>
            </w:r>
            <w:r w:rsidRPr="00BA4C61">
              <w:rPr>
                <w:rFonts w:ascii="Arial" w:hAnsi="Arial" w:cs="Arial"/>
                <w:b/>
                <w:sz w:val="22"/>
                <w:szCs w:val="22"/>
              </w:rPr>
              <w:t xml:space="preserve"> of Respondents</w:t>
            </w:r>
          </w:p>
        </w:tc>
        <w:tc>
          <w:tcPr>
            <w:tcW w:w="2250" w:type="dxa"/>
            <w:vAlign w:val="center"/>
          </w:tcPr>
          <w:p w:rsidR="006832D9" w:rsidRPr="00BA4C61" w:rsidRDefault="006832D9" w:rsidP="00843796">
            <w:pPr>
              <w:rPr>
                <w:rFonts w:ascii="Arial" w:hAnsi="Arial" w:cs="Arial"/>
                <w:b/>
                <w:sz w:val="22"/>
                <w:szCs w:val="22"/>
              </w:rPr>
            </w:pPr>
            <w:r w:rsidRPr="00BA4C61">
              <w:rPr>
                <w:rFonts w:ascii="Arial" w:hAnsi="Arial" w:cs="Arial"/>
                <w:b/>
                <w:sz w:val="22"/>
                <w:szCs w:val="22"/>
              </w:rPr>
              <w:t>Participation Time</w:t>
            </w:r>
          </w:p>
        </w:tc>
        <w:tc>
          <w:tcPr>
            <w:tcW w:w="1453" w:type="dxa"/>
            <w:vAlign w:val="center"/>
          </w:tcPr>
          <w:p w:rsidR="006832D9" w:rsidRPr="00BA4C61" w:rsidRDefault="006832D9" w:rsidP="00843796">
            <w:pPr>
              <w:rPr>
                <w:rFonts w:ascii="Arial" w:hAnsi="Arial" w:cs="Arial"/>
                <w:b/>
                <w:sz w:val="22"/>
                <w:szCs w:val="22"/>
              </w:rPr>
            </w:pPr>
            <w:r w:rsidRPr="00BA4C61">
              <w:rPr>
                <w:rFonts w:ascii="Arial" w:hAnsi="Arial" w:cs="Arial"/>
                <w:b/>
                <w:sz w:val="22"/>
                <w:szCs w:val="22"/>
              </w:rPr>
              <w:t>Burden</w:t>
            </w:r>
          </w:p>
        </w:tc>
      </w:tr>
      <w:tr w:rsidR="002352D0" w:rsidTr="00BA4C61">
        <w:trPr>
          <w:trHeight w:val="562"/>
        </w:trPr>
        <w:tc>
          <w:tcPr>
            <w:tcW w:w="3528" w:type="dxa"/>
            <w:vAlign w:val="center"/>
          </w:tcPr>
          <w:p w:rsidR="002352D0" w:rsidRPr="00BA4C61" w:rsidRDefault="002352D0" w:rsidP="002352D0">
            <w:pPr>
              <w:rPr>
                <w:rFonts w:ascii="Arial" w:hAnsi="Arial" w:cs="Arial"/>
                <w:sz w:val="22"/>
                <w:szCs w:val="22"/>
              </w:rPr>
            </w:pPr>
            <w:r w:rsidRPr="00BA4C61">
              <w:rPr>
                <w:rFonts w:ascii="Arial" w:hAnsi="Arial" w:cs="Arial"/>
                <w:sz w:val="22"/>
                <w:szCs w:val="22"/>
              </w:rPr>
              <w:t>Scrip/Guide</w:t>
            </w:r>
          </w:p>
        </w:tc>
        <w:tc>
          <w:tcPr>
            <w:tcW w:w="2430" w:type="dxa"/>
            <w:vAlign w:val="center"/>
          </w:tcPr>
          <w:p w:rsidR="002352D0" w:rsidRPr="00BA4C61" w:rsidRDefault="002352D0" w:rsidP="00843796">
            <w:pPr>
              <w:rPr>
                <w:rFonts w:ascii="Arial" w:hAnsi="Arial" w:cs="Arial"/>
                <w:sz w:val="22"/>
                <w:szCs w:val="22"/>
              </w:rPr>
            </w:pPr>
            <w:r w:rsidRPr="00BA4C61">
              <w:rPr>
                <w:rFonts w:ascii="Arial" w:hAnsi="Arial" w:cs="Arial"/>
                <w:sz w:val="22"/>
                <w:szCs w:val="22"/>
              </w:rPr>
              <w:t>40</w:t>
            </w:r>
          </w:p>
        </w:tc>
        <w:tc>
          <w:tcPr>
            <w:tcW w:w="2250" w:type="dxa"/>
            <w:vAlign w:val="center"/>
          </w:tcPr>
          <w:p w:rsidR="002352D0" w:rsidRPr="00BA4C61" w:rsidRDefault="00BA4C61" w:rsidP="00843796">
            <w:pPr>
              <w:rPr>
                <w:rFonts w:ascii="Arial" w:hAnsi="Arial" w:cs="Arial"/>
                <w:sz w:val="22"/>
                <w:szCs w:val="22"/>
              </w:rPr>
            </w:pPr>
            <w:r>
              <w:rPr>
                <w:rFonts w:ascii="Arial" w:hAnsi="Arial" w:cs="Arial"/>
                <w:sz w:val="22"/>
                <w:szCs w:val="22"/>
              </w:rPr>
              <w:t>9</w:t>
            </w:r>
            <w:r w:rsidR="002352D0" w:rsidRPr="00BA4C61">
              <w:rPr>
                <w:rFonts w:ascii="Arial" w:hAnsi="Arial" w:cs="Arial"/>
                <w:sz w:val="22"/>
                <w:szCs w:val="22"/>
              </w:rPr>
              <w:t>0 minutes</w:t>
            </w:r>
          </w:p>
        </w:tc>
        <w:tc>
          <w:tcPr>
            <w:tcW w:w="1453" w:type="dxa"/>
            <w:vAlign w:val="center"/>
          </w:tcPr>
          <w:p w:rsidR="002352D0" w:rsidRPr="00BA4C61" w:rsidRDefault="002352D0" w:rsidP="00843796">
            <w:pPr>
              <w:rPr>
                <w:rFonts w:ascii="Arial" w:hAnsi="Arial" w:cs="Arial"/>
                <w:sz w:val="22"/>
                <w:szCs w:val="22"/>
              </w:rPr>
            </w:pPr>
            <w:r w:rsidRPr="00BA4C61">
              <w:rPr>
                <w:rFonts w:ascii="Arial" w:hAnsi="Arial" w:cs="Arial"/>
                <w:sz w:val="22"/>
                <w:szCs w:val="22"/>
              </w:rPr>
              <w:t>60</w:t>
            </w:r>
          </w:p>
        </w:tc>
      </w:tr>
      <w:tr w:rsidR="00EF2095" w:rsidTr="00BA4C61">
        <w:trPr>
          <w:trHeight w:val="289"/>
        </w:trPr>
        <w:tc>
          <w:tcPr>
            <w:tcW w:w="3528" w:type="dxa"/>
            <w:vAlign w:val="center"/>
          </w:tcPr>
          <w:p w:rsidR="006832D9" w:rsidRPr="00BA4C61" w:rsidRDefault="006832D9" w:rsidP="00843796">
            <w:pPr>
              <w:rPr>
                <w:rFonts w:ascii="Arial" w:hAnsi="Arial" w:cs="Arial"/>
                <w:b/>
                <w:sz w:val="22"/>
                <w:szCs w:val="22"/>
              </w:rPr>
            </w:pPr>
            <w:r w:rsidRPr="00BA4C61">
              <w:rPr>
                <w:rFonts w:ascii="Arial" w:hAnsi="Arial" w:cs="Arial"/>
                <w:b/>
                <w:sz w:val="22"/>
                <w:szCs w:val="22"/>
              </w:rPr>
              <w:t>Totals</w:t>
            </w:r>
          </w:p>
        </w:tc>
        <w:tc>
          <w:tcPr>
            <w:tcW w:w="2430" w:type="dxa"/>
            <w:vAlign w:val="center"/>
          </w:tcPr>
          <w:p w:rsidR="006832D9" w:rsidRPr="00BA4C61" w:rsidRDefault="006832D9" w:rsidP="00843796">
            <w:pPr>
              <w:rPr>
                <w:rFonts w:ascii="Arial" w:hAnsi="Arial" w:cs="Arial"/>
                <w:b/>
                <w:sz w:val="22"/>
                <w:szCs w:val="22"/>
              </w:rPr>
            </w:pPr>
          </w:p>
        </w:tc>
        <w:tc>
          <w:tcPr>
            <w:tcW w:w="2250" w:type="dxa"/>
            <w:vAlign w:val="center"/>
          </w:tcPr>
          <w:p w:rsidR="006832D9" w:rsidRPr="00BA4C61" w:rsidRDefault="006832D9" w:rsidP="00843796">
            <w:pPr>
              <w:rPr>
                <w:rFonts w:ascii="Arial" w:hAnsi="Arial" w:cs="Arial"/>
                <w:sz w:val="22"/>
                <w:szCs w:val="22"/>
              </w:rPr>
            </w:pPr>
          </w:p>
        </w:tc>
        <w:tc>
          <w:tcPr>
            <w:tcW w:w="1453" w:type="dxa"/>
            <w:vAlign w:val="center"/>
          </w:tcPr>
          <w:p w:rsidR="006832D9" w:rsidRPr="00BA4C61" w:rsidRDefault="002352D0" w:rsidP="00B05F45">
            <w:pPr>
              <w:rPr>
                <w:rFonts w:ascii="Arial" w:hAnsi="Arial" w:cs="Arial"/>
                <w:b/>
                <w:sz w:val="22"/>
                <w:szCs w:val="22"/>
              </w:rPr>
            </w:pPr>
            <w:r w:rsidRPr="00BA4C61">
              <w:rPr>
                <w:rFonts w:ascii="Arial" w:hAnsi="Arial" w:cs="Arial"/>
                <w:b/>
                <w:sz w:val="22"/>
                <w:szCs w:val="22"/>
              </w:rPr>
              <w:t xml:space="preserve">60 </w:t>
            </w:r>
          </w:p>
        </w:tc>
      </w:tr>
    </w:tbl>
    <w:p w:rsidR="00F3170F" w:rsidRDefault="00F3170F" w:rsidP="00F3170F"/>
    <w:p w:rsidR="00B05F45"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p>
    <w:p w:rsidR="00ED6492" w:rsidRDefault="00B05F45">
      <w:pPr>
        <w:rPr>
          <w:b/>
          <w:bCs/>
          <w:u w:val="single"/>
        </w:rPr>
      </w:pPr>
      <w:r w:rsidRPr="00793AD6">
        <w:t xml:space="preserve">Staff time $24,573 + participant payment $800 + $1290 transcription = </w:t>
      </w:r>
      <w:r w:rsidRPr="00B05F45">
        <w:rPr>
          <w:b/>
        </w:rPr>
        <w:t>$26,663</w:t>
      </w:r>
      <w:r w:rsidRPr="00793AD6">
        <w:t>.</w:t>
      </w:r>
      <w:r>
        <w:rPr>
          <w:b/>
          <w:bCs/>
          <w:u w:val="single"/>
        </w:rPr>
        <w:t xml:space="preserve"> </w:t>
      </w:r>
    </w:p>
    <w:p w:rsidR="008F45DC" w:rsidRPr="00B05F45" w:rsidRDefault="008F45DC">
      <w:pPr>
        <w:rPr>
          <w:b/>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BA4C61">
      <w:pPr>
        <w:pStyle w:val="ListParagraph"/>
        <w:numPr>
          <w:ilvl w:val="0"/>
          <w:numId w:val="15"/>
        </w:numPr>
        <w:spacing w:after="120"/>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45DC">
        <w:t xml:space="preserve">  </w:t>
      </w:r>
      <w:r>
        <w:t>] Yes</w:t>
      </w:r>
      <w:r w:rsidR="008F45DC">
        <w:t xml:space="preserve"> </w:t>
      </w:r>
      <w:r>
        <w:tab/>
        <w:t>[</w:t>
      </w:r>
      <w:r w:rsidR="008F45DC">
        <w:t>X</w:t>
      </w:r>
      <w:r>
        <w:t>] No</w:t>
      </w:r>
    </w:p>
    <w:p w:rsidR="00636621" w:rsidRDefault="00636621" w:rsidP="00636621">
      <w:pPr>
        <w:pStyle w:val="ListParagraph"/>
      </w:pPr>
    </w:p>
    <w:p w:rsidR="00636621" w:rsidRDefault="00636621" w:rsidP="001B0AAA">
      <w:r w:rsidRPr="00BA4C61">
        <w:rPr>
          <w:b/>
        </w:rPr>
        <w:t>If the answer is yes, please provide a description of both below</w:t>
      </w:r>
      <w:r w:rsidR="00A403BB" w:rsidRPr="00BA4C61">
        <w:rPr>
          <w:b/>
        </w:rPr>
        <w:t xml:space="preserve"> (or attach the sampling plan)</w:t>
      </w:r>
      <w:r w:rsidRPr="00BA4C61">
        <w:rPr>
          <w:b/>
        </w:rPr>
        <w:t>?   If the answer is no, please provide a description of how you plan to identify your potential group of respondents</w:t>
      </w:r>
      <w:r w:rsidR="001B0AAA" w:rsidRPr="00BA4C61">
        <w:rPr>
          <w:b/>
        </w:rPr>
        <w:t xml:space="preserve"> and how you will select them</w:t>
      </w:r>
      <w:r>
        <w:t>?</w:t>
      </w:r>
    </w:p>
    <w:p w:rsidR="00A403BB" w:rsidRDefault="00A403BB" w:rsidP="00A403BB">
      <w:pPr>
        <w:pStyle w:val="ListParagraph"/>
      </w:pPr>
    </w:p>
    <w:p w:rsidR="00A403BB" w:rsidRDefault="00BA4C61" w:rsidP="00BA4C61">
      <w:pPr>
        <w:spacing w:after="120"/>
      </w:pPr>
      <w:r>
        <w:t>VHA</w:t>
      </w:r>
      <w:r w:rsidRPr="00793AD6">
        <w:t xml:space="preserve"> plan</w:t>
      </w:r>
      <w:r>
        <w:t>s</w:t>
      </w:r>
      <w:r w:rsidRPr="00793AD6">
        <w:t xml:space="preserve"> to enroll 100 patients from the PVAMC PADRECC clinic; up to 40 of those patients who receive a </w:t>
      </w:r>
      <w:proofErr w:type="spellStart"/>
      <w:r w:rsidRPr="00793AD6">
        <w:t>telehealth</w:t>
      </w:r>
      <w:proofErr w:type="spellEnd"/>
      <w:r w:rsidRPr="00793AD6">
        <w:t xml:space="preserve"> intervention over the course of the study will be invited to participate in a focus group discussion. This information will be used as research data by the Principal Investigator, Jayne Wilkinson, and her research team to complement quantitative measures of patient outcomes and cost of care for patients with Parkinson’s disease. As stated, the purpose of this information is to facilitate better understanding of the patient perspective on the acceptability of </w:t>
      </w:r>
      <w:proofErr w:type="spellStart"/>
      <w:r w:rsidRPr="00793AD6">
        <w:t>telehealth</w:t>
      </w:r>
      <w:proofErr w:type="spellEnd"/>
      <w:r w:rsidRPr="00793AD6">
        <w:t xml:space="preserve"> care and on the facilitators and barriers to its sustained use.</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BA4C61">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w:t>
      </w:r>
      <w:r w:rsidR="00BA4C61">
        <w:t>rs or facilitators be used?  [X</w:t>
      </w:r>
      <w:r>
        <w:t>] Yes [  ] No</w:t>
      </w:r>
    </w:p>
    <w:p w:rsidR="00F24CFC" w:rsidRDefault="00F24CFC" w:rsidP="00F24CFC">
      <w:pPr>
        <w:pStyle w:val="ListParagraph"/>
        <w:ind w:left="360"/>
      </w:pPr>
      <w:r>
        <w:t xml:space="preserve"> </w:t>
      </w:r>
    </w:p>
    <w:p w:rsidR="008F45DC" w:rsidRPr="00F24CFC" w:rsidRDefault="008F45DC" w:rsidP="008F45DC">
      <w:pPr>
        <w:rPr>
          <w:b/>
        </w:rPr>
      </w:pPr>
      <w:r w:rsidRPr="00F24CFC">
        <w:rPr>
          <w:b/>
        </w:rPr>
        <w:t>Please make sure that all instruments, instructions, and scripts are submitted with the request.</w:t>
      </w:r>
    </w:p>
    <w:p w:rsidR="00BA4C61" w:rsidRDefault="00BA4C61">
      <w:pPr>
        <w:rPr>
          <w:b/>
        </w:rPr>
      </w:pPr>
      <w:r>
        <w:rPr>
          <w:b/>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44BD0"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D44" w:rsidRDefault="00017D44">
      <w:r>
        <w:separator/>
      </w:r>
    </w:p>
  </w:endnote>
  <w:endnote w:type="continuationSeparator" w:id="0">
    <w:p w:rsidR="00017D44" w:rsidRDefault="00017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44" w:rsidRDefault="00017D4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3058E">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D44" w:rsidRDefault="00017D44">
      <w:r>
        <w:separator/>
      </w:r>
    </w:p>
  </w:footnote>
  <w:footnote w:type="continuationSeparator" w:id="0">
    <w:p w:rsidR="00017D44" w:rsidRDefault="00017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44" w:rsidRDefault="00017D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4A3A7A"/>
    <w:multiLevelType w:val="hybridMultilevel"/>
    <w:tmpl w:val="137E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D6383F"/>
    <w:rsid w:val="0001027E"/>
    <w:rsid w:val="00017D44"/>
    <w:rsid w:val="00021390"/>
    <w:rsid w:val="00023A57"/>
    <w:rsid w:val="00040CFA"/>
    <w:rsid w:val="00047A64"/>
    <w:rsid w:val="00067329"/>
    <w:rsid w:val="000B2838"/>
    <w:rsid w:val="000D44CA"/>
    <w:rsid w:val="000E200B"/>
    <w:rsid w:val="000F68BE"/>
    <w:rsid w:val="001110E7"/>
    <w:rsid w:val="0013058E"/>
    <w:rsid w:val="001927A4"/>
    <w:rsid w:val="00194AC6"/>
    <w:rsid w:val="001A23B0"/>
    <w:rsid w:val="001A25CC"/>
    <w:rsid w:val="001B0AAA"/>
    <w:rsid w:val="001C39F7"/>
    <w:rsid w:val="001D0AC4"/>
    <w:rsid w:val="00223DFA"/>
    <w:rsid w:val="002352D0"/>
    <w:rsid w:val="00237B48"/>
    <w:rsid w:val="0024521E"/>
    <w:rsid w:val="00263C3D"/>
    <w:rsid w:val="00274D0B"/>
    <w:rsid w:val="002B052D"/>
    <w:rsid w:val="002B34CD"/>
    <w:rsid w:val="002B3C95"/>
    <w:rsid w:val="002D0B92"/>
    <w:rsid w:val="00325FBA"/>
    <w:rsid w:val="00353FE7"/>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5107B"/>
    <w:rsid w:val="006832D9"/>
    <w:rsid w:val="0069403B"/>
    <w:rsid w:val="006F3DDE"/>
    <w:rsid w:val="00704678"/>
    <w:rsid w:val="007425E7"/>
    <w:rsid w:val="0075482F"/>
    <w:rsid w:val="007721DB"/>
    <w:rsid w:val="007F7080"/>
    <w:rsid w:val="00802607"/>
    <w:rsid w:val="008101A5"/>
    <w:rsid w:val="00822664"/>
    <w:rsid w:val="00822B08"/>
    <w:rsid w:val="00843796"/>
    <w:rsid w:val="00895229"/>
    <w:rsid w:val="008B2EB3"/>
    <w:rsid w:val="008B3898"/>
    <w:rsid w:val="008F0203"/>
    <w:rsid w:val="008F45DC"/>
    <w:rsid w:val="008F50D4"/>
    <w:rsid w:val="009239AA"/>
    <w:rsid w:val="00935ADA"/>
    <w:rsid w:val="00946B6C"/>
    <w:rsid w:val="00955A71"/>
    <w:rsid w:val="0096108F"/>
    <w:rsid w:val="009C13B9"/>
    <w:rsid w:val="009D01A2"/>
    <w:rsid w:val="009D5E50"/>
    <w:rsid w:val="009E03DD"/>
    <w:rsid w:val="009F5923"/>
    <w:rsid w:val="009F59F7"/>
    <w:rsid w:val="00A403BB"/>
    <w:rsid w:val="00A674DF"/>
    <w:rsid w:val="00A83AA6"/>
    <w:rsid w:val="00A934D6"/>
    <w:rsid w:val="00AE1809"/>
    <w:rsid w:val="00B05F45"/>
    <w:rsid w:val="00B80D76"/>
    <w:rsid w:val="00B81383"/>
    <w:rsid w:val="00BA2105"/>
    <w:rsid w:val="00BA4C61"/>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44BD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B3898"/>
    <w:rPr>
      <w:color w:val="0000FF"/>
      <w:u w:val="singl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1446</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5</cp:revision>
  <cp:lastPrinted>2010-10-04T15:59:00Z</cp:lastPrinted>
  <dcterms:created xsi:type="dcterms:W3CDTF">2011-12-08T04:42:00Z</dcterms:created>
  <dcterms:modified xsi:type="dcterms:W3CDTF">2012-01-11T22:06:00Z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