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0ED" w:rsidRPr="008218B6" w:rsidRDefault="002B10ED" w:rsidP="002B10ED">
      <w:pPr>
        <w:jc w:val="center"/>
      </w:pPr>
      <w:r w:rsidRPr="008218B6">
        <w:t>SUPPORTING STATEMENT FOR SBA FORM 468</w:t>
      </w:r>
    </w:p>
    <w:p w:rsidR="001C6489" w:rsidRDefault="001C6489" w:rsidP="001C6489">
      <w:pPr>
        <w:tabs>
          <w:tab w:val="left" w:pos="-720"/>
        </w:tabs>
        <w:suppressAutoHyphens/>
        <w:jc w:val="center"/>
        <w:rPr>
          <w:spacing w:val="-3"/>
        </w:rPr>
      </w:pPr>
      <w:r>
        <w:rPr>
          <w:spacing w:val="-3"/>
        </w:rPr>
        <w:t>(INCLUDES FORMS 468.1, 468.2, 468.3 AND 468.4)</w:t>
      </w:r>
    </w:p>
    <w:p w:rsidR="002B10ED" w:rsidRPr="008218B6" w:rsidRDefault="002B10ED" w:rsidP="002B10ED">
      <w:pPr>
        <w:jc w:val="center"/>
      </w:pPr>
      <w:r w:rsidRPr="008218B6">
        <w:t>SBIC FINANCIAL REPORTS</w:t>
      </w:r>
    </w:p>
    <w:p w:rsidR="00AB7240" w:rsidRPr="008218B6" w:rsidRDefault="00AB7240">
      <w:pPr>
        <w:tabs>
          <w:tab w:val="left" w:pos="-720"/>
        </w:tabs>
        <w:suppressAutoHyphens/>
        <w:jc w:val="both"/>
        <w:rPr>
          <w:spacing w:val="-3"/>
        </w:rPr>
      </w:pPr>
    </w:p>
    <w:p w:rsidR="009F1D2E" w:rsidRPr="008218B6" w:rsidRDefault="009F1D2E">
      <w:pPr>
        <w:tabs>
          <w:tab w:val="left" w:pos="-720"/>
        </w:tabs>
        <w:suppressAutoHyphens/>
        <w:jc w:val="both"/>
        <w:rPr>
          <w:spacing w:val="-3"/>
        </w:rPr>
      </w:pPr>
    </w:p>
    <w:p w:rsidR="00421973" w:rsidRPr="008218B6" w:rsidRDefault="00421973">
      <w:pPr>
        <w:tabs>
          <w:tab w:val="left" w:pos="-720"/>
          <w:tab w:val="left" w:pos="0"/>
        </w:tabs>
        <w:suppressAutoHyphens/>
        <w:ind w:left="720" w:hanging="720"/>
        <w:jc w:val="both"/>
        <w:rPr>
          <w:spacing w:val="-3"/>
          <w:u w:val="single"/>
        </w:rPr>
      </w:pPr>
      <w:r w:rsidRPr="008218B6">
        <w:rPr>
          <w:spacing w:val="-3"/>
          <w:u w:val="single"/>
        </w:rPr>
        <w:t>A.   Justification</w:t>
      </w:r>
    </w:p>
    <w:p w:rsidR="00421973" w:rsidRPr="008218B6" w:rsidRDefault="00421973">
      <w:pPr>
        <w:tabs>
          <w:tab w:val="left" w:pos="-720"/>
        </w:tabs>
        <w:suppressAutoHyphens/>
        <w:jc w:val="both"/>
        <w:rPr>
          <w:spacing w:val="-3"/>
        </w:rPr>
      </w:pPr>
    </w:p>
    <w:p w:rsidR="000925FD" w:rsidRDefault="00C26AB3" w:rsidP="000925FD">
      <w:pPr>
        <w:numPr>
          <w:ilvl w:val="0"/>
          <w:numId w:val="5"/>
        </w:numPr>
        <w:tabs>
          <w:tab w:val="left" w:pos="-720"/>
          <w:tab w:val="left" w:pos="0"/>
        </w:tabs>
        <w:suppressAutoHyphens/>
        <w:rPr>
          <w:spacing w:val="-3"/>
        </w:rPr>
      </w:pPr>
      <w:r w:rsidRPr="008218B6">
        <w:rPr>
          <w:u w:val="single"/>
        </w:rPr>
        <w:t>Circumstances necessitating the collection of information.</w:t>
      </w:r>
      <w:r w:rsidRPr="008218B6">
        <w:t xml:space="preserve">  </w:t>
      </w:r>
      <w:r w:rsidR="00421973" w:rsidRPr="008218B6">
        <w:rPr>
          <w:spacing w:val="-3"/>
        </w:rPr>
        <w:t xml:space="preserve">The Small Business Investment Act of 1958, as amended (Act), authorizes the Small Business Administration (SBA) to license Small Business Investment Companies (SBICs) and to regulate their operations.  </w:t>
      </w:r>
      <w:r w:rsidR="00577DBB" w:rsidRPr="008218B6">
        <w:rPr>
          <w:spacing w:val="-3"/>
        </w:rPr>
        <w:t>Section 310(d</w:t>
      </w:r>
      <w:proofErr w:type="gramStart"/>
      <w:r w:rsidR="00577DBB" w:rsidRPr="008218B6">
        <w:rPr>
          <w:spacing w:val="-3"/>
        </w:rPr>
        <w:t>)(</w:t>
      </w:r>
      <w:proofErr w:type="gramEnd"/>
      <w:r w:rsidR="00577DBB" w:rsidRPr="008218B6">
        <w:rPr>
          <w:spacing w:val="-3"/>
        </w:rPr>
        <w:t xml:space="preserve">1)(C)(i) of the Act  requires each SBIC to submit audited financial statements to SBA at least annually.  Section 310(b) provides that each SBIC shall make such reports to SBA at such times and in such form as SBA may require.  </w:t>
      </w:r>
      <w:r w:rsidR="000D718F" w:rsidRPr="008218B6">
        <w:rPr>
          <w:spacing w:val="-3"/>
        </w:rPr>
        <w:t xml:space="preserve">SBA regulations (13 CFR 107.630) </w:t>
      </w:r>
      <w:r w:rsidR="00500BB2" w:rsidRPr="008218B6">
        <w:rPr>
          <w:spacing w:val="-3"/>
        </w:rPr>
        <w:t xml:space="preserve">require SBICs to submit annual </w:t>
      </w:r>
      <w:r w:rsidR="000D718F" w:rsidRPr="008218B6">
        <w:rPr>
          <w:spacing w:val="-3"/>
        </w:rPr>
        <w:t xml:space="preserve">financial statements on SBA Form 468.  </w:t>
      </w:r>
      <w:r w:rsidR="00421973" w:rsidRPr="008218B6">
        <w:rPr>
          <w:spacing w:val="-3"/>
        </w:rPr>
        <w:t xml:space="preserve">Form 468.1 </w:t>
      </w:r>
      <w:r w:rsidR="00500BB2" w:rsidRPr="008218B6">
        <w:rPr>
          <w:spacing w:val="-3"/>
        </w:rPr>
        <w:t xml:space="preserve">is used </w:t>
      </w:r>
      <w:r w:rsidR="00421973" w:rsidRPr="008218B6">
        <w:rPr>
          <w:spacing w:val="-3"/>
        </w:rPr>
        <w:t xml:space="preserve">for corporations and Form 468.2 </w:t>
      </w:r>
      <w:r w:rsidR="00500BB2" w:rsidRPr="008218B6">
        <w:rPr>
          <w:spacing w:val="-3"/>
        </w:rPr>
        <w:t xml:space="preserve">is used </w:t>
      </w:r>
      <w:r w:rsidR="00421973" w:rsidRPr="008218B6">
        <w:rPr>
          <w:spacing w:val="-3"/>
        </w:rPr>
        <w:t xml:space="preserve">for partnerships.  Under certain circumstances, </w:t>
      </w:r>
      <w:r w:rsidR="00F91CD8" w:rsidRPr="008218B6">
        <w:rPr>
          <w:spacing w:val="-3"/>
        </w:rPr>
        <w:t xml:space="preserve">13 CFR 107.630 and 107.1220 also require </w:t>
      </w:r>
      <w:r w:rsidR="00421973" w:rsidRPr="008218B6">
        <w:rPr>
          <w:spacing w:val="-3"/>
        </w:rPr>
        <w:t xml:space="preserve">SBICs to file </w:t>
      </w:r>
      <w:r w:rsidR="00500BB2" w:rsidRPr="008218B6">
        <w:rPr>
          <w:spacing w:val="-3"/>
        </w:rPr>
        <w:t xml:space="preserve">quarterly financial statements </w:t>
      </w:r>
      <w:r w:rsidR="00421973" w:rsidRPr="008218B6">
        <w:rPr>
          <w:spacing w:val="-3"/>
        </w:rPr>
        <w:t xml:space="preserve">on Form 468, </w:t>
      </w:r>
      <w:r w:rsidR="00500BB2" w:rsidRPr="008218B6">
        <w:rPr>
          <w:spacing w:val="-3"/>
        </w:rPr>
        <w:t>using</w:t>
      </w:r>
      <w:r w:rsidR="00421973" w:rsidRPr="008218B6">
        <w:rPr>
          <w:spacing w:val="-3"/>
        </w:rPr>
        <w:t xml:space="preserve"> Form 468.3 for partnerships or Form 468.4 for corporations.  The </w:t>
      </w:r>
      <w:r w:rsidR="00500BB2" w:rsidRPr="008218B6">
        <w:rPr>
          <w:spacing w:val="-3"/>
        </w:rPr>
        <w:t>q</w:t>
      </w:r>
      <w:r w:rsidR="00421973" w:rsidRPr="008218B6">
        <w:rPr>
          <w:spacing w:val="-3"/>
        </w:rPr>
        <w:t xml:space="preserve">uarterly </w:t>
      </w:r>
      <w:r w:rsidR="00500BB2" w:rsidRPr="008218B6">
        <w:rPr>
          <w:spacing w:val="-3"/>
        </w:rPr>
        <w:t xml:space="preserve">financial statements </w:t>
      </w:r>
      <w:r w:rsidR="00421973" w:rsidRPr="008218B6">
        <w:rPr>
          <w:spacing w:val="-3"/>
        </w:rPr>
        <w:t xml:space="preserve">consist of selected pages from the </w:t>
      </w:r>
      <w:r w:rsidR="00500BB2" w:rsidRPr="008218B6">
        <w:rPr>
          <w:spacing w:val="-3"/>
        </w:rPr>
        <w:t>a</w:t>
      </w:r>
      <w:r w:rsidR="00421973" w:rsidRPr="008218B6">
        <w:rPr>
          <w:spacing w:val="-3"/>
        </w:rPr>
        <w:t xml:space="preserve">nnual </w:t>
      </w:r>
      <w:r w:rsidR="00500BB2" w:rsidRPr="008218B6">
        <w:rPr>
          <w:spacing w:val="-3"/>
        </w:rPr>
        <w:t>financial statements</w:t>
      </w:r>
      <w:r w:rsidR="00AB7240">
        <w:rPr>
          <w:spacing w:val="-3"/>
        </w:rPr>
        <w:t>.</w:t>
      </w:r>
    </w:p>
    <w:p w:rsidR="00F66AA4" w:rsidRPr="008218B6" w:rsidRDefault="00F66AA4" w:rsidP="00F66AA4">
      <w:pPr>
        <w:tabs>
          <w:tab w:val="left" w:pos="-720"/>
          <w:tab w:val="left" w:pos="0"/>
        </w:tabs>
        <w:suppressAutoHyphens/>
        <w:rPr>
          <w:spacing w:val="-3"/>
        </w:rPr>
      </w:pPr>
    </w:p>
    <w:p w:rsidR="001B36B3" w:rsidRDefault="005509C4" w:rsidP="00F46550">
      <w:pPr>
        <w:ind w:left="360"/>
      </w:pPr>
      <w:r>
        <w:t xml:space="preserve">In 2011, OMB approved </w:t>
      </w:r>
      <w:r w:rsidR="00D169A0">
        <w:t xml:space="preserve">a </w:t>
      </w:r>
      <w:r>
        <w:t xml:space="preserve">number of revisions </w:t>
      </w:r>
      <w:r w:rsidR="00F46550" w:rsidRPr="008218B6">
        <w:t>to the for</w:t>
      </w:r>
      <w:r w:rsidR="00D169A0">
        <w:t>m</w:t>
      </w:r>
      <w:r w:rsidR="00AB7240">
        <w:t>s</w:t>
      </w:r>
      <w:r>
        <w:t xml:space="preserve"> that provided for collection of expanded information on the financial performance of SBICs and the individual companies in which they have invested.  After gaining experience </w:t>
      </w:r>
      <w:r w:rsidR="004015DC">
        <w:t>using</w:t>
      </w:r>
      <w:r>
        <w:t xml:space="preserve"> this new information, SBA has found some</w:t>
      </w:r>
      <w:r w:rsidR="004015DC">
        <w:t xml:space="preserve"> </w:t>
      </w:r>
      <w:r>
        <w:t xml:space="preserve">data </w:t>
      </w:r>
      <w:r w:rsidR="004015DC">
        <w:t xml:space="preserve">that </w:t>
      </w:r>
      <w:r>
        <w:t xml:space="preserve">can be collected less frequently and </w:t>
      </w:r>
      <w:r w:rsidR="004015DC">
        <w:t xml:space="preserve">other data that can be collected in a format that lessens the burden on respondents.  As a result, SBA is </w:t>
      </w:r>
      <w:r>
        <w:t xml:space="preserve">proposing </w:t>
      </w:r>
      <w:r w:rsidR="004015DC">
        <w:t>revisions to the current forms to implement these changes</w:t>
      </w:r>
      <w:r w:rsidR="001C6489">
        <w:t xml:space="preserve">, along with </w:t>
      </w:r>
      <w:r w:rsidR="003E7C94">
        <w:t xml:space="preserve">one correction to conform </w:t>
      </w:r>
      <w:r w:rsidR="00694A7C">
        <w:t>to</w:t>
      </w:r>
      <w:r w:rsidR="003E7C94">
        <w:t xml:space="preserve"> current regulations and </w:t>
      </w:r>
      <w:r w:rsidR="001C6489">
        <w:t xml:space="preserve">minor </w:t>
      </w:r>
      <w:r w:rsidR="003E7C94">
        <w:t>caption changes to improve clarity</w:t>
      </w:r>
      <w:r w:rsidR="001C6489">
        <w:t>.</w:t>
      </w:r>
      <w:r>
        <w:t xml:space="preserve"> </w:t>
      </w:r>
    </w:p>
    <w:p w:rsidR="001B36B3" w:rsidRDefault="001B36B3" w:rsidP="00F46550">
      <w:pPr>
        <w:ind w:left="360"/>
      </w:pPr>
    </w:p>
    <w:p w:rsidR="001C6489" w:rsidRDefault="001C6489" w:rsidP="00F46550">
      <w:pPr>
        <w:ind w:left="360"/>
      </w:pPr>
      <w:r>
        <w:t>Details of these changes are as follows:</w:t>
      </w:r>
    </w:p>
    <w:p w:rsidR="001C6489" w:rsidRDefault="001C6489" w:rsidP="00F46550">
      <w:pPr>
        <w:ind w:left="360"/>
      </w:pPr>
    </w:p>
    <w:p w:rsidR="00383A14" w:rsidRDefault="00383A14" w:rsidP="00F46550">
      <w:pPr>
        <w:ind w:left="360"/>
        <w:rPr>
          <w:b/>
          <w:u w:val="single"/>
        </w:rPr>
      </w:pPr>
      <w:r>
        <w:rPr>
          <w:b/>
          <w:u w:val="single"/>
        </w:rPr>
        <w:t>Cover Page</w:t>
      </w:r>
      <w:r w:rsidR="00184690">
        <w:rPr>
          <w:b/>
          <w:u w:val="single"/>
        </w:rPr>
        <w:t>, page 1</w:t>
      </w:r>
    </w:p>
    <w:p w:rsidR="00383A14" w:rsidRDefault="00383A14" w:rsidP="00F46550">
      <w:pPr>
        <w:ind w:left="360"/>
        <w:rPr>
          <w:b/>
          <w:u w:val="single"/>
        </w:rPr>
      </w:pPr>
    </w:p>
    <w:p w:rsidR="00383A14" w:rsidRPr="00EB127A" w:rsidRDefault="00383A14" w:rsidP="00383A14">
      <w:pPr>
        <w:numPr>
          <w:ilvl w:val="0"/>
          <w:numId w:val="8"/>
        </w:numPr>
        <w:ind w:hanging="360"/>
        <w:rPr>
          <w:szCs w:val="24"/>
        </w:rPr>
      </w:pPr>
      <w:r w:rsidRPr="00EB127A">
        <w:rPr>
          <w:szCs w:val="24"/>
        </w:rPr>
        <w:t>D</w:t>
      </w:r>
      <w:r w:rsidRPr="00EB127A">
        <w:rPr>
          <w:szCs w:val="24"/>
        </w:rPr>
        <w:t xml:space="preserve">elete </w:t>
      </w:r>
      <w:r w:rsidRPr="00EB127A">
        <w:rPr>
          <w:szCs w:val="24"/>
        </w:rPr>
        <w:t xml:space="preserve">“Net IRR and Gross IRR” fields.  </w:t>
      </w:r>
      <w:r w:rsidR="00EC5162" w:rsidRPr="00EB127A">
        <w:rPr>
          <w:szCs w:val="24"/>
        </w:rPr>
        <w:t xml:space="preserve">Some </w:t>
      </w:r>
      <w:r w:rsidRPr="00EB127A">
        <w:rPr>
          <w:szCs w:val="24"/>
        </w:rPr>
        <w:t xml:space="preserve">SBICs commented that they were unsure how to calculate these figures.  SBA’s </w:t>
      </w:r>
      <w:r w:rsidRPr="00EB127A">
        <w:rPr>
          <w:szCs w:val="24"/>
        </w:rPr>
        <w:t xml:space="preserve">intention was to capture the same IRR information that SBICs provide to their limited partners in the ordinary course of business, without requiring them to perform any special calculations for the purpose of reporting on Form 468.  However, given the apparent variation in calculation methods, SBA </w:t>
      </w:r>
      <w:r w:rsidR="00EC5162" w:rsidRPr="00EB127A">
        <w:rPr>
          <w:szCs w:val="24"/>
        </w:rPr>
        <w:t xml:space="preserve">has determined that </w:t>
      </w:r>
      <w:r w:rsidRPr="00EB127A">
        <w:rPr>
          <w:szCs w:val="24"/>
        </w:rPr>
        <w:t xml:space="preserve">the </w:t>
      </w:r>
      <w:r w:rsidR="00EC5162" w:rsidRPr="00EB127A">
        <w:rPr>
          <w:szCs w:val="24"/>
        </w:rPr>
        <w:t xml:space="preserve">analytical value of these </w:t>
      </w:r>
      <w:r w:rsidRPr="00EB127A">
        <w:rPr>
          <w:szCs w:val="24"/>
        </w:rPr>
        <w:t>two fields</w:t>
      </w:r>
      <w:r w:rsidR="00EC5162" w:rsidRPr="00EB127A">
        <w:rPr>
          <w:szCs w:val="24"/>
        </w:rPr>
        <w:t xml:space="preserve"> is not sufficient to justify their inclusion</w:t>
      </w:r>
      <w:r w:rsidRPr="00EB127A">
        <w:rPr>
          <w:szCs w:val="24"/>
        </w:rPr>
        <w:t>.</w:t>
      </w:r>
    </w:p>
    <w:p w:rsidR="00383A14" w:rsidRDefault="00383A14" w:rsidP="00F46550">
      <w:pPr>
        <w:ind w:left="360"/>
      </w:pPr>
    </w:p>
    <w:p w:rsidR="001C6489" w:rsidRDefault="001C6489" w:rsidP="001C6489">
      <w:pPr>
        <w:ind w:left="360"/>
        <w:rPr>
          <w:b/>
          <w:u w:val="single"/>
        </w:rPr>
      </w:pPr>
      <w:r>
        <w:rPr>
          <w:b/>
          <w:u w:val="single"/>
        </w:rPr>
        <w:t xml:space="preserve">Schedule of </w:t>
      </w:r>
      <w:r w:rsidR="001566FA">
        <w:rPr>
          <w:b/>
          <w:u w:val="single"/>
        </w:rPr>
        <w:t xml:space="preserve">Regulatory and </w:t>
      </w:r>
      <w:proofErr w:type="spellStart"/>
      <w:r w:rsidR="001566FA">
        <w:rPr>
          <w:b/>
          <w:u w:val="single"/>
        </w:rPr>
        <w:t>Leverageable</w:t>
      </w:r>
      <w:proofErr w:type="spellEnd"/>
      <w:r w:rsidR="001566FA">
        <w:rPr>
          <w:b/>
          <w:u w:val="single"/>
        </w:rPr>
        <w:t xml:space="preserve"> Capital,</w:t>
      </w:r>
      <w:r>
        <w:rPr>
          <w:b/>
          <w:u w:val="single"/>
        </w:rPr>
        <w:t xml:space="preserve"> page </w:t>
      </w:r>
      <w:r w:rsidR="001566FA">
        <w:rPr>
          <w:b/>
          <w:u w:val="single"/>
        </w:rPr>
        <w:t>8</w:t>
      </w:r>
    </w:p>
    <w:p w:rsidR="001566FA" w:rsidRDefault="001566FA" w:rsidP="001C6489">
      <w:pPr>
        <w:ind w:left="360"/>
        <w:rPr>
          <w:b/>
          <w:u w:val="single"/>
        </w:rPr>
      </w:pPr>
    </w:p>
    <w:p w:rsidR="001566FA" w:rsidRDefault="001566FA" w:rsidP="00953D08">
      <w:pPr>
        <w:numPr>
          <w:ilvl w:val="0"/>
          <w:numId w:val="8"/>
        </w:numPr>
        <w:spacing w:after="120"/>
        <w:ind w:hanging="360"/>
      </w:pPr>
      <w:r w:rsidRPr="00DB6495">
        <w:rPr>
          <w:b/>
        </w:rPr>
        <w:t xml:space="preserve">For </w:t>
      </w:r>
      <w:r>
        <w:rPr>
          <w:b/>
        </w:rPr>
        <w:t xml:space="preserve">partnership </w:t>
      </w:r>
      <w:r w:rsidRPr="00DB6495">
        <w:rPr>
          <w:b/>
        </w:rPr>
        <w:t>SBICs</w:t>
      </w:r>
      <w:r>
        <w:rPr>
          <w:b/>
        </w:rPr>
        <w:t>,</w:t>
      </w:r>
      <w:r>
        <w:t xml:space="preserve"> delete Part </w:t>
      </w:r>
      <w:proofErr w:type="spellStart"/>
      <w:r>
        <w:t>IIa</w:t>
      </w:r>
      <w:proofErr w:type="spellEnd"/>
      <w:r>
        <w:t xml:space="preserve"> from Forms 468.2 (annual) and 468.3 (quarterly).  The calculation in this section relates to a provision in 13 CFR 107.740 that was removed in 2009.</w:t>
      </w:r>
    </w:p>
    <w:p w:rsidR="001566FA" w:rsidRDefault="001566FA" w:rsidP="001566FA">
      <w:pPr>
        <w:numPr>
          <w:ilvl w:val="0"/>
          <w:numId w:val="8"/>
        </w:numPr>
        <w:ind w:hanging="360"/>
      </w:pPr>
      <w:r>
        <w:rPr>
          <w:b/>
        </w:rPr>
        <w:lastRenderedPageBreak/>
        <w:t>For corporate SBICs,</w:t>
      </w:r>
      <w:r>
        <w:t xml:space="preserve"> delete lines 14 and 15 of Part </w:t>
      </w:r>
      <w:proofErr w:type="spellStart"/>
      <w:r>
        <w:t>IIa</w:t>
      </w:r>
      <w:proofErr w:type="spellEnd"/>
      <w:r>
        <w:t xml:space="preserve"> from Forms 468.1 (annual) and 468.4 (quarterly), for the same reason.  </w:t>
      </w:r>
    </w:p>
    <w:p w:rsidR="001C6489" w:rsidRDefault="001C6489" w:rsidP="00F46550">
      <w:pPr>
        <w:ind w:left="360"/>
      </w:pPr>
    </w:p>
    <w:p w:rsidR="003C5414" w:rsidRDefault="003C5414" w:rsidP="00F46550">
      <w:pPr>
        <w:ind w:left="360"/>
        <w:rPr>
          <w:b/>
          <w:u w:val="single"/>
        </w:rPr>
      </w:pPr>
      <w:r>
        <w:rPr>
          <w:b/>
          <w:u w:val="single"/>
        </w:rPr>
        <w:t>Schedule of Loans and Investments</w:t>
      </w:r>
      <w:r w:rsidR="00105917">
        <w:rPr>
          <w:b/>
          <w:u w:val="single"/>
        </w:rPr>
        <w:t xml:space="preserve"> (Schedule 1)</w:t>
      </w:r>
      <w:r>
        <w:rPr>
          <w:b/>
          <w:u w:val="single"/>
        </w:rPr>
        <w:t>, page 11</w:t>
      </w:r>
    </w:p>
    <w:p w:rsidR="003C5414" w:rsidRDefault="003C5414" w:rsidP="00F46550">
      <w:pPr>
        <w:ind w:left="360"/>
        <w:rPr>
          <w:b/>
          <w:u w:val="single"/>
        </w:rPr>
      </w:pPr>
    </w:p>
    <w:p w:rsidR="00360E5A" w:rsidRDefault="00D02444" w:rsidP="00360E5A">
      <w:pPr>
        <w:numPr>
          <w:ilvl w:val="0"/>
          <w:numId w:val="8"/>
        </w:numPr>
        <w:ind w:hanging="360"/>
      </w:pPr>
      <w:r>
        <w:t>R</w:t>
      </w:r>
      <w:r w:rsidR="00360E5A">
        <w:t xml:space="preserve">emove portfolio company information designated as “unaudited” and move it to a separate schedule that will be designated as “unaudited” in its entirety (see “Unaudited Portfolio Company Information”, Schedule 8, below).  This change responds to concerns about higher audit costs for SBICs that may result from </w:t>
      </w:r>
      <w:r w:rsidR="00360E5A" w:rsidRPr="00484551">
        <w:t xml:space="preserve">the mixing of “audited” and “unaudited” information on the Schedule of Loans and Investments.  </w:t>
      </w:r>
      <w:r w:rsidR="00360E5A">
        <w:t>A</w:t>
      </w:r>
      <w:r w:rsidR="00360E5A" w:rsidRPr="00484551">
        <w:t xml:space="preserve">uditors </w:t>
      </w:r>
      <w:r w:rsidR="00360E5A">
        <w:t xml:space="preserve">have </w:t>
      </w:r>
      <w:r w:rsidR="00360E5A" w:rsidRPr="00484551">
        <w:t xml:space="preserve">explained </w:t>
      </w:r>
      <w:r w:rsidR="00360E5A">
        <w:t>that a mixed presentation require</w:t>
      </w:r>
      <w:r w:rsidR="00105917">
        <w:t>s</w:t>
      </w:r>
      <w:r w:rsidR="00360E5A">
        <w:t xml:space="preserve"> them </w:t>
      </w:r>
      <w:r w:rsidR="00360E5A" w:rsidRPr="00484551">
        <w:t xml:space="preserve">to perform substantial review procedures on even the unaudited information, and they advocated moving the unaudited portfolio company information to a separate schedule.  </w:t>
      </w:r>
    </w:p>
    <w:p w:rsidR="00360E5A" w:rsidRDefault="00360E5A" w:rsidP="00360E5A">
      <w:pPr>
        <w:ind w:left="720"/>
      </w:pPr>
    </w:p>
    <w:p w:rsidR="004A0428" w:rsidRDefault="004A0428" w:rsidP="004A0428">
      <w:pPr>
        <w:ind w:left="360"/>
        <w:rPr>
          <w:b/>
          <w:u w:val="single"/>
        </w:rPr>
      </w:pPr>
      <w:r>
        <w:rPr>
          <w:b/>
          <w:u w:val="single"/>
        </w:rPr>
        <w:t>Unaudited Portfolio Company</w:t>
      </w:r>
      <w:r w:rsidR="00916E5E">
        <w:rPr>
          <w:b/>
          <w:u w:val="single"/>
        </w:rPr>
        <w:t xml:space="preserve"> Information (</w:t>
      </w:r>
      <w:r w:rsidR="00417946">
        <w:rPr>
          <w:b/>
          <w:u w:val="single"/>
        </w:rPr>
        <w:t>Schedule 8</w:t>
      </w:r>
      <w:r w:rsidR="00916E5E">
        <w:rPr>
          <w:b/>
          <w:u w:val="single"/>
        </w:rPr>
        <w:t>)</w:t>
      </w:r>
    </w:p>
    <w:p w:rsidR="004A0428" w:rsidRDefault="004A0428" w:rsidP="004A0428">
      <w:pPr>
        <w:ind w:left="720"/>
      </w:pPr>
    </w:p>
    <w:p w:rsidR="00417946" w:rsidRPr="00417946" w:rsidRDefault="000E434B" w:rsidP="00953D08">
      <w:pPr>
        <w:numPr>
          <w:ilvl w:val="0"/>
          <w:numId w:val="8"/>
        </w:numPr>
        <w:spacing w:after="120"/>
        <w:ind w:hanging="360"/>
      </w:pPr>
      <w:r>
        <w:t>This is a n</w:t>
      </w:r>
      <w:r w:rsidR="00417946">
        <w:t>ew schedule, but</w:t>
      </w:r>
      <w:r>
        <w:t xml:space="preserve"> </w:t>
      </w:r>
      <w:r w:rsidR="00AC2C77">
        <w:t>it is not collecting any new information.  A</w:t>
      </w:r>
      <w:r>
        <w:t xml:space="preserve">ll of the content was previously included in </w:t>
      </w:r>
      <w:r w:rsidR="00916E5E">
        <w:t xml:space="preserve">Schedule 1.  </w:t>
      </w:r>
      <w:r w:rsidR="00105917">
        <w:t xml:space="preserve">As discussed above, </w:t>
      </w:r>
      <w:r w:rsidR="00916E5E">
        <w:t xml:space="preserve">SBA is separating the audited information that will remain in Schedule 1 from </w:t>
      </w:r>
      <w:r w:rsidR="00105917">
        <w:t xml:space="preserve">the unaudited information </w:t>
      </w:r>
      <w:r w:rsidR="00916E5E">
        <w:t>that will move to Schedule 8.</w:t>
      </w:r>
    </w:p>
    <w:p w:rsidR="004A0428" w:rsidRDefault="00D02444" w:rsidP="00953D08">
      <w:pPr>
        <w:numPr>
          <w:ilvl w:val="0"/>
          <w:numId w:val="8"/>
        </w:numPr>
        <w:spacing w:after="120"/>
        <w:ind w:hanging="360"/>
      </w:pPr>
      <w:r>
        <w:t>R</w:t>
      </w:r>
      <w:r w:rsidR="004A0428">
        <w:t xml:space="preserve">emove the “Rounds of Financing/Waterfall” fields and instead allow SBICs to upload </w:t>
      </w:r>
      <w:r w:rsidR="00BA21CB">
        <w:t>a .pdf copy of this</w:t>
      </w:r>
      <w:r w:rsidR="004A0428">
        <w:t xml:space="preserve"> information in any </w:t>
      </w:r>
      <w:r w:rsidR="00BA21CB">
        <w:t xml:space="preserve">layout </w:t>
      </w:r>
      <w:r w:rsidR="004A0428">
        <w:t>they have available.  SBICs, in the ordinary course of business, maintain “capitalization tables” that provide information about rounds of financing, participation by other investors, preferences held by the various classes of securities</w:t>
      </w:r>
      <w:r w:rsidR="00BA21CB">
        <w:t>, etc.</w:t>
      </w:r>
      <w:r w:rsidR="004A0428">
        <w:t xml:space="preserve">  Although the format of these tables may vary, nearly all have content sufficient to meet SBA’s analytical needs.  This change will benefit respondents by reducing the amount of input required to complete the forms.  In addition, once information has been uploaded for a given portfolio company, the SBIC will not need to re-submit unless and until there is a material change, such as a new round of financing.</w:t>
      </w:r>
    </w:p>
    <w:p w:rsidR="00BC762F" w:rsidRDefault="00BC762F" w:rsidP="00953D08">
      <w:pPr>
        <w:numPr>
          <w:ilvl w:val="0"/>
          <w:numId w:val="8"/>
        </w:numPr>
        <w:spacing w:after="120"/>
        <w:ind w:hanging="360"/>
      </w:pPr>
      <w:r>
        <w:t>Remove the following fields applicable to portfolio companies of SBICs that have been transferred to the Office of Liquidation</w:t>
      </w:r>
      <w:r w:rsidR="00A2293A">
        <w:t xml:space="preserve">, and instead allow the SBICs to upload </w:t>
      </w:r>
      <w:r w:rsidR="00BA21CB">
        <w:t>a .pdf copy of this</w:t>
      </w:r>
      <w:r w:rsidR="00A2293A">
        <w:t xml:space="preserve"> information in any </w:t>
      </w:r>
      <w:r w:rsidR="00BA21CB">
        <w:t xml:space="preserve">layout </w:t>
      </w:r>
      <w:r w:rsidR="00A2293A">
        <w:t>they have available</w:t>
      </w:r>
      <w:r>
        <w:t>:</w:t>
      </w:r>
    </w:p>
    <w:p w:rsidR="00BC762F" w:rsidRDefault="00BC762F" w:rsidP="00953D08">
      <w:pPr>
        <w:numPr>
          <w:ilvl w:val="1"/>
          <w:numId w:val="26"/>
        </w:numPr>
        <w:tabs>
          <w:tab w:val="clear" w:pos="1800"/>
        </w:tabs>
        <w:ind w:left="1080"/>
      </w:pPr>
      <w:r>
        <w:t>Negative Covenants:  ROFR – Right of First Refusal; COA – Co-sale Agreement; and Other.</w:t>
      </w:r>
    </w:p>
    <w:p w:rsidR="00BC762F" w:rsidRDefault="00BC762F" w:rsidP="00953D08">
      <w:pPr>
        <w:numPr>
          <w:ilvl w:val="1"/>
          <w:numId w:val="26"/>
        </w:numPr>
        <w:tabs>
          <w:tab w:val="clear" w:pos="1800"/>
        </w:tabs>
        <w:ind w:left="1080"/>
      </w:pPr>
      <w:r>
        <w:t>Board Rights:  Whether the SBIC holds a Board Seat; has Board observation rights; appoints the Board Chairperson.</w:t>
      </w:r>
    </w:p>
    <w:p w:rsidR="00BC762F" w:rsidRDefault="00BC762F" w:rsidP="00953D08">
      <w:pPr>
        <w:numPr>
          <w:ilvl w:val="1"/>
          <w:numId w:val="26"/>
        </w:numPr>
        <w:tabs>
          <w:tab w:val="clear" w:pos="1800"/>
        </w:tabs>
        <w:ind w:left="1080"/>
      </w:pPr>
      <w:r>
        <w:t xml:space="preserve">Other Rights:  </w:t>
      </w:r>
      <w:r w:rsidR="00A2293A">
        <w:t>W</w:t>
      </w:r>
      <w:r>
        <w:t xml:space="preserve">hether </w:t>
      </w:r>
      <w:r w:rsidR="00A2293A">
        <w:t xml:space="preserve">the SBIC </w:t>
      </w:r>
      <w:r>
        <w:t>has any of the following rights:  Veto and “Springing” (right that comes into existence upon the occurrence of an event).</w:t>
      </w:r>
    </w:p>
    <w:p w:rsidR="00BC762F" w:rsidRDefault="00BC762F" w:rsidP="00BC762F"/>
    <w:p w:rsidR="00417946" w:rsidRPr="00417946" w:rsidRDefault="00417946" w:rsidP="00417946">
      <w:pPr>
        <w:ind w:left="360"/>
        <w:rPr>
          <w:b/>
          <w:u w:val="single"/>
        </w:rPr>
      </w:pPr>
      <w:r w:rsidRPr="00417946">
        <w:rPr>
          <w:b/>
          <w:u w:val="single"/>
        </w:rPr>
        <w:t>SBIC Cumulative Investment Performance</w:t>
      </w:r>
      <w:r w:rsidR="00916E5E">
        <w:rPr>
          <w:b/>
          <w:u w:val="single"/>
        </w:rPr>
        <w:t xml:space="preserve"> (Schedule 9)</w:t>
      </w:r>
      <w:r w:rsidRPr="00417946">
        <w:rPr>
          <w:b/>
          <w:u w:val="single"/>
        </w:rPr>
        <w:t xml:space="preserve">, annual Form 468.2 for partnership SBICs </w:t>
      </w:r>
      <w:r w:rsidR="00916E5E">
        <w:rPr>
          <w:b/>
          <w:u w:val="single"/>
        </w:rPr>
        <w:t>only</w:t>
      </w:r>
    </w:p>
    <w:p w:rsidR="00DC5FFF" w:rsidRDefault="00DC5FFF" w:rsidP="004A0428">
      <w:pPr>
        <w:ind w:left="360"/>
      </w:pPr>
    </w:p>
    <w:p w:rsidR="00702429" w:rsidRDefault="00D02444" w:rsidP="00953D08">
      <w:pPr>
        <w:numPr>
          <w:ilvl w:val="0"/>
          <w:numId w:val="8"/>
        </w:numPr>
        <w:spacing w:after="120"/>
        <w:ind w:hanging="360"/>
      </w:pPr>
      <w:r>
        <w:t>D</w:t>
      </w:r>
      <w:r w:rsidR="00702429">
        <w:t xml:space="preserve">esignate this schedule as “unaudited” </w:t>
      </w:r>
      <w:r w:rsidR="001E7BCB">
        <w:t xml:space="preserve">in the interest of holding down audit costs </w:t>
      </w:r>
      <w:r w:rsidR="001E7BCB">
        <w:lastRenderedPageBreak/>
        <w:t>incurred by SBICs.</w:t>
      </w:r>
    </w:p>
    <w:p w:rsidR="008A25F3" w:rsidRDefault="00D02444" w:rsidP="00953D08">
      <w:pPr>
        <w:numPr>
          <w:ilvl w:val="0"/>
          <w:numId w:val="8"/>
        </w:numPr>
        <w:spacing w:after="120"/>
        <w:ind w:hanging="360"/>
      </w:pPr>
      <w:r>
        <w:t xml:space="preserve">Renumber this schedule as Schedule 9 (changed from Schedule 5 </w:t>
      </w:r>
      <w:r w:rsidR="008A25F3">
        <w:t>in the currently approved Form 468.2</w:t>
      </w:r>
      <w:r>
        <w:t>)</w:t>
      </w:r>
      <w:r w:rsidR="00702429">
        <w:t>, so that it will be grouped with other unaudited information</w:t>
      </w:r>
      <w:r w:rsidR="008A25F3">
        <w:t>.</w:t>
      </w:r>
    </w:p>
    <w:p w:rsidR="008831DA" w:rsidRPr="008831DA" w:rsidRDefault="001E7BCB" w:rsidP="00953D08">
      <w:pPr>
        <w:numPr>
          <w:ilvl w:val="0"/>
          <w:numId w:val="8"/>
        </w:numPr>
        <w:spacing w:after="120"/>
        <w:ind w:hanging="360"/>
      </w:pPr>
      <w:r w:rsidRPr="008831DA">
        <w:t>Require the information</w:t>
      </w:r>
      <w:r w:rsidR="00360E5A" w:rsidRPr="008831DA">
        <w:t xml:space="preserve"> on a </w:t>
      </w:r>
      <w:r w:rsidR="008831DA">
        <w:t>going-forward</w:t>
      </w:r>
      <w:r w:rsidR="00360E5A" w:rsidRPr="008831DA">
        <w:t xml:space="preserve"> basis only.</w:t>
      </w:r>
      <w:r w:rsidRPr="008831DA">
        <w:t xml:space="preserve">  SBICs may provide historical information voluntarily if they have it readily available.  </w:t>
      </w:r>
      <w:r w:rsidR="008831DA" w:rsidRPr="008831DA">
        <w:t xml:space="preserve">When </w:t>
      </w:r>
      <w:r w:rsidR="008831DA">
        <w:t xml:space="preserve">this schedule was added in </w:t>
      </w:r>
      <w:r w:rsidR="008831DA" w:rsidRPr="008831DA">
        <w:t xml:space="preserve">2011, SBA believed that most SBICs </w:t>
      </w:r>
      <w:r w:rsidR="008831DA">
        <w:t xml:space="preserve">tracked </w:t>
      </w:r>
      <w:r w:rsidR="00BA21CB">
        <w:t xml:space="preserve">individual </w:t>
      </w:r>
      <w:r w:rsidR="008831DA">
        <w:t>investment cash flows in the ordinary course of business, but learned that many did not routinely maintain historical information at the necessary level of detail.</w:t>
      </w:r>
      <w:r w:rsidR="008831DA" w:rsidRPr="008831DA">
        <w:t xml:space="preserve">  </w:t>
      </w:r>
      <w:r w:rsidR="008831DA">
        <w:t>SBA still considers it important to build up a database of investment cash flows over time by collecting this information prospectively.  The information collected in this schedule will aid SBA in assessing the risks within individual SBIC portfolios and determining the characteristics of investments that are successful or unsuccessful in the program.</w:t>
      </w:r>
    </w:p>
    <w:p w:rsidR="00953D08" w:rsidRDefault="001E7BCB" w:rsidP="00953D08">
      <w:pPr>
        <w:numPr>
          <w:ilvl w:val="0"/>
          <w:numId w:val="8"/>
        </w:numPr>
        <w:spacing w:after="120"/>
        <w:ind w:hanging="360"/>
      </w:pPr>
      <w:r>
        <w:t>Require the information on an annual basis only.  Quarterly updates provide SBA with minimal incremental benefit that does not justify the add</w:t>
      </w:r>
      <w:r w:rsidR="00953D08">
        <w:t>itional burden on respondents.</w:t>
      </w:r>
    </w:p>
    <w:p w:rsidR="00953D08" w:rsidRPr="003C5414" w:rsidRDefault="00953D08" w:rsidP="00953D08">
      <w:pPr>
        <w:numPr>
          <w:ilvl w:val="0"/>
          <w:numId w:val="8"/>
        </w:numPr>
        <w:ind w:hanging="360"/>
      </w:pPr>
      <w:r>
        <w:t>This schedule will continue to apply only to partnership SBICs that have issued SBA leverage or have outstanding SBA leverage commitments.</w:t>
      </w:r>
    </w:p>
    <w:p w:rsidR="00360E5A" w:rsidRPr="00360E5A" w:rsidRDefault="00360E5A" w:rsidP="00360E5A">
      <w:pPr>
        <w:ind w:left="360"/>
      </w:pPr>
    </w:p>
    <w:p w:rsidR="00881738" w:rsidRPr="008218B6" w:rsidRDefault="00C26AB3" w:rsidP="00C26AB3">
      <w:pPr>
        <w:numPr>
          <w:ilvl w:val="0"/>
          <w:numId w:val="5"/>
        </w:numPr>
        <w:tabs>
          <w:tab w:val="left" w:pos="-720"/>
          <w:tab w:val="left" w:pos="0"/>
        </w:tabs>
        <w:suppressAutoHyphens/>
        <w:rPr>
          <w:spacing w:val="-3"/>
        </w:rPr>
      </w:pPr>
      <w:r w:rsidRPr="008218B6">
        <w:rPr>
          <w:u w:val="single"/>
        </w:rPr>
        <w:t>How, by whom, and for what purpose information will be used.</w:t>
      </w:r>
      <w:r w:rsidRPr="008218B6">
        <w:t xml:space="preserve">  </w:t>
      </w:r>
      <w:r w:rsidR="00421973" w:rsidRPr="008218B6">
        <w:rPr>
          <w:spacing w:val="-3"/>
        </w:rPr>
        <w:t>SBA Form 468 contains financial statements and supplementary information which are reviewed and analyzed by SB</w:t>
      </w:r>
      <w:r w:rsidR="00C01037" w:rsidRPr="008218B6">
        <w:rPr>
          <w:spacing w:val="-3"/>
        </w:rPr>
        <w:t xml:space="preserve">A </w:t>
      </w:r>
      <w:r w:rsidR="00421973" w:rsidRPr="008218B6">
        <w:rPr>
          <w:spacing w:val="-3"/>
        </w:rPr>
        <w:t xml:space="preserve">staff to evaluate the financial condition of individual </w:t>
      </w:r>
      <w:r w:rsidR="00C01037" w:rsidRPr="008218B6">
        <w:rPr>
          <w:spacing w:val="-3"/>
        </w:rPr>
        <w:t xml:space="preserve">SBICs and </w:t>
      </w:r>
      <w:r w:rsidR="00500BB2" w:rsidRPr="008218B6">
        <w:rPr>
          <w:spacing w:val="-3"/>
        </w:rPr>
        <w:t xml:space="preserve">determine an individual SBIC’s compliance with its </w:t>
      </w:r>
      <w:r w:rsidR="00C01037" w:rsidRPr="008218B6">
        <w:rPr>
          <w:spacing w:val="-3"/>
        </w:rPr>
        <w:t>business plan and with overall program</w:t>
      </w:r>
      <w:r w:rsidR="00500BB2" w:rsidRPr="008218B6">
        <w:rPr>
          <w:spacing w:val="-3"/>
        </w:rPr>
        <w:t xml:space="preserve"> requirements</w:t>
      </w:r>
      <w:r w:rsidR="00C01037" w:rsidRPr="008218B6">
        <w:rPr>
          <w:spacing w:val="-3"/>
        </w:rPr>
        <w:t>.</w:t>
      </w:r>
      <w:r w:rsidR="00421973" w:rsidRPr="008218B6">
        <w:rPr>
          <w:spacing w:val="-3"/>
        </w:rPr>
        <w:t xml:space="preserve">  The information in Form 468 is the primary source of information used to determine the creditworthiness of SBICs seeking Federal financial assistance and to monitor the financial condition of these SBICs after such assistance is provided.  </w:t>
      </w:r>
      <w:r w:rsidR="00500BB2" w:rsidRPr="008218B6">
        <w:rPr>
          <w:spacing w:val="-3"/>
        </w:rPr>
        <w:t>In addition, information on Form 468 is used to evaluate an individual SBIC’s compliance</w:t>
      </w:r>
      <w:r w:rsidR="00AC2C77">
        <w:rPr>
          <w:spacing w:val="-3"/>
        </w:rPr>
        <w:t xml:space="preserve"> with certain regulations, such as the activity requirements in 13 CFR 107.590 and the portfolio diversification requirements in 13 CFR 107.740</w:t>
      </w:r>
      <w:r w:rsidR="00500BB2" w:rsidRPr="008218B6">
        <w:rPr>
          <w:spacing w:val="-3"/>
        </w:rPr>
        <w:t xml:space="preserve">.  </w:t>
      </w:r>
      <w:r w:rsidR="00AC2C77">
        <w:rPr>
          <w:spacing w:val="-3"/>
        </w:rPr>
        <w:t>The information collected on Form 468</w:t>
      </w:r>
      <w:r w:rsidR="00421973" w:rsidRPr="008218B6">
        <w:rPr>
          <w:spacing w:val="-3"/>
        </w:rPr>
        <w:t xml:space="preserve"> is essential for the protection of the government’s financial interest.</w:t>
      </w:r>
    </w:p>
    <w:p w:rsidR="00881738" w:rsidRPr="008218B6" w:rsidRDefault="00881738" w:rsidP="00881738">
      <w:pPr>
        <w:tabs>
          <w:tab w:val="left" w:pos="-720"/>
          <w:tab w:val="left" w:pos="0"/>
        </w:tabs>
        <w:suppressAutoHyphens/>
        <w:rPr>
          <w:spacing w:val="-3"/>
        </w:rPr>
      </w:pPr>
    </w:p>
    <w:p w:rsidR="00421973" w:rsidRPr="008218B6" w:rsidRDefault="00881738" w:rsidP="00881738">
      <w:pPr>
        <w:tabs>
          <w:tab w:val="left" w:pos="-720"/>
          <w:tab w:val="left" w:pos="360"/>
        </w:tabs>
        <w:suppressAutoHyphens/>
        <w:ind w:left="360"/>
        <w:rPr>
          <w:spacing w:val="-3"/>
        </w:rPr>
      </w:pPr>
      <w:r w:rsidRPr="008218B6">
        <w:rPr>
          <w:spacing w:val="-3"/>
        </w:rPr>
        <w:t>SBA also pools financial information provided by individual SBICs to analyze the SBIC program as a whole</w:t>
      </w:r>
      <w:r w:rsidR="00E44537" w:rsidRPr="008218B6">
        <w:rPr>
          <w:spacing w:val="-3"/>
        </w:rPr>
        <w:t xml:space="preserve"> with respect to the risk of financial loss to the government and the impact of SBIC financings on the growth of small business.</w:t>
      </w:r>
    </w:p>
    <w:p w:rsidR="00421973" w:rsidRPr="008218B6" w:rsidRDefault="00421973">
      <w:pPr>
        <w:tabs>
          <w:tab w:val="left" w:pos="-720"/>
          <w:tab w:val="left" w:pos="0"/>
        </w:tabs>
        <w:suppressAutoHyphens/>
        <w:ind w:left="720" w:hanging="720"/>
        <w:rPr>
          <w:spacing w:val="-3"/>
        </w:rPr>
      </w:pPr>
      <w:r w:rsidRPr="008218B6">
        <w:rPr>
          <w:spacing w:val="-3"/>
        </w:rPr>
        <w:tab/>
      </w:r>
    </w:p>
    <w:p w:rsidR="00421973" w:rsidRPr="008218B6" w:rsidRDefault="00C26AB3" w:rsidP="00C26AB3">
      <w:pPr>
        <w:numPr>
          <w:ilvl w:val="0"/>
          <w:numId w:val="5"/>
        </w:numPr>
        <w:tabs>
          <w:tab w:val="left" w:pos="-720"/>
          <w:tab w:val="left" w:pos="0"/>
        </w:tabs>
        <w:suppressAutoHyphens/>
        <w:rPr>
          <w:spacing w:val="-3"/>
        </w:rPr>
      </w:pPr>
      <w:r w:rsidRPr="008218B6">
        <w:rPr>
          <w:u w:val="single"/>
        </w:rPr>
        <w:t>Technological collection techniques.</w:t>
      </w:r>
      <w:r w:rsidRPr="008218B6">
        <w:t xml:space="preserve">  </w:t>
      </w:r>
      <w:r w:rsidR="00EE143C">
        <w:t xml:space="preserve">In 2013, SBA implemented a new Web-based reporting system for SBICs that replaced the previous Access-based reporting software.  The </w:t>
      </w:r>
      <w:r w:rsidR="002B724B">
        <w:t>SBIC-Web</w:t>
      </w:r>
      <w:r w:rsidR="00EE143C">
        <w:t xml:space="preserve"> system was designed to streamline Form 468 creation by integrating schedules and </w:t>
      </w:r>
      <w:r w:rsidR="002B724B">
        <w:t xml:space="preserve">using available information to </w:t>
      </w:r>
      <w:r w:rsidR="00EE143C">
        <w:t>pre-populat</w:t>
      </w:r>
      <w:r w:rsidR="002B724B">
        <w:t>e</w:t>
      </w:r>
      <w:r w:rsidR="00EE143C">
        <w:t xml:space="preserve"> </w:t>
      </w:r>
      <w:r w:rsidR="002B724B">
        <w:t>as many fields as possible.  For example, information about new f</w:t>
      </w:r>
      <w:bookmarkStart w:id="0" w:name="_GoBack"/>
      <w:bookmarkEnd w:id="0"/>
      <w:r w:rsidR="002B724B">
        <w:t xml:space="preserve">inancings submitted on SBA Form 1031 is automatically transferred to the Schedule of Loans and Investments in SBA Form 468.  The new system also simplifies submission of data files created within the application, eliminating the need to transmit files to SBA by email or on a CD.  </w:t>
      </w:r>
      <w:r w:rsidR="002B724B">
        <w:lastRenderedPageBreak/>
        <w:t xml:space="preserve">Finally, SBIC-Web allows SBICs to upload supplemental information (such as the auditor’s report on the annual financial statements) in .pdf files.  </w:t>
      </w:r>
      <w:r w:rsidR="00DA6C2A">
        <w:rPr>
          <w:spacing w:val="-3"/>
        </w:rPr>
        <w:t>SBA believes this move to online form completion and submission will be more convenient for respondents.</w:t>
      </w:r>
      <w:r w:rsidR="00421973" w:rsidRPr="008218B6">
        <w:rPr>
          <w:spacing w:val="-3"/>
        </w:rPr>
        <w:t xml:space="preserve"> </w:t>
      </w:r>
    </w:p>
    <w:p w:rsidR="00953D08" w:rsidRDefault="00953D08" w:rsidP="00953D08"/>
    <w:p w:rsidR="00EC5162" w:rsidRDefault="00EC5162" w:rsidP="00EC5162">
      <w:pPr>
        <w:ind w:left="360"/>
      </w:pPr>
      <w:r w:rsidRPr="00EC5162">
        <w:t>Beginning with financial statements filed on SBA Form 468 for the year ended 12/31/14, the SBIC program will no longer require submission of paper copies with wet signatures. </w:t>
      </w:r>
    </w:p>
    <w:p w:rsidR="00EC5162" w:rsidRDefault="00EC5162" w:rsidP="00953D08"/>
    <w:p w:rsidR="00421973" w:rsidRPr="008218B6" w:rsidRDefault="00C26AB3" w:rsidP="00C26AB3">
      <w:pPr>
        <w:numPr>
          <w:ilvl w:val="0"/>
          <w:numId w:val="5"/>
        </w:numPr>
        <w:tabs>
          <w:tab w:val="left" w:pos="-720"/>
          <w:tab w:val="left" w:pos="0"/>
        </w:tabs>
        <w:suppressAutoHyphens/>
        <w:rPr>
          <w:spacing w:val="-3"/>
        </w:rPr>
      </w:pPr>
      <w:r w:rsidRPr="008218B6">
        <w:rPr>
          <w:u w:val="single"/>
        </w:rPr>
        <w:t>Avoidance of Duplication.</w:t>
      </w:r>
      <w:r w:rsidRPr="008218B6">
        <w:t xml:space="preserve">  </w:t>
      </w:r>
      <w:r w:rsidR="00E71A89" w:rsidRPr="008218B6">
        <w:t xml:space="preserve">Most SBICs are privately held and </w:t>
      </w:r>
      <w:r w:rsidR="00421973" w:rsidRPr="008218B6">
        <w:rPr>
          <w:spacing w:val="-3"/>
        </w:rPr>
        <w:t xml:space="preserve">SBA Form 468 is </w:t>
      </w:r>
      <w:r w:rsidR="00E71A89" w:rsidRPr="008218B6">
        <w:rPr>
          <w:spacing w:val="-3"/>
        </w:rPr>
        <w:t xml:space="preserve">generally </w:t>
      </w:r>
      <w:r w:rsidR="00421973" w:rsidRPr="008218B6">
        <w:rPr>
          <w:spacing w:val="-3"/>
        </w:rPr>
        <w:t xml:space="preserve">the only financial report prepared by </w:t>
      </w:r>
      <w:r w:rsidR="00E71A89" w:rsidRPr="008218B6">
        <w:rPr>
          <w:spacing w:val="-3"/>
        </w:rPr>
        <w:t xml:space="preserve">such </w:t>
      </w:r>
      <w:r w:rsidR="00421973" w:rsidRPr="008218B6">
        <w:rPr>
          <w:spacing w:val="-3"/>
        </w:rPr>
        <w:t>SBICs</w:t>
      </w:r>
      <w:r w:rsidR="00E71A89" w:rsidRPr="008218B6">
        <w:rPr>
          <w:spacing w:val="-3"/>
        </w:rPr>
        <w:t>.</w:t>
      </w:r>
      <w:r w:rsidR="00421973" w:rsidRPr="008218B6">
        <w:rPr>
          <w:spacing w:val="-3"/>
        </w:rPr>
        <w:t xml:space="preserve">  </w:t>
      </w:r>
      <w:r w:rsidR="000E0B1B">
        <w:rPr>
          <w:spacing w:val="-3"/>
        </w:rPr>
        <w:t>Some</w:t>
      </w:r>
      <w:r w:rsidR="00421973" w:rsidRPr="008218B6">
        <w:rPr>
          <w:spacing w:val="-3"/>
        </w:rPr>
        <w:t xml:space="preserve"> SBICs </w:t>
      </w:r>
      <w:r w:rsidR="000E0B1B">
        <w:rPr>
          <w:spacing w:val="-3"/>
        </w:rPr>
        <w:t xml:space="preserve">do </w:t>
      </w:r>
      <w:r w:rsidR="00E71A89" w:rsidRPr="008218B6">
        <w:rPr>
          <w:spacing w:val="-3"/>
        </w:rPr>
        <w:t>prepare other financial reports</w:t>
      </w:r>
      <w:r w:rsidR="000E0B1B">
        <w:rPr>
          <w:spacing w:val="-3"/>
        </w:rPr>
        <w:t xml:space="preserve"> or are included in consolidated financial reports, such as </w:t>
      </w:r>
      <w:r w:rsidR="00E71A89" w:rsidRPr="008218B6">
        <w:rPr>
          <w:spacing w:val="-3"/>
        </w:rPr>
        <w:t xml:space="preserve">SBICs that </w:t>
      </w:r>
      <w:r w:rsidR="00421973" w:rsidRPr="008218B6">
        <w:rPr>
          <w:spacing w:val="-3"/>
        </w:rPr>
        <w:t xml:space="preserve">are </w:t>
      </w:r>
      <w:r w:rsidR="00DA6C2A">
        <w:rPr>
          <w:spacing w:val="-3"/>
        </w:rPr>
        <w:t xml:space="preserve">owned by public companies </w:t>
      </w:r>
      <w:r w:rsidR="00421973" w:rsidRPr="008218B6">
        <w:rPr>
          <w:spacing w:val="-3"/>
        </w:rPr>
        <w:t>regulated by the Securities and Exchange Commission (SEC)</w:t>
      </w:r>
      <w:r w:rsidR="00DA6C2A">
        <w:rPr>
          <w:spacing w:val="-3"/>
        </w:rPr>
        <w:t xml:space="preserve">.  </w:t>
      </w:r>
      <w:r w:rsidR="00421973" w:rsidRPr="008218B6">
        <w:rPr>
          <w:spacing w:val="-3"/>
        </w:rPr>
        <w:t xml:space="preserve">Form 468 is designed to provide information specific to SBIC regulatory and program requirements and does not duplicate </w:t>
      </w:r>
      <w:r w:rsidR="000E0B1B">
        <w:rPr>
          <w:spacing w:val="-3"/>
        </w:rPr>
        <w:t>reports</w:t>
      </w:r>
      <w:r w:rsidR="00421973" w:rsidRPr="008218B6">
        <w:rPr>
          <w:spacing w:val="-3"/>
        </w:rPr>
        <w:t xml:space="preserve"> required by the SEC.</w:t>
      </w:r>
    </w:p>
    <w:p w:rsidR="00421973" w:rsidRPr="008218B6" w:rsidRDefault="00421973">
      <w:pPr>
        <w:tabs>
          <w:tab w:val="left" w:pos="-720"/>
        </w:tabs>
        <w:suppressAutoHyphens/>
        <w:rPr>
          <w:spacing w:val="-3"/>
        </w:rPr>
      </w:pPr>
    </w:p>
    <w:p w:rsidR="00421973" w:rsidRPr="008218B6" w:rsidRDefault="00172CB8" w:rsidP="006A6A06">
      <w:pPr>
        <w:numPr>
          <w:ilvl w:val="0"/>
          <w:numId w:val="5"/>
        </w:numPr>
        <w:tabs>
          <w:tab w:val="left" w:pos="-720"/>
          <w:tab w:val="left" w:pos="0"/>
        </w:tabs>
        <w:suppressAutoHyphens/>
        <w:rPr>
          <w:spacing w:val="-3"/>
        </w:rPr>
      </w:pPr>
      <w:r w:rsidRPr="008218B6">
        <w:rPr>
          <w:u w:val="single"/>
        </w:rPr>
        <w:t>Impact on small business or other small entities.</w:t>
      </w:r>
      <w:r w:rsidRPr="008218B6">
        <w:t xml:space="preserve">  </w:t>
      </w:r>
      <w:r w:rsidR="00421973" w:rsidRPr="008218B6">
        <w:rPr>
          <w:spacing w:val="-3"/>
        </w:rPr>
        <w:t>Th</w:t>
      </w:r>
      <w:r w:rsidR="003D5F75" w:rsidRPr="008218B6">
        <w:rPr>
          <w:spacing w:val="-3"/>
        </w:rPr>
        <w:t xml:space="preserve">e only entities required to complete Form 468 are licensed SBICs, a majority of </w:t>
      </w:r>
      <w:r w:rsidR="0017490B" w:rsidRPr="008218B6">
        <w:rPr>
          <w:spacing w:val="-3"/>
        </w:rPr>
        <w:t xml:space="preserve">which are small entities; however, the </w:t>
      </w:r>
      <w:r w:rsidR="002A4797" w:rsidRPr="008218B6">
        <w:rPr>
          <w:spacing w:val="-3"/>
        </w:rPr>
        <w:t xml:space="preserve">economic impact on these entities is not </w:t>
      </w:r>
      <w:r w:rsidR="00421973" w:rsidRPr="008218B6">
        <w:rPr>
          <w:spacing w:val="-3"/>
        </w:rPr>
        <w:t>significant</w:t>
      </w:r>
      <w:r w:rsidR="0017490B" w:rsidRPr="008218B6">
        <w:rPr>
          <w:spacing w:val="-3"/>
        </w:rPr>
        <w:t xml:space="preserve">.  The information requested on Form 468 is primarily the type of information that any investment company must maintain in the ordinary course of business, i.e., basic financial statements plus information about the company’s investments and their current value.  </w:t>
      </w:r>
      <w:r w:rsidR="004F1429" w:rsidRPr="008218B6">
        <w:rPr>
          <w:spacing w:val="-3"/>
        </w:rPr>
        <w:t xml:space="preserve">The remainder of the collection is limited to the information needed </w:t>
      </w:r>
      <w:r w:rsidR="006A6A06" w:rsidRPr="008218B6">
        <w:rPr>
          <w:spacing w:val="-3"/>
        </w:rPr>
        <w:t xml:space="preserve">to show whether the SBIC is in compliance with specific regulations </w:t>
      </w:r>
      <w:r w:rsidR="004F1429" w:rsidRPr="008218B6">
        <w:rPr>
          <w:spacing w:val="-3"/>
        </w:rPr>
        <w:t xml:space="preserve">such as those </w:t>
      </w:r>
      <w:r w:rsidR="006A6A06" w:rsidRPr="008218B6">
        <w:rPr>
          <w:spacing w:val="-3"/>
        </w:rPr>
        <w:t xml:space="preserve">governing permitted distributions, capital impairment, </w:t>
      </w:r>
      <w:r w:rsidR="004F1429" w:rsidRPr="008218B6">
        <w:rPr>
          <w:spacing w:val="-3"/>
        </w:rPr>
        <w:t xml:space="preserve">and </w:t>
      </w:r>
      <w:r w:rsidR="006A6A06" w:rsidRPr="008218B6">
        <w:rPr>
          <w:spacing w:val="-3"/>
        </w:rPr>
        <w:t>activity requirements</w:t>
      </w:r>
      <w:r w:rsidR="004F1429" w:rsidRPr="008218B6">
        <w:rPr>
          <w:spacing w:val="-3"/>
        </w:rPr>
        <w:t>.</w:t>
      </w:r>
      <w:r w:rsidR="006A6A06" w:rsidRPr="008218B6">
        <w:rPr>
          <w:spacing w:val="-3"/>
        </w:rPr>
        <w:t xml:space="preserve">  </w:t>
      </w:r>
    </w:p>
    <w:p w:rsidR="006A6A06" w:rsidRPr="008218B6" w:rsidRDefault="006A6A06" w:rsidP="006A6A06">
      <w:pPr>
        <w:tabs>
          <w:tab w:val="left" w:pos="-720"/>
          <w:tab w:val="left" w:pos="0"/>
        </w:tabs>
        <w:suppressAutoHyphens/>
        <w:rPr>
          <w:spacing w:val="-3"/>
        </w:rPr>
      </w:pPr>
    </w:p>
    <w:p w:rsidR="00421973" w:rsidRPr="008218B6" w:rsidRDefault="00172CB8" w:rsidP="00172CB8">
      <w:pPr>
        <w:numPr>
          <w:ilvl w:val="0"/>
          <w:numId w:val="5"/>
        </w:numPr>
        <w:tabs>
          <w:tab w:val="left" w:pos="-720"/>
        </w:tabs>
        <w:suppressAutoHyphens/>
        <w:rPr>
          <w:spacing w:val="-3"/>
        </w:rPr>
      </w:pPr>
      <w:r w:rsidRPr="008218B6">
        <w:rPr>
          <w:u w:val="single"/>
        </w:rPr>
        <w:t>Consequences if collection of information is not conducted.</w:t>
      </w:r>
      <w:r w:rsidRPr="008218B6">
        <w:t xml:space="preserve">  </w:t>
      </w:r>
      <w:r w:rsidR="00421973" w:rsidRPr="008218B6">
        <w:rPr>
          <w:spacing w:val="-3"/>
        </w:rPr>
        <w:t>SBA Form 468 is designed to provide information needed to evaluate the operating effectiveness, regulatory compliance, and financial soundness of SBICs.  SBA requires such information in order to protect the government's financial interest (as the largest</w:t>
      </w:r>
      <w:r w:rsidR="00AB7240">
        <w:rPr>
          <w:spacing w:val="-3"/>
        </w:rPr>
        <w:t xml:space="preserve"> investor or creditor</w:t>
      </w:r>
      <w:r w:rsidR="00421973" w:rsidRPr="008218B6">
        <w:rPr>
          <w:spacing w:val="-3"/>
        </w:rPr>
        <w:t xml:space="preserve"> of most SBICs) and to ensure that SBICs are operating in accordance with the </w:t>
      </w:r>
      <w:r w:rsidR="00E71A89" w:rsidRPr="008218B6">
        <w:rPr>
          <w:spacing w:val="-3"/>
        </w:rPr>
        <w:t xml:space="preserve">regulatory requirements and </w:t>
      </w:r>
      <w:r w:rsidR="00421973" w:rsidRPr="008218B6">
        <w:rPr>
          <w:spacing w:val="-3"/>
        </w:rPr>
        <w:t>public purposes of the program.</w:t>
      </w:r>
    </w:p>
    <w:p w:rsidR="00421973" w:rsidRPr="008218B6" w:rsidRDefault="00421973">
      <w:pPr>
        <w:tabs>
          <w:tab w:val="left" w:pos="-720"/>
        </w:tabs>
        <w:suppressAutoHyphens/>
        <w:rPr>
          <w:spacing w:val="-3"/>
        </w:rPr>
      </w:pPr>
    </w:p>
    <w:p w:rsidR="00421973" w:rsidRPr="008218B6" w:rsidRDefault="00172CB8" w:rsidP="00172CB8">
      <w:pPr>
        <w:numPr>
          <w:ilvl w:val="0"/>
          <w:numId w:val="5"/>
        </w:numPr>
        <w:tabs>
          <w:tab w:val="left" w:pos="-720"/>
          <w:tab w:val="left" w:pos="0"/>
        </w:tabs>
        <w:suppressAutoHyphens/>
        <w:rPr>
          <w:spacing w:val="-3"/>
        </w:rPr>
      </w:pPr>
      <w:r w:rsidRPr="008218B6">
        <w:rPr>
          <w:u w:val="single"/>
        </w:rPr>
        <w:t>Existence of special circumstances.</w:t>
      </w:r>
      <w:r w:rsidRPr="008218B6">
        <w:t xml:space="preserve">  </w:t>
      </w:r>
      <w:r w:rsidR="00421973" w:rsidRPr="008218B6">
        <w:rPr>
          <w:spacing w:val="-3"/>
        </w:rPr>
        <w:t>There are no special circumstances that would cause the conditions described.</w:t>
      </w:r>
    </w:p>
    <w:p w:rsidR="00421973" w:rsidRPr="008218B6" w:rsidRDefault="00421973">
      <w:pPr>
        <w:tabs>
          <w:tab w:val="left" w:pos="-720"/>
        </w:tabs>
        <w:suppressAutoHyphens/>
        <w:rPr>
          <w:spacing w:val="-3"/>
        </w:rPr>
      </w:pPr>
    </w:p>
    <w:p w:rsidR="00172CB8" w:rsidRPr="008218B6" w:rsidRDefault="00172CB8" w:rsidP="00172CB8">
      <w:pPr>
        <w:pStyle w:val="BodyTextIndent"/>
        <w:numPr>
          <w:ilvl w:val="0"/>
          <w:numId w:val="5"/>
        </w:numPr>
      </w:pPr>
      <w:r w:rsidRPr="008218B6">
        <w:rPr>
          <w:u w:val="single"/>
        </w:rPr>
        <w:t>Solicitation of public comment.</w:t>
      </w:r>
      <w:r w:rsidRPr="008218B6">
        <w:t xml:space="preserve">  A notice was published in the Federal Register on </w:t>
      </w:r>
      <w:r w:rsidR="00C066E2">
        <w:t>September 25</w:t>
      </w:r>
      <w:r w:rsidR="00700081" w:rsidRPr="008218B6">
        <w:t>,</w:t>
      </w:r>
      <w:r w:rsidRPr="008218B6">
        <w:t xml:space="preserve"> 20</w:t>
      </w:r>
      <w:r w:rsidR="00B03A25">
        <w:t>1</w:t>
      </w:r>
      <w:r w:rsidR="00C066E2">
        <w:t>3</w:t>
      </w:r>
      <w:r w:rsidRPr="008218B6">
        <w:t xml:space="preserve">, Volume </w:t>
      </w:r>
      <w:r w:rsidR="00700081" w:rsidRPr="008218B6">
        <w:t>7</w:t>
      </w:r>
      <w:r w:rsidR="00C066E2">
        <w:t>8</w:t>
      </w:r>
      <w:r w:rsidRPr="008218B6">
        <w:t xml:space="preserve">, Number </w:t>
      </w:r>
      <w:r w:rsidR="00B03A25">
        <w:t>1</w:t>
      </w:r>
      <w:r w:rsidR="00C066E2">
        <w:t>86</w:t>
      </w:r>
      <w:r w:rsidRPr="008218B6">
        <w:t xml:space="preserve">, page </w:t>
      </w:r>
      <w:r w:rsidR="00C066E2">
        <w:t>59080</w:t>
      </w:r>
      <w:r w:rsidRPr="008218B6">
        <w:t>.  No comments were received</w:t>
      </w:r>
    </w:p>
    <w:p w:rsidR="00172CB8" w:rsidRPr="008218B6" w:rsidRDefault="00172CB8" w:rsidP="00172CB8">
      <w:pPr>
        <w:pStyle w:val="BodyTextIndent"/>
        <w:ind w:left="0" w:firstLine="0"/>
      </w:pPr>
    </w:p>
    <w:p w:rsidR="00172CB8" w:rsidRPr="008218B6" w:rsidRDefault="00172CB8" w:rsidP="00172CB8">
      <w:pPr>
        <w:pStyle w:val="BodyTextIndent"/>
        <w:numPr>
          <w:ilvl w:val="0"/>
          <w:numId w:val="5"/>
        </w:numPr>
      </w:pPr>
      <w:r w:rsidRPr="008218B6">
        <w:rPr>
          <w:u w:val="single"/>
        </w:rPr>
        <w:t>Payment or gifts.</w:t>
      </w:r>
      <w:r w:rsidRPr="008218B6">
        <w:t xml:space="preserve">  No payments or gifts are provided to respondents.</w:t>
      </w:r>
    </w:p>
    <w:p w:rsidR="00421973" w:rsidRPr="008218B6" w:rsidRDefault="00421973">
      <w:pPr>
        <w:tabs>
          <w:tab w:val="left" w:pos="-720"/>
        </w:tabs>
        <w:suppressAutoHyphens/>
        <w:rPr>
          <w:spacing w:val="-3"/>
        </w:rPr>
      </w:pPr>
    </w:p>
    <w:p w:rsidR="00172CB8" w:rsidRPr="008218B6" w:rsidRDefault="00172CB8" w:rsidP="00172CB8">
      <w:pPr>
        <w:widowControl/>
        <w:numPr>
          <w:ilvl w:val="0"/>
          <w:numId w:val="5"/>
        </w:numPr>
      </w:pPr>
      <w:r w:rsidRPr="008218B6">
        <w:rPr>
          <w:u w:val="single"/>
        </w:rPr>
        <w:t>Assurance of confidentiality.</w:t>
      </w:r>
      <w:r w:rsidRPr="008218B6">
        <w:t xml:space="preserve">   The information collected includes financial data of SBIC</w:t>
      </w:r>
      <w:r w:rsidR="00700081" w:rsidRPr="008218B6">
        <w:t>s and their portfolio companies</w:t>
      </w:r>
      <w:r w:rsidRPr="008218B6">
        <w:t xml:space="preserve">, which </w:t>
      </w:r>
      <w:r w:rsidR="00700081" w:rsidRPr="008218B6">
        <w:t>are</w:t>
      </w:r>
      <w:r w:rsidRPr="008218B6">
        <w:t xml:space="preserve"> protected from disclosure under the Freedom of Information Act; specifically, exemptions 4</w:t>
      </w:r>
      <w:r w:rsidR="00E71A89" w:rsidRPr="008218B6">
        <w:t xml:space="preserve">, </w:t>
      </w:r>
      <w:r w:rsidRPr="008218B6">
        <w:t xml:space="preserve">6 </w:t>
      </w:r>
      <w:r w:rsidR="00E71A89" w:rsidRPr="008218B6">
        <w:t xml:space="preserve">and 8 </w:t>
      </w:r>
      <w:r w:rsidRPr="008218B6">
        <w:t xml:space="preserve">allow SBA to </w:t>
      </w:r>
      <w:r w:rsidRPr="008218B6">
        <w:lastRenderedPageBreak/>
        <w:t>withhold financial data on individual companies.  The information collected will be protected to the extent permitted by law.</w:t>
      </w:r>
    </w:p>
    <w:p w:rsidR="00421973" w:rsidRPr="008218B6" w:rsidRDefault="00421973">
      <w:pPr>
        <w:tabs>
          <w:tab w:val="left" w:pos="-720"/>
        </w:tabs>
        <w:suppressAutoHyphens/>
        <w:rPr>
          <w:spacing w:val="-3"/>
        </w:rPr>
      </w:pPr>
    </w:p>
    <w:p w:rsidR="00421973" w:rsidRPr="008218B6" w:rsidRDefault="00016A80" w:rsidP="00016A80">
      <w:pPr>
        <w:numPr>
          <w:ilvl w:val="0"/>
          <w:numId w:val="5"/>
        </w:numPr>
        <w:tabs>
          <w:tab w:val="left" w:pos="-720"/>
          <w:tab w:val="left" w:pos="0"/>
        </w:tabs>
        <w:suppressAutoHyphens/>
        <w:rPr>
          <w:spacing w:val="-3"/>
        </w:rPr>
      </w:pPr>
      <w:r w:rsidRPr="008218B6">
        <w:rPr>
          <w:u w:val="single"/>
        </w:rPr>
        <w:t>Questions of a sensitive nature.</w:t>
      </w:r>
      <w:r w:rsidRPr="008218B6">
        <w:t xml:space="preserve">  </w:t>
      </w:r>
      <w:r w:rsidR="00421973" w:rsidRPr="008218B6">
        <w:rPr>
          <w:spacing w:val="-3"/>
        </w:rPr>
        <w:t>No questions of a sensitive nature are asked.</w:t>
      </w:r>
    </w:p>
    <w:p w:rsidR="00172CB8" w:rsidRPr="008218B6" w:rsidRDefault="00172CB8" w:rsidP="00172CB8">
      <w:pPr>
        <w:tabs>
          <w:tab w:val="left" w:pos="-720"/>
        </w:tabs>
        <w:suppressAutoHyphens/>
        <w:rPr>
          <w:spacing w:val="-3"/>
        </w:rPr>
      </w:pPr>
    </w:p>
    <w:p w:rsidR="003F51C3" w:rsidRDefault="00016A80" w:rsidP="003F51C3">
      <w:pPr>
        <w:numPr>
          <w:ilvl w:val="0"/>
          <w:numId w:val="5"/>
        </w:numPr>
        <w:tabs>
          <w:tab w:val="left" w:pos="-720"/>
        </w:tabs>
        <w:suppressAutoHyphens/>
        <w:rPr>
          <w:spacing w:val="-3"/>
        </w:rPr>
      </w:pPr>
      <w:r w:rsidRPr="002A50A1">
        <w:rPr>
          <w:u w:val="single"/>
        </w:rPr>
        <w:t>Estimate of the hourly burden of the collection of information.</w:t>
      </w:r>
      <w:r w:rsidRPr="008218B6">
        <w:t xml:space="preserve">  </w:t>
      </w:r>
      <w:r w:rsidR="002A50A1">
        <w:t xml:space="preserve">A small sample of respondents was consulted regarding the amount of time required to complete the forms.  </w:t>
      </w:r>
      <w:r w:rsidR="00A2268C">
        <w:t xml:space="preserve">SBA identified two major factors affecting burden:  (1) Is the SBIC required to report quarterly or only on an annual basis?  (2) Is the SBIC required to complete </w:t>
      </w:r>
      <w:r w:rsidR="00AB7240">
        <w:t xml:space="preserve">the </w:t>
      </w:r>
      <w:r w:rsidR="00A2268C">
        <w:t>wind-up plan</w:t>
      </w:r>
      <w:r w:rsidR="00AB7240">
        <w:t xml:space="preserve"> supplement</w:t>
      </w:r>
      <w:r w:rsidR="00A2268C">
        <w:t xml:space="preserve">?  Because of these variations in reporting requirements, </w:t>
      </w:r>
      <w:r w:rsidR="003F51C3">
        <w:t xml:space="preserve">SBA has </w:t>
      </w:r>
      <w:r w:rsidR="00A2268C">
        <w:t xml:space="preserve">developed separate burden estimates for the following </w:t>
      </w:r>
      <w:r w:rsidR="005752F0">
        <w:t>categories of SBICs</w:t>
      </w:r>
      <w:r w:rsidR="00A2268C">
        <w:t>:</w:t>
      </w:r>
    </w:p>
    <w:p w:rsidR="003F51C3" w:rsidRDefault="003F51C3" w:rsidP="003F51C3">
      <w:pPr>
        <w:pStyle w:val="ListParagraph"/>
        <w:rPr>
          <w:spacing w:val="-3"/>
        </w:rPr>
      </w:pPr>
    </w:p>
    <w:p w:rsidR="003F51C3" w:rsidRDefault="00A2268C" w:rsidP="003F51C3">
      <w:pPr>
        <w:numPr>
          <w:ilvl w:val="0"/>
          <w:numId w:val="8"/>
        </w:numPr>
        <w:ind w:hanging="360"/>
      </w:pPr>
      <w:r>
        <w:t xml:space="preserve">SBICs that do not have or intend to seek SBA leverage (“non-leveraged SBICs”).  These SBICs report to SBA on an annual basis only, using corporate Form 468.1 or partnership Form 468.2, and are not required to </w:t>
      </w:r>
      <w:r w:rsidR="00AB7240">
        <w:t xml:space="preserve">complete the </w:t>
      </w:r>
      <w:r>
        <w:t>wind-up plan.</w:t>
      </w:r>
    </w:p>
    <w:p w:rsidR="00F03B0F" w:rsidRDefault="00F03B0F" w:rsidP="00F03B0F">
      <w:pPr>
        <w:numPr>
          <w:ilvl w:val="0"/>
          <w:numId w:val="8"/>
        </w:numPr>
        <w:ind w:hanging="360"/>
      </w:pPr>
      <w:r>
        <w:t xml:space="preserve">SBICs that have outstanding SBA leverage or leverage commitments (“leveraged SBIC”) and are required to </w:t>
      </w:r>
      <w:r w:rsidR="00AB7240">
        <w:t xml:space="preserve">complete the </w:t>
      </w:r>
      <w:r>
        <w:t xml:space="preserve">wind-up plan, because they either have been transferred to the Office of Liquidation or are no longer making new investments.  These SBICs file corporate Form 468.1 or partnership Form 468.2 on an annual basis, </w:t>
      </w:r>
      <w:r w:rsidRPr="00F03B0F">
        <w:rPr>
          <w:b/>
        </w:rPr>
        <w:t>including</w:t>
      </w:r>
      <w:r>
        <w:t xml:space="preserve"> the wind-up plan, and file corporate Form 468.4 or partnership Form 468.3 at the end of each fiscal quarter other than Q4, which is covered by the annual filing.</w:t>
      </w:r>
    </w:p>
    <w:p w:rsidR="003F51C3" w:rsidRDefault="00F03B0F" w:rsidP="00F03B0F">
      <w:pPr>
        <w:numPr>
          <w:ilvl w:val="0"/>
          <w:numId w:val="8"/>
        </w:numPr>
        <w:ind w:hanging="360"/>
      </w:pPr>
      <w:r>
        <w:t xml:space="preserve">Leveraged SBICs that are not required to </w:t>
      </w:r>
      <w:r w:rsidR="00AB7240">
        <w:t xml:space="preserve">complete the </w:t>
      </w:r>
      <w:r>
        <w:t xml:space="preserve">wind-up plan because they are still actively investing.  These SBICs file corporate Form 468.1 or partnership Form 468.2 on an annual basis, </w:t>
      </w:r>
      <w:r>
        <w:rPr>
          <w:b/>
        </w:rPr>
        <w:t>excluding</w:t>
      </w:r>
      <w:r>
        <w:t xml:space="preserve"> the wind-up plan, and file corporate Form 468.4 or partnership Form 468.3 at the end of each fiscal quarter other than Q4, which is covered by the annual filing.</w:t>
      </w:r>
    </w:p>
    <w:p w:rsidR="00EE3927" w:rsidRDefault="00EE3927" w:rsidP="003F51C3">
      <w:pPr>
        <w:tabs>
          <w:tab w:val="left" w:pos="-720"/>
        </w:tabs>
        <w:suppressAutoHyphens/>
        <w:ind w:left="360"/>
      </w:pPr>
    </w:p>
    <w:p w:rsidR="002A50A1" w:rsidRDefault="002A50A1" w:rsidP="003F51C3">
      <w:pPr>
        <w:tabs>
          <w:tab w:val="left" w:pos="-720"/>
        </w:tabs>
        <w:suppressAutoHyphens/>
        <w:ind w:left="360"/>
      </w:pPr>
      <w:r>
        <w:t xml:space="preserve">The estimated hour burdens for the forms are shown in the following table: </w:t>
      </w:r>
    </w:p>
    <w:p w:rsidR="002A50A1" w:rsidRDefault="002A50A1" w:rsidP="002A50A1">
      <w:pPr>
        <w:pStyle w:val="BodyTextIndent"/>
        <w:tabs>
          <w:tab w:val="clear" w:pos="450"/>
          <w:tab w:val="left" w:pos="540"/>
        </w:tabs>
        <w:ind w:left="1080" w:firstLine="0"/>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1350"/>
        <w:gridCol w:w="450"/>
        <w:gridCol w:w="1080"/>
        <w:gridCol w:w="360"/>
        <w:gridCol w:w="1170"/>
        <w:gridCol w:w="360"/>
        <w:gridCol w:w="1260"/>
      </w:tblGrid>
      <w:tr w:rsidR="002A50A1" w:rsidRPr="0044580E" w:rsidTr="001D57C6">
        <w:tc>
          <w:tcPr>
            <w:tcW w:w="3348" w:type="dxa"/>
          </w:tcPr>
          <w:p w:rsidR="002A50A1" w:rsidRPr="0044580E" w:rsidRDefault="002A50A1" w:rsidP="002A50A1">
            <w:pPr>
              <w:pStyle w:val="BodyTextIndent"/>
              <w:tabs>
                <w:tab w:val="clear" w:pos="450"/>
                <w:tab w:val="left" w:pos="540"/>
              </w:tabs>
              <w:ind w:left="1080" w:firstLine="0"/>
              <w:jc w:val="center"/>
              <w:rPr>
                <w:b/>
                <w:sz w:val="18"/>
                <w:szCs w:val="18"/>
              </w:rPr>
            </w:pPr>
          </w:p>
          <w:p w:rsidR="002A50A1" w:rsidRPr="0044580E" w:rsidRDefault="002A50A1" w:rsidP="002A50A1">
            <w:pPr>
              <w:pStyle w:val="BodyTextIndent"/>
              <w:tabs>
                <w:tab w:val="clear" w:pos="450"/>
                <w:tab w:val="left" w:pos="540"/>
              </w:tabs>
              <w:ind w:left="522" w:firstLine="0"/>
              <w:rPr>
                <w:b/>
                <w:sz w:val="18"/>
                <w:szCs w:val="18"/>
              </w:rPr>
            </w:pPr>
            <w:r w:rsidRPr="0044580E">
              <w:rPr>
                <w:b/>
                <w:sz w:val="18"/>
                <w:szCs w:val="18"/>
              </w:rPr>
              <w:t>Form Number</w:t>
            </w:r>
          </w:p>
        </w:tc>
        <w:tc>
          <w:tcPr>
            <w:tcW w:w="1350" w:type="dxa"/>
          </w:tcPr>
          <w:p w:rsidR="002A50A1" w:rsidRPr="0044580E" w:rsidRDefault="002A50A1" w:rsidP="002A50A1">
            <w:pPr>
              <w:pStyle w:val="BodyTextIndent"/>
              <w:tabs>
                <w:tab w:val="clear" w:pos="450"/>
              </w:tabs>
              <w:ind w:left="130" w:right="72" w:firstLine="0"/>
              <w:rPr>
                <w:b/>
                <w:sz w:val="18"/>
                <w:szCs w:val="18"/>
              </w:rPr>
            </w:pPr>
            <w:r w:rsidRPr="0044580E">
              <w:rPr>
                <w:b/>
                <w:sz w:val="18"/>
                <w:szCs w:val="18"/>
              </w:rPr>
              <w:t>Number  of respondents</w:t>
            </w:r>
          </w:p>
        </w:tc>
        <w:tc>
          <w:tcPr>
            <w:tcW w:w="450" w:type="dxa"/>
          </w:tcPr>
          <w:p w:rsidR="002A50A1" w:rsidRPr="0044580E" w:rsidRDefault="002A50A1" w:rsidP="002A50A1">
            <w:pPr>
              <w:pStyle w:val="BodyTextIndent"/>
              <w:tabs>
                <w:tab w:val="clear" w:pos="450"/>
                <w:tab w:val="left" w:pos="540"/>
              </w:tabs>
              <w:ind w:left="1080" w:firstLine="0"/>
              <w:jc w:val="center"/>
              <w:rPr>
                <w:b/>
                <w:sz w:val="18"/>
                <w:szCs w:val="18"/>
              </w:rPr>
            </w:pPr>
          </w:p>
          <w:p w:rsidR="002A50A1" w:rsidRPr="0044580E" w:rsidRDefault="002A50A1" w:rsidP="002A50A1">
            <w:pPr>
              <w:pStyle w:val="BodyTextIndent"/>
              <w:tabs>
                <w:tab w:val="clear" w:pos="450"/>
                <w:tab w:val="left" w:pos="-6930"/>
              </w:tabs>
              <w:ind w:left="90" w:firstLine="0"/>
              <w:rPr>
                <w:b/>
                <w:sz w:val="18"/>
                <w:szCs w:val="18"/>
              </w:rPr>
            </w:pPr>
            <w:r w:rsidRPr="0044580E">
              <w:rPr>
                <w:b/>
                <w:sz w:val="18"/>
                <w:szCs w:val="18"/>
              </w:rPr>
              <w:t>x</w:t>
            </w:r>
          </w:p>
        </w:tc>
        <w:tc>
          <w:tcPr>
            <w:tcW w:w="1080" w:type="dxa"/>
          </w:tcPr>
          <w:p w:rsidR="002A50A1" w:rsidRPr="0044580E" w:rsidRDefault="002A50A1" w:rsidP="002A50A1">
            <w:pPr>
              <w:pStyle w:val="BodyTextIndent"/>
              <w:tabs>
                <w:tab w:val="clear" w:pos="450"/>
                <w:tab w:val="left" w:pos="540"/>
              </w:tabs>
              <w:ind w:left="1080" w:firstLine="0"/>
              <w:jc w:val="center"/>
              <w:rPr>
                <w:b/>
                <w:sz w:val="18"/>
                <w:szCs w:val="18"/>
              </w:rPr>
            </w:pPr>
          </w:p>
          <w:p w:rsidR="002A50A1" w:rsidRPr="0044580E" w:rsidRDefault="002A50A1" w:rsidP="002A50A1">
            <w:pPr>
              <w:pStyle w:val="BodyTextIndent"/>
              <w:tabs>
                <w:tab w:val="clear" w:pos="450"/>
                <w:tab w:val="left" w:pos="972"/>
              </w:tabs>
              <w:ind w:left="0" w:firstLine="0"/>
              <w:rPr>
                <w:b/>
                <w:sz w:val="18"/>
                <w:szCs w:val="18"/>
              </w:rPr>
            </w:pPr>
            <w:r w:rsidRPr="0044580E">
              <w:rPr>
                <w:b/>
                <w:sz w:val="18"/>
                <w:szCs w:val="18"/>
              </w:rPr>
              <w:t>Frequency</w:t>
            </w:r>
          </w:p>
        </w:tc>
        <w:tc>
          <w:tcPr>
            <w:tcW w:w="360" w:type="dxa"/>
          </w:tcPr>
          <w:p w:rsidR="002A50A1" w:rsidRPr="0044580E" w:rsidRDefault="002A50A1" w:rsidP="002A50A1">
            <w:pPr>
              <w:pStyle w:val="BodyTextIndent"/>
              <w:tabs>
                <w:tab w:val="clear" w:pos="450"/>
                <w:tab w:val="left" w:pos="540"/>
              </w:tabs>
              <w:ind w:left="1080" w:firstLine="0"/>
              <w:jc w:val="center"/>
              <w:rPr>
                <w:b/>
                <w:sz w:val="18"/>
                <w:szCs w:val="18"/>
              </w:rPr>
            </w:pPr>
          </w:p>
          <w:p w:rsidR="002A50A1" w:rsidRPr="0044580E" w:rsidRDefault="002A50A1" w:rsidP="002A50A1">
            <w:pPr>
              <w:pStyle w:val="BodyTextIndent"/>
              <w:tabs>
                <w:tab w:val="clear" w:pos="450"/>
                <w:tab w:val="left" w:pos="-8568"/>
              </w:tabs>
              <w:ind w:left="0" w:right="350" w:firstLine="0"/>
              <w:rPr>
                <w:b/>
                <w:sz w:val="18"/>
                <w:szCs w:val="18"/>
              </w:rPr>
            </w:pPr>
            <w:r w:rsidRPr="0044580E">
              <w:rPr>
                <w:b/>
                <w:sz w:val="18"/>
                <w:szCs w:val="18"/>
              </w:rPr>
              <w:t>x</w:t>
            </w:r>
          </w:p>
        </w:tc>
        <w:tc>
          <w:tcPr>
            <w:tcW w:w="1170" w:type="dxa"/>
          </w:tcPr>
          <w:p w:rsidR="002A50A1" w:rsidRPr="0044580E" w:rsidRDefault="002A50A1" w:rsidP="00526078">
            <w:pPr>
              <w:pStyle w:val="BodyTextIndent"/>
              <w:tabs>
                <w:tab w:val="clear" w:pos="450"/>
                <w:tab w:val="left" w:pos="-9018"/>
              </w:tabs>
              <w:ind w:left="-18" w:right="162" w:firstLine="0"/>
              <w:jc w:val="right"/>
              <w:rPr>
                <w:b/>
                <w:sz w:val="18"/>
                <w:szCs w:val="18"/>
              </w:rPr>
            </w:pPr>
            <w:r w:rsidRPr="0044580E">
              <w:rPr>
                <w:b/>
                <w:sz w:val="18"/>
                <w:szCs w:val="18"/>
              </w:rPr>
              <w:t>Hours per response</w:t>
            </w:r>
          </w:p>
        </w:tc>
        <w:tc>
          <w:tcPr>
            <w:tcW w:w="360" w:type="dxa"/>
          </w:tcPr>
          <w:p w:rsidR="002A50A1" w:rsidRPr="0044580E" w:rsidRDefault="002A50A1" w:rsidP="002A50A1">
            <w:pPr>
              <w:pStyle w:val="BodyTextIndent"/>
              <w:tabs>
                <w:tab w:val="clear" w:pos="450"/>
                <w:tab w:val="left" w:pos="540"/>
              </w:tabs>
              <w:ind w:left="1080" w:firstLine="0"/>
              <w:jc w:val="center"/>
              <w:rPr>
                <w:b/>
                <w:sz w:val="18"/>
                <w:szCs w:val="18"/>
              </w:rPr>
            </w:pPr>
          </w:p>
          <w:p w:rsidR="002A50A1" w:rsidRPr="0044580E" w:rsidRDefault="002A50A1" w:rsidP="002A50A1">
            <w:pPr>
              <w:pStyle w:val="BodyTextIndent"/>
              <w:tabs>
                <w:tab w:val="clear" w:pos="450"/>
              </w:tabs>
              <w:ind w:left="0" w:firstLine="0"/>
              <w:rPr>
                <w:b/>
                <w:sz w:val="18"/>
                <w:szCs w:val="18"/>
              </w:rPr>
            </w:pPr>
            <w:r w:rsidRPr="0044580E">
              <w:rPr>
                <w:b/>
                <w:sz w:val="18"/>
                <w:szCs w:val="18"/>
              </w:rPr>
              <w:t>=</w:t>
            </w:r>
          </w:p>
        </w:tc>
        <w:tc>
          <w:tcPr>
            <w:tcW w:w="1260" w:type="dxa"/>
          </w:tcPr>
          <w:p w:rsidR="002A50A1" w:rsidRPr="0044580E" w:rsidRDefault="002A50A1" w:rsidP="00526078">
            <w:pPr>
              <w:pStyle w:val="BodyTextIndent"/>
              <w:tabs>
                <w:tab w:val="clear" w:pos="450"/>
                <w:tab w:val="left" w:pos="540"/>
              </w:tabs>
              <w:ind w:left="0" w:right="149" w:firstLine="0"/>
              <w:jc w:val="right"/>
              <w:rPr>
                <w:b/>
                <w:sz w:val="18"/>
                <w:szCs w:val="18"/>
              </w:rPr>
            </w:pPr>
            <w:r w:rsidRPr="0044580E">
              <w:rPr>
                <w:b/>
                <w:sz w:val="18"/>
                <w:szCs w:val="18"/>
              </w:rPr>
              <w:t>Total Hour Burden</w:t>
            </w:r>
          </w:p>
        </w:tc>
      </w:tr>
      <w:tr w:rsidR="002A50A1" w:rsidTr="001D57C6">
        <w:tc>
          <w:tcPr>
            <w:tcW w:w="3348" w:type="dxa"/>
          </w:tcPr>
          <w:p w:rsidR="002A50A1" w:rsidRPr="004039AA" w:rsidRDefault="002A50A1" w:rsidP="00A86A33">
            <w:pPr>
              <w:pStyle w:val="BodyTextIndent"/>
              <w:tabs>
                <w:tab w:val="clear" w:pos="450"/>
                <w:tab w:val="left" w:pos="-2070"/>
              </w:tabs>
              <w:ind w:left="0" w:firstLine="0"/>
              <w:rPr>
                <w:sz w:val="20"/>
              </w:rPr>
            </w:pPr>
            <w:r w:rsidRPr="004039AA">
              <w:rPr>
                <w:sz w:val="20"/>
              </w:rPr>
              <w:t xml:space="preserve">Form </w:t>
            </w:r>
            <w:r w:rsidR="00A86A33">
              <w:rPr>
                <w:sz w:val="20"/>
              </w:rPr>
              <w:t>468.1 – with wind-up plan</w:t>
            </w:r>
          </w:p>
        </w:tc>
        <w:tc>
          <w:tcPr>
            <w:tcW w:w="1350" w:type="dxa"/>
          </w:tcPr>
          <w:p w:rsidR="002A50A1" w:rsidRPr="004039AA" w:rsidRDefault="001D57C6" w:rsidP="00526078">
            <w:pPr>
              <w:pStyle w:val="BodyTextIndent"/>
              <w:tabs>
                <w:tab w:val="clear" w:pos="450"/>
                <w:tab w:val="left" w:pos="-2070"/>
              </w:tabs>
              <w:ind w:left="0" w:firstLine="0"/>
              <w:jc w:val="right"/>
              <w:rPr>
                <w:sz w:val="20"/>
              </w:rPr>
            </w:pPr>
            <w:r>
              <w:rPr>
                <w:sz w:val="20"/>
              </w:rPr>
              <w:t>3</w:t>
            </w:r>
          </w:p>
        </w:tc>
        <w:tc>
          <w:tcPr>
            <w:tcW w:w="450" w:type="dxa"/>
          </w:tcPr>
          <w:p w:rsidR="002A50A1" w:rsidRPr="004039AA" w:rsidRDefault="002A50A1" w:rsidP="00526078">
            <w:pPr>
              <w:pStyle w:val="BodyTextIndent"/>
              <w:tabs>
                <w:tab w:val="clear" w:pos="450"/>
                <w:tab w:val="left" w:pos="-2070"/>
              </w:tabs>
              <w:ind w:left="0" w:firstLine="0"/>
              <w:jc w:val="right"/>
              <w:rPr>
                <w:sz w:val="20"/>
              </w:rPr>
            </w:pPr>
          </w:p>
        </w:tc>
        <w:tc>
          <w:tcPr>
            <w:tcW w:w="1080" w:type="dxa"/>
          </w:tcPr>
          <w:p w:rsidR="002A50A1" w:rsidRPr="004039AA" w:rsidRDefault="002A50A1" w:rsidP="00526078">
            <w:pPr>
              <w:pStyle w:val="BodyTextIndent"/>
              <w:tabs>
                <w:tab w:val="clear" w:pos="450"/>
                <w:tab w:val="left" w:pos="-2070"/>
              </w:tabs>
              <w:ind w:left="0" w:firstLine="0"/>
              <w:jc w:val="right"/>
              <w:rPr>
                <w:sz w:val="20"/>
              </w:rPr>
            </w:pPr>
            <w:r w:rsidRPr="004039AA">
              <w:rPr>
                <w:sz w:val="20"/>
              </w:rPr>
              <w:t>1</w:t>
            </w:r>
          </w:p>
        </w:tc>
        <w:tc>
          <w:tcPr>
            <w:tcW w:w="360" w:type="dxa"/>
          </w:tcPr>
          <w:p w:rsidR="002A50A1" w:rsidRPr="004039AA" w:rsidRDefault="002A50A1" w:rsidP="00526078">
            <w:pPr>
              <w:pStyle w:val="BodyTextIndent"/>
              <w:tabs>
                <w:tab w:val="clear" w:pos="450"/>
                <w:tab w:val="left" w:pos="-2070"/>
              </w:tabs>
              <w:ind w:left="0" w:firstLine="0"/>
              <w:jc w:val="right"/>
              <w:rPr>
                <w:sz w:val="20"/>
              </w:rPr>
            </w:pPr>
          </w:p>
        </w:tc>
        <w:tc>
          <w:tcPr>
            <w:tcW w:w="1170" w:type="dxa"/>
          </w:tcPr>
          <w:p w:rsidR="002A50A1" w:rsidRPr="004039AA" w:rsidRDefault="00A86A33" w:rsidP="00526078">
            <w:pPr>
              <w:pStyle w:val="BodyTextIndent"/>
              <w:tabs>
                <w:tab w:val="clear" w:pos="450"/>
                <w:tab w:val="left" w:pos="-9018"/>
                <w:tab w:val="left" w:pos="-2070"/>
              </w:tabs>
              <w:ind w:left="0" w:firstLine="0"/>
              <w:jc w:val="right"/>
              <w:rPr>
                <w:sz w:val="20"/>
              </w:rPr>
            </w:pPr>
            <w:r>
              <w:rPr>
                <w:sz w:val="20"/>
              </w:rPr>
              <w:t>35</w:t>
            </w:r>
          </w:p>
        </w:tc>
        <w:tc>
          <w:tcPr>
            <w:tcW w:w="360" w:type="dxa"/>
          </w:tcPr>
          <w:p w:rsidR="002A50A1" w:rsidRPr="004039AA" w:rsidRDefault="002A50A1" w:rsidP="00526078">
            <w:pPr>
              <w:pStyle w:val="BodyTextIndent"/>
              <w:tabs>
                <w:tab w:val="clear" w:pos="450"/>
                <w:tab w:val="left" w:pos="-2070"/>
              </w:tabs>
              <w:ind w:left="0" w:firstLine="0"/>
              <w:jc w:val="right"/>
              <w:rPr>
                <w:sz w:val="20"/>
              </w:rPr>
            </w:pPr>
          </w:p>
        </w:tc>
        <w:tc>
          <w:tcPr>
            <w:tcW w:w="1260" w:type="dxa"/>
          </w:tcPr>
          <w:p w:rsidR="002A50A1" w:rsidRPr="004039AA" w:rsidRDefault="00940B5B" w:rsidP="00526078">
            <w:pPr>
              <w:pStyle w:val="BodyTextIndent"/>
              <w:tabs>
                <w:tab w:val="clear" w:pos="450"/>
                <w:tab w:val="left" w:pos="-2070"/>
              </w:tabs>
              <w:ind w:left="0" w:firstLine="0"/>
              <w:jc w:val="right"/>
              <w:rPr>
                <w:sz w:val="20"/>
              </w:rPr>
            </w:pPr>
            <w:r>
              <w:rPr>
                <w:sz w:val="20"/>
              </w:rPr>
              <w:t>105</w:t>
            </w:r>
          </w:p>
        </w:tc>
      </w:tr>
      <w:tr w:rsidR="002A50A1" w:rsidTr="001D57C6">
        <w:tc>
          <w:tcPr>
            <w:tcW w:w="3348" w:type="dxa"/>
          </w:tcPr>
          <w:p w:rsidR="002A50A1" w:rsidRPr="004039AA" w:rsidRDefault="009A0444" w:rsidP="002A50A1">
            <w:pPr>
              <w:pStyle w:val="BodyTextIndent"/>
              <w:tabs>
                <w:tab w:val="clear" w:pos="450"/>
                <w:tab w:val="left" w:pos="-2070"/>
              </w:tabs>
              <w:ind w:left="0" w:firstLine="0"/>
              <w:rPr>
                <w:sz w:val="20"/>
              </w:rPr>
            </w:pPr>
            <w:r>
              <w:rPr>
                <w:sz w:val="20"/>
              </w:rPr>
              <w:t xml:space="preserve"> </w:t>
            </w:r>
            <w:r w:rsidR="00A86A33">
              <w:rPr>
                <w:sz w:val="20"/>
              </w:rPr>
              <w:t>Form 468.1 – without wind-up plan</w:t>
            </w:r>
          </w:p>
        </w:tc>
        <w:tc>
          <w:tcPr>
            <w:tcW w:w="1350" w:type="dxa"/>
          </w:tcPr>
          <w:p w:rsidR="002A50A1" w:rsidRPr="004039AA" w:rsidRDefault="001D57C6" w:rsidP="00526078">
            <w:pPr>
              <w:pStyle w:val="BodyTextIndent"/>
              <w:tabs>
                <w:tab w:val="clear" w:pos="450"/>
                <w:tab w:val="left" w:pos="-2070"/>
              </w:tabs>
              <w:ind w:left="0" w:firstLine="0"/>
              <w:jc w:val="right"/>
              <w:rPr>
                <w:sz w:val="20"/>
              </w:rPr>
            </w:pPr>
            <w:r>
              <w:rPr>
                <w:sz w:val="20"/>
              </w:rPr>
              <w:t>24</w:t>
            </w:r>
          </w:p>
        </w:tc>
        <w:tc>
          <w:tcPr>
            <w:tcW w:w="450" w:type="dxa"/>
          </w:tcPr>
          <w:p w:rsidR="002A50A1" w:rsidRPr="004039AA" w:rsidRDefault="002A50A1" w:rsidP="00526078">
            <w:pPr>
              <w:pStyle w:val="BodyTextIndent"/>
              <w:tabs>
                <w:tab w:val="clear" w:pos="450"/>
                <w:tab w:val="left" w:pos="-2070"/>
              </w:tabs>
              <w:ind w:left="0" w:firstLine="0"/>
              <w:jc w:val="right"/>
              <w:rPr>
                <w:sz w:val="20"/>
              </w:rPr>
            </w:pPr>
          </w:p>
        </w:tc>
        <w:tc>
          <w:tcPr>
            <w:tcW w:w="1080" w:type="dxa"/>
          </w:tcPr>
          <w:p w:rsidR="002A50A1" w:rsidRPr="004039AA" w:rsidRDefault="002A50A1" w:rsidP="00526078">
            <w:pPr>
              <w:pStyle w:val="BodyTextIndent"/>
              <w:tabs>
                <w:tab w:val="clear" w:pos="450"/>
                <w:tab w:val="left" w:pos="-2070"/>
              </w:tabs>
              <w:ind w:left="0" w:firstLine="0"/>
              <w:jc w:val="right"/>
              <w:rPr>
                <w:sz w:val="20"/>
              </w:rPr>
            </w:pPr>
            <w:r w:rsidRPr="004039AA">
              <w:rPr>
                <w:sz w:val="20"/>
              </w:rPr>
              <w:t>1</w:t>
            </w:r>
          </w:p>
        </w:tc>
        <w:tc>
          <w:tcPr>
            <w:tcW w:w="360" w:type="dxa"/>
          </w:tcPr>
          <w:p w:rsidR="002A50A1" w:rsidRPr="004039AA" w:rsidRDefault="002A50A1" w:rsidP="00526078">
            <w:pPr>
              <w:pStyle w:val="BodyTextIndent"/>
              <w:tabs>
                <w:tab w:val="clear" w:pos="450"/>
                <w:tab w:val="left" w:pos="-2070"/>
              </w:tabs>
              <w:ind w:left="0" w:firstLine="0"/>
              <w:jc w:val="right"/>
              <w:rPr>
                <w:sz w:val="20"/>
              </w:rPr>
            </w:pPr>
          </w:p>
        </w:tc>
        <w:tc>
          <w:tcPr>
            <w:tcW w:w="1170" w:type="dxa"/>
          </w:tcPr>
          <w:p w:rsidR="002A50A1" w:rsidRPr="004039AA" w:rsidRDefault="00A86A33" w:rsidP="00526078">
            <w:pPr>
              <w:pStyle w:val="BodyTextIndent"/>
              <w:tabs>
                <w:tab w:val="clear" w:pos="450"/>
                <w:tab w:val="left" w:pos="-9018"/>
                <w:tab w:val="left" w:pos="-2070"/>
              </w:tabs>
              <w:ind w:left="0" w:firstLine="0"/>
              <w:jc w:val="right"/>
              <w:rPr>
                <w:sz w:val="20"/>
              </w:rPr>
            </w:pPr>
            <w:r>
              <w:rPr>
                <w:sz w:val="20"/>
              </w:rPr>
              <w:t>25</w:t>
            </w:r>
          </w:p>
        </w:tc>
        <w:tc>
          <w:tcPr>
            <w:tcW w:w="360" w:type="dxa"/>
          </w:tcPr>
          <w:p w:rsidR="002A50A1" w:rsidRPr="004039AA" w:rsidRDefault="002A50A1" w:rsidP="00526078">
            <w:pPr>
              <w:pStyle w:val="BodyTextIndent"/>
              <w:tabs>
                <w:tab w:val="clear" w:pos="450"/>
                <w:tab w:val="left" w:pos="-2070"/>
              </w:tabs>
              <w:ind w:left="0" w:firstLine="0"/>
              <w:jc w:val="right"/>
              <w:rPr>
                <w:sz w:val="20"/>
              </w:rPr>
            </w:pPr>
          </w:p>
        </w:tc>
        <w:tc>
          <w:tcPr>
            <w:tcW w:w="1260" w:type="dxa"/>
          </w:tcPr>
          <w:p w:rsidR="002A50A1" w:rsidRPr="004039AA" w:rsidRDefault="00940B5B" w:rsidP="00526078">
            <w:pPr>
              <w:pStyle w:val="BodyTextIndent"/>
              <w:tabs>
                <w:tab w:val="clear" w:pos="450"/>
                <w:tab w:val="left" w:pos="-2070"/>
              </w:tabs>
              <w:ind w:left="0" w:firstLine="0"/>
              <w:jc w:val="right"/>
              <w:rPr>
                <w:sz w:val="20"/>
              </w:rPr>
            </w:pPr>
            <w:r>
              <w:rPr>
                <w:sz w:val="20"/>
              </w:rPr>
              <w:t>600</w:t>
            </w:r>
          </w:p>
        </w:tc>
      </w:tr>
      <w:tr w:rsidR="00A86A33" w:rsidTr="001D57C6">
        <w:tc>
          <w:tcPr>
            <w:tcW w:w="3348" w:type="dxa"/>
          </w:tcPr>
          <w:p w:rsidR="00A86A33" w:rsidRPr="004039AA" w:rsidRDefault="00A86A33" w:rsidP="00A86A33">
            <w:pPr>
              <w:pStyle w:val="BodyTextIndent"/>
              <w:tabs>
                <w:tab w:val="clear" w:pos="450"/>
                <w:tab w:val="left" w:pos="-2070"/>
              </w:tabs>
              <w:ind w:left="0" w:firstLine="0"/>
              <w:rPr>
                <w:sz w:val="20"/>
              </w:rPr>
            </w:pPr>
            <w:r w:rsidRPr="004039AA">
              <w:rPr>
                <w:sz w:val="20"/>
              </w:rPr>
              <w:t xml:space="preserve">Form </w:t>
            </w:r>
            <w:r>
              <w:rPr>
                <w:sz w:val="20"/>
              </w:rPr>
              <w:t>468.2 – with wind-up plan</w:t>
            </w:r>
          </w:p>
        </w:tc>
        <w:tc>
          <w:tcPr>
            <w:tcW w:w="1350" w:type="dxa"/>
          </w:tcPr>
          <w:p w:rsidR="00A86A33" w:rsidRPr="001D57C6" w:rsidRDefault="001D57C6" w:rsidP="00526078">
            <w:pPr>
              <w:pStyle w:val="BodyTextIndent"/>
              <w:tabs>
                <w:tab w:val="clear" w:pos="450"/>
                <w:tab w:val="left" w:pos="-2070"/>
              </w:tabs>
              <w:ind w:left="0" w:firstLine="0"/>
              <w:jc w:val="right"/>
              <w:rPr>
                <w:sz w:val="20"/>
              </w:rPr>
            </w:pPr>
            <w:r>
              <w:rPr>
                <w:sz w:val="20"/>
              </w:rPr>
              <w:t>90</w:t>
            </w:r>
          </w:p>
        </w:tc>
        <w:tc>
          <w:tcPr>
            <w:tcW w:w="450" w:type="dxa"/>
          </w:tcPr>
          <w:p w:rsidR="00A86A33" w:rsidRPr="004039AA" w:rsidRDefault="00A86A33" w:rsidP="00526078">
            <w:pPr>
              <w:pStyle w:val="BodyTextIndent"/>
              <w:tabs>
                <w:tab w:val="clear" w:pos="450"/>
                <w:tab w:val="left" w:pos="-2070"/>
              </w:tabs>
              <w:ind w:left="0" w:firstLine="0"/>
              <w:jc w:val="right"/>
              <w:rPr>
                <w:sz w:val="20"/>
              </w:rPr>
            </w:pPr>
          </w:p>
        </w:tc>
        <w:tc>
          <w:tcPr>
            <w:tcW w:w="1080" w:type="dxa"/>
          </w:tcPr>
          <w:p w:rsidR="00A86A33" w:rsidRPr="004039AA" w:rsidRDefault="00A86A33" w:rsidP="00526078">
            <w:pPr>
              <w:pStyle w:val="BodyTextIndent"/>
              <w:tabs>
                <w:tab w:val="clear" w:pos="450"/>
                <w:tab w:val="left" w:pos="-2070"/>
              </w:tabs>
              <w:ind w:left="0" w:firstLine="0"/>
              <w:jc w:val="right"/>
              <w:rPr>
                <w:sz w:val="20"/>
              </w:rPr>
            </w:pPr>
            <w:r w:rsidRPr="004039AA">
              <w:rPr>
                <w:sz w:val="20"/>
              </w:rPr>
              <w:t>1</w:t>
            </w:r>
          </w:p>
        </w:tc>
        <w:tc>
          <w:tcPr>
            <w:tcW w:w="360" w:type="dxa"/>
          </w:tcPr>
          <w:p w:rsidR="00A86A33" w:rsidRPr="004039AA" w:rsidRDefault="00A86A33" w:rsidP="00526078">
            <w:pPr>
              <w:pStyle w:val="BodyTextIndent"/>
              <w:tabs>
                <w:tab w:val="clear" w:pos="450"/>
                <w:tab w:val="left" w:pos="-2070"/>
              </w:tabs>
              <w:ind w:left="0" w:firstLine="0"/>
              <w:jc w:val="right"/>
              <w:rPr>
                <w:sz w:val="20"/>
              </w:rPr>
            </w:pPr>
          </w:p>
        </w:tc>
        <w:tc>
          <w:tcPr>
            <w:tcW w:w="1170" w:type="dxa"/>
          </w:tcPr>
          <w:p w:rsidR="00A86A33" w:rsidRPr="004039AA" w:rsidRDefault="000B2E16" w:rsidP="00526078">
            <w:pPr>
              <w:pStyle w:val="BodyTextIndent"/>
              <w:tabs>
                <w:tab w:val="clear" w:pos="450"/>
                <w:tab w:val="left" w:pos="-9018"/>
                <w:tab w:val="left" w:pos="-2070"/>
              </w:tabs>
              <w:ind w:left="0" w:firstLine="0"/>
              <w:jc w:val="right"/>
              <w:rPr>
                <w:sz w:val="20"/>
              </w:rPr>
            </w:pPr>
            <w:r>
              <w:rPr>
                <w:sz w:val="20"/>
              </w:rPr>
              <w:t>35</w:t>
            </w:r>
          </w:p>
        </w:tc>
        <w:tc>
          <w:tcPr>
            <w:tcW w:w="360" w:type="dxa"/>
          </w:tcPr>
          <w:p w:rsidR="00A86A33" w:rsidRPr="004039AA" w:rsidRDefault="00A86A33" w:rsidP="00526078">
            <w:pPr>
              <w:pStyle w:val="BodyTextIndent"/>
              <w:tabs>
                <w:tab w:val="clear" w:pos="450"/>
                <w:tab w:val="left" w:pos="-2070"/>
              </w:tabs>
              <w:ind w:left="0" w:firstLine="0"/>
              <w:jc w:val="right"/>
              <w:rPr>
                <w:sz w:val="20"/>
              </w:rPr>
            </w:pPr>
          </w:p>
        </w:tc>
        <w:tc>
          <w:tcPr>
            <w:tcW w:w="1260" w:type="dxa"/>
          </w:tcPr>
          <w:p w:rsidR="00A86A33" w:rsidRPr="004039AA" w:rsidRDefault="00940B5B" w:rsidP="000B2E16">
            <w:pPr>
              <w:pStyle w:val="BodyTextIndent"/>
              <w:tabs>
                <w:tab w:val="clear" w:pos="450"/>
                <w:tab w:val="left" w:pos="-2070"/>
              </w:tabs>
              <w:ind w:left="0" w:firstLine="0"/>
              <w:jc w:val="right"/>
              <w:rPr>
                <w:sz w:val="20"/>
              </w:rPr>
            </w:pPr>
            <w:r>
              <w:rPr>
                <w:sz w:val="20"/>
              </w:rPr>
              <w:t>3,150</w:t>
            </w:r>
          </w:p>
        </w:tc>
      </w:tr>
      <w:tr w:rsidR="00A86A33" w:rsidTr="001D57C6">
        <w:tc>
          <w:tcPr>
            <w:tcW w:w="3348" w:type="dxa"/>
          </w:tcPr>
          <w:p w:rsidR="00A86A33" w:rsidRPr="004039AA" w:rsidRDefault="00A86A33" w:rsidP="002A50A1">
            <w:pPr>
              <w:pStyle w:val="BodyTextIndent"/>
              <w:tabs>
                <w:tab w:val="clear" w:pos="450"/>
                <w:tab w:val="left" w:pos="-2070"/>
              </w:tabs>
              <w:ind w:left="0" w:firstLine="0"/>
              <w:rPr>
                <w:sz w:val="20"/>
              </w:rPr>
            </w:pPr>
            <w:r>
              <w:rPr>
                <w:sz w:val="20"/>
              </w:rPr>
              <w:t>Form 468.2 – without wind-up plan</w:t>
            </w:r>
          </w:p>
        </w:tc>
        <w:tc>
          <w:tcPr>
            <w:tcW w:w="1350" w:type="dxa"/>
          </w:tcPr>
          <w:p w:rsidR="00A86A33" w:rsidRPr="004039AA" w:rsidRDefault="00940B5B" w:rsidP="00A1541D">
            <w:pPr>
              <w:pStyle w:val="BodyTextIndent"/>
              <w:tabs>
                <w:tab w:val="clear" w:pos="450"/>
                <w:tab w:val="left" w:pos="-2070"/>
              </w:tabs>
              <w:ind w:left="0" w:firstLine="0"/>
              <w:jc w:val="right"/>
              <w:rPr>
                <w:sz w:val="20"/>
              </w:rPr>
            </w:pPr>
            <w:r>
              <w:rPr>
                <w:sz w:val="20"/>
              </w:rPr>
              <w:t>265</w:t>
            </w:r>
          </w:p>
        </w:tc>
        <w:tc>
          <w:tcPr>
            <w:tcW w:w="450" w:type="dxa"/>
          </w:tcPr>
          <w:p w:rsidR="00A86A33" w:rsidRPr="004039AA" w:rsidRDefault="00A86A33" w:rsidP="00526078">
            <w:pPr>
              <w:pStyle w:val="BodyTextIndent"/>
              <w:tabs>
                <w:tab w:val="clear" w:pos="450"/>
                <w:tab w:val="left" w:pos="-2070"/>
              </w:tabs>
              <w:ind w:left="0" w:firstLine="0"/>
              <w:jc w:val="right"/>
              <w:rPr>
                <w:sz w:val="20"/>
              </w:rPr>
            </w:pPr>
          </w:p>
        </w:tc>
        <w:tc>
          <w:tcPr>
            <w:tcW w:w="1080" w:type="dxa"/>
          </w:tcPr>
          <w:p w:rsidR="00A86A33" w:rsidRPr="004039AA" w:rsidRDefault="000B2E16" w:rsidP="00526078">
            <w:pPr>
              <w:pStyle w:val="BodyTextIndent"/>
              <w:tabs>
                <w:tab w:val="clear" w:pos="450"/>
                <w:tab w:val="left" w:pos="-2070"/>
              </w:tabs>
              <w:ind w:left="0" w:firstLine="0"/>
              <w:jc w:val="right"/>
              <w:rPr>
                <w:sz w:val="20"/>
              </w:rPr>
            </w:pPr>
            <w:r>
              <w:rPr>
                <w:sz w:val="20"/>
              </w:rPr>
              <w:t>1</w:t>
            </w:r>
          </w:p>
        </w:tc>
        <w:tc>
          <w:tcPr>
            <w:tcW w:w="360" w:type="dxa"/>
          </w:tcPr>
          <w:p w:rsidR="00A86A33" w:rsidRPr="004039AA" w:rsidRDefault="00A86A33" w:rsidP="00526078">
            <w:pPr>
              <w:pStyle w:val="BodyTextIndent"/>
              <w:tabs>
                <w:tab w:val="clear" w:pos="450"/>
                <w:tab w:val="left" w:pos="-2070"/>
              </w:tabs>
              <w:ind w:left="0" w:firstLine="0"/>
              <w:jc w:val="right"/>
              <w:rPr>
                <w:sz w:val="20"/>
              </w:rPr>
            </w:pPr>
          </w:p>
        </w:tc>
        <w:tc>
          <w:tcPr>
            <w:tcW w:w="1170" w:type="dxa"/>
          </w:tcPr>
          <w:p w:rsidR="00A86A33" w:rsidRPr="004039AA" w:rsidRDefault="000B2E16" w:rsidP="00526078">
            <w:pPr>
              <w:pStyle w:val="BodyTextIndent"/>
              <w:tabs>
                <w:tab w:val="clear" w:pos="450"/>
                <w:tab w:val="left" w:pos="-9018"/>
                <w:tab w:val="left" w:pos="-2070"/>
              </w:tabs>
              <w:ind w:left="0" w:firstLine="0"/>
              <w:jc w:val="right"/>
              <w:rPr>
                <w:sz w:val="20"/>
              </w:rPr>
            </w:pPr>
            <w:r>
              <w:rPr>
                <w:sz w:val="20"/>
              </w:rPr>
              <w:t>25</w:t>
            </w:r>
          </w:p>
        </w:tc>
        <w:tc>
          <w:tcPr>
            <w:tcW w:w="360" w:type="dxa"/>
          </w:tcPr>
          <w:p w:rsidR="00A86A33" w:rsidRPr="004039AA" w:rsidRDefault="00A86A33" w:rsidP="00526078">
            <w:pPr>
              <w:pStyle w:val="BodyTextIndent"/>
              <w:tabs>
                <w:tab w:val="clear" w:pos="450"/>
                <w:tab w:val="left" w:pos="-2070"/>
              </w:tabs>
              <w:ind w:left="0" w:firstLine="0"/>
              <w:jc w:val="right"/>
              <w:rPr>
                <w:sz w:val="20"/>
              </w:rPr>
            </w:pPr>
          </w:p>
        </w:tc>
        <w:tc>
          <w:tcPr>
            <w:tcW w:w="1260" w:type="dxa"/>
          </w:tcPr>
          <w:p w:rsidR="00A86A33" w:rsidRPr="004039AA" w:rsidRDefault="00940B5B" w:rsidP="00526078">
            <w:pPr>
              <w:pStyle w:val="BodyTextIndent"/>
              <w:tabs>
                <w:tab w:val="clear" w:pos="450"/>
                <w:tab w:val="left" w:pos="-2070"/>
              </w:tabs>
              <w:ind w:left="0" w:firstLine="0"/>
              <w:jc w:val="right"/>
              <w:rPr>
                <w:sz w:val="20"/>
              </w:rPr>
            </w:pPr>
            <w:r>
              <w:rPr>
                <w:sz w:val="20"/>
              </w:rPr>
              <w:t>6,625</w:t>
            </w:r>
          </w:p>
        </w:tc>
      </w:tr>
      <w:tr w:rsidR="00940B5B" w:rsidRPr="00940B5B" w:rsidTr="001D57C6">
        <w:tc>
          <w:tcPr>
            <w:tcW w:w="3348" w:type="dxa"/>
          </w:tcPr>
          <w:p w:rsidR="00A86A33" w:rsidRPr="00940B5B" w:rsidRDefault="00A86A33" w:rsidP="00A86A33">
            <w:pPr>
              <w:pStyle w:val="BodyTextIndent"/>
              <w:tabs>
                <w:tab w:val="clear" w:pos="450"/>
                <w:tab w:val="left" w:pos="-2070"/>
              </w:tabs>
              <w:ind w:left="0" w:firstLine="0"/>
              <w:rPr>
                <w:sz w:val="20"/>
              </w:rPr>
            </w:pPr>
            <w:r w:rsidRPr="00940B5B">
              <w:rPr>
                <w:sz w:val="20"/>
              </w:rPr>
              <w:t>Form 468.3</w:t>
            </w:r>
          </w:p>
        </w:tc>
        <w:tc>
          <w:tcPr>
            <w:tcW w:w="1350" w:type="dxa"/>
          </w:tcPr>
          <w:p w:rsidR="00A86A33" w:rsidRPr="00940B5B" w:rsidRDefault="00940B5B" w:rsidP="00A1541D">
            <w:pPr>
              <w:pStyle w:val="BodyTextIndent"/>
              <w:tabs>
                <w:tab w:val="clear" w:pos="450"/>
                <w:tab w:val="left" w:pos="-2070"/>
              </w:tabs>
              <w:ind w:left="0" w:firstLine="0"/>
              <w:jc w:val="right"/>
              <w:rPr>
                <w:sz w:val="20"/>
              </w:rPr>
            </w:pPr>
            <w:r w:rsidRPr="00940B5B">
              <w:rPr>
                <w:sz w:val="20"/>
              </w:rPr>
              <w:t>260</w:t>
            </w:r>
          </w:p>
        </w:tc>
        <w:tc>
          <w:tcPr>
            <w:tcW w:w="450" w:type="dxa"/>
          </w:tcPr>
          <w:p w:rsidR="00A86A33" w:rsidRPr="00940B5B" w:rsidRDefault="00A86A33" w:rsidP="00526078">
            <w:pPr>
              <w:pStyle w:val="BodyTextIndent"/>
              <w:tabs>
                <w:tab w:val="clear" w:pos="450"/>
                <w:tab w:val="left" w:pos="-2070"/>
              </w:tabs>
              <w:ind w:left="0" w:firstLine="0"/>
              <w:jc w:val="right"/>
              <w:rPr>
                <w:sz w:val="20"/>
              </w:rPr>
            </w:pPr>
          </w:p>
        </w:tc>
        <w:tc>
          <w:tcPr>
            <w:tcW w:w="1080" w:type="dxa"/>
          </w:tcPr>
          <w:p w:rsidR="00A86A33" w:rsidRPr="00940B5B" w:rsidRDefault="000B2E16" w:rsidP="00526078">
            <w:pPr>
              <w:pStyle w:val="BodyTextIndent"/>
              <w:tabs>
                <w:tab w:val="clear" w:pos="450"/>
                <w:tab w:val="left" w:pos="-2070"/>
              </w:tabs>
              <w:ind w:left="0" w:firstLine="0"/>
              <w:jc w:val="right"/>
              <w:rPr>
                <w:sz w:val="20"/>
              </w:rPr>
            </w:pPr>
            <w:r w:rsidRPr="00940B5B">
              <w:rPr>
                <w:sz w:val="20"/>
              </w:rPr>
              <w:t>3</w:t>
            </w:r>
          </w:p>
        </w:tc>
        <w:tc>
          <w:tcPr>
            <w:tcW w:w="360" w:type="dxa"/>
          </w:tcPr>
          <w:p w:rsidR="00A86A33" w:rsidRPr="00940B5B" w:rsidRDefault="00A86A33" w:rsidP="00526078">
            <w:pPr>
              <w:pStyle w:val="BodyTextIndent"/>
              <w:tabs>
                <w:tab w:val="clear" w:pos="450"/>
                <w:tab w:val="left" w:pos="-2070"/>
              </w:tabs>
              <w:ind w:left="0" w:firstLine="0"/>
              <w:jc w:val="right"/>
              <w:rPr>
                <w:sz w:val="20"/>
              </w:rPr>
            </w:pPr>
          </w:p>
        </w:tc>
        <w:tc>
          <w:tcPr>
            <w:tcW w:w="1170" w:type="dxa"/>
          </w:tcPr>
          <w:p w:rsidR="00A86A33" w:rsidRPr="00940B5B" w:rsidRDefault="00914AAC" w:rsidP="00526078">
            <w:pPr>
              <w:pStyle w:val="BodyTextIndent"/>
              <w:tabs>
                <w:tab w:val="clear" w:pos="450"/>
                <w:tab w:val="left" w:pos="-9018"/>
                <w:tab w:val="left" w:pos="-2070"/>
              </w:tabs>
              <w:ind w:left="0" w:firstLine="0"/>
              <w:jc w:val="right"/>
              <w:rPr>
                <w:sz w:val="20"/>
              </w:rPr>
            </w:pPr>
            <w:r w:rsidRPr="00940B5B">
              <w:rPr>
                <w:sz w:val="20"/>
              </w:rPr>
              <w:t>2</w:t>
            </w:r>
            <w:r w:rsidR="000B2E16" w:rsidRPr="00940B5B">
              <w:rPr>
                <w:sz w:val="20"/>
              </w:rPr>
              <w:t>3</w:t>
            </w:r>
          </w:p>
        </w:tc>
        <w:tc>
          <w:tcPr>
            <w:tcW w:w="360" w:type="dxa"/>
          </w:tcPr>
          <w:p w:rsidR="00A86A33" w:rsidRPr="00940B5B" w:rsidRDefault="00A86A33" w:rsidP="00526078">
            <w:pPr>
              <w:pStyle w:val="BodyTextIndent"/>
              <w:tabs>
                <w:tab w:val="clear" w:pos="450"/>
                <w:tab w:val="left" w:pos="-2070"/>
              </w:tabs>
              <w:ind w:left="0" w:firstLine="0"/>
              <w:jc w:val="right"/>
              <w:rPr>
                <w:sz w:val="20"/>
              </w:rPr>
            </w:pPr>
          </w:p>
        </w:tc>
        <w:tc>
          <w:tcPr>
            <w:tcW w:w="1260" w:type="dxa"/>
          </w:tcPr>
          <w:p w:rsidR="00A86A33" w:rsidRPr="00940B5B" w:rsidRDefault="00914AAC" w:rsidP="00940B5B">
            <w:pPr>
              <w:pStyle w:val="BodyTextIndent"/>
              <w:tabs>
                <w:tab w:val="clear" w:pos="450"/>
                <w:tab w:val="left" w:pos="-2070"/>
              </w:tabs>
              <w:ind w:left="0" w:firstLine="0"/>
              <w:jc w:val="right"/>
              <w:rPr>
                <w:sz w:val="20"/>
              </w:rPr>
            </w:pPr>
            <w:r w:rsidRPr="00940B5B">
              <w:rPr>
                <w:sz w:val="20"/>
              </w:rPr>
              <w:t>1</w:t>
            </w:r>
            <w:r w:rsidR="00940B5B">
              <w:rPr>
                <w:sz w:val="20"/>
              </w:rPr>
              <w:t>7</w:t>
            </w:r>
            <w:r w:rsidR="000B2E16" w:rsidRPr="00940B5B">
              <w:rPr>
                <w:sz w:val="20"/>
              </w:rPr>
              <w:t>,</w:t>
            </w:r>
            <w:r w:rsidR="00940B5B">
              <w:rPr>
                <w:sz w:val="20"/>
              </w:rPr>
              <w:t>940</w:t>
            </w:r>
          </w:p>
        </w:tc>
      </w:tr>
      <w:tr w:rsidR="00940B5B" w:rsidRPr="00940B5B" w:rsidTr="001D57C6">
        <w:tc>
          <w:tcPr>
            <w:tcW w:w="3348" w:type="dxa"/>
          </w:tcPr>
          <w:p w:rsidR="00A86A33" w:rsidRPr="00940B5B" w:rsidRDefault="00A86A33" w:rsidP="00A86A33">
            <w:pPr>
              <w:pStyle w:val="BodyTextIndent"/>
              <w:tabs>
                <w:tab w:val="clear" w:pos="450"/>
                <w:tab w:val="left" w:pos="-2070"/>
              </w:tabs>
              <w:ind w:left="0" w:firstLine="0"/>
              <w:rPr>
                <w:sz w:val="20"/>
              </w:rPr>
            </w:pPr>
            <w:r w:rsidRPr="00940B5B">
              <w:rPr>
                <w:sz w:val="20"/>
              </w:rPr>
              <w:t>Form 468.4</w:t>
            </w:r>
          </w:p>
        </w:tc>
        <w:tc>
          <w:tcPr>
            <w:tcW w:w="1350" w:type="dxa"/>
          </w:tcPr>
          <w:p w:rsidR="00A86A33" w:rsidRPr="00940B5B" w:rsidRDefault="00940B5B" w:rsidP="000A23EF">
            <w:pPr>
              <w:pStyle w:val="BodyTextIndent"/>
              <w:tabs>
                <w:tab w:val="clear" w:pos="450"/>
                <w:tab w:val="left" w:pos="-2070"/>
              </w:tabs>
              <w:ind w:left="0" w:firstLine="0"/>
              <w:jc w:val="right"/>
              <w:rPr>
                <w:sz w:val="20"/>
              </w:rPr>
            </w:pPr>
            <w:r w:rsidRPr="00940B5B">
              <w:rPr>
                <w:sz w:val="20"/>
              </w:rPr>
              <w:t>9</w:t>
            </w:r>
          </w:p>
        </w:tc>
        <w:tc>
          <w:tcPr>
            <w:tcW w:w="450" w:type="dxa"/>
          </w:tcPr>
          <w:p w:rsidR="00A86A33" w:rsidRPr="00940B5B" w:rsidRDefault="00A86A33" w:rsidP="00526078">
            <w:pPr>
              <w:pStyle w:val="BodyTextIndent"/>
              <w:tabs>
                <w:tab w:val="clear" w:pos="450"/>
                <w:tab w:val="left" w:pos="-2070"/>
              </w:tabs>
              <w:ind w:left="0" w:firstLine="0"/>
              <w:jc w:val="right"/>
              <w:rPr>
                <w:sz w:val="20"/>
              </w:rPr>
            </w:pPr>
          </w:p>
        </w:tc>
        <w:tc>
          <w:tcPr>
            <w:tcW w:w="1080" w:type="dxa"/>
          </w:tcPr>
          <w:p w:rsidR="00A86A33" w:rsidRPr="00940B5B" w:rsidRDefault="000B2E16" w:rsidP="00526078">
            <w:pPr>
              <w:pStyle w:val="BodyTextIndent"/>
              <w:tabs>
                <w:tab w:val="clear" w:pos="450"/>
                <w:tab w:val="left" w:pos="-2070"/>
              </w:tabs>
              <w:ind w:left="0" w:firstLine="0"/>
              <w:jc w:val="right"/>
              <w:rPr>
                <w:sz w:val="20"/>
              </w:rPr>
            </w:pPr>
            <w:r w:rsidRPr="00940B5B">
              <w:rPr>
                <w:sz w:val="20"/>
              </w:rPr>
              <w:t>3</w:t>
            </w:r>
          </w:p>
        </w:tc>
        <w:tc>
          <w:tcPr>
            <w:tcW w:w="360" w:type="dxa"/>
          </w:tcPr>
          <w:p w:rsidR="00A86A33" w:rsidRPr="00940B5B" w:rsidRDefault="00A86A33" w:rsidP="00526078">
            <w:pPr>
              <w:pStyle w:val="BodyTextIndent"/>
              <w:tabs>
                <w:tab w:val="clear" w:pos="450"/>
                <w:tab w:val="left" w:pos="-2070"/>
              </w:tabs>
              <w:ind w:left="0" w:firstLine="0"/>
              <w:jc w:val="right"/>
              <w:rPr>
                <w:sz w:val="20"/>
              </w:rPr>
            </w:pPr>
          </w:p>
        </w:tc>
        <w:tc>
          <w:tcPr>
            <w:tcW w:w="1170" w:type="dxa"/>
          </w:tcPr>
          <w:p w:rsidR="00A86A33" w:rsidRPr="00940B5B" w:rsidRDefault="000B2E16" w:rsidP="00526078">
            <w:pPr>
              <w:pStyle w:val="BodyTextIndent"/>
              <w:tabs>
                <w:tab w:val="clear" w:pos="450"/>
                <w:tab w:val="left" w:pos="-9018"/>
                <w:tab w:val="left" w:pos="-2070"/>
              </w:tabs>
              <w:ind w:left="0" w:firstLine="0"/>
              <w:jc w:val="right"/>
              <w:rPr>
                <w:sz w:val="20"/>
              </w:rPr>
            </w:pPr>
            <w:r w:rsidRPr="00940B5B">
              <w:rPr>
                <w:sz w:val="20"/>
              </w:rPr>
              <w:t>23</w:t>
            </w:r>
          </w:p>
        </w:tc>
        <w:tc>
          <w:tcPr>
            <w:tcW w:w="360" w:type="dxa"/>
          </w:tcPr>
          <w:p w:rsidR="009A0444" w:rsidRPr="00940B5B" w:rsidRDefault="009A0444" w:rsidP="009A0444">
            <w:pPr>
              <w:pStyle w:val="BodyTextIndent"/>
              <w:tabs>
                <w:tab w:val="clear" w:pos="450"/>
                <w:tab w:val="left" w:pos="-2070"/>
              </w:tabs>
              <w:ind w:left="0" w:firstLine="0"/>
              <w:jc w:val="right"/>
              <w:rPr>
                <w:sz w:val="20"/>
              </w:rPr>
            </w:pPr>
          </w:p>
        </w:tc>
        <w:tc>
          <w:tcPr>
            <w:tcW w:w="1260" w:type="dxa"/>
          </w:tcPr>
          <w:p w:rsidR="00A86A33" w:rsidRPr="00940B5B" w:rsidRDefault="00940B5B" w:rsidP="00914AAC">
            <w:pPr>
              <w:pStyle w:val="BodyTextIndent"/>
              <w:tabs>
                <w:tab w:val="clear" w:pos="450"/>
                <w:tab w:val="left" w:pos="-2070"/>
              </w:tabs>
              <w:ind w:left="0" w:firstLine="0"/>
              <w:jc w:val="right"/>
              <w:rPr>
                <w:sz w:val="20"/>
              </w:rPr>
            </w:pPr>
            <w:r>
              <w:rPr>
                <w:sz w:val="20"/>
              </w:rPr>
              <w:t>621</w:t>
            </w:r>
          </w:p>
        </w:tc>
      </w:tr>
      <w:tr w:rsidR="00A86A33" w:rsidTr="001D57C6">
        <w:tc>
          <w:tcPr>
            <w:tcW w:w="3348" w:type="dxa"/>
          </w:tcPr>
          <w:p w:rsidR="00A86A33" w:rsidRPr="004039AA" w:rsidRDefault="00A86A33" w:rsidP="002A50A1">
            <w:pPr>
              <w:pStyle w:val="BodyTextIndent"/>
              <w:tabs>
                <w:tab w:val="clear" w:pos="450"/>
                <w:tab w:val="left" w:pos="-2070"/>
              </w:tabs>
              <w:ind w:left="0" w:firstLine="0"/>
              <w:rPr>
                <w:sz w:val="20"/>
              </w:rPr>
            </w:pPr>
            <w:r w:rsidRPr="004039AA">
              <w:rPr>
                <w:sz w:val="20"/>
              </w:rPr>
              <w:t xml:space="preserve"> TOTAL COLLECTION</w:t>
            </w:r>
          </w:p>
        </w:tc>
        <w:tc>
          <w:tcPr>
            <w:tcW w:w="1350" w:type="dxa"/>
          </w:tcPr>
          <w:p w:rsidR="00A86A33" w:rsidRPr="004039AA" w:rsidRDefault="00A86A33" w:rsidP="00526078">
            <w:pPr>
              <w:pStyle w:val="BodyTextIndent"/>
              <w:tabs>
                <w:tab w:val="clear" w:pos="450"/>
                <w:tab w:val="left" w:pos="-2070"/>
              </w:tabs>
              <w:ind w:left="0" w:firstLine="0"/>
              <w:jc w:val="right"/>
              <w:rPr>
                <w:sz w:val="20"/>
              </w:rPr>
            </w:pPr>
          </w:p>
        </w:tc>
        <w:tc>
          <w:tcPr>
            <w:tcW w:w="450" w:type="dxa"/>
          </w:tcPr>
          <w:p w:rsidR="00A86A33" w:rsidRPr="004039AA" w:rsidRDefault="00A86A33" w:rsidP="00526078">
            <w:pPr>
              <w:pStyle w:val="BodyTextIndent"/>
              <w:tabs>
                <w:tab w:val="clear" w:pos="450"/>
                <w:tab w:val="left" w:pos="-2070"/>
              </w:tabs>
              <w:ind w:left="0" w:firstLine="0"/>
              <w:jc w:val="right"/>
              <w:rPr>
                <w:sz w:val="20"/>
              </w:rPr>
            </w:pPr>
          </w:p>
        </w:tc>
        <w:tc>
          <w:tcPr>
            <w:tcW w:w="1080" w:type="dxa"/>
          </w:tcPr>
          <w:p w:rsidR="00A86A33" w:rsidRPr="004039AA" w:rsidRDefault="00A86A33" w:rsidP="00526078">
            <w:pPr>
              <w:pStyle w:val="BodyTextIndent"/>
              <w:tabs>
                <w:tab w:val="clear" w:pos="450"/>
                <w:tab w:val="left" w:pos="-2070"/>
              </w:tabs>
              <w:ind w:left="0" w:firstLine="0"/>
              <w:jc w:val="right"/>
              <w:rPr>
                <w:sz w:val="20"/>
              </w:rPr>
            </w:pPr>
          </w:p>
        </w:tc>
        <w:tc>
          <w:tcPr>
            <w:tcW w:w="360" w:type="dxa"/>
          </w:tcPr>
          <w:p w:rsidR="00A86A33" w:rsidRPr="004039AA" w:rsidRDefault="00A86A33" w:rsidP="00526078">
            <w:pPr>
              <w:pStyle w:val="BodyTextIndent"/>
              <w:tabs>
                <w:tab w:val="clear" w:pos="450"/>
                <w:tab w:val="left" w:pos="-2070"/>
              </w:tabs>
              <w:ind w:left="0" w:firstLine="0"/>
              <w:jc w:val="right"/>
              <w:rPr>
                <w:sz w:val="20"/>
              </w:rPr>
            </w:pPr>
          </w:p>
        </w:tc>
        <w:tc>
          <w:tcPr>
            <w:tcW w:w="1170" w:type="dxa"/>
          </w:tcPr>
          <w:p w:rsidR="00A86A33" w:rsidRPr="004039AA" w:rsidRDefault="00A86A33" w:rsidP="00526078">
            <w:pPr>
              <w:pStyle w:val="BodyTextIndent"/>
              <w:tabs>
                <w:tab w:val="clear" w:pos="450"/>
                <w:tab w:val="left" w:pos="-9018"/>
                <w:tab w:val="left" w:pos="-2070"/>
              </w:tabs>
              <w:ind w:left="0" w:firstLine="0"/>
              <w:jc w:val="right"/>
              <w:rPr>
                <w:sz w:val="20"/>
              </w:rPr>
            </w:pPr>
          </w:p>
        </w:tc>
        <w:tc>
          <w:tcPr>
            <w:tcW w:w="360" w:type="dxa"/>
          </w:tcPr>
          <w:p w:rsidR="00A86A33" w:rsidRPr="004039AA" w:rsidRDefault="00A86A33" w:rsidP="00526078">
            <w:pPr>
              <w:pStyle w:val="BodyTextIndent"/>
              <w:tabs>
                <w:tab w:val="clear" w:pos="450"/>
                <w:tab w:val="left" w:pos="-2070"/>
              </w:tabs>
              <w:ind w:left="0" w:firstLine="0"/>
              <w:jc w:val="right"/>
              <w:rPr>
                <w:sz w:val="20"/>
              </w:rPr>
            </w:pPr>
          </w:p>
        </w:tc>
        <w:tc>
          <w:tcPr>
            <w:tcW w:w="1260" w:type="dxa"/>
          </w:tcPr>
          <w:p w:rsidR="000B2E16" w:rsidRPr="004039AA" w:rsidRDefault="00940B5B" w:rsidP="00940B5B">
            <w:pPr>
              <w:pStyle w:val="BodyTextIndent"/>
              <w:tabs>
                <w:tab w:val="clear" w:pos="450"/>
                <w:tab w:val="left" w:pos="-2070"/>
              </w:tabs>
              <w:ind w:left="0" w:firstLine="0"/>
              <w:jc w:val="right"/>
              <w:rPr>
                <w:sz w:val="20"/>
              </w:rPr>
            </w:pPr>
            <w:r>
              <w:rPr>
                <w:sz w:val="20"/>
              </w:rPr>
              <w:t>29,041</w:t>
            </w:r>
          </w:p>
        </w:tc>
      </w:tr>
    </w:tbl>
    <w:p w:rsidR="00004D27" w:rsidRDefault="009A0444" w:rsidP="002A50A1">
      <w:pPr>
        <w:pStyle w:val="BodyTextIndent"/>
        <w:tabs>
          <w:tab w:val="clear" w:pos="450"/>
          <w:tab w:val="left" w:pos="540"/>
        </w:tabs>
        <w:ind w:left="0" w:firstLine="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9A0444" w:rsidRDefault="009A0444" w:rsidP="00EE3927">
      <w:pPr>
        <w:pStyle w:val="BodyTextIndent"/>
        <w:tabs>
          <w:tab w:val="clear" w:pos="450"/>
          <w:tab w:val="left" w:pos="540"/>
        </w:tabs>
        <w:ind w:left="360" w:firstLine="0"/>
        <w:rPr>
          <w:sz w:val="18"/>
          <w:szCs w:val="18"/>
        </w:rPr>
      </w:pPr>
    </w:p>
    <w:p w:rsidR="002A50A1" w:rsidRDefault="002A50A1" w:rsidP="00EE3927">
      <w:pPr>
        <w:pStyle w:val="BodyTextIndent"/>
        <w:tabs>
          <w:tab w:val="clear" w:pos="450"/>
          <w:tab w:val="left" w:pos="540"/>
        </w:tabs>
        <w:ind w:left="360" w:firstLine="0"/>
        <w:rPr>
          <w:sz w:val="18"/>
          <w:szCs w:val="18"/>
        </w:rPr>
      </w:pPr>
      <w:r>
        <w:rPr>
          <w:sz w:val="18"/>
          <w:szCs w:val="18"/>
        </w:rPr>
        <w:t xml:space="preserve">Note </w:t>
      </w:r>
      <w:r w:rsidR="000B2E16">
        <w:rPr>
          <w:sz w:val="18"/>
          <w:szCs w:val="18"/>
        </w:rPr>
        <w:t>1</w:t>
      </w:r>
      <w:r>
        <w:rPr>
          <w:sz w:val="18"/>
          <w:szCs w:val="18"/>
        </w:rPr>
        <w:t xml:space="preserve">:  The total number of respondents shown on OMB Form 83-I (item 13a) is </w:t>
      </w:r>
      <w:r w:rsidR="00940B5B">
        <w:rPr>
          <w:sz w:val="18"/>
          <w:szCs w:val="18"/>
        </w:rPr>
        <w:t>382</w:t>
      </w:r>
      <w:r>
        <w:rPr>
          <w:sz w:val="18"/>
          <w:szCs w:val="18"/>
        </w:rPr>
        <w:t xml:space="preserve">, calculated as the </w:t>
      </w:r>
      <w:r w:rsidR="000B2E16">
        <w:rPr>
          <w:sz w:val="18"/>
          <w:szCs w:val="18"/>
        </w:rPr>
        <w:t xml:space="preserve">sum of the respondents shown in the first four lines of the table above for Forms 468.1 and 468.2.  The respondents shown for Forms 468.3 and 468.4 are a subset </w:t>
      </w:r>
      <w:r w:rsidR="00C30DEF">
        <w:rPr>
          <w:sz w:val="18"/>
          <w:szCs w:val="18"/>
        </w:rPr>
        <w:t>of the same group</w:t>
      </w:r>
      <w:r>
        <w:rPr>
          <w:sz w:val="18"/>
          <w:szCs w:val="18"/>
        </w:rPr>
        <w:t>, and therefore have been excluded from the total number of respondents to avoid double-counting.</w:t>
      </w:r>
    </w:p>
    <w:p w:rsidR="002A50A1" w:rsidRDefault="002A50A1" w:rsidP="00EE3927">
      <w:pPr>
        <w:pStyle w:val="BodyTextIndent"/>
        <w:tabs>
          <w:tab w:val="clear" w:pos="450"/>
          <w:tab w:val="left" w:pos="540"/>
        </w:tabs>
        <w:ind w:left="360" w:firstLine="0"/>
        <w:rPr>
          <w:sz w:val="18"/>
          <w:szCs w:val="18"/>
        </w:rPr>
      </w:pPr>
    </w:p>
    <w:p w:rsidR="002A50A1" w:rsidRDefault="002A50A1" w:rsidP="00EE3927">
      <w:pPr>
        <w:pStyle w:val="BodyTextIndent"/>
        <w:tabs>
          <w:tab w:val="clear" w:pos="450"/>
          <w:tab w:val="left" w:pos="540"/>
        </w:tabs>
        <w:ind w:left="360" w:firstLine="0"/>
        <w:rPr>
          <w:sz w:val="18"/>
          <w:szCs w:val="18"/>
        </w:rPr>
      </w:pPr>
      <w:r>
        <w:rPr>
          <w:sz w:val="18"/>
          <w:szCs w:val="18"/>
        </w:rPr>
        <w:t xml:space="preserve">Note </w:t>
      </w:r>
      <w:r w:rsidR="00C30DEF">
        <w:rPr>
          <w:sz w:val="18"/>
          <w:szCs w:val="18"/>
        </w:rPr>
        <w:t>2</w:t>
      </w:r>
      <w:r>
        <w:rPr>
          <w:sz w:val="18"/>
          <w:szCs w:val="18"/>
        </w:rPr>
        <w:t>:  The total number of responses shown on OMB Form 83-</w:t>
      </w:r>
      <w:r w:rsidR="002C1476">
        <w:rPr>
          <w:sz w:val="18"/>
          <w:szCs w:val="18"/>
        </w:rPr>
        <w:t xml:space="preserve">I (item 13b) is 1,050, calculated </w:t>
      </w:r>
      <w:r>
        <w:rPr>
          <w:sz w:val="18"/>
          <w:szCs w:val="18"/>
        </w:rPr>
        <w:t>as follows:</w:t>
      </w:r>
    </w:p>
    <w:p w:rsidR="002A50A1" w:rsidRDefault="002A50A1" w:rsidP="00EE3927">
      <w:pPr>
        <w:pStyle w:val="BodyTextIndent"/>
        <w:numPr>
          <w:ilvl w:val="0"/>
          <w:numId w:val="25"/>
        </w:numPr>
        <w:tabs>
          <w:tab w:val="clear" w:pos="360"/>
          <w:tab w:val="clear" w:pos="450"/>
          <w:tab w:val="right" w:pos="-2880"/>
          <w:tab w:val="num" w:pos="-720"/>
          <w:tab w:val="left" w:pos="720"/>
          <w:tab w:val="right" w:pos="5760"/>
        </w:tabs>
        <w:ind w:left="360"/>
        <w:rPr>
          <w:sz w:val="18"/>
          <w:szCs w:val="18"/>
        </w:rPr>
      </w:pPr>
      <w:r>
        <w:rPr>
          <w:sz w:val="18"/>
          <w:szCs w:val="18"/>
        </w:rPr>
        <w:t xml:space="preserve">Form </w:t>
      </w:r>
      <w:r w:rsidR="00C30DEF">
        <w:rPr>
          <w:sz w:val="18"/>
          <w:szCs w:val="18"/>
        </w:rPr>
        <w:t xml:space="preserve">468.1, </w:t>
      </w:r>
      <w:r w:rsidR="00940B5B">
        <w:rPr>
          <w:sz w:val="18"/>
          <w:szCs w:val="18"/>
        </w:rPr>
        <w:t xml:space="preserve">3 </w:t>
      </w:r>
      <w:r w:rsidR="00C30DEF">
        <w:rPr>
          <w:sz w:val="18"/>
          <w:szCs w:val="18"/>
        </w:rPr>
        <w:t xml:space="preserve">with wind-up plan + </w:t>
      </w:r>
      <w:r w:rsidR="00940B5B">
        <w:rPr>
          <w:sz w:val="18"/>
          <w:szCs w:val="18"/>
        </w:rPr>
        <w:t xml:space="preserve">24 </w:t>
      </w:r>
      <w:r w:rsidR="00C30DEF">
        <w:rPr>
          <w:sz w:val="18"/>
          <w:szCs w:val="18"/>
        </w:rPr>
        <w:t>without</w:t>
      </w:r>
      <w:r>
        <w:rPr>
          <w:sz w:val="18"/>
          <w:szCs w:val="18"/>
        </w:rPr>
        <w:tab/>
      </w:r>
      <w:r w:rsidR="00940B5B">
        <w:rPr>
          <w:sz w:val="18"/>
          <w:szCs w:val="18"/>
        </w:rPr>
        <w:t>27</w:t>
      </w:r>
    </w:p>
    <w:p w:rsidR="002A50A1" w:rsidRDefault="002A50A1" w:rsidP="00EE3927">
      <w:pPr>
        <w:pStyle w:val="BodyTextIndent"/>
        <w:numPr>
          <w:ilvl w:val="0"/>
          <w:numId w:val="25"/>
        </w:numPr>
        <w:tabs>
          <w:tab w:val="clear" w:pos="360"/>
          <w:tab w:val="clear" w:pos="450"/>
          <w:tab w:val="right" w:pos="-2520"/>
          <w:tab w:val="num" w:pos="-720"/>
          <w:tab w:val="left" w:pos="720"/>
          <w:tab w:val="right" w:pos="5760"/>
        </w:tabs>
        <w:ind w:left="360"/>
        <w:rPr>
          <w:sz w:val="18"/>
          <w:szCs w:val="18"/>
        </w:rPr>
      </w:pPr>
      <w:r>
        <w:rPr>
          <w:sz w:val="18"/>
          <w:szCs w:val="18"/>
        </w:rPr>
        <w:t>Form</w:t>
      </w:r>
      <w:r w:rsidR="00C30DEF">
        <w:rPr>
          <w:sz w:val="18"/>
          <w:szCs w:val="18"/>
        </w:rPr>
        <w:t xml:space="preserve"> 468.2, </w:t>
      </w:r>
      <w:r w:rsidR="00940B5B">
        <w:rPr>
          <w:sz w:val="18"/>
          <w:szCs w:val="18"/>
        </w:rPr>
        <w:t xml:space="preserve">90 </w:t>
      </w:r>
      <w:r w:rsidR="00C30DEF">
        <w:rPr>
          <w:sz w:val="18"/>
          <w:szCs w:val="18"/>
        </w:rPr>
        <w:t xml:space="preserve">with wind-up plan + </w:t>
      </w:r>
      <w:r w:rsidR="00940B5B">
        <w:rPr>
          <w:sz w:val="18"/>
          <w:szCs w:val="18"/>
        </w:rPr>
        <w:t xml:space="preserve">265 </w:t>
      </w:r>
      <w:r w:rsidR="00C30DEF">
        <w:rPr>
          <w:sz w:val="18"/>
          <w:szCs w:val="18"/>
        </w:rPr>
        <w:t>without</w:t>
      </w:r>
      <w:r>
        <w:rPr>
          <w:sz w:val="18"/>
          <w:szCs w:val="18"/>
        </w:rPr>
        <w:tab/>
      </w:r>
      <w:r w:rsidR="00940B5B">
        <w:rPr>
          <w:sz w:val="18"/>
          <w:szCs w:val="18"/>
        </w:rPr>
        <w:t>355</w:t>
      </w:r>
    </w:p>
    <w:p w:rsidR="002A50A1" w:rsidRDefault="002A50A1" w:rsidP="00EE3927">
      <w:pPr>
        <w:pStyle w:val="BodyTextIndent"/>
        <w:numPr>
          <w:ilvl w:val="0"/>
          <w:numId w:val="25"/>
        </w:numPr>
        <w:tabs>
          <w:tab w:val="clear" w:pos="360"/>
          <w:tab w:val="clear" w:pos="450"/>
          <w:tab w:val="right" w:pos="-2520"/>
          <w:tab w:val="num" w:pos="-720"/>
          <w:tab w:val="left" w:pos="720"/>
          <w:tab w:val="right" w:pos="5760"/>
        </w:tabs>
        <w:ind w:left="360"/>
        <w:rPr>
          <w:sz w:val="18"/>
          <w:szCs w:val="18"/>
        </w:rPr>
      </w:pPr>
      <w:r>
        <w:rPr>
          <w:sz w:val="18"/>
          <w:szCs w:val="18"/>
        </w:rPr>
        <w:t xml:space="preserve">Form </w:t>
      </w:r>
      <w:r w:rsidR="00C30DEF">
        <w:rPr>
          <w:sz w:val="18"/>
          <w:szCs w:val="18"/>
        </w:rPr>
        <w:t>468.3,</w:t>
      </w:r>
      <w:r w:rsidR="00940B5B">
        <w:rPr>
          <w:sz w:val="18"/>
          <w:szCs w:val="18"/>
        </w:rPr>
        <w:t xml:space="preserve"> 260 </w:t>
      </w:r>
      <w:r w:rsidR="00C30DEF">
        <w:rPr>
          <w:sz w:val="18"/>
          <w:szCs w:val="18"/>
        </w:rPr>
        <w:t>respondents x 3</w:t>
      </w:r>
      <w:r>
        <w:rPr>
          <w:sz w:val="18"/>
          <w:szCs w:val="18"/>
        </w:rPr>
        <w:tab/>
      </w:r>
      <w:r w:rsidR="00940B5B">
        <w:rPr>
          <w:sz w:val="18"/>
          <w:szCs w:val="18"/>
        </w:rPr>
        <w:t>780</w:t>
      </w:r>
    </w:p>
    <w:p w:rsidR="002A50A1" w:rsidRDefault="002A50A1" w:rsidP="00EE3927">
      <w:pPr>
        <w:pStyle w:val="BodyTextIndent"/>
        <w:numPr>
          <w:ilvl w:val="0"/>
          <w:numId w:val="25"/>
        </w:numPr>
        <w:tabs>
          <w:tab w:val="clear" w:pos="360"/>
          <w:tab w:val="clear" w:pos="450"/>
          <w:tab w:val="right" w:pos="-2520"/>
          <w:tab w:val="num" w:pos="-720"/>
          <w:tab w:val="left" w:pos="720"/>
          <w:tab w:val="right" w:pos="5760"/>
        </w:tabs>
        <w:ind w:left="360"/>
        <w:rPr>
          <w:sz w:val="18"/>
          <w:szCs w:val="18"/>
        </w:rPr>
      </w:pPr>
      <w:r>
        <w:rPr>
          <w:sz w:val="18"/>
          <w:szCs w:val="18"/>
        </w:rPr>
        <w:t xml:space="preserve">Form </w:t>
      </w:r>
      <w:r w:rsidR="00C30DEF">
        <w:rPr>
          <w:sz w:val="18"/>
          <w:szCs w:val="18"/>
        </w:rPr>
        <w:t xml:space="preserve">468.4, </w:t>
      </w:r>
      <w:r w:rsidR="00940B5B">
        <w:rPr>
          <w:sz w:val="18"/>
          <w:szCs w:val="18"/>
        </w:rPr>
        <w:t xml:space="preserve">9 </w:t>
      </w:r>
      <w:r w:rsidR="00C30DEF">
        <w:rPr>
          <w:sz w:val="18"/>
          <w:szCs w:val="18"/>
        </w:rPr>
        <w:t>respondents x 3</w:t>
      </w:r>
      <w:r>
        <w:rPr>
          <w:sz w:val="18"/>
          <w:szCs w:val="18"/>
        </w:rPr>
        <w:tab/>
      </w:r>
      <w:r w:rsidR="00940B5B">
        <w:rPr>
          <w:sz w:val="18"/>
          <w:szCs w:val="18"/>
        </w:rPr>
        <w:t>27</w:t>
      </w:r>
    </w:p>
    <w:p w:rsidR="00940B5B" w:rsidRDefault="002A50A1" w:rsidP="00EE3927">
      <w:pPr>
        <w:pStyle w:val="BodyTextIndent"/>
        <w:tabs>
          <w:tab w:val="clear" w:pos="450"/>
          <w:tab w:val="right" w:pos="-2520"/>
          <w:tab w:val="left" w:pos="720"/>
          <w:tab w:val="right" w:pos="5760"/>
        </w:tabs>
        <w:ind w:left="360" w:firstLine="0"/>
        <w:rPr>
          <w:sz w:val="18"/>
          <w:szCs w:val="18"/>
        </w:rPr>
      </w:pPr>
      <w:r>
        <w:rPr>
          <w:sz w:val="18"/>
          <w:szCs w:val="18"/>
        </w:rPr>
        <w:lastRenderedPageBreak/>
        <w:tab/>
      </w:r>
    </w:p>
    <w:p w:rsidR="002A50A1" w:rsidRDefault="002A50A1" w:rsidP="00940B5B">
      <w:pPr>
        <w:pStyle w:val="BodyTextIndent"/>
        <w:tabs>
          <w:tab w:val="clear" w:pos="450"/>
          <w:tab w:val="right" w:pos="-2520"/>
          <w:tab w:val="left" w:pos="720"/>
          <w:tab w:val="right" w:pos="5760"/>
        </w:tabs>
        <w:ind w:left="720" w:firstLine="0"/>
        <w:rPr>
          <w:sz w:val="18"/>
          <w:szCs w:val="18"/>
        </w:rPr>
      </w:pPr>
      <w:r>
        <w:rPr>
          <w:sz w:val="18"/>
          <w:szCs w:val="18"/>
        </w:rPr>
        <w:t>Total responses</w:t>
      </w:r>
      <w:r>
        <w:rPr>
          <w:sz w:val="18"/>
          <w:szCs w:val="18"/>
        </w:rPr>
        <w:tab/>
      </w:r>
      <w:r w:rsidR="00940B5B">
        <w:rPr>
          <w:sz w:val="18"/>
          <w:szCs w:val="18"/>
        </w:rPr>
        <w:t>1,189</w:t>
      </w:r>
      <w:r>
        <w:rPr>
          <w:sz w:val="18"/>
          <w:szCs w:val="18"/>
        </w:rPr>
        <w:tab/>
      </w:r>
      <w:r>
        <w:rPr>
          <w:sz w:val="18"/>
          <w:szCs w:val="18"/>
        </w:rPr>
        <w:tab/>
      </w:r>
      <w:r>
        <w:rPr>
          <w:sz w:val="18"/>
          <w:szCs w:val="18"/>
        </w:rPr>
        <w:tab/>
      </w:r>
    </w:p>
    <w:p w:rsidR="00EE3927" w:rsidRPr="00EE3927" w:rsidRDefault="00EE3927" w:rsidP="00EE3927">
      <w:pPr>
        <w:pStyle w:val="ListParagraph"/>
        <w:tabs>
          <w:tab w:val="left" w:pos="-720"/>
        </w:tabs>
        <w:suppressAutoHyphens/>
        <w:ind w:left="360"/>
        <w:rPr>
          <w:spacing w:val="-3"/>
          <w:sz w:val="18"/>
          <w:szCs w:val="18"/>
        </w:rPr>
      </w:pPr>
    </w:p>
    <w:p w:rsidR="00EE3927" w:rsidRPr="00EE3927" w:rsidRDefault="00EE3927" w:rsidP="00EE3927">
      <w:pPr>
        <w:pStyle w:val="ListParagraph"/>
        <w:tabs>
          <w:tab w:val="left" w:pos="-720"/>
          <w:tab w:val="right" w:pos="5760"/>
        </w:tabs>
        <w:suppressAutoHyphens/>
        <w:ind w:left="360"/>
        <w:rPr>
          <w:spacing w:val="-3"/>
          <w:sz w:val="18"/>
          <w:szCs w:val="18"/>
        </w:rPr>
      </w:pPr>
      <w:r w:rsidRPr="00EE3927">
        <w:rPr>
          <w:spacing w:val="-3"/>
          <w:sz w:val="18"/>
          <w:szCs w:val="18"/>
        </w:rPr>
        <w:t xml:space="preserve">Note 3:  The quarterly partnership Form 468.3 and quarterly corporate Form 468.4 are somewhat </w:t>
      </w:r>
      <w:r w:rsidR="00B36CF4">
        <w:rPr>
          <w:spacing w:val="-3"/>
          <w:sz w:val="18"/>
          <w:szCs w:val="18"/>
        </w:rPr>
        <w:t xml:space="preserve">shorter than </w:t>
      </w:r>
      <w:r w:rsidRPr="00EE3927">
        <w:rPr>
          <w:spacing w:val="-3"/>
          <w:sz w:val="18"/>
          <w:szCs w:val="18"/>
        </w:rPr>
        <w:t>the year end forms, consisting of pages 2-13</w:t>
      </w:r>
      <w:r w:rsidR="00B36CF4">
        <w:rPr>
          <w:spacing w:val="-3"/>
          <w:sz w:val="18"/>
          <w:szCs w:val="18"/>
        </w:rPr>
        <w:t>,</w:t>
      </w:r>
      <w:r w:rsidRPr="00EE3927">
        <w:rPr>
          <w:spacing w:val="-3"/>
          <w:sz w:val="18"/>
          <w:szCs w:val="18"/>
        </w:rPr>
        <w:t xml:space="preserve"> 15, </w:t>
      </w:r>
      <w:r w:rsidR="00A204EE">
        <w:rPr>
          <w:spacing w:val="-3"/>
          <w:sz w:val="18"/>
          <w:szCs w:val="18"/>
        </w:rPr>
        <w:t>20</w:t>
      </w:r>
      <w:proofErr w:type="gramStart"/>
      <w:r w:rsidR="00A204EE">
        <w:rPr>
          <w:spacing w:val="-3"/>
          <w:sz w:val="18"/>
          <w:szCs w:val="18"/>
        </w:rPr>
        <w:t xml:space="preserve">, </w:t>
      </w:r>
      <w:r w:rsidR="00B36CF4">
        <w:rPr>
          <w:spacing w:val="-3"/>
          <w:sz w:val="18"/>
          <w:szCs w:val="18"/>
        </w:rPr>
        <w:t xml:space="preserve"> and</w:t>
      </w:r>
      <w:proofErr w:type="gramEnd"/>
      <w:r w:rsidR="00B36CF4">
        <w:rPr>
          <w:spacing w:val="-3"/>
          <w:sz w:val="18"/>
          <w:szCs w:val="18"/>
        </w:rPr>
        <w:t xml:space="preserve"> </w:t>
      </w:r>
      <w:r w:rsidRPr="00EE3927">
        <w:rPr>
          <w:spacing w:val="-3"/>
          <w:sz w:val="18"/>
          <w:szCs w:val="18"/>
        </w:rPr>
        <w:t xml:space="preserve">a modified quarterly version of </w:t>
      </w:r>
      <w:r w:rsidR="00B36CF4">
        <w:rPr>
          <w:spacing w:val="-3"/>
          <w:sz w:val="18"/>
          <w:szCs w:val="18"/>
        </w:rPr>
        <w:t>the Certifications</w:t>
      </w:r>
      <w:r w:rsidR="004E31A1">
        <w:rPr>
          <w:spacing w:val="-3"/>
          <w:sz w:val="18"/>
          <w:szCs w:val="18"/>
        </w:rPr>
        <w:t xml:space="preserve"> that </w:t>
      </w:r>
      <w:r w:rsidRPr="00EE3927">
        <w:rPr>
          <w:spacing w:val="-3"/>
          <w:sz w:val="18"/>
          <w:szCs w:val="18"/>
        </w:rPr>
        <w:t>deletes the references to annual audited financial statements.  In addition, the quarterly reports do not include a wind-up plan.  Therefore the estimated hours per response for these forms are slightly lower than the estimated hours for the year end forms without wind-up plan.</w:t>
      </w:r>
    </w:p>
    <w:p w:rsidR="002A50A1" w:rsidRDefault="002A50A1" w:rsidP="002A50A1">
      <w:pPr>
        <w:pStyle w:val="BodyTextIndent"/>
        <w:tabs>
          <w:tab w:val="clear" w:pos="450"/>
          <w:tab w:val="left" w:pos="540"/>
        </w:tabs>
        <w:ind w:left="1080" w:firstLine="0"/>
      </w:pPr>
    </w:p>
    <w:p w:rsidR="002A50A1" w:rsidRDefault="002A50A1" w:rsidP="00EE3927">
      <w:pPr>
        <w:pStyle w:val="BodyTextIndent"/>
        <w:tabs>
          <w:tab w:val="clear" w:pos="450"/>
          <w:tab w:val="left" w:pos="360"/>
        </w:tabs>
        <w:ind w:left="360" w:firstLine="0"/>
      </w:pPr>
      <w:r>
        <w:t>The cost to respondents of the estimated hour burden is shown in the following table:</w:t>
      </w:r>
    </w:p>
    <w:p w:rsidR="002A50A1" w:rsidRDefault="002A50A1" w:rsidP="002A50A1">
      <w:pPr>
        <w:pStyle w:val="BodyTextIndent"/>
        <w:tabs>
          <w:tab w:val="clear" w:pos="450"/>
          <w:tab w:val="left" w:pos="540"/>
        </w:tabs>
        <w:ind w:left="1080" w:firstLine="0"/>
      </w:pPr>
    </w:p>
    <w:tbl>
      <w:tblPr>
        <w:tblW w:w="856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9"/>
        <w:gridCol w:w="1079"/>
        <w:gridCol w:w="360"/>
        <w:gridCol w:w="990"/>
        <w:gridCol w:w="360"/>
        <w:gridCol w:w="990"/>
        <w:gridCol w:w="450"/>
        <w:gridCol w:w="1170"/>
      </w:tblGrid>
      <w:tr w:rsidR="002A50A1" w:rsidRPr="004039AA" w:rsidTr="008B5260">
        <w:tc>
          <w:tcPr>
            <w:tcW w:w="3169" w:type="dxa"/>
          </w:tcPr>
          <w:p w:rsidR="002A50A1" w:rsidRPr="004039AA" w:rsidRDefault="002A50A1" w:rsidP="002A50A1">
            <w:pPr>
              <w:pStyle w:val="BodyTextIndent"/>
              <w:tabs>
                <w:tab w:val="clear" w:pos="450"/>
                <w:tab w:val="left" w:pos="540"/>
              </w:tabs>
              <w:ind w:left="0" w:right="-98" w:firstLine="0"/>
              <w:jc w:val="center"/>
              <w:rPr>
                <w:sz w:val="18"/>
                <w:szCs w:val="18"/>
              </w:rPr>
            </w:pPr>
          </w:p>
          <w:p w:rsidR="002A50A1" w:rsidRPr="004039AA" w:rsidRDefault="002A50A1" w:rsidP="002A50A1">
            <w:pPr>
              <w:pStyle w:val="BodyTextIndent"/>
              <w:tabs>
                <w:tab w:val="clear" w:pos="450"/>
                <w:tab w:val="left" w:pos="-2790"/>
              </w:tabs>
              <w:ind w:left="0" w:right="-98" w:firstLine="0"/>
              <w:rPr>
                <w:sz w:val="18"/>
                <w:szCs w:val="18"/>
              </w:rPr>
            </w:pPr>
            <w:r w:rsidRPr="004039AA">
              <w:rPr>
                <w:sz w:val="18"/>
                <w:szCs w:val="18"/>
              </w:rPr>
              <w:t>Form Number</w:t>
            </w:r>
          </w:p>
        </w:tc>
        <w:tc>
          <w:tcPr>
            <w:tcW w:w="1079" w:type="dxa"/>
          </w:tcPr>
          <w:p w:rsidR="002A50A1" w:rsidRPr="004039AA" w:rsidRDefault="002A50A1" w:rsidP="00004D27">
            <w:pPr>
              <w:pStyle w:val="BodyTextIndent"/>
              <w:tabs>
                <w:tab w:val="clear" w:pos="450"/>
                <w:tab w:val="left" w:pos="-6229"/>
              </w:tabs>
              <w:ind w:left="0" w:right="73" w:firstLine="0"/>
              <w:rPr>
                <w:sz w:val="18"/>
                <w:szCs w:val="18"/>
              </w:rPr>
            </w:pPr>
            <w:r w:rsidRPr="004039AA">
              <w:rPr>
                <w:sz w:val="18"/>
                <w:szCs w:val="18"/>
              </w:rPr>
              <w:t>Number of responses</w:t>
            </w:r>
          </w:p>
        </w:tc>
        <w:tc>
          <w:tcPr>
            <w:tcW w:w="360" w:type="dxa"/>
          </w:tcPr>
          <w:p w:rsidR="002A50A1" w:rsidRPr="004039AA" w:rsidRDefault="002A50A1" w:rsidP="002A50A1">
            <w:pPr>
              <w:pStyle w:val="BodyTextIndent"/>
              <w:tabs>
                <w:tab w:val="clear" w:pos="450"/>
              </w:tabs>
              <w:ind w:left="33" w:firstLine="0"/>
              <w:rPr>
                <w:sz w:val="18"/>
                <w:szCs w:val="18"/>
              </w:rPr>
            </w:pPr>
          </w:p>
          <w:p w:rsidR="002A50A1" w:rsidRPr="004039AA" w:rsidRDefault="002A50A1" w:rsidP="002A50A1">
            <w:pPr>
              <w:pStyle w:val="BodyTextIndent"/>
              <w:tabs>
                <w:tab w:val="clear" w:pos="450"/>
              </w:tabs>
              <w:ind w:left="33" w:firstLine="0"/>
              <w:rPr>
                <w:sz w:val="18"/>
                <w:szCs w:val="18"/>
              </w:rPr>
            </w:pPr>
            <w:r w:rsidRPr="004039AA">
              <w:rPr>
                <w:sz w:val="18"/>
                <w:szCs w:val="18"/>
              </w:rPr>
              <w:t>x</w:t>
            </w:r>
          </w:p>
        </w:tc>
        <w:tc>
          <w:tcPr>
            <w:tcW w:w="990" w:type="dxa"/>
          </w:tcPr>
          <w:p w:rsidR="002A50A1" w:rsidRPr="004039AA" w:rsidRDefault="002A50A1" w:rsidP="00004D27">
            <w:pPr>
              <w:pStyle w:val="BodyTextIndent"/>
              <w:tabs>
                <w:tab w:val="clear" w:pos="450"/>
              </w:tabs>
              <w:ind w:left="0" w:firstLine="0"/>
              <w:rPr>
                <w:sz w:val="18"/>
                <w:szCs w:val="18"/>
              </w:rPr>
            </w:pPr>
            <w:r w:rsidRPr="004039AA">
              <w:rPr>
                <w:sz w:val="18"/>
                <w:szCs w:val="18"/>
              </w:rPr>
              <w:t>Hours per response</w:t>
            </w:r>
          </w:p>
        </w:tc>
        <w:tc>
          <w:tcPr>
            <w:tcW w:w="360" w:type="dxa"/>
          </w:tcPr>
          <w:p w:rsidR="002A50A1" w:rsidRPr="004039AA" w:rsidRDefault="002A50A1" w:rsidP="002A50A1">
            <w:pPr>
              <w:pStyle w:val="BodyTextIndent"/>
              <w:tabs>
                <w:tab w:val="clear" w:pos="450"/>
              </w:tabs>
              <w:ind w:left="0" w:firstLine="0"/>
              <w:jc w:val="center"/>
              <w:rPr>
                <w:sz w:val="18"/>
                <w:szCs w:val="18"/>
              </w:rPr>
            </w:pPr>
          </w:p>
          <w:p w:rsidR="002A50A1" w:rsidRPr="004039AA" w:rsidRDefault="002A50A1" w:rsidP="002A50A1">
            <w:pPr>
              <w:pStyle w:val="BodyTextIndent"/>
              <w:tabs>
                <w:tab w:val="clear" w:pos="450"/>
              </w:tabs>
              <w:ind w:left="0" w:firstLine="0"/>
              <w:jc w:val="center"/>
              <w:rPr>
                <w:sz w:val="18"/>
                <w:szCs w:val="18"/>
              </w:rPr>
            </w:pPr>
            <w:r w:rsidRPr="004039AA">
              <w:rPr>
                <w:sz w:val="18"/>
                <w:szCs w:val="18"/>
              </w:rPr>
              <w:t>x</w:t>
            </w:r>
          </w:p>
        </w:tc>
        <w:tc>
          <w:tcPr>
            <w:tcW w:w="990" w:type="dxa"/>
          </w:tcPr>
          <w:p w:rsidR="002A50A1" w:rsidRPr="004039AA" w:rsidRDefault="002A50A1" w:rsidP="008B5260">
            <w:pPr>
              <w:pStyle w:val="BodyTextIndent"/>
              <w:tabs>
                <w:tab w:val="clear" w:pos="450"/>
                <w:tab w:val="left" w:pos="-9925"/>
                <w:tab w:val="left" w:pos="-9808"/>
              </w:tabs>
              <w:ind w:left="2" w:right="72" w:firstLine="0"/>
              <w:rPr>
                <w:sz w:val="18"/>
                <w:szCs w:val="18"/>
              </w:rPr>
            </w:pPr>
            <w:r w:rsidRPr="004039AA">
              <w:rPr>
                <w:sz w:val="18"/>
                <w:szCs w:val="18"/>
              </w:rPr>
              <w:t>Cost per hour</w:t>
            </w:r>
          </w:p>
        </w:tc>
        <w:tc>
          <w:tcPr>
            <w:tcW w:w="450" w:type="dxa"/>
          </w:tcPr>
          <w:p w:rsidR="002A50A1" w:rsidRPr="004039AA" w:rsidRDefault="002A50A1" w:rsidP="002A50A1">
            <w:pPr>
              <w:pStyle w:val="BodyTextIndent"/>
              <w:tabs>
                <w:tab w:val="clear" w:pos="450"/>
              </w:tabs>
              <w:ind w:left="0" w:firstLine="0"/>
              <w:jc w:val="center"/>
              <w:rPr>
                <w:sz w:val="18"/>
                <w:szCs w:val="18"/>
              </w:rPr>
            </w:pPr>
          </w:p>
          <w:p w:rsidR="002A50A1" w:rsidRPr="004039AA" w:rsidRDefault="002A50A1" w:rsidP="002A50A1">
            <w:pPr>
              <w:pStyle w:val="BodyTextIndent"/>
              <w:tabs>
                <w:tab w:val="clear" w:pos="450"/>
              </w:tabs>
              <w:ind w:left="0" w:firstLine="0"/>
              <w:jc w:val="center"/>
              <w:rPr>
                <w:sz w:val="18"/>
                <w:szCs w:val="18"/>
              </w:rPr>
            </w:pPr>
            <w:r w:rsidRPr="004039AA">
              <w:rPr>
                <w:sz w:val="18"/>
                <w:szCs w:val="18"/>
              </w:rPr>
              <w:t>=</w:t>
            </w:r>
          </w:p>
        </w:tc>
        <w:tc>
          <w:tcPr>
            <w:tcW w:w="1170" w:type="dxa"/>
          </w:tcPr>
          <w:p w:rsidR="002A50A1" w:rsidRPr="004039AA" w:rsidRDefault="002A50A1" w:rsidP="002A50A1">
            <w:pPr>
              <w:pStyle w:val="BodyTextIndent"/>
              <w:tabs>
                <w:tab w:val="clear" w:pos="450"/>
              </w:tabs>
              <w:ind w:left="34" w:firstLine="0"/>
              <w:rPr>
                <w:sz w:val="18"/>
                <w:szCs w:val="18"/>
              </w:rPr>
            </w:pPr>
          </w:p>
          <w:p w:rsidR="002A50A1" w:rsidRPr="004039AA" w:rsidRDefault="002A50A1" w:rsidP="002A50A1">
            <w:pPr>
              <w:pStyle w:val="BodyTextIndent"/>
              <w:tabs>
                <w:tab w:val="clear" w:pos="450"/>
              </w:tabs>
              <w:ind w:left="34" w:firstLine="0"/>
              <w:rPr>
                <w:sz w:val="18"/>
                <w:szCs w:val="18"/>
              </w:rPr>
            </w:pPr>
            <w:r w:rsidRPr="004039AA">
              <w:rPr>
                <w:sz w:val="18"/>
                <w:szCs w:val="18"/>
              </w:rPr>
              <w:t>Total Cost</w:t>
            </w:r>
          </w:p>
        </w:tc>
      </w:tr>
      <w:tr w:rsidR="00004D27" w:rsidRPr="004039AA" w:rsidTr="008B5260">
        <w:tc>
          <w:tcPr>
            <w:tcW w:w="3169" w:type="dxa"/>
          </w:tcPr>
          <w:p w:rsidR="00004D27" w:rsidRPr="004039AA" w:rsidRDefault="00004D27" w:rsidP="00004D27">
            <w:pPr>
              <w:pStyle w:val="BodyTextIndent"/>
              <w:tabs>
                <w:tab w:val="clear" w:pos="450"/>
                <w:tab w:val="left" w:pos="-2070"/>
              </w:tabs>
              <w:ind w:left="0" w:firstLine="0"/>
              <w:rPr>
                <w:sz w:val="20"/>
              </w:rPr>
            </w:pPr>
            <w:r w:rsidRPr="004039AA">
              <w:rPr>
                <w:sz w:val="20"/>
              </w:rPr>
              <w:t xml:space="preserve">Form </w:t>
            </w:r>
            <w:r>
              <w:rPr>
                <w:sz w:val="20"/>
              </w:rPr>
              <w:t>468.1 – with wind-up plan</w:t>
            </w:r>
          </w:p>
        </w:tc>
        <w:tc>
          <w:tcPr>
            <w:tcW w:w="1079" w:type="dxa"/>
          </w:tcPr>
          <w:p w:rsidR="00004D27" w:rsidRPr="004039AA" w:rsidRDefault="00940B5B" w:rsidP="00004D27">
            <w:pPr>
              <w:pStyle w:val="BodyTextIndent"/>
              <w:tabs>
                <w:tab w:val="clear" w:pos="450"/>
                <w:tab w:val="left" w:pos="-6229"/>
              </w:tabs>
              <w:ind w:left="0" w:right="73" w:firstLine="0"/>
              <w:jc w:val="right"/>
              <w:rPr>
                <w:sz w:val="20"/>
              </w:rPr>
            </w:pPr>
            <w:r>
              <w:rPr>
                <w:sz w:val="20"/>
              </w:rPr>
              <w:t>3</w:t>
            </w:r>
          </w:p>
        </w:tc>
        <w:tc>
          <w:tcPr>
            <w:tcW w:w="360" w:type="dxa"/>
          </w:tcPr>
          <w:p w:rsidR="00004D27" w:rsidRPr="004039AA" w:rsidRDefault="00004D27" w:rsidP="00004D27">
            <w:pPr>
              <w:pStyle w:val="BodyTextIndent"/>
              <w:tabs>
                <w:tab w:val="clear" w:pos="450"/>
              </w:tabs>
              <w:ind w:left="33" w:firstLine="0"/>
              <w:jc w:val="right"/>
              <w:rPr>
                <w:sz w:val="20"/>
              </w:rPr>
            </w:pPr>
          </w:p>
        </w:tc>
        <w:tc>
          <w:tcPr>
            <w:tcW w:w="990" w:type="dxa"/>
          </w:tcPr>
          <w:p w:rsidR="00004D27" w:rsidRPr="004039AA" w:rsidRDefault="00004D27" w:rsidP="00004D27">
            <w:pPr>
              <w:pStyle w:val="BodyTextIndent"/>
              <w:tabs>
                <w:tab w:val="clear" w:pos="450"/>
              </w:tabs>
              <w:ind w:left="0" w:firstLine="0"/>
              <w:jc w:val="right"/>
              <w:rPr>
                <w:sz w:val="20"/>
              </w:rPr>
            </w:pPr>
            <w:r>
              <w:rPr>
                <w:sz w:val="20"/>
              </w:rPr>
              <w:t>35</w:t>
            </w:r>
          </w:p>
        </w:tc>
        <w:tc>
          <w:tcPr>
            <w:tcW w:w="360" w:type="dxa"/>
          </w:tcPr>
          <w:p w:rsidR="00004D27" w:rsidRPr="004039AA" w:rsidRDefault="00004D27" w:rsidP="002A50A1">
            <w:pPr>
              <w:pStyle w:val="BodyTextIndent"/>
              <w:tabs>
                <w:tab w:val="clear" w:pos="450"/>
              </w:tabs>
              <w:ind w:left="0" w:firstLine="0"/>
              <w:jc w:val="right"/>
              <w:rPr>
                <w:sz w:val="20"/>
              </w:rPr>
            </w:pPr>
          </w:p>
        </w:tc>
        <w:tc>
          <w:tcPr>
            <w:tcW w:w="990" w:type="dxa"/>
          </w:tcPr>
          <w:p w:rsidR="00004D27" w:rsidRPr="004039AA" w:rsidRDefault="00004D27" w:rsidP="00940B5B">
            <w:pPr>
              <w:pStyle w:val="BodyTextIndent"/>
              <w:tabs>
                <w:tab w:val="clear" w:pos="450"/>
                <w:tab w:val="left" w:pos="-9925"/>
                <w:tab w:val="left" w:pos="-9808"/>
              </w:tabs>
              <w:ind w:left="2" w:right="72" w:firstLine="0"/>
              <w:jc w:val="right"/>
              <w:rPr>
                <w:sz w:val="20"/>
              </w:rPr>
            </w:pPr>
            <w:r w:rsidRPr="004039AA">
              <w:rPr>
                <w:sz w:val="20"/>
              </w:rPr>
              <w:t>$</w:t>
            </w:r>
            <w:r w:rsidR="00940B5B">
              <w:rPr>
                <w:sz w:val="20"/>
              </w:rPr>
              <w:t>40</w:t>
            </w:r>
          </w:p>
        </w:tc>
        <w:tc>
          <w:tcPr>
            <w:tcW w:w="450" w:type="dxa"/>
          </w:tcPr>
          <w:p w:rsidR="00004D27" w:rsidRPr="004039AA" w:rsidRDefault="00004D27" w:rsidP="002A50A1">
            <w:pPr>
              <w:pStyle w:val="BodyTextIndent"/>
              <w:tabs>
                <w:tab w:val="clear" w:pos="450"/>
              </w:tabs>
              <w:ind w:left="0" w:firstLine="0"/>
              <w:jc w:val="right"/>
              <w:rPr>
                <w:sz w:val="20"/>
              </w:rPr>
            </w:pPr>
          </w:p>
        </w:tc>
        <w:tc>
          <w:tcPr>
            <w:tcW w:w="1170" w:type="dxa"/>
          </w:tcPr>
          <w:p w:rsidR="00004D27" w:rsidRPr="004039AA" w:rsidRDefault="00004D27" w:rsidP="0094776C">
            <w:pPr>
              <w:pStyle w:val="BodyTextIndent"/>
              <w:tabs>
                <w:tab w:val="clear" w:pos="450"/>
              </w:tabs>
              <w:ind w:left="34" w:firstLine="0"/>
              <w:jc w:val="right"/>
              <w:rPr>
                <w:sz w:val="20"/>
              </w:rPr>
            </w:pPr>
            <w:r>
              <w:rPr>
                <w:sz w:val="20"/>
              </w:rPr>
              <w:t>$</w:t>
            </w:r>
            <w:r w:rsidR="00EE4BAB" w:rsidRPr="004039AA">
              <w:rPr>
                <w:sz w:val="20"/>
              </w:rPr>
              <w:fldChar w:fldCharType="begin"/>
            </w:r>
            <w:r w:rsidRPr="004039AA">
              <w:rPr>
                <w:sz w:val="20"/>
              </w:rPr>
              <w:instrText xml:space="preserve"> PRODUCT(left) </w:instrText>
            </w:r>
            <w:r w:rsidR="00EE4BAB" w:rsidRPr="004039AA">
              <w:rPr>
                <w:sz w:val="20"/>
              </w:rPr>
              <w:fldChar w:fldCharType="end"/>
            </w:r>
            <w:r w:rsidR="0094776C">
              <w:rPr>
                <w:sz w:val="20"/>
              </w:rPr>
              <w:t>4</w:t>
            </w:r>
            <w:r w:rsidRPr="004039AA">
              <w:rPr>
                <w:sz w:val="20"/>
              </w:rPr>
              <w:t>,</w:t>
            </w:r>
            <w:r w:rsidR="008B5260">
              <w:rPr>
                <w:sz w:val="20"/>
              </w:rPr>
              <w:t>2</w:t>
            </w:r>
            <w:r w:rsidR="0094776C">
              <w:rPr>
                <w:sz w:val="20"/>
              </w:rPr>
              <w:t>00</w:t>
            </w:r>
          </w:p>
        </w:tc>
      </w:tr>
      <w:tr w:rsidR="00004D27" w:rsidRPr="004039AA" w:rsidTr="008B5260">
        <w:tc>
          <w:tcPr>
            <w:tcW w:w="3169" w:type="dxa"/>
          </w:tcPr>
          <w:p w:rsidR="00004D27" w:rsidRPr="004039AA" w:rsidRDefault="00004D27" w:rsidP="00004D27">
            <w:pPr>
              <w:pStyle w:val="BodyTextIndent"/>
              <w:tabs>
                <w:tab w:val="clear" w:pos="450"/>
                <w:tab w:val="left" w:pos="-2070"/>
              </w:tabs>
              <w:ind w:left="0" w:firstLine="0"/>
              <w:rPr>
                <w:sz w:val="20"/>
              </w:rPr>
            </w:pPr>
            <w:r>
              <w:rPr>
                <w:sz w:val="20"/>
              </w:rPr>
              <w:t>Form 468.1 – without wind-up plan</w:t>
            </w:r>
          </w:p>
        </w:tc>
        <w:tc>
          <w:tcPr>
            <w:tcW w:w="1079" w:type="dxa"/>
          </w:tcPr>
          <w:p w:rsidR="00004D27" w:rsidRPr="004039AA" w:rsidRDefault="00940B5B" w:rsidP="00004D27">
            <w:pPr>
              <w:pStyle w:val="BodyTextIndent"/>
              <w:tabs>
                <w:tab w:val="clear" w:pos="450"/>
                <w:tab w:val="left" w:pos="-6229"/>
              </w:tabs>
              <w:ind w:left="0" w:right="73" w:firstLine="0"/>
              <w:jc w:val="right"/>
              <w:rPr>
                <w:sz w:val="20"/>
              </w:rPr>
            </w:pPr>
            <w:r>
              <w:rPr>
                <w:sz w:val="20"/>
              </w:rPr>
              <w:t>24</w:t>
            </w:r>
          </w:p>
        </w:tc>
        <w:tc>
          <w:tcPr>
            <w:tcW w:w="360" w:type="dxa"/>
          </w:tcPr>
          <w:p w:rsidR="00004D27" w:rsidRPr="004039AA" w:rsidRDefault="00004D27" w:rsidP="00004D27">
            <w:pPr>
              <w:pStyle w:val="BodyTextIndent"/>
              <w:tabs>
                <w:tab w:val="clear" w:pos="450"/>
              </w:tabs>
              <w:ind w:left="33" w:firstLine="0"/>
              <w:jc w:val="right"/>
              <w:rPr>
                <w:sz w:val="20"/>
              </w:rPr>
            </w:pPr>
          </w:p>
        </w:tc>
        <w:tc>
          <w:tcPr>
            <w:tcW w:w="990" w:type="dxa"/>
          </w:tcPr>
          <w:p w:rsidR="00004D27" w:rsidRPr="004039AA" w:rsidRDefault="00004D27" w:rsidP="00004D27">
            <w:pPr>
              <w:pStyle w:val="BodyTextIndent"/>
              <w:tabs>
                <w:tab w:val="clear" w:pos="450"/>
              </w:tabs>
              <w:ind w:left="0" w:firstLine="0"/>
              <w:jc w:val="right"/>
              <w:rPr>
                <w:sz w:val="20"/>
              </w:rPr>
            </w:pPr>
            <w:r w:rsidRPr="004039AA">
              <w:rPr>
                <w:sz w:val="20"/>
              </w:rPr>
              <w:t>2</w:t>
            </w:r>
            <w:r>
              <w:rPr>
                <w:sz w:val="20"/>
              </w:rPr>
              <w:t>5</w:t>
            </w:r>
          </w:p>
        </w:tc>
        <w:tc>
          <w:tcPr>
            <w:tcW w:w="360" w:type="dxa"/>
          </w:tcPr>
          <w:p w:rsidR="00004D27" w:rsidRPr="004039AA" w:rsidRDefault="00004D27" w:rsidP="002A50A1">
            <w:pPr>
              <w:pStyle w:val="BodyTextIndent"/>
              <w:tabs>
                <w:tab w:val="clear" w:pos="450"/>
              </w:tabs>
              <w:ind w:left="0" w:firstLine="0"/>
              <w:jc w:val="right"/>
              <w:rPr>
                <w:sz w:val="20"/>
              </w:rPr>
            </w:pPr>
          </w:p>
        </w:tc>
        <w:tc>
          <w:tcPr>
            <w:tcW w:w="990" w:type="dxa"/>
          </w:tcPr>
          <w:p w:rsidR="00004D27" w:rsidRPr="004039AA" w:rsidRDefault="00004D27" w:rsidP="00940B5B">
            <w:pPr>
              <w:pStyle w:val="BodyTextIndent"/>
              <w:tabs>
                <w:tab w:val="clear" w:pos="450"/>
                <w:tab w:val="left" w:pos="-9925"/>
                <w:tab w:val="left" w:pos="-9808"/>
              </w:tabs>
              <w:ind w:left="2" w:right="72" w:firstLine="0"/>
              <w:jc w:val="right"/>
              <w:rPr>
                <w:sz w:val="20"/>
              </w:rPr>
            </w:pPr>
            <w:r w:rsidRPr="004039AA">
              <w:rPr>
                <w:sz w:val="20"/>
              </w:rPr>
              <w:t>$</w:t>
            </w:r>
            <w:r w:rsidR="00940B5B">
              <w:rPr>
                <w:sz w:val="20"/>
              </w:rPr>
              <w:t>40</w:t>
            </w:r>
          </w:p>
        </w:tc>
        <w:tc>
          <w:tcPr>
            <w:tcW w:w="450" w:type="dxa"/>
          </w:tcPr>
          <w:p w:rsidR="00004D27" w:rsidRPr="004039AA" w:rsidRDefault="00004D27" w:rsidP="002A50A1">
            <w:pPr>
              <w:pStyle w:val="BodyTextIndent"/>
              <w:tabs>
                <w:tab w:val="clear" w:pos="450"/>
              </w:tabs>
              <w:ind w:left="0" w:firstLine="0"/>
              <w:jc w:val="right"/>
              <w:rPr>
                <w:sz w:val="20"/>
              </w:rPr>
            </w:pPr>
          </w:p>
        </w:tc>
        <w:tc>
          <w:tcPr>
            <w:tcW w:w="1170" w:type="dxa"/>
          </w:tcPr>
          <w:p w:rsidR="00004D27" w:rsidRPr="004039AA" w:rsidRDefault="00004D27" w:rsidP="0094776C">
            <w:pPr>
              <w:pStyle w:val="BodyTextIndent"/>
              <w:tabs>
                <w:tab w:val="clear" w:pos="450"/>
              </w:tabs>
              <w:ind w:left="34" w:firstLine="0"/>
              <w:jc w:val="right"/>
              <w:rPr>
                <w:sz w:val="20"/>
              </w:rPr>
            </w:pPr>
            <w:r>
              <w:rPr>
                <w:sz w:val="20"/>
              </w:rPr>
              <w:t>$</w:t>
            </w:r>
            <w:r w:rsidR="0094776C">
              <w:rPr>
                <w:sz w:val="20"/>
              </w:rPr>
              <w:t>24</w:t>
            </w:r>
            <w:r w:rsidRPr="004039AA">
              <w:rPr>
                <w:sz w:val="20"/>
              </w:rPr>
              <w:t>,</w:t>
            </w:r>
            <w:r w:rsidR="0094776C">
              <w:rPr>
                <w:sz w:val="20"/>
              </w:rPr>
              <w:t>000</w:t>
            </w:r>
          </w:p>
        </w:tc>
      </w:tr>
      <w:tr w:rsidR="00004D27" w:rsidRPr="004039AA" w:rsidTr="008B5260">
        <w:tc>
          <w:tcPr>
            <w:tcW w:w="3169" w:type="dxa"/>
          </w:tcPr>
          <w:p w:rsidR="00004D27" w:rsidRPr="004039AA" w:rsidRDefault="00004D27" w:rsidP="00004D27">
            <w:pPr>
              <w:pStyle w:val="BodyTextIndent"/>
              <w:tabs>
                <w:tab w:val="clear" w:pos="450"/>
                <w:tab w:val="left" w:pos="-2070"/>
              </w:tabs>
              <w:ind w:left="0" w:firstLine="0"/>
              <w:rPr>
                <w:sz w:val="20"/>
              </w:rPr>
            </w:pPr>
            <w:r w:rsidRPr="004039AA">
              <w:rPr>
                <w:sz w:val="20"/>
              </w:rPr>
              <w:t xml:space="preserve">Form </w:t>
            </w:r>
            <w:r>
              <w:rPr>
                <w:sz w:val="20"/>
              </w:rPr>
              <w:t>468.2 – with wind-up plan</w:t>
            </w:r>
          </w:p>
        </w:tc>
        <w:tc>
          <w:tcPr>
            <w:tcW w:w="1079" w:type="dxa"/>
          </w:tcPr>
          <w:p w:rsidR="00004D27" w:rsidRPr="004039AA" w:rsidRDefault="00940B5B" w:rsidP="00004D27">
            <w:pPr>
              <w:pStyle w:val="BodyTextIndent"/>
              <w:tabs>
                <w:tab w:val="clear" w:pos="450"/>
                <w:tab w:val="left" w:pos="-6229"/>
              </w:tabs>
              <w:ind w:left="0" w:right="73" w:firstLine="0"/>
              <w:jc w:val="right"/>
              <w:rPr>
                <w:sz w:val="20"/>
              </w:rPr>
            </w:pPr>
            <w:r>
              <w:rPr>
                <w:sz w:val="20"/>
              </w:rPr>
              <w:t>90</w:t>
            </w:r>
          </w:p>
        </w:tc>
        <w:tc>
          <w:tcPr>
            <w:tcW w:w="360" w:type="dxa"/>
          </w:tcPr>
          <w:p w:rsidR="00004D27" w:rsidRPr="004039AA" w:rsidRDefault="00004D27" w:rsidP="00004D27">
            <w:pPr>
              <w:pStyle w:val="BodyTextIndent"/>
              <w:tabs>
                <w:tab w:val="clear" w:pos="450"/>
              </w:tabs>
              <w:ind w:left="33" w:firstLine="0"/>
              <w:jc w:val="right"/>
              <w:rPr>
                <w:sz w:val="20"/>
              </w:rPr>
            </w:pPr>
          </w:p>
        </w:tc>
        <w:tc>
          <w:tcPr>
            <w:tcW w:w="990" w:type="dxa"/>
          </w:tcPr>
          <w:p w:rsidR="00004D27" w:rsidRPr="004039AA" w:rsidRDefault="00004D27" w:rsidP="00004D27">
            <w:pPr>
              <w:pStyle w:val="BodyTextIndent"/>
              <w:tabs>
                <w:tab w:val="clear" w:pos="450"/>
              </w:tabs>
              <w:ind w:left="0" w:firstLine="0"/>
              <w:jc w:val="right"/>
              <w:rPr>
                <w:sz w:val="20"/>
              </w:rPr>
            </w:pPr>
            <w:r>
              <w:rPr>
                <w:sz w:val="20"/>
              </w:rPr>
              <w:t>35</w:t>
            </w:r>
          </w:p>
        </w:tc>
        <w:tc>
          <w:tcPr>
            <w:tcW w:w="360" w:type="dxa"/>
          </w:tcPr>
          <w:p w:rsidR="00004D27" w:rsidRPr="004039AA" w:rsidRDefault="00004D27" w:rsidP="002A50A1">
            <w:pPr>
              <w:pStyle w:val="BodyTextIndent"/>
              <w:tabs>
                <w:tab w:val="clear" w:pos="450"/>
              </w:tabs>
              <w:ind w:left="0" w:firstLine="0"/>
              <w:jc w:val="right"/>
              <w:rPr>
                <w:sz w:val="20"/>
              </w:rPr>
            </w:pPr>
          </w:p>
        </w:tc>
        <w:tc>
          <w:tcPr>
            <w:tcW w:w="990" w:type="dxa"/>
          </w:tcPr>
          <w:p w:rsidR="00004D27" w:rsidRPr="004039AA" w:rsidRDefault="008B5260" w:rsidP="00940B5B">
            <w:pPr>
              <w:pStyle w:val="BodyTextIndent"/>
              <w:tabs>
                <w:tab w:val="clear" w:pos="450"/>
                <w:tab w:val="left" w:pos="-9925"/>
                <w:tab w:val="left" w:pos="-9808"/>
              </w:tabs>
              <w:ind w:left="2" w:right="72" w:firstLine="0"/>
              <w:jc w:val="right"/>
              <w:rPr>
                <w:sz w:val="20"/>
              </w:rPr>
            </w:pPr>
            <w:r w:rsidRPr="004039AA">
              <w:rPr>
                <w:sz w:val="20"/>
              </w:rPr>
              <w:t>$</w:t>
            </w:r>
            <w:r w:rsidR="00940B5B">
              <w:rPr>
                <w:sz w:val="20"/>
              </w:rPr>
              <w:t>40</w:t>
            </w:r>
          </w:p>
        </w:tc>
        <w:tc>
          <w:tcPr>
            <w:tcW w:w="450" w:type="dxa"/>
          </w:tcPr>
          <w:p w:rsidR="00004D27" w:rsidRPr="004039AA" w:rsidRDefault="00004D27" w:rsidP="002A50A1">
            <w:pPr>
              <w:pStyle w:val="BodyTextIndent"/>
              <w:tabs>
                <w:tab w:val="clear" w:pos="450"/>
              </w:tabs>
              <w:ind w:left="0" w:firstLine="0"/>
              <w:jc w:val="right"/>
              <w:rPr>
                <w:sz w:val="20"/>
              </w:rPr>
            </w:pPr>
          </w:p>
        </w:tc>
        <w:tc>
          <w:tcPr>
            <w:tcW w:w="1170" w:type="dxa"/>
          </w:tcPr>
          <w:p w:rsidR="00004D27" w:rsidRDefault="008B5260" w:rsidP="0094776C">
            <w:pPr>
              <w:pStyle w:val="BodyTextIndent"/>
              <w:tabs>
                <w:tab w:val="clear" w:pos="450"/>
              </w:tabs>
              <w:ind w:left="34" w:firstLine="0"/>
              <w:jc w:val="right"/>
              <w:rPr>
                <w:sz w:val="20"/>
              </w:rPr>
            </w:pPr>
            <w:r>
              <w:rPr>
                <w:sz w:val="20"/>
              </w:rPr>
              <w:t>$</w:t>
            </w:r>
            <w:r w:rsidR="0094776C">
              <w:rPr>
                <w:sz w:val="20"/>
              </w:rPr>
              <w:t>126</w:t>
            </w:r>
            <w:r>
              <w:rPr>
                <w:sz w:val="20"/>
              </w:rPr>
              <w:t>,</w:t>
            </w:r>
            <w:r w:rsidR="0094776C">
              <w:rPr>
                <w:sz w:val="20"/>
              </w:rPr>
              <w:t>000</w:t>
            </w:r>
          </w:p>
        </w:tc>
      </w:tr>
      <w:tr w:rsidR="00004D27" w:rsidRPr="004039AA" w:rsidTr="008B5260">
        <w:tc>
          <w:tcPr>
            <w:tcW w:w="3169" w:type="dxa"/>
          </w:tcPr>
          <w:p w:rsidR="00004D27" w:rsidRPr="004039AA" w:rsidRDefault="00004D27" w:rsidP="00004D27">
            <w:pPr>
              <w:pStyle w:val="BodyTextIndent"/>
              <w:tabs>
                <w:tab w:val="clear" w:pos="450"/>
                <w:tab w:val="left" w:pos="-2070"/>
              </w:tabs>
              <w:ind w:left="0" w:firstLine="0"/>
              <w:rPr>
                <w:sz w:val="20"/>
              </w:rPr>
            </w:pPr>
            <w:r>
              <w:rPr>
                <w:sz w:val="20"/>
              </w:rPr>
              <w:t>Form 468.2 – without wind-up plan</w:t>
            </w:r>
          </w:p>
        </w:tc>
        <w:tc>
          <w:tcPr>
            <w:tcW w:w="1079" w:type="dxa"/>
          </w:tcPr>
          <w:p w:rsidR="00004D27" w:rsidRPr="004039AA" w:rsidRDefault="00940B5B" w:rsidP="0024438C">
            <w:pPr>
              <w:pStyle w:val="BodyTextIndent"/>
              <w:tabs>
                <w:tab w:val="clear" w:pos="450"/>
                <w:tab w:val="left" w:pos="-6229"/>
              </w:tabs>
              <w:ind w:left="0" w:right="73" w:firstLine="0"/>
              <w:jc w:val="right"/>
              <w:rPr>
                <w:sz w:val="20"/>
              </w:rPr>
            </w:pPr>
            <w:r>
              <w:rPr>
                <w:sz w:val="20"/>
              </w:rPr>
              <w:t>265</w:t>
            </w:r>
          </w:p>
        </w:tc>
        <w:tc>
          <w:tcPr>
            <w:tcW w:w="360" w:type="dxa"/>
          </w:tcPr>
          <w:p w:rsidR="00004D27" w:rsidRPr="004039AA" w:rsidRDefault="00004D27" w:rsidP="00004D27">
            <w:pPr>
              <w:pStyle w:val="BodyTextIndent"/>
              <w:tabs>
                <w:tab w:val="clear" w:pos="450"/>
              </w:tabs>
              <w:ind w:left="33" w:firstLine="0"/>
              <w:jc w:val="right"/>
              <w:rPr>
                <w:sz w:val="20"/>
              </w:rPr>
            </w:pPr>
          </w:p>
        </w:tc>
        <w:tc>
          <w:tcPr>
            <w:tcW w:w="990" w:type="dxa"/>
          </w:tcPr>
          <w:p w:rsidR="00004D27" w:rsidRPr="004039AA" w:rsidRDefault="00004D27" w:rsidP="00004D27">
            <w:pPr>
              <w:pStyle w:val="BodyTextIndent"/>
              <w:tabs>
                <w:tab w:val="clear" w:pos="450"/>
              </w:tabs>
              <w:ind w:left="0" w:firstLine="0"/>
              <w:jc w:val="right"/>
              <w:rPr>
                <w:sz w:val="20"/>
              </w:rPr>
            </w:pPr>
            <w:r>
              <w:rPr>
                <w:sz w:val="20"/>
              </w:rPr>
              <w:t>25</w:t>
            </w:r>
          </w:p>
        </w:tc>
        <w:tc>
          <w:tcPr>
            <w:tcW w:w="360" w:type="dxa"/>
          </w:tcPr>
          <w:p w:rsidR="00004D27" w:rsidRPr="004039AA" w:rsidRDefault="00004D27" w:rsidP="002A50A1">
            <w:pPr>
              <w:pStyle w:val="BodyTextIndent"/>
              <w:tabs>
                <w:tab w:val="clear" w:pos="450"/>
              </w:tabs>
              <w:ind w:left="0" w:firstLine="0"/>
              <w:jc w:val="right"/>
              <w:rPr>
                <w:sz w:val="20"/>
              </w:rPr>
            </w:pPr>
          </w:p>
        </w:tc>
        <w:tc>
          <w:tcPr>
            <w:tcW w:w="990" w:type="dxa"/>
          </w:tcPr>
          <w:p w:rsidR="00004D27" w:rsidRPr="004039AA" w:rsidRDefault="00004D27" w:rsidP="00940B5B">
            <w:pPr>
              <w:pStyle w:val="BodyTextIndent"/>
              <w:tabs>
                <w:tab w:val="clear" w:pos="450"/>
                <w:tab w:val="left" w:pos="-9925"/>
                <w:tab w:val="left" w:pos="-9808"/>
              </w:tabs>
              <w:ind w:left="2" w:right="72" w:firstLine="0"/>
              <w:jc w:val="right"/>
              <w:rPr>
                <w:sz w:val="20"/>
              </w:rPr>
            </w:pPr>
            <w:r w:rsidRPr="004039AA">
              <w:rPr>
                <w:sz w:val="20"/>
              </w:rPr>
              <w:t>$</w:t>
            </w:r>
            <w:r w:rsidR="00940B5B">
              <w:rPr>
                <w:sz w:val="20"/>
              </w:rPr>
              <w:t>40</w:t>
            </w:r>
          </w:p>
        </w:tc>
        <w:tc>
          <w:tcPr>
            <w:tcW w:w="450" w:type="dxa"/>
          </w:tcPr>
          <w:p w:rsidR="00004D27" w:rsidRPr="004039AA" w:rsidRDefault="00004D27" w:rsidP="002A50A1">
            <w:pPr>
              <w:pStyle w:val="BodyTextIndent"/>
              <w:tabs>
                <w:tab w:val="clear" w:pos="450"/>
              </w:tabs>
              <w:ind w:left="0" w:firstLine="0"/>
              <w:jc w:val="right"/>
              <w:rPr>
                <w:sz w:val="20"/>
              </w:rPr>
            </w:pPr>
          </w:p>
        </w:tc>
        <w:tc>
          <w:tcPr>
            <w:tcW w:w="1170" w:type="dxa"/>
          </w:tcPr>
          <w:p w:rsidR="00004D27" w:rsidRPr="004039AA" w:rsidRDefault="00004D27" w:rsidP="0094776C">
            <w:pPr>
              <w:pStyle w:val="BodyTextIndent"/>
              <w:tabs>
                <w:tab w:val="clear" w:pos="450"/>
              </w:tabs>
              <w:ind w:left="34" w:firstLine="0"/>
              <w:jc w:val="right"/>
              <w:rPr>
                <w:sz w:val="20"/>
              </w:rPr>
            </w:pPr>
            <w:r>
              <w:rPr>
                <w:sz w:val="20"/>
              </w:rPr>
              <w:t>$</w:t>
            </w:r>
            <w:r w:rsidR="0094776C">
              <w:rPr>
                <w:sz w:val="20"/>
              </w:rPr>
              <w:t>265</w:t>
            </w:r>
            <w:r w:rsidRPr="004039AA">
              <w:rPr>
                <w:sz w:val="20"/>
              </w:rPr>
              <w:t>,</w:t>
            </w:r>
            <w:r w:rsidR="0094776C">
              <w:rPr>
                <w:sz w:val="20"/>
              </w:rPr>
              <w:t>000</w:t>
            </w:r>
          </w:p>
        </w:tc>
      </w:tr>
      <w:tr w:rsidR="00004D27" w:rsidRPr="004039AA" w:rsidTr="008B5260">
        <w:tc>
          <w:tcPr>
            <w:tcW w:w="3169" w:type="dxa"/>
          </w:tcPr>
          <w:p w:rsidR="00004D27" w:rsidRPr="004039AA" w:rsidRDefault="00004D27" w:rsidP="00004D27">
            <w:pPr>
              <w:pStyle w:val="BodyTextIndent"/>
              <w:tabs>
                <w:tab w:val="clear" w:pos="450"/>
                <w:tab w:val="left" w:pos="-2070"/>
              </w:tabs>
              <w:ind w:left="0" w:firstLine="0"/>
              <w:rPr>
                <w:sz w:val="20"/>
              </w:rPr>
            </w:pPr>
            <w:r>
              <w:rPr>
                <w:sz w:val="20"/>
              </w:rPr>
              <w:t>Form 468.3</w:t>
            </w:r>
          </w:p>
        </w:tc>
        <w:tc>
          <w:tcPr>
            <w:tcW w:w="1079" w:type="dxa"/>
          </w:tcPr>
          <w:p w:rsidR="00004D27" w:rsidRPr="004039AA" w:rsidRDefault="00940B5B" w:rsidP="00004D27">
            <w:pPr>
              <w:pStyle w:val="BodyTextIndent"/>
              <w:tabs>
                <w:tab w:val="clear" w:pos="450"/>
                <w:tab w:val="left" w:pos="-6229"/>
              </w:tabs>
              <w:ind w:left="0" w:right="73" w:firstLine="0"/>
              <w:jc w:val="right"/>
              <w:rPr>
                <w:sz w:val="20"/>
              </w:rPr>
            </w:pPr>
            <w:r>
              <w:rPr>
                <w:sz w:val="20"/>
              </w:rPr>
              <w:t>780</w:t>
            </w:r>
          </w:p>
        </w:tc>
        <w:tc>
          <w:tcPr>
            <w:tcW w:w="360" w:type="dxa"/>
          </w:tcPr>
          <w:p w:rsidR="00004D27" w:rsidRPr="004039AA" w:rsidRDefault="00004D27" w:rsidP="00004D27">
            <w:pPr>
              <w:pStyle w:val="BodyTextIndent"/>
              <w:tabs>
                <w:tab w:val="clear" w:pos="450"/>
              </w:tabs>
              <w:ind w:left="33" w:firstLine="0"/>
              <w:jc w:val="right"/>
              <w:rPr>
                <w:sz w:val="20"/>
              </w:rPr>
            </w:pPr>
          </w:p>
        </w:tc>
        <w:tc>
          <w:tcPr>
            <w:tcW w:w="990" w:type="dxa"/>
          </w:tcPr>
          <w:p w:rsidR="00004D27" w:rsidRPr="004039AA" w:rsidRDefault="00004D27" w:rsidP="00004D27">
            <w:pPr>
              <w:pStyle w:val="BodyTextIndent"/>
              <w:tabs>
                <w:tab w:val="clear" w:pos="450"/>
              </w:tabs>
              <w:ind w:left="0" w:firstLine="0"/>
              <w:jc w:val="right"/>
              <w:rPr>
                <w:sz w:val="20"/>
              </w:rPr>
            </w:pPr>
            <w:r>
              <w:rPr>
                <w:sz w:val="20"/>
              </w:rPr>
              <w:t>23</w:t>
            </w:r>
          </w:p>
        </w:tc>
        <w:tc>
          <w:tcPr>
            <w:tcW w:w="360" w:type="dxa"/>
          </w:tcPr>
          <w:p w:rsidR="00004D27" w:rsidRPr="004039AA" w:rsidRDefault="00004D27" w:rsidP="002A50A1">
            <w:pPr>
              <w:pStyle w:val="BodyTextIndent"/>
              <w:tabs>
                <w:tab w:val="clear" w:pos="450"/>
              </w:tabs>
              <w:ind w:left="0" w:firstLine="0"/>
              <w:jc w:val="right"/>
              <w:rPr>
                <w:sz w:val="20"/>
              </w:rPr>
            </w:pPr>
          </w:p>
        </w:tc>
        <w:tc>
          <w:tcPr>
            <w:tcW w:w="990" w:type="dxa"/>
          </w:tcPr>
          <w:p w:rsidR="00004D27" w:rsidRPr="004039AA" w:rsidRDefault="00004D27" w:rsidP="00940B5B">
            <w:pPr>
              <w:pStyle w:val="BodyTextIndent"/>
              <w:tabs>
                <w:tab w:val="clear" w:pos="450"/>
                <w:tab w:val="left" w:pos="-9925"/>
                <w:tab w:val="left" w:pos="-9808"/>
              </w:tabs>
              <w:ind w:left="2" w:right="72" w:firstLine="0"/>
              <w:jc w:val="right"/>
              <w:rPr>
                <w:sz w:val="20"/>
              </w:rPr>
            </w:pPr>
            <w:r w:rsidRPr="004039AA">
              <w:rPr>
                <w:sz w:val="20"/>
              </w:rPr>
              <w:t>$</w:t>
            </w:r>
            <w:r w:rsidR="00940B5B">
              <w:rPr>
                <w:sz w:val="20"/>
              </w:rPr>
              <w:t>40</w:t>
            </w:r>
          </w:p>
        </w:tc>
        <w:tc>
          <w:tcPr>
            <w:tcW w:w="450" w:type="dxa"/>
          </w:tcPr>
          <w:p w:rsidR="00004D27" w:rsidRPr="004039AA" w:rsidRDefault="00004D27" w:rsidP="002A50A1">
            <w:pPr>
              <w:pStyle w:val="BodyTextIndent"/>
              <w:tabs>
                <w:tab w:val="clear" w:pos="450"/>
              </w:tabs>
              <w:ind w:left="0" w:firstLine="0"/>
              <w:jc w:val="right"/>
              <w:rPr>
                <w:sz w:val="20"/>
              </w:rPr>
            </w:pPr>
          </w:p>
        </w:tc>
        <w:tc>
          <w:tcPr>
            <w:tcW w:w="1170" w:type="dxa"/>
          </w:tcPr>
          <w:p w:rsidR="0094776C" w:rsidRPr="004039AA" w:rsidRDefault="00004D27" w:rsidP="0094776C">
            <w:pPr>
              <w:pStyle w:val="BodyTextIndent"/>
              <w:tabs>
                <w:tab w:val="clear" w:pos="450"/>
              </w:tabs>
              <w:ind w:left="34" w:firstLine="0"/>
              <w:jc w:val="right"/>
              <w:rPr>
                <w:sz w:val="20"/>
              </w:rPr>
            </w:pPr>
            <w:r>
              <w:rPr>
                <w:sz w:val="20"/>
              </w:rPr>
              <w:t>$</w:t>
            </w:r>
            <w:r w:rsidR="0094776C">
              <w:rPr>
                <w:sz w:val="20"/>
              </w:rPr>
              <w:t>717</w:t>
            </w:r>
            <w:r w:rsidRPr="004039AA">
              <w:rPr>
                <w:sz w:val="20"/>
              </w:rPr>
              <w:t>,</w:t>
            </w:r>
            <w:r w:rsidR="0094776C">
              <w:rPr>
                <w:sz w:val="20"/>
              </w:rPr>
              <w:t>600</w:t>
            </w:r>
          </w:p>
        </w:tc>
      </w:tr>
      <w:tr w:rsidR="00004D27" w:rsidRPr="004039AA" w:rsidTr="008B5260">
        <w:tc>
          <w:tcPr>
            <w:tcW w:w="3169" w:type="dxa"/>
          </w:tcPr>
          <w:p w:rsidR="00004D27" w:rsidRPr="004039AA" w:rsidRDefault="00004D27" w:rsidP="00004D27">
            <w:pPr>
              <w:pStyle w:val="BodyTextIndent"/>
              <w:tabs>
                <w:tab w:val="clear" w:pos="450"/>
                <w:tab w:val="left" w:pos="-2070"/>
              </w:tabs>
              <w:ind w:left="0" w:firstLine="0"/>
              <w:rPr>
                <w:sz w:val="20"/>
              </w:rPr>
            </w:pPr>
            <w:r>
              <w:rPr>
                <w:sz w:val="20"/>
              </w:rPr>
              <w:t>Form 468.4</w:t>
            </w:r>
          </w:p>
        </w:tc>
        <w:tc>
          <w:tcPr>
            <w:tcW w:w="1079" w:type="dxa"/>
          </w:tcPr>
          <w:p w:rsidR="00004D27" w:rsidRPr="004039AA" w:rsidRDefault="00940B5B" w:rsidP="00004D27">
            <w:pPr>
              <w:pStyle w:val="BodyTextIndent"/>
              <w:tabs>
                <w:tab w:val="clear" w:pos="450"/>
                <w:tab w:val="left" w:pos="-6229"/>
              </w:tabs>
              <w:ind w:left="0" w:right="73" w:firstLine="0"/>
              <w:jc w:val="right"/>
              <w:rPr>
                <w:sz w:val="20"/>
              </w:rPr>
            </w:pPr>
            <w:r>
              <w:rPr>
                <w:sz w:val="20"/>
              </w:rPr>
              <w:t>27</w:t>
            </w:r>
          </w:p>
        </w:tc>
        <w:tc>
          <w:tcPr>
            <w:tcW w:w="360" w:type="dxa"/>
          </w:tcPr>
          <w:p w:rsidR="00004D27" w:rsidRPr="004039AA" w:rsidRDefault="00004D27" w:rsidP="00004D27">
            <w:pPr>
              <w:pStyle w:val="BodyTextIndent"/>
              <w:tabs>
                <w:tab w:val="clear" w:pos="450"/>
              </w:tabs>
              <w:ind w:left="33" w:firstLine="0"/>
              <w:jc w:val="right"/>
              <w:rPr>
                <w:sz w:val="20"/>
              </w:rPr>
            </w:pPr>
          </w:p>
        </w:tc>
        <w:tc>
          <w:tcPr>
            <w:tcW w:w="990" w:type="dxa"/>
          </w:tcPr>
          <w:p w:rsidR="00004D27" w:rsidRPr="004039AA" w:rsidRDefault="00004D27" w:rsidP="00004D27">
            <w:pPr>
              <w:pStyle w:val="BodyTextIndent"/>
              <w:tabs>
                <w:tab w:val="clear" w:pos="450"/>
              </w:tabs>
              <w:ind w:left="0" w:firstLine="0"/>
              <w:jc w:val="right"/>
              <w:rPr>
                <w:sz w:val="20"/>
              </w:rPr>
            </w:pPr>
            <w:r>
              <w:rPr>
                <w:sz w:val="20"/>
              </w:rPr>
              <w:t>23</w:t>
            </w:r>
          </w:p>
        </w:tc>
        <w:tc>
          <w:tcPr>
            <w:tcW w:w="360" w:type="dxa"/>
          </w:tcPr>
          <w:p w:rsidR="00004D27" w:rsidRPr="004039AA" w:rsidRDefault="00004D27" w:rsidP="002A50A1">
            <w:pPr>
              <w:pStyle w:val="BodyTextIndent"/>
              <w:tabs>
                <w:tab w:val="clear" w:pos="450"/>
              </w:tabs>
              <w:ind w:left="0" w:firstLine="0"/>
              <w:jc w:val="right"/>
              <w:rPr>
                <w:sz w:val="20"/>
              </w:rPr>
            </w:pPr>
          </w:p>
        </w:tc>
        <w:tc>
          <w:tcPr>
            <w:tcW w:w="990" w:type="dxa"/>
          </w:tcPr>
          <w:p w:rsidR="00004D27" w:rsidRPr="004039AA" w:rsidRDefault="00004D27" w:rsidP="00940B5B">
            <w:pPr>
              <w:pStyle w:val="BodyTextIndent"/>
              <w:tabs>
                <w:tab w:val="clear" w:pos="450"/>
                <w:tab w:val="left" w:pos="-9925"/>
                <w:tab w:val="left" w:pos="-9808"/>
              </w:tabs>
              <w:ind w:left="2" w:right="72" w:firstLine="0"/>
              <w:jc w:val="right"/>
              <w:rPr>
                <w:sz w:val="20"/>
              </w:rPr>
            </w:pPr>
            <w:r w:rsidRPr="004039AA">
              <w:rPr>
                <w:sz w:val="20"/>
              </w:rPr>
              <w:t>$</w:t>
            </w:r>
            <w:r w:rsidR="00940B5B">
              <w:rPr>
                <w:sz w:val="20"/>
              </w:rPr>
              <w:t>40</w:t>
            </w:r>
          </w:p>
        </w:tc>
        <w:tc>
          <w:tcPr>
            <w:tcW w:w="450" w:type="dxa"/>
          </w:tcPr>
          <w:p w:rsidR="00004D27" w:rsidRPr="004039AA" w:rsidRDefault="00004D27" w:rsidP="002A50A1">
            <w:pPr>
              <w:pStyle w:val="BodyTextIndent"/>
              <w:tabs>
                <w:tab w:val="clear" w:pos="450"/>
              </w:tabs>
              <w:ind w:left="0" w:firstLine="0"/>
              <w:jc w:val="right"/>
              <w:rPr>
                <w:sz w:val="20"/>
              </w:rPr>
            </w:pPr>
          </w:p>
        </w:tc>
        <w:tc>
          <w:tcPr>
            <w:tcW w:w="1170" w:type="dxa"/>
          </w:tcPr>
          <w:p w:rsidR="00004D27" w:rsidRPr="004039AA" w:rsidRDefault="00004D27" w:rsidP="0094776C">
            <w:pPr>
              <w:pStyle w:val="BodyTextIndent"/>
              <w:tabs>
                <w:tab w:val="clear" w:pos="450"/>
              </w:tabs>
              <w:ind w:left="34" w:firstLine="0"/>
              <w:jc w:val="right"/>
              <w:rPr>
                <w:sz w:val="20"/>
              </w:rPr>
            </w:pPr>
            <w:r>
              <w:rPr>
                <w:sz w:val="20"/>
              </w:rPr>
              <w:t>$</w:t>
            </w:r>
            <w:r w:rsidR="0094776C">
              <w:rPr>
                <w:sz w:val="20"/>
              </w:rPr>
              <w:t>24</w:t>
            </w:r>
            <w:r w:rsidRPr="004039AA">
              <w:rPr>
                <w:sz w:val="20"/>
              </w:rPr>
              <w:t>,</w:t>
            </w:r>
            <w:r w:rsidR="0094776C">
              <w:rPr>
                <w:sz w:val="20"/>
              </w:rPr>
              <w:t>840</w:t>
            </w:r>
          </w:p>
        </w:tc>
      </w:tr>
      <w:tr w:rsidR="002A50A1" w:rsidRPr="004039AA" w:rsidTr="008B5260">
        <w:tc>
          <w:tcPr>
            <w:tcW w:w="3169" w:type="dxa"/>
          </w:tcPr>
          <w:p w:rsidR="002A50A1" w:rsidRPr="004039AA" w:rsidRDefault="002A50A1" w:rsidP="002A50A1">
            <w:pPr>
              <w:pStyle w:val="BodyTextIndent"/>
              <w:tabs>
                <w:tab w:val="clear" w:pos="450"/>
                <w:tab w:val="left" w:pos="540"/>
              </w:tabs>
              <w:ind w:left="0" w:right="-98" w:firstLine="0"/>
              <w:rPr>
                <w:sz w:val="20"/>
              </w:rPr>
            </w:pPr>
            <w:r w:rsidRPr="004039AA">
              <w:rPr>
                <w:sz w:val="20"/>
              </w:rPr>
              <w:t xml:space="preserve"> TOTAL COLLECTION</w:t>
            </w:r>
          </w:p>
        </w:tc>
        <w:tc>
          <w:tcPr>
            <w:tcW w:w="1079" w:type="dxa"/>
          </w:tcPr>
          <w:p w:rsidR="002A50A1" w:rsidRPr="004039AA" w:rsidRDefault="002A50A1" w:rsidP="00004D27">
            <w:pPr>
              <w:pStyle w:val="BodyTextIndent"/>
              <w:tabs>
                <w:tab w:val="clear" w:pos="450"/>
                <w:tab w:val="left" w:pos="-6229"/>
              </w:tabs>
              <w:ind w:left="0" w:right="73" w:firstLine="0"/>
              <w:jc w:val="right"/>
              <w:rPr>
                <w:sz w:val="20"/>
              </w:rPr>
            </w:pPr>
          </w:p>
        </w:tc>
        <w:tc>
          <w:tcPr>
            <w:tcW w:w="360" w:type="dxa"/>
          </w:tcPr>
          <w:p w:rsidR="002A50A1" w:rsidRPr="004039AA" w:rsidRDefault="002A50A1" w:rsidP="00004D27">
            <w:pPr>
              <w:pStyle w:val="BodyTextIndent"/>
              <w:tabs>
                <w:tab w:val="clear" w:pos="450"/>
              </w:tabs>
              <w:ind w:left="33" w:firstLine="0"/>
              <w:jc w:val="right"/>
              <w:rPr>
                <w:sz w:val="20"/>
              </w:rPr>
            </w:pPr>
          </w:p>
        </w:tc>
        <w:tc>
          <w:tcPr>
            <w:tcW w:w="990" w:type="dxa"/>
          </w:tcPr>
          <w:p w:rsidR="002A50A1" w:rsidRPr="004039AA" w:rsidRDefault="002A50A1" w:rsidP="00004D27">
            <w:pPr>
              <w:pStyle w:val="BodyTextIndent"/>
              <w:tabs>
                <w:tab w:val="clear" w:pos="450"/>
              </w:tabs>
              <w:ind w:left="0" w:firstLine="0"/>
              <w:jc w:val="right"/>
              <w:rPr>
                <w:sz w:val="20"/>
              </w:rPr>
            </w:pPr>
          </w:p>
        </w:tc>
        <w:tc>
          <w:tcPr>
            <w:tcW w:w="360" w:type="dxa"/>
          </w:tcPr>
          <w:p w:rsidR="002A50A1" w:rsidRPr="004039AA" w:rsidRDefault="002A50A1" w:rsidP="002A50A1">
            <w:pPr>
              <w:pStyle w:val="BodyTextIndent"/>
              <w:tabs>
                <w:tab w:val="clear" w:pos="450"/>
              </w:tabs>
              <w:ind w:left="0" w:firstLine="0"/>
              <w:jc w:val="right"/>
              <w:rPr>
                <w:sz w:val="20"/>
              </w:rPr>
            </w:pPr>
          </w:p>
        </w:tc>
        <w:tc>
          <w:tcPr>
            <w:tcW w:w="990" w:type="dxa"/>
          </w:tcPr>
          <w:p w:rsidR="002A50A1" w:rsidRPr="004039AA" w:rsidRDefault="002A50A1" w:rsidP="008B5260">
            <w:pPr>
              <w:pStyle w:val="BodyTextIndent"/>
              <w:tabs>
                <w:tab w:val="clear" w:pos="450"/>
                <w:tab w:val="left" w:pos="-9925"/>
                <w:tab w:val="left" w:pos="-9808"/>
              </w:tabs>
              <w:ind w:left="2" w:right="72" w:firstLine="0"/>
              <w:rPr>
                <w:sz w:val="20"/>
              </w:rPr>
            </w:pPr>
          </w:p>
        </w:tc>
        <w:tc>
          <w:tcPr>
            <w:tcW w:w="450" w:type="dxa"/>
          </w:tcPr>
          <w:p w:rsidR="002A50A1" w:rsidRPr="004039AA" w:rsidRDefault="002A50A1" w:rsidP="002A50A1">
            <w:pPr>
              <w:pStyle w:val="BodyTextIndent"/>
              <w:tabs>
                <w:tab w:val="clear" w:pos="450"/>
              </w:tabs>
              <w:ind w:left="0" w:firstLine="0"/>
              <w:jc w:val="right"/>
              <w:rPr>
                <w:sz w:val="20"/>
              </w:rPr>
            </w:pPr>
          </w:p>
        </w:tc>
        <w:tc>
          <w:tcPr>
            <w:tcW w:w="1170" w:type="dxa"/>
          </w:tcPr>
          <w:p w:rsidR="002A50A1" w:rsidRPr="004039AA" w:rsidRDefault="002A50A1" w:rsidP="0094776C">
            <w:pPr>
              <w:pStyle w:val="BodyTextIndent"/>
              <w:tabs>
                <w:tab w:val="clear" w:pos="450"/>
              </w:tabs>
              <w:ind w:left="34" w:firstLine="0"/>
              <w:jc w:val="right"/>
              <w:rPr>
                <w:sz w:val="20"/>
              </w:rPr>
            </w:pPr>
            <w:r>
              <w:rPr>
                <w:sz w:val="20"/>
              </w:rPr>
              <w:t>$</w:t>
            </w:r>
            <w:r w:rsidR="0094776C">
              <w:rPr>
                <w:sz w:val="20"/>
              </w:rPr>
              <w:t>1,161,640</w:t>
            </w:r>
          </w:p>
        </w:tc>
      </w:tr>
    </w:tbl>
    <w:p w:rsidR="002A50A1" w:rsidRDefault="002A50A1" w:rsidP="002A50A1">
      <w:pPr>
        <w:pStyle w:val="BodyTextIndent"/>
        <w:tabs>
          <w:tab w:val="clear" w:pos="450"/>
          <w:tab w:val="left" w:pos="540"/>
        </w:tabs>
        <w:ind w:left="1080" w:firstLine="0"/>
      </w:pPr>
    </w:p>
    <w:p w:rsidR="002A50A1" w:rsidRDefault="002A50A1" w:rsidP="002A50A1">
      <w:pPr>
        <w:pStyle w:val="BodyTextIndent"/>
        <w:tabs>
          <w:tab w:val="clear" w:pos="450"/>
          <w:tab w:val="left" w:pos="540"/>
        </w:tabs>
        <w:ind w:left="540" w:firstLine="0"/>
      </w:pPr>
      <w:r>
        <w:t>The cost per hour is based on estimated annual compensation of $</w:t>
      </w:r>
      <w:r w:rsidR="00940B5B">
        <w:t>8</w:t>
      </w:r>
      <w:r>
        <w:t xml:space="preserve">0,000 per year for </w:t>
      </w:r>
      <w:r w:rsidR="008B5260">
        <w:t>an accounting professional</w:t>
      </w:r>
      <w:r>
        <w:t xml:space="preserve"> who would be preparing the forms.</w:t>
      </w:r>
    </w:p>
    <w:p w:rsidR="002A50A1" w:rsidRDefault="002A50A1" w:rsidP="002A50A1">
      <w:pPr>
        <w:tabs>
          <w:tab w:val="left" w:pos="-720"/>
        </w:tabs>
        <w:suppressAutoHyphens/>
        <w:rPr>
          <w:spacing w:val="-3"/>
        </w:rPr>
      </w:pPr>
    </w:p>
    <w:p w:rsidR="00421973" w:rsidRPr="001F7971" w:rsidRDefault="00016A80" w:rsidP="00016A80">
      <w:pPr>
        <w:numPr>
          <w:ilvl w:val="0"/>
          <w:numId w:val="5"/>
        </w:numPr>
        <w:tabs>
          <w:tab w:val="left" w:pos="-720"/>
        </w:tabs>
        <w:suppressAutoHyphens/>
        <w:rPr>
          <w:spacing w:val="-3"/>
        </w:rPr>
      </w:pPr>
      <w:r w:rsidRPr="001F7971">
        <w:rPr>
          <w:u w:val="single"/>
        </w:rPr>
        <w:t>Estimate of total annual cost burden.</w:t>
      </w:r>
      <w:r w:rsidRPr="001F7971">
        <w:t xml:space="preserve">  </w:t>
      </w:r>
      <w:r w:rsidR="00421973" w:rsidRPr="001F7971">
        <w:rPr>
          <w:spacing w:val="-3"/>
        </w:rPr>
        <w:t>The annual cost burden resulting from the collection of information is estimated at $</w:t>
      </w:r>
      <w:r w:rsidR="00E55E95" w:rsidRPr="001F7971">
        <w:rPr>
          <w:spacing w:val="-3"/>
        </w:rPr>
        <w:t>3</w:t>
      </w:r>
      <w:r w:rsidR="0004167C" w:rsidRPr="001F7971">
        <w:rPr>
          <w:spacing w:val="-3"/>
        </w:rPr>
        <w:t>5</w:t>
      </w:r>
      <w:r w:rsidR="00421973" w:rsidRPr="001F7971">
        <w:rPr>
          <w:spacing w:val="-3"/>
        </w:rPr>
        <w:t xml:space="preserve">,000 per </w:t>
      </w:r>
      <w:r w:rsidR="001F5078" w:rsidRPr="001F7971">
        <w:rPr>
          <w:spacing w:val="-3"/>
        </w:rPr>
        <w:t xml:space="preserve">year end </w:t>
      </w:r>
      <w:r w:rsidR="00421973" w:rsidRPr="001F7971">
        <w:rPr>
          <w:spacing w:val="-3"/>
        </w:rPr>
        <w:t>respondent.  This amount represents the cost of the required audit of the financial statements by an independent public accountant.  No capital and start-up costs have been included in the cost burden estimate because SBA expects that all licensees would acquire and use the necessary equipment (primarily a personal computer) in the ordinary course of business, even in the absence of any information collection requirements.</w:t>
      </w:r>
    </w:p>
    <w:p w:rsidR="00421973" w:rsidRPr="001F7971" w:rsidRDefault="00421973">
      <w:pPr>
        <w:tabs>
          <w:tab w:val="left" w:pos="-720"/>
        </w:tabs>
        <w:suppressAutoHyphens/>
        <w:rPr>
          <w:spacing w:val="-3"/>
        </w:rPr>
      </w:pPr>
    </w:p>
    <w:p w:rsidR="00421973" w:rsidRDefault="001F5078" w:rsidP="000E2587">
      <w:pPr>
        <w:pStyle w:val="EndnoteText"/>
        <w:tabs>
          <w:tab w:val="left" w:pos="-720"/>
          <w:tab w:val="right" w:pos="4500"/>
        </w:tabs>
        <w:suppressAutoHyphens/>
        <w:ind w:left="360"/>
        <w:rPr>
          <w:spacing w:val="-3"/>
        </w:rPr>
      </w:pPr>
      <w:r w:rsidRPr="001F7971">
        <w:rPr>
          <w:spacing w:val="-3"/>
        </w:rPr>
        <w:t>$35,000 c</w:t>
      </w:r>
      <w:r w:rsidR="00421973" w:rsidRPr="001F7971">
        <w:rPr>
          <w:spacing w:val="-3"/>
        </w:rPr>
        <w:t xml:space="preserve">ost per </w:t>
      </w:r>
      <w:r w:rsidRPr="001F7971">
        <w:rPr>
          <w:spacing w:val="-3"/>
        </w:rPr>
        <w:t xml:space="preserve">respondent x </w:t>
      </w:r>
      <w:r w:rsidR="00DA091C" w:rsidRPr="001F7971">
        <w:rPr>
          <w:spacing w:val="-3"/>
        </w:rPr>
        <w:t xml:space="preserve">382 </w:t>
      </w:r>
      <w:r w:rsidRPr="001F7971">
        <w:rPr>
          <w:spacing w:val="-3"/>
        </w:rPr>
        <w:t>year-end respondents = $13,</w:t>
      </w:r>
      <w:r w:rsidR="001F7971">
        <w:rPr>
          <w:spacing w:val="-3"/>
        </w:rPr>
        <w:t>370</w:t>
      </w:r>
      <w:r w:rsidRPr="001F7971">
        <w:rPr>
          <w:spacing w:val="-3"/>
        </w:rPr>
        <w:t xml:space="preserve">,000 </w:t>
      </w:r>
    </w:p>
    <w:p w:rsidR="001F7971" w:rsidRPr="001F7971" w:rsidRDefault="001F7971" w:rsidP="000E2587">
      <w:pPr>
        <w:pStyle w:val="EndnoteText"/>
        <w:tabs>
          <w:tab w:val="left" w:pos="-720"/>
          <w:tab w:val="right" w:pos="4500"/>
        </w:tabs>
        <w:suppressAutoHyphens/>
        <w:ind w:left="360"/>
        <w:rPr>
          <w:spacing w:val="-3"/>
        </w:rPr>
      </w:pPr>
    </w:p>
    <w:p w:rsidR="00421973" w:rsidRPr="00D24D34" w:rsidRDefault="00016A80" w:rsidP="00016A80">
      <w:pPr>
        <w:numPr>
          <w:ilvl w:val="0"/>
          <w:numId w:val="5"/>
        </w:numPr>
        <w:tabs>
          <w:tab w:val="left" w:pos="-720"/>
        </w:tabs>
        <w:suppressAutoHyphens/>
        <w:rPr>
          <w:spacing w:val="-3"/>
        </w:rPr>
      </w:pPr>
      <w:r w:rsidRPr="001F7971">
        <w:rPr>
          <w:u w:val="single"/>
        </w:rPr>
        <w:t>Estimated annualized cost to the Federal government.</w:t>
      </w:r>
      <w:r w:rsidRPr="001F7971">
        <w:t xml:space="preserve">  </w:t>
      </w:r>
      <w:r w:rsidR="00421973" w:rsidRPr="001F7971">
        <w:rPr>
          <w:spacing w:val="-3"/>
        </w:rPr>
        <w:t>The Federal government’s cost</w:t>
      </w:r>
      <w:r w:rsidR="00421973" w:rsidRPr="00D24D34">
        <w:rPr>
          <w:spacing w:val="-3"/>
        </w:rPr>
        <w:t xml:space="preserve"> to review and analyze each SBA Form 468 filed is estimated at $</w:t>
      </w:r>
      <w:r w:rsidR="00E55E95" w:rsidRPr="00D24D34">
        <w:rPr>
          <w:spacing w:val="-3"/>
        </w:rPr>
        <w:t>20</w:t>
      </w:r>
      <w:r w:rsidR="00787B63" w:rsidRPr="00D24D34">
        <w:rPr>
          <w:spacing w:val="-3"/>
        </w:rPr>
        <w:t xml:space="preserve">0.  </w:t>
      </w:r>
      <w:r w:rsidR="00421973" w:rsidRPr="00D24D34">
        <w:rPr>
          <w:spacing w:val="-3"/>
        </w:rPr>
        <w:t>The aggregate cost is computed as follows:</w:t>
      </w:r>
    </w:p>
    <w:p w:rsidR="00421973" w:rsidRPr="00D24D34" w:rsidRDefault="00421973">
      <w:pPr>
        <w:tabs>
          <w:tab w:val="left" w:pos="-720"/>
        </w:tabs>
        <w:suppressAutoHyphens/>
        <w:rPr>
          <w:spacing w:val="-3"/>
        </w:rPr>
      </w:pPr>
    </w:p>
    <w:p w:rsidR="00421973" w:rsidRPr="00D24D34" w:rsidRDefault="00421973" w:rsidP="000E2587">
      <w:pPr>
        <w:tabs>
          <w:tab w:val="left" w:pos="-720"/>
          <w:tab w:val="right" w:pos="7920"/>
        </w:tabs>
        <w:suppressAutoHyphens/>
        <w:ind w:left="360"/>
        <w:rPr>
          <w:spacing w:val="-3"/>
        </w:rPr>
      </w:pPr>
      <w:r w:rsidRPr="00D24D34">
        <w:rPr>
          <w:spacing w:val="-3"/>
        </w:rPr>
        <w:t>Analyst performing financial and regulatory review of SBA Form 468:</w:t>
      </w:r>
    </w:p>
    <w:p w:rsidR="00421973" w:rsidRPr="00D24D34" w:rsidRDefault="008B47A2" w:rsidP="000E2587">
      <w:pPr>
        <w:tabs>
          <w:tab w:val="left" w:pos="-720"/>
          <w:tab w:val="right" w:pos="7920"/>
        </w:tabs>
        <w:suppressAutoHyphens/>
        <w:ind w:left="360"/>
        <w:rPr>
          <w:spacing w:val="-3"/>
        </w:rPr>
      </w:pPr>
      <w:r w:rsidRPr="00D24D34">
        <w:rPr>
          <w:spacing w:val="-3"/>
        </w:rPr>
        <w:t>GS-13:  4 hour</w:t>
      </w:r>
      <w:r w:rsidR="00421973" w:rsidRPr="00D24D34">
        <w:rPr>
          <w:spacing w:val="-3"/>
        </w:rPr>
        <w:t>s @ $</w:t>
      </w:r>
      <w:r w:rsidR="00E55E95" w:rsidRPr="00D24D34">
        <w:rPr>
          <w:spacing w:val="-3"/>
        </w:rPr>
        <w:t>50</w:t>
      </w:r>
      <w:r w:rsidR="00421973" w:rsidRPr="00D24D34">
        <w:rPr>
          <w:spacing w:val="-3"/>
        </w:rPr>
        <w:t xml:space="preserve"> per hour</w:t>
      </w:r>
      <w:r w:rsidR="00421973" w:rsidRPr="00D24D34">
        <w:rPr>
          <w:spacing w:val="-3"/>
        </w:rPr>
        <w:tab/>
        <w:t xml:space="preserve">$ </w:t>
      </w:r>
      <w:r w:rsidR="00E55E95" w:rsidRPr="00D24D34">
        <w:rPr>
          <w:spacing w:val="-3"/>
        </w:rPr>
        <w:t>200</w:t>
      </w:r>
    </w:p>
    <w:p w:rsidR="00421973" w:rsidRPr="00D24D34" w:rsidRDefault="00421973" w:rsidP="000E2587">
      <w:pPr>
        <w:tabs>
          <w:tab w:val="left" w:pos="-720"/>
          <w:tab w:val="right" w:pos="7920"/>
        </w:tabs>
        <w:suppressAutoHyphens/>
        <w:ind w:left="360"/>
        <w:rPr>
          <w:spacing w:val="-3"/>
        </w:rPr>
      </w:pPr>
      <w:r w:rsidRPr="00D24D34">
        <w:rPr>
          <w:spacing w:val="-3"/>
        </w:rPr>
        <w:t>Estimated number of responses (annual and quarterly combined)</w:t>
      </w:r>
      <w:r w:rsidRPr="00D24D34">
        <w:rPr>
          <w:spacing w:val="-3"/>
        </w:rPr>
        <w:tab/>
      </w:r>
      <w:proofErr w:type="gramStart"/>
      <w:r w:rsidRPr="00D24D34">
        <w:rPr>
          <w:spacing w:val="-3"/>
          <w:u w:val="single"/>
        </w:rPr>
        <w:t>x  1,</w:t>
      </w:r>
      <w:r w:rsidR="001F7971">
        <w:rPr>
          <w:spacing w:val="-3"/>
          <w:u w:val="single"/>
        </w:rPr>
        <w:t>189</w:t>
      </w:r>
      <w:proofErr w:type="gramEnd"/>
    </w:p>
    <w:p w:rsidR="00421973" w:rsidRPr="008218B6" w:rsidRDefault="00421973" w:rsidP="000E2587">
      <w:pPr>
        <w:pStyle w:val="EndnoteText"/>
        <w:tabs>
          <w:tab w:val="left" w:pos="-720"/>
          <w:tab w:val="right" w:pos="7920"/>
        </w:tabs>
        <w:suppressAutoHyphens/>
        <w:ind w:left="360"/>
        <w:rPr>
          <w:spacing w:val="-3"/>
        </w:rPr>
      </w:pPr>
      <w:r w:rsidRPr="00D24D34">
        <w:rPr>
          <w:spacing w:val="-3"/>
        </w:rPr>
        <w:t>Total cost to Federal government</w:t>
      </w:r>
      <w:r w:rsidRPr="00D24D34">
        <w:rPr>
          <w:spacing w:val="-3"/>
        </w:rPr>
        <w:tab/>
        <w:t xml:space="preserve">       $ </w:t>
      </w:r>
      <w:r w:rsidR="00787B63" w:rsidRPr="00D24D34">
        <w:rPr>
          <w:spacing w:val="-3"/>
        </w:rPr>
        <w:t>2</w:t>
      </w:r>
      <w:r w:rsidR="001F7971">
        <w:rPr>
          <w:spacing w:val="-3"/>
        </w:rPr>
        <w:t>37</w:t>
      </w:r>
      <w:r w:rsidRPr="00D24D34">
        <w:rPr>
          <w:spacing w:val="-3"/>
        </w:rPr>
        <w:t>,</w:t>
      </w:r>
      <w:r w:rsidR="001F7971">
        <w:rPr>
          <w:spacing w:val="-3"/>
        </w:rPr>
        <w:t>8</w:t>
      </w:r>
      <w:r w:rsidR="00787B63" w:rsidRPr="00D24D34">
        <w:rPr>
          <w:spacing w:val="-3"/>
        </w:rPr>
        <w:t>00</w:t>
      </w:r>
    </w:p>
    <w:p w:rsidR="00421973" w:rsidRPr="008218B6" w:rsidRDefault="00421973">
      <w:pPr>
        <w:pStyle w:val="EndnoteText"/>
        <w:tabs>
          <w:tab w:val="left" w:pos="-720"/>
        </w:tabs>
        <w:suppressAutoHyphens/>
        <w:rPr>
          <w:spacing w:val="-3"/>
        </w:rPr>
      </w:pPr>
    </w:p>
    <w:p w:rsidR="00421973" w:rsidRPr="00C4154C" w:rsidRDefault="008D002E" w:rsidP="008D002E">
      <w:pPr>
        <w:numPr>
          <w:ilvl w:val="0"/>
          <w:numId w:val="5"/>
        </w:numPr>
        <w:tabs>
          <w:tab w:val="left" w:pos="-720"/>
          <w:tab w:val="left" w:pos="0"/>
        </w:tabs>
        <w:suppressAutoHyphens/>
        <w:rPr>
          <w:spacing w:val="-3"/>
        </w:rPr>
      </w:pPr>
      <w:r w:rsidRPr="00C4154C">
        <w:rPr>
          <w:u w:val="single"/>
        </w:rPr>
        <w:t>Explanation of program changes in Items 13 or 14 on OMB Form 83-I.</w:t>
      </w:r>
      <w:r w:rsidRPr="00C4154C">
        <w:t xml:space="preserve">  </w:t>
      </w:r>
      <w:r w:rsidR="00421973" w:rsidRPr="00C4154C">
        <w:rPr>
          <w:spacing w:val="-3"/>
        </w:rPr>
        <w:t xml:space="preserve">The increase in the hour burden in item 13 of OMB Form 83-I </w:t>
      </w:r>
      <w:r w:rsidR="00787B63" w:rsidRPr="00C4154C">
        <w:rPr>
          <w:spacing w:val="-3"/>
        </w:rPr>
        <w:t xml:space="preserve">reflects </w:t>
      </w:r>
      <w:r w:rsidR="00DB7BB1">
        <w:rPr>
          <w:spacing w:val="-3"/>
        </w:rPr>
        <w:t xml:space="preserve">an increase in the total number of responses.  The burden per response has not changed.  The higher number of responses is attributable to </w:t>
      </w:r>
      <w:r w:rsidR="001C4273" w:rsidRPr="00C4154C">
        <w:rPr>
          <w:spacing w:val="-3"/>
        </w:rPr>
        <w:t>(1)</w:t>
      </w:r>
      <w:r w:rsidR="008125D2" w:rsidRPr="00C4154C">
        <w:rPr>
          <w:spacing w:val="-3"/>
        </w:rPr>
        <w:t xml:space="preserve"> </w:t>
      </w:r>
      <w:r w:rsidR="002347B7" w:rsidRPr="00C4154C">
        <w:rPr>
          <w:spacing w:val="-3"/>
        </w:rPr>
        <w:t>a slight increase</w:t>
      </w:r>
      <w:r w:rsidR="008125D2" w:rsidRPr="00C4154C">
        <w:rPr>
          <w:spacing w:val="-3"/>
        </w:rPr>
        <w:t xml:space="preserve"> </w:t>
      </w:r>
      <w:r w:rsidR="002347B7" w:rsidRPr="00C4154C">
        <w:rPr>
          <w:spacing w:val="-3"/>
        </w:rPr>
        <w:t xml:space="preserve">in the total number of SBICs filing annual reports on Form 468, </w:t>
      </w:r>
      <w:r w:rsidR="001C4273" w:rsidRPr="00C4154C">
        <w:rPr>
          <w:spacing w:val="-3"/>
        </w:rPr>
        <w:t>(2)</w:t>
      </w:r>
      <w:r w:rsidR="002347B7" w:rsidRPr="00C4154C">
        <w:rPr>
          <w:spacing w:val="-3"/>
        </w:rPr>
        <w:t xml:space="preserve"> </w:t>
      </w:r>
      <w:r w:rsidR="00B50293">
        <w:rPr>
          <w:spacing w:val="-3"/>
        </w:rPr>
        <w:t>a</w:t>
      </w:r>
      <w:r w:rsidR="00DB7BB1">
        <w:rPr>
          <w:spacing w:val="-3"/>
        </w:rPr>
        <w:t xml:space="preserve"> larger</w:t>
      </w:r>
      <w:r w:rsidR="008125D2" w:rsidRPr="00C4154C">
        <w:rPr>
          <w:spacing w:val="-3"/>
        </w:rPr>
        <w:t xml:space="preserve"> increase in the number of SBICs also filing quarterly reports</w:t>
      </w:r>
      <w:r w:rsidR="001C4273" w:rsidRPr="00C4154C">
        <w:rPr>
          <w:spacing w:val="-3"/>
        </w:rPr>
        <w:t>, and (3) an increase in the number of SBICs filing Form 468 after being transferred to the Office of Liquidation</w:t>
      </w:r>
      <w:r w:rsidR="008125D2" w:rsidRPr="00C4154C">
        <w:rPr>
          <w:spacing w:val="-3"/>
        </w:rPr>
        <w:t xml:space="preserve">.  The change in the number of respondents from </w:t>
      </w:r>
      <w:r w:rsidR="008125D2" w:rsidRPr="00C4154C">
        <w:rPr>
          <w:spacing w:val="-3"/>
        </w:rPr>
        <w:lastRenderedPageBreak/>
        <w:t xml:space="preserve">375 to 382 is the net result of an increase in newly licensed SBICs, offset by license surrenders related primarily to the continuing wind-down of the participating securities program.  </w:t>
      </w:r>
      <w:r w:rsidR="001C4273" w:rsidRPr="00C4154C">
        <w:rPr>
          <w:spacing w:val="-3"/>
        </w:rPr>
        <w:t xml:space="preserve">Because new SBICs are being licensed at a steady pace </w:t>
      </w:r>
      <w:r w:rsidR="008125D2" w:rsidRPr="00C4154C">
        <w:rPr>
          <w:spacing w:val="-3"/>
        </w:rPr>
        <w:t>(30 or more new funds licensed in each of the past three fiscal years)</w:t>
      </w:r>
      <w:r w:rsidR="001C4273" w:rsidRPr="00C4154C">
        <w:rPr>
          <w:spacing w:val="-3"/>
        </w:rPr>
        <w:t xml:space="preserve">, the program includes a larger proportion of SBICs that are in their active investment period and are drawing SBA leverage.  All such funds are required to file Form 468 quarterly.  </w:t>
      </w:r>
      <w:r w:rsidR="00694A7C">
        <w:rPr>
          <w:spacing w:val="-3"/>
        </w:rPr>
        <w:t xml:space="preserve">SBA is estimating a total of 780 quarterly filings per year, vs. the prior estimate of 630.  </w:t>
      </w:r>
      <w:r w:rsidR="001C4273" w:rsidRPr="00C4154C">
        <w:rPr>
          <w:spacing w:val="-3"/>
        </w:rPr>
        <w:t xml:space="preserve">Finally, the Office of Liquidation has standardized a practice of having SBICs continue to </w:t>
      </w:r>
      <w:r w:rsidR="00C4154C" w:rsidRPr="00C4154C">
        <w:rPr>
          <w:spacing w:val="-3"/>
        </w:rPr>
        <w:t>file</w:t>
      </w:r>
      <w:r w:rsidR="001C4273" w:rsidRPr="00C4154C">
        <w:rPr>
          <w:spacing w:val="-3"/>
        </w:rPr>
        <w:t xml:space="preserve"> Form 468 if the existing management team </w:t>
      </w:r>
      <w:r w:rsidR="00C4154C" w:rsidRPr="00C4154C">
        <w:rPr>
          <w:spacing w:val="-3"/>
        </w:rPr>
        <w:t xml:space="preserve">has been left in place to carry out a “self-liquidation” of the fund.  </w:t>
      </w:r>
      <w:r w:rsidR="00694A7C">
        <w:rPr>
          <w:spacing w:val="-3"/>
        </w:rPr>
        <w:t xml:space="preserve">Approximately 60 SBICs in the Office of Liquidation are currently filing Form 468 either </w:t>
      </w:r>
      <w:r w:rsidR="00DB7BB1">
        <w:rPr>
          <w:spacing w:val="-3"/>
        </w:rPr>
        <w:t>annually or quarterly.</w:t>
      </w:r>
    </w:p>
    <w:p w:rsidR="00421973" w:rsidRPr="001F7971" w:rsidRDefault="00421973">
      <w:pPr>
        <w:pStyle w:val="EndnoteText"/>
        <w:tabs>
          <w:tab w:val="left" w:pos="-720"/>
          <w:tab w:val="left" w:pos="0"/>
        </w:tabs>
        <w:suppressAutoHyphens/>
        <w:rPr>
          <w:spacing w:val="-3"/>
          <w:highlight w:val="yellow"/>
        </w:rPr>
      </w:pPr>
    </w:p>
    <w:p w:rsidR="00421973" w:rsidRPr="008218B6" w:rsidRDefault="00421973" w:rsidP="00BA0EB0">
      <w:pPr>
        <w:tabs>
          <w:tab w:val="left" w:pos="-720"/>
          <w:tab w:val="left" w:pos="0"/>
        </w:tabs>
        <w:suppressAutoHyphens/>
        <w:ind w:left="360"/>
        <w:rPr>
          <w:spacing w:val="-3"/>
        </w:rPr>
      </w:pPr>
      <w:r w:rsidRPr="002347B7">
        <w:rPr>
          <w:spacing w:val="-3"/>
        </w:rPr>
        <w:t xml:space="preserve">The increase in the cost burden in item 14 of Form 83-I, from </w:t>
      </w:r>
      <w:r w:rsidR="001F7971" w:rsidRPr="002347B7">
        <w:rPr>
          <w:spacing w:val="-3"/>
        </w:rPr>
        <w:t xml:space="preserve">$13,125,000 </w:t>
      </w:r>
      <w:r w:rsidRPr="002347B7">
        <w:rPr>
          <w:spacing w:val="-3"/>
        </w:rPr>
        <w:t>to</w:t>
      </w:r>
      <w:r w:rsidR="001F7971" w:rsidRPr="002347B7">
        <w:rPr>
          <w:spacing w:val="-3"/>
        </w:rPr>
        <w:t xml:space="preserve"> $13,370,000</w:t>
      </w:r>
      <w:r w:rsidRPr="002347B7">
        <w:rPr>
          <w:spacing w:val="-3"/>
        </w:rPr>
        <w:t xml:space="preserve">, reflects </w:t>
      </w:r>
      <w:r w:rsidR="008125D2">
        <w:rPr>
          <w:spacing w:val="-3"/>
        </w:rPr>
        <w:t>the</w:t>
      </w:r>
      <w:r w:rsidR="00BA0EB0" w:rsidRPr="002347B7">
        <w:rPr>
          <w:spacing w:val="-3"/>
        </w:rPr>
        <w:t xml:space="preserve"> </w:t>
      </w:r>
      <w:r w:rsidR="001F7971" w:rsidRPr="002347B7">
        <w:rPr>
          <w:spacing w:val="-3"/>
        </w:rPr>
        <w:t xml:space="preserve">slight </w:t>
      </w:r>
      <w:r w:rsidRPr="002347B7">
        <w:rPr>
          <w:spacing w:val="-3"/>
        </w:rPr>
        <w:t xml:space="preserve">increase </w:t>
      </w:r>
      <w:r w:rsidR="00BA0EB0" w:rsidRPr="002347B7">
        <w:rPr>
          <w:spacing w:val="-3"/>
        </w:rPr>
        <w:t>in the</w:t>
      </w:r>
      <w:r w:rsidR="00C26E57" w:rsidRPr="002347B7">
        <w:rPr>
          <w:spacing w:val="-3"/>
        </w:rPr>
        <w:t xml:space="preserve"> number of year end respondents from </w:t>
      </w:r>
      <w:r w:rsidR="001F7971" w:rsidRPr="002347B7">
        <w:rPr>
          <w:spacing w:val="-3"/>
        </w:rPr>
        <w:t>375</w:t>
      </w:r>
      <w:r w:rsidR="00C26E57" w:rsidRPr="002347B7">
        <w:rPr>
          <w:spacing w:val="-3"/>
        </w:rPr>
        <w:t xml:space="preserve"> to </w:t>
      </w:r>
      <w:r w:rsidR="001F7971" w:rsidRPr="002347B7">
        <w:rPr>
          <w:spacing w:val="-3"/>
        </w:rPr>
        <w:t>382</w:t>
      </w:r>
      <w:r w:rsidR="00BA0EB0" w:rsidRPr="002347B7">
        <w:rPr>
          <w:spacing w:val="-3"/>
        </w:rPr>
        <w:t>.</w:t>
      </w:r>
      <w:r w:rsidR="00D24D34" w:rsidRPr="002347B7">
        <w:rPr>
          <w:spacing w:val="-3"/>
        </w:rPr>
        <w:t xml:space="preserve">  </w:t>
      </w:r>
      <w:r w:rsidR="002347B7" w:rsidRPr="002347B7">
        <w:rPr>
          <w:spacing w:val="-3"/>
        </w:rPr>
        <w:t>The cost burden in item 14 represents the cost to SBICs of engaging a certified public accounting firm to perform an audit of the annual Form 468 financial statements.</w:t>
      </w:r>
      <w:r w:rsidR="008125D2">
        <w:rPr>
          <w:spacing w:val="-3"/>
        </w:rPr>
        <w:t xml:space="preserve">  </w:t>
      </w:r>
      <w:r w:rsidR="00C4154C">
        <w:rPr>
          <w:spacing w:val="-3"/>
        </w:rPr>
        <w:t>The estimated cost per audit has not changed.</w:t>
      </w:r>
    </w:p>
    <w:p w:rsidR="00421973" w:rsidRPr="008218B6" w:rsidRDefault="00421973">
      <w:pPr>
        <w:tabs>
          <w:tab w:val="left" w:pos="-720"/>
          <w:tab w:val="left" w:pos="0"/>
        </w:tabs>
        <w:suppressAutoHyphens/>
        <w:rPr>
          <w:spacing w:val="-3"/>
        </w:rPr>
      </w:pPr>
    </w:p>
    <w:p w:rsidR="00421973" w:rsidRPr="008218B6" w:rsidRDefault="008D002E" w:rsidP="008D002E">
      <w:pPr>
        <w:numPr>
          <w:ilvl w:val="0"/>
          <w:numId w:val="5"/>
        </w:numPr>
        <w:tabs>
          <w:tab w:val="left" w:pos="-720"/>
          <w:tab w:val="left" w:pos="0"/>
        </w:tabs>
        <w:suppressAutoHyphens/>
        <w:rPr>
          <w:spacing w:val="-3"/>
        </w:rPr>
      </w:pPr>
      <w:r w:rsidRPr="008218B6">
        <w:rPr>
          <w:u w:val="single"/>
        </w:rPr>
        <w:t>Collection of information whose results will be published.</w:t>
      </w:r>
      <w:r w:rsidRPr="008218B6">
        <w:t xml:space="preserve">  </w:t>
      </w:r>
      <w:r w:rsidR="00421973" w:rsidRPr="008218B6">
        <w:rPr>
          <w:spacing w:val="-3"/>
        </w:rPr>
        <w:t>Results of this collection of information will not be published.</w:t>
      </w:r>
    </w:p>
    <w:p w:rsidR="00421973" w:rsidRPr="008218B6" w:rsidRDefault="00421973">
      <w:pPr>
        <w:tabs>
          <w:tab w:val="left" w:pos="-720"/>
          <w:tab w:val="left" w:pos="0"/>
        </w:tabs>
        <w:suppressAutoHyphens/>
        <w:rPr>
          <w:spacing w:val="-3"/>
        </w:rPr>
      </w:pPr>
    </w:p>
    <w:p w:rsidR="00421973" w:rsidRPr="008218B6" w:rsidRDefault="008D002E" w:rsidP="008D002E">
      <w:pPr>
        <w:numPr>
          <w:ilvl w:val="0"/>
          <w:numId w:val="5"/>
        </w:numPr>
        <w:tabs>
          <w:tab w:val="left" w:pos="-720"/>
          <w:tab w:val="left" w:pos="0"/>
        </w:tabs>
        <w:suppressAutoHyphens/>
        <w:rPr>
          <w:spacing w:val="-3"/>
        </w:rPr>
      </w:pPr>
      <w:r w:rsidRPr="008218B6">
        <w:rPr>
          <w:u w:val="single"/>
        </w:rPr>
        <w:t>Expiration date for collection of information</w:t>
      </w:r>
      <w:r w:rsidRPr="008218B6">
        <w:t xml:space="preserve">.  </w:t>
      </w:r>
      <w:r w:rsidR="00421973" w:rsidRPr="008218B6">
        <w:rPr>
          <w:spacing w:val="-3"/>
        </w:rPr>
        <w:t>Not applicable.</w:t>
      </w:r>
    </w:p>
    <w:p w:rsidR="00421973" w:rsidRPr="008218B6" w:rsidRDefault="00421973">
      <w:pPr>
        <w:tabs>
          <w:tab w:val="left" w:pos="-720"/>
          <w:tab w:val="left" w:pos="0"/>
        </w:tabs>
        <w:suppressAutoHyphens/>
        <w:rPr>
          <w:spacing w:val="-3"/>
        </w:rPr>
      </w:pPr>
    </w:p>
    <w:p w:rsidR="00421973" w:rsidRPr="008218B6" w:rsidRDefault="008D002E" w:rsidP="008D002E">
      <w:pPr>
        <w:numPr>
          <w:ilvl w:val="0"/>
          <w:numId w:val="5"/>
        </w:numPr>
        <w:tabs>
          <w:tab w:val="left" w:pos="-720"/>
          <w:tab w:val="left" w:pos="0"/>
        </w:tabs>
        <w:suppressAutoHyphens/>
        <w:rPr>
          <w:spacing w:val="-3"/>
        </w:rPr>
      </w:pPr>
      <w:r w:rsidRPr="008218B6">
        <w:rPr>
          <w:u w:val="single"/>
        </w:rPr>
        <w:t>Exceptions to certifications in Block 19 on OMB Form 83-I.</w:t>
      </w:r>
      <w:r w:rsidRPr="008218B6">
        <w:t xml:space="preserve">  </w:t>
      </w:r>
      <w:r w:rsidR="00421973" w:rsidRPr="008218B6">
        <w:rPr>
          <w:spacing w:val="-3"/>
        </w:rPr>
        <w:t>Not applicable.</w:t>
      </w:r>
    </w:p>
    <w:p w:rsidR="00421973" w:rsidRPr="008218B6" w:rsidRDefault="00421973">
      <w:pPr>
        <w:tabs>
          <w:tab w:val="left" w:pos="-720"/>
          <w:tab w:val="left" w:pos="0"/>
        </w:tabs>
        <w:suppressAutoHyphens/>
        <w:rPr>
          <w:spacing w:val="-3"/>
        </w:rPr>
      </w:pPr>
    </w:p>
    <w:p w:rsidR="00421973" w:rsidRPr="008218B6" w:rsidRDefault="00421973">
      <w:pPr>
        <w:tabs>
          <w:tab w:val="left" w:pos="-720"/>
          <w:tab w:val="left" w:pos="0"/>
        </w:tabs>
        <w:suppressAutoHyphens/>
        <w:ind w:left="720" w:hanging="720"/>
        <w:rPr>
          <w:spacing w:val="-3"/>
          <w:u w:val="single"/>
        </w:rPr>
      </w:pPr>
      <w:r w:rsidRPr="008218B6">
        <w:rPr>
          <w:spacing w:val="-3"/>
          <w:u w:val="single"/>
        </w:rPr>
        <w:t>B.   Collection of Information Employing Statistical Methods</w:t>
      </w:r>
    </w:p>
    <w:p w:rsidR="008D002E" w:rsidRPr="008218B6" w:rsidRDefault="008D002E">
      <w:pPr>
        <w:tabs>
          <w:tab w:val="left" w:pos="-720"/>
          <w:tab w:val="left" w:pos="0"/>
        </w:tabs>
        <w:suppressAutoHyphens/>
        <w:ind w:left="720" w:hanging="720"/>
        <w:rPr>
          <w:spacing w:val="-3"/>
        </w:rPr>
      </w:pPr>
    </w:p>
    <w:p w:rsidR="00D74795" w:rsidRDefault="00421973" w:rsidP="00C26E57">
      <w:pPr>
        <w:tabs>
          <w:tab w:val="left" w:pos="-720"/>
          <w:tab w:val="left" w:pos="0"/>
        </w:tabs>
        <w:suppressAutoHyphens/>
        <w:ind w:left="720" w:hanging="720"/>
        <w:rPr>
          <w:spacing w:val="-3"/>
        </w:rPr>
      </w:pPr>
      <w:r w:rsidRPr="008218B6">
        <w:rPr>
          <w:spacing w:val="-3"/>
        </w:rPr>
        <w:t>Th</w:t>
      </w:r>
      <w:r w:rsidR="008D002E" w:rsidRPr="008218B6">
        <w:rPr>
          <w:spacing w:val="-3"/>
        </w:rPr>
        <w:t>is</w:t>
      </w:r>
      <w:r w:rsidRPr="008218B6">
        <w:rPr>
          <w:spacing w:val="-3"/>
        </w:rPr>
        <w:t xml:space="preserve"> collection of information does not employ statistical methods.</w:t>
      </w:r>
    </w:p>
    <w:sectPr w:rsidR="00D74795" w:rsidSect="00C26E57">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240" w:rsidRDefault="00AB7240">
      <w:pPr>
        <w:spacing w:line="20" w:lineRule="exact"/>
      </w:pPr>
    </w:p>
  </w:endnote>
  <w:endnote w:type="continuationSeparator" w:id="0">
    <w:p w:rsidR="00AB7240" w:rsidRDefault="00AB7240">
      <w:r>
        <w:t xml:space="preserve"> </w:t>
      </w:r>
    </w:p>
  </w:endnote>
  <w:endnote w:type="continuationNotice" w:id="1">
    <w:p w:rsidR="00AB7240" w:rsidRDefault="00AB724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240" w:rsidRDefault="00EE4BAB" w:rsidP="004005C6">
    <w:pPr>
      <w:pStyle w:val="Footer"/>
      <w:framePr w:wrap="around" w:vAnchor="text" w:hAnchor="margin" w:xAlign="center" w:y="1"/>
      <w:rPr>
        <w:rStyle w:val="PageNumber"/>
      </w:rPr>
    </w:pPr>
    <w:r>
      <w:rPr>
        <w:rStyle w:val="PageNumber"/>
      </w:rPr>
      <w:fldChar w:fldCharType="begin"/>
    </w:r>
    <w:r w:rsidR="00AB7240">
      <w:rPr>
        <w:rStyle w:val="PageNumber"/>
      </w:rPr>
      <w:instrText xml:space="preserve">PAGE  </w:instrText>
    </w:r>
    <w:r>
      <w:rPr>
        <w:rStyle w:val="PageNumber"/>
      </w:rPr>
      <w:fldChar w:fldCharType="end"/>
    </w:r>
  </w:p>
  <w:p w:rsidR="00AB7240" w:rsidRDefault="00AB72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240" w:rsidRDefault="00EE4BAB" w:rsidP="004005C6">
    <w:pPr>
      <w:pStyle w:val="Footer"/>
      <w:framePr w:wrap="around" w:vAnchor="text" w:hAnchor="margin" w:xAlign="center" w:y="1"/>
      <w:rPr>
        <w:rStyle w:val="PageNumber"/>
      </w:rPr>
    </w:pPr>
    <w:r>
      <w:rPr>
        <w:rStyle w:val="PageNumber"/>
      </w:rPr>
      <w:fldChar w:fldCharType="begin"/>
    </w:r>
    <w:r w:rsidR="00AB7240">
      <w:rPr>
        <w:rStyle w:val="PageNumber"/>
      </w:rPr>
      <w:instrText xml:space="preserve">PAGE  </w:instrText>
    </w:r>
    <w:r>
      <w:rPr>
        <w:rStyle w:val="PageNumber"/>
      </w:rPr>
      <w:fldChar w:fldCharType="separate"/>
    </w:r>
    <w:r w:rsidR="00EB127A">
      <w:rPr>
        <w:rStyle w:val="PageNumber"/>
        <w:noProof/>
      </w:rPr>
      <w:t>4</w:t>
    </w:r>
    <w:r>
      <w:rPr>
        <w:rStyle w:val="PageNumber"/>
      </w:rPr>
      <w:fldChar w:fldCharType="end"/>
    </w:r>
  </w:p>
  <w:p w:rsidR="00AB7240" w:rsidRDefault="00AB72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240" w:rsidRDefault="00AB7240">
      <w:r>
        <w:separator/>
      </w:r>
    </w:p>
  </w:footnote>
  <w:footnote w:type="continuationSeparator" w:id="0">
    <w:p w:rsidR="00AB7240" w:rsidRDefault="00AB72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AB"/>
    <w:multiLevelType w:val="hybridMultilevel"/>
    <w:tmpl w:val="CCC40632"/>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426A4BE4">
      <w:start w:val="1"/>
      <w:numFmt w:val="lowerRoman"/>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D0DBC"/>
    <w:multiLevelType w:val="hybridMultilevel"/>
    <w:tmpl w:val="4CC24504"/>
    <w:lvl w:ilvl="0" w:tplc="C3042C54">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351C7B"/>
    <w:multiLevelType w:val="hybridMultilevel"/>
    <w:tmpl w:val="B89E02EA"/>
    <w:lvl w:ilvl="0" w:tplc="A3AA3A6E">
      <w:start w:val="1"/>
      <w:numFmt w:val="bullet"/>
      <w:lvlText w:val=""/>
      <w:lvlJc w:val="left"/>
      <w:pPr>
        <w:tabs>
          <w:tab w:val="num" w:pos="720"/>
        </w:tabs>
        <w:ind w:left="720" w:hanging="72"/>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02B56F7"/>
    <w:multiLevelType w:val="hybridMultilevel"/>
    <w:tmpl w:val="741A7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A00C4E"/>
    <w:multiLevelType w:val="singleLevel"/>
    <w:tmpl w:val="786ADD3E"/>
    <w:lvl w:ilvl="0">
      <w:start w:val="1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nsid w:val="2A507777"/>
    <w:multiLevelType w:val="hybridMultilevel"/>
    <w:tmpl w:val="4AB2118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2A6F1D61"/>
    <w:multiLevelType w:val="singleLevel"/>
    <w:tmpl w:val="9FBEE9F0"/>
    <w:lvl w:ilvl="0">
      <w:start w:val="1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nsid w:val="2BC27532"/>
    <w:multiLevelType w:val="hybridMultilevel"/>
    <w:tmpl w:val="A808C15E"/>
    <w:lvl w:ilvl="0" w:tplc="A3AA3A6E">
      <w:start w:val="1"/>
      <w:numFmt w:val="bullet"/>
      <w:lvlText w:val=""/>
      <w:lvlJc w:val="left"/>
      <w:pPr>
        <w:tabs>
          <w:tab w:val="num" w:pos="720"/>
        </w:tabs>
        <w:ind w:left="720" w:hanging="72"/>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F6979B1"/>
    <w:multiLevelType w:val="hybridMultilevel"/>
    <w:tmpl w:val="AF607102"/>
    <w:lvl w:ilvl="0" w:tplc="0409000F">
      <w:start w:val="1"/>
      <w:numFmt w:val="decimal"/>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CE0ADE"/>
    <w:multiLevelType w:val="hybridMultilevel"/>
    <w:tmpl w:val="7EB2FA6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8D74ED1"/>
    <w:multiLevelType w:val="hybridMultilevel"/>
    <w:tmpl w:val="6FA0E7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066CC2"/>
    <w:multiLevelType w:val="hybridMultilevel"/>
    <w:tmpl w:val="4C48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9F392C"/>
    <w:multiLevelType w:val="hybridMultilevel"/>
    <w:tmpl w:val="F676A36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3A4E7D7D"/>
    <w:multiLevelType w:val="singleLevel"/>
    <w:tmpl w:val="B99E7CA2"/>
    <w:lvl w:ilvl="0">
      <w:start w:val="3"/>
      <w:numFmt w:val="decimal"/>
      <w:lvlText w:val="%1."/>
      <w:lvlJc w:val="left"/>
      <w:pPr>
        <w:tabs>
          <w:tab w:val="num" w:pos="360"/>
        </w:tabs>
        <w:ind w:left="360" w:hanging="360"/>
      </w:pPr>
      <w:rPr>
        <w:rFonts w:hint="default"/>
      </w:rPr>
    </w:lvl>
  </w:abstractNum>
  <w:abstractNum w:abstractNumId="14">
    <w:nsid w:val="42CA70B9"/>
    <w:multiLevelType w:val="hybridMultilevel"/>
    <w:tmpl w:val="65FA9F98"/>
    <w:lvl w:ilvl="0" w:tplc="CC84816C">
      <w:numFmt w:val="bullet"/>
      <w:lvlText w:val=""/>
      <w:lvlJc w:val="left"/>
      <w:pPr>
        <w:tabs>
          <w:tab w:val="num" w:pos="144"/>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84A13BB"/>
    <w:multiLevelType w:val="hybridMultilevel"/>
    <w:tmpl w:val="2A988736"/>
    <w:lvl w:ilvl="0" w:tplc="A3AA3A6E">
      <w:start w:val="1"/>
      <w:numFmt w:val="bullet"/>
      <w:lvlText w:val=""/>
      <w:lvlJc w:val="left"/>
      <w:pPr>
        <w:tabs>
          <w:tab w:val="num" w:pos="720"/>
        </w:tabs>
        <w:ind w:left="720" w:hanging="72"/>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9BE4F26"/>
    <w:multiLevelType w:val="hybridMultilevel"/>
    <w:tmpl w:val="6B24B3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FD15BB1"/>
    <w:multiLevelType w:val="hybridMultilevel"/>
    <w:tmpl w:val="9C6AFC8A"/>
    <w:lvl w:ilvl="0" w:tplc="A3AA3A6E">
      <w:start w:val="1"/>
      <w:numFmt w:val="bullet"/>
      <w:lvlText w:val=""/>
      <w:lvlJc w:val="left"/>
      <w:pPr>
        <w:tabs>
          <w:tab w:val="num" w:pos="720"/>
        </w:tabs>
        <w:ind w:left="720" w:hanging="72"/>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6222E5E"/>
    <w:multiLevelType w:val="hybridMultilevel"/>
    <w:tmpl w:val="0F8256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5DCF21F3"/>
    <w:multiLevelType w:val="hybridMultilevel"/>
    <w:tmpl w:val="320C84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574567"/>
    <w:multiLevelType w:val="hybridMultilevel"/>
    <w:tmpl w:val="6268A062"/>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8B7BA9"/>
    <w:multiLevelType w:val="hybridMultilevel"/>
    <w:tmpl w:val="BA222910"/>
    <w:lvl w:ilvl="0" w:tplc="1D024260">
      <w:numFmt w:val="bullet"/>
      <w:pStyle w:val="Heading2"/>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7205789"/>
    <w:multiLevelType w:val="hybridMultilevel"/>
    <w:tmpl w:val="B0F8A7A6"/>
    <w:lvl w:ilvl="0" w:tplc="A3AA3A6E">
      <w:start w:val="1"/>
      <w:numFmt w:val="bullet"/>
      <w:lvlText w:val=""/>
      <w:lvlJc w:val="left"/>
      <w:pPr>
        <w:tabs>
          <w:tab w:val="num" w:pos="720"/>
        </w:tabs>
        <w:ind w:left="720" w:hanging="72"/>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78397E1B"/>
    <w:multiLevelType w:val="hybridMultilevel"/>
    <w:tmpl w:val="4AB2118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78DB4E22"/>
    <w:multiLevelType w:val="singleLevel"/>
    <w:tmpl w:val="6B52B076"/>
    <w:lvl w:ilvl="0">
      <w:start w:val="1"/>
      <w:numFmt w:val="decimal"/>
      <w:lvlText w:val="%1."/>
      <w:lvlJc w:val="left"/>
      <w:pPr>
        <w:tabs>
          <w:tab w:val="num" w:pos="450"/>
        </w:tabs>
        <w:ind w:left="450" w:hanging="450"/>
      </w:pPr>
      <w:rPr>
        <w:rFonts w:hint="default"/>
      </w:rPr>
    </w:lvl>
  </w:abstractNum>
  <w:abstractNum w:abstractNumId="25">
    <w:nsid w:val="7B3D32D7"/>
    <w:multiLevelType w:val="singleLevel"/>
    <w:tmpl w:val="2E640968"/>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25"/>
  </w:num>
  <w:num w:numId="2">
    <w:abstractNumId w:val="6"/>
  </w:num>
  <w:num w:numId="3">
    <w:abstractNumId w:val="4"/>
  </w:num>
  <w:num w:numId="4">
    <w:abstractNumId w:val="13"/>
  </w:num>
  <w:num w:numId="5">
    <w:abstractNumId w:val="9"/>
  </w:num>
  <w:num w:numId="6">
    <w:abstractNumId w:val="18"/>
  </w:num>
  <w:num w:numId="7">
    <w:abstractNumId w:val="16"/>
  </w:num>
  <w:num w:numId="8">
    <w:abstractNumId w:val="7"/>
  </w:num>
  <w:num w:numId="9">
    <w:abstractNumId w:val="15"/>
  </w:num>
  <w:num w:numId="10">
    <w:abstractNumId w:val="14"/>
  </w:num>
  <w:num w:numId="11">
    <w:abstractNumId w:val="21"/>
  </w:num>
  <w:num w:numId="12">
    <w:abstractNumId w:val="11"/>
  </w:num>
  <w:num w:numId="13">
    <w:abstractNumId w:val="10"/>
  </w:num>
  <w:num w:numId="14">
    <w:abstractNumId w:val="0"/>
  </w:num>
  <w:num w:numId="15">
    <w:abstractNumId w:val="20"/>
  </w:num>
  <w:num w:numId="16">
    <w:abstractNumId w:val="23"/>
  </w:num>
  <w:num w:numId="17">
    <w:abstractNumId w:val="5"/>
  </w:num>
  <w:num w:numId="18">
    <w:abstractNumId w:val="8"/>
  </w:num>
  <w:num w:numId="19">
    <w:abstractNumId w:val="12"/>
  </w:num>
  <w:num w:numId="20">
    <w:abstractNumId w:val="2"/>
  </w:num>
  <w:num w:numId="21">
    <w:abstractNumId w:val="22"/>
  </w:num>
  <w:num w:numId="22">
    <w:abstractNumId w:val="19"/>
  </w:num>
  <w:num w:numId="23">
    <w:abstractNumId w:val="3"/>
  </w:num>
  <w:num w:numId="24">
    <w:abstractNumId w:val="24"/>
  </w:num>
  <w:num w:numId="25">
    <w:abstractNumId w:val="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24E"/>
    <w:rsid w:val="00004D27"/>
    <w:rsid w:val="00016A80"/>
    <w:rsid w:val="0003363F"/>
    <w:rsid w:val="0004167C"/>
    <w:rsid w:val="00072AD3"/>
    <w:rsid w:val="000925FD"/>
    <w:rsid w:val="00095480"/>
    <w:rsid w:val="000A23EF"/>
    <w:rsid w:val="000B180B"/>
    <w:rsid w:val="000B2E16"/>
    <w:rsid w:val="000B736A"/>
    <w:rsid w:val="000C5396"/>
    <w:rsid w:val="000D2F61"/>
    <w:rsid w:val="000D718F"/>
    <w:rsid w:val="000E0B1B"/>
    <w:rsid w:val="000E227A"/>
    <w:rsid w:val="000E2587"/>
    <w:rsid w:val="000E434B"/>
    <w:rsid w:val="000F5010"/>
    <w:rsid w:val="00105917"/>
    <w:rsid w:val="00114EF4"/>
    <w:rsid w:val="001225F0"/>
    <w:rsid w:val="0013456D"/>
    <w:rsid w:val="00141C01"/>
    <w:rsid w:val="001566FA"/>
    <w:rsid w:val="00172CB8"/>
    <w:rsid w:val="0017490B"/>
    <w:rsid w:val="00184690"/>
    <w:rsid w:val="001925D4"/>
    <w:rsid w:val="001A3C25"/>
    <w:rsid w:val="001A7805"/>
    <w:rsid w:val="001B36B3"/>
    <w:rsid w:val="001C4273"/>
    <w:rsid w:val="001C4FCF"/>
    <w:rsid w:val="001C6489"/>
    <w:rsid w:val="001D57C6"/>
    <w:rsid w:val="001D7118"/>
    <w:rsid w:val="001E1888"/>
    <w:rsid w:val="001E6725"/>
    <w:rsid w:val="001E7BCB"/>
    <w:rsid w:val="001F5078"/>
    <w:rsid w:val="001F675C"/>
    <w:rsid w:val="001F7971"/>
    <w:rsid w:val="002347B7"/>
    <w:rsid w:val="0024438C"/>
    <w:rsid w:val="002713AE"/>
    <w:rsid w:val="00274797"/>
    <w:rsid w:val="00276754"/>
    <w:rsid w:val="00281465"/>
    <w:rsid w:val="002A4797"/>
    <w:rsid w:val="002A50A1"/>
    <w:rsid w:val="002B10ED"/>
    <w:rsid w:val="002B1CEF"/>
    <w:rsid w:val="002B724B"/>
    <w:rsid w:val="002C1476"/>
    <w:rsid w:val="00302056"/>
    <w:rsid w:val="00321DDC"/>
    <w:rsid w:val="00353AC3"/>
    <w:rsid w:val="00360E5A"/>
    <w:rsid w:val="003718C1"/>
    <w:rsid w:val="003811AC"/>
    <w:rsid w:val="00383A14"/>
    <w:rsid w:val="003C5414"/>
    <w:rsid w:val="003C68D8"/>
    <w:rsid w:val="003D42B7"/>
    <w:rsid w:val="003D548F"/>
    <w:rsid w:val="003D5F75"/>
    <w:rsid w:val="003D7A1C"/>
    <w:rsid w:val="003E0DEA"/>
    <w:rsid w:val="003E7C94"/>
    <w:rsid w:val="003F51C3"/>
    <w:rsid w:val="004005C6"/>
    <w:rsid w:val="00400990"/>
    <w:rsid w:val="004015DC"/>
    <w:rsid w:val="00403F01"/>
    <w:rsid w:val="00407FA9"/>
    <w:rsid w:val="00417946"/>
    <w:rsid w:val="00421973"/>
    <w:rsid w:val="00435B57"/>
    <w:rsid w:val="004745E2"/>
    <w:rsid w:val="004A0428"/>
    <w:rsid w:val="004A5890"/>
    <w:rsid w:val="004B0A71"/>
    <w:rsid w:val="004C6A57"/>
    <w:rsid w:val="004D3616"/>
    <w:rsid w:val="004D63F0"/>
    <w:rsid w:val="004E31A1"/>
    <w:rsid w:val="004F1429"/>
    <w:rsid w:val="004F769F"/>
    <w:rsid w:val="00500BB2"/>
    <w:rsid w:val="00507376"/>
    <w:rsid w:val="00526078"/>
    <w:rsid w:val="00535574"/>
    <w:rsid w:val="005509C4"/>
    <w:rsid w:val="00565F27"/>
    <w:rsid w:val="005752F0"/>
    <w:rsid w:val="00577DBB"/>
    <w:rsid w:val="0058645A"/>
    <w:rsid w:val="0058721F"/>
    <w:rsid w:val="005B2F5C"/>
    <w:rsid w:val="005C354F"/>
    <w:rsid w:val="005C7030"/>
    <w:rsid w:val="005D0376"/>
    <w:rsid w:val="005D22CC"/>
    <w:rsid w:val="005F36D7"/>
    <w:rsid w:val="00686DD2"/>
    <w:rsid w:val="00694A7C"/>
    <w:rsid w:val="006A6A06"/>
    <w:rsid w:val="006C4F61"/>
    <w:rsid w:val="006D0304"/>
    <w:rsid w:val="006D43F7"/>
    <w:rsid w:val="006F20A1"/>
    <w:rsid w:val="006F385B"/>
    <w:rsid w:val="00700081"/>
    <w:rsid w:val="00701B13"/>
    <w:rsid w:val="00702429"/>
    <w:rsid w:val="007033CE"/>
    <w:rsid w:val="007041A8"/>
    <w:rsid w:val="00712110"/>
    <w:rsid w:val="007149D4"/>
    <w:rsid w:val="00720904"/>
    <w:rsid w:val="00726502"/>
    <w:rsid w:val="007318A0"/>
    <w:rsid w:val="00781F5B"/>
    <w:rsid w:val="00787B63"/>
    <w:rsid w:val="007A344D"/>
    <w:rsid w:val="007B3000"/>
    <w:rsid w:val="007E750F"/>
    <w:rsid w:val="00800429"/>
    <w:rsid w:val="008125D2"/>
    <w:rsid w:val="008218B6"/>
    <w:rsid w:val="00864BB7"/>
    <w:rsid w:val="00871FE1"/>
    <w:rsid w:val="00881738"/>
    <w:rsid w:val="008831DA"/>
    <w:rsid w:val="008A25F3"/>
    <w:rsid w:val="008A44C2"/>
    <w:rsid w:val="008A64D6"/>
    <w:rsid w:val="008B47A2"/>
    <w:rsid w:val="008B5260"/>
    <w:rsid w:val="008D002E"/>
    <w:rsid w:val="00914AAC"/>
    <w:rsid w:val="00916E5E"/>
    <w:rsid w:val="00940B5B"/>
    <w:rsid w:val="00944CD9"/>
    <w:rsid w:val="0094776C"/>
    <w:rsid w:val="00953D08"/>
    <w:rsid w:val="00980563"/>
    <w:rsid w:val="009A0444"/>
    <w:rsid w:val="009E31B5"/>
    <w:rsid w:val="009F1D2E"/>
    <w:rsid w:val="00A03E02"/>
    <w:rsid w:val="00A1541D"/>
    <w:rsid w:val="00A204EE"/>
    <w:rsid w:val="00A2268C"/>
    <w:rsid w:val="00A2293A"/>
    <w:rsid w:val="00A31713"/>
    <w:rsid w:val="00A36979"/>
    <w:rsid w:val="00A8249A"/>
    <w:rsid w:val="00A82BDD"/>
    <w:rsid w:val="00A86A33"/>
    <w:rsid w:val="00AA1941"/>
    <w:rsid w:val="00AB7240"/>
    <w:rsid w:val="00AC2C77"/>
    <w:rsid w:val="00AD561D"/>
    <w:rsid w:val="00AD7EBF"/>
    <w:rsid w:val="00B03A25"/>
    <w:rsid w:val="00B24453"/>
    <w:rsid w:val="00B30FC8"/>
    <w:rsid w:val="00B32217"/>
    <w:rsid w:val="00B36CF4"/>
    <w:rsid w:val="00B43A04"/>
    <w:rsid w:val="00B50293"/>
    <w:rsid w:val="00B56964"/>
    <w:rsid w:val="00B76560"/>
    <w:rsid w:val="00BA0EB0"/>
    <w:rsid w:val="00BA21CB"/>
    <w:rsid w:val="00BA3E44"/>
    <w:rsid w:val="00BB6078"/>
    <w:rsid w:val="00BC762F"/>
    <w:rsid w:val="00BF741C"/>
    <w:rsid w:val="00C01037"/>
    <w:rsid w:val="00C066E2"/>
    <w:rsid w:val="00C124B0"/>
    <w:rsid w:val="00C26AB3"/>
    <w:rsid w:val="00C26E57"/>
    <w:rsid w:val="00C30DEF"/>
    <w:rsid w:val="00C31A1F"/>
    <w:rsid w:val="00C4154C"/>
    <w:rsid w:val="00C46895"/>
    <w:rsid w:val="00C52BE4"/>
    <w:rsid w:val="00C672EE"/>
    <w:rsid w:val="00C855E4"/>
    <w:rsid w:val="00C85689"/>
    <w:rsid w:val="00CC57ED"/>
    <w:rsid w:val="00D006E3"/>
    <w:rsid w:val="00D02444"/>
    <w:rsid w:val="00D05573"/>
    <w:rsid w:val="00D169A0"/>
    <w:rsid w:val="00D24D34"/>
    <w:rsid w:val="00D74795"/>
    <w:rsid w:val="00D84707"/>
    <w:rsid w:val="00D973A5"/>
    <w:rsid w:val="00DA091C"/>
    <w:rsid w:val="00DA17AD"/>
    <w:rsid w:val="00DA6C2A"/>
    <w:rsid w:val="00DB6495"/>
    <w:rsid w:val="00DB7BB1"/>
    <w:rsid w:val="00DC5FFF"/>
    <w:rsid w:val="00DD127A"/>
    <w:rsid w:val="00DF6FB9"/>
    <w:rsid w:val="00E40354"/>
    <w:rsid w:val="00E44537"/>
    <w:rsid w:val="00E55E95"/>
    <w:rsid w:val="00E71A89"/>
    <w:rsid w:val="00E8024E"/>
    <w:rsid w:val="00E8069B"/>
    <w:rsid w:val="00E8257F"/>
    <w:rsid w:val="00E8350F"/>
    <w:rsid w:val="00EB127A"/>
    <w:rsid w:val="00EC118D"/>
    <w:rsid w:val="00EC5162"/>
    <w:rsid w:val="00ED31C9"/>
    <w:rsid w:val="00EE143C"/>
    <w:rsid w:val="00EE3927"/>
    <w:rsid w:val="00EE4BAB"/>
    <w:rsid w:val="00F03B0F"/>
    <w:rsid w:val="00F16826"/>
    <w:rsid w:val="00F218A6"/>
    <w:rsid w:val="00F21DE8"/>
    <w:rsid w:val="00F23A4B"/>
    <w:rsid w:val="00F41C64"/>
    <w:rsid w:val="00F46550"/>
    <w:rsid w:val="00F509C1"/>
    <w:rsid w:val="00F66AA4"/>
    <w:rsid w:val="00F91CD8"/>
    <w:rsid w:val="00FC48BD"/>
    <w:rsid w:val="00FC5164"/>
    <w:rsid w:val="00FE0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57ED"/>
    <w:pPr>
      <w:widowControl w:val="0"/>
    </w:pPr>
    <w:rPr>
      <w:sz w:val="24"/>
    </w:rPr>
  </w:style>
  <w:style w:type="paragraph" w:styleId="Heading2">
    <w:name w:val="heading 2"/>
    <w:basedOn w:val="Normal"/>
    <w:next w:val="Normal"/>
    <w:link w:val="Heading2Char"/>
    <w:qFormat/>
    <w:rsid w:val="00D74795"/>
    <w:pPr>
      <w:keepNext/>
      <w:widowControl/>
      <w:numPr>
        <w:numId w:val="1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C57ED"/>
  </w:style>
  <w:style w:type="character" w:styleId="EndnoteReference">
    <w:name w:val="endnote reference"/>
    <w:basedOn w:val="DefaultParagraphFont"/>
    <w:semiHidden/>
    <w:rsid w:val="00CC57ED"/>
    <w:rPr>
      <w:vertAlign w:val="superscript"/>
    </w:rPr>
  </w:style>
  <w:style w:type="paragraph" w:styleId="FootnoteText">
    <w:name w:val="footnote text"/>
    <w:basedOn w:val="Normal"/>
    <w:semiHidden/>
    <w:rsid w:val="00CC57ED"/>
  </w:style>
  <w:style w:type="character" w:styleId="FootnoteReference">
    <w:name w:val="footnote reference"/>
    <w:basedOn w:val="DefaultParagraphFont"/>
    <w:semiHidden/>
    <w:rsid w:val="00CC57ED"/>
    <w:rPr>
      <w:vertAlign w:val="superscript"/>
    </w:rPr>
  </w:style>
  <w:style w:type="character" w:customStyle="1" w:styleId="Document8">
    <w:name w:val="Document 8"/>
    <w:basedOn w:val="DefaultParagraphFont"/>
    <w:rsid w:val="00CC57ED"/>
  </w:style>
  <w:style w:type="character" w:customStyle="1" w:styleId="Document4">
    <w:name w:val="Document 4"/>
    <w:basedOn w:val="DefaultParagraphFont"/>
    <w:rsid w:val="00CC57ED"/>
    <w:rPr>
      <w:b/>
      <w:i/>
      <w:sz w:val="24"/>
    </w:rPr>
  </w:style>
  <w:style w:type="character" w:customStyle="1" w:styleId="Document6">
    <w:name w:val="Document 6"/>
    <w:basedOn w:val="DefaultParagraphFont"/>
    <w:rsid w:val="00CC57ED"/>
  </w:style>
  <w:style w:type="character" w:customStyle="1" w:styleId="Document5">
    <w:name w:val="Document 5"/>
    <w:basedOn w:val="DefaultParagraphFont"/>
    <w:rsid w:val="00CC57ED"/>
  </w:style>
  <w:style w:type="character" w:customStyle="1" w:styleId="Document2">
    <w:name w:val="Document 2"/>
    <w:basedOn w:val="DefaultParagraphFont"/>
    <w:rsid w:val="00CC57ED"/>
    <w:rPr>
      <w:rFonts w:ascii="Courier New" w:hAnsi="Courier New"/>
      <w:noProof w:val="0"/>
      <w:sz w:val="24"/>
      <w:lang w:val="en-US"/>
    </w:rPr>
  </w:style>
  <w:style w:type="character" w:customStyle="1" w:styleId="Document7">
    <w:name w:val="Document 7"/>
    <w:basedOn w:val="DefaultParagraphFont"/>
    <w:rsid w:val="00CC57ED"/>
  </w:style>
  <w:style w:type="character" w:customStyle="1" w:styleId="Bibliogrphy">
    <w:name w:val="Bibliogrphy"/>
    <w:basedOn w:val="DefaultParagraphFont"/>
    <w:rsid w:val="00CC57ED"/>
  </w:style>
  <w:style w:type="character" w:customStyle="1" w:styleId="RightPar1">
    <w:name w:val="Right Par 1"/>
    <w:basedOn w:val="DefaultParagraphFont"/>
    <w:rsid w:val="00CC57ED"/>
  </w:style>
  <w:style w:type="character" w:customStyle="1" w:styleId="RightPar2">
    <w:name w:val="Right Par 2"/>
    <w:basedOn w:val="DefaultParagraphFont"/>
    <w:rsid w:val="00CC57ED"/>
  </w:style>
  <w:style w:type="character" w:customStyle="1" w:styleId="Document3">
    <w:name w:val="Document 3"/>
    <w:basedOn w:val="DefaultParagraphFont"/>
    <w:rsid w:val="00CC57ED"/>
    <w:rPr>
      <w:rFonts w:ascii="Courier New" w:hAnsi="Courier New"/>
      <w:noProof w:val="0"/>
      <w:sz w:val="24"/>
      <w:lang w:val="en-US"/>
    </w:rPr>
  </w:style>
  <w:style w:type="character" w:customStyle="1" w:styleId="RightPar3">
    <w:name w:val="Right Par 3"/>
    <w:basedOn w:val="DefaultParagraphFont"/>
    <w:rsid w:val="00CC57ED"/>
  </w:style>
  <w:style w:type="character" w:customStyle="1" w:styleId="RightPar4">
    <w:name w:val="Right Par 4"/>
    <w:basedOn w:val="DefaultParagraphFont"/>
    <w:rsid w:val="00CC57ED"/>
  </w:style>
  <w:style w:type="character" w:customStyle="1" w:styleId="RightPar5">
    <w:name w:val="Right Par 5"/>
    <w:basedOn w:val="DefaultParagraphFont"/>
    <w:rsid w:val="00CC57ED"/>
  </w:style>
  <w:style w:type="character" w:customStyle="1" w:styleId="RightPar6">
    <w:name w:val="Right Par 6"/>
    <w:basedOn w:val="DefaultParagraphFont"/>
    <w:rsid w:val="00CC57ED"/>
  </w:style>
  <w:style w:type="character" w:customStyle="1" w:styleId="RightPar7">
    <w:name w:val="Right Par 7"/>
    <w:basedOn w:val="DefaultParagraphFont"/>
    <w:rsid w:val="00CC57ED"/>
  </w:style>
  <w:style w:type="character" w:customStyle="1" w:styleId="RightPar8">
    <w:name w:val="Right Par 8"/>
    <w:basedOn w:val="DefaultParagraphFont"/>
    <w:rsid w:val="00CC57ED"/>
  </w:style>
  <w:style w:type="paragraph" w:customStyle="1" w:styleId="Document1">
    <w:name w:val="Document 1"/>
    <w:rsid w:val="00CC57ED"/>
    <w:pPr>
      <w:keepNext/>
      <w:keepLines/>
      <w:widowControl w:val="0"/>
      <w:tabs>
        <w:tab w:val="left" w:pos="-720"/>
      </w:tabs>
      <w:suppressAutoHyphens/>
    </w:pPr>
    <w:rPr>
      <w:rFonts w:ascii="Courier New" w:hAnsi="Courier New"/>
      <w:sz w:val="24"/>
    </w:rPr>
  </w:style>
  <w:style w:type="character" w:customStyle="1" w:styleId="DocInit">
    <w:name w:val="Doc Init"/>
    <w:basedOn w:val="DefaultParagraphFont"/>
    <w:rsid w:val="00CC57ED"/>
  </w:style>
  <w:style w:type="character" w:customStyle="1" w:styleId="TechInit">
    <w:name w:val="Tech Init"/>
    <w:basedOn w:val="DefaultParagraphFont"/>
    <w:rsid w:val="00CC57ED"/>
    <w:rPr>
      <w:rFonts w:ascii="Courier New" w:hAnsi="Courier New"/>
      <w:noProof w:val="0"/>
      <w:sz w:val="24"/>
      <w:lang w:val="en-US"/>
    </w:rPr>
  </w:style>
  <w:style w:type="character" w:customStyle="1" w:styleId="Technical5">
    <w:name w:val="Technical 5"/>
    <w:basedOn w:val="DefaultParagraphFont"/>
    <w:rsid w:val="00CC57ED"/>
  </w:style>
  <w:style w:type="character" w:customStyle="1" w:styleId="Technical6">
    <w:name w:val="Technical 6"/>
    <w:basedOn w:val="DefaultParagraphFont"/>
    <w:rsid w:val="00CC57ED"/>
  </w:style>
  <w:style w:type="character" w:customStyle="1" w:styleId="Technical2">
    <w:name w:val="Technical 2"/>
    <w:basedOn w:val="DefaultParagraphFont"/>
    <w:rsid w:val="00CC57ED"/>
    <w:rPr>
      <w:rFonts w:ascii="Courier New" w:hAnsi="Courier New"/>
      <w:noProof w:val="0"/>
      <w:sz w:val="24"/>
      <w:lang w:val="en-US"/>
    </w:rPr>
  </w:style>
  <w:style w:type="character" w:customStyle="1" w:styleId="Technical3">
    <w:name w:val="Technical 3"/>
    <w:basedOn w:val="DefaultParagraphFont"/>
    <w:rsid w:val="00CC57ED"/>
    <w:rPr>
      <w:rFonts w:ascii="Courier New" w:hAnsi="Courier New"/>
      <w:noProof w:val="0"/>
      <w:sz w:val="24"/>
      <w:lang w:val="en-US"/>
    </w:rPr>
  </w:style>
  <w:style w:type="character" w:customStyle="1" w:styleId="Technical4">
    <w:name w:val="Technical 4"/>
    <w:basedOn w:val="DefaultParagraphFont"/>
    <w:rsid w:val="00CC57ED"/>
  </w:style>
  <w:style w:type="character" w:customStyle="1" w:styleId="Technical1">
    <w:name w:val="Technical 1"/>
    <w:basedOn w:val="DefaultParagraphFont"/>
    <w:rsid w:val="00CC57ED"/>
    <w:rPr>
      <w:rFonts w:ascii="Courier New" w:hAnsi="Courier New"/>
      <w:noProof w:val="0"/>
      <w:sz w:val="24"/>
      <w:lang w:val="en-US"/>
    </w:rPr>
  </w:style>
  <w:style w:type="character" w:customStyle="1" w:styleId="Technical7">
    <w:name w:val="Technical 7"/>
    <w:basedOn w:val="DefaultParagraphFont"/>
    <w:rsid w:val="00CC57ED"/>
  </w:style>
  <w:style w:type="character" w:customStyle="1" w:styleId="Technical8">
    <w:name w:val="Technical 8"/>
    <w:basedOn w:val="DefaultParagraphFont"/>
    <w:rsid w:val="00CC57ED"/>
  </w:style>
  <w:style w:type="paragraph" w:styleId="TOC1">
    <w:name w:val="toc 1"/>
    <w:basedOn w:val="Normal"/>
    <w:next w:val="Normal"/>
    <w:semiHidden/>
    <w:rsid w:val="00CC57ED"/>
    <w:pPr>
      <w:tabs>
        <w:tab w:val="right" w:leader="dot" w:pos="9360"/>
      </w:tabs>
      <w:suppressAutoHyphens/>
      <w:spacing w:before="480"/>
      <w:ind w:left="720" w:right="720" w:hanging="720"/>
    </w:pPr>
  </w:style>
  <w:style w:type="paragraph" w:styleId="TOC2">
    <w:name w:val="toc 2"/>
    <w:basedOn w:val="Normal"/>
    <w:next w:val="Normal"/>
    <w:semiHidden/>
    <w:rsid w:val="00CC57ED"/>
    <w:pPr>
      <w:tabs>
        <w:tab w:val="right" w:leader="dot" w:pos="9360"/>
      </w:tabs>
      <w:suppressAutoHyphens/>
      <w:ind w:left="1440" w:right="720" w:hanging="720"/>
    </w:pPr>
  </w:style>
  <w:style w:type="paragraph" w:styleId="TOC3">
    <w:name w:val="toc 3"/>
    <w:basedOn w:val="Normal"/>
    <w:next w:val="Normal"/>
    <w:semiHidden/>
    <w:rsid w:val="00CC57ED"/>
    <w:pPr>
      <w:tabs>
        <w:tab w:val="right" w:leader="dot" w:pos="9360"/>
      </w:tabs>
      <w:suppressAutoHyphens/>
      <w:ind w:left="2160" w:right="720" w:hanging="720"/>
    </w:pPr>
  </w:style>
  <w:style w:type="paragraph" w:styleId="TOC4">
    <w:name w:val="toc 4"/>
    <w:basedOn w:val="Normal"/>
    <w:next w:val="Normal"/>
    <w:semiHidden/>
    <w:rsid w:val="00CC57ED"/>
    <w:pPr>
      <w:tabs>
        <w:tab w:val="right" w:leader="dot" w:pos="9360"/>
      </w:tabs>
      <w:suppressAutoHyphens/>
      <w:ind w:left="2880" w:right="720" w:hanging="720"/>
    </w:pPr>
  </w:style>
  <w:style w:type="paragraph" w:styleId="TOC5">
    <w:name w:val="toc 5"/>
    <w:basedOn w:val="Normal"/>
    <w:next w:val="Normal"/>
    <w:semiHidden/>
    <w:rsid w:val="00CC57ED"/>
    <w:pPr>
      <w:tabs>
        <w:tab w:val="right" w:leader="dot" w:pos="9360"/>
      </w:tabs>
      <w:suppressAutoHyphens/>
      <w:ind w:left="3600" w:right="720" w:hanging="720"/>
    </w:pPr>
  </w:style>
  <w:style w:type="paragraph" w:styleId="TOC6">
    <w:name w:val="toc 6"/>
    <w:basedOn w:val="Normal"/>
    <w:next w:val="Normal"/>
    <w:semiHidden/>
    <w:rsid w:val="00CC57ED"/>
    <w:pPr>
      <w:tabs>
        <w:tab w:val="right" w:pos="9360"/>
      </w:tabs>
      <w:suppressAutoHyphens/>
      <w:ind w:left="720" w:hanging="720"/>
    </w:pPr>
  </w:style>
  <w:style w:type="paragraph" w:styleId="TOC7">
    <w:name w:val="toc 7"/>
    <w:basedOn w:val="Normal"/>
    <w:next w:val="Normal"/>
    <w:semiHidden/>
    <w:rsid w:val="00CC57ED"/>
    <w:pPr>
      <w:suppressAutoHyphens/>
      <w:ind w:left="720" w:hanging="720"/>
    </w:pPr>
  </w:style>
  <w:style w:type="paragraph" w:styleId="TOC8">
    <w:name w:val="toc 8"/>
    <w:basedOn w:val="Normal"/>
    <w:next w:val="Normal"/>
    <w:semiHidden/>
    <w:rsid w:val="00CC57ED"/>
    <w:pPr>
      <w:tabs>
        <w:tab w:val="right" w:pos="9360"/>
      </w:tabs>
      <w:suppressAutoHyphens/>
      <w:ind w:left="720" w:hanging="720"/>
    </w:pPr>
  </w:style>
  <w:style w:type="paragraph" w:styleId="TOC9">
    <w:name w:val="toc 9"/>
    <w:basedOn w:val="Normal"/>
    <w:next w:val="Normal"/>
    <w:semiHidden/>
    <w:rsid w:val="00CC57ED"/>
    <w:pPr>
      <w:tabs>
        <w:tab w:val="right" w:leader="dot" w:pos="9360"/>
      </w:tabs>
      <w:suppressAutoHyphens/>
      <w:ind w:left="720" w:hanging="720"/>
    </w:pPr>
  </w:style>
  <w:style w:type="paragraph" w:styleId="Index1">
    <w:name w:val="index 1"/>
    <w:basedOn w:val="Normal"/>
    <w:next w:val="Normal"/>
    <w:semiHidden/>
    <w:rsid w:val="00CC57ED"/>
    <w:pPr>
      <w:tabs>
        <w:tab w:val="right" w:leader="dot" w:pos="9360"/>
      </w:tabs>
      <w:suppressAutoHyphens/>
      <w:ind w:left="1440" w:right="720" w:hanging="1440"/>
    </w:pPr>
  </w:style>
  <w:style w:type="paragraph" w:styleId="Index2">
    <w:name w:val="index 2"/>
    <w:basedOn w:val="Normal"/>
    <w:next w:val="Normal"/>
    <w:semiHidden/>
    <w:rsid w:val="00CC57ED"/>
    <w:pPr>
      <w:tabs>
        <w:tab w:val="right" w:leader="dot" w:pos="9360"/>
      </w:tabs>
      <w:suppressAutoHyphens/>
      <w:ind w:left="1440" w:right="720" w:hanging="720"/>
    </w:pPr>
  </w:style>
  <w:style w:type="paragraph" w:styleId="TOAHeading">
    <w:name w:val="toa heading"/>
    <w:basedOn w:val="Normal"/>
    <w:next w:val="Normal"/>
    <w:semiHidden/>
    <w:rsid w:val="00CC57ED"/>
    <w:pPr>
      <w:tabs>
        <w:tab w:val="right" w:pos="9360"/>
      </w:tabs>
      <w:suppressAutoHyphens/>
    </w:pPr>
  </w:style>
  <w:style w:type="paragraph" w:styleId="Caption">
    <w:name w:val="caption"/>
    <w:basedOn w:val="Normal"/>
    <w:next w:val="Normal"/>
    <w:qFormat/>
    <w:rsid w:val="00CC57ED"/>
  </w:style>
  <w:style w:type="character" w:customStyle="1" w:styleId="EquationCaption">
    <w:name w:val="_Equation Caption"/>
    <w:rsid w:val="00CC57ED"/>
  </w:style>
  <w:style w:type="paragraph" w:styleId="BodyTextIndent">
    <w:name w:val="Body Text Indent"/>
    <w:basedOn w:val="Normal"/>
    <w:rsid w:val="00172CB8"/>
    <w:pPr>
      <w:widowControl/>
      <w:tabs>
        <w:tab w:val="left" w:pos="450"/>
      </w:tabs>
      <w:ind w:left="810" w:hanging="810"/>
    </w:pPr>
  </w:style>
  <w:style w:type="paragraph" w:styleId="Footer">
    <w:name w:val="footer"/>
    <w:basedOn w:val="Normal"/>
    <w:rsid w:val="001E6725"/>
    <w:pPr>
      <w:tabs>
        <w:tab w:val="center" w:pos="4320"/>
        <w:tab w:val="right" w:pos="8640"/>
      </w:tabs>
    </w:pPr>
  </w:style>
  <w:style w:type="character" w:styleId="PageNumber">
    <w:name w:val="page number"/>
    <w:basedOn w:val="DefaultParagraphFont"/>
    <w:rsid w:val="001E6725"/>
  </w:style>
  <w:style w:type="table" w:styleId="TableGrid">
    <w:name w:val="Table Grid"/>
    <w:basedOn w:val="TableNormal"/>
    <w:rsid w:val="001A3C2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D74795"/>
    <w:rPr>
      <w:rFonts w:ascii="Arial" w:hAnsi="Arial" w:cs="Arial"/>
      <w:b/>
      <w:bCs/>
      <w:i/>
      <w:iCs/>
      <w:sz w:val="28"/>
      <w:szCs w:val="28"/>
    </w:rPr>
  </w:style>
  <w:style w:type="paragraph" w:styleId="BalloonText">
    <w:name w:val="Balloon Text"/>
    <w:basedOn w:val="Normal"/>
    <w:link w:val="BalloonTextChar"/>
    <w:rsid w:val="00D74795"/>
    <w:rPr>
      <w:rFonts w:ascii="Tahoma" w:hAnsi="Tahoma" w:cs="Tahoma"/>
      <w:sz w:val="16"/>
      <w:szCs w:val="16"/>
    </w:rPr>
  </w:style>
  <w:style w:type="character" w:customStyle="1" w:styleId="BalloonTextChar">
    <w:name w:val="Balloon Text Char"/>
    <w:basedOn w:val="DefaultParagraphFont"/>
    <w:link w:val="BalloonText"/>
    <w:rsid w:val="00D74795"/>
    <w:rPr>
      <w:rFonts w:ascii="Tahoma" w:hAnsi="Tahoma" w:cs="Tahoma"/>
      <w:sz w:val="16"/>
      <w:szCs w:val="16"/>
    </w:rPr>
  </w:style>
  <w:style w:type="paragraph" w:styleId="ListParagraph">
    <w:name w:val="List Paragraph"/>
    <w:basedOn w:val="Normal"/>
    <w:uiPriority w:val="34"/>
    <w:qFormat/>
    <w:rsid w:val="007A344D"/>
    <w:pPr>
      <w:widowControl/>
      <w:ind w:left="720"/>
    </w:pPr>
    <w:rPr>
      <w:szCs w:val="24"/>
    </w:rPr>
  </w:style>
  <w:style w:type="paragraph" w:customStyle="1" w:styleId="Default">
    <w:name w:val="Default"/>
    <w:rsid w:val="00383A14"/>
    <w:pPr>
      <w:autoSpaceDE w:val="0"/>
      <w:autoSpaceDN w:val="0"/>
      <w:adjustRightInd w:val="0"/>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57ED"/>
    <w:pPr>
      <w:widowControl w:val="0"/>
    </w:pPr>
    <w:rPr>
      <w:sz w:val="24"/>
    </w:rPr>
  </w:style>
  <w:style w:type="paragraph" w:styleId="Heading2">
    <w:name w:val="heading 2"/>
    <w:basedOn w:val="Normal"/>
    <w:next w:val="Normal"/>
    <w:link w:val="Heading2Char"/>
    <w:qFormat/>
    <w:rsid w:val="00D74795"/>
    <w:pPr>
      <w:keepNext/>
      <w:widowControl/>
      <w:numPr>
        <w:numId w:val="1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C57ED"/>
  </w:style>
  <w:style w:type="character" w:styleId="EndnoteReference">
    <w:name w:val="endnote reference"/>
    <w:basedOn w:val="DefaultParagraphFont"/>
    <w:semiHidden/>
    <w:rsid w:val="00CC57ED"/>
    <w:rPr>
      <w:vertAlign w:val="superscript"/>
    </w:rPr>
  </w:style>
  <w:style w:type="paragraph" w:styleId="FootnoteText">
    <w:name w:val="footnote text"/>
    <w:basedOn w:val="Normal"/>
    <w:semiHidden/>
    <w:rsid w:val="00CC57ED"/>
  </w:style>
  <w:style w:type="character" w:styleId="FootnoteReference">
    <w:name w:val="footnote reference"/>
    <w:basedOn w:val="DefaultParagraphFont"/>
    <w:semiHidden/>
    <w:rsid w:val="00CC57ED"/>
    <w:rPr>
      <w:vertAlign w:val="superscript"/>
    </w:rPr>
  </w:style>
  <w:style w:type="character" w:customStyle="1" w:styleId="Document8">
    <w:name w:val="Document 8"/>
    <w:basedOn w:val="DefaultParagraphFont"/>
    <w:rsid w:val="00CC57ED"/>
  </w:style>
  <w:style w:type="character" w:customStyle="1" w:styleId="Document4">
    <w:name w:val="Document 4"/>
    <w:basedOn w:val="DefaultParagraphFont"/>
    <w:rsid w:val="00CC57ED"/>
    <w:rPr>
      <w:b/>
      <w:i/>
      <w:sz w:val="24"/>
    </w:rPr>
  </w:style>
  <w:style w:type="character" w:customStyle="1" w:styleId="Document6">
    <w:name w:val="Document 6"/>
    <w:basedOn w:val="DefaultParagraphFont"/>
    <w:rsid w:val="00CC57ED"/>
  </w:style>
  <w:style w:type="character" w:customStyle="1" w:styleId="Document5">
    <w:name w:val="Document 5"/>
    <w:basedOn w:val="DefaultParagraphFont"/>
    <w:rsid w:val="00CC57ED"/>
  </w:style>
  <w:style w:type="character" w:customStyle="1" w:styleId="Document2">
    <w:name w:val="Document 2"/>
    <w:basedOn w:val="DefaultParagraphFont"/>
    <w:rsid w:val="00CC57ED"/>
    <w:rPr>
      <w:rFonts w:ascii="Courier New" w:hAnsi="Courier New"/>
      <w:noProof w:val="0"/>
      <w:sz w:val="24"/>
      <w:lang w:val="en-US"/>
    </w:rPr>
  </w:style>
  <w:style w:type="character" w:customStyle="1" w:styleId="Document7">
    <w:name w:val="Document 7"/>
    <w:basedOn w:val="DefaultParagraphFont"/>
    <w:rsid w:val="00CC57ED"/>
  </w:style>
  <w:style w:type="character" w:customStyle="1" w:styleId="Bibliogrphy">
    <w:name w:val="Bibliogrphy"/>
    <w:basedOn w:val="DefaultParagraphFont"/>
    <w:rsid w:val="00CC57ED"/>
  </w:style>
  <w:style w:type="character" w:customStyle="1" w:styleId="RightPar1">
    <w:name w:val="Right Par 1"/>
    <w:basedOn w:val="DefaultParagraphFont"/>
    <w:rsid w:val="00CC57ED"/>
  </w:style>
  <w:style w:type="character" w:customStyle="1" w:styleId="RightPar2">
    <w:name w:val="Right Par 2"/>
    <w:basedOn w:val="DefaultParagraphFont"/>
    <w:rsid w:val="00CC57ED"/>
  </w:style>
  <w:style w:type="character" w:customStyle="1" w:styleId="Document3">
    <w:name w:val="Document 3"/>
    <w:basedOn w:val="DefaultParagraphFont"/>
    <w:rsid w:val="00CC57ED"/>
    <w:rPr>
      <w:rFonts w:ascii="Courier New" w:hAnsi="Courier New"/>
      <w:noProof w:val="0"/>
      <w:sz w:val="24"/>
      <w:lang w:val="en-US"/>
    </w:rPr>
  </w:style>
  <w:style w:type="character" w:customStyle="1" w:styleId="RightPar3">
    <w:name w:val="Right Par 3"/>
    <w:basedOn w:val="DefaultParagraphFont"/>
    <w:rsid w:val="00CC57ED"/>
  </w:style>
  <w:style w:type="character" w:customStyle="1" w:styleId="RightPar4">
    <w:name w:val="Right Par 4"/>
    <w:basedOn w:val="DefaultParagraphFont"/>
    <w:rsid w:val="00CC57ED"/>
  </w:style>
  <w:style w:type="character" w:customStyle="1" w:styleId="RightPar5">
    <w:name w:val="Right Par 5"/>
    <w:basedOn w:val="DefaultParagraphFont"/>
    <w:rsid w:val="00CC57ED"/>
  </w:style>
  <w:style w:type="character" w:customStyle="1" w:styleId="RightPar6">
    <w:name w:val="Right Par 6"/>
    <w:basedOn w:val="DefaultParagraphFont"/>
    <w:rsid w:val="00CC57ED"/>
  </w:style>
  <w:style w:type="character" w:customStyle="1" w:styleId="RightPar7">
    <w:name w:val="Right Par 7"/>
    <w:basedOn w:val="DefaultParagraphFont"/>
    <w:rsid w:val="00CC57ED"/>
  </w:style>
  <w:style w:type="character" w:customStyle="1" w:styleId="RightPar8">
    <w:name w:val="Right Par 8"/>
    <w:basedOn w:val="DefaultParagraphFont"/>
    <w:rsid w:val="00CC57ED"/>
  </w:style>
  <w:style w:type="paragraph" w:customStyle="1" w:styleId="Document1">
    <w:name w:val="Document 1"/>
    <w:rsid w:val="00CC57ED"/>
    <w:pPr>
      <w:keepNext/>
      <w:keepLines/>
      <w:widowControl w:val="0"/>
      <w:tabs>
        <w:tab w:val="left" w:pos="-720"/>
      </w:tabs>
      <w:suppressAutoHyphens/>
    </w:pPr>
    <w:rPr>
      <w:rFonts w:ascii="Courier New" w:hAnsi="Courier New"/>
      <w:sz w:val="24"/>
    </w:rPr>
  </w:style>
  <w:style w:type="character" w:customStyle="1" w:styleId="DocInit">
    <w:name w:val="Doc Init"/>
    <w:basedOn w:val="DefaultParagraphFont"/>
    <w:rsid w:val="00CC57ED"/>
  </w:style>
  <w:style w:type="character" w:customStyle="1" w:styleId="TechInit">
    <w:name w:val="Tech Init"/>
    <w:basedOn w:val="DefaultParagraphFont"/>
    <w:rsid w:val="00CC57ED"/>
    <w:rPr>
      <w:rFonts w:ascii="Courier New" w:hAnsi="Courier New"/>
      <w:noProof w:val="0"/>
      <w:sz w:val="24"/>
      <w:lang w:val="en-US"/>
    </w:rPr>
  </w:style>
  <w:style w:type="character" w:customStyle="1" w:styleId="Technical5">
    <w:name w:val="Technical 5"/>
    <w:basedOn w:val="DefaultParagraphFont"/>
    <w:rsid w:val="00CC57ED"/>
  </w:style>
  <w:style w:type="character" w:customStyle="1" w:styleId="Technical6">
    <w:name w:val="Technical 6"/>
    <w:basedOn w:val="DefaultParagraphFont"/>
    <w:rsid w:val="00CC57ED"/>
  </w:style>
  <w:style w:type="character" w:customStyle="1" w:styleId="Technical2">
    <w:name w:val="Technical 2"/>
    <w:basedOn w:val="DefaultParagraphFont"/>
    <w:rsid w:val="00CC57ED"/>
    <w:rPr>
      <w:rFonts w:ascii="Courier New" w:hAnsi="Courier New"/>
      <w:noProof w:val="0"/>
      <w:sz w:val="24"/>
      <w:lang w:val="en-US"/>
    </w:rPr>
  </w:style>
  <w:style w:type="character" w:customStyle="1" w:styleId="Technical3">
    <w:name w:val="Technical 3"/>
    <w:basedOn w:val="DefaultParagraphFont"/>
    <w:rsid w:val="00CC57ED"/>
    <w:rPr>
      <w:rFonts w:ascii="Courier New" w:hAnsi="Courier New"/>
      <w:noProof w:val="0"/>
      <w:sz w:val="24"/>
      <w:lang w:val="en-US"/>
    </w:rPr>
  </w:style>
  <w:style w:type="character" w:customStyle="1" w:styleId="Technical4">
    <w:name w:val="Technical 4"/>
    <w:basedOn w:val="DefaultParagraphFont"/>
    <w:rsid w:val="00CC57ED"/>
  </w:style>
  <w:style w:type="character" w:customStyle="1" w:styleId="Technical1">
    <w:name w:val="Technical 1"/>
    <w:basedOn w:val="DefaultParagraphFont"/>
    <w:rsid w:val="00CC57ED"/>
    <w:rPr>
      <w:rFonts w:ascii="Courier New" w:hAnsi="Courier New"/>
      <w:noProof w:val="0"/>
      <w:sz w:val="24"/>
      <w:lang w:val="en-US"/>
    </w:rPr>
  </w:style>
  <w:style w:type="character" w:customStyle="1" w:styleId="Technical7">
    <w:name w:val="Technical 7"/>
    <w:basedOn w:val="DefaultParagraphFont"/>
    <w:rsid w:val="00CC57ED"/>
  </w:style>
  <w:style w:type="character" w:customStyle="1" w:styleId="Technical8">
    <w:name w:val="Technical 8"/>
    <w:basedOn w:val="DefaultParagraphFont"/>
    <w:rsid w:val="00CC57ED"/>
  </w:style>
  <w:style w:type="paragraph" w:styleId="TOC1">
    <w:name w:val="toc 1"/>
    <w:basedOn w:val="Normal"/>
    <w:next w:val="Normal"/>
    <w:semiHidden/>
    <w:rsid w:val="00CC57ED"/>
    <w:pPr>
      <w:tabs>
        <w:tab w:val="right" w:leader="dot" w:pos="9360"/>
      </w:tabs>
      <w:suppressAutoHyphens/>
      <w:spacing w:before="480"/>
      <w:ind w:left="720" w:right="720" w:hanging="720"/>
    </w:pPr>
  </w:style>
  <w:style w:type="paragraph" w:styleId="TOC2">
    <w:name w:val="toc 2"/>
    <w:basedOn w:val="Normal"/>
    <w:next w:val="Normal"/>
    <w:semiHidden/>
    <w:rsid w:val="00CC57ED"/>
    <w:pPr>
      <w:tabs>
        <w:tab w:val="right" w:leader="dot" w:pos="9360"/>
      </w:tabs>
      <w:suppressAutoHyphens/>
      <w:ind w:left="1440" w:right="720" w:hanging="720"/>
    </w:pPr>
  </w:style>
  <w:style w:type="paragraph" w:styleId="TOC3">
    <w:name w:val="toc 3"/>
    <w:basedOn w:val="Normal"/>
    <w:next w:val="Normal"/>
    <w:semiHidden/>
    <w:rsid w:val="00CC57ED"/>
    <w:pPr>
      <w:tabs>
        <w:tab w:val="right" w:leader="dot" w:pos="9360"/>
      </w:tabs>
      <w:suppressAutoHyphens/>
      <w:ind w:left="2160" w:right="720" w:hanging="720"/>
    </w:pPr>
  </w:style>
  <w:style w:type="paragraph" w:styleId="TOC4">
    <w:name w:val="toc 4"/>
    <w:basedOn w:val="Normal"/>
    <w:next w:val="Normal"/>
    <w:semiHidden/>
    <w:rsid w:val="00CC57ED"/>
    <w:pPr>
      <w:tabs>
        <w:tab w:val="right" w:leader="dot" w:pos="9360"/>
      </w:tabs>
      <w:suppressAutoHyphens/>
      <w:ind w:left="2880" w:right="720" w:hanging="720"/>
    </w:pPr>
  </w:style>
  <w:style w:type="paragraph" w:styleId="TOC5">
    <w:name w:val="toc 5"/>
    <w:basedOn w:val="Normal"/>
    <w:next w:val="Normal"/>
    <w:semiHidden/>
    <w:rsid w:val="00CC57ED"/>
    <w:pPr>
      <w:tabs>
        <w:tab w:val="right" w:leader="dot" w:pos="9360"/>
      </w:tabs>
      <w:suppressAutoHyphens/>
      <w:ind w:left="3600" w:right="720" w:hanging="720"/>
    </w:pPr>
  </w:style>
  <w:style w:type="paragraph" w:styleId="TOC6">
    <w:name w:val="toc 6"/>
    <w:basedOn w:val="Normal"/>
    <w:next w:val="Normal"/>
    <w:semiHidden/>
    <w:rsid w:val="00CC57ED"/>
    <w:pPr>
      <w:tabs>
        <w:tab w:val="right" w:pos="9360"/>
      </w:tabs>
      <w:suppressAutoHyphens/>
      <w:ind w:left="720" w:hanging="720"/>
    </w:pPr>
  </w:style>
  <w:style w:type="paragraph" w:styleId="TOC7">
    <w:name w:val="toc 7"/>
    <w:basedOn w:val="Normal"/>
    <w:next w:val="Normal"/>
    <w:semiHidden/>
    <w:rsid w:val="00CC57ED"/>
    <w:pPr>
      <w:suppressAutoHyphens/>
      <w:ind w:left="720" w:hanging="720"/>
    </w:pPr>
  </w:style>
  <w:style w:type="paragraph" w:styleId="TOC8">
    <w:name w:val="toc 8"/>
    <w:basedOn w:val="Normal"/>
    <w:next w:val="Normal"/>
    <w:semiHidden/>
    <w:rsid w:val="00CC57ED"/>
    <w:pPr>
      <w:tabs>
        <w:tab w:val="right" w:pos="9360"/>
      </w:tabs>
      <w:suppressAutoHyphens/>
      <w:ind w:left="720" w:hanging="720"/>
    </w:pPr>
  </w:style>
  <w:style w:type="paragraph" w:styleId="TOC9">
    <w:name w:val="toc 9"/>
    <w:basedOn w:val="Normal"/>
    <w:next w:val="Normal"/>
    <w:semiHidden/>
    <w:rsid w:val="00CC57ED"/>
    <w:pPr>
      <w:tabs>
        <w:tab w:val="right" w:leader="dot" w:pos="9360"/>
      </w:tabs>
      <w:suppressAutoHyphens/>
      <w:ind w:left="720" w:hanging="720"/>
    </w:pPr>
  </w:style>
  <w:style w:type="paragraph" w:styleId="Index1">
    <w:name w:val="index 1"/>
    <w:basedOn w:val="Normal"/>
    <w:next w:val="Normal"/>
    <w:semiHidden/>
    <w:rsid w:val="00CC57ED"/>
    <w:pPr>
      <w:tabs>
        <w:tab w:val="right" w:leader="dot" w:pos="9360"/>
      </w:tabs>
      <w:suppressAutoHyphens/>
      <w:ind w:left="1440" w:right="720" w:hanging="1440"/>
    </w:pPr>
  </w:style>
  <w:style w:type="paragraph" w:styleId="Index2">
    <w:name w:val="index 2"/>
    <w:basedOn w:val="Normal"/>
    <w:next w:val="Normal"/>
    <w:semiHidden/>
    <w:rsid w:val="00CC57ED"/>
    <w:pPr>
      <w:tabs>
        <w:tab w:val="right" w:leader="dot" w:pos="9360"/>
      </w:tabs>
      <w:suppressAutoHyphens/>
      <w:ind w:left="1440" w:right="720" w:hanging="720"/>
    </w:pPr>
  </w:style>
  <w:style w:type="paragraph" w:styleId="TOAHeading">
    <w:name w:val="toa heading"/>
    <w:basedOn w:val="Normal"/>
    <w:next w:val="Normal"/>
    <w:semiHidden/>
    <w:rsid w:val="00CC57ED"/>
    <w:pPr>
      <w:tabs>
        <w:tab w:val="right" w:pos="9360"/>
      </w:tabs>
      <w:suppressAutoHyphens/>
    </w:pPr>
  </w:style>
  <w:style w:type="paragraph" w:styleId="Caption">
    <w:name w:val="caption"/>
    <w:basedOn w:val="Normal"/>
    <w:next w:val="Normal"/>
    <w:qFormat/>
    <w:rsid w:val="00CC57ED"/>
  </w:style>
  <w:style w:type="character" w:customStyle="1" w:styleId="EquationCaption">
    <w:name w:val="_Equation Caption"/>
    <w:rsid w:val="00CC57ED"/>
  </w:style>
  <w:style w:type="paragraph" w:styleId="BodyTextIndent">
    <w:name w:val="Body Text Indent"/>
    <w:basedOn w:val="Normal"/>
    <w:rsid w:val="00172CB8"/>
    <w:pPr>
      <w:widowControl/>
      <w:tabs>
        <w:tab w:val="left" w:pos="450"/>
      </w:tabs>
      <w:ind w:left="810" w:hanging="810"/>
    </w:pPr>
  </w:style>
  <w:style w:type="paragraph" w:styleId="Footer">
    <w:name w:val="footer"/>
    <w:basedOn w:val="Normal"/>
    <w:rsid w:val="001E6725"/>
    <w:pPr>
      <w:tabs>
        <w:tab w:val="center" w:pos="4320"/>
        <w:tab w:val="right" w:pos="8640"/>
      </w:tabs>
    </w:pPr>
  </w:style>
  <w:style w:type="character" w:styleId="PageNumber">
    <w:name w:val="page number"/>
    <w:basedOn w:val="DefaultParagraphFont"/>
    <w:rsid w:val="001E6725"/>
  </w:style>
  <w:style w:type="table" w:styleId="TableGrid">
    <w:name w:val="Table Grid"/>
    <w:basedOn w:val="TableNormal"/>
    <w:rsid w:val="001A3C2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D74795"/>
    <w:rPr>
      <w:rFonts w:ascii="Arial" w:hAnsi="Arial" w:cs="Arial"/>
      <w:b/>
      <w:bCs/>
      <w:i/>
      <w:iCs/>
      <w:sz w:val="28"/>
      <w:szCs w:val="28"/>
    </w:rPr>
  </w:style>
  <w:style w:type="paragraph" w:styleId="BalloonText">
    <w:name w:val="Balloon Text"/>
    <w:basedOn w:val="Normal"/>
    <w:link w:val="BalloonTextChar"/>
    <w:rsid w:val="00D74795"/>
    <w:rPr>
      <w:rFonts w:ascii="Tahoma" w:hAnsi="Tahoma" w:cs="Tahoma"/>
      <w:sz w:val="16"/>
      <w:szCs w:val="16"/>
    </w:rPr>
  </w:style>
  <w:style w:type="character" w:customStyle="1" w:styleId="BalloonTextChar">
    <w:name w:val="Balloon Text Char"/>
    <w:basedOn w:val="DefaultParagraphFont"/>
    <w:link w:val="BalloonText"/>
    <w:rsid w:val="00D74795"/>
    <w:rPr>
      <w:rFonts w:ascii="Tahoma" w:hAnsi="Tahoma" w:cs="Tahoma"/>
      <w:sz w:val="16"/>
      <w:szCs w:val="16"/>
    </w:rPr>
  </w:style>
  <w:style w:type="paragraph" w:styleId="ListParagraph">
    <w:name w:val="List Paragraph"/>
    <w:basedOn w:val="Normal"/>
    <w:uiPriority w:val="34"/>
    <w:qFormat/>
    <w:rsid w:val="007A344D"/>
    <w:pPr>
      <w:widowControl/>
      <w:ind w:left="720"/>
    </w:pPr>
    <w:rPr>
      <w:szCs w:val="24"/>
    </w:rPr>
  </w:style>
  <w:style w:type="paragraph" w:customStyle="1" w:styleId="Default">
    <w:name w:val="Default"/>
    <w:rsid w:val="00383A14"/>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64C2D-1612-4ECB-BD22-D7EA71BE3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F3BF9937.dotm</Template>
  <TotalTime>2</TotalTime>
  <Pages>7</Pages>
  <Words>2935</Words>
  <Characters>15620</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Small Business Admin</Company>
  <LinksUpToDate>false</LinksUpToDate>
  <CharactersWithSpaces>18518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Investment Division</dc:creator>
  <cp:lastModifiedBy>Fendler, Carol</cp:lastModifiedBy>
  <cp:revision>3</cp:revision>
  <cp:lastPrinted>2010-11-19T17:19:00Z</cp:lastPrinted>
  <dcterms:created xsi:type="dcterms:W3CDTF">2014-10-21T16:09:00Z</dcterms:created>
  <dcterms:modified xsi:type="dcterms:W3CDTF">2014-10-21T16:11:00Z</dcterms:modified>
</cp:coreProperties>
</file>