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F051E" w14:textId="77777777" w:rsidR="003F1C7A" w:rsidRDefault="00364051" w:rsidP="00BF4E59">
      <w:pPr>
        <w:pStyle w:val="Heading2"/>
        <w:tabs>
          <w:tab w:val="left" w:pos="900"/>
        </w:tabs>
        <w:ind w:right="-180"/>
        <w:rPr>
          <w:sz w:val="28"/>
        </w:rPr>
      </w:pPr>
      <w:r>
        <w:rPr>
          <w:sz w:val="28"/>
        </w:rPr>
        <w:t>FDA</w:t>
      </w:r>
      <w:r w:rsidR="00BF4E59">
        <w:rPr>
          <w:sz w:val="28"/>
        </w:rPr>
        <w:t xml:space="preserve"> </w:t>
      </w:r>
      <w:r w:rsidR="003F1C7A">
        <w:rPr>
          <w:sz w:val="28"/>
        </w:rPr>
        <w:t>DOCUMENTATION FOR THE GENERIC CLEARANCE</w:t>
      </w:r>
    </w:p>
    <w:p w14:paraId="2CA42D09" w14:textId="77777777" w:rsidR="003F1C7A" w:rsidRDefault="003F1C7A">
      <w:pPr>
        <w:jc w:val="center"/>
      </w:pPr>
      <w:r>
        <w:rPr>
          <w:b/>
          <w:sz w:val="28"/>
        </w:rPr>
        <w:t xml:space="preserve">OF </w:t>
      </w:r>
      <w:r w:rsidR="00BF4E59">
        <w:rPr>
          <w:b/>
          <w:sz w:val="28"/>
        </w:rPr>
        <w:t>RAPID RESPONSE SURVEYS</w:t>
      </w:r>
      <w:r w:rsidR="003B2B91">
        <w:rPr>
          <w:b/>
          <w:sz w:val="28"/>
        </w:rPr>
        <w:t xml:space="preserve"> (0910-0500)</w:t>
      </w:r>
    </w:p>
    <w:p w14:paraId="316083A5" w14:textId="77777777" w:rsidR="003F1C7A" w:rsidRDefault="00F7174A" w:rsidP="000D5967">
      <w:pPr>
        <w:pStyle w:val="ListParagraph"/>
      </w:pPr>
      <w:r>
        <w:rPr>
          <w:noProof/>
        </w:rPr>
        <mc:AlternateContent>
          <mc:Choice Requires="wps">
            <w:drawing>
              <wp:anchor distT="0" distB="0" distL="114300" distR="114300" simplePos="0" relativeHeight="251657728" behindDoc="0" locked="0" layoutInCell="1" allowOverlap="1" wp14:anchorId="58D2528E" wp14:editId="17B5EF53">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6D95CA9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5EA70E75" w14:textId="77777777" w:rsidR="003F1C7A" w:rsidRPr="00085F9E" w:rsidRDefault="007408D4">
      <w:pPr>
        <w:rPr>
          <w:sz w:val="20"/>
          <w:szCs w:val="20"/>
        </w:rPr>
      </w:pPr>
      <w:r w:rsidRPr="00085F9E">
        <w:rPr>
          <w:sz w:val="20"/>
          <w:szCs w:val="20"/>
        </w:rPr>
        <w:t>FDA uses the Rapid Response Surveys to further develop tools and science necessary to better understand where vulnerabilities are and the most effective ways to minimize them, as well as to intervene and respond once a problem occurs.</w:t>
      </w:r>
    </w:p>
    <w:p w14:paraId="49E27D37" w14:textId="77777777" w:rsidR="007477F8" w:rsidRDefault="003F1C7A" w:rsidP="005E23BA">
      <w:pPr>
        <w:spacing w:before="120"/>
        <w:rPr>
          <w:highlight w:val="yellow"/>
        </w:rPr>
      </w:pPr>
      <w:r>
        <w:rPr>
          <w:b/>
        </w:rPr>
        <w:t>TITLE OF INFORMATION COLLECTION:</w:t>
      </w:r>
    </w:p>
    <w:p w14:paraId="10EA713D" w14:textId="0062CC0A" w:rsidR="003F1C7A" w:rsidRPr="005E4981" w:rsidRDefault="00ED55F6" w:rsidP="005E23BA">
      <w:pPr>
        <w:spacing w:before="120"/>
      </w:pPr>
      <w:r>
        <w:t xml:space="preserve">Online </w:t>
      </w:r>
      <w:r w:rsidR="004502C6">
        <w:t xml:space="preserve">Survey of </w:t>
      </w:r>
      <w:r w:rsidR="003D319D" w:rsidRPr="007477F8">
        <w:t xml:space="preserve">Commercial </w:t>
      </w:r>
      <w:r w:rsidR="00A32BA6">
        <w:t>Pharmaceutical Product Importers</w:t>
      </w:r>
    </w:p>
    <w:p w14:paraId="0D06E4DD" w14:textId="77777777" w:rsidR="003F1C7A" w:rsidRDefault="003F1C7A" w:rsidP="000D5967">
      <w:pPr>
        <w:pStyle w:val="ListParagraph"/>
      </w:pPr>
    </w:p>
    <w:p w14:paraId="5C86B27F" w14:textId="77777777" w:rsidR="003F1C7A" w:rsidRDefault="003F1C7A">
      <w:pPr>
        <w:spacing w:after="120"/>
      </w:pPr>
      <w:r>
        <w:rPr>
          <w:b/>
        </w:rPr>
        <w:t>DESCRIPTION OF THIS SPECIFIC COLLECTION</w:t>
      </w:r>
      <w:r>
        <w:t xml:space="preserve"> </w:t>
      </w:r>
    </w:p>
    <w:p w14:paraId="367AA587" w14:textId="77777777" w:rsidR="003F1C7A" w:rsidRDefault="00E06BD2" w:rsidP="00F12AEE">
      <w:pPr>
        <w:numPr>
          <w:ilvl w:val="0"/>
          <w:numId w:val="15"/>
        </w:numPr>
        <w:tabs>
          <w:tab w:val="num" w:pos="720"/>
        </w:tabs>
        <w:ind w:left="360" w:firstLine="0"/>
      </w:pPr>
      <w:r>
        <w:rPr>
          <w:b/>
        </w:rPr>
        <w:t>What is the problem to be investigated</w:t>
      </w:r>
      <w:r w:rsidR="003F1C7A" w:rsidRPr="00E26798">
        <w:rPr>
          <w:b/>
        </w:rPr>
        <w:t>:</w:t>
      </w:r>
      <w:r w:rsidR="003F1C7A">
        <w:t xml:space="preserve">  </w:t>
      </w:r>
    </w:p>
    <w:p w14:paraId="1A2CFB65" w14:textId="77777777" w:rsidR="000D5967" w:rsidRDefault="000D5967" w:rsidP="000D5967">
      <w:pPr>
        <w:pStyle w:val="ListParagraph"/>
      </w:pPr>
    </w:p>
    <w:p w14:paraId="4AB512E1" w14:textId="1E39A807" w:rsidR="00882AE4" w:rsidRPr="007A4331" w:rsidRDefault="00C115D5" w:rsidP="00C115D5">
      <w:pPr>
        <w:ind w:left="720"/>
        <w:jc w:val="both"/>
      </w:pPr>
      <w:r>
        <w:t>The globalization of the pharmaceutical market has created</w:t>
      </w:r>
      <w:r w:rsidR="003F3BCE">
        <w:t xml:space="preserve"> </w:t>
      </w:r>
      <w:r w:rsidR="00455E46">
        <w:t>serious</w:t>
      </w:r>
      <w:r>
        <w:t xml:space="preserve"> challenges for FDA, including dramatic increases in drug </w:t>
      </w:r>
      <w:r w:rsidR="003F3BCE">
        <w:t xml:space="preserve">product </w:t>
      </w:r>
      <w:r>
        <w:t>imports, complex and fragmented global supply chains, and increasing threats of fraudulent and substandard drugs.</w:t>
      </w:r>
      <w:r w:rsidR="00077789">
        <w:t xml:space="preserve"> Congress has recently passe</w:t>
      </w:r>
      <w:r w:rsidR="00CB3833">
        <w:t>d</w:t>
      </w:r>
      <w:r w:rsidR="00077789">
        <w:t xml:space="preserve"> s</w:t>
      </w:r>
      <w:r w:rsidR="005F48A3">
        <w:t>everal legislative authorities, including</w:t>
      </w:r>
      <w:r>
        <w:t xml:space="preserve"> Title VII of FDASIA (Pub. L. 112–144)</w:t>
      </w:r>
      <w:r w:rsidR="005F48A3">
        <w:t xml:space="preserve"> and the Drug Supply Chain Security Act (DSCSA),</w:t>
      </w:r>
      <w:r>
        <w:t xml:space="preserve"> </w:t>
      </w:r>
      <w:r w:rsidR="00CB3833">
        <w:t xml:space="preserve">to </w:t>
      </w:r>
      <w:r>
        <w:t xml:space="preserve">amend the Federal Food, Drug, and Cosmetic Act (the FD&amp;C Act) to provide </w:t>
      </w:r>
      <w:r w:rsidR="00455E46">
        <w:t xml:space="preserve">FDA with important </w:t>
      </w:r>
      <w:r>
        <w:t>authorities to respond to these challenges and better ensure the safety, effectiveness, and quality of drug</w:t>
      </w:r>
      <w:r w:rsidR="005F48A3">
        <w:t xml:space="preserve"> products</w:t>
      </w:r>
      <w:r>
        <w:t>.</w:t>
      </w:r>
      <w:r w:rsidR="003F3BCE">
        <w:t xml:space="preserve"> </w:t>
      </w:r>
      <w:r>
        <w:t>In order to develop a</w:t>
      </w:r>
      <w:r w:rsidR="003F3BCE">
        <w:t xml:space="preserve">n efficient </w:t>
      </w:r>
      <w:r w:rsidR="00F859D0">
        <w:t>regulatory strategy</w:t>
      </w:r>
      <w:r w:rsidR="003F3BCE">
        <w:t xml:space="preserve">, FDA </w:t>
      </w:r>
      <w:r w:rsidR="00A474E8">
        <w:t xml:space="preserve">urgently </w:t>
      </w:r>
      <w:r w:rsidR="003F3BCE">
        <w:t>needs to understand</w:t>
      </w:r>
      <w:r w:rsidR="00EB24D2">
        <w:t xml:space="preserve"> what types of entities are currently importing drugs into the United States and what practices they are engaged in</w:t>
      </w:r>
      <w:r w:rsidR="003F3BCE">
        <w:t xml:space="preserve">. FDA also needs to learn how </w:t>
      </w:r>
      <w:r w:rsidR="00CF59FE">
        <w:t xml:space="preserve">commercial </w:t>
      </w:r>
      <w:r w:rsidR="003F3BCE">
        <w:t xml:space="preserve">importers may respond to a </w:t>
      </w:r>
      <w:r w:rsidR="007477F8">
        <w:t>possible</w:t>
      </w:r>
      <w:r w:rsidR="003F3BCE">
        <w:t xml:space="preserve"> requirement to register with FDA and provide detailed lists of their imp</w:t>
      </w:r>
      <w:r w:rsidR="007477F8">
        <w:t xml:space="preserve">orted drug products, </w:t>
      </w:r>
      <w:r w:rsidR="003F3BCE">
        <w:t>their constituents</w:t>
      </w:r>
      <w:r w:rsidR="007477F8">
        <w:t xml:space="preserve">, and associated importing practices. This </w:t>
      </w:r>
      <w:r w:rsidR="00A32BA6">
        <w:t xml:space="preserve">online </w:t>
      </w:r>
      <w:r w:rsidR="007477F8">
        <w:t xml:space="preserve">survey will provide FDA with crucial information about </w:t>
      </w:r>
      <w:r w:rsidR="00EB24D2">
        <w:t>importer characteristics</w:t>
      </w:r>
      <w:r w:rsidR="007477F8">
        <w:t xml:space="preserve">, importer </w:t>
      </w:r>
      <w:r w:rsidR="00EB24D2">
        <w:t>practices</w:t>
      </w:r>
      <w:r w:rsidR="007477F8">
        <w:t>, and how best to</w:t>
      </w:r>
      <w:r w:rsidR="00840FA2">
        <w:t xml:space="preserve"> use its new authorities to</w:t>
      </w:r>
      <w:r w:rsidR="007477F8">
        <w:t xml:space="preserve"> streamline the flow of drug shipment data to FDA, thereby helping FDA to ensure the safety of imported commercial drug products and protect American consumers from distribution of non-compliant drug products</w:t>
      </w:r>
      <w:r w:rsidR="00F84088">
        <w:t>.</w:t>
      </w:r>
      <w:r w:rsidR="007477F8">
        <w:t xml:space="preserve"> </w:t>
      </w:r>
    </w:p>
    <w:p w14:paraId="1FA21CA1" w14:textId="77777777" w:rsidR="007A4331" w:rsidRDefault="007A4331" w:rsidP="00B304FF"/>
    <w:p w14:paraId="29310CA1" w14:textId="77777777" w:rsidR="003F1C7A" w:rsidRDefault="00E06BD2" w:rsidP="00F12AEE">
      <w:pPr>
        <w:numPr>
          <w:ilvl w:val="0"/>
          <w:numId w:val="15"/>
        </w:numPr>
        <w:tabs>
          <w:tab w:val="num" w:pos="720"/>
        </w:tabs>
        <w:ind w:left="720"/>
      </w:pPr>
      <w:r>
        <w:rPr>
          <w:b/>
        </w:rPr>
        <w:t>Please describe the method to obtain the convenience sample</w:t>
      </w:r>
      <w:r w:rsidR="003F1C7A">
        <w:rPr>
          <w:b/>
        </w:rPr>
        <w:t>:</w:t>
      </w:r>
      <w:r w:rsidR="003F1C7A">
        <w:t xml:space="preserve">  </w:t>
      </w:r>
    </w:p>
    <w:p w14:paraId="59BE428C" w14:textId="77777777" w:rsidR="000D5967" w:rsidRDefault="000D5967" w:rsidP="000D5967">
      <w:pPr>
        <w:pStyle w:val="ListParagraph"/>
      </w:pPr>
    </w:p>
    <w:p w14:paraId="730BC854" w14:textId="719A564D" w:rsidR="00E215FA" w:rsidRDefault="00AA1FAE" w:rsidP="00F12AEE">
      <w:pPr>
        <w:ind w:left="720"/>
      </w:pPr>
      <w:r>
        <w:t>FDA maintains data on imports of all FDA-regulated products into the U.S. In addition to the type of product being imported and FDA’s admissibility decision for the import line, the database contains a field indicating the importer of the product. Using the latest 12 months of import data, FDA ha</w:t>
      </w:r>
      <w:r w:rsidR="003C75DD">
        <w:t>s matched thi</w:t>
      </w:r>
      <w:r w:rsidR="000D5967">
        <w:t>s database to that of Dun &amp; Bra</w:t>
      </w:r>
      <w:r w:rsidR="003C75DD">
        <w:t xml:space="preserve">dstreet using the name and address of the importer yielding additional information fields, such as industry NAICS code. FDA plans to select a sample of importers of human and animal drug products from this database. </w:t>
      </w:r>
    </w:p>
    <w:p w14:paraId="261125B2" w14:textId="77777777" w:rsidR="003F1C7A" w:rsidRDefault="003F1C7A" w:rsidP="00F12AEE">
      <w:pPr>
        <w:ind w:left="360"/>
      </w:pPr>
    </w:p>
    <w:p w14:paraId="7ADFD5C8" w14:textId="77777777" w:rsidR="003F1C7A" w:rsidRDefault="00E06BD2" w:rsidP="00F12AEE">
      <w:pPr>
        <w:numPr>
          <w:ilvl w:val="0"/>
          <w:numId w:val="15"/>
        </w:numPr>
        <w:tabs>
          <w:tab w:val="num" w:pos="720"/>
        </w:tabs>
        <w:ind w:left="720"/>
      </w:pPr>
      <w:r w:rsidRPr="00E06BD2">
        <w:rPr>
          <w:b/>
        </w:rPr>
        <w:t>Are there any deviations to the described methods, procedures, and uses of data contained in the Rapid Response Survey 2011 Justification Statement</w:t>
      </w:r>
      <w:r w:rsidR="003F1C7A" w:rsidRPr="00E26798">
        <w:rPr>
          <w:b/>
        </w:rPr>
        <w:t>:</w:t>
      </w:r>
      <w:r>
        <w:t xml:space="preserve"> </w:t>
      </w:r>
    </w:p>
    <w:p w14:paraId="78195BBB" w14:textId="77777777" w:rsidR="00E06BD2" w:rsidRDefault="00E06BD2" w:rsidP="00E06BD2">
      <w:pPr>
        <w:ind w:left="720"/>
      </w:pPr>
      <w:r>
        <w:t>YES / NO (if no skip to #5)</w:t>
      </w:r>
    </w:p>
    <w:p w14:paraId="7FE0FB5B" w14:textId="77777777" w:rsidR="00A934ED" w:rsidRDefault="00A934ED" w:rsidP="000D5967">
      <w:pPr>
        <w:pStyle w:val="ListParagraph"/>
      </w:pPr>
    </w:p>
    <w:p w14:paraId="7517DDF2" w14:textId="77777777" w:rsidR="000D5967" w:rsidRDefault="00A934ED" w:rsidP="000D5967">
      <w:pPr>
        <w:ind w:left="720"/>
      </w:pPr>
      <w:r>
        <w:t>NO.</w:t>
      </w:r>
      <w:bookmarkStart w:id="0" w:name="_GoBack"/>
      <w:bookmarkEnd w:id="0"/>
    </w:p>
    <w:p w14:paraId="2FAA91EA" w14:textId="77777777" w:rsidR="00B4058D" w:rsidRDefault="00B4058D" w:rsidP="000D5967">
      <w:pPr>
        <w:ind w:left="720"/>
        <w:rPr>
          <w:b/>
        </w:rPr>
      </w:pPr>
    </w:p>
    <w:p w14:paraId="3DAC815E" w14:textId="77777777" w:rsidR="003F1C7A" w:rsidRPr="00E215FA" w:rsidRDefault="00E06BD2" w:rsidP="000D5967">
      <w:pPr>
        <w:ind w:left="720"/>
      </w:pPr>
      <w:r>
        <w:rPr>
          <w:b/>
        </w:rPr>
        <w:t>If yes, please describe</w:t>
      </w:r>
      <w:r w:rsidR="0049419A">
        <w:rPr>
          <w:b/>
        </w:rPr>
        <w:t>:</w:t>
      </w:r>
      <w:r w:rsidR="003F1C7A" w:rsidRPr="00E26798">
        <w:rPr>
          <w:b/>
        </w:rPr>
        <w:t xml:space="preserve">  </w:t>
      </w:r>
    </w:p>
    <w:p w14:paraId="1DEBD84E" w14:textId="77777777" w:rsidR="000D5967" w:rsidRDefault="000D5967" w:rsidP="00F12AEE">
      <w:pPr>
        <w:ind w:left="720"/>
        <w:jc w:val="both"/>
      </w:pPr>
    </w:p>
    <w:p w14:paraId="7BD5E40D" w14:textId="77777777" w:rsidR="00190AA2" w:rsidRDefault="000D5967" w:rsidP="00F12AEE">
      <w:pPr>
        <w:ind w:left="720"/>
        <w:jc w:val="both"/>
      </w:pPr>
      <w:r>
        <w:t>Not applicable.</w:t>
      </w:r>
    </w:p>
    <w:p w14:paraId="579ABE02" w14:textId="77777777" w:rsidR="00F12AEE" w:rsidRDefault="00F12AEE" w:rsidP="00E06BD2"/>
    <w:p w14:paraId="66783328" w14:textId="77777777" w:rsidR="003F1C7A" w:rsidRPr="00E215FA" w:rsidRDefault="00E06BD2" w:rsidP="00F12AEE">
      <w:pPr>
        <w:numPr>
          <w:ilvl w:val="0"/>
          <w:numId w:val="15"/>
        </w:numPr>
        <w:tabs>
          <w:tab w:val="num" w:pos="720"/>
        </w:tabs>
        <w:ind w:left="720"/>
      </w:pPr>
      <w:r>
        <w:rPr>
          <w:b/>
        </w:rPr>
        <w:t>Burden Chart and Description</w:t>
      </w:r>
      <w:r w:rsidR="0049419A">
        <w:rPr>
          <w:b/>
        </w:rPr>
        <w:t>:</w:t>
      </w:r>
    </w:p>
    <w:p w14:paraId="2C4F7CF8" w14:textId="77777777" w:rsidR="00DD1CCA" w:rsidRDefault="00DD1CCA" w:rsidP="00DD1CCA">
      <w:pPr>
        <w:pStyle w:val="ListParagraph"/>
      </w:pPr>
    </w:p>
    <w:p w14:paraId="0079FE1B" w14:textId="77777777" w:rsidR="003F1C7A" w:rsidRDefault="003F1C7A" w:rsidP="000D5967">
      <w:pPr>
        <w:ind w:left="720"/>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14:paraId="6315F446" w14:textId="77777777" w:rsidR="003F1C7A" w:rsidRPr="000D5967" w:rsidRDefault="003F1C7A" w:rsidP="000D5967">
      <w:pPr>
        <w:pStyle w:val="ListParagraph"/>
      </w:pPr>
    </w:p>
    <w:tbl>
      <w:tblPr>
        <w:tblW w:w="8492"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1719"/>
        <w:gridCol w:w="1820"/>
        <w:gridCol w:w="1688"/>
      </w:tblGrid>
      <w:tr w:rsidR="003F1C7A" w:rsidRPr="000D5967" w14:paraId="5779048D" w14:textId="77777777" w:rsidTr="000D5967">
        <w:tc>
          <w:tcPr>
            <w:tcW w:w="0" w:type="auto"/>
            <w:shd w:val="clear" w:color="auto" w:fill="E0E0E0"/>
          </w:tcPr>
          <w:p w14:paraId="5C49108C" w14:textId="77777777" w:rsidR="003F1C7A" w:rsidRPr="00CB3833" w:rsidRDefault="00696B03">
            <w:pPr>
              <w:jc w:val="center"/>
              <w:rPr>
                <w:b/>
              </w:rPr>
            </w:pPr>
            <w:r w:rsidRPr="00CB3833">
              <w:rPr>
                <w:b/>
              </w:rPr>
              <w:t>Type/</w:t>
            </w:r>
            <w:r w:rsidR="003F1C7A" w:rsidRPr="00CB3833">
              <w:rPr>
                <w:b/>
              </w:rPr>
              <w:t>Category of Respondent</w:t>
            </w:r>
          </w:p>
        </w:tc>
        <w:tc>
          <w:tcPr>
            <w:tcW w:w="0" w:type="auto"/>
            <w:shd w:val="clear" w:color="auto" w:fill="E0E0E0"/>
          </w:tcPr>
          <w:p w14:paraId="7A0CBE78" w14:textId="77777777" w:rsidR="003F1C7A" w:rsidRPr="00CB3833" w:rsidRDefault="003F1C7A" w:rsidP="00696B03">
            <w:pPr>
              <w:jc w:val="center"/>
              <w:rPr>
                <w:b/>
              </w:rPr>
            </w:pPr>
            <w:r w:rsidRPr="00CB3833">
              <w:rPr>
                <w:b/>
              </w:rPr>
              <w:t>No. of Respondent</w:t>
            </w:r>
            <w:r w:rsidR="00696B03" w:rsidRPr="00CB3833">
              <w:rPr>
                <w:b/>
              </w:rPr>
              <w:t>s</w:t>
            </w:r>
          </w:p>
        </w:tc>
        <w:tc>
          <w:tcPr>
            <w:tcW w:w="1820" w:type="dxa"/>
            <w:shd w:val="clear" w:color="auto" w:fill="E0E0E0"/>
          </w:tcPr>
          <w:p w14:paraId="55F40C36" w14:textId="77777777" w:rsidR="003F1C7A" w:rsidRPr="00CB3833" w:rsidRDefault="003F1C7A">
            <w:pPr>
              <w:jc w:val="center"/>
              <w:rPr>
                <w:b/>
              </w:rPr>
            </w:pPr>
            <w:r w:rsidRPr="00CB3833">
              <w:rPr>
                <w:b/>
              </w:rPr>
              <w:t>Participation Time</w:t>
            </w:r>
            <w:r w:rsidR="00696B03" w:rsidRPr="00CB3833">
              <w:rPr>
                <w:b/>
              </w:rPr>
              <w:t xml:space="preserve"> (minutes)</w:t>
            </w:r>
          </w:p>
        </w:tc>
        <w:tc>
          <w:tcPr>
            <w:tcW w:w="1688" w:type="dxa"/>
            <w:shd w:val="clear" w:color="auto" w:fill="E0E0E0"/>
            <w:vAlign w:val="bottom"/>
          </w:tcPr>
          <w:p w14:paraId="0E854EF5" w14:textId="77777777" w:rsidR="003F1C7A" w:rsidRPr="00CB3833" w:rsidRDefault="003F1C7A">
            <w:pPr>
              <w:jc w:val="center"/>
              <w:rPr>
                <w:b/>
              </w:rPr>
            </w:pPr>
            <w:r w:rsidRPr="00CB3833">
              <w:rPr>
                <w:b/>
              </w:rPr>
              <w:t>Burden</w:t>
            </w:r>
          </w:p>
          <w:p w14:paraId="2B32D097" w14:textId="77777777" w:rsidR="00696B03" w:rsidRPr="00CB3833" w:rsidRDefault="00696B03">
            <w:pPr>
              <w:jc w:val="center"/>
              <w:rPr>
                <w:b/>
              </w:rPr>
            </w:pPr>
            <w:r w:rsidRPr="00CB3833">
              <w:rPr>
                <w:b/>
              </w:rPr>
              <w:t>(hours)</w:t>
            </w:r>
          </w:p>
        </w:tc>
      </w:tr>
      <w:tr w:rsidR="003F1C7A" w14:paraId="02803C79" w14:textId="77777777" w:rsidTr="000D5967">
        <w:tc>
          <w:tcPr>
            <w:tcW w:w="0" w:type="auto"/>
          </w:tcPr>
          <w:p w14:paraId="58B06AF0" w14:textId="173A349B" w:rsidR="003F1C7A" w:rsidRPr="00CB3833" w:rsidRDefault="00A934ED">
            <w:pPr>
              <w:jc w:val="center"/>
            </w:pPr>
            <w:r w:rsidRPr="00CB3833">
              <w:t xml:space="preserve">Importers of commercial </w:t>
            </w:r>
            <w:r w:rsidR="00A32BA6">
              <w:t xml:space="preserve">pharmaceutical </w:t>
            </w:r>
            <w:r w:rsidRPr="00CB3833">
              <w:t>drug products</w:t>
            </w:r>
            <w:r w:rsidR="00BC4506">
              <w:t>: Response</w:t>
            </w:r>
          </w:p>
        </w:tc>
        <w:tc>
          <w:tcPr>
            <w:tcW w:w="0" w:type="auto"/>
          </w:tcPr>
          <w:p w14:paraId="0303719A" w14:textId="48EDBBBD" w:rsidR="003F1C7A" w:rsidRPr="00CB3833" w:rsidRDefault="00A934ED" w:rsidP="00411149">
            <w:pPr>
              <w:jc w:val="center"/>
            </w:pPr>
            <w:r w:rsidRPr="00CB3833">
              <w:t>4</w:t>
            </w:r>
            <w:r w:rsidR="00ED55F6">
              <w:t>75</w:t>
            </w:r>
          </w:p>
        </w:tc>
        <w:tc>
          <w:tcPr>
            <w:tcW w:w="1820" w:type="dxa"/>
          </w:tcPr>
          <w:p w14:paraId="3629D073" w14:textId="380ADB9C" w:rsidR="003F1C7A" w:rsidRPr="00CB3833" w:rsidRDefault="007027DA">
            <w:pPr>
              <w:jc w:val="center"/>
            </w:pPr>
            <w:r>
              <w:t>3</w:t>
            </w:r>
            <w:r w:rsidR="00A934ED" w:rsidRPr="00CB3833">
              <w:t>5 minutes</w:t>
            </w:r>
          </w:p>
        </w:tc>
        <w:tc>
          <w:tcPr>
            <w:tcW w:w="1688" w:type="dxa"/>
          </w:tcPr>
          <w:p w14:paraId="7D2EABC2" w14:textId="63480D90" w:rsidR="003F1C7A" w:rsidRPr="00CB3833" w:rsidRDefault="00BC4506">
            <w:pPr>
              <w:jc w:val="center"/>
            </w:pPr>
            <w:r>
              <w:t>2</w:t>
            </w:r>
            <w:r w:rsidR="00ED55F6">
              <w:t>77 hours</w:t>
            </w:r>
          </w:p>
        </w:tc>
      </w:tr>
      <w:tr w:rsidR="00BC4506" w14:paraId="62009F30" w14:textId="77777777" w:rsidTr="000D5967">
        <w:tc>
          <w:tcPr>
            <w:tcW w:w="0" w:type="auto"/>
          </w:tcPr>
          <w:p w14:paraId="39A47AE7" w14:textId="20F4BACE" w:rsidR="00BC4506" w:rsidRPr="00CB3833" w:rsidRDefault="00BC4506">
            <w:pPr>
              <w:jc w:val="center"/>
            </w:pPr>
            <w:r>
              <w:t xml:space="preserve">Importers of commercial </w:t>
            </w:r>
            <w:r w:rsidR="00A32BA6">
              <w:t xml:space="preserve">pharmaceutical </w:t>
            </w:r>
            <w:r>
              <w:t>drug products: Non-response</w:t>
            </w:r>
          </w:p>
        </w:tc>
        <w:tc>
          <w:tcPr>
            <w:tcW w:w="0" w:type="auto"/>
          </w:tcPr>
          <w:p w14:paraId="760BBEF7" w14:textId="5E3D273A" w:rsidR="00BC4506" w:rsidRPr="00CB3833" w:rsidRDefault="00BC4506" w:rsidP="00411149">
            <w:pPr>
              <w:jc w:val="center"/>
            </w:pPr>
            <w:r>
              <w:t>1,</w:t>
            </w:r>
            <w:r w:rsidR="00ED55F6">
              <w:t>425</w:t>
            </w:r>
          </w:p>
        </w:tc>
        <w:tc>
          <w:tcPr>
            <w:tcW w:w="1820" w:type="dxa"/>
          </w:tcPr>
          <w:p w14:paraId="3BA9FBC6" w14:textId="14C197A2" w:rsidR="00BC4506" w:rsidRDefault="00BC4506">
            <w:pPr>
              <w:jc w:val="center"/>
            </w:pPr>
            <w:r>
              <w:t>2</w:t>
            </w:r>
            <w:r w:rsidR="00ED55F6">
              <w:t xml:space="preserve"> minutes</w:t>
            </w:r>
          </w:p>
        </w:tc>
        <w:tc>
          <w:tcPr>
            <w:tcW w:w="1688" w:type="dxa"/>
          </w:tcPr>
          <w:p w14:paraId="032C9FF1" w14:textId="6B16B4B5" w:rsidR="00BC4506" w:rsidRPr="00CB3833" w:rsidRDefault="00BC4506">
            <w:pPr>
              <w:jc w:val="center"/>
            </w:pPr>
            <w:r>
              <w:t>4</w:t>
            </w:r>
            <w:r w:rsidR="00ED55F6">
              <w:t>8 hours</w:t>
            </w:r>
          </w:p>
        </w:tc>
      </w:tr>
      <w:tr w:rsidR="00BC4506" w14:paraId="3C5AE4DD" w14:textId="77777777" w:rsidTr="000D5967">
        <w:tc>
          <w:tcPr>
            <w:tcW w:w="0" w:type="auto"/>
          </w:tcPr>
          <w:p w14:paraId="006542E0" w14:textId="463CA3C4" w:rsidR="00BC4506" w:rsidRPr="00CB3833" w:rsidRDefault="00BC4506">
            <w:pPr>
              <w:jc w:val="center"/>
            </w:pPr>
            <w:r>
              <w:t xml:space="preserve">Importers of commercial </w:t>
            </w:r>
            <w:r w:rsidR="00A32BA6">
              <w:t xml:space="preserve">pharmaceutical </w:t>
            </w:r>
            <w:r>
              <w:t>drug products: Total</w:t>
            </w:r>
          </w:p>
        </w:tc>
        <w:tc>
          <w:tcPr>
            <w:tcW w:w="0" w:type="auto"/>
          </w:tcPr>
          <w:p w14:paraId="47C32A18" w14:textId="611F7F62" w:rsidR="00BC4506" w:rsidRPr="00CB3833" w:rsidRDefault="00BC4506" w:rsidP="00411149">
            <w:pPr>
              <w:jc w:val="center"/>
            </w:pPr>
            <w:r>
              <w:t>1,</w:t>
            </w:r>
            <w:r w:rsidR="00ED55F6">
              <w:t>9</w:t>
            </w:r>
            <w:r>
              <w:t>00</w:t>
            </w:r>
          </w:p>
        </w:tc>
        <w:tc>
          <w:tcPr>
            <w:tcW w:w="1820" w:type="dxa"/>
          </w:tcPr>
          <w:p w14:paraId="2532C6B2" w14:textId="7E4EEFDA" w:rsidR="00BC4506" w:rsidRDefault="00ED55F6">
            <w:pPr>
              <w:jc w:val="center"/>
            </w:pPr>
            <w:r>
              <w:t>NA</w:t>
            </w:r>
          </w:p>
        </w:tc>
        <w:tc>
          <w:tcPr>
            <w:tcW w:w="1688" w:type="dxa"/>
          </w:tcPr>
          <w:p w14:paraId="27FD52B6" w14:textId="1066C791" w:rsidR="00BC4506" w:rsidRPr="00CB3833" w:rsidRDefault="00ED55F6">
            <w:pPr>
              <w:jc w:val="center"/>
            </w:pPr>
            <w:r>
              <w:t>325 hours</w:t>
            </w:r>
          </w:p>
        </w:tc>
      </w:tr>
    </w:tbl>
    <w:p w14:paraId="0C9C9F57" w14:textId="77777777" w:rsidR="003F1C7A" w:rsidRDefault="003F1C7A" w:rsidP="000D5967">
      <w:pPr>
        <w:pStyle w:val="ListParagraph"/>
      </w:pPr>
    </w:p>
    <w:p w14:paraId="6F99749E" w14:textId="77777777" w:rsidR="00E06BD2" w:rsidRDefault="00E06BD2" w:rsidP="00E06BD2">
      <w:pPr>
        <w:numPr>
          <w:ilvl w:val="0"/>
          <w:numId w:val="15"/>
        </w:numPr>
        <w:tabs>
          <w:tab w:val="num" w:pos="720"/>
        </w:tabs>
        <w:ind w:left="720"/>
        <w:rPr>
          <w:b/>
        </w:rPr>
      </w:pPr>
      <w:r>
        <w:rPr>
          <w:b/>
        </w:rPr>
        <w:t>Attach Questions</w:t>
      </w:r>
    </w:p>
    <w:p w14:paraId="6D1BC214" w14:textId="77777777" w:rsidR="00E06BD2" w:rsidRPr="000D5967" w:rsidRDefault="00E06BD2" w:rsidP="000D5967">
      <w:pPr>
        <w:pStyle w:val="ListParagraph"/>
      </w:pPr>
    </w:p>
    <w:p w14:paraId="5CF17186" w14:textId="77777777" w:rsidR="000D5967" w:rsidRPr="000D5967" w:rsidRDefault="000D5967" w:rsidP="000D5967">
      <w:pPr>
        <w:ind w:left="720"/>
      </w:pPr>
      <w:r w:rsidRPr="000D5967">
        <w:t>See attachment</w:t>
      </w:r>
      <w:r>
        <w:t>.</w:t>
      </w:r>
    </w:p>
    <w:p w14:paraId="359D100D" w14:textId="77777777" w:rsidR="000D5967" w:rsidRPr="000D5967" w:rsidRDefault="000D5967" w:rsidP="000D5967">
      <w:pPr>
        <w:pStyle w:val="ListParagraph"/>
      </w:pPr>
    </w:p>
    <w:p w14:paraId="657D8B8D" w14:textId="671B5121" w:rsidR="003F1C7A" w:rsidRDefault="000D5967">
      <w:pPr>
        <w:rPr>
          <w:b/>
        </w:rPr>
      </w:pPr>
      <w:r>
        <w:rPr>
          <w:b/>
        </w:rPr>
        <w:t xml:space="preserve">REQUESTED APPROVAL DATE: </w:t>
      </w:r>
      <w:r w:rsidR="00BC4506" w:rsidRPr="00F50713">
        <w:t>0</w:t>
      </w:r>
      <w:r w:rsidR="00F50713" w:rsidRPr="00F50713">
        <w:t>4</w:t>
      </w:r>
      <w:r w:rsidR="00BC4506" w:rsidRPr="00F50713">
        <w:t>/</w:t>
      </w:r>
      <w:r w:rsidR="00F50713" w:rsidRPr="00F50713">
        <w:t>14</w:t>
      </w:r>
      <w:r w:rsidR="00BC4506" w:rsidRPr="00F50713">
        <w:t>/2017</w:t>
      </w:r>
    </w:p>
    <w:p w14:paraId="1C5F8F58" w14:textId="77777777" w:rsidR="00E215FA" w:rsidRPr="000D5967" w:rsidRDefault="00E215FA" w:rsidP="000D5967">
      <w:pPr>
        <w:pStyle w:val="ListParagraph"/>
      </w:pPr>
    </w:p>
    <w:p w14:paraId="190AE4C2" w14:textId="11F8CBA3" w:rsidR="003F1C7A" w:rsidRDefault="0023691D">
      <w:pPr>
        <w:rPr>
          <w:bCs/>
        </w:rPr>
      </w:pPr>
      <w:r>
        <w:rPr>
          <w:b/>
        </w:rPr>
        <w:t>NAME OF PRA ANALYST &amp; PROGRAM CONTACT</w:t>
      </w:r>
      <w:r w:rsidR="000D5967">
        <w:rPr>
          <w:b/>
        </w:rPr>
        <w:t xml:space="preserve">: </w:t>
      </w:r>
      <w:r w:rsidR="00DC41CE" w:rsidRPr="00DC41CE">
        <w:t>Elizabeth Quin</w:t>
      </w:r>
    </w:p>
    <w:p w14:paraId="51F6AC62" w14:textId="77777777" w:rsidR="0049419A" w:rsidRPr="000D5967" w:rsidRDefault="0049419A" w:rsidP="000D5967">
      <w:pPr>
        <w:pStyle w:val="ListParagraph"/>
      </w:pPr>
    </w:p>
    <w:p w14:paraId="7F40177F" w14:textId="77777777" w:rsidR="003F1C7A" w:rsidRPr="00E215FA" w:rsidRDefault="00364051">
      <w:pPr>
        <w:tabs>
          <w:tab w:val="left" w:pos="5670"/>
        </w:tabs>
        <w:suppressAutoHyphens/>
      </w:pPr>
      <w:r>
        <w:rPr>
          <w:b/>
        </w:rPr>
        <w:t xml:space="preserve">FDA </w:t>
      </w:r>
      <w:r w:rsidR="0023691D">
        <w:rPr>
          <w:b/>
        </w:rPr>
        <w:t>CENTER</w:t>
      </w:r>
      <w:r w:rsidR="003F1C7A">
        <w:rPr>
          <w:b/>
        </w:rPr>
        <w:t xml:space="preserve">: </w:t>
      </w:r>
      <w:r w:rsidR="000D5967" w:rsidRPr="00CB3833">
        <w:t xml:space="preserve">Office of the </w:t>
      </w:r>
      <w:r w:rsidR="00017F1F" w:rsidRPr="00CB3833">
        <w:t>Commissioner &amp;</w:t>
      </w:r>
      <w:r w:rsidR="000D5967" w:rsidRPr="00CB3833">
        <w:t xml:space="preserve"> CDER</w:t>
      </w:r>
    </w:p>
    <w:sectPr w:rsidR="003F1C7A" w:rsidRPr="00E215FA" w:rsidSect="000D59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10110C" w15:done="0"/>
  <w15:commentEx w15:paraId="26155D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1C45F" w14:textId="77777777" w:rsidR="00674212" w:rsidRDefault="00674212">
      <w:r>
        <w:separator/>
      </w:r>
    </w:p>
  </w:endnote>
  <w:endnote w:type="continuationSeparator" w:id="0">
    <w:p w14:paraId="148F6743" w14:textId="77777777" w:rsidR="00674212" w:rsidRDefault="0067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C3541" w14:textId="77777777" w:rsidR="00F95365" w:rsidRDefault="00F95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28B78" w14:textId="3EF10470"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08F3">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6FF4F" w14:textId="77777777" w:rsidR="00F95365" w:rsidRDefault="00F95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8DE4F" w14:textId="77777777" w:rsidR="00674212" w:rsidRDefault="00674212">
      <w:r>
        <w:separator/>
      </w:r>
    </w:p>
  </w:footnote>
  <w:footnote w:type="continuationSeparator" w:id="0">
    <w:p w14:paraId="7CF635EE" w14:textId="77777777" w:rsidR="00674212" w:rsidRDefault="00674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2E45C" w14:textId="77777777" w:rsidR="00F95365" w:rsidRDefault="00F95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FE442" w14:textId="77777777" w:rsidR="00F95365" w:rsidRDefault="00F95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E116D" w14:textId="77777777" w:rsidR="00F95365" w:rsidRDefault="00F95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6">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8"/>
  </w:num>
  <w:num w:numId="3">
    <w:abstractNumId w:val="27"/>
  </w:num>
  <w:num w:numId="4">
    <w:abstractNumId w:val="29"/>
  </w:num>
  <w:num w:numId="5">
    <w:abstractNumId w:val="14"/>
  </w:num>
  <w:num w:numId="6">
    <w:abstractNumId w:val="12"/>
  </w:num>
  <w:num w:numId="7">
    <w:abstractNumId w:val="20"/>
  </w:num>
  <w:num w:numId="8">
    <w:abstractNumId w:val="24"/>
  </w:num>
  <w:num w:numId="9">
    <w:abstractNumId w:val="21"/>
  </w:num>
  <w:num w:numId="10">
    <w:abstractNumId w:val="13"/>
  </w:num>
  <w:num w:numId="11">
    <w:abstractNumId w:val="15"/>
  </w:num>
  <w:num w:numId="12">
    <w:abstractNumId w:val="17"/>
  </w:num>
  <w:num w:numId="13">
    <w:abstractNumId w:val="11"/>
  </w:num>
  <w:num w:numId="14">
    <w:abstractNumId w:val="19"/>
  </w:num>
  <w:num w:numId="15">
    <w:abstractNumId w:val="25"/>
  </w:num>
  <w:num w:numId="16">
    <w:abstractNumId w:val="23"/>
  </w:num>
  <w:num w:numId="17">
    <w:abstractNumId w:val="10"/>
  </w:num>
  <w:num w:numId="18">
    <w:abstractNumId w:val="18"/>
  </w:num>
  <w:num w:numId="19">
    <w:abstractNumId w:val="1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17F1F"/>
    <w:rsid w:val="00035B5C"/>
    <w:rsid w:val="00064D50"/>
    <w:rsid w:val="00077789"/>
    <w:rsid w:val="00085F9E"/>
    <w:rsid w:val="000A525C"/>
    <w:rsid w:val="000C386B"/>
    <w:rsid w:val="000C6E88"/>
    <w:rsid w:val="000D5967"/>
    <w:rsid w:val="000F1CDA"/>
    <w:rsid w:val="000F4D58"/>
    <w:rsid w:val="000F651C"/>
    <w:rsid w:val="00126365"/>
    <w:rsid w:val="00126D06"/>
    <w:rsid w:val="00132EF8"/>
    <w:rsid w:val="00135B5E"/>
    <w:rsid w:val="00140343"/>
    <w:rsid w:val="00172A6E"/>
    <w:rsid w:val="001815A5"/>
    <w:rsid w:val="00190AA2"/>
    <w:rsid w:val="001A68F4"/>
    <w:rsid w:val="001C0117"/>
    <w:rsid w:val="001C06A5"/>
    <w:rsid w:val="001D19B4"/>
    <w:rsid w:val="001F09C0"/>
    <w:rsid w:val="001F634D"/>
    <w:rsid w:val="002051DB"/>
    <w:rsid w:val="0023691D"/>
    <w:rsid w:val="0025443D"/>
    <w:rsid w:val="00255B16"/>
    <w:rsid w:val="00272DE8"/>
    <w:rsid w:val="002A4F18"/>
    <w:rsid w:val="002C2B97"/>
    <w:rsid w:val="003073BF"/>
    <w:rsid w:val="00347A84"/>
    <w:rsid w:val="00364051"/>
    <w:rsid w:val="00372EB3"/>
    <w:rsid w:val="00384037"/>
    <w:rsid w:val="00396693"/>
    <w:rsid w:val="003B2B91"/>
    <w:rsid w:val="003C75DD"/>
    <w:rsid w:val="003D319D"/>
    <w:rsid w:val="003F1C7A"/>
    <w:rsid w:val="003F3BCE"/>
    <w:rsid w:val="003F4534"/>
    <w:rsid w:val="00407C60"/>
    <w:rsid w:val="00411149"/>
    <w:rsid w:val="004502C6"/>
    <w:rsid w:val="00455E46"/>
    <w:rsid w:val="00475237"/>
    <w:rsid w:val="00492443"/>
    <w:rsid w:val="0049419A"/>
    <w:rsid w:val="004B51AE"/>
    <w:rsid w:val="004B694D"/>
    <w:rsid w:val="004D4F53"/>
    <w:rsid w:val="00502622"/>
    <w:rsid w:val="00535D71"/>
    <w:rsid w:val="005477C8"/>
    <w:rsid w:val="00577816"/>
    <w:rsid w:val="0059716A"/>
    <w:rsid w:val="005A18A4"/>
    <w:rsid w:val="005D2D30"/>
    <w:rsid w:val="005E23BA"/>
    <w:rsid w:val="005E33D5"/>
    <w:rsid w:val="005E4981"/>
    <w:rsid w:val="005F1B67"/>
    <w:rsid w:val="005F48A3"/>
    <w:rsid w:val="006518D5"/>
    <w:rsid w:val="00674212"/>
    <w:rsid w:val="00696B03"/>
    <w:rsid w:val="006A3678"/>
    <w:rsid w:val="006B2303"/>
    <w:rsid w:val="006D0F20"/>
    <w:rsid w:val="006D3B31"/>
    <w:rsid w:val="007027DA"/>
    <w:rsid w:val="0071153D"/>
    <w:rsid w:val="007408D4"/>
    <w:rsid w:val="0074463A"/>
    <w:rsid w:val="00744F5B"/>
    <w:rsid w:val="007477F8"/>
    <w:rsid w:val="00784C1F"/>
    <w:rsid w:val="007A4331"/>
    <w:rsid w:val="007B045B"/>
    <w:rsid w:val="00801423"/>
    <w:rsid w:val="00811C6B"/>
    <w:rsid w:val="00840FA2"/>
    <w:rsid w:val="00882AE4"/>
    <w:rsid w:val="008863D0"/>
    <w:rsid w:val="008947EB"/>
    <w:rsid w:val="008D7831"/>
    <w:rsid w:val="008E6145"/>
    <w:rsid w:val="008F6E91"/>
    <w:rsid w:val="0092651B"/>
    <w:rsid w:val="00974CFB"/>
    <w:rsid w:val="00977C8F"/>
    <w:rsid w:val="009808F3"/>
    <w:rsid w:val="00980E3D"/>
    <w:rsid w:val="00986AE9"/>
    <w:rsid w:val="009B4584"/>
    <w:rsid w:val="009F3D41"/>
    <w:rsid w:val="00A26BA5"/>
    <w:rsid w:val="00A32BA6"/>
    <w:rsid w:val="00A44BF9"/>
    <w:rsid w:val="00A474E8"/>
    <w:rsid w:val="00A6701C"/>
    <w:rsid w:val="00A82DCC"/>
    <w:rsid w:val="00A934ED"/>
    <w:rsid w:val="00AA1FAE"/>
    <w:rsid w:val="00B304FF"/>
    <w:rsid w:val="00B4058D"/>
    <w:rsid w:val="00B721B9"/>
    <w:rsid w:val="00BC4506"/>
    <w:rsid w:val="00BD22FA"/>
    <w:rsid w:val="00BD4CA5"/>
    <w:rsid w:val="00BF4E59"/>
    <w:rsid w:val="00C115D5"/>
    <w:rsid w:val="00C416FC"/>
    <w:rsid w:val="00C54A15"/>
    <w:rsid w:val="00C92CB3"/>
    <w:rsid w:val="00C932C4"/>
    <w:rsid w:val="00CB3833"/>
    <w:rsid w:val="00CE57C2"/>
    <w:rsid w:val="00CF10F4"/>
    <w:rsid w:val="00CF59FE"/>
    <w:rsid w:val="00D340AB"/>
    <w:rsid w:val="00D542D4"/>
    <w:rsid w:val="00D905C8"/>
    <w:rsid w:val="00DC41CE"/>
    <w:rsid w:val="00DC76EE"/>
    <w:rsid w:val="00DD1CCA"/>
    <w:rsid w:val="00DD6106"/>
    <w:rsid w:val="00E06BD2"/>
    <w:rsid w:val="00E110FA"/>
    <w:rsid w:val="00E215FA"/>
    <w:rsid w:val="00E26798"/>
    <w:rsid w:val="00E41914"/>
    <w:rsid w:val="00E45BA0"/>
    <w:rsid w:val="00E629FF"/>
    <w:rsid w:val="00E9105F"/>
    <w:rsid w:val="00EA0586"/>
    <w:rsid w:val="00EB24D2"/>
    <w:rsid w:val="00ED216A"/>
    <w:rsid w:val="00ED55F6"/>
    <w:rsid w:val="00EE7334"/>
    <w:rsid w:val="00F12AEE"/>
    <w:rsid w:val="00F22C5A"/>
    <w:rsid w:val="00F23DFB"/>
    <w:rsid w:val="00F353E2"/>
    <w:rsid w:val="00F3704A"/>
    <w:rsid w:val="00F4091F"/>
    <w:rsid w:val="00F50713"/>
    <w:rsid w:val="00F64C23"/>
    <w:rsid w:val="00F7174A"/>
    <w:rsid w:val="00F84088"/>
    <w:rsid w:val="00F859D0"/>
    <w:rsid w:val="00F95365"/>
    <w:rsid w:val="00FF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AF4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basedOn w:val="DefaultParagraphFont"/>
    <w:uiPriority w:val="99"/>
    <w:semiHidden/>
    <w:unhideWhenUsed/>
    <w:rsid w:val="00F84088"/>
    <w:rPr>
      <w:sz w:val="16"/>
      <w:szCs w:val="16"/>
    </w:rPr>
  </w:style>
  <w:style w:type="paragraph" w:styleId="CommentText">
    <w:name w:val="annotation text"/>
    <w:basedOn w:val="Normal"/>
    <w:link w:val="CommentTextChar"/>
    <w:uiPriority w:val="99"/>
    <w:semiHidden/>
    <w:unhideWhenUsed/>
    <w:rsid w:val="00F84088"/>
    <w:rPr>
      <w:sz w:val="20"/>
      <w:szCs w:val="20"/>
    </w:rPr>
  </w:style>
  <w:style w:type="character" w:customStyle="1" w:styleId="CommentTextChar">
    <w:name w:val="Comment Text Char"/>
    <w:basedOn w:val="DefaultParagraphFont"/>
    <w:link w:val="CommentText"/>
    <w:uiPriority w:val="99"/>
    <w:semiHidden/>
    <w:rsid w:val="00F84088"/>
  </w:style>
  <w:style w:type="paragraph" w:styleId="CommentSubject">
    <w:name w:val="annotation subject"/>
    <w:basedOn w:val="CommentText"/>
    <w:next w:val="CommentText"/>
    <w:link w:val="CommentSubjectChar"/>
    <w:uiPriority w:val="99"/>
    <w:semiHidden/>
    <w:unhideWhenUsed/>
    <w:rsid w:val="00F84088"/>
    <w:rPr>
      <w:b/>
      <w:bCs/>
    </w:rPr>
  </w:style>
  <w:style w:type="character" w:customStyle="1" w:styleId="CommentSubjectChar">
    <w:name w:val="Comment Subject Char"/>
    <w:basedOn w:val="CommentTextChar"/>
    <w:link w:val="CommentSubject"/>
    <w:uiPriority w:val="99"/>
    <w:semiHidden/>
    <w:rsid w:val="00F840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basedOn w:val="DefaultParagraphFont"/>
    <w:uiPriority w:val="99"/>
    <w:semiHidden/>
    <w:unhideWhenUsed/>
    <w:rsid w:val="00F84088"/>
    <w:rPr>
      <w:sz w:val="16"/>
      <w:szCs w:val="16"/>
    </w:rPr>
  </w:style>
  <w:style w:type="paragraph" w:styleId="CommentText">
    <w:name w:val="annotation text"/>
    <w:basedOn w:val="Normal"/>
    <w:link w:val="CommentTextChar"/>
    <w:uiPriority w:val="99"/>
    <w:semiHidden/>
    <w:unhideWhenUsed/>
    <w:rsid w:val="00F84088"/>
    <w:rPr>
      <w:sz w:val="20"/>
      <w:szCs w:val="20"/>
    </w:rPr>
  </w:style>
  <w:style w:type="character" w:customStyle="1" w:styleId="CommentTextChar">
    <w:name w:val="Comment Text Char"/>
    <w:basedOn w:val="DefaultParagraphFont"/>
    <w:link w:val="CommentText"/>
    <w:uiPriority w:val="99"/>
    <w:semiHidden/>
    <w:rsid w:val="00F84088"/>
  </w:style>
  <w:style w:type="paragraph" w:styleId="CommentSubject">
    <w:name w:val="annotation subject"/>
    <w:basedOn w:val="CommentText"/>
    <w:next w:val="CommentText"/>
    <w:link w:val="CommentSubjectChar"/>
    <w:uiPriority w:val="99"/>
    <w:semiHidden/>
    <w:unhideWhenUsed/>
    <w:rsid w:val="00F84088"/>
    <w:rPr>
      <w:b/>
      <w:bCs/>
    </w:rPr>
  </w:style>
  <w:style w:type="character" w:customStyle="1" w:styleId="CommentSubjectChar">
    <w:name w:val="Comment Subject Char"/>
    <w:basedOn w:val="CommentTextChar"/>
    <w:link w:val="CommentSubject"/>
    <w:uiPriority w:val="99"/>
    <w:semiHidden/>
    <w:rsid w:val="00F840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5EFF1BF-69FE-44DA-ADC9-51C91A5C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2932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 Connie</dc:creator>
  <cp:lastModifiedBy>Jonna Capezzuto</cp:lastModifiedBy>
  <cp:revision>2</cp:revision>
  <dcterms:created xsi:type="dcterms:W3CDTF">2017-04-19T18:45:00Z</dcterms:created>
  <dcterms:modified xsi:type="dcterms:W3CDTF">2017-04-19T18:45:00Z</dcterms:modified>
</cp:coreProperties>
</file>