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b/>
        </w:rPr>
      </w:pPr>
      <w:r w:rsidRPr="00DF12B8">
        <w:rPr>
          <w:rFonts w:cs="Arial"/>
          <w:b/>
        </w:rPr>
        <w:t>Supporting Statement</w:t>
      </w:r>
      <w:r>
        <w:rPr>
          <w:rFonts w:cs="Arial"/>
          <w:b/>
        </w:rPr>
        <w:t>: Part A</w:t>
      </w:r>
    </w:p>
    <w:p w:rsidR="008C2ACE" w:rsidRDefault="008C2ACE" w:rsidP="00F047B1">
      <w:pPr>
        <w:jc w:val="center"/>
        <w:rPr>
          <w:rFonts w:cs="Arial"/>
          <w:b/>
        </w:rPr>
      </w:pPr>
    </w:p>
    <w:p w:rsidR="008C2ACE" w:rsidRDefault="008C2ACE" w:rsidP="00F047B1">
      <w:pPr>
        <w:jc w:val="center"/>
        <w:rPr>
          <w:rFonts w:cs="Arial"/>
          <w:b/>
        </w:rPr>
      </w:pPr>
    </w:p>
    <w:p w:rsidR="008C2ACE" w:rsidRPr="00DF12B8" w:rsidRDefault="008C2ACE" w:rsidP="00F047B1">
      <w:pPr>
        <w:jc w:val="center"/>
        <w:rPr>
          <w:rFonts w:cs="Arial"/>
          <w:b/>
        </w:rPr>
      </w:pPr>
    </w:p>
    <w:p w:rsidR="008C2ACE" w:rsidRDefault="008C2ACE" w:rsidP="00F047B1">
      <w:pPr>
        <w:jc w:val="center"/>
        <w:rPr>
          <w:rFonts w:cs="Arial"/>
          <w:b/>
          <w:sz w:val="28"/>
          <w:szCs w:val="28"/>
        </w:rPr>
      </w:pPr>
      <w:r w:rsidRPr="00CA4AF5">
        <w:rPr>
          <w:rFonts w:cs="Arial"/>
          <w:b/>
          <w:sz w:val="28"/>
          <w:szCs w:val="28"/>
        </w:rPr>
        <w:t>Using Traditional Foods and Sustai</w:t>
      </w:r>
      <w:r>
        <w:rPr>
          <w:rFonts w:cs="Arial"/>
          <w:b/>
          <w:sz w:val="28"/>
          <w:szCs w:val="28"/>
        </w:rPr>
        <w:t>nable Ecological Approaches for</w:t>
      </w:r>
    </w:p>
    <w:p w:rsidR="008C2ACE" w:rsidRDefault="008C2ACE" w:rsidP="00F047B1">
      <w:pPr>
        <w:jc w:val="center"/>
        <w:rPr>
          <w:rFonts w:cs="Arial"/>
          <w:b/>
          <w:sz w:val="28"/>
          <w:szCs w:val="28"/>
        </w:rPr>
      </w:pPr>
      <w:r w:rsidRPr="00CA4AF5">
        <w:rPr>
          <w:rFonts w:cs="Arial"/>
          <w:b/>
          <w:sz w:val="28"/>
          <w:szCs w:val="28"/>
        </w:rPr>
        <w:t>Health Promo</w:t>
      </w:r>
      <w:r>
        <w:rPr>
          <w:rFonts w:cs="Arial"/>
          <w:b/>
          <w:sz w:val="28"/>
          <w:szCs w:val="28"/>
        </w:rPr>
        <w:t>tion and Diabetes Prevention in</w:t>
      </w:r>
    </w:p>
    <w:p w:rsidR="008C2ACE" w:rsidRPr="00CA4AF5" w:rsidRDefault="008C2ACE" w:rsidP="00F047B1">
      <w:pPr>
        <w:jc w:val="center"/>
        <w:rPr>
          <w:rFonts w:cs="Arial"/>
          <w:b/>
          <w:sz w:val="28"/>
          <w:szCs w:val="28"/>
        </w:rPr>
      </w:pPr>
      <w:r w:rsidRPr="00CA4AF5">
        <w:rPr>
          <w:rFonts w:cs="Arial"/>
          <w:b/>
          <w:sz w:val="28"/>
          <w:szCs w:val="28"/>
        </w:rPr>
        <w:t>American Indian/Alaska Native Communities</w:t>
      </w:r>
    </w:p>
    <w:p w:rsidR="008C2ACE" w:rsidRPr="00DF12B8" w:rsidRDefault="008C2ACE" w:rsidP="00F047B1">
      <w:pPr>
        <w:jc w:val="center"/>
        <w:rPr>
          <w:rFonts w:cs="Arial"/>
          <w:b/>
        </w:rPr>
      </w:pPr>
    </w:p>
    <w:p w:rsidR="008C2ACE" w:rsidRDefault="00403B98" w:rsidP="00F047B1">
      <w:pPr>
        <w:jc w:val="center"/>
        <w:rPr>
          <w:rFonts w:cs="Arial"/>
        </w:rPr>
      </w:pPr>
      <w:r>
        <w:rPr>
          <w:rFonts w:cs="Arial"/>
        </w:rPr>
        <w:t>OMB No. 0920-0889</w:t>
      </w:r>
    </w:p>
    <w:p w:rsidR="006D6A98" w:rsidRDefault="006D6A98" w:rsidP="006D6A98">
      <w:pPr>
        <w:jc w:val="center"/>
        <w:rPr>
          <w:rFonts w:cs="Arial"/>
        </w:rPr>
      </w:pPr>
    </w:p>
    <w:p w:rsidR="006D6A98" w:rsidRDefault="006D6A98" w:rsidP="006D6A98">
      <w:pPr>
        <w:jc w:val="center"/>
        <w:rPr>
          <w:rFonts w:cs="Arial"/>
        </w:rPr>
      </w:pPr>
      <w:r>
        <w:rPr>
          <w:rFonts w:cs="Arial"/>
        </w:rPr>
        <w:t>Revision Request</w:t>
      </w:r>
    </w:p>
    <w:p w:rsidR="006D6A98" w:rsidRDefault="006D6A98" w:rsidP="006D6A98">
      <w:pPr>
        <w:jc w:val="center"/>
        <w:rPr>
          <w:rFonts w:cs="Arial"/>
        </w:rPr>
      </w:pPr>
    </w:p>
    <w:p w:rsidR="006D6A98" w:rsidRDefault="006D6A98" w:rsidP="006D6A98">
      <w:pPr>
        <w:jc w:val="center"/>
        <w:rPr>
          <w:rFonts w:cs="Arial"/>
        </w:rPr>
      </w:pPr>
      <w:r>
        <w:rPr>
          <w:rFonts w:cs="Arial"/>
        </w:rPr>
        <w:t>February 27, 2014</w:t>
      </w:r>
    </w:p>
    <w:p w:rsidR="006D6A98" w:rsidRDefault="006D6A98" w:rsidP="00F047B1">
      <w:pPr>
        <w:jc w:val="center"/>
        <w:rPr>
          <w:rFonts w:cs="Arial"/>
        </w:rPr>
      </w:pPr>
    </w:p>
    <w:p w:rsidR="008C2ACE" w:rsidRPr="00DF12B8" w:rsidRDefault="008C2ACE" w:rsidP="00F047B1">
      <w:pPr>
        <w:jc w:val="center"/>
        <w:rPr>
          <w:rFonts w:cs="Arial"/>
          <w:b/>
        </w:rPr>
      </w:pPr>
      <w:bookmarkStart w:id="0" w:name="_GoBack"/>
      <w:bookmarkEnd w:id="0"/>
    </w:p>
    <w:p w:rsidR="008C2ACE" w:rsidRPr="00DF12B8" w:rsidRDefault="008C2ACE" w:rsidP="002F1B13">
      <w:pPr>
        <w:rPr>
          <w:rFonts w:cs="Arial"/>
          <w:b/>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Pr="00DF12B8" w:rsidRDefault="008C2ACE" w:rsidP="00F047B1">
      <w:pPr>
        <w:rPr>
          <w:rFonts w:cs="Arial"/>
        </w:rPr>
      </w:pPr>
      <w:r>
        <w:rPr>
          <w:rFonts w:cs="Arial"/>
        </w:rPr>
        <w:t>Submitted by</w:t>
      </w:r>
      <w:r w:rsidRPr="00DF12B8">
        <w:rPr>
          <w:rFonts w:cs="Arial"/>
        </w:rPr>
        <w:t>:</w:t>
      </w:r>
    </w:p>
    <w:p w:rsidR="008C2ACE" w:rsidRPr="00DF12B8" w:rsidRDefault="008C2ACE" w:rsidP="00F047B1">
      <w:pPr>
        <w:rPr>
          <w:rFonts w:cs="Arial"/>
        </w:rPr>
      </w:pPr>
    </w:p>
    <w:p w:rsidR="008C2ACE" w:rsidRDefault="008C2ACE" w:rsidP="00F047B1">
      <w:pPr>
        <w:rPr>
          <w:rFonts w:cs="Arial"/>
        </w:rPr>
      </w:pPr>
      <w:r>
        <w:rPr>
          <w:rFonts w:cs="Arial"/>
        </w:rPr>
        <w:t>C</w:t>
      </w:r>
      <w:r w:rsidR="00742E52">
        <w:rPr>
          <w:rFonts w:cs="Arial"/>
        </w:rPr>
        <w:t>aptain</w:t>
      </w:r>
      <w:r>
        <w:rPr>
          <w:rFonts w:cs="Arial"/>
        </w:rPr>
        <w:t xml:space="preserve"> Larry Alonso, USPHS</w:t>
      </w:r>
    </w:p>
    <w:p w:rsidR="008C2ACE" w:rsidRDefault="008C2ACE" w:rsidP="00F047B1">
      <w:pPr>
        <w:rPr>
          <w:rFonts w:cs="Arial"/>
        </w:rPr>
      </w:pPr>
      <w:r>
        <w:rPr>
          <w:rFonts w:cs="Arial"/>
        </w:rPr>
        <w:t>Division of Diabetes Translation</w:t>
      </w:r>
    </w:p>
    <w:p w:rsidR="0003015B" w:rsidRDefault="0003015B" w:rsidP="00F047B1">
      <w:pPr>
        <w:rPr>
          <w:rFonts w:cs="Arial"/>
        </w:rPr>
      </w:pPr>
      <w:r>
        <w:rPr>
          <w:rFonts w:cs="Arial"/>
        </w:rPr>
        <w:t>Native Diabetes Wellness Program</w:t>
      </w:r>
    </w:p>
    <w:p w:rsidR="008C2ACE" w:rsidRPr="00DF12B8" w:rsidRDefault="008C2ACE" w:rsidP="00F047B1">
      <w:pPr>
        <w:rPr>
          <w:rFonts w:cs="Arial"/>
        </w:rPr>
      </w:pPr>
      <w:r>
        <w:rPr>
          <w:rFonts w:cs="Arial"/>
        </w:rPr>
        <w:t>National Center for Chronic Disease Prevention and Health Promotion</w:t>
      </w:r>
    </w:p>
    <w:p w:rsidR="008C2ACE" w:rsidRPr="00DF12B8" w:rsidRDefault="008C2ACE" w:rsidP="00F047B1">
      <w:pPr>
        <w:rPr>
          <w:rFonts w:cs="Arial"/>
        </w:rPr>
      </w:pPr>
      <w:r w:rsidRPr="00DF12B8">
        <w:rPr>
          <w:rFonts w:cs="Arial"/>
        </w:rPr>
        <w:t>Centers for Disease Control and Prevention</w:t>
      </w:r>
    </w:p>
    <w:p w:rsidR="008C2ACE" w:rsidRPr="00DF12B8" w:rsidRDefault="008C2ACE" w:rsidP="00F047B1">
      <w:pPr>
        <w:rPr>
          <w:rFonts w:cs="Arial"/>
        </w:rPr>
      </w:pPr>
      <w:r w:rsidRPr="00DF12B8">
        <w:rPr>
          <w:rFonts w:cs="Arial"/>
        </w:rPr>
        <w:t>4770 Buford Highway, NE</w:t>
      </w:r>
    </w:p>
    <w:p w:rsidR="008C2ACE" w:rsidRPr="00DF12B8" w:rsidRDefault="008C2ACE" w:rsidP="00F047B1">
      <w:pPr>
        <w:rPr>
          <w:rFonts w:cs="Arial"/>
        </w:rPr>
      </w:pPr>
      <w:r w:rsidRPr="00DF12B8">
        <w:rPr>
          <w:rFonts w:cs="Arial"/>
        </w:rPr>
        <w:t>MS</w:t>
      </w:r>
      <w:r>
        <w:rPr>
          <w:rFonts w:cs="Arial"/>
        </w:rPr>
        <w:t xml:space="preserve"> </w:t>
      </w:r>
      <w:r w:rsidR="00742E52">
        <w:rPr>
          <w:rFonts w:cs="Arial"/>
        </w:rPr>
        <w:t>F-75</w:t>
      </w:r>
    </w:p>
    <w:p w:rsidR="008C2ACE" w:rsidRPr="00DF12B8" w:rsidRDefault="008C2ACE" w:rsidP="00F047B1">
      <w:pPr>
        <w:rPr>
          <w:rFonts w:cs="Arial"/>
        </w:rPr>
      </w:pPr>
      <w:r w:rsidRPr="00DF12B8">
        <w:rPr>
          <w:rFonts w:cs="Arial"/>
        </w:rPr>
        <w:t>Atlanta, GA 30341</w:t>
      </w:r>
    </w:p>
    <w:p w:rsidR="008C2ACE" w:rsidRPr="00DF12B8" w:rsidRDefault="008C2ACE" w:rsidP="00F047B1">
      <w:pPr>
        <w:rPr>
          <w:rFonts w:cs="Arial"/>
        </w:rPr>
      </w:pPr>
      <w:r w:rsidRPr="00DF12B8">
        <w:rPr>
          <w:rFonts w:cs="Arial"/>
        </w:rPr>
        <w:t>Telephone:  770-488-</w:t>
      </w:r>
      <w:r>
        <w:rPr>
          <w:rFonts w:cs="Arial"/>
        </w:rPr>
        <w:t>5354</w:t>
      </w:r>
    </w:p>
    <w:p w:rsidR="008C2ACE" w:rsidRPr="00DF12B8" w:rsidRDefault="008C2ACE" w:rsidP="00F047B1">
      <w:pPr>
        <w:rPr>
          <w:rFonts w:cs="Arial"/>
        </w:rPr>
      </w:pPr>
      <w:r w:rsidRPr="00DF12B8">
        <w:rPr>
          <w:rFonts w:cs="Arial"/>
        </w:rPr>
        <w:t xml:space="preserve">Fax: </w:t>
      </w:r>
      <w:r>
        <w:rPr>
          <w:rFonts w:cs="Arial"/>
        </w:rPr>
        <w:t xml:space="preserve"> </w:t>
      </w:r>
      <w:r w:rsidRPr="00DF12B8">
        <w:rPr>
          <w:rFonts w:cs="Arial"/>
        </w:rPr>
        <w:t>770-488-5</w:t>
      </w:r>
      <w:r>
        <w:rPr>
          <w:rFonts w:cs="Arial"/>
        </w:rPr>
        <w:t>966</w:t>
      </w:r>
    </w:p>
    <w:p w:rsidR="008C2ACE" w:rsidRPr="00DF12B8" w:rsidRDefault="008C2ACE" w:rsidP="00F047B1">
      <w:pPr>
        <w:rPr>
          <w:rFonts w:cs="Arial"/>
        </w:rPr>
      </w:pPr>
      <w:r w:rsidRPr="00DF12B8">
        <w:rPr>
          <w:rFonts w:cs="Arial"/>
        </w:rPr>
        <w:t xml:space="preserve">Email:  </w:t>
      </w:r>
      <w:hyperlink r:id="rId9" w:history="1">
        <w:r w:rsidRPr="00095AC9">
          <w:rPr>
            <w:rStyle w:val="Hyperlink"/>
            <w:rFonts w:cs="Arial"/>
          </w:rPr>
          <w:t>LAlonso@cdc.gov</w:t>
        </w:r>
      </w:hyperlink>
    </w:p>
    <w:p w:rsidR="008C2ACE" w:rsidRPr="00153440" w:rsidRDefault="008C2ACE" w:rsidP="00F047B1">
      <w:pPr>
        <w:jc w:val="center"/>
        <w:rPr>
          <w:rFonts w:cs="Arial"/>
          <w:b/>
        </w:rPr>
      </w:pPr>
      <w:r w:rsidRPr="00DF12B8">
        <w:rPr>
          <w:rFonts w:cs="Arial"/>
        </w:rPr>
        <w:br w:type="page"/>
      </w:r>
      <w:r w:rsidRPr="00153440">
        <w:rPr>
          <w:rFonts w:cs="Arial"/>
          <w:b/>
        </w:rPr>
        <w:lastRenderedPageBreak/>
        <w:t>Table of Contents</w:t>
      </w:r>
    </w:p>
    <w:p w:rsidR="008C2ACE"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spacing w:line="360" w:lineRule="auto"/>
        <w:rPr>
          <w:rFonts w:cs="Arial"/>
          <w:b/>
        </w:rPr>
      </w:pPr>
      <w:r w:rsidRPr="00DF12B8">
        <w:rPr>
          <w:rFonts w:cs="Arial"/>
          <w:b/>
        </w:rPr>
        <w:t>Part A:  Justification</w:t>
      </w:r>
    </w:p>
    <w:p w:rsidR="00D3504C" w:rsidRDefault="008C2ACE" w:rsidP="009D3D4A">
      <w:pPr>
        <w:pStyle w:val="TOC2"/>
        <w:tabs>
          <w:tab w:val="left" w:pos="1278"/>
        </w:tabs>
        <w:ind w:left="720" w:hanging="720"/>
        <w:rPr>
          <w:rFonts w:cs="Arial"/>
        </w:rPr>
      </w:pPr>
      <w:r w:rsidRPr="00DF12B8">
        <w:rPr>
          <w:rFonts w:cs="Arial"/>
        </w:rPr>
        <w:t>A1.</w:t>
      </w:r>
      <w:r>
        <w:rPr>
          <w:rFonts w:cs="Arial"/>
        </w:rPr>
        <w:tab/>
      </w:r>
      <w:r w:rsidR="00D3504C">
        <w:rPr>
          <w:rFonts w:cs="Arial"/>
        </w:rPr>
        <w:t>Request Summary</w:t>
      </w:r>
    </w:p>
    <w:p w:rsidR="008C2ACE" w:rsidRPr="009D3D4A" w:rsidRDefault="00D3504C" w:rsidP="009D3D4A">
      <w:pPr>
        <w:pStyle w:val="TOC2"/>
        <w:tabs>
          <w:tab w:val="left" w:pos="1278"/>
        </w:tabs>
        <w:ind w:left="720" w:hanging="720"/>
        <w:rPr>
          <w:szCs w:val="24"/>
        </w:rPr>
      </w:pPr>
      <w:r>
        <w:rPr>
          <w:rFonts w:cs="Arial"/>
        </w:rPr>
        <w:t>A2.</w:t>
      </w:r>
      <w:r>
        <w:rPr>
          <w:rFonts w:cs="Arial"/>
        </w:rPr>
        <w:tab/>
      </w:r>
      <w:r w:rsidR="009D3D4A">
        <w:t>Circumstances Making the Collection of Information Necessary</w:t>
      </w:r>
    </w:p>
    <w:p w:rsidR="008C2ACE" w:rsidRPr="00DF12B8" w:rsidRDefault="008C2ACE" w:rsidP="00AC59E8">
      <w:pPr>
        <w:spacing w:line="276" w:lineRule="auto"/>
        <w:ind w:left="720" w:hanging="720"/>
        <w:rPr>
          <w:rFonts w:cs="Arial"/>
        </w:rPr>
      </w:pPr>
      <w:r w:rsidRPr="00DF12B8">
        <w:rPr>
          <w:rFonts w:cs="Arial"/>
        </w:rPr>
        <w:t>A</w:t>
      </w:r>
      <w:r w:rsidR="00D3504C">
        <w:rPr>
          <w:rFonts w:cs="Arial"/>
        </w:rPr>
        <w:t>3</w:t>
      </w:r>
      <w:r w:rsidRPr="00DF12B8">
        <w:rPr>
          <w:rFonts w:cs="Arial"/>
        </w:rPr>
        <w:t>.</w:t>
      </w:r>
      <w:r>
        <w:rPr>
          <w:rFonts w:cs="Arial"/>
        </w:rPr>
        <w:tab/>
      </w:r>
      <w:r w:rsidRPr="00DF12B8">
        <w:rPr>
          <w:rFonts w:cs="Arial"/>
        </w:rPr>
        <w:t>Purpose and Use of Information Collection</w:t>
      </w:r>
    </w:p>
    <w:p w:rsidR="008C2ACE" w:rsidRPr="00DF12B8" w:rsidRDefault="00D3504C" w:rsidP="00AC59E8">
      <w:pPr>
        <w:spacing w:line="276" w:lineRule="auto"/>
        <w:ind w:left="720" w:hanging="720"/>
        <w:rPr>
          <w:rFonts w:cs="Arial"/>
        </w:rPr>
      </w:pPr>
      <w:r>
        <w:rPr>
          <w:rFonts w:cs="Arial"/>
        </w:rPr>
        <w:t>A4</w:t>
      </w:r>
      <w:r w:rsidR="008C2ACE" w:rsidRPr="00DF12B8">
        <w:rPr>
          <w:rFonts w:cs="Arial"/>
        </w:rPr>
        <w:t>.</w:t>
      </w:r>
      <w:r w:rsidR="008C2ACE">
        <w:rPr>
          <w:rFonts w:cs="Arial"/>
        </w:rPr>
        <w:tab/>
      </w:r>
      <w:r w:rsidR="008C2ACE" w:rsidRPr="00DF12B8">
        <w:rPr>
          <w:rFonts w:cs="Arial"/>
        </w:rPr>
        <w:t>Use of Improved Information Technology and Burden</w:t>
      </w:r>
      <w:r w:rsidR="008C2ACE">
        <w:rPr>
          <w:rFonts w:cs="Arial"/>
        </w:rPr>
        <w:t xml:space="preserve"> Reduction</w:t>
      </w:r>
    </w:p>
    <w:p w:rsidR="008C2ACE" w:rsidRPr="00DF12B8" w:rsidRDefault="00D3504C" w:rsidP="00AC59E8">
      <w:pPr>
        <w:spacing w:line="276" w:lineRule="auto"/>
        <w:ind w:left="720" w:hanging="720"/>
        <w:rPr>
          <w:rFonts w:cs="Arial"/>
        </w:rPr>
      </w:pPr>
      <w:r>
        <w:rPr>
          <w:rFonts w:cs="Arial"/>
        </w:rPr>
        <w:t>A5</w:t>
      </w:r>
      <w:r w:rsidR="008C2ACE" w:rsidRPr="00DF12B8">
        <w:rPr>
          <w:rFonts w:cs="Arial"/>
        </w:rPr>
        <w:t>.</w:t>
      </w:r>
      <w:r w:rsidR="008C2ACE">
        <w:rPr>
          <w:rFonts w:cs="Arial"/>
        </w:rPr>
        <w:tab/>
      </w:r>
      <w:r w:rsidR="008C2ACE" w:rsidRPr="00DF12B8">
        <w:rPr>
          <w:rFonts w:cs="Arial"/>
        </w:rPr>
        <w:t>Efforts to Identify Duplication and Use of Similar</w:t>
      </w:r>
      <w:r w:rsidR="008C2ACE">
        <w:rPr>
          <w:rFonts w:cs="Arial"/>
        </w:rPr>
        <w:t xml:space="preserve"> </w:t>
      </w:r>
      <w:r w:rsidR="008C2ACE" w:rsidRPr="00DF12B8">
        <w:rPr>
          <w:rFonts w:cs="Arial"/>
        </w:rPr>
        <w:t>Information</w:t>
      </w:r>
    </w:p>
    <w:p w:rsidR="008C2ACE" w:rsidRPr="00DF12B8" w:rsidRDefault="00D3504C" w:rsidP="00AC59E8">
      <w:pPr>
        <w:spacing w:line="276" w:lineRule="auto"/>
        <w:ind w:left="720" w:hanging="720"/>
        <w:rPr>
          <w:rFonts w:cs="Arial"/>
        </w:rPr>
      </w:pPr>
      <w:r>
        <w:rPr>
          <w:rFonts w:cs="Arial"/>
        </w:rPr>
        <w:t>A6</w:t>
      </w:r>
      <w:r w:rsidR="008C2ACE" w:rsidRPr="00DF12B8">
        <w:rPr>
          <w:rFonts w:cs="Arial"/>
        </w:rPr>
        <w:t>.</w:t>
      </w:r>
      <w:r w:rsidR="008C2ACE">
        <w:rPr>
          <w:rFonts w:cs="Arial"/>
        </w:rPr>
        <w:tab/>
      </w:r>
      <w:r w:rsidR="008C2ACE" w:rsidRPr="00DF12B8">
        <w:rPr>
          <w:rFonts w:cs="Arial"/>
        </w:rPr>
        <w:t>Impact on Small Businesses or Other Entities</w:t>
      </w:r>
    </w:p>
    <w:p w:rsidR="008C2ACE" w:rsidRPr="00DF12B8" w:rsidRDefault="00D3504C" w:rsidP="00AC59E8">
      <w:pPr>
        <w:spacing w:line="276" w:lineRule="auto"/>
        <w:ind w:left="720" w:hanging="720"/>
        <w:rPr>
          <w:rFonts w:cs="Arial"/>
        </w:rPr>
      </w:pPr>
      <w:r>
        <w:rPr>
          <w:rFonts w:cs="Arial"/>
        </w:rPr>
        <w:t>A7</w:t>
      </w:r>
      <w:r w:rsidR="008C2ACE" w:rsidRPr="00DF12B8">
        <w:rPr>
          <w:rFonts w:cs="Arial"/>
        </w:rPr>
        <w:t>.</w:t>
      </w:r>
      <w:r w:rsidR="008C2ACE">
        <w:rPr>
          <w:rFonts w:cs="Arial"/>
        </w:rPr>
        <w:tab/>
      </w:r>
      <w:r w:rsidR="008C2ACE" w:rsidRPr="00DF12B8">
        <w:rPr>
          <w:rFonts w:cs="Arial"/>
        </w:rPr>
        <w:t xml:space="preserve">Consequences of Collecting the Information Less Frequently </w:t>
      </w:r>
    </w:p>
    <w:p w:rsidR="008C2ACE" w:rsidRPr="00DF12B8" w:rsidRDefault="00D3504C" w:rsidP="00AC59E8">
      <w:pPr>
        <w:spacing w:line="276" w:lineRule="auto"/>
        <w:ind w:left="720" w:hanging="720"/>
        <w:rPr>
          <w:rFonts w:cs="Arial"/>
        </w:rPr>
      </w:pPr>
      <w:r>
        <w:rPr>
          <w:rFonts w:cs="Arial"/>
        </w:rPr>
        <w:t>A8</w:t>
      </w:r>
      <w:r w:rsidR="008C2ACE" w:rsidRPr="00DF12B8">
        <w:rPr>
          <w:rFonts w:cs="Arial"/>
        </w:rPr>
        <w:t>.</w:t>
      </w:r>
      <w:r w:rsidR="008C2ACE">
        <w:rPr>
          <w:rFonts w:cs="Arial"/>
        </w:rPr>
        <w:tab/>
      </w:r>
      <w:r w:rsidR="008C2ACE" w:rsidRPr="00DF12B8">
        <w:rPr>
          <w:rFonts w:cs="Arial"/>
        </w:rPr>
        <w:t>Special Circumstances Relating to the Guidelines of 5 CFR 1320.5</w:t>
      </w:r>
    </w:p>
    <w:p w:rsidR="008C2ACE" w:rsidRPr="00DF12B8" w:rsidRDefault="00D3504C" w:rsidP="00AC59E8">
      <w:pPr>
        <w:spacing w:line="276" w:lineRule="auto"/>
        <w:ind w:left="720" w:hanging="720"/>
        <w:rPr>
          <w:rFonts w:cs="Arial"/>
        </w:rPr>
      </w:pPr>
      <w:r>
        <w:rPr>
          <w:rFonts w:cs="Arial"/>
        </w:rPr>
        <w:t>A9</w:t>
      </w:r>
      <w:r w:rsidR="008C2ACE" w:rsidRPr="00DF12B8">
        <w:rPr>
          <w:rFonts w:cs="Arial"/>
        </w:rPr>
        <w:t>.</w:t>
      </w:r>
      <w:r w:rsidR="008C2ACE">
        <w:rPr>
          <w:rFonts w:cs="Arial"/>
        </w:rPr>
        <w:tab/>
      </w:r>
      <w:r w:rsidR="008C2ACE" w:rsidRPr="00DF12B8">
        <w:rPr>
          <w:rFonts w:cs="Arial"/>
        </w:rPr>
        <w:t xml:space="preserve">Comments in Response to the Federal Register Notice and Efforts to Consult Outside the </w:t>
      </w:r>
      <w:r w:rsidR="008C2ACE">
        <w:rPr>
          <w:rFonts w:cs="Arial"/>
        </w:rPr>
        <w:t>A</w:t>
      </w:r>
      <w:r w:rsidR="008C2ACE" w:rsidRPr="00DF12B8">
        <w:rPr>
          <w:rFonts w:cs="Arial"/>
        </w:rPr>
        <w:t>gency</w:t>
      </w:r>
    </w:p>
    <w:p w:rsidR="008C2ACE" w:rsidRPr="00DF12B8" w:rsidRDefault="00D3504C" w:rsidP="00AC59E8">
      <w:pPr>
        <w:spacing w:line="276" w:lineRule="auto"/>
        <w:ind w:left="720" w:hanging="720"/>
        <w:rPr>
          <w:rFonts w:cs="Arial"/>
        </w:rPr>
      </w:pPr>
      <w:r>
        <w:rPr>
          <w:rFonts w:cs="Arial"/>
        </w:rPr>
        <w:t>A10</w:t>
      </w:r>
      <w:r w:rsidR="008C2ACE" w:rsidRPr="00DF12B8">
        <w:rPr>
          <w:rFonts w:cs="Arial"/>
        </w:rPr>
        <w:t>.</w:t>
      </w:r>
      <w:r w:rsidR="008C2ACE">
        <w:rPr>
          <w:rFonts w:cs="Arial"/>
        </w:rPr>
        <w:tab/>
      </w:r>
      <w:r w:rsidR="008C2ACE" w:rsidRPr="00DF12B8">
        <w:rPr>
          <w:rFonts w:cs="Arial"/>
        </w:rPr>
        <w:t>Explanation of Any Payment or Gift to Respondents</w:t>
      </w:r>
    </w:p>
    <w:p w:rsidR="008C2ACE" w:rsidRPr="00DF12B8" w:rsidRDefault="00D3504C" w:rsidP="00AC59E8">
      <w:pPr>
        <w:spacing w:line="276" w:lineRule="auto"/>
        <w:ind w:left="720" w:hanging="720"/>
        <w:rPr>
          <w:rFonts w:cs="Arial"/>
        </w:rPr>
      </w:pPr>
      <w:r>
        <w:rPr>
          <w:rFonts w:cs="Arial"/>
        </w:rPr>
        <w:t>A11</w:t>
      </w:r>
      <w:r w:rsidR="008C2ACE" w:rsidRPr="00DF12B8">
        <w:rPr>
          <w:rFonts w:cs="Arial"/>
        </w:rPr>
        <w:t>.</w:t>
      </w:r>
      <w:r w:rsidR="008C2ACE">
        <w:rPr>
          <w:rFonts w:cs="Arial"/>
        </w:rPr>
        <w:tab/>
      </w:r>
      <w:r w:rsidR="008C2ACE" w:rsidRPr="00DF12B8">
        <w:rPr>
          <w:rFonts w:cs="Arial"/>
        </w:rPr>
        <w:t>Assurance of Confidentiality Provided to Respondents</w:t>
      </w:r>
    </w:p>
    <w:p w:rsidR="008C2ACE" w:rsidRPr="00DF12B8" w:rsidRDefault="00D3504C" w:rsidP="00AC59E8">
      <w:pPr>
        <w:spacing w:line="276" w:lineRule="auto"/>
        <w:ind w:left="720" w:hanging="720"/>
        <w:rPr>
          <w:rFonts w:cs="Arial"/>
        </w:rPr>
      </w:pPr>
      <w:r>
        <w:rPr>
          <w:rFonts w:cs="Arial"/>
        </w:rPr>
        <w:t>A12</w:t>
      </w:r>
      <w:r w:rsidR="008C2ACE" w:rsidRPr="00DF12B8">
        <w:rPr>
          <w:rFonts w:cs="Arial"/>
        </w:rPr>
        <w:t>.</w:t>
      </w:r>
      <w:r w:rsidR="008C2ACE">
        <w:rPr>
          <w:rFonts w:cs="Arial"/>
        </w:rPr>
        <w:tab/>
      </w:r>
      <w:r w:rsidR="008C2ACE" w:rsidRPr="00DF12B8">
        <w:rPr>
          <w:rFonts w:cs="Arial"/>
        </w:rPr>
        <w:t xml:space="preserve">Justification </w:t>
      </w:r>
      <w:r w:rsidR="008C2ACE">
        <w:rPr>
          <w:rFonts w:cs="Arial"/>
        </w:rPr>
        <w:t>for</w:t>
      </w:r>
      <w:r w:rsidR="008C2ACE" w:rsidRPr="00DF12B8">
        <w:rPr>
          <w:rFonts w:cs="Arial"/>
        </w:rPr>
        <w:t xml:space="preserve"> Sensitive Questions</w:t>
      </w:r>
    </w:p>
    <w:p w:rsidR="008C2ACE" w:rsidRPr="00DF12B8" w:rsidRDefault="00D3504C" w:rsidP="00AC59E8">
      <w:pPr>
        <w:spacing w:line="276" w:lineRule="auto"/>
        <w:ind w:left="720" w:hanging="720"/>
        <w:rPr>
          <w:rFonts w:cs="Arial"/>
        </w:rPr>
      </w:pPr>
      <w:r>
        <w:rPr>
          <w:rFonts w:cs="Arial"/>
        </w:rPr>
        <w:t>A13</w:t>
      </w:r>
      <w:r w:rsidR="008C2ACE" w:rsidRPr="00DF12B8">
        <w:rPr>
          <w:rFonts w:cs="Arial"/>
        </w:rPr>
        <w:t>.</w:t>
      </w:r>
      <w:r w:rsidR="008C2ACE">
        <w:rPr>
          <w:rFonts w:cs="Arial"/>
        </w:rPr>
        <w:tab/>
      </w:r>
      <w:r w:rsidR="008C2ACE" w:rsidRPr="00DF12B8">
        <w:rPr>
          <w:rFonts w:cs="Arial"/>
        </w:rPr>
        <w:t>Estimates of Annualized Burden Hours and Costs</w:t>
      </w:r>
    </w:p>
    <w:p w:rsidR="008C2ACE" w:rsidRPr="00DF12B8" w:rsidRDefault="008C2ACE" w:rsidP="00AC59E8">
      <w:pPr>
        <w:spacing w:line="276" w:lineRule="auto"/>
        <w:ind w:left="720"/>
        <w:rPr>
          <w:rFonts w:cs="Arial"/>
        </w:rPr>
      </w:pPr>
      <w:r w:rsidRPr="00DF12B8">
        <w:rPr>
          <w:rFonts w:cs="Arial"/>
        </w:rPr>
        <w:t>A12-1.Estimated Annualized Burden Hours</w:t>
      </w:r>
    </w:p>
    <w:p w:rsidR="008C2ACE" w:rsidRPr="00DF12B8" w:rsidRDefault="008C2ACE" w:rsidP="00AC59E8">
      <w:pPr>
        <w:spacing w:line="276" w:lineRule="auto"/>
        <w:ind w:left="720"/>
        <w:rPr>
          <w:rFonts w:cs="Arial"/>
        </w:rPr>
      </w:pPr>
      <w:r w:rsidRPr="00DF12B8">
        <w:rPr>
          <w:rFonts w:cs="Arial"/>
        </w:rPr>
        <w:t>A12-2.Cost to Respondents</w:t>
      </w:r>
    </w:p>
    <w:p w:rsidR="008C2ACE" w:rsidRPr="00DF12B8" w:rsidRDefault="00D3504C" w:rsidP="00AC59E8">
      <w:pPr>
        <w:spacing w:line="276" w:lineRule="auto"/>
        <w:ind w:left="720" w:hanging="720"/>
        <w:rPr>
          <w:rFonts w:cs="Arial"/>
        </w:rPr>
      </w:pPr>
      <w:r>
        <w:rPr>
          <w:rFonts w:cs="Arial"/>
        </w:rPr>
        <w:t>A14</w:t>
      </w:r>
      <w:r w:rsidR="008C2ACE" w:rsidRPr="00DF12B8">
        <w:rPr>
          <w:rFonts w:cs="Arial"/>
        </w:rPr>
        <w:t>.</w:t>
      </w:r>
      <w:r w:rsidR="00AC59E8">
        <w:rPr>
          <w:rFonts w:cs="Arial"/>
        </w:rPr>
        <w:tab/>
      </w:r>
      <w:r w:rsidR="008C2ACE" w:rsidRPr="00DF12B8">
        <w:rPr>
          <w:rFonts w:cs="Arial"/>
        </w:rPr>
        <w:t>Estimate</w:t>
      </w:r>
      <w:r w:rsidR="008C2ACE">
        <w:rPr>
          <w:rFonts w:cs="Arial"/>
        </w:rPr>
        <w:t>s</w:t>
      </w:r>
      <w:r w:rsidR="008C2ACE" w:rsidRPr="00DF12B8">
        <w:rPr>
          <w:rFonts w:cs="Arial"/>
        </w:rPr>
        <w:t xml:space="preserve"> of Other Total Annual Cost Burden to Respondents or Record Keepers</w:t>
      </w:r>
    </w:p>
    <w:p w:rsidR="008C2ACE" w:rsidRPr="00DF12B8" w:rsidRDefault="00D3504C" w:rsidP="00AC59E8">
      <w:pPr>
        <w:spacing w:line="276" w:lineRule="auto"/>
        <w:ind w:left="720" w:hanging="720"/>
        <w:rPr>
          <w:rFonts w:cs="Arial"/>
        </w:rPr>
      </w:pPr>
      <w:r>
        <w:rPr>
          <w:rFonts w:cs="Arial"/>
        </w:rPr>
        <w:t>A15</w:t>
      </w:r>
      <w:r w:rsidR="008C2ACE" w:rsidRPr="00DF12B8">
        <w:rPr>
          <w:rFonts w:cs="Arial"/>
        </w:rPr>
        <w:t>.</w:t>
      </w:r>
      <w:r w:rsidR="00AC59E8">
        <w:rPr>
          <w:rFonts w:cs="Arial"/>
        </w:rPr>
        <w:tab/>
      </w:r>
      <w:r w:rsidR="008C2ACE" w:rsidRPr="00DF12B8">
        <w:rPr>
          <w:rFonts w:cs="Arial"/>
        </w:rPr>
        <w:t>Annualized Cost to the Federal Government</w:t>
      </w:r>
    </w:p>
    <w:p w:rsidR="008C2ACE" w:rsidRPr="00DF12B8" w:rsidRDefault="00D3504C" w:rsidP="00AC59E8">
      <w:pPr>
        <w:spacing w:line="276" w:lineRule="auto"/>
        <w:ind w:left="720" w:hanging="720"/>
        <w:rPr>
          <w:rFonts w:cs="Arial"/>
        </w:rPr>
      </w:pPr>
      <w:r>
        <w:rPr>
          <w:rFonts w:cs="Arial"/>
        </w:rPr>
        <w:t>A16</w:t>
      </w:r>
      <w:r w:rsidR="008C2ACE" w:rsidRPr="00DF12B8">
        <w:rPr>
          <w:rFonts w:cs="Arial"/>
        </w:rPr>
        <w:t>.</w:t>
      </w:r>
      <w:r w:rsidR="00AC59E8">
        <w:rPr>
          <w:rFonts w:cs="Arial"/>
        </w:rPr>
        <w:tab/>
      </w:r>
      <w:r w:rsidR="008C2ACE" w:rsidRPr="00DF12B8">
        <w:rPr>
          <w:rFonts w:cs="Arial"/>
        </w:rPr>
        <w:t>Explanation for Program Changes or Adjustments</w:t>
      </w:r>
    </w:p>
    <w:p w:rsidR="008C2ACE" w:rsidRPr="00DF12B8" w:rsidRDefault="00D3504C" w:rsidP="00AC59E8">
      <w:pPr>
        <w:spacing w:line="276" w:lineRule="auto"/>
        <w:ind w:left="720" w:hanging="720"/>
        <w:rPr>
          <w:rFonts w:cs="Arial"/>
        </w:rPr>
      </w:pPr>
      <w:r>
        <w:rPr>
          <w:rFonts w:cs="Arial"/>
        </w:rPr>
        <w:t>A17</w:t>
      </w:r>
      <w:r w:rsidR="008C2ACE" w:rsidRPr="00DF12B8">
        <w:rPr>
          <w:rFonts w:cs="Arial"/>
        </w:rPr>
        <w:t>.</w:t>
      </w:r>
      <w:r w:rsidR="00AC59E8">
        <w:rPr>
          <w:rFonts w:cs="Arial"/>
        </w:rPr>
        <w:tab/>
      </w:r>
      <w:r w:rsidR="008C2ACE" w:rsidRPr="00DF12B8">
        <w:rPr>
          <w:rFonts w:cs="Arial"/>
        </w:rPr>
        <w:t>Plans for Tabulation and Publication and Project Time Schedule</w:t>
      </w:r>
    </w:p>
    <w:p w:rsidR="008C2ACE" w:rsidRPr="00DF12B8" w:rsidRDefault="00D3504C" w:rsidP="00AC59E8">
      <w:pPr>
        <w:spacing w:line="276" w:lineRule="auto"/>
        <w:ind w:left="720" w:hanging="720"/>
        <w:rPr>
          <w:rFonts w:cs="Arial"/>
        </w:rPr>
      </w:pPr>
      <w:r>
        <w:rPr>
          <w:rFonts w:cs="Arial"/>
        </w:rPr>
        <w:t>A18</w:t>
      </w:r>
      <w:r w:rsidR="008C2ACE" w:rsidRPr="00DF12B8">
        <w:rPr>
          <w:rFonts w:cs="Arial"/>
        </w:rPr>
        <w:t>.</w:t>
      </w:r>
      <w:r w:rsidR="00AC59E8">
        <w:rPr>
          <w:rFonts w:cs="Arial"/>
        </w:rPr>
        <w:tab/>
      </w:r>
      <w:r w:rsidR="008C2ACE" w:rsidRPr="00DF12B8">
        <w:rPr>
          <w:rFonts w:cs="Arial"/>
        </w:rPr>
        <w:t>Reason(s) Display of OMB Expiration Date is Inappropriate</w:t>
      </w:r>
    </w:p>
    <w:p w:rsidR="008C2ACE" w:rsidRPr="00DF12B8" w:rsidRDefault="00D3504C" w:rsidP="00AC59E8">
      <w:pPr>
        <w:spacing w:line="276" w:lineRule="auto"/>
        <w:ind w:left="720" w:hanging="720"/>
        <w:rPr>
          <w:rFonts w:cs="Arial"/>
        </w:rPr>
      </w:pPr>
      <w:r>
        <w:rPr>
          <w:rFonts w:cs="Arial"/>
        </w:rPr>
        <w:t>A19</w:t>
      </w:r>
      <w:r w:rsidR="008C2ACE" w:rsidRPr="00DF12B8">
        <w:rPr>
          <w:rFonts w:cs="Arial"/>
        </w:rPr>
        <w:t>.</w:t>
      </w:r>
      <w:r w:rsidR="00AC59E8">
        <w:rPr>
          <w:rFonts w:cs="Arial"/>
        </w:rPr>
        <w:tab/>
      </w:r>
      <w:r w:rsidR="008C2ACE" w:rsidRPr="00DF12B8">
        <w:rPr>
          <w:rFonts w:cs="Arial"/>
        </w:rPr>
        <w:t>Exceptions to Certification for Paperwork Reduction Act</w:t>
      </w:r>
    </w:p>
    <w:p w:rsidR="008C2ACE" w:rsidRDefault="008C2ACE" w:rsidP="00AC59E8">
      <w:pPr>
        <w:spacing w:line="276" w:lineRule="auto"/>
        <w:ind w:left="720" w:hanging="720"/>
      </w:pPr>
    </w:p>
    <w:p w:rsidR="00873DA6" w:rsidRDefault="00873DA6" w:rsidP="00873DA6"/>
    <w:p w:rsidR="00873DA6" w:rsidRPr="0089279D" w:rsidRDefault="00873DA6" w:rsidP="00873DA6">
      <w:pPr>
        <w:spacing w:line="276" w:lineRule="auto"/>
        <w:rPr>
          <w:b/>
        </w:rPr>
      </w:pPr>
      <w:r w:rsidRPr="00501A7E">
        <w:rPr>
          <w:b/>
        </w:rPr>
        <w:t>Attachments</w:t>
      </w:r>
    </w:p>
    <w:p w:rsidR="00873DA6" w:rsidRPr="0089279D" w:rsidRDefault="00873DA6" w:rsidP="00873DA6">
      <w:pPr>
        <w:pStyle w:val="ListParagraph"/>
        <w:numPr>
          <w:ilvl w:val="0"/>
          <w:numId w:val="2"/>
        </w:numPr>
        <w:spacing w:line="276" w:lineRule="auto"/>
      </w:pPr>
      <w:r w:rsidRPr="0089279D">
        <w:t>Authorizing Legislation</w:t>
      </w:r>
    </w:p>
    <w:p w:rsidR="00873DA6" w:rsidRPr="0089279D" w:rsidRDefault="00873DA6" w:rsidP="00873DA6">
      <w:pPr>
        <w:pStyle w:val="ListParagraph"/>
        <w:numPr>
          <w:ilvl w:val="0"/>
          <w:numId w:val="2"/>
        </w:numPr>
        <w:spacing w:line="276" w:lineRule="auto"/>
      </w:pPr>
      <w:r w:rsidRPr="0089279D">
        <w:t>Feder</w:t>
      </w:r>
      <w:r w:rsidR="00307B5A">
        <w:t>al Register Notice</w:t>
      </w:r>
    </w:p>
    <w:p w:rsidR="00873DA6" w:rsidRPr="0089279D" w:rsidRDefault="00873DA6" w:rsidP="00873DA6">
      <w:pPr>
        <w:pStyle w:val="ListParagraph"/>
        <w:numPr>
          <w:ilvl w:val="0"/>
          <w:numId w:val="2"/>
        </w:numPr>
        <w:spacing w:line="276" w:lineRule="auto"/>
        <w:rPr>
          <w:rFonts w:cs="Arial"/>
          <w:b/>
        </w:rPr>
      </w:pPr>
      <w:r w:rsidRPr="0089279D">
        <w:t>List of Awardees/Respondents</w:t>
      </w:r>
    </w:p>
    <w:p w:rsidR="00873DA6" w:rsidRPr="00BB3B71" w:rsidRDefault="00873DA6" w:rsidP="00873DA6">
      <w:pPr>
        <w:pStyle w:val="ListParagraph"/>
        <w:numPr>
          <w:ilvl w:val="0"/>
          <w:numId w:val="2"/>
        </w:numPr>
        <w:spacing w:line="276" w:lineRule="auto"/>
        <w:rPr>
          <w:rFonts w:cs="Arial"/>
        </w:rPr>
      </w:pPr>
      <w:r>
        <w:t>Traditional Foods Shared Data Elements</w:t>
      </w:r>
    </w:p>
    <w:p w:rsidR="00873DA6" w:rsidRPr="00B030CB" w:rsidRDefault="00873DA6" w:rsidP="00873DA6">
      <w:pPr>
        <w:pStyle w:val="ListParagraph"/>
        <w:numPr>
          <w:ilvl w:val="1"/>
          <w:numId w:val="2"/>
        </w:numPr>
        <w:spacing w:line="276" w:lineRule="auto"/>
        <w:rPr>
          <w:rFonts w:cs="Arial"/>
        </w:rPr>
      </w:pPr>
      <w:r>
        <w:t>SDE Data Collection Instrument</w:t>
      </w:r>
    </w:p>
    <w:p w:rsidR="00873DA6" w:rsidRPr="00B030CB" w:rsidRDefault="00873DA6" w:rsidP="00873DA6">
      <w:pPr>
        <w:pStyle w:val="ListParagraph"/>
        <w:numPr>
          <w:ilvl w:val="1"/>
          <w:numId w:val="2"/>
        </w:numPr>
        <w:spacing w:line="276" w:lineRule="auto"/>
        <w:rPr>
          <w:rFonts w:cs="Arial"/>
        </w:rPr>
      </w:pPr>
      <w:r>
        <w:t>Advance Notification</w:t>
      </w:r>
      <w:r w:rsidRPr="00417588">
        <w:t xml:space="preserve"> Letter to </w:t>
      </w:r>
      <w:r w:rsidR="00BE5D21">
        <w:t>Awardees</w:t>
      </w:r>
    </w:p>
    <w:p w:rsidR="00873DA6" w:rsidRPr="00BB3B71" w:rsidRDefault="00873DA6" w:rsidP="00873DA6">
      <w:pPr>
        <w:pStyle w:val="ListParagraph"/>
        <w:numPr>
          <w:ilvl w:val="1"/>
          <w:numId w:val="2"/>
        </w:numPr>
        <w:spacing w:line="276" w:lineRule="auto"/>
        <w:rPr>
          <w:rFonts w:cs="Arial"/>
        </w:rPr>
      </w:pPr>
      <w:r>
        <w:t xml:space="preserve">Cover Email to </w:t>
      </w:r>
      <w:r w:rsidR="00BE5D21">
        <w:t>Awardees</w:t>
      </w:r>
    </w:p>
    <w:p w:rsidR="00873DA6" w:rsidRPr="00417588" w:rsidRDefault="00873DA6" w:rsidP="00873DA6">
      <w:pPr>
        <w:pStyle w:val="ListParagraph"/>
        <w:numPr>
          <w:ilvl w:val="0"/>
          <w:numId w:val="2"/>
        </w:numPr>
        <w:spacing w:line="276" w:lineRule="auto"/>
        <w:rPr>
          <w:rFonts w:cs="Arial"/>
        </w:rPr>
      </w:pPr>
      <w:r>
        <w:t>Example Story</w:t>
      </w:r>
    </w:p>
    <w:p w:rsidR="00873DA6" w:rsidRPr="00BE2C3E" w:rsidRDefault="00873DA6" w:rsidP="00BE2C3E">
      <w:pPr>
        <w:spacing w:line="276" w:lineRule="auto"/>
        <w:rPr>
          <w:rFonts w:cs="Arial"/>
          <w:b/>
        </w:rPr>
      </w:pPr>
    </w:p>
    <w:p w:rsidR="00873DA6" w:rsidRDefault="00873DA6" w:rsidP="00EA6319">
      <w:pPr>
        <w:pStyle w:val="ListParagraph"/>
        <w:spacing w:line="276" w:lineRule="auto"/>
        <w:ind w:left="1080"/>
        <w:rPr>
          <w:rFonts w:cs="Arial"/>
          <w:b/>
        </w:rPr>
      </w:pPr>
    </w:p>
    <w:p w:rsidR="00873DA6" w:rsidRDefault="00873DA6" w:rsidP="00EA6319">
      <w:pPr>
        <w:pStyle w:val="ListParagraph"/>
        <w:spacing w:line="276" w:lineRule="auto"/>
        <w:ind w:left="1080"/>
        <w:rPr>
          <w:rFonts w:cs="Arial"/>
          <w:b/>
        </w:rPr>
      </w:pPr>
    </w:p>
    <w:p w:rsidR="00873DA6" w:rsidRDefault="00873DA6" w:rsidP="00EA6319">
      <w:pPr>
        <w:pStyle w:val="ListParagraph"/>
        <w:spacing w:line="276" w:lineRule="auto"/>
        <w:ind w:left="1080"/>
        <w:rPr>
          <w:rFonts w:cs="Arial"/>
          <w:b/>
        </w:rPr>
      </w:pPr>
    </w:p>
    <w:p w:rsidR="00873DA6" w:rsidRDefault="009B1192" w:rsidP="009B1192">
      <w:pPr>
        <w:pStyle w:val="ListParagraph"/>
        <w:spacing w:line="276" w:lineRule="auto"/>
        <w:ind w:left="0"/>
        <w:rPr>
          <w:rFonts w:cs="Arial"/>
          <w:b/>
        </w:rPr>
      </w:pPr>
      <w:r>
        <w:rPr>
          <w:rFonts w:cs="Arial"/>
          <w:b/>
        </w:rPr>
        <w:lastRenderedPageBreak/>
        <w:t>Overview</w:t>
      </w:r>
    </w:p>
    <w:p w:rsidR="009B1192" w:rsidRDefault="009B1192" w:rsidP="009B1192">
      <w:pPr>
        <w:pStyle w:val="ListParagraph"/>
        <w:spacing w:line="276" w:lineRule="auto"/>
        <w:ind w:left="0"/>
        <w:rPr>
          <w:rFonts w:cs="Arial"/>
          <w:b/>
        </w:rPr>
      </w:pPr>
    </w:p>
    <w:p w:rsidR="000F488C" w:rsidRDefault="003B4F65" w:rsidP="003331F4">
      <w:pPr>
        <w:rPr>
          <w:rFonts w:cs="Arial"/>
        </w:rPr>
      </w:pPr>
      <w:r>
        <w:t>CDC’s</w:t>
      </w:r>
      <w:r w:rsidR="00ED0777" w:rsidRPr="00CC1838">
        <w:t xml:space="preserve"> N</w:t>
      </w:r>
      <w:r w:rsidR="00ED0777">
        <w:t xml:space="preserve">ative </w:t>
      </w:r>
      <w:r w:rsidR="00ED0777" w:rsidRPr="00CC1838">
        <w:t>D</w:t>
      </w:r>
      <w:r w:rsidR="003331F4">
        <w:t xml:space="preserve">iabetes </w:t>
      </w:r>
      <w:r w:rsidR="00ED0777" w:rsidRPr="00CC1838">
        <w:t>W</w:t>
      </w:r>
      <w:r w:rsidR="003331F4">
        <w:t xml:space="preserve">ellness </w:t>
      </w:r>
      <w:r w:rsidR="00ED0777" w:rsidRPr="00CC1838">
        <w:t>P</w:t>
      </w:r>
      <w:r w:rsidR="003331F4">
        <w:t xml:space="preserve">rogram (NDWP) </w:t>
      </w:r>
      <w:r w:rsidR="00ED0777" w:rsidRPr="00CC1838">
        <w:t xml:space="preserve">currently </w:t>
      </w:r>
      <w:r w:rsidR="003331F4">
        <w:t>provides cooperative agreement funding to</w:t>
      </w:r>
      <w:r w:rsidR="000F38B7">
        <w:t xml:space="preserve"> 16</w:t>
      </w:r>
      <w:r w:rsidR="00ED0777" w:rsidRPr="00CC1838">
        <w:t xml:space="preserve"> </w:t>
      </w:r>
      <w:r w:rsidR="003331F4">
        <w:rPr>
          <w:rFonts w:cs="Arial"/>
        </w:rPr>
        <w:t>American Indian/Alaska Native (</w:t>
      </w:r>
      <w:r w:rsidR="00ED0777" w:rsidRPr="00CC1838">
        <w:t>AI/AN</w:t>
      </w:r>
      <w:r w:rsidR="003331F4">
        <w:t>)</w:t>
      </w:r>
      <w:r w:rsidR="00424EFB">
        <w:t xml:space="preserve"> Tribes and Tribal organization</w:t>
      </w:r>
      <w:r w:rsidR="00766BC9">
        <w:t>s.  Funding</w:t>
      </w:r>
      <w:r w:rsidR="003331F4">
        <w:t xml:space="preserve"> support</w:t>
      </w:r>
      <w:r w:rsidR="00766BC9">
        <w:t>s</w:t>
      </w:r>
      <w:r w:rsidR="003331F4">
        <w:t xml:space="preserve"> </w:t>
      </w:r>
      <w:r w:rsidR="00ED0777" w:rsidRPr="00CC1838">
        <w:t xml:space="preserve">activities </w:t>
      </w:r>
      <w:r w:rsidR="000F488C">
        <w:t>related to</w:t>
      </w:r>
      <w:r w:rsidR="003331F4">
        <w:t xml:space="preserve"> </w:t>
      </w:r>
      <w:r w:rsidR="00ED0777" w:rsidRPr="00CC1838">
        <w:t xml:space="preserve">the availability and use of traditional foods or alternative healthy foods, such as community/individual gardens and farmers’ markets; storytelling, media and outreach activities; availability of places, equipment and educational programs that promote physical activity; social support for healthy lifestyles; collaboration with other agencies and programs; policy-level changes in communities; and program outcomes.  </w:t>
      </w:r>
      <w:r w:rsidR="00766BC9">
        <w:t xml:space="preserve">Awardees </w:t>
      </w:r>
      <w:r w:rsidR="00D05708">
        <w:t xml:space="preserve">have </w:t>
      </w:r>
      <w:r w:rsidR="00766BC9">
        <w:t>submit</w:t>
      </w:r>
      <w:r w:rsidR="00D05708">
        <w:t>ted</w:t>
      </w:r>
      <w:r w:rsidR="00766BC9">
        <w:t xml:space="preserve"> semi-annual </w:t>
      </w:r>
      <w:r w:rsidR="00B46B3C">
        <w:rPr>
          <w:rFonts w:cs="Arial"/>
        </w:rPr>
        <w:t xml:space="preserve">Traditional Foods Shared Data Elements (SDE) </w:t>
      </w:r>
      <w:r w:rsidR="000F488C">
        <w:rPr>
          <w:rFonts w:cs="Arial"/>
        </w:rPr>
        <w:t xml:space="preserve">reports </w:t>
      </w:r>
      <w:r w:rsidR="00766BC9">
        <w:rPr>
          <w:rFonts w:cs="Arial"/>
        </w:rPr>
        <w:t>to CDC</w:t>
      </w:r>
      <w:r w:rsidR="00D05708">
        <w:rPr>
          <w:rFonts w:cs="Arial"/>
        </w:rPr>
        <w:t xml:space="preserve"> in the </w:t>
      </w:r>
      <w:proofErr w:type="gramStart"/>
      <w:r w:rsidR="00D05708">
        <w:rPr>
          <w:rFonts w:cs="Arial"/>
        </w:rPr>
        <w:t>Spring</w:t>
      </w:r>
      <w:proofErr w:type="gramEnd"/>
      <w:r w:rsidR="00D05708">
        <w:rPr>
          <w:rFonts w:cs="Arial"/>
        </w:rPr>
        <w:t xml:space="preserve"> and Fall of each year</w:t>
      </w:r>
      <w:r w:rsidR="002D7BD7">
        <w:rPr>
          <w:rFonts w:cs="Arial"/>
        </w:rPr>
        <w:t>.  Information has been</w:t>
      </w:r>
      <w:r w:rsidR="00B46B3C">
        <w:rPr>
          <w:rFonts w:cs="Arial"/>
        </w:rPr>
        <w:t xml:space="preserve"> collected </w:t>
      </w:r>
      <w:r w:rsidR="000F488C">
        <w:rPr>
          <w:rFonts w:cs="Arial"/>
        </w:rPr>
        <w:t>electronically.</w:t>
      </w:r>
    </w:p>
    <w:p w:rsidR="000F488C" w:rsidRDefault="000F488C" w:rsidP="003331F4">
      <w:pPr>
        <w:rPr>
          <w:rFonts w:cs="Arial"/>
        </w:rPr>
      </w:pPr>
    </w:p>
    <w:p w:rsidR="000F38B7" w:rsidRPr="000F38B7" w:rsidRDefault="000F488C" w:rsidP="000F38B7">
      <w:r>
        <w:rPr>
          <w:rFonts w:cs="Arial"/>
        </w:rPr>
        <w:t>CDC’s</w:t>
      </w:r>
      <w:r w:rsidR="00B46B3C">
        <w:rPr>
          <w:rFonts w:cs="Arial"/>
        </w:rPr>
        <w:t xml:space="preserve"> current </w:t>
      </w:r>
      <w:r w:rsidR="009B1192">
        <w:rPr>
          <w:rFonts w:cs="Arial"/>
        </w:rPr>
        <w:t xml:space="preserve">approval </w:t>
      </w:r>
      <w:r w:rsidR="00593563">
        <w:rPr>
          <w:rFonts w:cs="Arial"/>
        </w:rPr>
        <w:t xml:space="preserve">to collect information </w:t>
      </w:r>
      <w:r w:rsidR="009B1192">
        <w:rPr>
          <w:rFonts w:cs="Arial"/>
        </w:rPr>
        <w:t>is scheduled to expire 6/30/2014</w:t>
      </w:r>
      <w:r w:rsidR="0068401C">
        <w:rPr>
          <w:rFonts w:cs="Arial"/>
        </w:rPr>
        <w:t>, however, funded activities will continue through 9/30/2014</w:t>
      </w:r>
      <w:r w:rsidR="009B1192">
        <w:rPr>
          <w:rFonts w:cs="Arial"/>
        </w:rPr>
        <w:t xml:space="preserve">.  </w:t>
      </w:r>
      <w:r>
        <w:rPr>
          <w:rFonts w:cs="Arial"/>
        </w:rPr>
        <w:t>In this Revision, CDC</w:t>
      </w:r>
      <w:r w:rsidR="009B1192">
        <w:rPr>
          <w:rFonts w:cs="Arial"/>
        </w:rPr>
        <w:t xml:space="preserve"> requ</w:t>
      </w:r>
      <w:r>
        <w:rPr>
          <w:rFonts w:cs="Arial"/>
        </w:rPr>
        <w:t>ests</w:t>
      </w:r>
      <w:r w:rsidR="00B46B3C">
        <w:rPr>
          <w:rFonts w:cs="Arial"/>
        </w:rPr>
        <w:t xml:space="preserve"> a </w:t>
      </w:r>
      <w:r w:rsidR="000F38B7">
        <w:rPr>
          <w:rFonts w:cs="Arial"/>
        </w:rPr>
        <w:t>six-month</w:t>
      </w:r>
      <w:r w:rsidR="00B46B3C">
        <w:rPr>
          <w:rFonts w:cs="Arial"/>
        </w:rPr>
        <w:t xml:space="preserve"> extension to </w:t>
      </w:r>
      <w:r w:rsidR="003B4F65">
        <w:rPr>
          <w:rFonts w:cs="Arial"/>
        </w:rPr>
        <w:t>conduct one additional information</w:t>
      </w:r>
      <w:r w:rsidR="0068401C">
        <w:rPr>
          <w:rFonts w:cs="Arial"/>
        </w:rPr>
        <w:t xml:space="preserve"> collection</w:t>
      </w:r>
      <w:r w:rsidR="003B4F65">
        <w:rPr>
          <w:rFonts w:cs="Arial"/>
        </w:rPr>
        <w:t xml:space="preserve"> in</w:t>
      </w:r>
      <w:r w:rsidR="0068401C">
        <w:rPr>
          <w:rFonts w:cs="Arial"/>
        </w:rPr>
        <w:t xml:space="preserve"> </w:t>
      </w:r>
      <w:proofErr w:type="gramStart"/>
      <w:r w:rsidR="0068401C">
        <w:rPr>
          <w:rFonts w:cs="Arial"/>
        </w:rPr>
        <w:t>Fall</w:t>
      </w:r>
      <w:proofErr w:type="gramEnd"/>
      <w:r w:rsidR="0068401C">
        <w:rPr>
          <w:rFonts w:cs="Arial"/>
        </w:rPr>
        <w:t xml:space="preserve"> 2014.  This will allow awardees to report on the activities conducted in the last 5-6 months of their </w:t>
      </w:r>
      <w:r>
        <w:rPr>
          <w:rFonts w:cs="Arial"/>
        </w:rPr>
        <w:t>cooperative agreements</w:t>
      </w:r>
      <w:r w:rsidR="00ED0777">
        <w:rPr>
          <w:rFonts w:cs="Arial"/>
        </w:rPr>
        <w:t>.  Ther</w:t>
      </w:r>
      <w:r>
        <w:rPr>
          <w:rFonts w:cs="Arial"/>
        </w:rPr>
        <w:t xml:space="preserve">e are no changes </w:t>
      </w:r>
      <w:r w:rsidR="00CC1838" w:rsidRPr="00CC1838">
        <w:t xml:space="preserve">to the data collection instrument, data collection methodology, or the estimated burden per response.  </w:t>
      </w:r>
      <w:r w:rsidR="00CC1838" w:rsidRPr="000F38B7">
        <w:t>The only change</w:t>
      </w:r>
      <w:r w:rsidR="000F38B7" w:rsidRPr="000F38B7">
        <w:t xml:space="preserve">s to be implemented in this Revision request include: 1) a reduction in the number of respondents, from 17 </w:t>
      </w:r>
      <w:r w:rsidR="000F38B7">
        <w:t xml:space="preserve">original awardees </w:t>
      </w:r>
      <w:r w:rsidR="000F38B7" w:rsidRPr="000F38B7">
        <w:t>to 16</w:t>
      </w:r>
      <w:r w:rsidR="000F38B7">
        <w:t xml:space="preserve"> current awardees</w:t>
      </w:r>
      <w:r w:rsidR="000F38B7" w:rsidRPr="000F38B7">
        <w:t xml:space="preserve">, 2) a change in the frequency of reporting (only one SDE report will be received during the six-month extension period), and 3) discontinuation of the one-time retrospective data collection that was part of the initial three-year clearance request. </w:t>
      </w:r>
    </w:p>
    <w:p w:rsidR="00CC1838" w:rsidRPr="000F38B7" w:rsidRDefault="00CC1838" w:rsidP="000F38B7">
      <w:r w:rsidRPr="000F38B7">
        <w:t>.</w:t>
      </w:r>
    </w:p>
    <w:p w:rsidR="00CC1838" w:rsidRDefault="00CC1838" w:rsidP="009D3D4A">
      <w:pPr>
        <w:pStyle w:val="TOC2"/>
        <w:tabs>
          <w:tab w:val="left" w:pos="1278"/>
        </w:tabs>
        <w:ind w:left="1350" w:hanging="810"/>
        <w:rPr>
          <w:b/>
        </w:rPr>
      </w:pPr>
    </w:p>
    <w:p w:rsidR="009D3D4A" w:rsidRDefault="00593563" w:rsidP="009D3D4A">
      <w:pPr>
        <w:pStyle w:val="TOC2"/>
        <w:tabs>
          <w:tab w:val="left" w:pos="1278"/>
        </w:tabs>
        <w:ind w:left="1350" w:hanging="810"/>
        <w:rPr>
          <w:szCs w:val="24"/>
        </w:rPr>
      </w:pPr>
      <w:r>
        <w:rPr>
          <w:b/>
        </w:rPr>
        <w:t>A1</w:t>
      </w:r>
      <w:r w:rsidR="008C2ACE" w:rsidRPr="0021407E">
        <w:rPr>
          <w:b/>
        </w:rPr>
        <w:t xml:space="preserve">.  </w:t>
      </w:r>
      <w:r w:rsidR="009D3D4A" w:rsidRPr="009D3D4A">
        <w:rPr>
          <w:b/>
        </w:rPr>
        <w:t>Circumstances Making the Collection of Information Necessary</w:t>
      </w:r>
    </w:p>
    <w:p w:rsidR="008C2ACE" w:rsidRPr="002B04D8" w:rsidRDefault="008C2ACE" w:rsidP="002B04D8">
      <w:pPr>
        <w:autoSpaceDE w:val="0"/>
        <w:autoSpaceDN w:val="0"/>
        <w:adjustRightInd w:val="0"/>
        <w:rPr>
          <w:rFonts w:ascii="Helvetica" w:hAnsi="Helvetica" w:cs="Helvetica"/>
          <w:color w:val="000000"/>
        </w:rPr>
      </w:pPr>
    </w:p>
    <w:p w:rsidR="008C2ACE" w:rsidRDefault="008C2ACE" w:rsidP="002C29ED">
      <w:pPr>
        <w:ind w:left="720"/>
        <w:rPr>
          <w:color w:val="000000"/>
        </w:rPr>
      </w:pPr>
      <w:r w:rsidRPr="002C29ED">
        <w:rPr>
          <w:color w:val="000000"/>
        </w:rPr>
        <w:t>Diabetes is a group of diseases marked by high levels of blood glucose resulting from defects in insulin production, insulin action, or both. Diabetes can lead to serious complications and premature death, but people with diabetes can take steps to control the disease and lower the risk of complications</w:t>
      </w:r>
      <w:r w:rsidR="00B24AF0">
        <w:rPr>
          <w:color w:val="000000"/>
        </w:rPr>
        <w:t>.  These steps include dietary managemen</w:t>
      </w:r>
      <w:r w:rsidR="00C05FC6">
        <w:rPr>
          <w:color w:val="000000"/>
        </w:rPr>
        <w:t>t, increased physical activity (</w:t>
      </w:r>
      <w:r w:rsidR="00B24AF0">
        <w:rPr>
          <w:color w:val="000000"/>
        </w:rPr>
        <w:t>and medication, where indicated</w:t>
      </w:r>
      <w:r w:rsidR="00C05FC6">
        <w:rPr>
          <w:color w:val="000000"/>
        </w:rPr>
        <w:t>)</w:t>
      </w:r>
      <w:r w:rsidR="00B24AF0">
        <w:rPr>
          <w:color w:val="000000"/>
        </w:rPr>
        <w:t xml:space="preserve">.  </w:t>
      </w:r>
      <w:r w:rsidR="00D30BC5">
        <w:rPr>
          <w:color w:val="000000"/>
        </w:rPr>
        <w:t>The</w:t>
      </w:r>
      <w:r w:rsidR="00B24AF0">
        <w:rPr>
          <w:color w:val="000000"/>
        </w:rPr>
        <w:t xml:space="preserve"> interventions are directly related the area of </w:t>
      </w:r>
      <w:r w:rsidR="00B24AF0">
        <w:t>“n</w:t>
      </w:r>
      <w:r w:rsidR="00B24AF0" w:rsidRPr="006B3321">
        <w:t>utrition, physical activity, obesity and food safety</w:t>
      </w:r>
      <w:r w:rsidR="00B24AF0">
        <w:t>,” which</w:t>
      </w:r>
      <w:r w:rsidR="00B24AF0">
        <w:rPr>
          <w:color w:val="000000"/>
        </w:rPr>
        <w:t xml:space="preserve"> CDC describes </w:t>
      </w:r>
      <w:r w:rsidR="00B24AF0">
        <w:t>as one of the “Six Winnable Battles” in public health.</w:t>
      </w:r>
    </w:p>
    <w:p w:rsidR="008C2ACE" w:rsidRDefault="008C2ACE" w:rsidP="00D30BC5"/>
    <w:p w:rsidR="008C2ACE" w:rsidRDefault="008C2ACE" w:rsidP="006B6BE7">
      <w:pPr>
        <w:ind w:left="720"/>
      </w:pPr>
      <w:r>
        <w:t>Type 2 Diabetes was rare among American Indians until the 1950s.  Since that time, diabetes has become one of the most common and serious illnesses among American Indians and Alaska Natives (AI/AN).  In 2002, the age-adjusted prevalence of diabetes was 15.3 percent among AI/</w:t>
      </w:r>
      <w:proofErr w:type="gramStart"/>
      <w:r>
        <w:t>AN adults</w:t>
      </w:r>
      <w:proofErr w:type="gramEnd"/>
      <w:r>
        <w:t>, in contrast to 7.3 percent for the overall U.S. population.  Alarmingly, the prevalence of diabetes is increasing among younger AI/</w:t>
      </w:r>
      <w:proofErr w:type="spellStart"/>
      <w:r>
        <w:t>ANs.</w:t>
      </w:r>
      <w:proofErr w:type="spellEnd"/>
      <w:r>
        <w:t xml:space="preserve">  From 1994 to 2004, the age-adjusted prevalence of diagnosed diabetes doubled (from 8.5 to 17.1 per 1,000 </w:t>
      </w:r>
      <w:proofErr w:type="gramStart"/>
      <w:r>
        <w:t>population</w:t>
      </w:r>
      <w:proofErr w:type="gramEnd"/>
      <w:r>
        <w:t>) among AI/ANs less than 35 years of age who used Indian Health Service healthcare services.</w:t>
      </w:r>
    </w:p>
    <w:p w:rsidR="008C2ACE" w:rsidRDefault="008C2ACE" w:rsidP="002C29ED"/>
    <w:p w:rsidR="007A2CF1" w:rsidRDefault="008C2ACE" w:rsidP="0029585F">
      <w:pPr>
        <w:ind w:left="720"/>
      </w:pPr>
      <w:r>
        <w:t>The explanations for high rates of diabetes among AI/ANs are not limited to recent societal trends and individual lifestyle choices</w:t>
      </w:r>
      <w:r w:rsidR="00F77485">
        <w:t xml:space="preserve"> –</w:t>
      </w:r>
      <w:r w:rsidR="00896EF1">
        <w:t xml:space="preserve"> t</w:t>
      </w:r>
      <w:r>
        <w:t xml:space="preserve">hey are rooted in historical legacies of forced dispossession of lands, cultures, and languages.  Understanding and </w:t>
      </w:r>
      <w:r>
        <w:lastRenderedPageBreak/>
        <w:t xml:space="preserve">acknowledging the complex array of </w:t>
      </w:r>
      <w:r w:rsidR="00896EF1">
        <w:t xml:space="preserve">environmental </w:t>
      </w:r>
      <w:r>
        <w:t>factors involved in diabetes causation and care are important steps in addressing this phenomenon</w:t>
      </w:r>
      <w:r w:rsidR="007A2CF1">
        <w:t>.  For example, many AI/</w:t>
      </w:r>
      <w:proofErr w:type="gramStart"/>
      <w:r w:rsidR="007A2CF1">
        <w:t>AN</w:t>
      </w:r>
      <w:proofErr w:type="gramEnd"/>
      <w:r w:rsidR="007A2CF1">
        <w:t xml:space="preserve"> communities describe environments of food insecurity and lack of access to healthy food choices.  One reservation </w:t>
      </w:r>
      <w:r w:rsidR="00F77485">
        <w:t>–</w:t>
      </w:r>
      <w:r w:rsidR="007A2CF1">
        <w:t xml:space="preserve"> the size of Connecticut – has only one grocery store.</w:t>
      </w:r>
    </w:p>
    <w:p w:rsidR="007A2CF1" w:rsidRDefault="007A2CF1" w:rsidP="0029585F">
      <w:pPr>
        <w:ind w:left="720"/>
      </w:pPr>
    </w:p>
    <w:p w:rsidR="008C2ACE" w:rsidRDefault="007A2CF1" w:rsidP="00622748">
      <w:pPr>
        <w:ind w:left="720"/>
      </w:pPr>
      <w:r>
        <w:t>P</w:t>
      </w:r>
      <w:r w:rsidR="008C2ACE">
        <w:t xml:space="preserve">ublic health approaches that </w:t>
      </w:r>
      <w:r w:rsidR="0034714B">
        <w:t>support</w:t>
      </w:r>
      <w:r>
        <w:t xml:space="preserve"> healthy environments</w:t>
      </w:r>
      <w:r w:rsidR="003D3275">
        <w:t>, by incorporating traditional knowledge and establishing healthy community policies,</w:t>
      </w:r>
      <w:r>
        <w:t xml:space="preserve"> </w:t>
      </w:r>
      <w:r w:rsidR="005F502D">
        <w:t>are needed to</w:t>
      </w:r>
      <w:r w:rsidR="0034714B">
        <w:t xml:space="preserve"> help prevent diabetes</w:t>
      </w:r>
      <w:r w:rsidR="00622748">
        <w:t>,</w:t>
      </w:r>
      <w:r w:rsidR="0034714B">
        <w:t xml:space="preserve"> and </w:t>
      </w:r>
      <w:r w:rsidR="005F502D">
        <w:t xml:space="preserve">may also </w:t>
      </w:r>
      <w:r w:rsidR="0034714B">
        <w:t xml:space="preserve">promote health in physical, mental, spiritual, and emotional dimensions.  </w:t>
      </w:r>
      <w:r w:rsidR="008C2ACE">
        <w:t>In 2008, the CDC’s Native Diabetes Wellness Program</w:t>
      </w:r>
      <w:r w:rsidR="0003015B">
        <w:t xml:space="preserve"> (NDWP)</w:t>
      </w:r>
      <w:r w:rsidR="008C2ACE">
        <w:t>, in consultation with American Indian/Alaska Native tribal elders, issued a cooperative agreement entitled, “</w:t>
      </w:r>
      <w:r w:rsidR="008C2ACE" w:rsidRPr="00C23E0D">
        <w:rPr>
          <w:i/>
        </w:rPr>
        <w:t>Using Traditional Foods and Sustainable Ecological Approaches for Health Promotion and Diabetes Prevention in American Indian/Alaska Native Communities</w:t>
      </w:r>
      <w:r w:rsidR="008C2ACE">
        <w:t>.”  The “Traditional Foods” program seeks to build on what is</w:t>
      </w:r>
      <w:r w:rsidR="00EB47FE">
        <w:t xml:space="preserve"> known about traditional ways in order to</w:t>
      </w:r>
      <w:r w:rsidR="008C2ACE">
        <w:t xml:space="preserve"> inform culturally relevant</w:t>
      </w:r>
      <w:r w:rsidR="00EB47FE">
        <w:t>,</w:t>
      </w:r>
      <w:r w:rsidR="008C2ACE">
        <w:t xml:space="preserve"> contemporary approaches to diabetes prevention.  Importantly, the cooperative agreement was structured to reflect the advice of Tribal elders, who urged the Native Diabetes Wellness Program leadership to “</w:t>
      </w:r>
      <w:r w:rsidR="008C2ACE" w:rsidRPr="00C23E0D">
        <w:t>give us a chance to put into place old practices that we know will work</w:t>
      </w:r>
      <w:r w:rsidR="008C2ACE">
        <w:t>,” versus being directed to implement practices that were formulated outside the cultural context of American Indian/Alaska Native communities.</w:t>
      </w:r>
      <w:r w:rsidR="00B54F26">
        <w:t xml:space="preserve">  </w:t>
      </w:r>
    </w:p>
    <w:p w:rsidR="00293ECD" w:rsidRDefault="00293ECD" w:rsidP="004D5A06">
      <w:pPr>
        <w:ind w:left="720"/>
      </w:pPr>
    </w:p>
    <w:p w:rsidR="008C2ACE" w:rsidRDefault="008C2ACE" w:rsidP="00CC456A">
      <w:pPr>
        <w:ind w:left="720"/>
      </w:pPr>
      <w:r>
        <w:t>The resulting cooperative agreements thus represent a highly interactive and participatory way of working</w:t>
      </w:r>
      <w:r w:rsidR="00B54F26">
        <w:t xml:space="preserve"> with </w:t>
      </w:r>
      <w:r w:rsidR="003D3275">
        <w:t>Tribe</w:t>
      </w:r>
      <w:r w:rsidR="00B54F26">
        <w:t>s</w:t>
      </w:r>
      <w:r w:rsidR="003D3275">
        <w:t xml:space="preserve"> and tribal organizations</w:t>
      </w:r>
      <w:r w:rsidR="00293ECD">
        <w:t xml:space="preserve"> (see </w:t>
      </w:r>
      <w:r w:rsidR="00293ECD" w:rsidRPr="00B54F26">
        <w:rPr>
          <w:b/>
        </w:rPr>
        <w:t>Attachment 3</w:t>
      </w:r>
      <w:r w:rsidR="00293ECD">
        <w:rPr>
          <w:b/>
        </w:rPr>
        <w:t xml:space="preserve"> </w:t>
      </w:r>
      <w:r w:rsidR="00293ECD">
        <w:t xml:space="preserve">for a list of current </w:t>
      </w:r>
      <w:r w:rsidR="00BE5D21">
        <w:t>awardees</w:t>
      </w:r>
      <w:r w:rsidR="00293ECD">
        <w:t xml:space="preserve">).  </w:t>
      </w:r>
      <w:r w:rsidR="00BE5D21">
        <w:t>Awardees</w:t>
      </w:r>
      <w:r>
        <w:t xml:space="preserve"> have used </w:t>
      </w:r>
      <w:r w:rsidR="00293ECD">
        <w:t>Traditional Foods</w:t>
      </w:r>
      <w:r>
        <w:t xml:space="preserve"> funding to su</w:t>
      </w:r>
      <w:r w:rsidR="003D3275">
        <w:t>stain and re-energize</w:t>
      </w:r>
      <w:r>
        <w:t xml:space="preserve"> a variety of community-specific approaches to diabetes prevention and control, reflecting the heterogeneity of American Indian/Alaska Native communities and the diverse geographic influences that shape each culture.  In consultation with CDC’s Native Diabetes Wellness Program, Tribes are encouraged to continually evaluate their project progress and barriers, encouraged to adapt locally-deemed “most promising” approaches in exchange for </w:t>
      </w:r>
      <w:r w:rsidR="00483B12">
        <w:t>non-culturally appropriate approaches</w:t>
      </w:r>
      <w:r>
        <w:t>, and to make budgetary modifications accordingly.</w:t>
      </w:r>
      <w:r w:rsidRPr="004D5A06">
        <w:t xml:space="preserve"> </w:t>
      </w:r>
      <w:r>
        <w:t xml:space="preserve"> As a condi</w:t>
      </w:r>
      <w:r w:rsidR="002A32FD">
        <w:t>tion of award, each Tribal award</w:t>
      </w:r>
      <w:r>
        <w:t>ee allocates at least 10% of its budget to community-level data collection that can be analyzed for project</w:t>
      </w:r>
      <w:r w:rsidR="003207EE">
        <w:t xml:space="preserve"> </w:t>
      </w:r>
      <w:r>
        <w:t xml:space="preserve">improvement.  </w:t>
      </w:r>
    </w:p>
    <w:p w:rsidR="008C2ACE" w:rsidRDefault="008C2ACE" w:rsidP="00706C66">
      <w:pPr>
        <w:ind w:left="720"/>
      </w:pPr>
    </w:p>
    <w:p w:rsidR="008C2ACE" w:rsidRDefault="00286C45" w:rsidP="00706C66">
      <w:pPr>
        <w:ind w:left="720"/>
      </w:pPr>
      <w:r>
        <w:t xml:space="preserve">As part of the annual </w:t>
      </w:r>
      <w:r w:rsidR="00FD0869">
        <w:t>continuation application</w:t>
      </w:r>
      <w:r>
        <w:t xml:space="preserve"> for cooperative agreement funding</w:t>
      </w:r>
      <w:r w:rsidR="00FD0869">
        <w:t xml:space="preserve">, </w:t>
      </w:r>
      <w:r w:rsidR="00BE5D21">
        <w:t>awardees</w:t>
      </w:r>
      <w:r w:rsidR="00BE2E4F">
        <w:t xml:space="preserve"> describe </w:t>
      </w:r>
      <w:r w:rsidR="00FD0869">
        <w:t>their</w:t>
      </w:r>
      <w:r w:rsidR="00BE2E4F">
        <w:t xml:space="preserve"> activities to CDC in narrative form.  </w:t>
      </w:r>
      <w:r w:rsidR="00CC456A">
        <w:t xml:space="preserve">The </w:t>
      </w:r>
      <w:r w:rsidR="00FD0869">
        <w:t>narratives</w:t>
      </w:r>
      <w:r w:rsidR="00462A99">
        <w:t xml:space="preserve"> </w:t>
      </w:r>
      <w:r w:rsidR="00FD0869">
        <w:t>provide insight into</w:t>
      </w:r>
      <w:r w:rsidR="00462A99">
        <w:t xml:space="preserve"> a diverse</w:t>
      </w:r>
      <w:r w:rsidR="008C2ACE">
        <w:t xml:space="preserve"> array of Traditional Foods program activities, such as the production and/or dissemination of culturally appropriate stories; cultivation of community gardens; and efforts to enhance or re-introduce indigenous foods and practices specific to the landscape, history, and culture of the people.  However, the </w:t>
      </w:r>
      <w:r w:rsidR="006157B6">
        <w:t>narratives</w:t>
      </w:r>
      <w:r w:rsidR="008C2ACE">
        <w:t xml:space="preserve"> do not allow CDC to </w:t>
      </w:r>
      <w:r w:rsidR="006157B6">
        <w:t>compile statistical summaries of</w:t>
      </w:r>
      <w:r w:rsidR="008C2ACE">
        <w:t xml:space="preserve"> </w:t>
      </w:r>
      <w:r w:rsidR="002A32FD">
        <w:t>awardee</w:t>
      </w:r>
      <w:r w:rsidR="008C2ACE">
        <w:t xml:space="preserve"> activities by type</w:t>
      </w:r>
      <w:r w:rsidR="003D3275">
        <w:t xml:space="preserve"> or ou</w:t>
      </w:r>
      <w:r w:rsidR="006157B6">
        <w:t>t</w:t>
      </w:r>
      <w:r w:rsidR="003D3275">
        <w:t>come</w:t>
      </w:r>
      <w:r w:rsidR="007A7C1D">
        <w:t>.</w:t>
      </w:r>
      <w:r w:rsidR="008C2ACE">
        <w:t xml:space="preserve"> </w:t>
      </w:r>
      <w:r w:rsidR="007A7C1D">
        <w:t>This</w:t>
      </w:r>
      <w:r w:rsidR="008C2ACE">
        <w:t xml:space="preserve"> limit</w:t>
      </w:r>
      <w:r w:rsidR="007A7C1D">
        <w:t>s</w:t>
      </w:r>
      <w:r w:rsidR="008C2ACE">
        <w:t xml:space="preserve"> CDC’s capacity to </w:t>
      </w:r>
      <w:r w:rsidR="007A7C1D">
        <w:t>portray</w:t>
      </w:r>
      <w:r w:rsidR="008C2ACE">
        <w:t xml:space="preserve"> an </w:t>
      </w:r>
      <w:r w:rsidR="007A7C1D">
        <w:t>aggregate summary</w:t>
      </w:r>
      <w:r w:rsidR="008C2ACE">
        <w:t xml:space="preserve"> of the Traditional Foods program and to share successful community-based approaches to </w:t>
      </w:r>
      <w:r w:rsidR="00AE1B5B">
        <w:t xml:space="preserve">type 2 </w:t>
      </w:r>
      <w:r w:rsidR="008C2ACE">
        <w:t>diabetes</w:t>
      </w:r>
      <w:r w:rsidR="00AE1B5B">
        <w:t xml:space="preserve"> prevention</w:t>
      </w:r>
      <w:r w:rsidR="008C2ACE">
        <w:t xml:space="preserve"> with other communities, including other AI/</w:t>
      </w:r>
      <w:proofErr w:type="gramStart"/>
      <w:r w:rsidR="008C2ACE">
        <w:t>AN</w:t>
      </w:r>
      <w:proofErr w:type="gramEnd"/>
      <w:r w:rsidR="008C2ACE">
        <w:t xml:space="preserve"> communities</w:t>
      </w:r>
      <w:r w:rsidR="001439D9">
        <w:t xml:space="preserve"> that are</w:t>
      </w:r>
      <w:r w:rsidR="00B22F09">
        <w:t xml:space="preserve"> not</w:t>
      </w:r>
      <w:r w:rsidR="001439D9">
        <w:t xml:space="preserve"> currently funded</w:t>
      </w:r>
      <w:r w:rsidR="00B22F09">
        <w:t xml:space="preserve"> through the Traditional Foods initiative</w:t>
      </w:r>
      <w:r w:rsidR="008C2ACE">
        <w:t>.</w:t>
      </w:r>
    </w:p>
    <w:p w:rsidR="008C2ACE" w:rsidRDefault="008C2ACE" w:rsidP="00706C66">
      <w:pPr>
        <w:ind w:left="720"/>
      </w:pPr>
    </w:p>
    <w:p w:rsidR="00001F78" w:rsidRDefault="004B3C73" w:rsidP="00EE4788">
      <w:pPr>
        <w:ind w:left="720"/>
      </w:pPr>
      <w:r>
        <w:rPr>
          <w:rFonts w:cs="Arial"/>
        </w:rPr>
        <w:lastRenderedPageBreak/>
        <w:t xml:space="preserve">In 2011, CDC obtained OMB approval to collect Shared Data Elements (SDE) reports from awardees twice per year.  CDC also obtained OMB approval for a one-time retrospective data collection of SDE.  The SDE reports are submitted to CDC electronically using Survey Monkey.  CDC’s current approval to collect information is scheduled to expire 6/30/2014, however, funded activities will continue through 9/30/2014.  In this Revision, CDC requests a six-month extension to conduct one additional information collection in </w:t>
      </w:r>
      <w:proofErr w:type="gramStart"/>
      <w:r>
        <w:rPr>
          <w:rFonts w:cs="Arial"/>
        </w:rPr>
        <w:t>Fall</w:t>
      </w:r>
      <w:proofErr w:type="gramEnd"/>
      <w:r>
        <w:rPr>
          <w:rFonts w:cs="Arial"/>
        </w:rPr>
        <w:t xml:space="preserve"> 2014.  This will allow awardees to report on the activities conducted in the last 5-6 months of their cooperative agreements.  There are no changes </w:t>
      </w:r>
      <w:r w:rsidRPr="00CC1838">
        <w:t xml:space="preserve">to the data collection instrument, data collection methodology, or the estimated burden per response.  </w:t>
      </w:r>
      <w:r w:rsidRPr="000F38B7">
        <w:t xml:space="preserve">The only changes to be implemented in this Revision request include: 1) a reduction in the number of respondents, from 17 </w:t>
      </w:r>
      <w:r>
        <w:t xml:space="preserve">original awardees </w:t>
      </w:r>
      <w:r w:rsidRPr="000F38B7">
        <w:t>to 16</w:t>
      </w:r>
      <w:r>
        <w:t xml:space="preserve"> current awardees</w:t>
      </w:r>
      <w:r w:rsidRPr="000F38B7">
        <w:t xml:space="preserve">, 2) a change in the frequency of reporting (only one SDE report will be received during the six-month extension period), and 3) discontinuation of the one-time retrospective data collection that was part of the initial three-year clearance request. </w:t>
      </w:r>
    </w:p>
    <w:p w:rsidR="00001F78" w:rsidRDefault="00001F78" w:rsidP="00706C66">
      <w:pPr>
        <w:ind w:left="720"/>
      </w:pPr>
    </w:p>
    <w:p w:rsidR="008C2ACE" w:rsidRDefault="00EE4788" w:rsidP="00706C66">
      <w:pPr>
        <w:ind w:left="720"/>
      </w:pPr>
      <w:r>
        <w:t>CDC is authorized to conduct this activity under the Public Health Service Act (</w:t>
      </w:r>
      <w:r w:rsidRPr="004F7FCA">
        <w:rPr>
          <w:b/>
        </w:rPr>
        <w:t>Attachment 1</w:t>
      </w:r>
      <w:r>
        <w:t xml:space="preserve">).  </w:t>
      </w:r>
      <w:r w:rsidR="00880674">
        <w:t xml:space="preserve">The </w:t>
      </w:r>
      <w:r w:rsidR="009849B1">
        <w:t xml:space="preserve">Traditional Foods </w:t>
      </w:r>
      <w:r w:rsidR="00880674">
        <w:t xml:space="preserve">SDE data collection form is provided as </w:t>
      </w:r>
      <w:r w:rsidR="00880674" w:rsidRPr="008C5A3E">
        <w:rPr>
          <w:b/>
        </w:rPr>
        <w:t>Attachment 4</w:t>
      </w:r>
      <w:r w:rsidR="001439D9">
        <w:rPr>
          <w:b/>
        </w:rPr>
        <w:t>a</w:t>
      </w:r>
      <w:r w:rsidR="00880674">
        <w:t xml:space="preserve">.  </w:t>
      </w:r>
      <w:r w:rsidR="008C2ACE">
        <w:t>This is a new information collection request.</w:t>
      </w:r>
      <w:r w:rsidR="008C5A3E">
        <w:t xml:space="preserve">  </w:t>
      </w:r>
    </w:p>
    <w:p w:rsidR="008C2ACE" w:rsidRDefault="008C2ACE" w:rsidP="00706C66">
      <w:pPr>
        <w:ind w:left="720"/>
      </w:pPr>
    </w:p>
    <w:p w:rsidR="008C2ACE" w:rsidRPr="002A7410" w:rsidRDefault="008C2ACE" w:rsidP="00706C66">
      <w:pPr>
        <w:ind w:left="720"/>
        <w:rPr>
          <w:b/>
        </w:rPr>
      </w:pPr>
      <w:r w:rsidRPr="002A7410">
        <w:rPr>
          <w:b/>
        </w:rPr>
        <w:t>Privacy Impact Assessment</w:t>
      </w:r>
    </w:p>
    <w:p w:rsidR="008C2ACE" w:rsidRDefault="008C2ACE" w:rsidP="00706C66">
      <w:pPr>
        <w:ind w:left="720"/>
      </w:pPr>
    </w:p>
    <w:p w:rsidR="008C2ACE" w:rsidRPr="00EA4978" w:rsidRDefault="008C2ACE" w:rsidP="00706C66">
      <w:pPr>
        <w:ind w:left="720"/>
        <w:rPr>
          <w:u w:val="single"/>
        </w:rPr>
      </w:pPr>
      <w:r w:rsidRPr="00EA4978">
        <w:rPr>
          <w:u w:val="single"/>
        </w:rPr>
        <w:t>Overview of the Information Collection System</w:t>
      </w:r>
    </w:p>
    <w:p w:rsidR="008C2ACE" w:rsidRDefault="008C2ACE" w:rsidP="00706C66">
      <w:pPr>
        <w:ind w:left="720"/>
      </w:pPr>
    </w:p>
    <w:p w:rsidR="008C2ACE" w:rsidRDefault="008C2ACE" w:rsidP="0084732A">
      <w:pPr>
        <w:ind w:left="720"/>
      </w:pPr>
      <w:r>
        <w:t xml:space="preserve">Information will be collected </w:t>
      </w:r>
      <w:r w:rsidR="004B3C73">
        <w:t xml:space="preserve">once </w:t>
      </w:r>
      <w:r w:rsidR="000124CE">
        <w:t xml:space="preserve">during the </w:t>
      </w:r>
      <w:r w:rsidR="004B3C73">
        <w:t>six-month</w:t>
      </w:r>
      <w:r w:rsidR="000124CE">
        <w:t xml:space="preserve"> project extension,</w:t>
      </w:r>
      <w:r>
        <w:t xml:space="preserve"> using Survey Monkey, a </w:t>
      </w:r>
      <w:r w:rsidR="004B3C73">
        <w:t>W</w:t>
      </w:r>
      <w:r>
        <w:t xml:space="preserve">eb-based user interface. Because </w:t>
      </w:r>
      <w:r w:rsidR="00BE5D21">
        <w:t>awardees</w:t>
      </w:r>
      <w:r>
        <w:t xml:space="preserve"> already collect local data for their project impr</w:t>
      </w:r>
      <w:r w:rsidR="001439D9">
        <w:t>ovement efforts, summariz</w:t>
      </w:r>
      <w:r w:rsidR="0061018C">
        <w:t xml:space="preserve">ing </w:t>
      </w:r>
      <w:r w:rsidR="00C33C1E">
        <w:t>local</w:t>
      </w:r>
      <w:r w:rsidR="00B22F09">
        <w:t xml:space="preserve"> </w:t>
      </w:r>
      <w:r w:rsidR="00734968">
        <w:t xml:space="preserve">data </w:t>
      </w:r>
      <w:r w:rsidR="00B22F09">
        <w:t>in</w:t>
      </w:r>
      <w:r>
        <w:t xml:space="preserve"> the Shared Data Elements format will result in minimal additional burden to respondents.</w:t>
      </w:r>
      <w:r w:rsidRPr="0084732A">
        <w:t xml:space="preserve"> </w:t>
      </w:r>
      <w:r w:rsidRPr="00DF12B8">
        <w:t xml:space="preserve">To </w:t>
      </w:r>
      <w:r>
        <w:t>further minimize burden</w:t>
      </w:r>
      <w:r w:rsidRPr="00DF12B8">
        <w:t xml:space="preserve">, the survey </w:t>
      </w:r>
      <w:r w:rsidR="000124CE">
        <w:t>has been</w:t>
      </w:r>
      <w:r w:rsidRPr="00DF12B8">
        <w:t xml:space="preserve"> programmed with skip patterns to route the respondent only to the most relevant questions.</w:t>
      </w:r>
      <w:r w:rsidR="00145BC4">
        <w:t xml:space="preserve">  </w:t>
      </w:r>
    </w:p>
    <w:p w:rsidR="008C2ACE" w:rsidRDefault="008C2ACE" w:rsidP="00706C66">
      <w:pPr>
        <w:ind w:left="720"/>
      </w:pPr>
    </w:p>
    <w:p w:rsidR="008C2ACE" w:rsidRPr="00EA4978" w:rsidRDefault="008C2ACE" w:rsidP="00706C66">
      <w:pPr>
        <w:ind w:left="720"/>
        <w:rPr>
          <w:u w:val="single"/>
        </w:rPr>
      </w:pPr>
      <w:r w:rsidRPr="00EA4978">
        <w:rPr>
          <w:u w:val="single"/>
        </w:rPr>
        <w:t xml:space="preserve">Items of Information to be </w:t>
      </w:r>
      <w:proofErr w:type="gramStart"/>
      <w:r w:rsidRPr="00EA4978">
        <w:rPr>
          <w:u w:val="single"/>
        </w:rPr>
        <w:t>Collected</w:t>
      </w:r>
      <w:proofErr w:type="gramEnd"/>
      <w:r w:rsidRPr="00EA4978">
        <w:rPr>
          <w:u w:val="single"/>
        </w:rPr>
        <w:t xml:space="preserve">  </w:t>
      </w:r>
    </w:p>
    <w:p w:rsidR="008C2ACE" w:rsidRDefault="008C2ACE" w:rsidP="005F431B">
      <w:pPr>
        <w:rPr>
          <w:i/>
        </w:rPr>
      </w:pPr>
    </w:p>
    <w:p w:rsidR="008C2ACE" w:rsidRDefault="008C2ACE" w:rsidP="0084732A">
      <w:pPr>
        <w:ind w:left="720"/>
      </w:pPr>
      <w:r>
        <w:t>The Shared Data Elements are based on a construct that employs three domains: Traditional Local Healthy Foods, Physical Activity, and Social Support for Healthy Lifestyle Change and Maintenance. Information will be collected about activities that support the availability and use of traditional foods or alternative healthy foods, such as community/individual gardens and farmers’ markets; storytelling, media and outreach activities; availability of places, equipment and educational programs that promote physical activity; social support for healthy lifestyles; collaboration with other agencies and programs; policy-level changes in communities; and program outcomes.</w:t>
      </w:r>
    </w:p>
    <w:p w:rsidR="008C2ACE" w:rsidRDefault="008C2ACE" w:rsidP="0084732A">
      <w:pPr>
        <w:ind w:left="720"/>
      </w:pPr>
    </w:p>
    <w:p w:rsidR="008C2ACE" w:rsidRPr="00DF12B8" w:rsidRDefault="008C2ACE" w:rsidP="0084732A">
      <w:pPr>
        <w:ind w:left="720"/>
      </w:pPr>
      <w:r w:rsidRPr="00DF12B8">
        <w:t>No individually identifiable</w:t>
      </w:r>
      <w:r w:rsidR="00C33C1E">
        <w:t xml:space="preserve"> personal</w:t>
      </w:r>
      <w:r w:rsidR="00B22F09">
        <w:t xml:space="preserve"> information will be</w:t>
      </w:r>
      <w:r w:rsidRPr="00DF12B8">
        <w:t xml:space="preserve"> collected. </w:t>
      </w:r>
      <w:bookmarkStart w:id="1" w:name="OLE_LINK5"/>
      <w:bookmarkStart w:id="2" w:name="OLE_LINK6"/>
      <w:r>
        <w:t xml:space="preserve">The </w:t>
      </w:r>
      <w:r w:rsidRPr="00DF12B8">
        <w:t xml:space="preserve">Survey Monkey </w:t>
      </w:r>
      <w:r>
        <w:t>system has the capability of collecting computer</w:t>
      </w:r>
      <w:r w:rsidRPr="00DF12B8">
        <w:t xml:space="preserve"> </w:t>
      </w:r>
      <w:r>
        <w:t>“</w:t>
      </w:r>
      <w:r w:rsidRPr="00DF12B8">
        <w:t>cookies</w:t>
      </w:r>
      <w:r>
        <w:t>,”</w:t>
      </w:r>
      <w:r w:rsidRPr="00DF12B8">
        <w:t xml:space="preserve"> however, </w:t>
      </w:r>
      <w:r>
        <w:t>this function will be de-selected for this data collection</w:t>
      </w:r>
      <w:r w:rsidRPr="00DF12B8">
        <w:t xml:space="preserve">. </w:t>
      </w:r>
      <w:bookmarkEnd w:id="1"/>
      <w:bookmarkEnd w:id="2"/>
      <w:r w:rsidRPr="00DF12B8">
        <w:t>The</w:t>
      </w:r>
      <w:r>
        <w:t xml:space="preserve"> Survey Monkey</w:t>
      </w:r>
      <w:r w:rsidRPr="00DF12B8">
        <w:t xml:space="preserve"> </w:t>
      </w:r>
      <w:r>
        <w:t>privacy policy is posted on the w</w:t>
      </w:r>
      <w:r w:rsidRPr="00DF12B8">
        <w:t>ebsite.</w:t>
      </w:r>
    </w:p>
    <w:p w:rsidR="008C2ACE" w:rsidRPr="00DF12B8" w:rsidRDefault="008C2ACE" w:rsidP="0084732A">
      <w:pPr>
        <w:ind w:firstLine="720"/>
      </w:pPr>
    </w:p>
    <w:p w:rsidR="008C2ACE" w:rsidRPr="00EA4978" w:rsidRDefault="008C2ACE" w:rsidP="0084732A">
      <w:pPr>
        <w:ind w:left="720"/>
        <w:rPr>
          <w:rFonts w:cs="Arial"/>
          <w:u w:val="single"/>
        </w:rPr>
      </w:pPr>
      <w:r w:rsidRPr="00EA4978">
        <w:rPr>
          <w:rFonts w:cs="Arial"/>
          <w:u w:val="single"/>
        </w:rPr>
        <w:lastRenderedPageBreak/>
        <w:t>Identification of Website(s) and Website Content Directed at Children Under 13 Years of Age</w:t>
      </w:r>
    </w:p>
    <w:p w:rsidR="008C2ACE" w:rsidRPr="00DF12B8" w:rsidRDefault="008C2ACE" w:rsidP="0084732A">
      <w:pPr>
        <w:ind w:left="720"/>
        <w:rPr>
          <w:rFonts w:cs="Arial"/>
          <w:u w:val="single"/>
        </w:rPr>
      </w:pPr>
    </w:p>
    <w:p w:rsidR="008C2ACE" w:rsidRPr="00DF12B8" w:rsidRDefault="008C2ACE" w:rsidP="0084732A">
      <w:pPr>
        <w:ind w:left="720"/>
        <w:rPr>
          <w:rFonts w:cs="Arial"/>
          <w:u w:val="single"/>
        </w:rPr>
      </w:pPr>
      <w:r w:rsidRPr="00DF12B8">
        <w:t xml:space="preserve">The Survey Monkey Web site does not have any content directed at children </w:t>
      </w:r>
      <w:proofErr w:type="gramStart"/>
      <w:r w:rsidRPr="00DF12B8">
        <w:t>under</w:t>
      </w:r>
      <w:proofErr w:type="gramEnd"/>
      <w:r w:rsidRPr="00DF12B8">
        <w:t xml:space="preserve"> 13 years of age. </w:t>
      </w:r>
      <w:r>
        <w:t xml:space="preserve"> The web site for this data collection will only be available to</w:t>
      </w:r>
      <w:r w:rsidRPr="00DF12B8">
        <w:t xml:space="preserve"> </w:t>
      </w:r>
      <w:r>
        <w:t xml:space="preserve">Traditional Foods </w:t>
      </w:r>
      <w:r w:rsidR="00BE5D21">
        <w:t>awardees</w:t>
      </w:r>
      <w:r w:rsidRPr="00DF12B8">
        <w:t xml:space="preserve">.  </w:t>
      </w:r>
    </w:p>
    <w:p w:rsidR="008C2ACE" w:rsidRPr="00DF12B8" w:rsidRDefault="008C2ACE" w:rsidP="00C33C1E"/>
    <w:p w:rsidR="008C2ACE" w:rsidRDefault="00593563" w:rsidP="00C325A8">
      <w:pPr>
        <w:rPr>
          <w:b/>
        </w:rPr>
      </w:pPr>
      <w:r>
        <w:rPr>
          <w:b/>
        </w:rPr>
        <w:t>A2</w:t>
      </w:r>
      <w:r w:rsidR="008C2ACE" w:rsidRPr="0021407E">
        <w:rPr>
          <w:b/>
        </w:rPr>
        <w:t>.  Purpose and Use of Collected Information</w:t>
      </w:r>
    </w:p>
    <w:p w:rsidR="008C2ACE" w:rsidRPr="0021407E" w:rsidRDefault="008C2ACE" w:rsidP="0029585F">
      <w:pPr>
        <w:ind w:left="720"/>
        <w:rPr>
          <w:b/>
        </w:rPr>
      </w:pPr>
    </w:p>
    <w:p w:rsidR="001439D9" w:rsidRDefault="001439D9" w:rsidP="00E60339">
      <w:pPr>
        <w:ind w:left="720"/>
      </w:pPr>
      <w:r>
        <w:t>The overall goals of the Traditional Foods program are to:</w:t>
      </w:r>
    </w:p>
    <w:p w:rsidR="001439D9" w:rsidRDefault="001439D9" w:rsidP="001439D9">
      <w:pPr>
        <w:numPr>
          <w:ilvl w:val="0"/>
          <w:numId w:val="8"/>
        </w:numPr>
      </w:pPr>
      <w:r>
        <w:t>Support traditionally-oriented, sustainable, evaluable ecological approaches to diabetes prevention, focusing on community efforts to reclaim traditional foods and physical activity in their communities;</w:t>
      </w:r>
    </w:p>
    <w:p w:rsidR="001439D9" w:rsidRDefault="001439D9" w:rsidP="001439D9">
      <w:pPr>
        <w:numPr>
          <w:ilvl w:val="0"/>
          <w:numId w:val="8"/>
        </w:numPr>
      </w:pPr>
      <w:r>
        <w:t>Encourage local policy changes to incr</w:t>
      </w:r>
      <w:r w:rsidR="006157B6">
        <w:t>e</w:t>
      </w:r>
      <w:r>
        <w:t>ase access to traditional, local foods and forms of exercise;</w:t>
      </w:r>
      <w:r w:rsidR="006157B6">
        <w:t xml:space="preserve"> and</w:t>
      </w:r>
    </w:p>
    <w:p w:rsidR="001439D9" w:rsidRDefault="001439D9" w:rsidP="001439D9">
      <w:pPr>
        <w:numPr>
          <w:ilvl w:val="0"/>
          <w:numId w:val="8"/>
        </w:numPr>
      </w:pPr>
      <w:r>
        <w:t>Revive, create, and preserve stories of healthy traditional ways shared in homes, schools, and communities.</w:t>
      </w:r>
    </w:p>
    <w:p w:rsidR="001439D9" w:rsidRDefault="001439D9" w:rsidP="001439D9"/>
    <w:p w:rsidR="001439D9" w:rsidRDefault="001439D9" w:rsidP="00E60339">
      <w:pPr>
        <w:ind w:left="720"/>
      </w:pPr>
      <w:r>
        <w:t>The Shared Data Elements</w:t>
      </w:r>
      <w:r w:rsidR="00C33C1E">
        <w:t xml:space="preserve"> information collection </w:t>
      </w:r>
      <w:r>
        <w:t>will support these goals by:</w:t>
      </w:r>
    </w:p>
    <w:p w:rsidR="001439D9" w:rsidRDefault="001439D9" w:rsidP="001439D9">
      <w:pPr>
        <w:numPr>
          <w:ilvl w:val="0"/>
          <w:numId w:val="10"/>
        </w:numPr>
      </w:pPr>
      <w:r>
        <w:t>S</w:t>
      </w:r>
      <w:r w:rsidR="003A1B45">
        <w:t>upport</w:t>
      </w:r>
      <w:r>
        <w:t>ing</w:t>
      </w:r>
      <w:r w:rsidR="003A1B45">
        <w:t xml:space="preserve"> creation of a comprehensive inventory/resource library of diabetes primary prevention ideas and approaches for American In</w:t>
      </w:r>
      <w:r>
        <w:t>dian/Alaska Native communities;</w:t>
      </w:r>
    </w:p>
    <w:p w:rsidR="001439D9" w:rsidRDefault="001439D9" w:rsidP="001439D9">
      <w:pPr>
        <w:numPr>
          <w:ilvl w:val="0"/>
          <w:numId w:val="10"/>
        </w:numPr>
      </w:pPr>
      <w:r>
        <w:t>A</w:t>
      </w:r>
      <w:r w:rsidR="00C33C1E">
        <w:t>llow</w:t>
      </w:r>
      <w:r>
        <w:t>ing</w:t>
      </w:r>
      <w:r w:rsidR="00C33C1E">
        <w:t xml:space="preserve"> </w:t>
      </w:r>
      <w:r w:rsidR="005C0044">
        <w:t xml:space="preserve">data </w:t>
      </w:r>
      <w:r w:rsidR="00C33C1E">
        <w:t xml:space="preserve">aggregation </w:t>
      </w:r>
      <w:r w:rsidR="005C0044">
        <w:t>and analysis</w:t>
      </w:r>
      <w:r w:rsidR="00792D4D">
        <w:t xml:space="preserve"> for </w:t>
      </w:r>
      <w:r w:rsidR="00436CB2">
        <w:t>overall program</w:t>
      </w:r>
      <w:r w:rsidR="00EF2C42">
        <w:t xml:space="preserve"> improvement</w:t>
      </w:r>
      <w:r w:rsidR="00436CB2">
        <w:t xml:space="preserve"> and </w:t>
      </w:r>
      <w:r w:rsidR="00792D4D">
        <w:t>reporting</w:t>
      </w:r>
      <w:r w:rsidR="003D3275">
        <w:t>;</w:t>
      </w:r>
      <w:r w:rsidR="003A1B45">
        <w:t xml:space="preserve"> </w:t>
      </w:r>
    </w:p>
    <w:p w:rsidR="003D3275" w:rsidRDefault="001439D9" w:rsidP="001439D9">
      <w:pPr>
        <w:numPr>
          <w:ilvl w:val="0"/>
          <w:numId w:val="10"/>
        </w:numPr>
      </w:pPr>
      <w:r>
        <w:t>Improving</w:t>
      </w:r>
      <w:r w:rsidR="009D198A">
        <w:t xml:space="preserve"> feedback and technical support</w:t>
      </w:r>
      <w:r w:rsidR="00741009">
        <w:t xml:space="preserve"> to </w:t>
      </w:r>
      <w:r w:rsidR="00BE5D21">
        <w:t>awardees</w:t>
      </w:r>
      <w:r w:rsidR="003D3275">
        <w:t>; and</w:t>
      </w:r>
    </w:p>
    <w:p w:rsidR="009D198A" w:rsidRDefault="003D3275" w:rsidP="001439D9">
      <w:pPr>
        <w:numPr>
          <w:ilvl w:val="0"/>
          <w:numId w:val="10"/>
        </w:numPr>
      </w:pPr>
      <w:r>
        <w:t>Identifying culturally relevant outcomes and local health policies for health promotion and diabetes prevention.</w:t>
      </w:r>
    </w:p>
    <w:p w:rsidR="009D198A" w:rsidRDefault="009D198A" w:rsidP="00E60339">
      <w:pPr>
        <w:ind w:left="720"/>
      </w:pPr>
    </w:p>
    <w:p w:rsidR="00A95C1D" w:rsidRDefault="003D7BE6" w:rsidP="00A95C1D">
      <w:pPr>
        <w:ind w:left="720"/>
      </w:pPr>
      <w:r>
        <w:t>The collection of information in Shared Data Elements</w:t>
      </w:r>
      <w:r w:rsidR="0089620E">
        <w:t xml:space="preserve"> (SDE)</w:t>
      </w:r>
      <w:r>
        <w:t xml:space="preserve"> format allow</w:t>
      </w:r>
      <w:r w:rsidR="000124CE">
        <w:t>s</w:t>
      </w:r>
      <w:r w:rsidR="0003015B">
        <w:t xml:space="preserve"> the NDWP</w:t>
      </w:r>
      <w:r w:rsidR="000124CE">
        <w:t xml:space="preserve"> </w:t>
      </w:r>
      <w:r>
        <w:t>to count the number of AI/AN communities engaged in specific diabetes control activities with Traditional Foods program funding</w:t>
      </w:r>
      <w:r w:rsidR="00F337E3">
        <w:t xml:space="preserve"> (e.g., community garden projects)</w:t>
      </w:r>
      <w:r w:rsidR="001C4C08">
        <w:t>, and to identify</w:t>
      </w:r>
      <w:r w:rsidR="002A4DF4">
        <w:t>, in a more systematic manner, the</w:t>
      </w:r>
      <w:r w:rsidR="001C4C08">
        <w:t xml:space="preserve"> specific products potentially available for dissemination </w:t>
      </w:r>
      <w:r w:rsidR="00F337E3">
        <w:t>(e.g.</w:t>
      </w:r>
      <w:r w:rsidR="001C4C08">
        <w:t>, stories in written, video or audio form that draw on AI/AN storytelling traditions</w:t>
      </w:r>
      <w:r w:rsidR="006E240A">
        <w:t xml:space="preserve">, see </w:t>
      </w:r>
      <w:r w:rsidR="006E240A" w:rsidRPr="006E240A">
        <w:rPr>
          <w:b/>
        </w:rPr>
        <w:t>Attachment 5</w:t>
      </w:r>
      <w:r w:rsidR="00CB4963">
        <w:rPr>
          <w:b/>
        </w:rPr>
        <w:t xml:space="preserve"> </w:t>
      </w:r>
      <w:r w:rsidR="00220CEE">
        <w:t>for an example</w:t>
      </w:r>
      <w:r w:rsidR="001C4C08">
        <w:t>)</w:t>
      </w:r>
      <w:r>
        <w:t xml:space="preserve">. </w:t>
      </w:r>
      <w:r w:rsidR="00411DA3">
        <w:t xml:space="preserve">The Shared Data Elements represent a resource of culturally relevant “grass roots” diabetes prevention </w:t>
      </w:r>
      <w:r w:rsidR="001C4C08">
        <w:t>strategies</w:t>
      </w:r>
      <w:r w:rsidR="003D3275">
        <w:t>,</w:t>
      </w:r>
      <w:r w:rsidR="001C4C08">
        <w:t xml:space="preserve"> products</w:t>
      </w:r>
      <w:r w:rsidR="003D3275">
        <w:t>, policies and outcomes</w:t>
      </w:r>
      <w:r w:rsidR="00411DA3">
        <w:t xml:space="preserve"> for AI/</w:t>
      </w:r>
      <w:proofErr w:type="gramStart"/>
      <w:r w:rsidR="00411DA3">
        <w:t>AN</w:t>
      </w:r>
      <w:proofErr w:type="gramEnd"/>
      <w:r w:rsidR="00411DA3">
        <w:t xml:space="preserve"> communities.</w:t>
      </w:r>
    </w:p>
    <w:p w:rsidR="00A95C1D" w:rsidRDefault="00A95C1D" w:rsidP="00A95C1D">
      <w:pPr>
        <w:ind w:left="720"/>
      </w:pPr>
    </w:p>
    <w:p w:rsidR="00B8733C" w:rsidRDefault="000124CE" w:rsidP="00B8733C">
      <w:pPr>
        <w:ind w:left="720"/>
      </w:pPr>
      <w:r>
        <w:t xml:space="preserve">The SDE </w:t>
      </w:r>
      <w:r w:rsidR="0058664D">
        <w:t>ha</w:t>
      </w:r>
      <w:r w:rsidR="00EF2C42">
        <w:t>s</w:t>
      </w:r>
      <w:r w:rsidR="0058664D">
        <w:t xml:space="preserve"> a number of uses for overall program monitoring and </w:t>
      </w:r>
      <w:r w:rsidR="00EF2C42">
        <w:t>improvement.</w:t>
      </w:r>
      <w:r w:rsidR="0058664D">
        <w:t xml:space="preserve"> </w:t>
      </w:r>
      <w:r w:rsidR="00A95C1D">
        <w:t>CDC</w:t>
      </w:r>
      <w:r w:rsidR="004204E0">
        <w:t xml:space="preserve"> </w:t>
      </w:r>
      <w:r w:rsidR="00B22F09">
        <w:t xml:space="preserve">will use the aggregated </w:t>
      </w:r>
      <w:r w:rsidR="00152890">
        <w:t>data</w:t>
      </w:r>
      <w:r w:rsidR="00A95C1D">
        <w:t xml:space="preserve"> to </w:t>
      </w:r>
      <w:r w:rsidR="002A4DF4">
        <w:t xml:space="preserve">conduct analyses </w:t>
      </w:r>
      <w:r w:rsidR="004204E0">
        <w:t>that</w:t>
      </w:r>
      <w:r w:rsidR="002A4DF4">
        <w:t xml:space="preserve"> </w:t>
      </w:r>
      <w:r w:rsidR="00A95C1D">
        <w:t>identify trends in diabetes prevention in AI/</w:t>
      </w:r>
      <w:proofErr w:type="gramStart"/>
      <w:r w:rsidR="00A95C1D">
        <w:t>AN</w:t>
      </w:r>
      <w:proofErr w:type="gramEnd"/>
      <w:r w:rsidR="00A95C1D">
        <w:t xml:space="preserve"> communities</w:t>
      </w:r>
      <w:r w:rsidR="002A4DF4">
        <w:t xml:space="preserve"> as well as unique or emerging practices</w:t>
      </w:r>
      <w:r w:rsidR="0058664D">
        <w:t xml:space="preserve">. An anticipated long-term result of the </w:t>
      </w:r>
      <w:r w:rsidR="00B8733C">
        <w:t xml:space="preserve">information collection </w:t>
      </w:r>
      <w:r w:rsidR="0058664D">
        <w:t>is the identification of common practices, which may develop into a set of culturally-</w:t>
      </w:r>
      <w:r w:rsidR="00C54597">
        <w:t>relevant “</w:t>
      </w:r>
      <w:r w:rsidR="0058664D">
        <w:t>best practices.”  In addition, t</w:t>
      </w:r>
      <w:r w:rsidR="00BB5B49">
        <w:t xml:space="preserve">he SDE data will improve the quality and specificity of </w:t>
      </w:r>
      <w:r w:rsidR="003D7BE6">
        <w:t xml:space="preserve">CDC’s reports to Congress </w:t>
      </w:r>
      <w:r w:rsidR="0089620E">
        <w:t>and the interested public</w:t>
      </w:r>
      <w:r w:rsidR="00BB5B49">
        <w:t>.</w:t>
      </w:r>
      <w:r w:rsidR="00AA6C80">
        <w:t xml:space="preserve"> </w:t>
      </w:r>
      <w:r w:rsidR="00411DA3">
        <w:t xml:space="preserve">The Shared Data Elements </w:t>
      </w:r>
      <w:r w:rsidR="0058664D">
        <w:t>may thus be used to justify continuation or</w:t>
      </w:r>
      <w:r w:rsidR="00411DA3">
        <w:t xml:space="preserve"> expansion </w:t>
      </w:r>
      <w:r w:rsidR="00B8733C">
        <w:t>of the Traditional Foods cooperative agreement</w:t>
      </w:r>
      <w:r w:rsidR="00411DA3">
        <w:t xml:space="preserve"> beyond the current </w:t>
      </w:r>
      <w:r w:rsidR="00AA6C80">
        <w:t>six</w:t>
      </w:r>
      <w:r w:rsidR="00411DA3">
        <w:t xml:space="preserve">-year timeframe, consistent with the regularly verbalized desires of the CDC </w:t>
      </w:r>
      <w:r w:rsidR="00411DA3">
        <w:lastRenderedPageBreak/>
        <w:t>Tribal Consultation Advisory Committee and the Indian Health Service Tri</w:t>
      </w:r>
      <w:r w:rsidR="0058664D">
        <w:t>bal Leader’s Diabetes Committee</w:t>
      </w:r>
      <w:r w:rsidR="00CB4963">
        <w:t>.  These committees</w:t>
      </w:r>
      <w:r w:rsidR="0058664D">
        <w:t xml:space="preserve"> have </w:t>
      </w:r>
      <w:r w:rsidR="00B8733C">
        <w:t xml:space="preserve">specifically </w:t>
      </w:r>
      <w:r w:rsidR="0058664D">
        <w:t>requested assistance in articulating</w:t>
      </w:r>
      <w:r w:rsidR="00411DA3">
        <w:t xml:space="preserve"> diabetes primary prevention ideas and approaches f</w:t>
      </w:r>
      <w:r w:rsidR="0058664D">
        <w:t>or AI/</w:t>
      </w:r>
      <w:proofErr w:type="gramStart"/>
      <w:r w:rsidR="0058664D">
        <w:t>AN</w:t>
      </w:r>
      <w:proofErr w:type="gramEnd"/>
      <w:r w:rsidR="00411DA3">
        <w:t xml:space="preserve"> communities.</w:t>
      </w:r>
      <w:r w:rsidR="00C54597">
        <w:t xml:space="preserve">  Finally, the SDE</w:t>
      </w:r>
      <w:r w:rsidR="00CB4963">
        <w:t xml:space="preserve"> were derived from </w:t>
      </w:r>
      <w:r w:rsidR="009724C2">
        <w:t xml:space="preserve">the framework established by </w:t>
      </w:r>
      <w:r w:rsidR="00CB4963">
        <w:t>CDC’s “</w:t>
      </w:r>
      <w:r w:rsidR="00CB4963" w:rsidRPr="00152B6E">
        <w:rPr>
          <w:i/>
        </w:rPr>
        <w:t>Recommended Community Strategies and Measurements to Prevent Obesity in the United States</w:t>
      </w:r>
      <w:r w:rsidR="00CB4963">
        <w:t>,</w:t>
      </w:r>
      <w:r w:rsidR="00CB4963">
        <w:rPr>
          <w:i/>
        </w:rPr>
        <w:t xml:space="preserve">” </w:t>
      </w:r>
      <w:r w:rsidR="00CB4963">
        <w:t>published in the Morbidi</w:t>
      </w:r>
      <w:r w:rsidR="00152890">
        <w:t>ty and Mortality Weekly Report (</w:t>
      </w:r>
      <w:r w:rsidR="00CB4963">
        <w:t>CDC. MMWR 2009</w:t>
      </w:r>
      <w:proofErr w:type="gramStart"/>
      <w:r w:rsidR="00CB4963">
        <w:t>;58</w:t>
      </w:r>
      <w:proofErr w:type="gramEnd"/>
      <w:r w:rsidR="007B246F">
        <w:t xml:space="preserve"> </w:t>
      </w:r>
      <w:r w:rsidR="00CB4963">
        <w:t>(No. RR-7)</w:t>
      </w:r>
      <w:r w:rsidR="007B246F">
        <w:t xml:space="preserve"> </w:t>
      </w:r>
      <w:r w:rsidR="00152890">
        <w:t>[1-30])</w:t>
      </w:r>
      <w:r w:rsidR="00CB4963">
        <w:t>.</w:t>
      </w:r>
      <w:r w:rsidR="006D1515">
        <w:t xml:space="preserve">  As a result, the SDE data may</w:t>
      </w:r>
      <w:r w:rsidR="009724C2">
        <w:t xml:space="preserve"> provide insights </w:t>
      </w:r>
      <w:r w:rsidR="00220CEE">
        <w:t>into the formulation and implementation of other community-based programs</w:t>
      </w:r>
      <w:r w:rsidR="00B8733C">
        <w:t>.</w:t>
      </w:r>
    </w:p>
    <w:p w:rsidR="00B8733C" w:rsidRDefault="00B8733C" w:rsidP="00B8733C">
      <w:pPr>
        <w:ind w:left="720"/>
      </w:pPr>
    </w:p>
    <w:p w:rsidR="00D650EC" w:rsidRDefault="003D7BE6" w:rsidP="00AF4A60">
      <w:pPr>
        <w:ind w:left="720"/>
      </w:pPr>
      <w:r>
        <w:t xml:space="preserve">The Shared Data Elements information, in </w:t>
      </w:r>
      <w:r w:rsidR="00255C36">
        <w:t xml:space="preserve">respective local and </w:t>
      </w:r>
      <w:r>
        <w:t>aggregate form,</w:t>
      </w:r>
      <w:r w:rsidR="008F6DFA">
        <w:t xml:space="preserve"> </w:t>
      </w:r>
      <w:r w:rsidR="00D63828">
        <w:t>are</w:t>
      </w:r>
      <w:r>
        <w:t xml:space="preserve"> provided back to project partners, and provide a broader context for Principal Investigators to disc</w:t>
      </w:r>
      <w:r w:rsidR="00D01291">
        <w:t>uss their efforts with their collaborating</w:t>
      </w:r>
      <w:r>
        <w:t xml:space="preserve"> tribal leaders.</w:t>
      </w:r>
      <w:r w:rsidR="00411DA3" w:rsidRPr="00411DA3">
        <w:t xml:space="preserve"> </w:t>
      </w:r>
      <w:r w:rsidR="00411DA3">
        <w:t>The Shared Data Eleme</w:t>
      </w:r>
      <w:r w:rsidR="0004628E">
        <w:t>nts</w:t>
      </w:r>
      <w:r w:rsidR="006D1515">
        <w:t xml:space="preserve"> </w:t>
      </w:r>
      <w:r w:rsidR="00411DA3">
        <w:t>provide</w:t>
      </w:r>
      <w:r w:rsidR="0004628E">
        <w:t xml:space="preserve"> </w:t>
      </w:r>
      <w:r w:rsidR="00BE5D21">
        <w:t>awardees</w:t>
      </w:r>
      <w:r w:rsidR="0004628E">
        <w:t xml:space="preserve"> with</w:t>
      </w:r>
      <w:r w:rsidR="00411DA3">
        <w:t xml:space="preserve"> </w:t>
      </w:r>
      <w:r w:rsidR="0004628E">
        <w:t>an</w:t>
      </w:r>
      <w:r w:rsidR="006D1515">
        <w:t xml:space="preserve"> alternative</w:t>
      </w:r>
      <w:r w:rsidR="0004628E">
        <w:t>, supplementary</w:t>
      </w:r>
      <w:r w:rsidR="006D1515">
        <w:t xml:space="preserve"> means of</w:t>
      </w:r>
      <w:r w:rsidR="00411DA3">
        <w:t xml:space="preserve"> self-assessment beyond </w:t>
      </w:r>
      <w:r w:rsidR="006D1515">
        <w:t xml:space="preserve">that provided by </w:t>
      </w:r>
      <w:r w:rsidR="00AF4A60">
        <w:t xml:space="preserve">the </w:t>
      </w:r>
      <w:r w:rsidR="0004628E">
        <w:t xml:space="preserve">narrative progress reports. The reports produced for the program, and the inventory of activities and products, will </w:t>
      </w:r>
      <w:r w:rsidR="00FA67FD">
        <w:t>provide a mechanism for AI/</w:t>
      </w:r>
      <w:proofErr w:type="gramStart"/>
      <w:r w:rsidR="00FA67FD">
        <w:t>AN</w:t>
      </w:r>
      <w:proofErr w:type="gramEnd"/>
      <w:r w:rsidR="00FA67FD">
        <w:t xml:space="preserve"> tribes and tribal organizations to consider transferability of strategies across</w:t>
      </w:r>
      <w:r w:rsidR="00B54F0A">
        <w:t xml:space="preserve"> tribes. This type of information exchange </w:t>
      </w:r>
      <w:r w:rsidR="00FA67FD">
        <w:t xml:space="preserve">would not </w:t>
      </w:r>
      <w:r w:rsidR="00B54F0A">
        <w:t xml:space="preserve">be possible </w:t>
      </w:r>
      <w:r w:rsidR="00B155DD">
        <w:t>without aggregation and sharing of standardized information</w:t>
      </w:r>
      <w:r w:rsidR="00FA67FD">
        <w:t>.</w:t>
      </w:r>
      <w:r w:rsidR="00FA67FD" w:rsidRPr="00411DA3">
        <w:t xml:space="preserve"> </w:t>
      </w:r>
    </w:p>
    <w:p w:rsidR="008C2ACE" w:rsidRDefault="008C2ACE" w:rsidP="0029585F">
      <w:pPr>
        <w:ind w:left="720"/>
      </w:pPr>
    </w:p>
    <w:p w:rsidR="00D650EC" w:rsidRPr="00EA4978" w:rsidRDefault="008C2ACE" w:rsidP="00220CEE">
      <w:pPr>
        <w:ind w:firstLine="720"/>
        <w:rPr>
          <w:rFonts w:cs="Arial"/>
          <w:b/>
        </w:rPr>
      </w:pPr>
      <w:r w:rsidRPr="00EA4978">
        <w:rPr>
          <w:rFonts w:cs="Arial"/>
          <w:b/>
        </w:rPr>
        <w:t>Privacy Impact Assessment Information</w:t>
      </w:r>
    </w:p>
    <w:p w:rsidR="00D650EC" w:rsidRDefault="00D650EC" w:rsidP="00D650EC">
      <w:pPr>
        <w:ind w:left="720"/>
      </w:pPr>
    </w:p>
    <w:p w:rsidR="00AF4A60" w:rsidRDefault="000840A5" w:rsidP="000840A5">
      <w:pPr>
        <w:ind w:left="720"/>
      </w:pPr>
      <w:r>
        <w:t>The data collection</w:t>
      </w:r>
      <w:r w:rsidR="00D650EC">
        <w:t xml:space="preserve"> domain</w:t>
      </w:r>
      <w:r>
        <w:t xml:space="preserve">s are Traditional Local Healthy Foods, Physical Activity, and Social Support for Healthy lifestyle Change and Maintenance.  </w:t>
      </w:r>
      <w:r w:rsidR="00EF2C42">
        <w:t>Q</w:t>
      </w:r>
      <w:r>
        <w:t>uestions are</w:t>
      </w:r>
      <w:r w:rsidR="002962C1">
        <w:t xml:space="preserve"> </w:t>
      </w:r>
      <w:r>
        <w:t>derived from</w:t>
      </w:r>
      <w:r w:rsidR="002962C1">
        <w:t xml:space="preserve"> constructs established by the “</w:t>
      </w:r>
      <w:r w:rsidR="002962C1" w:rsidRPr="00152B6E">
        <w:rPr>
          <w:i/>
        </w:rPr>
        <w:t>Recommended Community Strategies and Measurements to Prevent Obesity in the United States</w:t>
      </w:r>
      <w:r w:rsidR="002962C1">
        <w:rPr>
          <w:i/>
        </w:rPr>
        <w:t>.”</w:t>
      </w:r>
      <w:r w:rsidR="00D650EC">
        <w:t xml:space="preserve"> </w:t>
      </w:r>
      <w:r>
        <w:t>Information is requested about community-based activities in the</w:t>
      </w:r>
      <w:r w:rsidR="00220CEE">
        <w:t>se domains and products, including stories and videos</w:t>
      </w:r>
      <w:r>
        <w:t xml:space="preserve"> that communicate </w:t>
      </w:r>
      <w:r w:rsidR="00BE5D21">
        <w:t>awardees</w:t>
      </w:r>
      <w:r>
        <w:t xml:space="preserve">’ experiences in culturally appropriate ways.  The SDE form requests the name of the responding </w:t>
      </w:r>
      <w:r w:rsidR="002A32FD">
        <w:t>awardee</w:t>
      </w:r>
      <w:r>
        <w:t xml:space="preserve">, which is a Tribe or tribal organization. No </w:t>
      </w:r>
      <w:r w:rsidR="00AF4A60">
        <w:t>personal identifier</w:t>
      </w:r>
      <w:r>
        <w:t>s or personal</w:t>
      </w:r>
      <w:r w:rsidR="00AF4A60">
        <w:t xml:space="preserve"> information is reques</w:t>
      </w:r>
      <w:r>
        <w:t>ted in the Shared Data Elements</w:t>
      </w:r>
      <w:r w:rsidR="00AF4A60">
        <w:t>.</w:t>
      </w:r>
    </w:p>
    <w:p w:rsidR="008C2ACE" w:rsidRDefault="008C2ACE" w:rsidP="002962C1"/>
    <w:p w:rsidR="008C2ACE" w:rsidRPr="002962C1" w:rsidRDefault="00593563" w:rsidP="008C7188">
      <w:pPr>
        <w:ind w:left="540" w:hanging="540"/>
        <w:rPr>
          <w:rFonts w:cs="Arial"/>
          <w:b/>
        </w:rPr>
      </w:pPr>
      <w:r>
        <w:rPr>
          <w:rFonts w:cs="Arial"/>
          <w:b/>
        </w:rPr>
        <w:t>A3</w:t>
      </w:r>
      <w:r w:rsidR="008C2ACE" w:rsidRPr="002962C1">
        <w:rPr>
          <w:rFonts w:cs="Arial"/>
          <w:b/>
        </w:rPr>
        <w:t>.</w:t>
      </w:r>
      <w:r w:rsidR="008C2ACE" w:rsidRPr="002962C1">
        <w:rPr>
          <w:rFonts w:cs="Arial"/>
          <w:b/>
        </w:rPr>
        <w:tab/>
        <w:t>Use of Improved Information Technology and Burden Reduction</w:t>
      </w:r>
    </w:p>
    <w:p w:rsidR="008C2ACE" w:rsidRDefault="008C2ACE" w:rsidP="008C7188">
      <w:pPr>
        <w:ind w:left="540" w:hanging="540"/>
        <w:rPr>
          <w:rFonts w:cs="Arial"/>
        </w:rPr>
      </w:pPr>
    </w:p>
    <w:p w:rsidR="008C2ACE" w:rsidRDefault="008C2ACE" w:rsidP="00A262A9">
      <w:pPr>
        <w:ind w:left="720"/>
        <w:rPr>
          <w:rFonts w:cs="Arial"/>
        </w:rPr>
      </w:pPr>
      <w:r w:rsidRPr="00DF12B8">
        <w:rPr>
          <w:rFonts w:cs="Arial"/>
        </w:rPr>
        <w:t>All data collected (100%) for this pr</w:t>
      </w:r>
      <w:r w:rsidR="00C54597">
        <w:rPr>
          <w:rFonts w:cs="Arial"/>
        </w:rPr>
        <w:t>oject will be report</w:t>
      </w:r>
      <w:r w:rsidR="002962C1">
        <w:rPr>
          <w:rFonts w:cs="Arial"/>
        </w:rPr>
        <w:t>ed</w:t>
      </w:r>
      <w:r w:rsidR="00C54597">
        <w:rPr>
          <w:rFonts w:cs="Arial"/>
        </w:rPr>
        <w:t xml:space="preserve"> to CDC</w:t>
      </w:r>
      <w:r w:rsidR="002962C1">
        <w:rPr>
          <w:rFonts w:cs="Arial"/>
        </w:rPr>
        <w:t xml:space="preserve"> using a </w:t>
      </w:r>
      <w:r w:rsidR="007B246F">
        <w:rPr>
          <w:rFonts w:cs="Arial"/>
        </w:rPr>
        <w:t>W</w:t>
      </w:r>
      <w:r w:rsidR="002962C1">
        <w:rPr>
          <w:rFonts w:cs="Arial"/>
        </w:rPr>
        <w:t xml:space="preserve">eb-based </w:t>
      </w:r>
      <w:r w:rsidRPr="00DF12B8">
        <w:rPr>
          <w:rFonts w:cs="Arial"/>
        </w:rPr>
        <w:t>electronic survey.  By using an electronic format for the</w:t>
      </w:r>
      <w:r w:rsidR="000C4803">
        <w:rPr>
          <w:rFonts w:cs="Arial"/>
        </w:rPr>
        <w:t xml:space="preserve"> SDE</w:t>
      </w:r>
      <w:r w:rsidRPr="00DF12B8">
        <w:rPr>
          <w:rFonts w:cs="Arial"/>
        </w:rPr>
        <w:t xml:space="preserve"> instrument, this will reduce the burden of respondents having to use a paper format and then mail their responses back to CDC.</w:t>
      </w:r>
      <w:r w:rsidR="007B246F">
        <w:rPr>
          <w:rFonts w:cs="Arial"/>
        </w:rPr>
        <w:t xml:space="preserve"> The format of the SDE report was revised in 2012 to improve ease of use and respondent satisfaction.</w:t>
      </w:r>
    </w:p>
    <w:p w:rsidR="008C2ACE" w:rsidRPr="00DF12B8" w:rsidRDefault="008C2ACE" w:rsidP="008C7188">
      <w:pPr>
        <w:ind w:left="540" w:hanging="540"/>
        <w:rPr>
          <w:rFonts w:cs="Arial"/>
        </w:rPr>
      </w:pPr>
    </w:p>
    <w:p w:rsidR="008C2ACE" w:rsidRPr="002962C1" w:rsidRDefault="008C2ACE" w:rsidP="008C7188">
      <w:pPr>
        <w:ind w:left="540" w:hanging="540"/>
        <w:rPr>
          <w:rFonts w:cs="Arial"/>
          <w:b/>
        </w:rPr>
      </w:pPr>
      <w:r w:rsidRPr="002962C1">
        <w:rPr>
          <w:rFonts w:cs="Arial"/>
          <w:b/>
        </w:rPr>
        <w:t>A</w:t>
      </w:r>
      <w:r w:rsidR="00593563">
        <w:rPr>
          <w:rFonts w:cs="Arial"/>
          <w:b/>
        </w:rPr>
        <w:t>4</w:t>
      </w:r>
      <w:r w:rsidRPr="002962C1">
        <w:rPr>
          <w:rFonts w:cs="Arial"/>
          <w:b/>
        </w:rPr>
        <w:t>.</w:t>
      </w:r>
      <w:r w:rsidRPr="002962C1">
        <w:rPr>
          <w:rFonts w:cs="Arial"/>
          <w:b/>
        </w:rPr>
        <w:tab/>
        <w:t>Efforts to Identify Duplication and Use of Similar Information</w:t>
      </w:r>
    </w:p>
    <w:p w:rsidR="008C2ACE" w:rsidRDefault="008C2ACE" w:rsidP="008C7188">
      <w:pPr>
        <w:ind w:left="540" w:hanging="540"/>
        <w:rPr>
          <w:rFonts w:cs="Arial"/>
        </w:rPr>
      </w:pPr>
    </w:p>
    <w:p w:rsidR="008C2ACE" w:rsidRDefault="008C2ACE" w:rsidP="00A262A9">
      <w:pPr>
        <w:ind w:left="540"/>
        <w:rPr>
          <w:rFonts w:cs="Arial"/>
        </w:rPr>
      </w:pPr>
      <w:r>
        <w:rPr>
          <w:rFonts w:cs="Arial"/>
        </w:rPr>
        <w:t xml:space="preserve">Respondents are </w:t>
      </w:r>
      <w:r w:rsidR="00BE5D21">
        <w:rPr>
          <w:rFonts w:cs="Arial"/>
        </w:rPr>
        <w:t>awardees</w:t>
      </w:r>
      <w:r>
        <w:rPr>
          <w:rFonts w:cs="Arial"/>
        </w:rPr>
        <w:t xml:space="preserve"> funded by CDC.  There are no complete sources of information about </w:t>
      </w:r>
      <w:r w:rsidR="002A32FD">
        <w:rPr>
          <w:rFonts w:cs="Arial"/>
        </w:rPr>
        <w:t>awardee</w:t>
      </w:r>
      <w:r>
        <w:rPr>
          <w:rFonts w:cs="Arial"/>
        </w:rPr>
        <w:t xml:space="preserve"> activities other than the </w:t>
      </w:r>
      <w:r w:rsidR="00BE5D21">
        <w:rPr>
          <w:rFonts w:cs="Arial"/>
        </w:rPr>
        <w:t>awardees</w:t>
      </w:r>
      <w:r>
        <w:rPr>
          <w:rFonts w:cs="Arial"/>
        </w:rPr>
        <w:t xml:space="preserve"> themselves.</w:t>
      </w:r>
    </w:p>
    <w:p w:rsidR="008C2ACE" w:rsidRPr="00DF12B8" w:rsidRDefault="008C2ACE" w:rsidP="008C7188">
      <w:pPr>
        <w:ind w:left="540" w:hanging="540"/>
        <w:rPr>
          <w:rFonts w:cs="Arial"/>
        </w:rPr>
      </w:pPr>
    </w:p>
    <w:p w:rsidR="008C2ACE" w:rsidRPr="00A262A9" w:rsidRDefault="00ED3EE2" w:rsidP="008C7188">
      <w:pPr>
        <w:ind w:left="540" w:hanging="540"/>
        <w:rPr>
          <w:rFonts w:cs="Arial"/>
          <w:b/>
        </w:rPr>
      </w:pPr>
      <w:r>
        <w:rPr>
          <w:rFonts w:cs="Arial"/>
          <w:b/>
        </w:rPr>
        <w:t>A</w:t>
      </w:r>
      <w:r w:rsidR="00593563">
        <w:rPr>
          <w:rFonts w:cs="Arial"/>
          <w:b/>
        </w:rPr>
        <w:t>5</w:t>
      </w:r>
      <w:r w:rsidR="008C2ACE" w:rsidRPr="00A262A9">
        <w:rPr>
          <w:rFonts w:cs="Arial"/>
          <w:b/>
        </w:rPr>
        <w:t>.</w:t>
      </w:r>
      <w:r w:rsidR="008C2ACE" w:rsidRPr="00A262A9">
        <w:rPr>
          <w:rFonts w:cs="Arial"/>
          <w:b/>
        </w:rPr>
        <w:tab/>
        <w:t>Impact on Small Businesses or Other Entities</w:t>
      </w:r>
    </w:p>
    <w:p w:rsidR="008C2ACE" w:rsidRDefault="008C2ACE" w:rsidP="008C7188">
      <w:pPr>
        <w:ind w:left="540" w:hanging="540"/>
        <w:rPr>
          <w:rFonts w:cs="Arial"/>
        </w:rPr>
      </w:pPr>
    </w:p>
    <w:p w:rsidR="008C2ACE" w:rsidRDefault="008C2ACE" w:rsidP="008C7188">
      <w:pPr>
        <w:ind w:left="540" w:hanging="540"/>
        <w:rPr>
          <w:rFonts w:cs="Arial"/>
        </w:rPr>
      </w:pPr>
      <w:r>
        <w:rPr>
          <w:rFonts w:cs="Arial"/>
        </w:rPr>
        <w:tab/>
        <w:t>The information collection will have no impact on small businesses.</w:t>
      </w:r>
    </w:p>
    <w:p w:rsidR="008C2ACE" w:rsidRPr="00DF12B8" w:rsidRDefault="008C2ACE" w:rsidP="008C7188">
      <w:pPr>
        <w:ind w:left="540" w:hanging="540"/>
        <w:rPr>
          <w:rFonts w:cs="Arial"/>
        </w:rPr>
      </w:pPr>
    </w:p>
    <w:p w:rsidR="008C2ACE" w:rsidRPr="00FF6295" w:rsidRDefault="00593563" w:rsidP="008C7188">
      <w:pPr>
        <w:ind w:left="540" w:hanging="540"/>
        <w:rPr>
          <w:rFonts w:cs="Arial"/>
          <w:b/>
        </w:rPr>
      </w:pPr>
      <w:r>
        <w:rPr>
          <w:rFonts w:cs="Arial"/>
          <w:b/>
        </w:rPr>
        <w:t>A6</w:t>
      </w:r>
      <w:r w:rsidR="008C2ACE" w:rsidRPr="00FF6295">
        <w:rPr>
          <w:rFonts w:cs="Arial"/>
          <w:b/>
        </w:rPr>
        <w:t>.</w:t>
      </w:r>
      <w:r w:rsidR="008C2ACE" w:rsidRPr="00FF6295">
        <w:rPr>
          <w:rFonts w:cs="Arial"/>
          <w:b/>
        </w:rPr>
        <w:tab/>
        <w:t xml:space="preserve">Consequences of Collecting the Information Less Frequently </w:t>
      </w:r>
    </w:p>
    <w:p w:rsidR="008C2ACE" w:rsidRDefault="008C2ACE" w:rsidP="008C7188">
      <w:pPr>
        <w:ind w:left="540" w:hanging="540"/>
        <w:rPr>
          <w:rFonts w:cs="Arial"/>
        </w:rPr>
      </w:pPr>
    </w:p>
    <w:p w:rsidR="00FF6295" w:rsidRDefault="00FF6295" w:rsidP="00FF6295">
      <w:pPr>
        <w:ind w:left="540"/>
        <w:rPr>
          <w:rFonts w:cs="Arial"/>
        </w:rPr>
      </w:pPr>
      <w:r>
        <w:rPr>
          <w:rFonts w:cs="Arial"/>
        </w:rPr>
        <w:t xml:space="preserve">Without the SDE information collection, CDC will not have the capacity to identify and quantify specific </w:t>
      </w:r>
      <w:r w:rsidR="002A32FD">
        <w:rPr>
          <w:rFonts w:cs="Arial"/>
        </w:rPr>
        <w:t>awardee</w:t>
      </w:r>
      <w:r>
        <w:rPr>
          <w:rFonts w:cs="Arial"/>
        </w:rPr>
        <w:t xml:space="preserve"> activities and products.</w:t>
      </w:r>
    </w:p>
    <w:p w:rsidR="008C2ACE" w:rsidRPr="00DF12B8" w:rsidRDefault="008C2ACE" w:rsidP="008C7188">
      <w:pPr>
        <w:ind w:left="540" w:hanging="540"/>
        <w:rPr>
          <w:rFonts w:cs="Arial"/>
        </w:rPr>
      </w:pPr>
    </w:p>
    <w:p w:rsidR="008C2ACE" w:rsidRPr="00FF6295" w:rsidRDefault="00ED3EE2" w:rsidP="008C7188">
      <w:pPr>
        <w:ind w:left="540" w:hanging="540"/>
        <w:rPr>
          <w:rFonts w:cs="Arial"/>
          <w:b/>
        </w:rPr>
      </w:pPr>
      <w:r>
        <w:rPr>
          <w:rFonts w:cs="Arial"/>
          <w:b/>
        </w:rPr>
        <w:t>A</w:t>
      </w:r>
      <w:r w:rsidR="00593563">
        <w:rPr>
          <w:rFonts w:cs="Arial"/>
          <w:b/>
        </w:rPr>
        <w:t>7</w:t>
      </w:r>
      <w:r w:rsidR="008C2ACE" w:rsidRPr="00FF6295">
        <w:rPr>
          <w:rFonts w:cs="Arial"/>
          <w:b/>
        </w:rPr>
        <w:t>.</w:t>
      </w:r>
      <w:r w:rsidR="008C2ACE" w:rsidRPr="00FF6295">
        <w:rPr>
          <w:rFonts w:cs="Arial"/>
          <w:b/>
        </w:rPr>
        <w:tab/>
        <w:t>Special Circumstances Relating to the Guidelines of 5 CFR 1320.5</w:t>
      </w:r>
    </w:p>
    <w:p w:rsidR="008C2ACE" w:rsidRDefault="008C2ACE" w:rsidP="008C7188">
      <w:pPr>
        <w:ind w:left="540" w:hanging="540"/>
        <w:rPr>
          <w:rFonts w:cs="Arial"/>
        </w:rPr>
      </w:pPr>
    </w:p>
    <w:p w:rsidR="00B62C15" w:rsidRDefault="0082737D" w:rsidP="0082737D">
      <w:pPr>
        <w:tabs>
          <w:tab w:val="left" w:pos="540"/>
        </w:tabs>
        <w:ind w:left="540"/>
        <w:outlineLvl w:val="0"/>
      </w:pPr>
      <w:r w:rsidRPr="005A2261">
        <w:t xml:space="preserve">This </w:t>
      </w:r>
      <w:r>
        <w:t>request</w:t>
      </w:r>
      <w:r w:rsidRPr="005A2261">
        <w:t xml:space="preserve"> fully complies with </w:t>
      </w:r>
      <w:r>
        <w:t>the regulation</w:t>
      </w:r>
      <w:r w:rsidRPr="005A2261">
        <w:t xml:space="preserve"> 5 CFR 1320.5.</w:t>
      </w:r>
    </w:p>
    <w:p w:rsidR="008C2ACE" w:rsidRPr="00DF12B8" w:rsidRDefault="008C2ACE" w:rsidP="00553CB5">
      <w:pPr>
        <w:ind w:left="540" w:hanging="540"/>
        <w:rPr>
          <w:rFonts w:cs="Arial"/>
        </w:rPr>
      </w:pPr>
    </w:p>
    <w:p w:rsidR="008C2ACE" w:rsidRPr="00CB12D4" w:rsidRDefault="00593563" w:rsidP="00553CB5">
      <w:pPr>
        <w:ind w:left="540" w:hanging="540"/>
        <w:rPr>
          <w:rFonts w:cs="Arial"/>
          <w:b/>
        </w:rPr>
      </w:pPr>
      <w:r>
        <w:rPr>
          <w:rFonts w:cs="Arial"/>
          <w:b/>
        </w:rPr>
        <w:t>A8</w:t>
      </w:r>
      <w:r w:rsidR="008C2ACE" w:rsidRPr="00CB12D4">
        <w:rPr>
          <w:rFonts w:cs="Arial"/>
          <w:b/>
        </w:rPr>
        <w:t>.</w:t>
      </w:r>
      <w:r w:rsidR="008C2ACE" w:rsidRPr="00CB12D4">
        <w:rPr>
          <w:rFonts w:cs="Arial"/>
          <w:b/>
        </w:rPr>
        <w:tab/>
        <w:t>Comments in Response to the Federal Register Notice and Efforts to Consult Outside the Agency</w:t>
      </w:r>
    </w:p>
    <w:p w:rsidR="008C2ACE" w:rsidRDefault="008C2ACE" w:rsidP="00553CB5">
      <w:pPr>
        <w:ind w:left="540"/>
        <w:rPr>
          <w:rFonts w:cs="Arial"/>
        </w:rPr>
      </w:pPr>
    </w:p>
    <w:p w:rsidR="00D01291" w:rsidRDefault="00D01291" w:rsidP="00D01291">
      <w:pPr>
        <w:pStyle w:val="ListParagraph"/>
        <w:numPr>
          <w:ilvl w:val="0"/>
          <w:numId w:val="12"/>
        </w:numPr>
      </w:pPr>
      <w:r>
        <w:t xml:space="preserve"> As required by 5 CFR 1320.8 (d), a Notice announcing the proposed data collection was published in the Federal Register on </w:t>
      </w:r>
      <w:r w:rsidR="007B246F">
        <w:t xml:space="preserve">February 6, 2014 </w:t>
      </w:r>
      <w:r w:rsidR="00593563">
        <w:t xml:space="preserve">(Vol. </w:t>
      </w:r>
      <w:r w:rsidR="007B246F">
        <w:t>79</w:t>
      </w:r>
      <w:r w:rsidR="00593563">
        <w:t xml:space="preserve">, No. </w:t>
      </w:r>
      <w:r w:rsidR="007B246F">
        <w:t>25</w:t>
      </w:r>
      <w:r w:rsidR="00593563">
        <w:t xml:space="preserve">, pages </w:t>
      </w:r>
      <w:r w:rsidR="007B246F">
        <w:t>7194-7195</w:t>
      </w:r>
      <w:r w:rsidRPr="00782312">
        <w:t>).</w:t>
      </w:r>
      <w:r>
        <w:t xml:space="preserve"> </w:t>
      </w:r>
      <w:r w:rsidR="0082737D">
        <w:t xml:space="preserve"> No public comments were received.</w:t>
      </w:r>
    </w:p>
    <w:p w:rsidR="0082737D" w:rsidRDefault="0082737D" w:rsidP="0082737D">
      <w:pPr>
        <w:pStyle w:val="ListParagraph"/>
        <w:ind w:left="900"/>
      </w:pPr>
    </w:p>
    <w:p w:rsidR="0082737D" w:rsidRPr="0035450A" w:rsidRDefault="0082737D" w:rsidP="00D01291">
      <w:pPr>
        <w:pStyle w:val="ListParagraph"/>
        <w:numPr>
          <w:ilvl w:val="0"/>
          <w:numId w:val="12"/>
        </w:numPr>
      </w:pPr>
      <w:r>
        <w:t xml:space="preserve">CDC consulted extensively with Tribal elders </w:t>
      </w:r>
      <w:r w:rsidR="003A3DA5">
        <w:t xml:space="preserve">before and </w:t>
      </w:r>
      <w:r>
        <w:t xml:space="preserve">during development of the </w:t>
      </w:r>
      <w:r w:rsidR="00D72F2B">
        <w:t>Traditio</w:t>
      </w:r>
      <w:r w:rsidR="003A3DA5">
        <w:t xml:space="preserve">nal Foods cooperative agreement, as well as </w:t>
      </w:r>
      <w:r w:rsidR="00D72F2B">
        <w:t xml:space="preserve">during development of the comprehensive </w:t>
      </w:r>
      <w:r w:rsidR="00AE1B5B">
        <w:t>data collection/analysis</w:t>
      </w:r>
      <w:r w:rsidR="00D72F2B">
        <w:t xml:space="preserve"> plan.</w:t>
      </w:r>
      <w:r w:rsidR="00871E59">
        <w:t xml:space="preserve"> </w:t>
      </w:r>
      <w:r w:rsidR="00871E59" w:rsidRPr="0035450A">
        <w:t>Consultation occurred in the context of the Indian Health Service’s twice yearly Tribal Leader’s Diabetes Committee, which the Native Diabetes Wellness Program has participated in since year 2000.</w:t>
      </w:r>
      <w:r w:rsidR="002E5642" w:rsidRPr="0035450A">
        <w:t xml:space="preserve"> </w:t>
      </w:r>
      <w:r w:rsidR="003A3DA5" w:rsidRPr="0035450A">
        <w:t>Seminal tribal consultation also occurred from 1998-2000, during which time the Native Diabetes Wellness Program consulted with 471 representatives from 141 federally recognized tribes on the general direction of the Native Diabetes Wellness Program, including the Traditional Foods Program.</w:t>
      </w:r>
    </w:p>
    <w:p w:rsidR="008C2ACE" w:rsidRPr="00DF12B8" w:rsidRDefault="008C2ACE" w:rsidP="00553CB5">
      <w:pPr>
        <w:ind w:left="540" w:hanging="540"/>
        <w:rPr>
          <w:rFonts w:cs="Arial"/>
        </w:rPr>
      </w:pPr>
    </w:p>
    <w:p w:rsidR="008C2ACE" w:rsidRPr="00DC45B3" w:rsidRDefault="00593563" w:rsidP="00553CB5">
      <w:pPr>
        <w:ind w:left="540" w:hanging="540"/>
        <w:rPr>
          <w:rFonts w:cs="Arial"/>
          <w:b/>
        </w:rPr>
      </w:pPr>
      <w:r>
        <w:rPr>
          <w:rFonts w:cs="Arial"/>
          <w:b/>
        </w:rPr>
        <w:t>A9</w:t>
      </w:r>
      <w:r w:rsidR="008C2ACE" w:rsidRPr="00DC45B3">
        <w:rPr>
          <w:rFonts w:cs="Arial"/>
          <w:b/>
        </w:rPr>
        <w:t>.</w:t>
      </w:r>
      <w:r w:rsidR="008C2ACE" w:rsidRPr="00DC45B3">
        <w:rPr>
          <w:rFonts w:cs="Arial"/>
          <w:b/>
        </w:rPr>
        <w:tab/>
        <w:t>Explanation of Any Payment or Gift to Respondents</w:t>
      </w:r>
    </w:p>
    <w:p w:rsidR="008C2ACE" w:rsidRDefault="008C2ACE" w:rsidP="00553CB5">
      <w:pPr>
        <w:rPr>
          <w:rFonts w:cs="Arial"/>
          <w:bCs/>
        </w:rPr>
      </w:pPr>
    </w:p>
    <w:p w:rsidR="008C2ACE" w:rsidRPr="00DC45B3" w:rsidRDefault="008C2ACE" w:rsidP="00553CB5">
      <w:pPr>
        <w:ind w:left="540"/>
        <w:rPr>
          <w:rFonts w:cs="Arial"/>
          <w:bCs/>
        </w:rPr>
      </w:pPr>
      <w:r w:rsidRPr="00DF12B8">
        <w:rPr>
          <w:rFonts w:cs="Arial"/>
          <w:bCs/>
        </w:rPr>
        <w:t xml:space="preserve">Respondents will not </w:t>
      </w:r>
      <w:r w:rsidR="00DC45B3">
        <w:rPr>
          <w:rFonts w:cs="Arial"/>
          <w:bCs/>
        </w:rPr>
        <w:t>receive any payment or gifts</w:t>
      </w:r>
      <w:r w:rsidRPr="00DF12B8">
        <w:rPr>
          <w:rFonts w:cs="Arial"/>
          <w:bCs/>
        </w:rPr>
        <w:t>.</w:t>
      </w:r>
    </w:p>
    <w:p w:rsidR="008C2ACE" w:rsidRPr="00DF12B8" w:rsidRDefault="008C2ACE" w:rsidP="00553CB5">
      <w:pPr>
        <w:ind w:left="540" w:hanging="540"/>
        <w:rPr>
          <w:rFonts w:cs="Arial"/>
        </w:rPr>
      </w:pPr>
    </w:p>
    <w:p w:rsidR="008C2ACE" w:rsidRPr="00DC45B3" w:rsidRDefault="00593563" w:rsidP="00553CB5">
      <w:pPr>
        <w:ind w:left="540" w:hanging="540"/>
        <w:rPr>
          <w:rFonts w:cs="Arial"/>
          <w:b/>
        </w:rPr>
      </w:pPr>
      <w:r>
        <w:rPr>
          <w:rFonts w:cs="Arial"/>
          <w:b/>
        </w:rPr>
        <w:t>A10</w:t>
      </w:r>
      <w:r w:rsidR="008C2ACE" w:rsidRPr="00DC45B3">
        <w:rPr>
          <w:rFonts w:cs="Arial"/>
          <w:b/>
        </w:rPr>
        <w:t>.</w:t>
      </w:r>
      <w:r w:rsidR="008C2ACE" w:rsidRPr="00DC45B3">
        <w:rPr>
          <w:rFonts w:cs="Arial"/>
          <w:b/>
        </w:rPr>
        <w:tab/>
        <w:t>Assurance of Confidentiality Provided to Respondents</w:t>
      </w:r>
    </w:p>
    <w:p w:rsidR="008C2ACE" w:rsidRDefault="008C2ACE" w:rsidP="00553CB5">
      <w:pPr>
        <w:ind w:left="540" w:hanging="540"/>
        <w:rPr>
          <w:rFonts w:cs="Arial"/>
        </w:rPr>
      </w:pPr>
    </w:p>
    <w:p w:rsidR="008C2ACE" w:rsidRPr="00DF12B8" w:rsidRDefault="008C2ACE" w:rsidP="00553CB5">
      <w:pPr>
        <w:tabs>
          <w:tab w:val="left" w:pos="540"/>
        </w:tabs>
        <w:ind w:left="540"/>
        <w:rPr>
          <w:rFonts w:cs="Arial"/>
          <w:bCs/>
        </w:rPr>
      </w:pPr>
      <w:r w:rsidRPr="00DF12B8">
        <w:rPr>
          <w:rFonts w:cs="Arial"/>
          <w:bCs/>
        </w:rPr>
        <w:t xml:space="preserve">Respondents will be </w:t>
      </w:r>
      <w:r w:rsidR="00801DD6">
        <w:rPr>
          <w:rFonts w:cs="Arial"/>
          <w:bCs/>
        </w:rPr>
        <w:t>Tradition</w:t>
      </w:r>
      <w:r w:rsidR="00AE18D6">
        <w:rPr>
          <w:rFonts w:cs="Arial"/>
          <w:bCs/>
        </w:rPr>
        <w:t>al</w:t>
      </w:r>
      <w:r w:rsidR="00801DD6">
        <w:rPr>
          <w:rFonts w:cs="Arial"/>
          <w:bCs/>
        </w:rPr>
        <w:t xml:space="preserve"> Foods </w:t>
      </w:r>
      <w:r w:rsidR="002A32FD">
        <w:rPr>
          <w:rFonts w:cs="Arial"/>
          <w:bCs/>
        </w:rPr>
        <w:t>awardee</w:t>
      </w:r>
      <w:r w:rsidR="00AE18D6">
        <w:rPr>
          <w:rFonts w:cs="Arial"/>
          <w:bCs/>
        </w:rPr>
        <w:t xml:space="preserve"> organization</w:t>
      </w:r>
      <w:r w:rsidR="00801DD6">
        <w:rPr>
          <w:rFonts w:cs="Arial"/>
          <w:bCs/>
        </w:rPr>
        <w:t xml:space="preserve">s (see </w:t>
      </w:r>
      <w:r w:rsidR="00801DD6" w:rsidRPr="00801DD6">
        <w:rPr>
          <w:rFonts w:cs="Arial"/>
          <w:b/>
          <w:bCs/>
        </w:rPr>
        <w:t>Attachment 3</w:t>
      </w:r>
      <w:r w:rsidR="00AE18D6">
        <w:rPr>
          <w:rFonts w:cs="Arial"/>
          <w:bCs/>
        </w:rPr>
        <w:t>)</w:t>
      </w:r>
      <w:r w:rsidR="00AE18D6" w:rsidRPr="00DF12B8">
        <w:rPr>
          <w:rFonts w:cs="Arial"/>
          <w:bCs/>
        </w:rPr>
        <w:t xml:space="preserve">.  </w:t>
      </w:r>
      <w:r w:rsidR="00AE18D6">
        <w:rPr>
          <w:rFonts w:cs="Arial"/>
          <w:bCs/>
        </w:rPr>
        <w:t>The information to be col</w:t>
      </w:r>
      <w:r w:rsidR="00F04B69">
        <w:rPr>
          <w:rFonts w:cs="Arial"/>
          <w:bCs/>
        </w:rPr>
        <w:t xml:space="preserve">lected relates to </w:t>
      </w:r>
      <w:r w:rsidR="002A32FD">
        <w:rPr>
          <w:rFonts w:cs="Arial"/>
          <w:bCs/>
        </w:rPr>
        <w:t>awardee</w:t>
      </w:r>
      <w:r w:rsidR="00AE18D6">
        <w:rPr>
          <w:rFonts w:cs="Arial"/>
          <w:bCs/>
        </w:rPr>
        <w:t xml:space="preserve"> activities and performance measures.  No personal information, such as knowledge, attitudes, or opinions, will be collected.  A contact person will be identified for each </w:t>
      </w:r>
      <w:r w:rsidR="002A32FD">
        <w:rPr>
          <w:rFonts w:cs="Arial"/>
          <w:bCs/>
        </w:rPr>
        <w:t>awardee</w:t>
      </w:r>
      <w:r w:rsidR="00AE18D6">
        <w:rPr>
          <w:rFonts w:cs="Arial"/>
          <w:bCs/>
        </w:rPr>
        <w:t>.</w:t>
      </w:r>
      <w:r w:rsidR="00720DAE">
        <w:rPr>
          <w:rFonts w:cs="Arial"/>
          <w:bCs/>
        </w:rPr>
        <w:t xml:space="preserve">  </w:t>
      </w:r>
    </w:p>
    <w:p w:rsidR="008C2ACE" w:rsidRPr="00DF12B8" w:rsidRDefault="008C2ACE" w:rsidP="00553CB5">
      <w:pPr>
        <w:rPr>
          <w:rFonts w:cs="Arial"/>
          <w:bCs/>
        </w:rPr>
      </w:pPr>
    </w:p>
    <w:p w:rsidR="008C2ACE" w:rsidRPr="0082737D" w:rsidRDefault="008C2ACE" w:rsidP="00801DD6">
      <w:pPr>
        <w:ind w:firstLine="540"/>
        <w:rPr>
          <w:rFonts w:cs="Arial"/>
          <w:bCs/>
          <w:u w:val="single"/>
        </w:rPr>
      </w:pPr>
      <w:r w:rsidRPr="0082737D">
        <w:rPr>
          <w:rFonts w:cs="Arial"/>
          <w:bCs/>
          <w:u w:val="single"/>
        </w:rPr>
        <w:t xml:space="preserve">Privacy Act Determination  </w:t>
      </w:r>
    </w:p>
    <w:p w:rsidR="008C2ACE" w:rsidRPr="00DF12B8" w:rsidRDefault="008C2ACE" w:rsidP="00553CB5">
      <w:pPr>
        <w:rPr>
          <w:rFonts w:cs="Arial"/>
          <w:bCs/>
        </w:rPr>
      </w:pPr>
    </w:p>
    <w:p w:rsidR="008C2ACE" w:rsidRPr="00856C70" w:rsidRDefault="008C2ACE" w:rsidP="00930A83">
      <w:pPr>
        <w:pStyle w:val="NormalWeb"/>
        <w:tabs>
          <w:tab w:val="left" w:pos="540"/>
        </w:tabs>
        <w:spacing w:before="0" w:beforeAutospacing="0" w:after="0" w:afterAutospacing="0"/>
        <w:ind w:left="540"/>
        <w:rPr>
          <w:bCs/>
        </w:rPr>
      </w:pPr>
      <w:r>
        <w:t xml:space="preserve">This information collection request has been reviewed by staff in </w:t>
      </w:r>
      <w:r w:rsidRPr="00DF12B8">
        <w:t>CDC</w:t>
      </w:r>
      <w:r>
        <w:t>’s</w:t>
      </w:r>
      <w:r w:rsidRPr="00DF12B8">
        <w:t xml:space="preserve"> </w:t>
      </w:r>
      <w:r w:rsidR="007B246F">
        <w:t>National Center for Chronic Disease Prevention and Health Promotion (NCCDPHP)</w:t>
      </w:r>
      <w:r>
        <w:t>, who</w:t>
      </w:r>
      <w:r w:rsidRPr="00DF12B8">
        <w:t xml:space="preserve"> determined that the Privacy Act is not applicable. </w:t>
      </w:r>
      <w:r w:rsidR="007D6F8B">
        <w:t xml:space="preserve">The only information in identifiable form (IIF) is the name and contact information of the </w:t>
      </w:r>
      <w:r w:rsidR="00D167DB">
        <w:t xml:space="preserve">contact person who submits the SDE form on behalf of the </w:t>
      </w:r>
      <w:r w:rsidR="002A32FD">
        <w:t>awardee</w:t>
      </w:r>
      <w:r w:rsidR="00D167DB">
        <w:t xml:space="preserve"> organization</w:t>
      </w:r>
      <w:r w:rsidR="007D6F8B">
        <w:t xml:space="preserve">. </w:t>
      </w:r>
      <w:r w:rsidR="00D167DB">
        <w:t xml:space="preserve"> The contact person is </w:t>
      </w:r>
      <w:r w:rsidR="007B246F">
        <w:t>providing information based on</w:t>
      </w:r>
      <w:r w:rsidR="00D167DB">
        <w:t xml:space="preserve"> his or </w:t>
      </w:r>
      <w:r w:rsidR="00D167DB">
        <w:lastRenderedPageBreak/>
        <w:t>her role</w:t>
      </w:r>
      <w:r w:rsidRPr="00DF12B8">
        <w:t xml:space="preserve"> as</w:t>
      </w:r>
      <w:r w:rsidR="00D167DB">
        <w:t xml:space="preserve"> a</w:t>
      </w:r>
      <w:r w:rsidRPr="00DF12B8">
        <w:t xml:space="preserve"> represen</w:t>
      </w:r>
      <w:r w:rsidR="00D167DB">
        <w:t xml:space="preserve">tative of the </w:t>
      </w:r>
      <w:r w:rsidR="002A32FD">
        <w:t>awardee</w:t>
      </w:r>
      <w:r w:rsidR="00D60926">
        <w:t xml:space="preserve"> organization</w:t>
      </w:r>
      <w:r w:rsidR="00D167DB">
        <w:t>.  The contact person</w:t>
      </w:r>
      <w:r w:rsidR="00D60926">
        <w:t xml:space="preserve"> will not </w:t>
      </w:r>
      <w:r w:rsidR="00D167DB">
        <w:rPr>
          <w:bCs/>
        </w:rPr>
        <w:t>r</w:t>
      </w:r>
      <w:r w:rsidR="00D60926">
        <w:rPr>
          <w:bCs/>
        </w:rPr>
        <w:t>e</w:t>
      </w:r>
      <w:r w:rsidR="00D167DB">
        <w:rPr>
          <w:bCs/>
        </w:rPr>
        <w:t>port</w:t>
      </w:r>
      <w:r w:rsidRPr="00DD09D7">
        <w:rPr>
          <w:bCs/>
        </w:rPr>
        <w:t xml:space="preserve"> any personal </w:t>
      </w:r>
      <w:r w:rsidR="00D60926">
        <w:rPr>
          <w:bCs/>
        </w:rPr>
        <w:t xml:space="preserve">or </w:t>
      </w:r>
      <w:r w:rsidR="00D60926" w:rsidRPr="00856C70">
        <w:rPr>
          <w:bCs/>
        </w:rPr>
        <w:t>sensitive information</w:t>
      </w:r>
      <w:r w:rsidRPr="00856C70">
        <w:rPr>
          <w:bCs/>
        </w:rPr>
        <w:t>.</w:t>
      </w:r>
    </w:p>
    <w:p w:rsidR="00C76913" w:rsidRDefault="00C76913" w:rsidP="00930A83">
      <w:pPr>
        <w:pStyle w:val="NormalWeb"/>
        <w:tabs>
          <w:tab w:val="left" w:pos="540"/>
        </w:tabs>
        <w:spacing w:before="0" w:beforeAutospacing="0" w:after="0" w:afterAutospacing="0"/>
        <w:rPr>
          <w:bCs/>
        </w:rPr>
      </w:pPr>
    </w:p>
    <w:p w:rsidR="00801DD6" w:rsidRPr="0082737D" w:rsidRDefault="00801DD6" w:rsidP="00930A83">
      <w:pPr>
        <w:pStyle w:val="NormalWeb"/>
        <w:tabs>
          <w:tab w:val="left" w:pos="540"/>
        </w:tabs>
        <w:spacing w:before="0" w:beforeAutospacing="0" w:after="0" w:afterAutospacing="0"/>
        <w:ind w:firstLine="540"/>
        <w:rPr>
          <w:bCs/>
          <w:u w:val="single"/>
        </w:rPr>
      </w:pPr>
      <w:r w:rsidRPr="0082737D">
        <w:rPr>
          <w:bCs/>
          <w:u w:val="single"/>
        </w:rPr>
        <w:t>Safeguards</w:t>
      </w:r>
    </w:p>
    <w:p w:rsidR="008C2ACE" w:rsidRPr="00856C70" w:rsidRDefault="008C2ACE" w:rsidP="00930A83">
      <w:pPr>
        <w:tabs>
          <w:tab w:val="left" w:pos="540"/>
        </w:tabs>
        <w:rPr>
          <w:rFonts w:cs="Arial"/>
          <w:bCs/>
        </w:rPr>
      </w:pPr>
    </w:p>
    <w:p w:rsidR="008C2ACE" w:rsidRPr="00DF12B8" w:rsidRDefault="00F04B69" w:rsidP="00930A83">
      <w:pPr>
        <w:tabs>
          <w:tab w:val="left" w:pos="540"/>
        </w:tabs>
        <w:ind w:left="540"/>
        <w:rPr>
          <w:rFonts w:cs="Arial"/>
          <w:szCs w:val="22"/>
        </w:rPr>
      </w:pPr>
      <w:r>
        <w:rPr>
          <w:rFonts w:cs="Arial"/>
          <w:szCs w:val="22"/>
        </w:rPr>
        <w:t xml:space="preserve">CDC intends to report primarily on aggregated summaries, however, no guarantees of privacy will be offered.  </w:t>
      </w:r>
      <w:r w:rsidRPr="00856C70">
        <w:rPr>
          <w:rFonts w:cs="Arial"/>
          <w:bCs/>
        </w:rPr>
        <w:t>The</w:t>
      </w:r>
      <w:r>
        <w:rPr>
          <w:rFonts w:cs="Arial"/>
          <w:bCs/>
        </w:rPr>
        <w:t xml:space="preserve"> majority of planned reports will be based on analysis of aggregate data, although individualized feedback will be provided to each </w:t>
      </w:r>
      <w:r w:rsidR="002A32FD">
        <w:rPr>
          <w:rFonts w:cs="Arial"/>
          <w:bCs/>
        </w:rPr>
        <w:t>awardee</w:t>
      </w:r>
      <w:r w:rsidRPr="00DF12B8">
        <w:rPr>
          <w:rFonts w:cs="Arial"/>
          <w:szCs w:val="22"/>
        </w:rPr>
        <w:t>.</w:t>
      </w:r>
      <w:r>
        <w:rPr>
          <w:rFonts w:cs="Arial"/>
          <w:szCs w:val="22"/>
        </w:rPr>
        <w:t xml:space="preserve">  </w:t>
      </w:r>
      <w:r w:rsidR="00E356CA">
        <w:rPr>
          <w:rFonts w:cs="Arial"/>
          <w:szCs w:val="22"/>
        </w:rPr>
        <w:t xml:space="preserve">The intent of the information collection is to improve CDC’s ability to describe activities and products supported by the Traditional Foods program, and to facilitate sharing of successful </w:t>
      </w:r>
      <w:r w:rsidR="00557C3B">
        <w:rPr>
          <w:rFonts w:cs="Arial"/>
          <w:szCs w:val="22"/>
        </w:rPr>
        <w:t xml:space="preserve">community-based </w:t>
      </w:r>
      <w:r w:rsidR="00E356CA">
        <w:rPr>
          <w:rFonts w:cs="Arial"/>
          <w:szCs w:val="22"/>
        </w:rPr>
        <w:t>strategies</w:t>
      </w:r>
      <w:r w:rsidR="00557C3B">
        <w:rPr>
          <w:rFonts w:cs="Arial"/>
          <w:szCs w:val="22"/>
        </w:rPr>
        <w:t xml:space="preserve"> for diabetes prevention and health promotion</w:t>
      </w:r>
      <w:r w:rsidR="00E356CA">
        <w:rPr>
          <w:rFonts w:cs="Arial"/>
          <w:szCs w:val="22"/>
        </w:rPr>
        <w:t xml:space="preserve">.  </w:t>
      </w:r>
    </w:p>
    <w:p w:rsidR="008C2ACE" w:rsidRPr="00DF12B8" w:rsidRDefault="008C2ACE" w:rsidP="00930A83">
      <w:pPr>
        <w:tabs>
          <w:tab w:val="left" w:pos="540"/>
        </w:tabs>
        <w:rPr>
          <w:rFonts w:cs="Arial"/>
          <w:bCs/>
        </w:rPr>
      </w:pPr>
    </w:p>
    <w:p w:rsidR="008C2ACE" w:rsidRPr="0082737D" w:rsidRDefault="00E356CA" w:rsidP="00930A83">
      <w:pPr>
        <w:tabs>
          <w:tab w:val="left" w:pos="540"/>
        </w:tabs>
        <w:rPr>
          <w:rFonts w:cs="Arial"/>
          <w:bCs/>
          <w:u w:val="single"/>
        </w:rPr>
      </w:pPr>
      <w:r>
        <w:rPr>
          <w:rFonts w:cs="Arial"/>
          <w:bCs/>
        </w:rPr>
        <w:tab/>
      </w:r>
      <w:r w:rsidRPr="0082737D">
        <w:rPr>
          <w:rFonts w:cs="Arial"/>
          <w:bCs/>
          <w:u w:val="single"/>
        </w:rPr>
        <w:t>Consent</w:t>
      </w:r>
    </w:p>
    <w:p w:rsidR="00E356CA" w:rsidRDefault="00E356CA" w:rsidP="00374DE5">
      <w:pPr>
        <w:ind w:left="540"/>
        <w:rPr>
          <w:rFonts w:cs="Arial"/>
          <w:bCs/>
        </w:rPr>
      </w:pPr>
    </w:p>
    <w:p w:rsidR="00E80371" w:rsidRPr="00DF12B8" w:rsidRDefault="00E80371" w:rsidP="00E80371">
      <w:pPr>
        <w:tabs>
          <w:tab w:val="left" w:pos="540"/>
        </w:tabs>
        <w:ind w:left="540"/>
        <w:rPr>
          <w:rFonts w:cs="Arial"/>
          <w:bCs/>
        </w:rPr>
      </w:pPr>
      <w:r>
        <w:rPr>
          <w:rFonts w:cs="Arial"/>
          <w:bCs/>
        </w:rPr>
        <w:t>This information collection does not involve research with human subjects and does not require IRB approval or the consent of individual respondents.</w:t>
      </w:r>
    </w:p>
    <w:p w:rsidR="00374DE5" w:rsidRDefault="00374DE5" w:rsidP="00E356CA">
      <w:pPr>
        <w:rPr>
          <w:rFonts w:cs="Arial"/>
          <w:bCs/>
        </w:rPr>
      </w:pPr>
    </w:p>
    <w:p w:rsidR="00E80371" w:rsidRPr="0082737D" w:rsidRDefault="00E80371" w:rsidP="00E356CA">
      <w:pPr>
        <w:ind w:firstLine="540"/>
        <w:rPr>
          <w:rFonts w:cs="Arial"/>
          <w:bCs/>
          <w:u w:val="single"/>
        </w:rPr>
      </w:pPr>
      <w:r w:rsidRPr="0082737D">
        <w:rPr>
          <w:rFonts w:cs="Arial"/>
          <w:bCs/>
          <w:u w:val="single"/>
        </w:rPr>
        <w:t>Nature of Res</w:t>
      </w:r>
      <w:r w:rsidR="003D25D9" w:rsidRPr="0082737D">
        <w:rPr>
          <w:rFonts w:cs="Arial"/>
          <w:bCs/>
          <w:u w:val="single"/>
        </w:rPr>
        <w:t>p</w:t>
      </w:r>
      <w:r w:rsidRPr="0082737D">
        <w:rPr>
          <w:rFonts w:cs="Arial"/>
          <w:bCs/>
          <w:u w:val="single"/>
        </w:rPr>
        <w:t>onse</w:t>
      </w:r>
    </w:p>
    <w:p w:rsidR="00E80371" w:rsidRDefault="00E80371" w:rsidP="00E356CA">
      <w:pPr>
        <w:ind w:firstLine="540"/>
        <w:rPr>
          <w:rFonts w:cs="Arial"/>
          <w:bCs/>
        </w:rPr>
      </w:pPr>
    </w:p>
    <w:p w:rsidR="008C2ACE" w:rsidRDefault="00E356CA" w:rsidP="00000DCD">
      <w:pPr>
        <w:ind w:left="540"/>
        <w:rPr>
          <w:rFonts w:cs="Arial"/>
          <w:bCs/>
        </w:rPr>
      </w:pPr>
      <w:r>
        <w:rPr>
          <w:rFonts w:cs="Arial"/>
          <w:bCs/>
        </w:rPr>
        <w:t>Awardees agreed to participate in the information collection as a condition of award.</w:t>
      </w:r>
      <w:r w:rsidR="00000DCD">
        <w:rPr>
          <w:rFonts w:cs="Arial"/>
          <w:bCs/>
        </w:rPr>
        <w:t xml:space="preserve">  The nature of the data collection is explained in the advance notification letter to </w:t>
      </w:r>
      <w:r w:rsidR="00BE5D21">
        <w:rPr>
          <w:rFonts w:cs="Arial"/>
          <w:bCs/>
        </w:rPr>
        <w:t>awardees</w:t>
      </w:r>
      <w:r w:rsidR="00000DCD">
        <w:rPr>
          <w:rFonts w:cs="Arial"/>
          <w:bCs/>
        </w:rPr>
        <w:t xml:space="preserve"> (</w:t>
      </w:r>
      <w:r w:rsidR="00000DCD" w:rsidRPr="00000DCD">
        <w:rPr>
          <w:rFonts w:cs="Arial"/>
          <w:b/>
          <w:bCs/>
        </w:rPr>
        <w:t>Attachment 4b</w:t>
      </w:r>
      <w:r w:rsidR="00000DCD">
        <w:rPr>
          <w:rFonts w:cs="Arial"/>
          <w:bCs/>
        </w:rPr>
        <w:t>) and the email cover letter that contains a link to the Survey Monkey website (</w:t>
      </w:r>
      <w:r w:rsidR="00000DCD" w:rsidRPr="00000DCD">
        <w:rPr>
          <w:rFonts w:cs="Arial"/>
          <w:b/>
          <w:bCs/>
        </w:rPr>
        <w:t>Attachment 4c</w:t>
      </w:r>
      <w:r w:rsidR="00000DCD">
        <w:rPr>
          <w:rFonts w:cs="Arial"/>
          <w:bCs/>
        </w:rPr>
        <w:t>).</w:t>
      </w:r>
    </w:p>
    <w:p w:rsidR="008C2ACE" w:rsidRPr="00DF12B8" w:rsidRDefault="008C2ACE" w:rsidP="00E80371">
      <w:pPr>
        <w:rPr>
          <w:rFonts w:cs="Arial"/>
        </w:rPr>
      </w:pPr>
    </w:p>
    <w:p w:rsidR="008C2ACE" w:rsidRPr="00E80371" w:rsidRDefault="00593563" w:rsidP="008C7188">
      <w:pPr>
        <w:ind w:left="540" w:hanging="540"/>
        <w:rPr>
          <w:rFonts w:cs="Arial"/>
          <w:b/>
        </w:rPr>
      </w:pPr>
      <w:r>
        <w:rPr>
          <w:rFonts w:cs="Arial"/>
          <w:b/>
        </w:rPr>
        <w:t>A11</w:t>
      </w:r>
      <w:r w:rsidR="008C2ACE" w:rsidRPr="00E80371">
        <w:rPr>
          <w:rFonts w:cs="Arial"/>
          <w:b/>
        </w:rPr>
        <w:t>.</w:t>
      </w:r>
      <w:r w:rsidR="008C2ACE" w:rsidRPr="00E80371">
        <w:rPr>
          <w:rFonts w:cs="Arial"/>
          <w:b/>
        </w:rPr>
        <w:tab/>
        <w:t>Justification for Sensitive Questions</w:t>
      </w:r>
    </w:p>
    <w:p w:rsidR="008C2ACE" w:rsidRDefault="008C2ACE" w:rsidP="008C7188">
      <w:pPr>
        <w:ind w:left="540" w:hanging="540"/>
        <w:rPr>
          <w:rFonts w:cs="Arial"/>
        </w:rPr>
      </w:pPr>
    </w:p>
    <w:p w:rsidR="008C2ACE" w:rsidRPr="00DF12B8" w:rsidRDefault="00E80371" w:rsidP="00E80371">
      <w:pPr>
        <w:ind w:left="540"/>
        <w:rPr>
          <w:rFonts w:cs="Arial"/>
          <w:bCs/>
        </w:rPr>
      </w:pPr>
      <w:r>
        <w:rPr>
          <w:rFonts w:cs="Arial"/>
          <w:bCs/>
        </w:rPr>
        <w:t>Respondents are organizational entities providing information on activities conducted with program funds.  The</w:t>
      </w:r>
      <w:r w:rsidR="008C2ACE" w:rsidRPr="00DF12B8">
        <w:rPr>
          <w:rFonts w:cs="Arial"/>
          <w:bCs/>
        </w:rPr>
        <w:t xml:space="preserve"> p</w:t>
      </w:r>
      <w:r>
        <w:rPr>
          <w:rFonts w:cs="Arial"/>
          <w:bCs/>
        </w:rPr>
        <w:t xml:space="preserve">roposed project does not involve the collection of personal or sensitive information. </w:t>
      </w:r>
    </w:p>
    <w:p w:rsidR="008C2ACE" w:rsidRPr="00DF12B8" w:rsidRDefault="008C2ACE" w:rsidP="008C7188">
      <w:pPr>
        <w:ind w:left="540" w:hanging="540"/>
        <w:rPr>
          <w:rFonts w:cs="Arial"/>
        </w:rPr>
      </w:pPr>
    </w:p>
    <w:p w:rsidR="008C2ACE" w:rsidRPr="00E80371" w:rsidRDefault="00593563" w:rsidP="008C7188">
      <w:pPr>
        <w:ind w:left="540" w:hanging="540"/>
        <w:rPr>
          <w:rFonts w:cs="Arial"/>
          <w:b/>
        </w:rPr>
      </w:pPr>
      <w:r>
        <w:rPr>
          <w:rFonts w:cs="Arial"/>
          <w:b/>
        </w:rPr>
        <w:t>A12</w:t>
      </w:r>
      <w:r w:rsidR="008C2ACE" w:rsidRPr="00E80371">
        <w:rPr>
          <w:rFonts w:cs="Arial"/>
          <w:b/>
        </w:rPr>
        <w:t>.</w:t>
      </w:r>
      <w:r w:rsidR="008C2ACE" w:rsidRPr="00E80371">
        <w:rPr>
          <w:rFonts w:cs="Arial"/>
          <w:b/>
        </w:rPr>
        <w:tab/>
        <w:t>Estimates of Annualized Burden Hours and Costs</w:t>
      </w:r>
    </w:p>
    <w:p w:rsidR="008C2ACE" w:rsidRPr="00DF12B8" w:rsidRDefault="008C2ACE" w:rsidP="008C7188">
      <w:pPr>
        <w:ind w:left="540" w:hanging="540"/>
        <w:rPr>
          <w:rFonts w:cs="Arial"/>
        </w:rPr>
      </w:pPr>
    </w:p>
    <w:p w:rsidR="008C2ACE" w:rsidRDefault="00ED3EE2" w:rsidP="008C7188">
      <w:pPr>
        <w:ind w:left="540"/>
        <w:rPr>
          <w:rFonts w:cs="Arial"/>
        </w:rPr>
      </w:pPr>
      <w:proofErr w:type="gramStart"/>
      <w:r>
        <w:rPr>
          <w:rFonts w:cs="Arial"/>
        </w:rPr>
        <w:t>A1</w:t>
      </w:r>
      <w:r w:rsidR="007B246F">
        <w:rPr>
          <w:rFonts w:cs="Arial"/>
        </w:rPr>
        <w:t>2</w:t>
      </w:r>
      <w:r w:rsidR="008C2ACE" w:rsidRPr="00DF12B8">
        <w:rPr>
          <w:rFonts w:cs="Arial"/>
        </w:rPr>
        <w:t>-1.</w:t>
      </w:r>
      <w:proofErr w:type="gramEnd"/>
      <w:r w:rsidR="00703E51">
        <w:rPr>
          <w:rFonts w:cs="Arial"/>
        </w:rPr>
        <w:t xml:space="preserve">  </w:t>
      </w:r>
      <w:r w:rsidR="008C2ACE" w:rsidRPr="00DF12B8">
        <w:rPr>
          <w:rFonts w:cs="Arial"/>
        </w:rPr>
        <w:t>Estimated Annualized Burden Hours</w:t>
      </w:r>
    </w:p>
    <w:p w:rsidR="0082737D" w:rsidRDefault="0082737D" w:rsidP="008C7188">
      <w:pPr>
        <w:ind w:left="540"/>
        <w:rPr>
          <w:rFonts w:cs="Arial"/>
        </w:rPr>
      </w:pPr>
    </w:p>
    <w:p w:rsidR="005733B2" w:rsidRDefault="00801FFC" w:rsidP="00801FFC">
      <w:pPr>
        <w:ind w:left="540"/>
        <w:rPr>
          <w:rFonts w:cs="Arial"/>
        </w:rPr>
      </w:pPr>
      <w:r>
        <w:rPr>
          <w:rFonts w:cs="Arial"/>
        </w:rPr>
        <w:t xml:space="preserve">Respondents are </w:t>
      </w:r>
      <w:r w:rsidR="00BD5369">
        <w:rPr>
          <w:rFonts w:cs="Arial"/>
        </w:rPr>
        <w:t>16</w:t>
      </w:r>
      <w:r w:rsidR="000F7538">
        <w:rPr>
          <w:rFonts w:cs="Arial"/>
        </w:rPr>
        <w:t xml:space="preserve"> </w:t>
      </w:r>
      <w:r w:rsidR="00BE5D21">
        <w:rPr>
          <w:rFonts w:cs="Arial"/>
        </w:rPr>
        <w:t>awardees</w:t>
      </w:r>
      <w:r w:rsidR="00BD5369">
        <w:rPr>
          <w:rFonts w:cs="Arial"/>
        </w:rPr>
        <w:t xml:space="preserve"> currently</w:t>
      </w:r>
      <w:r w:rsidR="000F7538">
        <w:rPr>
          <w:rFonts w:cs="Arial"/>
        </w:rPr>
        <w:t xml:space="preserve"> funded through the </w:t>
      </w:r>
      <w:r>
        <w:rPr>
          <w:rFonts w:cs="Arial"/>
        </w:rPr>
        <w:t>Tradi</w:t>
      </w:r>
      <w:r w:rsidR="000F7538">
        <w:rPr>
          <w:rFonts w:cs="Arial"/>
        </w:rPr>
        <w:t xml:space="preserve">tional Foods </w:t>
      </w:r>
      <w:r>
        <w:rPr>
          <w:rFonts w:cs="Arial"/>
        </w:rPr>
        <w:t>cooperat</w:t>
      </w:r>
      <w:r w:rsidR="000F7538">
        <w:rPr>
          <w:rFonts w:cs="Arial"/>
        </w:rPr>
        <w:t>ive agreement</w:t>
      </w:r>
      <w:r>
        <w:rPr>
          <w:rFonts w:cs="Arial"/>
        </w:rPr>
        <w:t xml:space="preserve"> (see </w:t>
      </w:r>
      <w:r w:rsidRPr="00F04B69">
        <w:rPr>
          <w:rFonts w:cs="Arial"/>
          <w:b/>
        </w:rPr>
        <w:t>Attachment 3</w:t>
      </w:r>
      <w:r w:rsidR="00BD5369">
        <w:rPr>
          <w:rFonts w:cs="Arial"/>
        </w:rPr>
        <w:t>)</w:t>
      </w:r>
      <w:r w:rsidR="005733B2">
        <w:rPr>
          <w:rFonts w:cs="Arial"/>
        </w:rPr>
        <w:t>.</w:t>
      </w:r>
    </w:p>
    <w:p w:rsidR="005733B2" w:rsidRDefault="005733B2" w:rsidP="00801FFC">
      <w:pPr>
        <w:ind w:left="540"/>
        <w:rPr>
          <w:rFonts w:cs="Arial"/>
        </w:rPr>
      </w:pPr>
    </w:p>
    <w:p w:rsidR="008C2ACE" w:rsidRDefault="00BD5369" w:rsidP="008C7188">
      <w:pPr>
        <w:ind w:left="540"/>
      </w:pPr>
      <w:r>
        <w:t xml:space="preserve">Information has been collected semi-annually, in </w:t>
      </w:r>
      <w:proofErr w:type="gramStart"/>
      <w:r>
        <w:t>Spring</w:t>
      </w:r>
      <w:proofErr w:type="gramEnd"/>
      <w:r>
        <w:t xml:space="preserve"> and Fall.  One information collection will be conducted during the</w:t>
      </w:r>
      <w:r w:rsidR="00B956B7">
        <w:t xml:space="preserve"> six-month</w:t>
      </w:r>
      <w:r>
        <w:t xml:space="preserve"> period of this Revision request.</w:t>
      </w:r>
    </w:p>
    <w:p w:rsidR="00BD5369" w:rsidRDefault="00BD5369" w:rsidP="008C7188">
      <w:pPr>
        <w:ind w:left="540"/>
        <w:rPr>
          <w:rFonts w:cs="Arial"/>
        </w:rPr>
      </w:pPr>
    </w:p>
    <w:p w:rsidR="000F7538" w:rsidRDefault="00621FF1" w:rsidP="000F7538">
      <w:pPr>
        <w:ind w:left="540"/>
        <w:rPr>
          <w:rFonts w:cs="Arial"/>
        </w:rPr>
      </w:pPr>
      <w:r>
        <w:rPr>
          <w:rFonts w:cs="Arial"/>
        </w:rPr>
        <w:t xml:space="preserve">The </w:t>
      </w:r>
      <w:r w:rsidR="009849B1">
        <w:rPr>
          <w:rFonts w:cs="Arial"/>
        </w:rPr>
        <w:t xml:space="preserve">Traditional Foods </w:t>
      </w:r>
      <w:r>
        <w:rPr>
          <w:rFonts w:cs="Arial"/>
        </w:rPr>
        <w:t>Shared Data Elements (</w:t>
      </w:r>
      <w:r w:rsidRPr="00621FF1">
        <w:rPr>
          <w:rFonts w:cs="Arial"/>
          <w:b/>
        </w:rPr>
        <w:t>Attachment 4</w:t>
      </w:r>
      <w:r w:rsidR="00F04B69">
        <w:rPr>
          <w:rFonts w:cs="Arial"/>
          <w:b/>
        </w:rPr>
        <w:t>a</w:t>
      </w:r>
      <w:r>
        <w:rPr>
          <w:rFonts w:cs="Arial"/>
        </w:rPr>
        <w:t xml:space="preserve">) will be submitted </w:t>
      </w:r>
      <w:r w:rsidR="00866C5A">
        <w:rPr>
          <w:rFonts w:cs="Arial"/>
        </w:rPr>
        <w:t xml:space="preserve">to CDC </w:t>
      </w:r>
      <w:r>
        <w:rPr>
          <w:rFonts w:cs="Arial"/>
        </w:rPr>
        <w:t>usin</w:t>
      </w:r>
      <w:r w:rsidR="00BD5369">
        <w:rPr>
          <w:rFonts w:cs="Arial"/>
        </w:rPr>
        <w:t>g Survey Monkey, an electronic W</w:t>
      </w:r>
      <w:r>
        <w:rPr>
          <w:rFonts w:cs="Arial"/>
        </w:rPr>
        <w:t xml:space="preserve">eb-based interface.  Each </w:t>
      </w:r>
      <w:r w:rsidR="002A32FD">
        <w:rPr>
          <w:rFonts w:cs="Arial"/>
        </w:rPr>
        <w:t>awardee</w:t>
      </w:r>
      <w:r>
        <w:rPr>
          <w:rFonts w:cs="Arial"/>
        </w:rPr>
        <w:t xml:space="preserve"> will receive a personalized </w:t>
      </w:r>
      <w:r w:rsidR="009C245C">
        <w:rPr>
          <w:rFonts w:cs="Arial"/>
        </w:rPr>
        <w:t xml:space="preserve">advance </w:t>
      </w:r>
      <w:r>
        <w:rPr>
          <w:rFonts w:cs="Arial"/>
        </w:rPr>
        <w:t>notification letter (</w:t>
      </w:r>
      <w:r w:rsidRPr="00621FF1">
        <w:rPr>
          <w:rFonts w:cs="Arial"/>
          <w:b/>
        </w:rPr>
        <w:t>Attachment 4</w:t>
      </w:r>
      <w:r w:rsidR="009C245C">
        <w:rPr>
          <w:rFonts w:cs="Arial"/>
          <w:b/>
        </w:rPr>
        <w:t>b</w:t>
      </w:r>
      <w:r>
        <w:rPr>
          <w:rFonts w:cs="Arial"/>
        </w:rPr>
        <w:t>)</w:t>
      </w:r>
      <w:r w:rsidR="009C245C">
        <w:rPr>
          <w:rFonts w:cs="Arial"/>
        </w:rPr>
        <w:t>, followed by an email with a link to the Survey Monkey site (</w:t>
      </w:r>
      <w:r w:rsidR="009C245C" w:rsidRPr="009C245C">
        <w:rPr>
          <w:rFonts w:cs="Arial"/>
          <w:b/>
        </w:rPr>
        <w:t>Attachment 4c</w:t>
      </w:r>
      <w:r w:rsidR="009C245C">
        <w:rPr>
          <w:rFonts w:cs="Arial"/>
        </w:rPr>
        <w:t>)</w:t>
      </w:r>
      <w:r w:rsidR="000F7538">
        <w:rPr>
          <w:rFonts w:cs="Arial"/>
        </w:rPr>
        <w:t xml:space="preserve">.  </w:t>
      </w:r>
      <w:r>
        <w:rPr>
          <w:rFonts w:cs="Arial"/>
        </w:rPr>
        <w:t>The average estimated bu</w:t>
      </w:r>
      <w:r w:rsidR="00A55E41">
        <w:rPr>
          <w:rFonts w:cs="Arial"/>
        </w:rPr>
        <w:t>rden per response is two</w:t>
      </w:r>
      <w:r w:rsidR="000F7538">
        <w:rPr>
          <w:rFonts w:cs="Arial"/>
        </w:rPr>
        <w:t xml:space="preserve"> hours</w:t>
      </w:r>
      <w:r w:rsidRPr="000F7538">
        <w:rPr>
          <w:rFonts w:cs="Arial"/>
        </w:rPr>
        <w:t>.</w:t>
      </w:r>
    </w:p>
    <w:p w:rsidR="005733B2" w:rsidRDefault="005733B2" w:rsidP="000F7538">
      <w:pPr>
        <w:ind w:left="540"/>
        <w:rPr>
          <w:rFonts w:cs="Arial"/>
        </w:rPr>
      </w:pPr>
    </w:p>
    <w:p w:rsidR="000F5CB2" w:rsidRDefault="000F5CB2" w:rsidP="000F7538">
      <w:pPr>
        <w:ind w:left="540"/>
        <w:rPr>
          <w:rFonts w:cs="Arial"/>
        </w:rPr>
      </w:pPr>
      <w:r>
        <w:rPr>
          <w:rFonts w:cs="Arial"/>
        </w:rPr>
        <w:lastRenderedPageBreak/>
        <w:t xml:space="preserve">The total estimated annualized burden for </w:t>
      </w:r>
      <w:r w:rsidR="003C6700">
        <w:rPr>
          <w:rFonts w:cs="Arial"/>
        </w:rPr>
        <w:t xml:space="preserve">the </w:t>
      </w:r>
      <w:r>
        <w:rPr>
          <w:rFonts w:cs="Arial"/>
        </w:rPr>
        <w:t>information collection</w:t>
      </w:r>
      <w:r w:rsidR="003C6700">
        <w:rPr>
          <w:rFonts w:cs="Arial"/>
        </w:rPr>
        <w:t>s</w:t>
      </w:r>
      <w:r w:rsidR="008239A1">
        <w:rPr>
          <w:rFonts w:cs="Arial"/>
        </w:rPr>
        <w:t xml:space="preserve"> is 32</w:t>
      </w:r>
      <w:r>
        <w:rPr>
          <w:rFonts w:cs="Arial"/>
        </w:rPr>
        <w:t xml:space="preserve"> hours.</w:t>
      </w:r>
    </w:p>
    <w:p w:rsidR="004646AB" w:rsidRDefault="004646AB" w:rsidP="00621FF1">
      <w:pPr>
        <w:pStyle w:val="Default"/>
        <w:tabs>
          <w:tab w:val="left" w:pos="0"/>
        </w:tabs>
        <w:rPr>
          <w:rFonts w:ascii="Times New Roman" w:hAnsi="Times New Roman"/>
          <w:b/>
          <w:u w:val="single"/>
        </w:rPr>
      </w:pPr>
    </w:p>
    <w:p w:rsidR="004646AB" w:rsidRDefault="004646AB" w:rsidP="00621FF1">
      <w:pPr>
        <w:pStyle w:val="Default"/>
        <w:tabs>
          <w:tab w:val="left" w:pos="0"/>
        </w:tabs>
        <w:rPr>
          <w:rFonts w:ascii="Times New Roman" w:hAnsi="Times New Roman"/>
          <w:b/>
          <w:u w:val="single"/>
        </w:rPr>
      </w:pPr>
    </w:p>
    <w:p w:rsidR="00621FF1" w:rsidRDefault="00593563" w:rsidP="00621FF1">
      <w:pPr>
        <w:pStyle w:val="Default"/>
        <w:tabs>
          <w:tab w:val="left" w:pos="0"/>
        </w:tabs>
        <w:rPr>
          <w:rFonts w:ascii="Times New Roman" w:hAnsi="Times New Roman"/>
          <w:b/>
          <w:u w:val="single"/>
        </w:rPr>
      </w:pPr>
      <w:proofErr w:type="gramStart"/>
      <w:r>
        <w:rPr>
          <w:rFonts w:ascii="Times New Roman" w:hAnsi="Times New Roman"/>
          <w:b/>
          <w:u w:val="single"/>
        </w:rPr>
        <w:t>Table A.12</w:t>
      </w:r>
      <w:r w:rsidR="00621FF1" w:rsidRPr="00A14A4F">
        <w:rPr>
          <w:rFonts w:ascii="Times New Roman" w:hAnsi="Times New Roman"/>
          <w:b/>
          <w:u w:val="single"/>
        </w:rPr>
        <w:t>-1.</w:t>
      </w:r>
      <w:proofErr w:type="gramEnd"/>
      <w:r w:rsidR="00621FF1" w:rsidRPr="00A14A4F">
        <w:rPr>
          <w:rFonts w:ascii="Times New Roman" w:hAnsi="Times New Roman"/>
          <w:b/>
          <w:u w:val="single"/>
        </w:rPr>
        <w:t xml:space="preserve"> Estimated Annualized Burden Hours</w:t>
      </w:r>
    </w:p>
    <w:p w:rsidR="00621FF1" w:rsidRPr="00A14A4F" w:rsidRDefault="00621FF1" w:rsidP="00621FF1">
      <w:pPr>
        <w:pStyle w:val="Default"/>
        <w:tabs>
          <w:tab w:val="left" w:pos="0"/>
        </w:tabs>
        <w:rPr>
          <w:rFonts w:ascii="Times New Roman" w:hAnsi="Times New Roman"/>
          <w:b/>
          <w:u w:val="single"/>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10"/>
        <w:gridCol w:w="1530"/>
        <w:gridCol w:w="1620"/>
        <w:gridCol w:w="1530"/>
        <w:gridCol w:w="1080"/>
      </w:tblGrid>
      <w:tr w:rsidR="00621FF1" w:rsidRPr="00854F42" w:rsidTr="00E75552">
        <w:trPr>
          <w:trHeight w:val="647"/>
        </w:trPr>
        <w:tc>
          <w:tcPr>
            <w:tcW w:w="1530" w:type="dxa"/>
          </w:tcPr>
          <w:p w:rsidR="00621FF1" w:rsidRPr="00854F42" w:rsidRDefault="00621FF1" w:rsidP="000C1C32">
            <w:pPr>
              <w:pStyle w:val="Default"/>
              <w:tabs>
                <w:tab w:val="left" w:pos="0"/>
              </w:tabs>
              <w:rPr>
                <w:rFonts w:ascii="Times New Roman" w:hAnsi="Times New Roman"/>
              </w:rPr>
            </w:pPr>
            <w:r w:rsidRPr="00854F42">
              <w:rPr>
                <w:rFonts w:ascii="Times New Roman" w:hAnsi="Times New Roman"/>
              </w:rPr>
              <w:t>Type of Respondents</w:t>
            </w:r>
          </w:p>
        </w:tc>
        <w:tc>
          <w:tcPr>
            <w:tcW w:w="1710" w:type="dxa"/>
          </w:tcPr>
          <w:p w:rsidR="00621FF1" w:rsidRPr="00854F42" w:rsidRDefault="00621FF1" w:rsidP="000C1C32">
            <w:pPr>
              <w:pStyle w:val="Default"/>
              <w:tabs>
                <w:tab w:val="left" w:pos="0"/>
              </w:tabs>
              <w:jc w:val="center"/>
              <w:rPr>
                <w:rFonts w:ascii="Times New Roman" w:hAnsi="Times New Roman"/>
              </w:rPr>
            </w:pPr>
            <w:r w:rsidRPr="00854F42">
              <w:rPr>
                <w:rFonts w:ascii="Times New Roman" w:hAnsi="Times New Roman"/>
              </w:rPr>
              <w:t>Form Name</w:t>
            </w:r>
          </w:p>
        </w:tc>
        <w:tc>
          <w:tcPr>
            <w:tcW w:w="1530" w:type="dxa"/>
          </w:tcPr>
          <w:p w:rsidR="00621FF1" w:rsidRPr="00854F42" w:rsidRDefault="00621FF1" w:rsidP="000C1C32">
            <w:pPr>
              <w:pStyle w:val="Default"/>
              <w:tabs>
                <w:tab w:val="left" w:pos="0"/>
              </w:tabs>
              <w:jc w:val="center"/>
              <w:rPr>
                <w:rFonts w:ascii="Times New Roman" w:hAnsi="Times New Roman"/>
              </w:rPr>
            </w:pPr>
            <w:r w:rsidRPr="00854F42">
              <w:rPr>
                <w:rFonts w:ascii="Times New Roman" w:hAnsi="Times New Roman"/>
              </w:rPr>
              <w:t>No. of Respondents</w:t>
            </w:r>
          </w:p>
        </w:tc>
        <w:tc>
          <w:tcPr>
            <w:tcW w:w="1620" w:type="dxa"/>
          </w:tcPr>
          <w:p w:rsidR="00621FF1" w:rsidRPr="00854F42" w:rsidRDefault="00621FF1" w:rsidP="000C1C32">
            <w:pPr>
              <w:pStyle w:val="Default"/>
              <w:tabs>
                <w:tab w:val="left" w:pos="0"/>
              </w:tabs>
              <w:jc w:val="center"/>
              <w:rPr>
                <w:rFonts w:ascii="Times New Roman" w:hAnsi="Times New Roman"/>
              </w:rPr>
            </w:pPr>
            <w:r w:rsidRPr="00854F42">
              <w:rPr>
                <w:rFonts w:ascii="Times New Roman" w:hAnsi="Times New Roman"/>
              </w:rPr>
              <w:t>No. of Responses per Respondent</w:t>
            </w:r>
          </w:p>
        </w:tc>
        <w:tc>
          <w:tcPr>
            <w:tcW w:w="1530" w:type="dxa"/>
          </w:tcPr>
          <w:p w:rsidR="00621FF1" w:rsidRPr="00854F42" w:rsidRDefault="00621FF1" w:rsidP="000C1C32">
            <w:pPr>
              <w:pStyle w:val="Default"/>
              <w:tabs>
                <w:tab w:val="left" w:pos="0"/>
              </w:tabs>
              <w:jc w:val="center"/>
              <w:rPr>
                <w:rFonts w:ascii="Times New Roman" w:hAnsi="Times New Roman"/>
              </w:rPr>
            </w:pPr>
            <w:r w:rsidRPr="00854F42">
              <w:rPr>
                <w:rFonts w:ascii="Times New Roman" w:hAnsi="Times New Roman"/>
              </w:rPr>
              <w:t xml:space="preserve">Avg. Burden per Response (in </w:t>
            </w:r>
            <w:proofErr w:type="spellStart"/>
            <w:r w:rsidRPr="00854F42">
              <w:rPr>
                <w:rFonts w:ascii="Times New Roman" w:hAnsi="Times New Roman"/>
              </w:rPr>
              <w:t>hrs</w:t>
            </w:r>
            <w:proofErr w:type="spellEnd"/>
            <w:r w:rsidRPr="00854F42">
              <w:rPr>
                <w:rFonts w:ascii="Times New Roman" w:hAnsi="Times New Roman"/>
              </w:rPr>
              <w:t>)</w:t>
            </w:r>
          </w:p>
        </w:tc>
        <w:tc>
          <w:tcPr>
            <w:tcW w:w="1080" w:type="dxa"/>
          </w:tcPr>
          <w:p w:rsidR="00621FF1" w:rsidRPr="00854F42" w:rsidRDefault="00621FF1" w:rsidP="000C1C32">
            <w:pPr>
              <w:pStyle w:val="Default"/>
              <w:tabs>
                <w:tab w:val="left" w:pos="0"/>
              </w:tabs>
              <w:jc w:val="center"/>
              <w:rPr>
                <w:rFonts w:ascii="Times New Roman" w:hAnsi="Times New Roman"/>
              </w:rPr>
            </w:pPr>
            <w:r w:rsidRPr="00854F42">
              <w:rPr>
                <w:rFonts w:ascii="Times New Roman" w:hAnsi="Times New Roman"/>
              </w:rPr>
              <w:t xml:space="preserve">Total Burden (in </w:t>
            </w:r>
            <w:proofErr w:type="spellStart"/>
            <w:r w:rsidRPr="00854F42">
              <w:rPr>
                <w:rFonts w:ascii="Times New Roman" w:hAnsi="Times New Roman"/>
              </w:rPr>
              <w:t>hrs</w:t>
            </w:r>
            <w:proofErr w:type="spellEnd"/>
            <w:r w:rsidRPr="00854F42">
              <w:rPr>
                <w:rFonts w:ascii="Times New Roman" w:hAnsi="Times New Roman"/>
              </w:rPr>
              <w:t>)</w:t>
            </w:r>
          </w:p>
        </w:tc>
      </w:tr>
      <w:tr w:rsidR="003A11FE" w:rsidRPr="00854F42" w:rsidTr="00E054BA">
        <w:tc>
          <w:tcPr>
            <w:tcW w:w="1530" w:type="dxa"/>
            <w:vAlign w:val="center"/>
          </w:tcPr>
          <w:p w:rsidR="003A11FE" w:rsidRPr="00854F42" w:rsidRDefault="003A11FE" w:rsidP="00E054BA">
            <w:pPr>
              <w:pStyle w:val="Default"/>
              <w:tabs>
                <w:tab w:val="left" w:pos="0"/>
              </w:tabs>
              <w:jc w:val="center"/>
              <w:rPr>
                <w:rFonts w:ascii="Times New Roman" w:hAnsi="Times New Roman"/>
              </w:rPr>
            </w:pPr>
            <w:r>
              <w:rPr>
                <w:rFonts w:ascii="Times New Roman" w:hAnsi="Times New Roman"/>
              </w:rPr>
              <w:t xml:space="preserve">AI/AN Tribal </w:t>
            </w:r>
            <w:r w:rsidR="00BE5D21">
              <w:rPr>
                <w:rFonts w:ascii="Times New Roman" w:hAnsi="Times New Roman"/>
              </w:rPr>
              <w:t>Awardees</w:t>
            </w:r>
          </w:p>
        </w:tc>
        <w:tc>
          <w:tcPr>
            <w:tcW w:w="1710" w:type="dxa"/>
            <w:vAlign w:val="center"/>
          </w:tcPr>
          <w:p w:rsidR="003A11FE" w:rsidRPr="00854F42" w:rsidRDefault="003A11FE" w:rsidP="00E054BA">
            <w:pPr>
              <w:pStyle w:val="Default"/>
              <w:tabs>
                <w:tab w:val="left" w:pos="0"/>
              </w:tabs>
              <w:jc w:val="center"/>
              <w:rPr>
                <w:rFonts w:ascii="Times New Roman" w:hAnsi="Times New Roman"/>
              </w:rPr>
            </w:pPr>
            <w:r>
              <w:rPr>
                <w:rFonts w:ascii="Times New Roman" w:hAnsi="Times New Roman"/>
              </w:rPr>
              <w:t>Traditional Foods Shared Data Elements</w:t>
            </w:r>
          </w:p>
        </w:tc>
        <w:tc>
          <w:tcPr>
            <w:tcW w:w="1530" w:type="dxa"/>
            <w:vAlign w:val="center"/>
          </w:tcPr>
          <w:p w:rsidR="003A11FE" w:rsidRPr="00854F42" w:rsidRDefault="00BD5369" w:rsidP="00E054BA">
            <w:pPr>
              <w:pStyle w:val="Default"/>
              <w:tabs>
                <w:tab w:val="left" w:pos="0"/>
              </w:tabs>
              <w:jc w:val="center"/>
              <w:rPr>
                <w:rFonts w:ascii="Times New Roman" w:hAnsi="Times New Roman"/>
              </w:rPr>
            </w:pPr>
            <w:r>
              <w:rPr>
                <w:rFonts w:ascii="Times New Roman" w:hAnsi="Times New Roman"/>
              </w:rPr>
              <w:t>16</w:t>
            </w:r>
          </w:p>
        </w:tc>
        <w:tc>
          <w:tcPr>
            <w:tcW w:w="1620" w:type="dxa"/>
            <w:vAlign w:val="center"/>
          </w:tcPr>
          <w:p w:rsidR="003A11FE" w:rsidRPr="00854F42" w:rsidRDefault="00BD5369" w:rsidP="00E054BA">
            <w:pPr>
              <w:pStyle w:val="Default"/>
              <w:tabs>
                <w:tab w:val="left" w:pos="0"/>
              </w:tabs>
              <w:jc w:val="center"/>
              <w:rPr>
                <w:rFonts w:ascii="Times New Roman" w:hAnsi="Times New Roman"/>
              </w:rPr>
            </w:pPr>
            <w:r>
              <w:rPr>
                <w:rFonts w:ascii="Times New Roman" w:hAnsi="Times New Roman"/>
              </w:rPr>
              <w:t>1</w:t>
            </w:r>
          </w:p>
        </w:tc>
        <w:tc>
          <w:tcPr>
            <w:tcW w:w="1530" w:type="dxa"/>
            <w:vAlign w:val="center"/>
          </w:tcPr>
          <w:p w:rsidR="003A11FE" w:rsidRPr="00854F42" w:rsidRDefault="003A11FE" w:rsidP="00E054BA">
            <w:pPr>
              <w:pStyle w:val="Default"/>
              <w:tabs>
                <w:tab w:val="left" w:pos="0"/>
              </w:tabs>
              <w:jc w:val="center"/>
              <w:rPr>
                <w:rFonts w:ascii="Times New Roman" w:hAnsi="Times New Roman"/>
              </w:rPr>
            </w:pPr>
            <w:r>
              <w:rPr>
                <w:rFonts w:ascii="Times New Roman" w:hAnsi="Times New Roman"/>
              </w:rPr>
              <w:t>2</w:t>
            </w:r>
          </w:p>
        </w:tc>
        <w:tc>
          <w:tcPr>
            <w:tcW w:w="1080" w:type="dxa"/>
            <w:vAlign w:val="center"/>
          </w:tcPr>
          <w:p w:rsidR="003A11FE" w:rsidRPr="00854F42" w:rsidRDefault="00BD5369" w:rsidP="00E054BA">
            <w:pPr>
              <w:pStyle w:val="Default"/>
              <w:tabs>
                <w:tab w:val="left" w:pos="0"/>
              </w:tabs>
              <w:jc w:val="center"/>
              <w:rPr>
                <w:rFonts w:ascii="Times New Roman" w:hAnsi="Times New Roman"/>
              </w:rPr>
            </w:pPr>
            <w:r>
              <w:rPr>
                <w:rFonts w:ascii="Times New Roman" w:hAnsi="Times New Roman"/>
              </w:rPr>
              <w:t>32</w:t>
            </w:r>
          </w:p>
        </w:tc>
      </w:tr>
      <w:tr w:rsidR="003A11FE" w:rsidRPr="00854F42" w:rsidTr="00AF3BDD">
        <w:tc>
          <w:tcPr>
            <w:tcW w:w="1530" w:type="dxa"/>
            <w:vAlign w:val="center"/>
          </w:tcPr>
          <w:p w:rsidR="003A11FE" w:rsidRDefault="003A11FE" w:rsidP="00E054BA">
            <w:pPr>
              <w:pStyle w:val="Default"/>
              <w:tabs>
                <w:tab w:val="left" w:pos="0"/>
              </w:tabs>
              <w:jc w:val="center"/>
              <w:rPr>
                <w:rFonts w:ascii="Times New Roman" w:hAnsi="Times New Roman"/>
              </w:rPr>
            </w:pPr>
          </w:p>
        </w:tc>
        <w:tc>
          <w:tcPr>
            <w:tcW w:w="6390" w:type="dxa"/>
            <w:gridSpan w:val="4"/>
            <w:vAlign w:val="center"/>
          </w:tcPr>
          <w:p w:rsidR="003A11FE" w:rsidRDefault="003A11FE" w:rsidP="003A11FE">
            <w:pPr>
              <w:pStyle w:val="Default"/>
              <w:tabs>
                <w:tab w:val="left" w:pos="0"/>
              </w:tabs>
              <w:jc w:val="right"/>
              <w:rPr>
                <w:rFonts w:ascii="Times New Roman" w:hAnsi="Times New Roman"/>
              </w:rPr>
            </w:pPr>
            <w:r>
              <w:rPr>
                <w:rFonts w:ascii="Times New Roman" w:hAnsi="Times New Roman"/>
              </w:rPr>
              <w:t>Total</w:t>
            </w:r>
          </w:p>
        </w:tc>
        <w:tc>
          <w:tcPr>
            <w:tcW w:w="1080" w:type="dxa"/>
            <w:vAlign w:val="center"/>
          </w:tcPr>
          <w:p w:rsidR="003A11FE" w:rsidRDefault="00BD5369" w:rsidP="00E054BA">
            <w:pPr>
              <w:pStyle w:val="Default"/>
              <w:tabs>
                <w:tab w:val="left" w:pos="0"/>
              </w:tabs>
              <w:jc w:val="center"/>
              <w:rPr>
                <w:rFonts w:ascii="Times New Roman" w:hAnsi="Times New Roman"/>
              </w:rPr>
            </w:pPr>
            <w:r>
              <w:rPr>
                <w:rFonts w:ascii="Times New Roman" w:hAnsi="Times New Roman"/>
              </w:rPr>
              <w:t>32</w:t>
            </w:r>
          </w:p>
        </w:tc>
      </w:tr>
    </w:tbl>
    <w:p w:rsidR="00621FF1" w:rsidRDefault="00621FF1" w:rsidP="000C1C32">
      <w:pPr>
        <w:rPr>
          <w:rFonts w:cs="Arial"/>
        </w:rPr>
      </w:pPr>
    </w:p>
    <w:p w:rsidR="00094DEC" w:rsidRDefault="00094DEC" w:rsidP="00DA4DDD">
      <w:pPr>
        <w:rPr>
          <w:rFonts w:cs="Arial"/>
        </w:rPr>
      </w:pPr>
    </w:p>
    <w:p w:rsidR="008C2ACE" w:rsidRDefault="008C2ACE" w:rsidP="008C7188">
      <w:pPr>
        <w:ind w:left="540"/>
        <w:rPr>
          <w:rFonts w:cs="Arial"/>
        </w:rPr>
      </w:pPr>
      <w:r w:rsidRPr="00DF12B8">
        <w:rPr>
          <w:rFonts w:cs="Arial"/>
        </w:rPr>
        <w:t>A1</w:t>
      </w:r>
      <w:r w:rsidR="00593563">
        <w:rPr>
          <w:rFonts w:cs="Arial"/>
        </w:rPr>
        <w:t>2</w:t>
      </w:r>
      <w:r w:rsidRPr="00DF12B8">
        <w:rPr>
          <w:rFonts w:cs="Arial"/>
        </w:rPr>
        <w:t>-2.Cost to Respondents</w:t>
      </w:r>
    </w:p>
    <w:p w:rsidR="008C2ACE" w:rsidRDefault="008C2ACE" w:rsidP="000C1C32">
      <w:pPr>
        <w:rPr>
          <w:rFonts w:cs="Arial"/>
        </w:rPr>
      </w:pPr>
    </w:p>
    <w:p w:rsidR="008C2ACE" w:rsidRPr="000F5CB2" w:rsidRDefault="008652A6" w:rsidP="008652A6">
      <w:pPr>
        <w:ind w:left="540"/>
        <w:rPr>
          <w:rFonts w:cs="Arial"/>
          <w:bCs/>
        </w:rPr>
      </w:pPr>
      <w:r>
        <w:rPr>
          <w:rFonts w:cs="Arial"/>
          <w:bCs/>
        </w:rPr>
        <w:t xml:space="preserve">The SDE form will be completed by the </w:t>
      </w:r>
      <w:r w:rsidR="002A32FD">
        <w:rPr>
          <w:rFonts w:cs="Arial"/>
          <w:bCs/>
        </w:rPr>
        <w:t>awardee</w:t>
      </w:r>
      <w:r>
        <w:rPr>
          <w:rFonts w:cs="Arial"/>
          <w:bCs/>
        </w:rPr>
        <w:t>’s Principal Investigator, in consultation with the program evaluator</w:t>
      </w:r>
      <w:r w:rsidR="00B4153C">
        <w:rPr>
          <w:rFonts w:cs="Arial"/>
          <w:bCs/>
        </w:rPr>
        <w:t xml:space="preserve"> as needed</w:t>
      </w:r>
      <w:r>
        <w:rPr>
          <w:rFonts w:cs="Arial"/>
          <w:bCs/>
        </w:rPr>
        <w:t xml:space="preserve">.  </w:t>
      </w:r>
      <w:r w:rsidR="00561B8E" w:rsidRPr="00286C45">
        <w:rPr>
          <w:rFonts w:cs="Arial"/>
          <w:bCs/>
        </w:rPr>
        <w:t xml:space="preserve">The average hourly wage for a Principal </w:t>
      </w:r>
      <w:r w:rsidR="00561B8E" w:rsidRPr="000F5CB2">
        <w:rPr>
          <w:rFonts w:cs="Arial"/>
          <w:bCs/>
        </w:rPr>
        <w:t>Investigator is $40</w:t>
      </w:r>
      <w:r w:rsidRPr="000F5CB2">
        <w:rPr>
          <w:rFonts w:cs="Arial"/>
          <w:bCs/>
        </w:rPr>
        <w:t>, based on program records.  The total annualized cost to respondents</w:t>
      </w:r>
      <w:r w:rsidR="009F43BB">
        <w:rPr>
          <w:rFonts w:cs="Arial"/>
          <w:bCs/>
        </w:rPr>
        <w:t xml:space="preserve"> for the requested extension of the data collection period </w:t>
      </w:r>
      <w:r w:rsidRPr="000F5CB2">
        <w:rPr>
          <w:rFonts w:cs="Arial"/>
          <w:bCs/>
        </w:rPr>
        <w:t>is estimated at $</w:t>
      </w:r>
      <w:r w:rsidR="00441863">
        <w:rPr>
          <w:rFonts w:cs="Arial"/>
          <w:bCs/>
        </w:rPr>
        <w:t>1,280</w:t>
      </w:r>
      <w:r w:rsidRPr="000F5CB2">
        <w:rPr>
          <w:rFonts w:cs="Arial"/>
          <w:bCs/>
        </w:rPr>
        <w:t>.</w:t>
      </w:r>
    </w:p>
    <w:p w:rsidR="008C2ACE" w:rsidRDefault="008C2ACE" w:rsidP="00531521">
      <w:pPr>
        <w:rPr>
          <w:rFonts w:cs="Arial"/>
          <w:bCs/>
        </w:rPr>
      </w:pPr>
    </w:p>
    <w:p w:rsidR="008C2ACE" w:rsidRPr="00A14A4F" w:rsidRDefault="008C2ACE" w:rsidP="00531521">
      <w:pPr>
        <w:rPr>
          <w:rFonts w:cs="Arial"/>
          <w:bCs/>
        </w:rPr>
      </w:pPr>
    </w:p>
    <w:p w:rsidR="008C2ACE" w:rsidRPr="00F6124B" w:rsidRDefault="008C2ACE" w:rsidP="00531521">
      <w:pPr>
        <w:rPr>
          <w:rFonts w:cs="Arial"/>
          <w:b/>
          <w:bCs/>
          <w:u w:val="single"/>
        </w:rPr>
      </w:pPr>
      <w:bookmarkStart w:id="3" w:name="OLE_LINK7"/>
      <w:bookmarkStart w:id="4" w:name="OLE_LINK8"/>
      <w:proofErr w:type="gramStart"/>
      <w:r w:rsidRPr="00F6124B">
        <w:rPr>
          <w:rFonts w:cs="Arial"/>
          <w:b/>
          <w:bCs/>
          <w:u w:val="single"/>
        </w:rPr>
        <w:t>Table A.1</w:t>
      </w:r>
      <w:r w:rsidR="00593563">
        <w:rPr>
          <w:rFonts w:cs="Arial"/>
          <w:b/>
          <w:bCs/>
          <w:u w:val="single"/>
        </w:rPr>
        <w:t>2</w:t>
      </w:r>
      <w:r w:rsidRPr="00F6124B">
        <w:rPr>
          <w:rFonts w:cs="Arial"/>
          <w:b/>
          <w:bCs/>
          <w:u w:val="single"/>
        </w:rPr>
        <w:t>-2.</w:t>
      </w:r>
      <w:proofErr w:type="gramEnd"/>
      <w:r w:rsidRPr="00F6124B">
        <w:rPr>
          <w:rFonts w:cs="Arial"/>
          <w:b/>
          <w:bCs/>
          <w:u w:val="single"/>
        </w:rPr>
        <w:t xml:space="preserve">  Estimated Annualized Cost to Respondents</w:t>
      </w:r>
    </w:p>
    <w:p w:rsidR="008C2ACE" w:rsidRDefault="008C2ACE" w:rsidP="00531521">
      <w:pPr>
        <w:rPr>
          <w:rFonts w:cs="Arial"/>
          <w:bCs/>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710"/>
        <w:gridCol w:w="1530"/>
        <w:gridCol w:w="1350"/>
        <w:gridCol w:w="1260"/>
        <w:gridCol w:w="1710"/>
      </w:tblGrid>
      <w:tr w:rsidR="000C1C32" w:rsidRPr="00854F42" w:rsidTr="00CF5C38">
        <w:trPr>
          <w:trHeight w:val="1025"/>
        </w:trPr>
        <w:tc>
          <w:tcPr>
            <w:tcW w:w="1620" w:type="dxa"/>
          </w:tcPr>
          <w:p w:rsidR="000C1C32" w:rsidRPr="00854F42" w:rsidRDefault="000C1C32" w:rsidP="000C1C32">
            <w:pPr>
              <w:pStyle w:val="Default"/>
              <w:tabs>
                <w:tab w:val="left" w:pos="0"/>
              </w:tabs>
              <w:rPr>
                <w:rFonts w:ascii="Times New Roman" w:hAnsi="Times New Roman"/>
              </w:rPr>
            </w:pPr>
            <w:r w:rsidRPr="00854F42">
              <w:rPr>
                <w:rFonts w:ascii="Times New Roman" w:hAnsi="Times New Roman"/>
              </w:rPr>
              <w:t>Type of Respondents</w:t>
            </w:r>
          </w:p>
        </w:tc>
        <w:tc>
          <w:tcPr>
            <w:tcW w:w="1710" w:type="dxa"/>
          </w:tcPr>
          <w:p w:rsidR="000C1C32" w:rsidRPr="00854F42" w:rsidRDefault="000C1C32" w:rsidP="000C1C32">
            <w:pPr>
              <w:pStyle w:val="Default"/>
              <w:tabs>
                <w:tab w:val="left" w:pos="0"/>
              </w:tabs>
              <w:jc w:val="center"/>
              <w:rPr>
                <w:rFonts w:ascii="Times New Roman" w:hAnsi="Times New Roman"/>
              </w:rPr>
            </w:pPr>
            <w:r w:rsidRPr="00854F42">
              <w:rPr>
                <w:rFonts w:ascii="Times New Roman" w:hAnsi="Times New Roman"/>
              </w:rPr>
              <w:t>Form Name</w:t>
            </w:r>
          </w:p>
        </w:tc>
        <w:tc>
          <w:tcPr>
            <w:tcW w:w="1530" w:type="dxa"/>
          </w:tcPr>
          <w:p w:rsidR="000C1C32" w:rsidRPr="00854F42" w:rsidRDefault="000C1C32" w:rsidP="000C1C32">
            <w:pPr>
              <w:pStyle w:val="Default"/>
              <w:tabs>
                <w:tab w:val="left" w:pos="0"/>
              </w:tabs>
              <w:jc w:val="center"/>
              <w:rPr>
                <w:rFonts w:ascii="Times New Roman" w:hAnsi="Times New Roman"/>
              </w:rPr>
            </w:pPr>
            <w:r w:rsidRPr="00854F42">
              <w:rPr>
                <w:rFonts w:ascii="Times New Roman" w:hAnsi="Times New Roman"/>
              </w:rPr>
              <w:t>No. of Respondents</w:t>
            </w:r>
          </w:p>
        </w:tc>
        <w:tc>
          <w:tcPr>
            <w:tcW w:w="1350" w:type="dxa"/>
          </w:tcPr>
          <w:p w:rsidR="000C1C32" w:rsidRPr="00854F42" w:rsidRDefault="000C1C32" w:rsidP="000C1C32">
            <w:pPr>
              <w:pStyle w:val="Default"/>
              <w:tabs>
                <w:tab w:val="left" w:pos="0"/>
              </w:tabs>
              <w:jc w:val="center"/>
              <w:rPr>
                <w:rFonts w:ascii="Times New Roman" w:hAnsi="Times New Roman"/>
              </w:rPr>
            </w:pPr>
            <w:r w:rsidRPr="00854F42">
              <w:rPr>
                <w:rFonts w:ascii="Times New Roman" w:hAnsi="Times New Roman"/>
              </w:rPr>
              <w:t xml:space="preserve">Total Burden (in </w:t>
            </w:r>
            <w:proofErr w:type="spellStart"/>
            <w:r w:rsidRPr="00854F42">
              <w:rPr>
                <w:rFonts w:ascii="Times New Roman" w:hAnsi="Times New Roman"/>
              </w:rPr>
              <w:t>hrs</w:t>
            </w:r>
            <w:proofErr w:type="spellEnd"/>
            <w:r w:rsidRPr="00854F42">
              <w:rPr>
                <w:rFonts w:ascii="Times New Roman" w:hAnsi="Times New Roman"/>
              </w:rPr>
              <w:t>)</w:t>
            </w:r>
          </w:p>
        </w:tc>
        <w:tc>
          <w:tcPr>
            <w:tcW w:w="1260" w:type="dxa"/>
          </w:tcPr>
          <w:p w:rsidR="000C1C32" w:rsidRPr="00854F42" w:rsidRDefault="000C1C32" w:rsidP="000C1C32">
            <w:pPr>
              <w:pStyle w:val="Default"/>
              <w:tabs>
                <w:tab w:val="left" w:pos="0"/>
              </w:tabs>
              <w:jc w:val="center"/>
              <w:rPr>
                <w:rFonts w:ascii="Times New Roman" w:hAnsi="Times New Roman"/>
              </w:rPr>
            </w:pPr>
            <w:r>
              <w:rPr>
                <w:rFonts w:ascii="Times New Roman" w:hAnsi="Times New Roman"/>
              </w:rPr>
              <w:t>Average Hourly Wage</w:t>
            </w:r>
          </w:p>
        </w:tc>
        <w:tc>
          <w:tcPr>
            <w:tcW w:w="1710" w:type="dxa"/>
          </w:tcPr>
          <w:p w:rsidR="000C1C32" w:rsidRPr="00854F42" w:rsidRDefault="000C1C32" w:rsidP="000C1C32">
            <w:pPr>
              <w:pStyle w:val="Default"/>
              <w:tabs>
                <w:tab w:val="left" w:pos="0"/>
              </w:tabs>
              <w:jc w:val="center"/>
              <w:rPr>
                <w:rFonts w:ascii="Times New Roman" w:hAnsi="Times New Roman"/>
              </w:rPr>
            </w:pPr>
            <w:r>
              <w:rPr>
                <w:rFonts w:ascii="Times New Roman" w:hAnsi="Times New Roman"/>
              </w:rPr>
              <w:t>Total Cost to Respondents</w:t>
            </w:r>
          </w:p>
        </w:tc>
      </w:tr>
      <w:tr w:rsidR="000C1C32" w:rsidRPr="00854F42" w:rsidTr="00255C36">
        <w:tc>
          <w:tcPr>
            <w:tcW w:w="1620" w:type="dxa"/>
            <w:vAlign w:val="center"/>
          </w:tcPr>
          <w:p w:rsidR="000C1C32" w:rsidRPr="00854F42" w:rsidRDefault="000C1C32" w:rsidP="00255C36">
            <w:pPr>
              <w:pStyle w:val="Default"/>
              <w:tabs>
                <w:tab w:val="left" w:pos="0"/>
              </w:tabs>
              <w:jc w:val="center"/>
              <w:rPr>
                <w:rFonts w:ascii="Times New Roman" w:hAnsi="Times New Roman"/>
              </w:rPr>
            </w:pPr>
            <w:r>
              <w:rPr>
                <w:rFonts w:ascii="Times New Roman" w:hAnsi="Times New Roman"/>
              </w:rPr>
              <w:t xml:space="preserve">AI/AN Tribal </w:t>
            </w:r>
            <w:r w:rsidR="00BE5D21">
              <w:rPr>
                <w:rFonts w:ascii="Times New Roman" w:hAnsi="Times New Roman"/>
              </w:rPr>
              <w:t>Awardees</w:t>
            </w:r>
          </w:p>
        </w:tc>
        <w:tc>
          <w:tcPr>
            <w:tcW w:w="1710" w:type="dxa"/>
            <w:vAlign w:val="center"/>
          </w:tcPr>
          <w:p w:rsidR="000C1C32" w:rsidRPr="00854F42" w:rsidRDefault="000C1C32" w:rsidP="00255C36">
            <w:pPr>
              <w:pStyle w:val="Default"/>
              <w:tabs>
                <w:tab w:val="left" w:pos="0"/>
              </w:tabs>
              <w:jc w:val="center"/>
              <w:rPr>
                <w:rFonts w:ascii="Times New Roman" w:hAnsi="Times New Roman"/>
              </w:rPr>
            </w:pPr>
            <w:r>
              <w:rPr>
                <w:rFonts w:ascii="Times New Roman" w:hAnsi="Times New Roman"/>
              </w:rPr>
              <w:t>Traditional Foods Shared Data Elements</w:t>
            </w:r>
          </w:p>
        </w:tc>
        <w:tc>
          <w:tcPr>
            <w:tcW w:w="1530" w:type="dxa"/>
            <w:vAlign w:val="center"/>
          </w:tcPr>
          <w:p w:rsidR="000C1C32" w:rsidRPr="00854F42" w:rsidRDefault="000C1C32" w:rsidP="00255C36">
            <w:pPr>
              <w:pStyle w:val="Default"/>
              <w:tabs>
                <w:tab w:val="left" w:pos="0"/>
              </w:tabs>
              <w:jc w:val="center"/>
              <w:rPr>
                <w:rFonts w:ascii="Times New Roman" w:hAnsi="Times New Roman"/>
              </w:rPr>
            </w:pPr>
            <w:r>
              <w:rPr>
                <w:rFonts w:ascii="Times New Roman" w:hAnsi="Times New Roman"/>
              </w:rPr>
              <w:t>1</w:t>
            </w:r>
            <w:r w:rsidR="00441863">
              <w:rPr>
                <w:rFonts w:ascii="Times New Roman" w:hAnsi="Times New Roman"/>
              </w:rPr>
              <w:t>6</w:t>
            </w:r>
          </w:p>
        </w:tc>
        <w:tc>
          <w:tcPr>
            <w:tcW w:w="1350" w:type="dxa"/>
            <w:vAlign w:val="center"/>
          </w:tcPr>
          <w:p w:rsidR="000C1C32" w:rsidRPr="000F5CB2" w:rsidRDefault="00441863" w:rsidP="00255C36">
            <w:pPr>
              <w:pStyle w:val="Default"/>
              <w:tabs>
                <w:tab w:val="left" w:pos="0"/>
              </w:tabs>
              <w:jc w:val="center"/>
              <w:rPr>
                <w:rFonts w:ascii="Times New Roman" w:hAnsi="Times New Roman"/>
                <w:color w:val="auto"/>
              </w:rPr>
            </w:pPr>
            <w:r>
              <w:rPr>
                <w:rFonts w:ascii="Times New Roman" w:hAnsi="Times New Roman"/>
                <w:color w:val="auto"/>
              </w:rPr>
              <w:t>32</w:t>
            </w:r>
          </w:p>
        </w:tc>
        <w:tc>
          <w:tcPr>
            <w:tcW w:w="1260" w:type="dxa"/>
            <w:vAlign w:val="center"/>
          </w:tcPr>
          <w:p w:rsidR="000C1C32" w:rsidRPr="000F5CB2" w:rsidRDefault="00557C3B" w:rsidP="00255C36">
            <w:pPr>
              <w:pStyle w:val="Default"/>
              <w:tabs>
                <w:tab w:val="left" w:pos="0"/>
              </w:tabs>
              <w:jc w:val="center"/>
              <w:rPr>
                <w:rFonts w:ascii="Times New Roman" w:hAnsi="Times New Roman"/>
                <w:color w:val="auto"/>
              </w:rPr>
            </w:pPr>
            <w:r w:rsidRPr="000F5CB2">
              <w:rPr>
                <w:rFonts w:ascii="Times New Roman" w:hAnsi="Times New Roman"/>
                <w:color w:val="auto"/>
              </w:rPr>
              <w:t>$4</w:t>
            </w:r>
            <w:r w:rsidR="000C1C32" w:rsidRPr="000F5CB2">
              <w:rPr>
                <w:rFonts w:ascii="Times New Roman" w:hAnsi="Times New Roman"/>
                <w:color w:val="auto"/>
              </w:rPr>
              <w:t>0</w:t>
            </w:r>
          </w:p>
        </w:tc>
        <w:tc>
          <w:tcPr>
            <w:tcW w:w="1710" w:type="dxa"/>
            <w:vAlign w:val="center"/>
          </w:tcPr>
          <w:p w:rsidR="004A4210" w:rsidRPr="000F5CB2" w:rsidRDefault="00441863" w:rsidP="00255C36">
            <w:pPr>
              <w:pStyle w:val="Default"/>
              <w:tabs>
                <w:tab w:val="left" w:pos="0"/>
              </w:tabs>
              <w:jc w:val="center"/>
              <w:rPr>
                <w:rFonts w:ascii="Times New Roman" w:hAnsi="Times New Roman"/>
                <w:color w:val="auto"/>
              </w:rPr>
            </w:pPr>
            <w:r>
              <w:rPr>
                <w:rFonts w:ascii="Times New Roman" w:hAnsi="Times New Roman"/>
                <w:color w:val="auto"/>
              </w:rPr>
              <w:t>$1,280</w:t>
            </w:r>
          </w:p>
        </w:tc>
      </w:tr>
      <w:tr w:rsidR="000F5CB2" w:rsidRPr="00854F42" w:rsidTr="00AF3BDD">
        <w:tc>
          <w:tcPr>
            <w:tcW w:w="1620" w:type="dxa"/>
            <w:vAlign w:val="center"/>
          </w:tcPr>
          <w:p w:rsidR="000F5CB2" w:rsidRDefault="000F5CB2" w:rsidP="00255C36">
            <w:pPr>
              <w:pStyle w:val="Default"/>
              <w:tabs>
                <w:tab w:val="left" w:pos="0"/>
              </w:tabs>
              <w:jc w:val="center"/>
              <w:rPr>
                <w:rFonts w:ascii="Times New Roman" w:hAnsi="Times New Roman"/>
              </w:rPr>
            </w:pPr>
          </w:p>
        </w:tc>
        <w:tc>
          <w:tcPr>
            <w:tcW w:w="1710" w:type="dxa"/>
            <w:vAlign w:val="center"/>
          </w:tcPr>
          <w:p w:rsidR="000F5CB2" w:rsidRDefault="000F5CB2" w:rsidP="00255C36">
            <w:pPr>
              <w:pStyle w:val="Default"/>
              <w:tabs>
                <w:tab w:val="left" w:pos="0"/>
              </w:tabs>
              <w:jc w:val="center"/>
              <w:rPr>
                <w:rFonts w:ascii="Times New Roman" w:hAnsi="Times New Roman"/>
              </w:rPr>
            </w:pPr>
          </w:p>
        </w:tc>
        <w:tc>
          <w:tcPr>
            <w:tcW w:w="4140" w:type="dxa"/>
            <w:gridSpan w:val="3"/>
            <w:vAlign w:val="center"/>
          </w:tcPr>
          <w:p w:rsidR="000F5CB2" w:rsidRPr="000F5CB2" w:rsidRDefault="000F5CB2" w:rsidP="000F5CB2">
            <w:pPr>
              <w:pStyle w:val="Default"/>
              <w:tabs>
                <w:tab w:val="left" w:pos="0"/>
              </w:tabs>
              <w:jc w:val="right"/>
              <w:rPr>
                <w:rFonts w:ascii="Times New Roman" w:hAnsi="Times New Roman"/>
                <w:color w:val="auto"/>
              </w:rPr>
            </w:pPr>
            <w:r>
              <w:rPr>
                <w:rFonts w:ascii="Times New Roman" w:hAnsi="Times New Roman"/>
                <w:color w:val="auto"/>
              </w:rPr>
              <w:t>Total</w:t>
            </w:r>
          </w:p>
        </w:tc>
        <w:tc>
          <w:tcPr>
            <w:tcW w:w="1710" w:type="dxa"/>
            <w:vAlign w:val="center"/>
          </w:tcPr>
          <w:p w:rsidR="000F5CB2" w:rsidRPr="000F5CB2" w:rsidRDefault="00441863" w:rsidP="00255C36">
            <w:pPr>
              <w:pStyle w:val="Default"/>
              <w:tabs>
                <w:tab w:val="left" w:pos="0"/>
              </w:tabs>
              <w:jc w:val="center"/>
              <w:rPr>
                <w:rFonts w:ascii="Times New Roman" w:hAnsi="Times New Roman"/>
                <w:color w:val="auto"/>
              </w:rPr>
            </w:pPr>
            <w:r>
              <w:rPr>
                <w:rFonts w:ascii="Times New Roman" w:hAnsi="Times New Roman"/>
                <w:color w:val="auto"/>
              </w:rPr>
              <w:t>$1,280</w:t>
            </w:r>
          </w:p>
        </w:tc>
      </w:tr>
      <w:bookmarkEnd w:id="3"/>
      <w:bookmarkEnd w:id="4"/>
    </w:tbl>
    <w:p w:rsidR="008C2ACE" w:rsidRDefault="008C2ACE" w:rsidP="000C1C32">
      <w:pPr>
        <w:rPr>
          <w:rFonts w:cs="Arial"/>
        </w:rPr>
      </w:pPr>
    </w:p>
    <w:p w:rsidR="008C2ACE" w:rsidRPr="00DF12B8" w:rsidRDefault="008C2ACE" w:rsidP="008C7188">
      <w:pPr>
        <w:ind w:left="540"/>
        <w:rPr>
          <w:rFonts w:cs="Arial"/>
        </w:rPr>
      </w:pPr>
    </w:p>
    <w:p w:rsidR="008C2ACE" w:rsidRPr="00290000" w:rsidRDefault="00593563" w:rsidP="008C7188">
      <w:pPr>
        <w:ind w:left="540" w:hanging="540"/>
        <w:rPr>
          <w:rFonts w:cs="Arial"/>
          <w:b/>
        </w:rPr>
      </w:pPr>
      <w:r>
        <w:rPr>
          <w:rFonts w:cs="Arial"/>
          <w:b/>
        </w:rPr>
        <w:t>A13</w:t>
      </w:r>
      <w:r w:rsidR="008C2ACE" w:rsidRPr="00290000">
        <w:rPr>
          <w:rFonts w:cs="Arial"/>
          <w:b/>
        </w:rPr>
        <w:t>.</w:t>
      </w:r>
      <w:r w:rsidR="008C2ACE" w:rsidRPr="00290000">
        <w:rPr>
          <w:rFonts w:cs="Arial"/>
          <w:b/>
        </w:rPr>
        <w:tab/>
      </w:r>
      <w:r w:rsidR="008C2ACE" w:rsidRPr="00290000">
        <w:rPr>
          <w:rFonts w:cs="Arial"/>
          <w:b/>
        </w:rPr>
        <w:tab/>
        <w:t>Estimates of Other Total Annual Cost Burden to Respondents or Record Keepers</w:t>
      </w:r>
    </w:p>
    <w:p w:rsidR="008C2ACE" w:rsidRDefault="008C2ACE" w:rsidP="008C7188">
      <w:pPr>
        <w:ind w:left="540" w:hanging="540"/>
        <w:rPr>
          <w:rFonts w:cs="Arial"/>
        </w:rPr>
      </w:pPr>
    </w:p>
    <w:p w:rsidR="008C2ACE" w:rsidRPr="00290000" w:rsidRDefault="00290000" w:rsidP="00CE603B">
      <w:pPr>
        <w:ind w:left="540"/>
        <w:rPr>
          <w:rFonts w:cs="Arial"/>
          <w:bCs/>
        </w:rPr>
      </w:pPr>
      <w:r>
        <w:rPr>
          <w:rFonts w:cs="Arial"/>
          <w:bCs/>
        </w:rPr>
        <w:t xml:space="preserve">There are no </w:t>
      </w:r>
      <w:r w:rsidR="008C2ACE" w:rsidRPr="00DF12B8">
        <w:rPr>
          <w:rFonts w:cs="Arial"/>
          <w:bCs/>
        </w:rPr>
        <w:t>costs to respondents</w:t>
      </w:r>
      <w:r>
        <w:rPr>
          <w:rFonts w:cs="Arial"/>
          <w:bCs/>
        </w:rPr>
        <w:t xml:space="preserve"> other than their time</w:t>
      </w:r>
      <w:r w:rsidR="008C2ACE" w:rsidRPr="00DF12B8">
        <w:rPr>
          <w:rFonts w:cs="Arial"/>
          <w:bCs/>
        </w:rPr>
        <w:t>.</w:t>
      </w:r>
    </w:p>
    <w:p w:rsidR="008C2ACE" w:rsidRPr="00DF12B8" w:rsidRDefault="008C2ACE" w:rsidP="008C7188">
      <w:pPr>
        <w:ind w:left="540" w:hanging="540"/>
        <w:rPr>
          <w:rFonts w:cs="Arial"/>
        </w:rPr>
      </w:pPr>
    </w:p>
    <w:p w:rsidR="004646AB" w:rsidRDefault="004646AB" w:rsidP="008C7188">
      <w:pPr>
        <w:ind w:left="540" w:hanging="540"/>
        <w:rPr>
          <w:rFonts w:cs="Arial"/>
          <w:b/>
        </w:rPr>
      </w:pPr>
    </w:p>
    <w:p w:rsidR="008C2ACE" w:rsidRPr="00290000" w:rsidRDefault="00593563" w:rsidP="008C7188">
      <w:pPr>
        <w:ind w:left="540" w:hanging="540"/>
        <w:rPr>
          <w:rFonts w:cs="Arial"/>
          <w:b/>
        </w:rPr>
      </w:pPr>
      <w:r>
        <w:rPr>
          <w:rFonts w:cs="Arial"/>
          <w:b/>
        </w:rPr>
        <w:t>A14</w:t>
      </w:r>
      <w:r w:rsidR="008C2ACE" w:rsidRPr="00290000">
        <w:rPr>
          <w:rFonts w:cs="Arial"/>
          <w:b/>
        </w:rPr>
        <w:t>.</w:t>
      </w:r>
      <w:r w:rsidR="008C2ACE" w:rsidRPr="00290000">
        <w:rPr>
          <w:rFonts w:cs="Arial"/>
          <w:b/>
        </w:rPr>
        <w:tab/>
      </w:r>
      <w:r w:rsidR="008C2ACE" w:rsidRPr="00290000">
        <w:rPr>
          <w:rFonts w:cs="Arial"/>
          <w:b/>
        </w:rPr>
        <w:tab/>
        <w:t>Annualized Cost to the Federal Government</w:t>
      </w:r>
    </w:p>
    <w:p w:rsidR="008C2ACE" w:rsidRDefault="008C2ACE" w:rsidP="008C7188">
      <w:pPr>
        <w:ind w:left="540" w:hanging="540"/>
        <w:rPr>
          <w:rFonts w:cs="Arial"/>
        </w:rPr>
      </w:pPr>
    </w:p>
    <w:p w:rsidR="00ED7F9A" w:rsidRDefault="00CE603B" w:rsidP="0055005F">
      <w:pPr>
        <w:rPr>
          <w:rFonts w:cs="Arial"/>
        </w:rPr>
      </w:pPr>
      <w:r>
        <w:rPr>
          <w:rFonts w:cs="Arial"/>
        </w:rPr>
        <w:t xml:space="preserve">Federal government staff will manage the data collection.  Staff costs include </w:t>
      </w:r>
      <w:r w:rsidR="0055005F">
        <w:rPr>
          <w:rFonts w:cs="Arial"/>
        </w:rPr>
        <w:t>25% effort</w:t>
      </w:r>
      <w:r>
        <w:rPr>
          <w:rFonts w:cs="Arial"/>
        </w:rPr>
        <w:t xml:space="preserve"> </w:t>
      </w:r>
      <w:r w:rsidR="0055005F">
        <w:rPr>
          <w:rFonts w:cs="Arial"/>
        </w:rPr>
        <w:t>of</w:t>
      </w:r>
      <w:r>
        <w:rPr>
          <w:rFonts w:cs="Arial"/>
        </w:rPr>
        <w:t xml:space="preserve"> a senior scientist</w:t>
      </w:r>
      <w:r w:rsidR="00334ECB">
        <w:rPr>
          <w:rFonts w:cs="Arial"/>
        </w:rPr>
        <w:t xml:space="preserve"> (GS-13</w:t>
      </w:r>
      <w:r w:rsidR="0055005F">
        <w:rPr>
          <w:rFonts w:cs="Arial"/>
        </w:rPr>
        <w:t xml:space="preserve">), 10% effort of a project officer, and 50% effort of a data manager and analyst.  The specific responsibilities of each CDC staff member are itemized below in Table A.14-1.  </w:t>
      </w:r>
      <w:r w:rsidR="008C2ACE">
        <w:rPr>
          <w:rFonts w:cs="Arial"/>
        </w:rPr>
        <w:t>The total estimated annualized cost to the Federal Government is $6</w:t>
      </w:r>
      <w:r w:rsidR="0055005F">
        <w:rPr>
          <w:rFonts w:cs="Arial"/>
        </w:rPr>
        <w:t>3,955</w:t>
      </w:r>
      <w:r w:rsidR="008C2ACE">
        <w:rPr>
          <w:rFonts w:cs="Arial"/>
        </w:rPr>
        <w:t>.00.</w:t>
      </w:r>
    </w:p>
    <w:p w:rsidR="008C2ACE" w:rsidRDefault="008C2ACE" w:rsidP="00531521">
      <w:pPr>
        <w:rPr>
          <w:rFonts w:cs="Arial"/>
          <w:b/>
        </w:rPr>
      </w:pPr>
    </w:p>
    <w:tbl>
      <w:tblPr>
        <w:tblStyle w:val="TableGrid"/>
        <w:tblW w:w="0" w:type="auto"/>
        <w:tblInd w:w="378" w:type="dxa"/>
        <w:tblLook w:val="04A0" w:firstRow="1" w:lastRow="0" w:firstColumn="1" w:lastColumn="0" w:noHBand="0" w:noVBand="1"/>
      </w:tblPr>
      <w:tblGrid>
        <w:gridCol w:w="1260"/>
        <w:gridCol w:w="1800"/>
        <w:gridCol w:w="4950"/>
        <w:gridCol w:w="1188"/>
      </w:tblGrid>
      <w:tr w:rsidR="00557E56" w:rsidTr="0055005F">
        <w:tc>
          <w:tcPr>
            <w:tcW w:w="9198" w:type="dxa"/>
            <w:gridSpan w:val="4"/>
          </w:tcPr>
          <w:p w:rsidR="00557E56" w:rsidRDefault="00557E56" w:rsidP="00EB0405">
            <w:pPr>
              <w:rPr>
                <w:rFonts w:cs="Arial"/>
                <w:b/>
              </w:rPr>
            </w:pPr>
            <w:r>
              <w:rPr>
                <w:rFonts w:cs="Arial"/>
                <w:b/>
              </w:rPr>
              <w:lastRenderedPageBreak/>
              <w:t>Table A.1</w:t>
            </w:r>
            <w:r w:rsidR="00EB0405">
              <w:rPr>
                <w:rFonts w:cs="Arial"/>
                <w:b/>
              </w:rPr>
              <w:t>5</w:t>
            </w:r>
            <w:r>
              <w:rPr>
                <w:rFonts w:cs="Arial"/>
                <w:b/>
              </w:rPr>
              <w:t>-1.  Estimated Annualized Cost to the Federal Government</w:t>
            </w:r>
          </w:p>
        </w:tc>
      </w:tr>
      <w:tr w:rsidR="00334ECB" w:rsidTr="0055005F">
        <w:tc>
          <w:tcPr>
            <w:tcW w:w="1260" w:type="dxa"/>
          </w:tcPr>
          <w:p w:rsidR="00334ECB" w:rsidRDefault="00334ECB" w:rsidP="00531521">
            <w:pPr>
              <w:rPr>
                <w:rFonts w:cs="Arial"/>
                <w:b/>
              </w:rPr>
            </w:pPr>
            <w:r>
              <w:rPr>
                <w:rFonts w:cs="Arial"/>
                <w:b/>
              </w:rPr>
              <w:t>CDC Personnel</w:t>
            </w:r>
          </w:p>
        </w:tc>
        <w:tc>
          <w:tcPr>
            <w:tcW w:w="1800" w:type="dxa"/>
          </w:tcPr>
          <w:p w:rsidR="00334ECB" w:rsidRDefault="00334ECB" w:rsidP="00531521">
            <w:pPr>
              <w:rPr>
                <w:rFonts w:cs="Arial"/>
                <w:b/>
              </w:rPr>
            </w:pPr>
            <w:r>
              <w:rPr>
                <w:rFonts w:cs="Arial"/>
                <w:b/>
              </w:rPr>
              <w:t xml:space="preserve">% FTE and </w:t>
            </w:r>
            <w:r w:rsidR="008E55A8">
              <w:rPr>
                <w:rFonts w:cs="Arial"/>
                <w:b/>
              </w:rPr>
              <w:t xml:space="preserve">Base </w:t>
            </w:r>
            <w:r>
              <w:rPr>
                <w:rFonts w:cs="Arial"/>
                <w:b/>
              </w:rPr>
              <w:t>Salary</w:t>
            </w:r>
          </w:p>
        </w:tc>
        <w:tc>
          <w:tcPr>
            <w:tcW w:w="4950" w:type="dxa"/>
          </w:tcPr>
          <w:p w:rsidR="00334ECB" w:rsidRDefault="00334ECB" w:rsidP="00531521">
            <w:pPr>
              <w:rPr>
                <w:rFonts w:cs="Arial"/>
                <w:b/>
              </w:rPr>
            </w:pPr>
            <w:r>
              <w:rPr>
                <w:rFonts w:cs="Arial"/>
                <w:b/>
              </w:rPr>
              <w:t>Responsibilities</w:t>
            </w:r>
          </w:p>
        </w:tc>
        <w:tc>
          <w:tcPr>
            <w:tcW w:w="1188" w:type="dxa"/>
          </w:tcPr>
          <w:p w:rsidR="00334ECB" w:rsidRDefault="00334ECB" w:rsidP="00531521">
            <w:pPr>
              <w:rPr>
                <w:rFonts w:cs="Arial"/>
                <w:b/>
              </w:rPr>
            </w:pPr>
            <w:r>
              <w:rPr>
                <w:rFonts w:cs="Arial"/>
                <w:b/>
              </w:rPr>
              <w:t>Cost</w:t>
            </w:r>
          </w:p>
        </w:tc>
      </w:tr>
      <w:tr w:rsidR="00334ECB" w:rsidTr="0055005F">
        <w:tc>
          <w:tcPr>
            <w:tcW w:w="1260" w:type="dxa"/>
          </w:tcPr>
          <w:p w:rsidR="00334ECB" w:rsidRPr="0055005F" w:rsidRDefault="00334ECB" w:rsidP="00531521">
            <w:pPr>
              <w:rPr>
                <w:rFonts w:cs="Arial"/>
              </w:rPr>
            </w:pPr>
            <w:r w:rsidRPr="0055005F">
              <w:rPr>
                <w:rFonts w:cs="Arial"/>
              </w:rPr>
              <w:t>GS-13</w:t>
            </w:r>
          </w:p>
        </w:tc>
        <w:tc>
          <w:tcPr>
            <w:tcW w:w="1800" w:type="dxa"/>
          </w:tcPr>
          <w:p w:rsidR="00334ECB" w:rsidRPr="0055005F" w:rsidRDefault="00334ECB" w:rsidP="00531521">
            <w:pPr>
              <w:rPr>
                <w:rFonts w:cs="Arial"/>
              </w:rPr>
            </w:pPr>
            <w:r w:rsidRPr="0055005F">
              <w:rPr>
                <w:rFonts w:cs="Arial"/>
              </w:rPr>
              <w:t>25% @ $</w:t>
            </w:r>
            <w:r w:rsidR="00557E56" w:rsidRPr="0055005F">
              <w:rPr>
                <w:rFonts w:cs="Arial"/>
              </w:rPr>
              <w:t>98,074</w:t>
            </w:r>
          </w:p>
        </w:tc>
        <w:tc>
          <w:tcPr>
            <w:tcW w:w="4950" w:type="dxa"/>
          </w:tcPr>
          <w:p w:rsidR="00334ECB" w:rsidRDefault="00334ECB" w:rsidP="00AE1B5B">
            <w:pPr>
              <w:rPr>
                <w:rFonts w:cs="Arial"/>
                <w:b/>
              </w:rPr>
            </w:pPr>
            <w:r>
              <w:rPr>
                <w:rFonts w:cs="Arial"/>
              </w:rPr>
              <w:t>P</w:t>
            </w:r>
            <w:r w:rsidRPr="00334ECB">
              <w:rPr>
                <w:rFonts w:cs="Arial"/>
              </w:rPr>
              <w:t xml:space="preserve">roject </w:t>
            </w:r>
            <w:r w:rsidR="00AE1B5B">
              <w:rPr>
                <w:rFonts w:cs="Arial"/>
              </w:rPr>
              <w:t xml:space="preserve">data collection/analysis </w:t>
            </w:r>
            <w:r w:rsidRPr="00334ECB">
              <w:rPr>
                <w:rFonts w:cs="Arial"/>
              </w:rPr>
              <w:t xml:space="preserve">planning, oversight of data collection and analysis, interaction with </w:t>
            </w:r>
            <w:r w:rsidR="00BE5D21">
              <w:rPr>
                <w:rFonts w:cs="Arial"/>
              </w:rPr>
              <w:t>awardees</w:t>
            </w:r>
            <w:r w:rsidRPr="00334ECB">
              <w:rPr>
                <w:rFonts w:cs="Arial"/>
              </w:rPr>
              <w:t>, preparation of the request for OMB approval, and report writing</w:t>
            </w:r>
          </w:p>
        </w:tc>
        <w:tc>
          <w:tcPr>
            <w:tcW w:w="1188" w:type="dxa"/>
          </w:tcPr>
          <w:p w:rsidR="00334ECB" w:rsidRPr="00676BBE" w:rsidRDefault="00557E56" w:rsidP="00557E56">
            <w:pPr>
              <w:jc w:val="right"/>
              <w:rPr>
                <w:rFonts w:cs="Arial"/>
              </w:rPr>
            </w:pPr>
            <w:r w:rsidRPr="00676BBE">
              <w:rPr>
                <w:rFonts w:cs="Arial"/>
              </w:rPr>
              <w:t>$ 24,519</w:t>
            </w:r>
          </w:p>
        </w:tc>
      </w:tr>
      <w:tr w:rsidR="00334ECB" w:rsidTr="0055005F">
        <w:tc>
          <w:tcPr>
            <w:tcW w:w="1260" w:type="dxa"/>
          </w:tcPr>
          <w:p w:rsidR="00334ECB" w:rsidRPr="0055005F" w:rsidRDefault="00334ECB" w:rsidP="00531521">
            <w:pPr>
              <w:rPr>
                <w:rFonts w:cs="Arial"/>
              </w:rPr>
            </w:pPr>
            <w:r w:rsidRPr="0055005F">
              <w:rPr>
                <w:rFonts w:cs="Arial"/>
              </w:rPr>
              <w:t>GS-13</w:t>
            </w:r>
          </w:p>
        </w:tc>
        <w:tc>
          <w:tcPr>
            <w:tcW w:w="1800" w:type="dxa"/>
          </w:tcPr>
          <w:p w:rsidR="00334ECB" w:rsidRPr="0055005F" w:rsidRDefault="00334ECB" w:rsidP="00531521">
            <w:pPr>
              <w:rPr>
                <w:rFonts w:cs="Arial"/>
              </w:rPr>
            </w:pPr>
            <w:r w:rsidRPr="0055005F">
              <w:rPr>
                <w:rFonts w:cs="Arial"/>
              </w:rPr>
              <w:t>10% @ $</w:t>
            </w:r>
            <w:r w:rsidR="00557E56" w:rsidRPr="0055005F">
              <w:rPr>
                <w:rFonts w:cs="Arial"/>
              </w:rPr>
              <w:t>98,074</w:t>
            </w:r>
          </w:p>
        </w:tc>
        <w:tc>
          <w:tcPr>
            <w:tcW w:w="4950" w:type="dxa"/>
          </w:tcPr>
          <w:p w:rsidR="00334ECB" w:rsidRDefault="00334ECB" w:rsidP="00252A5F">
            <w:pPr>
              <w:rPr>
                <w:rFonts w:cs="Arial"/>
                <w:b/>
              </w:rPr>
            </w:pPr>
            <w:r>
              <w:rPr>
                <w:rFonts w:cs="Arial"/>
              </w:rPr>
              <w:t xml:space="preserve">Serving as project officer, interaction with </w:t>
            </w:r>
            <w:r w:rsidR="00BE5D21">
              <w:rPr>
                <w:rFonts w:cs="Arial"/>
              </w:rPr>
              <w:t>awardees</w:t>
            </w:r>
            <w:r>
              <w:rPr>
                <w:rFonts w:cs="Arial"/>
              </w:rPr>
              <w:t xml:space="preserve">, project </w:t>
            </w:r>
            <w:r w:rsidR="00252A5F">
              <w:rPr>
                <w:rFonts w:cs="Arial"/>
              </w:rPr>
              <w:t>data collection/analysis</w:t>
            </w:r>
            <w:r>
              <w:rPr>
                <w:rFonts w:cs="Arial"/>
              </w:rPr>
              <w:t xml:space="preserve"> planning, and </w:t>
            </w:r>
            <w:r w:rsidRPr="00334ECB">
              <w:rPr>
                <w:rFonts w:cs="Arial"/>
              </w:rPr>
              <w:t>report writing</w:t>
            </w:r>
          </w:p>
        </w:tc>
        <w:tc>
          <w:tcPr>
            <w:tcW w:w="1188" w:type="dxa"/>
          </w:tcPr>
          <w:p w:rsidR="00334ECB" w:rsidRPr="00676BBE" w:rsidRDefault="00557E56" w:rsidP="00557E56">
            <w:pPr>
              <w:jc w:val="right"/>
              <w:rPr>
                <w:rFonts w:cs="Arial"/>
              </w:rPr>
            </w:pPr>
            <w:r w:rsidRPr="00676BBE">
              <w:rPr>
                <w:rFonts w:cs="Arial"/>
              </w:rPr>
              <w:t>$ 9,807</w:t>
            </w:r>
          </w:p>
        </w:tc>
      </w:tr>
      <w:tr w:rsidR="00334ECB" w:rsidTr="0055005F">
        <w:tc>
          <w:tcPr>
            <w:tcW w:w="1260" w:type="dxa"/>
          </w:tcPr>
          <w:p w:rsidR="00334ECB" w:rsidRPr="0055005F" w:rsidRDefault="00334ECB" w:rsidP="00531521">
            <w:pPr>
              <w:rPr>
                <w:rFonts w:cs="Arial"/>
              </w:rPr>
            </w:pPr>
            <w:r w:rsidRPr="0055005F">
              <w:rPr>
                <w:rFonts w:cs="Arial"/>
              </w:rPr>
              <w:t>GS-11</w:t>
            </w:r>
          </w:p>
        </w:tc>
        <w:tc>
          <w:tcPr>
            <w:tcW w:w="1800" w:type="dxa"/>
          </w:tcPr>
          <w:p w:rsidR="00334ECB" w:rsidRPr="0055005F" w:rsidRDefault="00334ECB" w:rsidP="00531521">
            <w:pPr>
              <w:rPr>
                <w:rFonts w:cs="Arial"/>
              </w:rPr>
            </w:pPr>
            <w:r w:rsidRPr="0055005F">
              <w:rPr>
                <w:rFonts w:cs="Arial"/>
              </w:rPr>
              <w:t>50% @ $</w:t>
            </w:r>
            <w:r w:rsidR="006F50EA">
              <w:rPr>
                <w:rFonts w:cs="Arial"/>
              </w:rPr>
              <w:t>59,</w:t>
            </w:r>
            <w:r w:rsidR="00557E56" w:rsidRPr="0055005F">
              <w:rPr>
                <w:rFonts w:cs="Arial"/>
              </w:rPr>
              <w:t>258</w:t>
            </w:r>
          </w:p>
        </w:tc>
        <w:tc>
          <w:tcPr>
            <w:tcW w:w="4950" w:type="dxa"/>
          </w:tcPr>
          <w:p w:rsidR="00334ECB" w:rsidRDefault="00334ECB" w:rsidP="00820422">
            <w:pPr>
              <w:rPr>
                <w:rFonts w:cs="Arial"/>
                <w:b/>
              </w:rPr>
            </w:pPr>
            <w:r>
              <w:rPr>
                <w:rFonts w:cs="Arial"/>
              </w:rPr>
              <w:t>Development of the Survey Monkey interface for electronic collection of the Shared Data Elements</w:t>
            </w:r>
            <w:r w:rsidR="00820422">
              <w:rPr>
                <w:rFonts w:cs="Arial"/>
              </w:rPr>
              <w:t>, development of an Excel spreadsheet for data</w:t>
            </w:r>
            <w:r>
              <w:rPr>
                <w:rFonts w:cs="Arial"/>
              </w:rPr>
              <w:t xml:space="preserve"> analysis</w:t>
            </w:r>
            <w:r w:rsidR="00820422">
              <w:rPr>
                <w:rFonts w:cs="Arial"/>
              </w:rPr>
              <w:t>, and report writing</w:t>
            </w:r>
            <w:r>
              <w:rPr>
                <w:rFonts w:cs="Arial"/>
              </w:rPr>
              <w:t xml:space="preserve"> </w:t>
            </w:r>
          </w:p>
        </w:tc>
        <w:tc>
          <w:tcPr>
            <w:tcW w:w="1188" w:type="dxa"/>
          </w:tcPr>
          <w:p w:rsidR="00334ECB" w:rsidRPr="00676BBE" w:rsidRDefault="009A72E8" w:rsidP="00557E56">
            <w:pPr>
              <w:jc w:val="right"/>
              <w:rPr>
                <w:rFonts w:cs="Arial"/>
              </w:rPr>
            </w:pPr>
            <w:r w:rsidRPr="00676BBE">
              <w:rPr>
                <w:rFonts w:cs="Arial"/>
              </w:rPr>
              <w:t>$</w:t>
            </w:r>
            <w:r w:rsidR="00557E56" w:rsidRPr="00676BBE">
              <w:rPr>
                <w:rFonts w:cs="Arial"/>
              </w:rPr>
              <w:t xml:space="preserve"> </w:t>
            </w:r>
            <w:r w:rsidRPr="00676BBE">
              <w:rPr>
                <w:rFonts w:cs="Arial"/>
              </w:rPr>
              <w:t>29,629</w:t>
            </w:r>
          </w:p>
        </w:tc>
      </w:tr>
      <w:tr w:rsidR="00557E56" w:rsidTr="0055005F">
        <w:tc>
          <w:tcPr>
            <w:tcW w:w="1260" w:type="dxa"/>
          </w:tcPr>
          <w:p w:rsidR="00557E56" w:rsidRDefault="00557E56" w:rsidP="00531521">
            <w:pPr>
              <w:rPr>
                <w:rFonts w:cs="Arial"/>
                <w:b/>
              </w:rPr>
            </w:pPr>
          </w:p>
        </w:tc>
        <w:tc>
          <w:tcPr>
            <w:tcW w:w="1800" w:type="dxa"/>
          </w:tcPr>
          <w:p w:rsidR="00557E56" w:rsidRDefault="00557E56" w:rsidP="00531521">
            <w:pPr>
              <w:rPr>
                <w:rFonts w:cs="Arial"/>
                <w:b/>
              </w:rPr>
            </w:pPr>
          </w:p>
        </w:tc>
        <w:tc>
          <w:tcPr>
            <w:tcW w:w="4950" w:type="dxa"/>
          </w:tcPr>
          <w:p w:rsidR="00557E56" w:rsidRDefault="00557E56" w:rsidP="00820422">
            <w:pPr>
              <w:rPr>
                <w:rFonts w:cs="Arial"/>
              </w:rPr>
            </w:pPr>
            <w:r>
              <w:rPr>
                <w:rFonts w:cs="Arial"/>
              </w:rPr>
              <w:t>Total</w:t>
            </w:r>
          </w:p>
        </w:tc>
        <w:tc>
          <w:tcPr>
            <w:tcW w:w="1188" w:type="dxa"/>
          </w:tcPr>
          <w:p w:rsidR="00557E56" w:rsidRPr="00676BBE" w:rsidRDefault="00557E56" w:rsidP="00557E56">
            <w:pPr>
              <w:jc w:val="right"/>
              <w:rPr>
                <w:rFonts w:cs="Arial"/>
              </w:rPr>
            </w:pPr>
            <w:r w:rsidRPr="00676BBE">
              <w:rPr>
                <w:rFonts w:cs="Arial"/>
              </w:rPr>
              <w:t>$ 63,955</w:t>
            </w:r>
          </w:p>
        </w:tc>
      </w:tr>
    </w:tbl>
    <w:p w:rsidR="00334ECB" w:rsidRPr="00DF12B8" w:rsidRDefault="00334ECB" w:rsidP="00531521">
      <w:pPr>
        <w:rPr>
          <w:rFonts w:cs="Arial"/>
          <w:b/>
        </w:rPr>
      </w:pPr>
    </w:p>
    <w:p w:rsidR="008C2ACE" w:rsidRPr="00DF12B8" w:rsidRDefault="008C2ACE" w:rsidP="008C7188">
      <w:pPr>
        <w:ind w:left="540" w:hanging="540"/>
        <w:rPr>
          <w:rFonts w:cs="Arial"/>
        </w:rPr>
      </w:pPr>
    </w:p>
    <w:p w:rsidR="00F204C2" w:rsidRDefault="00F204C2" w:rsidP="008C7188">
      <w:pPr>
        <w:ind w:left="540" w:hanging="540"/>
        <w:rPr>
          <w:rFonts w:cs="Arial"/>
          <w:b/>
        </w:rPr>
      </w:pPr>
    </w:p>
    <w:p w:rsidR="008C2ACE" w:rsidRPr="00CE603B" w:rsidRDefault="004F42FA" w:rsidP="008C7188">
      <w:pPr>
        <w:ind w:left="540" w:hanging="540"/>
        <w:rPr>
          <w:rFonts w:cs="Arial"/>
          <w:b/>
        </w:rPr>
      </w:pPr>
      <w:r>
        <w:rPr>
          <w:rFonts w:cs="Arial"/>
          <w:b/>
        </w:rPr>
        <w:t>A15</w:t>
      </w:r>
      <w:r w:rsidR="008C2ACE" w:rsidRPr="00CE603B">
        <w:rPr>
          <w:rFonts w:cs="Arial"/>
          <w:b/>
        </w:rPr>
        <w:t>.</w:t>
      </w:r>
      <w:r w:rsidR="008C2ACE" w:rsidRPr="00CE603B">
        <w:rPr>
          <w:rFonts w:cs="Arial"/>
          <w:b/>
        </w:rPr>
        <w:tab/>
      </w:r>
      <w:r w:rsidR="008C2ACE" w:rsidRPr="00CE603B">
        <w:rPr>
          <w:rFonts w:cs="Arial"/>
          <w:b/>
        </w:rPr>
        <w:tab/>
        <w:t>Explanation for Program Changes or Adjustments</w:t>
      </w:r>
    </w:p>
    <w:p w:rsidR="00CE603B" w:rsidRDefault="00CE603B" w:rsidP="008C7188">
      <w:pPr>
        <w:ind w:left="540" w:hanging="540"/>
        <w:rPr>
          <w:rFonts w:cs="Arial"/>
        </w:rPr>
      </w:pPr>
    </w:p>
    <w:p w:rsidR="002B1A0B" w:rsidRDefault="002B1A0B" w:rsidP="002B1A0B">
      <w:pPr>
        <w:rPr>
          <w:rFonts w:cs="Arial"/>
        </w:rPr>
      </w:pPr>
      <w:r>
        <w:rPr>
          <w:rFonts w:cs="Arial"/>
        </w:rPr>
        <w:t xml:space="preserve">In the original three-year clearance </w:t>
      </w:r>
      <w:r w:rsidR="00C37713">
        <w:rPr>
          <w:rFonts w:cs="Arial"/>
        </w:rPr>
        <w:t>request, there were 17 awardees</w:t>
      </w:r>
      <w:r>
        <w:rPr>
          <w:rFonts w:cs="Arial"/>
        </w:rPr>
        <w:t xml:space="preserve"> and </w:t>
      </w:r>
      <w:r w:rsidR="00C37713">
        <w:rPr>
          <w:rFonts w:cs="Arial"/>
        </w:rPr>
        <w:t xml:space="preserve">SDE </w:t>
      </w:r>
      <w:r>
        <w:rPr>
          <w:rFonts w:cs="Arial"/>
        </w:rPr>
        <w:t xml:space="preserve">information was submitted to CDC semi-annually.  </w:t>
      </w:r>
      <w:r w:rsidR="00F204C2">
        <w:rPr>
          <w:rFonts w:cs="Arial"/>
        </w:rPr>
        <w:t>The total annualized burden of 80 hours included (1) 68 hours for routine semi-annual SDE reporting (</w:t>
      </w:r>
      <w:r w:rsidR="00DF1F7A">
        <w:rPr>
          <w:rFonts w:cs="Arial"/>
        </w:rPr>
        <w:t xml:space="preserve">17 respondents * 2 responses per year * </w:t>
      </w:r>
      <w:r w:rsidR="00F204C2">
        <w:rPr>
          <w:rFonts w:cs="Arial"/>
        </w:rPr>
        <w:t>2 hours per response), and an allocation of 12 annual</w:t>
      </w:r>
      <w:r w:rsidR="00646DE5">
        <w:rPr>
          <w:rFonts w:cs="Arial"/>
        </w:rPr>
        <w:t>ized burden hours assigned to</w:t>
      </w:r>
      <w:r w:rsidR="006C6232">
        <w:rPr>
          <w:rFonts w:cs="Arial"/>
        </w:rPr>
        <w:t xml:space="preserve"> a one-time retr</w:t>
      </w:r>
      <w:r w:rsidR="00C37713">
        <w:rPr>
          <w:rFonts w:cs="Arial"/>
        </w:rPr>
        <w:t>ospective SDE data collection.</w:t>
      </w:r>
    </w:p>
    <w:p w:rsidR="002B1A0B" w:rsidRDefault="002B1A0B" w:rsidP="002B1A0B">
      <w:pPr>
        <w:rPr>
          <w:rFonts w:cs="Arial"/>
        </w:rPr>
      </w:pPr>
    </w:p>
    <w:p w:rsidR="00B82389" w:rsidRDefault="00C37713" w:rsidP="002B1A0B">
      <w:pPr>
        <w:rPr>
          <w:rFonts w:cs="Arial"/>
        </w:rPr>
      </w:pPr>
      <w:r>
        <w:rPr>
          <w:rFonts w:cs="Arial"/>
        </w:rPr>
        <w:t>One SDE information collection will be conducted during</w:t>
      </w:r>
      <w:r w:rsidR="002B1A0B">
        <w:rPr>
          <w:rFonts w:cs="Arial"/>
        </w:rPr>
        <w:t xml:space="preserve"> this six-month Revision request</w:t>
      </w:r>
      <w:r>
        <w:rPr>
          <w:rFonts w:cs="Arial"/>
        </w:rPr>
        <w:t>.</w:t>
      </w:r>
      <w:r w:rsidR="00B82389">
        <w:rPr>
          <w:rFonts w:cs="Arial"/>
        </w:rPr>
        <w:t xml:space="preserve">  There will be</w:t>
      </w:r>
      <w:r w:rsidR="00646DE5">
        <w:rPr>
          <w:rFonts w:cs="Arial"/>
        </w:rPr>
        <w:t xml:space="preserve"> 16 awardees (respondents) </w:t>
      </w:r>
      <w:r w:rsidR="00B82389">
        <w:rPr>
          <w:rFonts w:cs="Arial"/>
        </w:rPr>
        <w:t xml:space="preserve">during this period </w:t>
      </w:r>
      <w:r w:rsidR="00646DE5">
        <w:rPr>
          <w:rFonts w:cs="Arial"/>
        </w:rPr>
        <w:t>and t</w:t>
      </w:r>
      <w:r>
        <w:rPr>
          <w:rFonts w:cs="Arial"/>
        </w:rPr>
        <w:t>he total estimated annualized burden is 32 ho</w:t>
      </w:r>
      <w:r w:rsidR="00B82389">
        <w:rPr>
          <w:rFonts w:cs="Arial"/>
        </w:rPr>
        <w:t>urs.</w:t>
      </w:r>
    </w:p>
    <w:p w:rsidR="00B82389" w:rsidRDefault="00B82389" w:rsidP="002B1A0B">
      <w:pPr>
        <w:rPr>
          <w:rFonts w:cs="Arial"/>
        </w:rPr>
      </w:pPr>
    </w:p>
    <w:p w:rsidR="002B1A0B" w:rsidRDefault="00B82389" w:rsidP="002B1A0B">
      <w:pPr>
        <w:rPr>
          <w:rFonts w:cs="Arial"/>
        </w:rPr>
      </w:pPr>
      <w:r>
        <w:rPr>
          <w:rFonts w:cs="Arial"/>
        </w:rPr>
        <w:t>The decrease</w:t>
      </w:r>
      <w:r w:rsidR="00646DE5">
        <w:rPr>
          <w:rFonts w:cs="Arial"/>
        </w:rPr>
        <w:t xml:space="preserve"> of 36 annua</w:t>
      </w:r>
      <w:r>
        <w:rPr>
          <w:rFonts w:cs="Arial"/>
        </w:rPr>
        <w:t>lized hours reflects (1) a reduction of 4 hours associated with a decrease in the number of awardees, (2) a reduction of 32 hours associated with a reduction in the frequency of reporting, and (3) a reduct</w:t>
      </w:r>
      <w:r w:rsidR="00ED12E3">
        <w:rPr>
          <w:rFonts w:cs="Arial"/>
        </w:rPr>
        <w:t>ion of 12 hours associated with</w:t>
      </w:r>
      <w:r>
        <w:rPr>
          <w:rFonts w:cs="Arial"/>
        </w:rPr>
        <w:t xml:space="preserve"> </w:t>
      </w:r>
      <w:r w:rsidR="00A40A3C">
        <w:rPr>
          <w:rFonts w:cs="Arial"/>
        </w:rPr>
        <w:t xml:space="preserve">completion of </w:t>
      </w:r>
      <w:r>
        <w:rPr>
          <w:rFonts w:cs="Arial"/>
        </w:rPr>
        <w:t>the one-time retrospective data collection.</w:t>
      </w:r>
      <w:r w:rsidR="002B1A0B">
        <w:rPr>
          <w:rFonts w:cs="Arial"/>
        </w:rPr>
        <w:t xml:space="preserve"> </w:t>
      </w:r>
    </w:p>
    <w:p w:rsidR="008C2ACE" w:rsidRPr="00DF12B8" w:rsidRDefault="008C2ACE" w:rsidP="00CE603B">
      <w:pPr>
        <w:rPr>
          <w:rFonts w:cs="Arial"/>
        </w:rPr>
      </w:pPr>
    </w:p>
    <w:p w:rsidR="008C2ACE" w:rsidRPr="00CE603B" w:rsidRDefault="004F42FA" w:rsidP="008C7188">
      <w:pPr>
        <w:ind w:left="540" w:hanging="540"/>
        <w:rPr>
          <w:rFonts w:cs="Arial"/>
          <w:b/>
        </w:rPr>
      </w:pPr>
      <w:r>
        <w:rPr>
          <w:rFonts w:cs="Arial"/>
          <w:b/>
        </w:rPr>
        <w:t>A16</w:t>
      </w:r>
      <w:r w:rsidR="008C2ACE" w:rsidRPr="00CE603B">
        <w:rPr>
          <w:rFonts w:cs="Arial"/>
          <w:b/>
        </w:rPr>
        <w:t>.</w:t>
      </w:r>
      <w:r w:rsidR="008C2ACE" w:rsidRPr="00CE603B">
        <w:rPr>
          <w:rFonts w:cs="Arial"/>
          <w:b/>
        </w:rPr>
        <w:tab/>
      </w:r>
      <w:r w:rsidR="008C2ACE" w:rsidRPr="00CE603B">
        <w:rPr>
          <w:rFonts w:cs="Arial"/>
          <w:b/>
        </w:rPr>
        <w:tab/>
        <w:t>Plans for Tabulation and Publication and Project Time Schedule</w:t>
      </w:r>
    </w:p>
    <w:p w:rsidR="008C2ACE" w:rsidRDefault="008C2ACE" w:rsidP="008C7188">
      <w:pPr>
        <w:ind w:left="540" w:hanging="540"/>
        <w:rPr>
          <w:rFonts w:cs="Arial"/>
        </w:rPr>
      </w:pPr>
    </w:p>
    <w:p w:rsidR="008C2ACE" w:rsidRPr="00DF12B8" w:rsidRDefault="008C2ACE" w:rsidP="00531521">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C2ACE" w:rsidRPr="00854F42" w:rsidTr="004A5968">
        <w:tc>
          <w:tcPr>
            <w:tcW w:w="4428" w:type="dxa"/>
          </w:tcPr>
          <w:p w:rsidR="008C2ACE" w:rsidRPr="00854F42" w:rsidRDefault="004F42FA" w:rsidP="004A5968">
            <w:pPr>
              <w:rPr>
                <w:rFonts w:cs="Arial"/>
                <w:b/>
              </w:rPr>
            </w:pPr>
            <w:r>
              <w:rPr>
                <w:rFonts w:cs="Arial"/>
                <w:b/>
              </w:rPr>
              <w:t>A.16</w:t>
            </w:r>
            <w:r w:rsidR="008C2ACE" w:rsidRPr="00854F42">
              <w:rPr>
                <w:rFonts w:cs="Arial"/>
                <w:b/>
              </w:rPr>
              <w:t>-1 Survey Time Schedule</w:t>
            </w:r>
          </w:p>
        </w:tc>
        <w:tc>
          <w:tcPr>
            <w:tcW w:w="4428" w:type="dxa"/>
          </w:tcPr>
          <w:p w:rsidR="008C2ACE" w:rsidRPr="00854F42" w:rsidRDefault="008C2ACE" w:rsidP="004A5968">
            <w:pPr>
              <w:rPr>
                <w:rFonts w:cs="Arial"/>
                <w:b/>
              </w:rPr>
            </w:pPr>
          </w:p>
        </w:tc>
      </w:tr>
      <w:tr w:rsidR="008C2ACE" w:rsidRPr="00854F42" w:rsidTr="004A5968">
        <w:tc>
          <w:tcPr>
            <w:tcW w:w="4428" w:type="dxa"/>
          </w:tcPr>
          <w:p w:rsidR="008C2ACE" w:rsidRPr="00854F42" w:rsidRDefault="008C2ACE" w:rsidP="004A5968">
            <w:pPr>
              <w:jc w:val="center"/>
              <w:rPr>
                <w:rFonts w:cs="Arial"/>
                <w:b/>
              </w:rPr>
            </w:pPr>
            <w:r w:rsidRPr="00854F42">
              <w:rPr>
                <w:rFonts w:cs="Arial"/>
                <w:b/>
              </w:rPr>
              <w:t>Activity</w:t>
            </w:r>
          </w:p>
        </w:tc>
        <w:tc>
          <w:tcPr>
            <w:tcW w:w="4428" w:type="dxa"/>
          </w:tcPr>
          <w:p w:rsidR="008C2ACE" w:rsidRPr="00854F42" w:rsidRDefault="008C2ACE" w:rsidP="004A5968">
            <w:pPr>
              <w:jc w:val="center"/>
              <w:rPr>
                <w:rFonts w:cs="Arial"/>
                <w:b/>
              </w:rPr>
            </w:pPr>
            <w:r w:rsidRPr="00854F42">
              <w:rPr>
                <w:rFonts w:cs="Arial"/>
                <w:b/>
              </w:rPr>
              <w:t>Time Schedule</w:t>
            </w:r>
          </w:p>
        </w:tc>
      </w:tr>
      <w:tr w:rsidR="008C2ACE" w:rsidRPr="00854F42" w:rsidTr="004A5968">
        <w:tc>
          <w:tcPr>
            <w:tcW w:w="4428" w:type="dxa"/>
          </w:tcPr>
          <w:p w:rsidR="008C2ACE" w:rsidRPr="00854F42" w:rsidRDefault="0035097F" w:rsidP="004A5968">
            <w:pPr>
              <w:rPr>
                <w:rFonts w:cs="Arial"/>
              </w:rPr>
            </w:pPr>
            <w:r>
              <w:rPr>
                <w:rFonts w:cs="Arial"/>
              </w:rPr>
              <w:t>Information Collection #1</w:t>
            </w:r>
          </w:p>
        </w:tc>
        <w:tc>
          <w:tcPr>
            <w:tcW w:w="4428" w:type="dxa"/>
          </w:tcPr>
          <w:p w:rsidR="008C2ACE" w:rsidRPr="00854F42" w:rsidRDefault="0035097F" w:rsidP="004A5968">
            <w:pPr>
              <w:rPr>
                <w:rFonts w:cs="Arial"/>
              </w:rPr>
            </w:pPr>
            <w:r>
              <w:rPr>
                <w:rFonts w:cs="Arial"/>
              </w:rPr>
              <w:t>October/November annually</w:t>
            </w:r>
          </w:p>
        </w:tc>
      </w:tr>
      <w:tr w:rsidR="008C2ACE" w:rsidRPr="00854F42" w:rsidTr="004A5968">
        <w:tc>
          <w:tcPr>
            <w:tcW w:w="4428" w:type="dxa"/>
          </w:tcPr>
          <w:p w:rsidR="008C2ACE" w:rsidRPr="00854F42" w:rsidRDefault="0035097F" w:rsidP="004A5968">
            <w:pPr>
              <w:rPr>
                <w:rFonts w:cs="Arial"/>
              </w:rPr>
            </w:pPr>
            <w:r>
              <w:rPr>
                <w:rFonts w:cs="Arial"/>
              </w:rPr>
              <w:t>Data analysis and report writing</w:t>
            </w:r>
          </w:p>
        </w:tc>
        <w:tc>
          <w:tcPr>
            <w:tcW w:w="4428" w:type="dxa"/>
          </w:tcPr>
          <w:p w:rsidR="008C2ACE" w:rsidRPr="00854F42" w:rsidRDefault="0035097F" w:rsidP="004A5968">
            <w:pPr>
              <w:rPr>
                <w:rFonts w:cs="Arial"/>
              </w:rPr>
            </w:pPr>
            <w:r>
              <w:rPr>
                <w:rFonts w:cs="Arial"/>
              </w:rPr>
              <w:t>December-March</w:t>
            </w:r>
          </w:p>
        </w:tc>
      </w:tr>
      <w:tr w:rsidR="008C2ACE" w:rsidRPr="00854F42" w:rsidTr="004A5968">
        <w:tc>
          <w:tcPr>
            <w:tcW w:w="4428" w:type="dxa"/>
          </w:tcPr>
          <w:p w:rsidR="008C2ACE" w:rsidRPr="00854F42" w:rsidRDefault="0035097F" w:rsidP="004A5968">
            <w:pPr>
              <w:rPr>
                <w:rFonts w:cs="Arial"/>
              </w:rPr>
            </w:pPr>
            <w:r>
              <w:rPr>
                <w:rFonts w:cs="Arial"/>
              </w:rPr>
              <w:t>Information Collection #2</w:t>
            </w:r>
          </w:p>
        </w:tc>
        <w:tc>
          <w:tcPr>
            <w:tcW w:w="4428" w:type="dxa"/>
          </w:tcPr>
          <w:p w:rsidR="008C2ACE" w:rsidRPr="00854F42" w:rsidRDefault="0035097F" w:rsidP="004A5968">
            <w:pPr>
              <w:rPr>
                <w:rFonts w:cs="Arial"/>
              </w:rPr>
            </w:pPr>
            <w:r>
              <w:rPr>
                <w:rFonts w:cs="Arial"/>
              </w:rPr>
              <w:t>April/May annually</w:t>
            </w:r>
          </w:p>
        </w:tc>
      </w:tr>
      <w:tr w:rsidR="008C2ACE" w:rsidRPr="00854F42" w:rsidTr="004A5968">
        <w:tc>
          <w:tcPr>
            <w:tcW w:w="4428" w:type="dxa"/>
          </w:tcPr>
          <w:p w:rsidR="008C2ACE" w:rsidRPr="00854F42" w:rsidRDefault="0035097F" w:rsidP="004A5968">
            <w:pPr>
              <w:rPr>
                <w:rFonts w:cs="Arial"/>
              </w:rPr>
            </w:pPr>
            <w:r>
              <w:rPr>
                <w:rFonts w:cs="Arial"/>
              </w:rPr>
              <w:t>Data analysis and report writing</w:t>
            </w:r>
          </w:p>
        </w:tc>
        <w:tc>
          <w:tcPr>
            <w:tcW w:w="4428" w:type="dxa"/>
          </w:tcPr>
          <w:p w:rsidR="008C2ACE" w:rsidRPr="00854F42" w:rsidRDefault="0035097F" w:rsidP="0035097F">
            <w:pPr>
              <w:rPr>
                <w:rFonts w:cs="Arial"/>
              </w:rPr>
            </w:pPr>
            <w:r>
              <w:rPr>
                <w:rFonts w:cs="Arial"/>
              </w:rPr>
              <w:t>June-September</w:t>
            </w:r>
          </w:p>
        </w:tc>
      </w:tr>
    </w:tbl>
    <w:p w:rsidR="008C2ACE" w:rsidRDefault="008C2ACE" w:rsidP="008C7188">
      <w:pPr>
        <w:ind w:left="540" w:hanging="540"/>
        <w:rPr>
          <w:rFonts w:cs="Arial"/>
        </w:rPr>
      </w:pPr>
    </w:p>
    <w:p w:rsidR="008C2ACE" w:rsidRDefault="008C2ACE" w:rsidP="008C7188">
      <w:pPr>
        <w:ind w:left="540" w:hanging="540"/>
        <w:rPr>
          <w:rFonts w:cs="Arial"/>
        </w:rPr>
      </w:pPr>
    </w:p>
    <w:p w:rsidR="008C2ACE" w:rsidRPr="00DF12B8" w:rsidRDefault="008C2ACE" w:rsidP="008C7188">
      <w:pPr>
        <w:ind w:left="540" w:hanging="540"/>
        <w:rPr>
          <w:rFonts w:cs="Arial"/>
        </w:rPr>
      </w:pPr>
    </w:p>
    <w:p w:rsidR="008C2ACE" w:rsidRPr="00762EF2" w:rsidRDefault="006A1055" w:rsidP="008C7188">
      <w:pPr>
        <w:ind w:left="540" w:hanging="540"/>
        <w:rPr>
          <w:rFonts w:cs="Arial"/>
          <w:b/>
        </w:rPr>
      </w:pPr>
      <w:r>
        <w:rPr>
          <w:rFonts w:cs="Arial"/>
          <w:b/>
        </w:rPr>
        <w:t>A17</w:t>
      </w:r>
      <w:r w:rsidR="008C2ACE" w:rsidRPr="00762EF2">
        <w:rPr>
          <w:rFonts w:cs="Arial"/>
          <w:b/>
        </w:rPr>
        <w:t>.</w:t>
      </w:r>
      <w:r w:rsidR="008C2ACE" w:rsidRPr="00762EF2">
        <w:rPr>
          <w:rFonts w:cs="Arial"/>
          <w:b/>
        </w:rPr>
        <w:tab/>
      </w:r>
      <w:r w:rsidR="008C2ACE" w:rsidRPr="00762EF2">
        <w:rPr>
          <w:rFonts w:cs="Arial"/>
          <w:b/>
        </w:rPr>
        <w:tab/>
        <w:t>Reason(s) Display of OMB Expiration Date is Inappropriate</w:t>
      </w:r>
    </w:p>
    <w:p w:rsidR="008C2ACE" w:rsidRDefault="008C2ACE" w:rsidP="00762EF2">
      <w:pPr>
        <w:ind w:left="540"/>
        <w:rPr>
          <w:rFonts w:cs="Arial"/>
        </w:rPr>
      </w:pPr>
    </w:p>
    <w:p w:rsidR="008C2ACE" w:rsidRPr="00DF12B8" w:rsidRDefault="008C2ACE" w:rsidP="00762EF2">
      <w:pPr>
        <w:ind w:left="540"/>
        <w:rPr>
          <w:rFonts w:cs="Arial"/>
        </w:rPr>
      </w:pPr>
      <w:r w:rsidRPr="00DF12B8">
        <w:rPr>
          <w:rFonts w:cs="Arial"/>
        </w:rPr>
        <w:t>The OMB expiration date will be displayed in th</w:t>
      </w:r>
      <w:r>
        <w:rPr>
          <w:rFonts w:cs="Arial"/>
        </w:rPr>
        <w:t>e upper right hand corner of the data collection instrument</w:t>
      </w:r>
      <w:r w:rsidRPr="00DF12B8">
        <w:rPr>
          <w:rFonts w:cs="Arial"/>
        </w:rPr>
        <w:t>.</w:t>
      </w:r>
      <w:r w:rsidRPr="00531521">
        <w:rPr>
          <w:rFonts w:cs="Arial"/>
        </w:rPr>
        <w:t xml:space="preserve"> </w:t>
      </w:r>
      <w:r>
        <w:rPr>
          <w:rFonts w:cs="Arial"/>
        </w:rPr>
        <w:t>No excep</w:t>
      </w:r>
      <w:r w:rsidRPr="00DF12B8">
        <w:rPr>
          <w:rFonts w:cs="Arial"/>
        </w:rPr>
        <w:t>tion</w:t>
      </w:r>
      <w:r>
        <w:rPr>
          <w:rFonts w:cs="Arial"/>
        </w:rPr>
        <w:t>s are</w:t>
      </w:r>
      <w:r w:rsidRPr="00DF12B8">
        <w:rPr>
          <w:rFonts w:cs="Arial"/>
        </w:rPr>
        <w:t xml:space="preserve"> requested.  </w:t>
      </w:r>
    </w:p>
    <w:p w:rsidR="008C2ACE" w:rsidRPr="00DF12B8" w:rsidRDefault="008C2ACE" w:rsidP="00762EF2">
      <w:pPr>
        <w:rPr>
          <w:rFonts w:cs="Arial"/>
        </w:rPr>
      </w:pPr>
    </w:p>
    <w:p w:rsidR="008C2ACE" w:rsidRPr="00762EF2" w:rsidRDefault="006A1055" w:rsidP="008C7188">
      <w:pPr>
        <w:ind w:left="540" w:hanging="540"/>
        <w:rPr>
          <w:rFonts w:cs="Arial"/>
          <w:b/>
        </w:rPr>
      </w:pPr>
      <w:r>
        <w:rPr>
          <w:rFonts w:cs="Arial"/>
          <w:b/>
        </w:rPr>
        <w:t>A18</w:t>
      </w:r>
      <w:r w:rsidR="008C2ACE" w:rsidRPr="00762EF2">
        <w:rPr>
          <w:rFonts w:cs="Arial"/>
          <w:b/>
        </w:rPr>
        <w:t>.</w:t>
      </w:r>
      <w:r w:rsidR="008C2ACE" w:rsidRPr="00762EF2">
        <w:rPr>
          <w:rFonts w:cs="Arial"/>
          <w:b/>
        </w:rPr>
        <w:tab/>
      </w:r>
      <w:r w:rsidR="008C2ACE" w:rsidRPr="00762EF2">
        <w:rPr>
          <w:rFonts w:cs="Arial"/>
          <w:b/>
        </w:rPr>
        <w:tab/>
        <w:t>Exceptions to Certification for Paperwork Reduction Act</w:t>
      </w:r>
    </w:p>
    <w:p w:rsidR="008C2ACE" w:rsidRDefault="008C2ACE" w:rsidP="008C7188">
      <w:pPr>
        <w:spacing w:line="276" w:lineRule="auto"/>
        <w:ind w:left="720"/>
      </w:pPr>
    </w:p>
    <w:p w:rsidR="008C2ACE" w:rsidRPr="00DF12B8" w:rsidRDefault="008C2ACE" w:rsidP="00762EF2">
      <w:pPr>
        <w:ind w:left="540"/>
        <w:rPr>
          <w:rFonts w:cs="Arial"/>
        </w:rPr>
      </w:pPr>
      <w:r w:rsidRPr="00DF12B8">
        <w:rPr>
          <w:rFonts w:cs="Arial"/>
        </w:rPr>
        <w:t xml:space="preserve">No exceptions </w:t>
      </w:r>
      <w:r>
        <w:rPr>
          <w:rFonts w:cs="Arial"/>
        </w:rPr>
        <w:t xml:space="preserve">are </w:t>
      </w:r>
      <w:r w:rsidRPr="00DF12B8">
        <w:rPr>
          <w:rFonts w:cs="Arial"/>
        </w:rPr>
        <w:t xml:space="preserve">requested.  </w:t>
      </w:r>
      <w:r w:rsidRPr="00A5643A" w:rsidDel="00A5643A">
        <w:rPr>
          <w:rFonts w:cs="Arial"/>
          <w:b/>
        </w:rPr>
        <w:t xml:space="preserve"> </w:t>
      </w:r>
    </w:p>
    <w:p w:rsidR="008C2ACE" w:rsidRDefault="008C2ACE" w:rsidP="00C06EC7"/>
    <w:p w:rsidR="00873DA6" w:rsidRDefault="00873DA6" w:rsidP="00C06EC7"/>
    <w:p w:rsidR="00BA0651" w:rsidRDefault="00BA0651">
      <w:pPr>
        <w:rPr>
          <w:b/>
        </w:rPr>
      </w:pPr>
    </w:p>
    <w:sectPr w:rsidR="00BA0651" w:rsidSect="007E202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89" w:rsidRDefault="00B82389" w:rsidP="001A5CF0">
      <w:r>
        <w:separator/>
      </w:r>
    </w:p>
  </w:endnote>
  <w:endnote w:type="continuationSeparator" w:id="0">
    <w:p w:rsidR="00B82389" w:rsidRDefault="00B82389" w:rsidP="001A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220987"/>
      <w:docPartObj>
        <w:docPartGallery w:val="Page Numbers (Bottom of Page)"/>
        <w:docPartUnique/>
      </w:docPartObj>
    </w:sdtPr>
    <w:sdtEndPr>
      <w:rPr>
        <w:noProof/>
      </w:rPr>
    </w:sdtEndPr>
    <w:sdtContent>
      <w:p w:rsidR="00B82389" w:rsidRDefault="00B82389">
        <w:pPr>
          <w:pStyle w:val="Footer"/>
          <w:jc w:val="right"/>
        </w:pPr>
        <w:r>
          <w:fldChar w:fldCharType="begin"/>
        </w:r>
        <w:r>
          <w:instrText xml:space="preserve"> PAGE   \* MERGEFORMAT </w:instrText>
        </w:r>
        <w:r>
          <w:fldChar w:fldCharType="separate"/>
        </w:r>
        <w:r w:rsidR="006D6A98">
          <w:rPr>
            <w:noProof/>
          </w:rPr>
          <w:t>12</w:t>
        </w:r>
        <w:r>
          <w:rPr>
            <w:noProof/>
          </w:rPr>
          <w:fldChar w:fldCharType="end"/>
        </w:r>
      </w:p>
    </w:sdtContent>
  </w:sdt>
  <w:p w:rsidR="00B82389" w:rsidRDefault="00B82389" w:rsidP="00CA4AF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89" w:rsidRDefault="00B82389" w:rsidP="001A5CF0">
      <w:r>
        <w:separator/>
      </w:r>
    </w:p>
  </w:footnote>
  <w:footnote w:type="continuationSeparator" w:id="0">
    <w:p w:rsidR="00B82389" w:rsidRDefault="00B82389" w:rsidP="001A5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389" w:rsidRDefault="00B82389" w:rsidP="00F1176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529A"/>
    <w:multiLevelType w:val="hybridMultilevel"/>
    <w:tmpl w:val="3DE29290"/>
    <w:lvl w:ilvl="0" w:tplc="5420DD58">
      <w:start w:val="1"/>
      <w:numFmt w:val="upperLetter"/>
      <w:lvlText w:val="%1."/>
      <w:lvlJc w:val="left"/>
      <w:pPr>
        <w:tabs>
          <w:tab w:val="num" w:pos="1485"/>
        </w:tabs>
        <w:ind w:left="1485" w:hanging="585"/>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
    <w:nsid w:val="1C5E7DA0"/>
    <w:multiLevelType w:val="hybridMultilevel"/>
    <w:tmpl w:val="AD72842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nsid w:val="3D400B88"/>
    <w:multiLevelType w:val="hybridMultilevel"/>
    <w:tmpl w:val="9D98820A"/>
    <w:lvl w:ilvl="0" w:tplc="3670C5DE">
      <w:start w:val="1"/>
      <w:numFmt w:val="bullet"/>
      <w:lvlText w:val="•"/>
      <w:lvlJc w:val="left"/>
      <w:pPr>
        <w:tabs>
          <w:tab w:val="num" w:pos="720"/>
        </w:tabs>
        <w:ind w:left="720" w:hanging="360"/>
      </w:pPr>
      <w:rPr>
        <w:rFonts w:ascii="Times New Roman" w:hAnsi="Times New Roman" w:hint="default"/>
      </w:rPr>
    </w:lvl>
    <w:lvl w:ilvl="1" w:tplc="532E82D6" w:tentative="1">
      <w:start w:val="1"/>
      <w:numFmt w:val="bullet"/>
      <w:lvlText w:val="•"/>
      <w:lvlJc w:val="left"/>
      <w:pPr>
        <w:tabs>
          <w:tab w:val="num" w:pos="1440"/>
        </w:tabs>
        <w:ind w:left="1440" w:hanging="360"/>
      </w:pPr>
      <w:rPr>
        <w:rFonts w:ascii="Times New Roman" w:hAnsi="Times New Roman" w:hint="default"/>
      </w:rPr>
    </w:lvl>
    <w:lvl w:ilvl="2" w:tplc="B1C8C4AA" w:tentative="1">
      <w:start w:val="1"/>
      <w:numFmt w:val="bullet"/>
      <w:lvlText w:val="•"/>
      <w:lvlJc w:val="left"/>
      <w:pPr>
        <w:tabs>
          <w:tab w:val="num" w:pos="2160"/>
        </w:tabs>
        <w:ind w:left="2160" w:hanging="360"/>
      </w:pPr>
      <w:rPr>
        <w:rFonts w:ascii="Times New Roman" w:hAnsi="Times New Roman" w:hint="default"/>
      </w:rPr>
    </w:lvl>
    <w:lvl w:ilvl="3" w:tplc="44F0330C" w:tentative="1">
      <w:start w:val="1"/>
      <w:numFmt w:val="bullet"/>
      <w:lvlText w:val="•"/>
      <w:lvlJc w:val="left"/>
      <w:pPr>
        <w:tabs>
          <w:tab w:val="num" w:pos="2880"/>
        </w:tabs>
        <w:ind w:left="2880" w:hanging="360"/>
      </w:pPr>
      <w:rPr>
        <w:rFonts w:ascii="Times New Roman" w:hAnsi="Times New Roman" w:hint="default"/>
      </w:rPr>
    </w:lvl>
    <w:lvl w:ilvl="4" w:tplc="A0ECFA56" w:tentative="1">
      <w:start w:val="1"/>
      <w:numFmt w:val="bullet"/>
      <w:lvlText w:val="•"/>
      <w:lvlJc w:val="left"/>
      <w:pPr>
        <w:tabs>
          <w:tab w:val="num" w:pos="3600"/>
        </w:tabs>
        <w:ind w:left="3600" w:hanging="360"/>
      </w:pPr>
      <w:rPr>
        <w:rFonts w:ascii="Times New Roman" w:hAnsi="Times New Roman" w:hint="default"/>
      </w:rPr>
    </w:lvl>
    <w:lvl w:ilvl="5" w:tplc="53E621B0" w:tentative="1">
      <w:start w:val="1"/>
      <w:numFmt w:val="bullet"/>
      <w:lvlText w:val="•"/>
      <w:lvlJc w:val="left"/>
      <w:pPr>
        <w:tabs>
          <w:tab w:val="num" w:pos="4320"/>
        </w:tabs>
        <w:ind w:left="4320" w:hanging="360"/>
      </w:pPr>
      <w:rPr>
        <w:rFonts w:ascii="Times New Roman" w:hAnsi="Times New Roman" w:hint="default"/>
      </w:rPr>
    </w:lvl>
    <w:lvl w:ilvl="6" w:tplc="9D647A0A" w:tentative="1">
      <w:start w:val="1"/>
      <w:numFmt w:val="bullet"/>
      <w:lvlText w:val="•"/>
      <w:lvlJc w:val="left"/>
      <w:pPr>
        <w:tabs>
          <w:tab w:val="num" w:pos="5040"/>
        </w:tabs>
        <w:ind w:left="5040" w:hanging="360"/>
      </w:pPr>
      <w:rPr>
        <w:rFonts w:ascii="Times New Roman" w:hAnsi="Times New Roman" w:hint="default"/>
      </w:rPr>
    </w:lvl>
    <w:lvl w:ilvl="7" w:tplc="387EB41C" w:tentative="1">
      <w:start w:val="1"/>
      <w:numFmt w:val="bullet"/>
      <w:lvlText w:val="•"/>
      <w:lvlJc w:val="left"/>
      <w:pPr>
        <w:tabs>
          <w:tab w:val="num" w:pos="5760"/>
        </w:tabs>
        <w:ind w:left="5760" w:hanging="360"/>
      </w:pPr>
      <w:rPr>
        <w:rFonts w:ascii="Times New Roman" w:hAnsi="Times New Roman" w:hint="default"/>
      </w:rPr>
    </w:lvl>
    <w:lvl w:ilvl="8" w:tplc="2D661834" w:tentative="1">
      <w:start w:val="1"/>
      <w:numFmt w:val="bullet"/>
      <w:lvlText w:val="•"/>
      <w:lvlJc w:val="left"/>
      <w:pPr>
        <w:tabs>
          <w:tab w:val="num" w:pos="6480"/>
        </w:tabs>
        <w:ind w:left="6480" w:hanging="360"/>
      </w:pPr>
      <w:rPr>
        <w:rFonts w:ascii="Times New Roman" w:hAnsi="Times New Roman" w:hint="default"/>
      </w:rPr>
    </w:lvl>
  </w:abstractNum>
  <w:abstractNum w:abstractNumId="3">
    <w:nsid w:val="3DE942FC"/>
    <w:multiLevelType w:val="hybridMultilevel"/>
    <w:tmpl w:val="62AE48F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E033010"/>
    <w:multiLevelType w:val="hybridMultilevel"/>
    <w:tmpl w:val="2C66B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91B3C88"/>
    <w:multiLevelType w:val="hybridMultilevel"/>
    <w:tmpl w:val="BB460488"/>
    <w:lvl w:ilvl="0" w:tplc="82B2552A">
      <w:start w:val="1"/>
      <w:numFmt w:val="upperLetter"/>
      <w:lvlText w:val="%1."/>
      <w:lvlJc w:val="left"/>
      <w:pPr>
        <w:ind w:left="720" w:hanging="360"/>
      </w:pPr>
      <w:rPr>
        <w:rFonts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E5A7B78"/>
    <w:multiLevelType w:val="hybridMultilevel"/>
    <w:tmpl w:val="0F5A2BDC"/>
    <w:lvl w:ilvl="0" w:tplc="0E2AAC76">
      <w:start w:val="1"/>
      <w:numFmt w:val="decimal"/>
      <w:lvlText w:val="%1"/>
      <w:lvlJc w:val="left"/>
      <w:pPr>
        <w:ind w:left="1080" w:hanging="72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91E779A"/>
    <w:multiLevelType w:val="hybridMultilevel"/>
    <w:tmpl w:val="3670B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4418CB"/>
    <w:multiLevelType w:val="hybridMultilevel"/>
    <w:tmpl w:val="6A9ECF22"/>
    <w:lvl w:ilvl="0" w:tplc="7CE6F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06781E"/>
    <w:multiLevelType w:val="hybridMultilevel"/>
    <w:tmpl w:val="582891C0"/>
    <w:lvl w:ilvl="0" w:tplc="EDBA7F6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7BCB6A75"/>
    <w:multiLevelType w:val="hybridMultilevel"/>
    <w:tmpl w:val="89226F94"/>
    <w:lvl w:ilvl="0" w:tplc="30047B6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0E76B3"/>
    <w:multiLevelType w:val="hybridMultilevel"/>
    <w:tmpl w:val="54802DE4"/>
    <w:lvl w:ilvl="0" w:tplc="AED0F24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6"/>
  </w:num>
  <w:num w:numId="3">
    <w:abstractNumId w:val="0"/>
  </w:num>
  <w:num w:numId="4">
    <w:abstractNumId w:val="10"/>
  </w:num>
  <w:num w:numId="5">
    <w:abstractNumId w:val="2"/>
  </w:num>
  <w:num w:numId="6">
    <w:abstractNumId w:val="3"/>
  </w:num>
  <w:num w:numId="7">
    <w:abstractNumId w:val="1"/>
  </w:num>
  <w:num w:numId="8">
    <w:abstractNumId w:val="7"/>
  </w:num>
  <w:num w:numId="9">
    <w:abstractNumId w:val="4"/>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B1"/>
    <w:rsid w:val="00000DCD"/>
    <w:rsid w:val="00001F78"/>
    <w:rsid w:val="000124CE"/>
    <w:rsid w:val="0003015B"/>
    <w:rsid w:val="000452FA"/>
    <w:rsid w:val="0004628E"/>
    <w:rsid w:val="00062D70"/>
    <w:rsid w:val="00063688"/>
    <w:rsid w:val="00066D7F"/>
    <w:rsid w:val="000802B6"/>
    <w:rsid w:val="000840A5"/>
    <w:rsid w:val="00087002"/>
    <w:rsid w:val="00094DEC"/>
    <w:rsid w:val="00095AC9"/>
    <w:rsid w:val="000966D6"/>
    <w:rsid w:val="000A3A20"/>
    <w:rsid w:val="000A3CBD"/>
    <w:rsid w:val="000C1C32"/>
    <w:rsid w:val="000C254A"/>
    <w:rsid w:val="000C4803"/>
    <w:rsid w:val="000E503B"/>
    <w:rsid w:val="000F0734"/>
    <w:rsid w:val="000F38B7"/>
    <w:rsid w:val="000F488C"/>
    <w:rsid w:val="000F5CB2"/>
    <w:rsid w:val="000F6A4B"/>
    <w:rsid w:val="000F7538"/>
    <w:rsid w:val="0010207F"/>
    <w:rsid w:val="0011547A"/>
    <w:rsid w:val="00123229"/>
    <w:rsid w:val="001250F3"/>
    <w:rsid w:val="00125F28"/>
    <w:rsid w:val="00142C8B"/>
    <w:rsid w:val="001439D9"/>
    <w:rsid w:val="00145BC4"/>
    <w:rsid w:val="00152890"/>
    <w:rsid w:val="00152B6E"/>
    <w:rsid w:val="00153440"/>
    <w:rsid w:val="00160F9A"/>
    <w:rsid w:val="00177018"/>
    <w:rsid w:val="001905D9"/>
    <w:rsid w:val="001917A0"/>
    <w:rsid w:val="001A3155"/>
    <w:rsid w:val="001A5CF0"/>
    <w:rsid w:val="001A7AED"/>
    <w:rsid w:val="001B2A21"/>
    <w:rsid w:val="001B5CFB"/>
    <w:rsid w:val="001B6E54"/>
    <w:rsid w:val="001B7535"/>
    <w:rsid w:val="001B765F"/>
    <w:rsid w:val="001C053A"/>
    <w:rsid w:val="001C4C08"/>
    <w:rsid w:val="001C5D02"/>
    <w:rsid w:val="001C6B57"/>
    <w:rsid w:val="001E448D"/>
    <w:rsid w:val="001E598C"/>
    <w:rsid w:val="002123B2"/>
    <w:rsid w:val="0021407E"/>
    <w:rsid w:val="00220CEE"/>
    <w:rsid w:val="00226280"/>
    <w:rsid w:val="002324D8"/>
    <w:rsid w:val="00237D85"/>
    <w:rsid w:val="00251FF0"/>
    <w:rsid w:val="00252A5F"/>
    <w:rsid w:val="00252FF3"/>
    <w:rsid w:val="00255C36"/>
    <w:rsid w:val="00267B36"/>
    <w:rsid w:val="00272091"/>
    <w:rsid w:val="00286C45"/>
    <w:rsid w:val="00290000"/>
    <w:rsid w:val="00290F21"/>
    <w:rsid w:val="00291655"/>
    <w:rsid w:val="00293ECD"/>
    <w:rsid w:val="0029585F"/>
    <w:rsid w:val="002962C1"/>
    <w:rsid w:val="002A32FD"/>
    <w:rsid w:val="002A4DF4"/>
    <w:rsid w:val="002A7410"/>
    <w:rsid w:val="002B04D8"/>
    <w:rsid w:val="002B1A0B"/>
    <w:rsid w:val="002C076B"/>
    <w:rsid w:val="002C191D"/>
    <w:rsid w:val="002C29ED"/>
    <w:rsid w:val="002C3D7E"/>
    <w:rsid w:val="002D23A4"/>
    <w:rsid w:val="002D7BD7"/>
    <w:rsid w:val="002E5642"/>
    <w:rsid w:val="002F1B13"/>
    <w:rsid w:val="002F7F08"/>
    <w:rsid w:val="00302529"/>
    <w:rsid w:val="00307B5A"/>
    <w:rsid w:val="003207EE"/>
    <w:rsid w:val="00321313"/>
    <w:rsid w:val="00321DF6"/>
    <w:rsid w:val="0032441D"/>
    <w:rsid w:val="00331F5E"/>
    <w:rsid w:val="003331F4"/>
    <w:rsid w:val="00334843"/>
    <w:rsid w:val="00334ECB"/>
    <w:rsid w:val="00337708"/>
    <w:rsid w:val="00341B0E"/>
    <w:rsid w:val="0034714B"/>
    <w:rsid w:val="0035097F"/>
    <w:rsid w:val="0035450A"/>
    <w:rsid w:val="003566F8"/>
    <w:rsid w:val="00362B12"/>
    <w:rsid w:val="00363F27"/>
    <w:rsid w:val="00374DE5"/>
    <w:rsid w:val="00376454"/>
    <w:rsid w:val="003840F0"/>
    <w:rsid w:val="003973A4"/>
    <w:rsid w:val="003A0018"/>
    <w:rsid w:val="003A0345"/>
    <w:rsid w:val="003A11FE"/>
    <w:rsid w:val="003A1B45"/>
    <w:rsid w:val="003A2869"/>
    <w:rsid w:val="003A3DA5"/>
    <w:rsid w:val="003A4F0F"/>
    <w:rsid w:val="003B4F65"/>
    <w:rsid w:val="003B5D5A"/>
    <w:rsid w:val="003B7769"/>
    <w:rsid w:val="003C6700"/>
    <w:rsid w:val="003D25D9"/>
    <w:rsid w:val="003D3275"/>
    <w:rsid w:val="003D7BE6"/>
    <w:rsid w:val="003F55B1"/>
    <w:rsid w:val="004018CA"/>
    <w:rsid w:val="00403B98"/>
    <w:rsid w:val="004100CB"/>
    <w:rsid w:val="00410BA6"/>
    <w:rsid w:val="00411DA3"/>
    <w:rsid w:val="00416AFB"/>
    <w:rsid w:val="00417588"/>
    <w:rsid w:val="004204E0"/>
    <w:rsid w:val="00423B56"/>
    <w:rsid w:val="00424EFB"/>
    <w:rsid w:val="00436B56"/>
    <w:rsid w:val="00436CB2"/>
    <w:rsid w:val="00440831"/>
    <w:rsid w:val="00441863"/>
    <w:rsid w:val="004443B0"/>
    <w:rsid w:val="00462A99"/>
    <w:rsid w:val="004640C9"/>
    <w:rsid w:val="004646AB"/>
    <w:rsid w:val="00467FE4"/>
    <w:rsid w:val="00472433"/>
    <w:rsid w:val="0047747B"/>
    <w:rsid w:val="00482C88"/>
    <w:rsid w:val="00483B12"/>
    <w:rsid w:val="00486973"/>
    <w:rsid w:val="004966E6"/>
    <w:rsid w:val="004A4210"/>
    <w:rsid w:val="004A4D4A"/>
    <w:rsid w:val="004A5302"/>
    <w:rsid w:val="004A5968"/>
    <w:rsid w:val="004B3C73"/>
    <w:rsid w:val="004B3D74"/>
    <w:rsid w:val="004C6CC9"/>
    <w:rsid w:val="004D2EAD"/>
    <w:rsid w:val="004D5A06"/>
    <w:rsid w:val="004E75AA"/>
    <w:rsid w:val="004F42FA"/>
    <w:rsid w:val="004F53F4"/>
    <w:rsid w:val="004F7FCA"/>
    <w:rsid w:val="00501A7E"/>
    <w:rsid w:val="00511D5C"/>
    <w:rsid w:val="00512DF9"/>
    <w:rsid w:val="00531521"/>
    <w:rsid w:val="00532BB2"/>
    <w:rsid w:val="0054116F"/>
    <w:rsid w:val="00543977"/>
    <w:rsid w:val="0055005F"/>
    <w:rsid w:val="00551CD6"/>
    <w:rsid w:val="00553CB5"/>
    <w:rsid w:val="00557C3B"/>
    <w:rsid w:val="00557E56"/>
    <w:rsid w:val="00560BB4"/>
    <w:rsid w:val="00561B8E"/>
    <w:rsid w:val="00562802"/>
    <w:rsid w:val="005733B2"/>
    <w:rsid w:val="0058664D"/>
    <w:rsid w:val="0059277F"/>
    <w:rsid w:val="00593563"/>
    <w:rsid w:val="005969D5"/>
    <w:rsid w:val="005A599F"/>
    <w:rsid w:val="005A5ED7"/>
    <w:rsid w:val="005A717B"/>
    <w:rsid w:val="005A72A3"/>
    <w:rsid w:val="005B523B"/>
    <w:rsid w:val="005C0044"/>
    <w:rsid w:val="005C210D"/>
    <w:rsid w:val="005D59A8"/>
    <w:rsid w:val="005E30AB"/>
    <w:rsid w:val="005E33A9"/>
    <w:rsid w:val="005F22E2"/>
    <w:rsid w:val="005F431B"/>
    <w:rsid w:val="005F502D"/>
    <w:rsid w:val="005F6603"/>
    <w:rsid w:val="00601075"/>
    <w:rsid w:val="00602E59"/>
    <w:rsid w:val="00607612"/>
    <w:rsid w:val="0061018C"/>
    <w:rsid w:val="006142EF"/>
    <w:rsid w:val="006157B6"/>
    <w:rsid w:val="00621FF1"/>
    <w:rsid w:val="00622748"/>
    <w:rsid w:val="00633ACA"/>
    <w:rsid w:val="006458F4"/>
    <w:rsid w:val="00646DE5"/>
    <w:rsid w:val="006513B6"/>
    <w:rsid w:val="00661F72"/>
    <w:rsid w:val="00662459"/>
    <w:rsid w:val="00663815"/>
    <w:rsid w:val="00663BD3"/>
    <w:rsid w:val="00671CBD"/>
    <w:rsid w:val="00676BBE"/>
    <w:rsid w:val="0067786F"/>
    <w:rsid w:val="0068401C"/>
    <w:rsid w:val="006A0CDE"/>
    <w:rsid w:val="006A1055"/>
    <w:rsid w:val="006A2548"/>
    <w:rsid w:val="006B3321"/>
    <w:rsid w:val="006B6BE7"/>
    <w:rsid w:val="006B776B"/>
    <w:rsid w:val="006C6232"/>
    <w:rsid w:val="006D1515"/>
    <w:rsid w:val="006D6A98"/>
    <w:rsid w:val="006E240A"/>
    <w:rsid w:val="006F0B23"/>
    <w:rsid w:val="006F43F3"/>
    <w:rsid w:val="006F50EA"/>
    <w:rsid w:val="006F6847"/>
    <w:rsid w:val="00703E51"/>
    <w:rsid w:val="00706C66"/>
    <w:rsid w:val="00710C14"/>
    <w:rsid w:val="00717651"/>
    <w:rsid w:val="00720DAE"/>
    <w:rsid w:val="00720F59"/>
    <w:rsid w:val="0072237A"/>
    <w:rsid w:val="0072760D"/>
    <w:rsid w:val="00734968"/>
    <w:rsid w:val="00740EBF"/>
    <w:rsid w:val="00741009"/>
    <w:rsid w:val="00742E52"/>
    <w:rsid w:val="00744B2C"/>
    <w:rsid w:val="007456DB"/>
    <w:rsid w:val="00746461"/>
    <w:rsid w:val="00762EF2"/>
    <w:rsid w:val="00766BC9"/>
    <w:rsid w:val="00776678"/>
    <w:rsid w:val="00790F8A"/>
    <w:rsid w:val="00792D4D"/>
    <w:rsid w:val="007A0262"/>
    <w:rsid w:val="007A075D"/>
    <w:rsid w:val="007A2CB3"/>
    <w:rsid w:val="007A2CF1"/>
    <w:rsid w:val="007A7046"/>
    <w:rsid w:val="007A7C1D"/>
    <w:rsid w:val="007B246F"/>
    <w:rsid w:val="007B3AB5"/>
    <w:rsid w:val="007B6714"/>
    <w:rsid w:val="007B7BB7"/>
    <w:rsid w:val="007C4B2B"/>
    <w:rsid w:val="007D6F8B"/>
    <w:rsid w:val="007D7D11"/>
    <w:rsid w:val="007E202B"/>
    <w:rsid w:val="007F15DB"/>
    <w:rsid w:val="007F2627"/>
    <w:rsid w:val="007F5425"/>
    <w:rsid w:val="00801DD6"/>
    <w:rsid w:val="00801FFC"/>
    <w:rsid w:val="00804F3A"/>
    <w:rsid w:val="00820422"/>
    <w:rsid w:val="008239A1"/>
    <w:rsid w:val="0082737D"/>
    <w:rsid w:val="0084732A"/>
    <w:rsid w:val="00854DCD"/>
    <w:rsid w:val="00854F42"/>
    <w:rsid w:val="00856C70"/>
    <w:rsid w:val="00860008"/>
    <w:rsid w:val="008652A6"/>
    <w:rsid w:val="00866C5A"/>
    <w:rsid w:val="00871E59"/>
    <w:rsid w:val="00873DA6"/>
    <w:rsid w:val="00880674"/>
    <w:rsid w:val="0089279D"/>
    <w:rsid w:val="00895375"/>
    <w:rsid w:val="0089620E"/>
    <w:rsid w:val="00896EF1"/>
    <w:rsid w:val="008A2BB9"/>
    <w:rsid w:val="008A77E1"/>
    <w:rsid w:val="008C07FF"/>
    <w:rsid w:val="008C2ACE"/>
    <w:rsid w:val="008C3D94"/>
    <w:rsid w:val="008C5A3E"/>
    <w:rsid w:val="008C7188"/>
    <w:rsid w:val="008E55A8"/>
    <w:rsid w:val="008F62E1"/>
    <w:rsid w:val="008F6DFA"/>
    <w:rsid w:val="00900D04"/>
    <w:rsid w:val="009068B8"/>
    <w:rsid w:val="009277CE"/>
    <w:rsid w:val="00930A83"/>
    <w:rsid w:val="00931E3B"/>
    <w:rsid w:val="00935F80"/>
    <w:rsid w:val="009363DD"/>
    <w:rsid w:val="009371C7"/>
    <w:rsid w:val="00947E65"/>
    <w:rsid w:val="0095459E"/>
    <w:rsid w:val="00957BAE"/>
    <w:rsid w:val="009622D8"/>
    <w:rsid w:val="009724C2"/>
    <w:rsid w:val="009840CE"/>
    <w:rsid w:val="009849B1"/>
    <w:rsid w:val="009A72E8"/>
    <w:rsid w:val="009B1192"/>
    <w:rsid w:val="009C245C"/>
    <w:rsid w:val="009C6DB1"/>
    <w:rsid w:val="009D198A"/>
    <w:rsid w:val="009D3D4A"/>
    <w:rsid w:val="009D569A"/>
    <w:rsid w:val="009F4319"/>
    <w:rsid w:val="009F43BB"/>
    <w:rsid w:val="009F51ED"/>
    <w:rsid w:val="009F6AF8"/>
    <w:rsid w:val="00A0314C"/>
    <w:rsid w:val="00A05C18"/>
    <w:rsid w:val="00A14A4F"/>
    <w:rsid w:val="00A262A9"/>
    <w:rsid w:val="00A353BF"/>
    <w:rsid w:val="00A40A3C"/>
    <w:rsid w:val="00A41D71"/>
    <w:rsid w:val="00A55E41"/>
    <w:rsid w:val="00A5643A"/>
    <w:rsid w:val="00A61823"/>
    <w:rsid w:val="00A6243F"/>
    <w:rsid w:val="00A6542E"/>
    <w:rsid w:val="00A95C1D"/>
    <w:rsid w:val="00AA4662"/>
    <w:rsid w:val="00AA6C80"/>
    <w:rsid w:val="00AB72DD"/>
    <w:rsid w:val="00AB7E23"/>
    <w:rsid w:val="00AC59E8"/>
    <w:rsid w:val="00AE05E3"/>
    <w:rsid w:val="00AE18D6"/>
    <w:rsid w:val="00AE1B5B"/>
    <w:rsid w:val="00AE27EA"/>
    <w:rsid w:val="00AF3BDD"/>
    <w:rsid w:val="00AF4A60"/>
    <w:rsid w:val="00B030CB"/>
    <w:rsid w:val="00B0361D"/>
    <w:rsid w:val="00B14013"/>
    <w:rsid w:val="00B1444D"/>
    <w:rsid w:val="00B155DD"/>
    <w:rsid w:val="00B22F09"/>
    <w:rsid w:val="00B232A2"/>
    <w:rsid w:val="00B232C7"/>
    <w:rsid w:val="00B24AF0"/>
    <w:rsid w:val="00B27E4F"/>
    <w:rsid w:val="00B3517A"/>
    <w:rsid w:val="00B4153C"/>
    <w:rsid w:val="00B469FA"/>
    <w:rsid w:val="00B46B3C"/>
    <w:rsid w:val="00B54F0A"/>
    <w:rsid w:val="00B54F26"/>
    <w:rsid w:val="00B62C15"/>
    <w:rsid w:val="00B82389"/>
    <w:rsid w:val="00B86274"/>
    <w:rsid w:val="00B8733C"/>
    <w:rsid w:val="00B956B7"/>
    <w:rsid w:val="00B95E3C"/>
    <w:rsid w:val="00BA0651"/>
    <w:rsid w:val="00BA3372"/>
    <w:rsid w:val="00BA4B5E"/>
    <w:rsid w:val="00BB27B5"/>
    <w:rsid w:val="00BB3B71"/>
    <w:rsid w:val="00BB4293"/>
    <w:rsid w:val="00BB5B49"/>
    <w:rsid w:val="00BD4015"/>
    <w:rsid w:val="00BD5369"/>
    <w:rsid w:val="00BE1896"/>
    <w:rsid w:val="00BE2C3E"/>
    <w:rsid w:val="00BE2E4F"/>
    <w:rsid w:val="00BE3CC6"/>
    <w:rsid w:val="00BE5D21"/>
    <w:rsid w:val="00BF769A"/>
    <w:rsid w:val="00C05FC6"/>
    <w:rsid w:val="00C06EC7"/>
    <w:rsid w:val="00C1241A"/>
    <w:rsid w:val="00C22DC3"/>
    <w:rsid w:val="00C23E0D"/>
    <w:rsid w:val="00C26233"/>
    <w:rsid w:val="00C325A8"/>
    <w:rsid w:val="00C33C1E"/>
    <w:rsid w:val="00C37713"/>
    <w:rsid w:val="00C53E8E"/>
    <w:rsid w:val="00C54597"/>
    <w:rsid w:val="00C56C52"/>
    <w:rsid w:val="00C614CB"/>
    <w:rsid w:val="00C63110"/>
    <w:rsid w:val="00C72496"/>
    <w:rsid w:val="00C72F80"/>
    <w:rsid w:val="00C76913"/>
    <w:rsid w:val="00C832CD"/>
    <w:rsid w:val="00CA4AF5"/>
    <w:rsid w:val="00CB12D4"/>
    <w:rsid w:val="00CB4963"/>
    <w:rsid w:val="00CB516B"/>
    <w:rsid w:val="00CC1838"/>
    <w:rsid w:val="00CC456A"/>
    <w:rsid w:val="00CC7922"/>
    <w:rsid w:val="00CE2976"/>
    <w:rsid w:val="00CE5252"/>
    <w:rsid w:val="00CE603B"/>
    <w:rsid w:val="00CF5C38"/>
    <w:rsid w:val="00D01228"/>
    <w:rsid w:val="00D01291"/>
    <w:rsid w:val="00D01BDC"/>
    <w:rsid w:val="00D03F36"/>
    <w:rsid w:val="00D05708"/>
    <w:rsid w:val="00D167DB"/>
    <w:rsid w:val="00D30BC5"/>
    <w:rsid w:val="00D3384E"/>
    <w:rsid w:val="00D34DB6"/>
    <w:rsid w:val="00D3504C"/>
    <w:rsid w:val="00D4179B"/>
    <w:rsid w:val="00D505DB"/>
    <w:rsid w:val="00D54924"/>
    <w:rsid w:val="00D60926"/>
    <w:rsid w:val="00D60CCB"/>
    <w:rsid w:val="00D62CF5"/>
    <w:rsid w:val="00D63828"/>
    <w:rsid w:val="00D650EC"/>
    <w:rsid w:val="00D654C9"/>
    <w:rsid w:val="00D72F2B"/>
    <w:rsid w:val="00DA2E14"/>
    <w:rsid w:val="00DA4AAD"/>
    <w:rsid w:val="00DA4DDD"/>
    <w:rsid w:val="00DC2344"/>
    <w:rsid w:val="00DC45B3"/>
    <w:rsid w:val="00DD09D7"/>
    <w:rsid w:val="00DD5ECC"/>
    <w:rsid w:val="00DD722B"/>
    <w:rsid w:val="00DE44DC"/>
    <w:rsid w:val="00DE7D3B"/>
    <w:rsid w:val="00DF12B8"/>
    <w:rsid w:val="00DF1F7A"/>
    <w:rsid w:val="00E0253F"/>
    <w:rsid w:val="00E0344B"/>
    <w:rsid w:val="00E054BA"/>
    <w:rsid w:val="00E31FFE"/>
    <w:rsid w:val="00E356CA"/>
    <w:rsid w:val="00E35AD3"/>
    <w:rsid w:val="00E3701D"/>
    <w:rsid w:val="00E422BC"/>
    <w:rsid w:val="00E51BE4"/>
    <w:rsid w:val="00E56FDC"/>
    <w:rsid w:val="00E60339"/>
    <w:rsid w:val="00E75552"/>
    <w:rsid w:val="00E80371"/>
    <w:rsid w:val="00E80CF8"/>
    <w:rsid w:val="00E821EC"/>
    <w:rsid w:val="00E87227"/>
    <w:rsid w:val="00E92BCF"/>
    <w:rsid w:val="00EA4978"/>
    <w:rsid w:val="00EA6319"/>
    <w:rsid w:val="00EA699C"/>
    <w:rsid w:val="00EB0405"/>
    <w:rsid w:val="00EB2FD5"/>
    <w:rsid w:val="00EB47FE"/>
    <w:rsid w:val="00EC78C9"/>
    <w:rsid w:val="00ED0777"/>
    <w:rsid w:val="00ED12E3"/>
    <w:rsid w:val="00ED3EE2"/>
    <w:rsid w:val="00ED6D5E"/>
    <w:rsid w:val="00ED7443"/>
    <w:rsid w:val="00ED7F9A"/>
    <w:rsid w:val="00EE088F"/>
    <w:rsid w:val="00EE0C2B"/>
    <w:rsid w:val="00EE4788"/>
    <w:rsid w:val="00EF2C42"/>
    <w:rsid w:val="00EF4999"/>
    <w:rsid w:val="00F047B1"/>
    <w:rsid w:val="00F04B69"/>
    <w:rsid w:val="00F0681C"/>
    <w:rsid w:val="00F11767"/>
    <w:rsid w:val="00F17EF8"/>
    <w:rsid w:val="00F204C2"/>
    <w:rsid w:val="00F231E0"/>
    <w:rsid w:val="00F31408"/>
    <w:rsid w:val="00F337E3"/>
    <w:rsid w:val="00F36661"/>
    <w:rsid w:val="00F41D46"/>
    <w:rsid w:val="00F43026"/>
    <w:rsid w:val="00F6124B"/>
    <w:rsid w:val="00F66D59"/>
    <w:rsid w:val="00F76E62"/>
    <w:rsid w:val="00F77485"/>
    <w:rsid w:val="00F82BAC"/>
    <w:rsid w:val="00F85AD0"/>
    <w:rsid w:val="00F938AA"/>
    <w:rsid w:val="00FA260B"/>
    <w:rsid w:val="00FA67FD"/>
    <w:rsid w:val="00FB2CFB"/>
    <w:rsid w:val="00FB2EA9"/>
    <w:rsid w:val="00FB4F8F"/>
    <w:rsid w:val="00FB58EF"/>
    <w:rsid w:val="00FB6CC5"/>
    <w:rsid w:val="00FC5E4F"/>
    <w:rsid w:val="00FC7555"/>
    <w:rsid w:val="00FD0869"/>
    <w:rsid w:val="00FD2A94"/>
    <w:rsid w:val="00FD3079"/>
    <w:rsid w:val="00FE685A"/>
    <w:rsid w:val="00FF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7B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47B1"/>
    <w:rPr>
      <w:rFonts w:cs="Times New Roman"/>
      <w:color w:val="0000FF"/>
      <w:u w:val="single"/>
    </w:rPr>
  </w:style>
  <w:style w:type="paragraph" w:styleId="ListParagraph">
    <w:name w:val="List Paragraph"/>
    <w:basedOn w:val="Normal"/>
    <w:qFormat/>
    <w:rsid w:val="0029585F"/>
    <w:pPr>
      <w:ind w:left="720"/>
      <w:contextualSpacing/>
    </w:pPr>
  </w:style>
  <w:style w:type="paragraph" w:styleId="BalloonText">
    <w:name w:val="Balloon Text"/>
    <w:basedOn w:val="Normal"/>
    <w:link w:val="BalloonTextChar"/>
    <w:uiPriority w:val="99"/>
    <w:semiHidden/>
    <w:rsid w:val="00B144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444D"/>
    <w:rPr>
      <w:rFonts w:ascii="Tahoma" w:hAnsi="Tahoma" w:cs="Tahoma"/>
      <w:sz w:val="16"/>
      <w:szCs w:val="16"/>
    </w:rPr>
  </w:style>
  <w:style w:type="paragraph" w:styleId="NormalWeb">
    <w:name w:val="Normal (Web)"/>
    <w:basedOn w:val="Normal"/>
    <w:uiPriority w:val="99"/>
    <w:rsid w:val="00531521"/>
    <w:pPr>
      <w:spacing w:before="100" w:beforeAutospacing="1" w:after="100" w:afterAutospacing="1"/>
    </w:pPr>
  </w:style>
  <w:style w:type="paragraph" w:customStyle="1" w:styleId="Default">
    <w:name w:val="Default"/>
    <w:uiPriority w:val="99"/>
    <w:rsid w:val="00531521"/>
    <w:pPr>
      <w:widowControl w:val="0"/>
      <w:autoSpaceDE w:val="0"/>
      <w:autoSpaceDN w:val="0"/>
      <w:adjustRightInd w:val="0"/>
    </w:pPr>
    <w:rPr>
      <w:rFonts w:ascii="EEAGN D+ Melior" w:eastAsia="Times New Roman" w:hAnsi="EEAGN D+ Melior" w:cs="EEAGN D+ Melior"/>
      <w:color w:val="000000"/>
      <w:sz w:val="24"/>
      <w:szCs w:val="24"/>
    </w:rPr>
  </w:style>
  <w:style w:type="paragraph" w:styleId="Header">
    <w:name w:val="header"/>
    <w:basedOn w:val="Normal"/>
    <w:link w:val="HeaderChar"/>
    <w:uiPriority w:val="99"/>
    <w:rsid w:val="001A5CF0"/>
    <w:pPr>
      <w:tabs>
        <w:tab w:val="center" w:pos="4680"/>
        <w:tab w:val="right" w:pos="9360"/>
      </w:tabs>
    </w:pPr>
  </w:style>
  <w:style w:type="character" w:customStyle="1" w:styleId="HeaderChar">
    <w:name w:val="Header Char"/>
    <w:basedOn w:val="DefaultParagraphFont"/>
    <w:link w:val="Header"/>
    <w:uiPriority w:val="99"/>
    <w:locked/>
    <w:rsid w:val="001A5CF0"/>
    <w:rPr>
      <w:rFonts w:ascii="Times New Roman" w:hAnsi="Times New Roman" w:cs="Times New Roman"/>
      <w:sz w:val="24"/>
      <w:szCs w:val="24"/>
    </w:rPr>
  </w:style>
  <w:style w:type="paragraph" w:styleId="Footer">
    <w:name w:val="footer"/>
    <w:basedOn w:val="Normal"/>
    <w:link w:val="FooterChar"/>
    <w:uiPriority w:val="99"/>
    <w:rsid w:val="001A5CF0"/>
    <w:pPr>
      <w:tabs>
        <w:tab w:val="center" w:pos="4680"/>
        <w:tab w:val="right" w:pos="9360"/>
      </w:tabs>
    </w:pPr>
  </w:style>
  <w:style w:type="character" w:customStyle="1" w:styleId="FooterChar">
    <w:name w:val="Footer Char"/>
    <w:basedOn w:val="DefaultParagraphFont"/>
    <w:link w:val="Footer"/>
    <w:uiPriority w:val="99"/>
    <w:locked/>
    <w:rsid w:val="001A5CF0"/>
    <w:rPr>
      <w:rFonts w:ascii="Times New Roman" w:hAnsi="Times New Roman" w:cs="Times New Roman"/>
      <w:sz w:val="24"/>
      <w:szCs w:val="24"/>
    </w:rPr>
  </w:style>
  <w:style w:type="paragraph" w:customStyle="1" w:styleId="listparagraph0">
    <w:name w:val="listparagraph"/>
    <w:basedOn w:val="Normal"/>
    <w:rsid w:val="00DE44DC"/>
    <w:pPr>
      <w:spacing w:before="100" w:beforeAutospacing="1" w:after="100" w:afterAutospacing="1"/>
    </w:pPr>
  </w:style>
  <w:style w:type="character" w:styleId="Strong">
    <w:name w:val="Strong"/>
    <w:basedOn w:val="DefaultParagraphFont"/>
    <w:uiPriority w:val="22"/>
    <w:qFormat/>
    <w:locked/>
    <w:rsid w:val="00DE44DC"/>
    <w:rPr>
      <w:b/>
      <w:bCs/>
    </w:rPr>
  </w:style>
  <w:style w:type="character" w:styleId="Emphasis">
    <w:name w:val="Emphasis"/>
    <w:basedOn w:val="DefaultParagraphFont"/>
    <w:uiPriority w:val="20"/>
    <w:qFormat/>
    <w:locked/>
    <w:rsid w:val="00DE44DC"/>
    <w:rPr>
      <w:i/>
      <w:iCs/>
    </w:rPr>
  </w:style>
  <w:style w:type="paragraph" w:styleId="BodyText">
    <w:name w:val="Body Text"/>
    <w:basedOn w:val="Normal"/>
    <w:link w:val="BodyTextChar"/>
    <w:rsid w:val="00DE44DC"/>
    <w:pPr>
      <w:widowControl w:val="0"/>
      <w:autoSpaceDE w:val="0"/>
      <w:autoSpaceDN w:val="0"/>
      <w:adjustRightInd w:val="0"/>
      <w:jc w:val="both"/>
    </w:pPr>
    <w:rPr>
      <w:rFonts w:ascii="Times New Roman TUR" w:hAnsi="Times New Roman TUR" w:cs="Times New Roman TUR"/>
      <w:b/>
      <w:bCs/>
    </w:rPr>
  </w:style>
  <w:style w:type="character" w:customStyle="1" w:styleId="BodyTextChar">
    <w:name w:val="Body Text Char"/>
    <w:basedOn w:val="DefaultParagraphFont"/>
    <w:link w:val="BodyText"/>
    <w:rsid w:val="00DE44DC"/>
    <w:rPr>
      <w:rFonts w:ascii="Times New Roman TUR" w:eastAsia="Times New Roman" w:hAnsi="Times New Roman TUR" w:cs="Times New Roman TUR"/>
      <w:b/>
      <w:bCs/>
      <w:sz w:val="24"/>
      <w:szCs w:val="24"/>
    </w:rPr>
  </w:style>
  <w:style w:type="table" w:styleId="TableGrid">
    <w:name w:val="Table Grid"/>
    <w:basedOn w:val="TableNormal"/>
    <w:locked/>
    <w:rsid w:val="00000D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40CE"/>
    <w:rPr>
      <w:sz w:val="16"/>
      <w:szCs w:val="16"/>
    </w:rPr>
  </w:style>
  <w:style w:type="paragraph" w:styleId="CommentText">
    <w:name w:val="annotation text"/>
    <w:basedOn w:val="Normal"/>
    <w:link w:val="CommentTextChar"/>
    <w:uiPriority w:val="99"/>
    <w:semiHidden/>
    <w:unhideWhenUsed/>
    <w:rsid w:val="009840CE"/>
    <w:rPr>
      <w:sz w:val="20"/>
      <w:szCs w:val="20"/>
    </w:rPr>
  </w:style>
  <w:style w:type="character" w:customStyle="1" w:styleId="CommentTextChar">
    <w:name w:val="Comment Text Char"/>
    <w:basedOn w:val="DefaultParagraphFont"/>
    <w:link w:val="CommentText"/>
    <w:uiPriority w:val="99"/>
    <w:semiHidden/>
    <w:rsid w:val="00984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840CE"/>
    <w:rPr>
      <w:b/>
      <w:bCs/>
    </w:rPr>
  </w:style>
  <w:style w:type="character" w:customStyle="1" w:styleId="CommentSubjectChar">
    <w:name w:val="Comment Subject Char"/>
    <w:basedOn w:val="CommentTextChar"/>
    <w:link w:val="CommentSubject"/>
    <w:uiPriority w:val="99"/>
    <w:semiHidden/>
    <w:rsid w:val="009840CE"/>
    <w:rPr>
      <w:rFonts w:ascii="Times New Roman" w:eastAsia="Times New Roman" w:hAnsi="Times New Roman"/>
      <w:b/>
      <w:bCs/>
    </w:rPr>
  </w:style>
  <w:style w:type="paragraph" w:styleId="TOC2">
    <w:name w:val="toc 2"/>
    <w:basedOn w:val="Normal"/>
    <w:next w:val="Normal"/>
    <w:uiPriority w:val="99"/>
    <w:locked/>
    <w:rsid w:val="009D3D4A"/>
    <w:pPr>
      <w:tabs>
        <w:tab w:val="right" w:leader="dot" w:pos="9360"/>
      </w:tabs>
      <w:ind w:left="1080" w:right="720" w:hanging="540"/>
    </w:pPr>
    <w:rPr>
      <w:noProo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7B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47B1"/>
    <w:rPr>
      <w:rFonts w:cs="Times New Roman"/>
      <w:color w:val="0000FF"/>
      <w:u w:val="single"/>
    </w:rPr>
  </w:style>
  <w:style w:type="paragraph" w:styleId="ListParagraph">
    <w:name w:val="List Paragraph"/>
    <w:basedOn w:val="Normal"/>
    <w:qFormat/>
    <w:rsid w:val="0029585F"/>
    <w:pPr>
      <w:ind w:left="720"/>
      <w:contextualSpacing/>
    </w:pPr>
  </w:style>
  <w:style w:type="paragraph" w:styleId="BalloonText">
    <w:name w:val="Balloon Text"/>
    <w:basedOn w:val="Normal"/>
    <w:link w:val="BalloonTextChar"/>
    <w:uiPriority w:val="99"/>
    <w:semiHidden/>
    <w:rsid w:val="00B144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444D"/>
    <w:rPr>
      <w:rFonts w:ascii="Tahoma" w:hAnsi="Tahoma" w:cs="Tahoma"/>
      <w:sz w:val="16"/>
      <w:szCs w:val="16"/>
    </w:rPr>
  </w:style>
  <w:style w:type="paragraph" w:styleId="NormalWeb">
    <w:name w:val="Normal (Web)"/>
    <w:basedOn w:val="Normal"/>
    <w:uiPriority w:val="99"/>
    <w:rsid w:val="00531521"/>
    <w:pPr>
      <w:spacing w:before="100" w:beforeAutospacing="1" w:after="100" w:afterAutospacing="1"/>
    </w:pPr>
  </w:style>
  <w:style w:type="paragraph" w:customStyle="1" w:styleId="Default">
    <w:name w:val="Default"/>
    <w:uiPriority w:val="99"/>
    <w:rsid w:val="00531521"/>
    <w:pPr>
      <w:widowControl w:val="0"/>
      <w:autoSpaceDE w:val="0"/>
      <w:autoSpaceDN w:val="0"/>
      <w:adjustRightInd w:val="0"/>
    </w:pPr>
    <w:rPr>
      <w:rFonts w:ascii="EEAGN D+ Melior" w:eastAsia="Times New Roman" w:hAnsi="EEAGN D+ Melior" w:cs="EEAGN D+ Melior"/>
      <w:color w:val="000000"/>
      <w:sz w:val="24"/>
      <w:szCs w:val="24"/>
    </w:rPr>
  </w:style>
  <w:style w:type="paragraph" w:styleId="Header">
    <w:name w:val="header"/>
    <w:basedOn w:val="Normal"/>
    <w:link w:val="HeaderChar"/>
    <w:uiPriority w:val="99"/>
    <w:rsid w:val="001A5CF0"/>
    <w:pPr>
      <w:tabs>
        <w:tab w:val="center" w:pos="4680"/>
        <w:tab w:val="right" w:pos="9360"/>
      </w:tabs>
    </w:pPr>
  </w:style>
  <w:style w:type="character" w:customStyle="1" w:styleId="HeaderChar">
    <w:name w:val="Header Char"/>
    <w:basedOn w:val="DefaultParagraphFont"/>
    <w:link w:val="Header"/>
    <w:uiPriority w:val="99"/>
    <w:locked/>
    <w:rsid w:val="001A5CF0"/>
    <w:rPr>
      <w:rFonts w:ascii="Times New Roman" w:hAnsi="Times New Roman" w:cs="Times New Roman"/>
      <w:sz w:val="24"/>
      <w:szCs w:val="24"/>
    </w:rPr>
  </w:style>
  <w:style w:type="paragraph" w:styleId="Footer">
    <w:name w:val="footer"/>
    <w:basedOn w:val="Normal"/>
    <w:link w:val="FooterChar"/>
    <w:uiPriority w:val="99"/>
    <w:rsid w:val="001A5CF0"/>
    <w:pPr>
      <w:tabs>
        <w:tab w:val="center" w:pos="4680"/>
        <w:tab w:val="right" w:pos="9360"/>
      </w:tabs>
    </w:pPr>
  </w:style>
  <w:style w:type="character" w:customStyle="1" w:styleId="FooterChar">
    <w:name w:val="Footer Char"/>
    <w:basedOn w:val="DefaultParagraphFont"/>
    <w:link w:val="Footer"/>
    <w:uiPriority w:val="99"/>
    <w:locked/>
    <w:rsid w:val="001A5CF0"/>
    <w:rPr>
      <w:rFonts w:ascii="Times New Roman" w:hAnsi="Times New Roman" w:cs="Times New Roman"/>
      <w:sz w:val="24"/>
      <w:szCs w:val="24"/>
    </w:rPr>
  </w:style>
  <w:style w:type="paragraph" w:customStyle="1" w:styleId="listparagraph0">
    <w:name w:val="listparagraph"/>
    <w:basedOn w:val="Normal"/>
    <w:rsid w:val="00DE44DC"/>
    <w:pPr>
      <w:spacing w:before="100" w:beforeAutospacing="1" w:after="100" w:afterAutospacing="1"/>
    </w:pPr>
  </w:style>
  <w:style w:type="character" w:styleId="Strong">
    <w:name w:val="Strong"/>
    <w:basedOn w:val="DefaultParagraphFont"/>
    <w:uiPriority w:val="22"/>
    <w:qFormat/>
    <w:locked/>
    <w:rsid w:val="00DE44DC"/>
    <w:rPr>
      <w:b/>
      <w:bCs/>
    </w:rPr>
  </w:style>
  <w:style w:type="character" w:styleId="Emphasis">
    <w:name w:val="Emphasis"/>
    <w:basedOn w:val="DefaultParagraphFont"/>
    <w:uiPriority w:val="20"/>
    <w:qFormat/>
    <w:locked/>
    <w:rsid w:val="00DE44DC"/>
    <w:rPr>
      <w:i/>
      <w:iCs/>
    </w:rPr>
  </w:style>
  <w:style w:type="paragraph" w:styleId="BodyText">
    <w:name w:val="Body Text"/>
    <w:basedOn w:val="Normal"/>
    <w:link w:val="BodyTextChar"/>
    <w:rsid w:val="00DE44DC"/>
    <w:pPr>
      <w:widowControl w:val="0"/>
      <w:autoSpaceDE w:val="0"/>
      <w:autoSpaceDN w:val="0"/>
      <w:adjustRightInd w:val="0"/>
      <w:jc w:val="both"/>
    </w:pPr>
    <w:rPr>
      <w:rFonts w:ascii="Times New Roman TUR" w:hAnsi="Times New Roman TUR" w:cs="Times New Roman TUR"/>
      <w:b/>
      <w:bCs/>
    </w:rPr>
  </w:style>
  <w:style w:type="character" w:customStyle="1" w:styleId="BodyTextChar">
    <w:name w:val="Body Text Char"/>
    <w:basedOn w:val="DefaultParagraphFont"/>
    <w:link w:val="BodyText"/>
    <w:rsid w:val="00DE44DC"/>
    <w:rPr>
      <w:rFonts w:ascii="Times New Roman TUR" w:eastAsia="Times New Roman" w:hAnsi="Times New Roman TUR" w:cs="Times New Roman TUR"/>
      <w:b/>
      <w:bCs/>
      <w:sz w:val="24"/>
      <w:szCs w:val="24"/>
    </w:rPr>
  </w:style>
  <w:style w:type="table" w:styleId="TableGrid">
    <w:name w:val="Table Grid"/>
    <w:basedOn w:val="TableNormal"/>
    <w:locked/>
    <w:rsid w:val="00000D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40CE"/>
    <w:rPr>
      <w:sz w:val="16"/>
      <w:szCs w:val="16"/>
    </w:rPr>
  </w:style>
  <w:style w:type="paragraph" w:styleId="CommentText">
    <w:name w:val="annotation text"/>
    <w:basedOn w:val="Normal"/>
    <w:link w:val="CommentTextChar"/>
    <w:uiPriority w:val="99"/>
    <w:semiHidden/>
    <w:unhideWhenUsed/>
    <w:rsid w:val="009840CE"/>
    <w:rPr>
      <w:sz w:val="20"/>
      <w:szCs w:val="20"/>
    </w:rPr>
  </w:style>
  <w:style w:type="character" w:customStyle="1" w:styleId="CommentTextChar">
    <w:name w:val="Comment Text Char"/>
    <w:basedOn w:val="DefaultParagraphFont"/>
    <w:link w:val="CommentText"/>
    <w:uiPriority w:val="99"/>
    <w:semiHidden/>
    <w:rsid w:val="00984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840CE"/>
    <w:rPr>
      <w:b/>
      <w:bCs/>
    </w:rPr>
  </w:style>
  <w:style w:type="character" w:customStyle="1" w:styleId="CommentSubjectChar">
    <w:name w:val="Comment Subject Char"/>
    <w:basedOn w:val="CommentTextChar"/>
    <w:link w:val="CommentSubject"/>
    <w:uiPriority w:val="99"/>
    <w:semiHidden/>
    <w:rsid w:val="009840CE"/>
    <w:rPr>
      <w:rFonts w:ascii="Times New Roman" w:eastAsia="Times New Roman" w:hAnsi="Times New Roman"/>
      <w:b/>
      <w:bCs/>
    </w:rPr>
  </w:style>
  <w:style w:type="paragraph" w:styleId="TOC2">
    <w:name w:val="toc 2"/>
    <w:basedOn w:val="Normal"/>
    <w:next w:val="Normal"/>
    <w:uiPriority w:val="99"/>
    <w:locked/>
    <w:rsid w:val="009D3D4A"/>
    <w:pPr>
      <w:tabs>
        <w:tab w:val="right" w:leader="dot" w:pos="9360"/>
      </w:tabs>
      <w:ind w:left="1080" w:right="720" w:hanging="540"/>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101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lons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9788D-B474-4FA7-9B95-5C485E42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3649</Words>
  <Characters>21895</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hta7</dc:creator>
  <cp:lastModifiedBy>CDC User</cp:lastModifiedBy>
  <cp:revision>5</cp:revision>
  <cp:lastPrinted>2014-02-27T21:59:00Z</cp:lastPrinted>
  <dcterms:created xsi:type="dcterms:W3CDTF">2014-02-27T21:17:00Z</dcterms:created>
  <dcterms:modified xsi:type="dcterms:W3CDTF">2014-02-27T22:00:00Z</dcterms:modified>
</cp:coreProperties>
</file>