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9AF" w:rsidRPr="006436BB" w:rsidRDefault="009E7288" w:rsidP="00EC19AF">
      <w:pPr>
        <w:widowControl/>
        <w:autoSpaceDE w:val="0"/>
        <w:autoSpaceDN w:val="0"/>
        <w:adjustRightInd w:val="0"/>
        <w:rPr>
          <w:sz w:val="24"/>
          <w:szCs w:val="24"/>
        </w:rPr>
      </w:pPr>
      <w:r w:rsidRPr="006436BB">
        <w:rPr>
          <w:noProof/>
          <w:sz w:val="24"/>
          <w:szCs w:val="24"/>
        </w:rPr>
        <w:drawing>
          <wp:anchor distT="0" distB="0" distL="114300" distR="114300" simplePos="0" relativeHeight="251657728" behindDoc="0" locked="0" layoutInCell="1" allowOverlap="1">
            <wp:simplePos x="0" y="0"/>
            <wp:positionH relativeFrom="column">
              <wp:posOffset>-634365</wp:posOffset>
            </wp:positionH>
            <wp:positionV relativeFrom="paragraph">
              <wp:posOffset>-603885</wp:posOffset>
            </wp:positionV>
            <wp:extent cx="7305675" cy="10001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9" r="-249"/>
                    <a:stretch>
                      <a:fillRect/>
                    </a:stretch>
                  </pic:blipFill>
                  <pic:spPr bwMode="auto">
                    <a:xfrm>
                      <a:off x="0" y="0"/>
                      <a:ext cx="7305675" cy="1000125"/>
                    </a:xfrm>
                    <a:prstGeom prst="rect">
                      <a:avLst/>
                    </a:prstGeom>
                    <a:noFill/>
                    <a:ln>
                      <a:noFill/>
                    </a:ln>
                  </pic:spPr>
                </pic:pic>
              </a:graphicData>
            </a:graphic>
          </wp:anchor>
        </w:drawing>
      </w:r>
      <w:r w:rsidR="00EC19AF" w:rsidRPr="006436BB">
        <w:rPr>
          <w:sz w:val="24"/>
          <w:szCs w:val="24"/>
        </w:rPr>
        <w:t>Date:</w:t>
      </w:r>
      <w:r w:rsidR="00EC19AF" w:rsidRPr="006436BB">
        <w:rPr>
          <w:sz w:val="24"/>
          <w:szCs w:val="24"/>
        </w:rPr>
        <w:tab/>
      </w:r>
      <w:r w:rsidR="00EC19AF" w:rsidRPr="006436BB">
        <w:rPr>
          <w:sz w:val="24"/>
          <w:szCs w:val="24"/>
        </w:rPr>
        <w:tab/>
      </w:r>
      <w:r w:rsidR="006B3559">
        <w:rPr>
          <w:sz w:val="24"/>
          <w:szCs w:val="24"/>
        </w:rPr>
        <w:t xml:space="preserve">April </w:t>
      </w:r>
      <w:r w:rsidR="00943A6E">
        <w:rPr>
          <w:sz w:val="24"/>
          <w:szCs w:val="24"/>
        </w:rPr>
        <w:t>3</w:t>
      </w:r>
      <w:r w:rsidRPr="006436BB">
        <w:rPr>
          <w:sz w:val="24"/>
          <w:szCs w:val="24"/>
        </w:rPr>
        <w:t>, 201</w:t>
      </w:r>
      <w:r w:rsidR="001C1DFD">
        <w:rPr>
          <w:sz w:val="24"/>
          <w:szCs w:val="24"/>
        </w:rPr>
        <w:t>4</w:t>
      </w:r>
    </w:p>
    <w:p w:rsidR="00EC19AF" w:rsidRPr="006436BB" w:rsidRDefault="00EC19AF" w:rsidP="00EC19AF">
      <w:pPr>
        <w:widowControl/>
        <w:autoSpaceDE w:val="0"/>
        <w:autoSpaceDN w:val="0"/>
        <w:adjustRightInd w:val="0"/>
        <w:rPr>
          <w:sz w:val="24"/>
          <w:szCs w:val="24"/>
        </w:rPr>
      </w:pPr>
    </w:p>
    <w:p w:rsidR="00EC19AF" w:rsidRPr="006436BB" w:rsidRDefault="00EC19AF" w:rsidP="00EC19AF">
      <w:pPr>
        <w:widowControl/>
        <w:autoSpaceDE w:val="0"/>
        <w:autoSpaceDN w:val="0"/>
        <w:adjustRightInd w:val="0"/>
        <w:rPr>
          <w:sz w:val="24"/>
          <w:szCs w:val="24"/>
        </w:rPr>
      </w:pPr>
      <w:r w:rsidRPr="006436BB">
        <w:rPr>
          <w:sz w:val="24"/>
          <w:szCs w:val="24"/>
        </w:rPr>
        <w:t xml:space="preserve">To: </w:t>
      </w:r>
      <w:r w:rsidRPr="006436BB">
        <w:rPr>
          <w:sz w:val="24"/>
          <w:szCs w:val="24"/>
        </w:rPr>
        <w:tab/>
      </w:r>
      <w:r w:rsidRPr="006436BB">
        <w:rPr>
          <w:sz w:val="24"/>
          <w:szCs w:val="24"/>
        </w:rPr>
        <w:tab/>
        <w:t>Office of Mana</w:t>
      </w:r>
      <w:bookmarkStart w:id="0" w:name="_GoBack"/>
      <w:bookmarkEnd w:id="0"/>
      <w:r w:rsidRPr="006436BB">
        <w:rPr>
          <w:sz w:val="24"/>
          <w:szCs w:val="24"/>
        </w:rPr>
        <w:t>gement and Budget (OMB)</w:t>
      </w:r>
    </w:p>
    <w:p w:rsidR="00C94A7A" w:rsidRPr="006436BB" w:rsidRDefault="00C94A7A" w:rsidP="00EC19AF">
      <w:pPr>
        <w:widowControl/>
        <w:autoSpaceDE w:val="0"/>
        <w:autoSpaceDN w:val="0"/>
        <w:adjustRightInd w:val="0"/>
        <w:rPr>
          <w:sz w:val="24"/>
          <w:szCs w:val="24"/>
        </w:rPr>
      </w:pPr>
    </w:p>
    <w:p w:rsidR="00E27547" w:rsidRPr="006436BB" w:rsidRDefault="00EC19AF" w:rsidP="00E275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6436BB">
        <w:rPr>
          <w:sz w:val="24"/>
          <w:szCs w:val="24"/>
        </w:rPr>
        <w:t>Through:</w:t>
      </w:r>
      <w:r w:rsidRPr="006436BB">
        <w:rPr>
          <w:sz w:val="24"/>
          <w:szCs w:val="24"/>
        </w:rPr>
        <w:tab/>
      </w:r>
      <w:r w:rsidR="006436BB" w:rsidRPr="006436BB">
        <w:rPr>
          <w:sz w:val="24"/>
          <w:szCs w:val="24"/>
        </w:rPr>
        <w:t>Keith Tucker</w:t>
      </w:r>
      <w:r w:rsidR="00E27547" w:rsidRPr="006436BB">
        <w:rPr>
          <w:sz w:val="24"/>
          <w:szCs w:val="24"/>
        </w:rPr>
        <w:t>, Reports Clearance Officer, HHS</w:t>
      </w:r>
    </w:p>
    <w:p w:rsidR="00E27547" w:rsidRPr="006436BB" w:rsidRDefault="00E27547" w:rsidP="00E275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6436BB">
        <w:rPr>
          <w:sz w:val="24"/>
          <w:szCs w:val="24"/>
        </w:rPr>
        <w:tab/>
      </w:r>
      <w:r w:rsidRPr="006436BB">
        <w:rPr>
          <w:sz w:val="24"/>
          <w:szCs w:val="24"/>
        </w:rPr>
        <w:tab/>
      </w:r>
      <w:r w:rsidRPr="006436BB">
        <w:rPr>
          <w:sz w:val="24"/>
          <w:szCs w:val="24"/>
        </w:rPr>
        <w:tab/>
        <w:t>Seleda Perryman, Program Clearance Officer, NIH</w:t>
      </w:r>
    </w:p>
    <w:p w:rsidR="00E27547" w:rsidRPr="006436BB" w:rsidRDefault="00E27547" w:rsidP="00E27547">
      <w:pPr>
        <w:tabs>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sz w:val="24"/>
          <w:szCs w:val="24"/>
        </w:rPr>
      </w:pPr>
      <w:r w:rsidRPr="006436BB">
        <w:rPr>
          <w:sz w:val="24"/>
          <w:szCs w:val="24"/>
        </w:rPr>
        <w:tab/>
      </w:r>
      <w:r w:rsidRPr="006436BB">
        <w:rPr>
          <w:sz w:val="24"/>
          <w:szCs w:val="24"/>
        </w:rPr>
        <w:tab/>
      </w:r>
      <w:r w:rsidRPr="006436BB">
        <w:rPr>
          <w:sz w:val="24"/>
          <w:szCs w:val="24"/>
        </w:rPr>
        <w:tab/>
      </w:r>
      <w:r w:rsidR="006436BB" w:rsidRPr="006436BB">
        <w:rPr>
          <w:sz w:val="24"/>
          <w:szCs w:val="24"/>
        </w:rPr>
        <w:t>Karla Bailey</w:t>
      </w:r>
      <w:r w:rsidRPr="006436BB">
        <w:rPr>
          <w:sz w:val="24"/>
          <w:szCs w:val="24"/>
        </w:rPr>
        <w:t>, PRA OMB Project Clearance Liaison, NCI</w:t>
      </w:r>
    </w:p>
    <w:p w:rsidR="008B612E" w:rsidRPr="006436BB" w:rsidRDefault="008B612E" w:rsidP="00E27547">
      <w:pPr>
        <w:widowControl/>
        <w:autoSpaceDE w:val="0"/>
        <w:autoSpaceDN w:val="0"/>
        <w:adjustRightInd w:val="0"/>
        <w:rPr>
          <w:sz w:val="24"/>
          <w:szCs w:val="24"/>
        </w:rPr>
      </w:pPr>
    </w:p>
    <w:p w:rsidR="001C3F7A" w:rsidRPr="006436BB" w:rsidRDefault="00EC19AF" w:rsidP="001C3F7A">
      <w:pPr>
        <w:autoSpaceDE w:val="0"/>
        <w:autoSpaceDN w:val="0"/>
        <w:adjustRightInd w:val="0"/>
        <w:rPr>
          <w:sz w:val="24"/>
          <w:szCs w:val="24"/>
        </w:rPr>
      </w:pPr>
      <w:r w:rsidRPr="006436BB">
        <w:rPr>
          <w:sz w:val="24"/>
          <w:szCs w:val="24"/>
        </w:rPr>
        <w:t xml:space="preserve">From: </w:t>
      </w:r>
      <w:r w:rsidRPr="006436BB">
        <w:rPr>
          <w:sz w:val="24"/>
          <w:szCs w:val="24"/>
        </w:rPr>
        <w:tab/>
      </w:r>
      <w:r w:rsidRPr="006436BB">
        <w:rPr>
          <w:sz w:val="24"/>
          <w:szCs w:val="24"/>
        </w:rPr>
        <w:tab/>
      </w:r>
      <w:r w:rsidR="009E7288" w:rsidRPr="006436BB">
        <w:rPr>
          <w:sz w:val="24"/>
          <w:szCs w:val="24"/>
        </w:rPr>
        <w:t xml:space="preserve">Anne </w:t>
      </w:r>
      <w:r w:rsidR="007924A3">
        <w:rPr>
          <w:sz w:val="24"/>
          <w:szCs w:val="24"/>
        </w:rPr>
        <w:t xml:space="preserve">M. </w:t>
      </w:r>
      <w:r w:rsidR="009E7288" w:rsidRPr="006436BB">
        <w:rPr>
          <w:sz w:val="24"/>
          <w:szCs w:val="24"/>
        </w:rPr>
        <w:t>Hartman</w:t>
      </w:r>
      <w:r w:rsidR="001C3F7A" w:rsidRPr="006436BB">
        <w:rPr>
          <w:sz w:val="24"/>
          <w:szCs w:val="24"/>
        </w:rPr>
        <w:t xml:space="preserve">, </w:t>
      </w:r>
      <w:r w:rsidR="007924A3">
        <w:rPr>
          <w:sz w:val="24"/>
          <w:szCs w:val="24"/>
        </w:rPr>
        <w:t>MS, MA</w:t>
      </w:r>
      <w:r w:rsidR="00A837B2">
        <w:rPr>
          <w:sz w:val="24"/>
          <w:szCs w:val="24"/>
        </w:rPr>
        <w:t>, Project Director, Health Statistician</w:t>
      </w:r>
      <w:r w:rsidR="001C3F7A" w:rsidRPr="006436BB">
        <w:rPr>
          <w:sz w:val="24"/>
          <w:szCs w:val="24"/>
        </w:rPr>
        <w:t>.</w:t>
      </w:r>
    </w:p>
    <w:p w:rsidR="001C3F7A" w:rsidRPr="006436BB" w:rsidRDefault="001C3F7A" w:rsidP="001C3F7A">
      <w:pPr>
        <w:pStyle w:val="Default"/>
        <w:ind w:left="720" w:firstLine="720"/>
        <w:rPr>
          <w:rFonts w:ascii="Times New Roman" w:hAnsi="Times New Roman" w:cs="Times New Roman"/>
        </w:rPr>
      </w:pPr>
      <w:r w:rsidRPr="006436BB">
        <w:rPr>
          <w:rFonts w:ascii="Times New Roman" w:hAnsi="Times New Roman" w:cs="Times New Roman"/>
        </w:rPr>
        <w:t>Division of Cancer Control and Population Sciences</w:t>
      </w:r>
    </w:p>
    <w:p w:rsidR="001C3F7A" w:rsidRPr="006436BB" w:rsidRDefault="001C3F7A" w:rsidP="001C3F7A">
      <w:pPr>
        <w:autoSpaceDE w:val="0"/>
        <w:autoSpaceDN w:val="0"/>
        <w:adjustRightInd w:val="0"/>
        <w:ind w:left="720" w:firstLine="720"/>
        <w:rPr>
          <w:sz w:val="24"/>
          <w:szCs w:val="24"/>
        </w:rPr>
      </w:pPr>
      <w:r w:rsidRPr="006436BB">
        <w:rPr>
          <w:sz w:val="24"/>
          <w:szCs w:val="24"/>
        </w:rPr>
        <w:t>National Cancer Institute/National Institutes of Health (NIH)</w:t>
      </w:r>
    </w:p>
    <w:p w:rsidR="00EC19AF" w:rsidRPr="006436BB" w:rsidRDefault="00EC19AF" w:rsidP="001C3F7A">
      <w:pPr>
        <w:widowControl/>
        <w:autoSpaceDE w:val="0"/>
        <w:autoSpaceDN w:val="0"/>
        <w:adjustRightInd w:val="0"/>
        <w:rPr>
          <w:sz w:val="24"/>
          <w:szCs w:val="24"/>
        </w:rPr>
      </w:pPr>
    </w:p>
    <w:p w:rsidR="006B3559" w:rsidRDefault="00EC19AF" w:rsidP="006B3559">
      <w:pPr>
        <w:widowControl/>
        <w:autoSpaceDE w:val="0"/>
        <w:autoSpaceDN w:val="0"/>
        <w:adjustRightInd w:val="0"/>
        <w:ind w:left="1440" w:hanging="1440"/>
        <w:rPr>
          <w:sz w:val="24"/>
          <w:szCs w:val="24"/>
        </w:rPr>
      </w:pPr>
      <w:r w:rsidRPr="006436BB">
        <w:rPr>
          <w:sz w:val="24"/>
          <w:szCs w:val="24"/>
        </w:rPr>
        <w:t xml:space="preserve">Subject: </w:t>
      </w:r>
      <w:r w:rsidRPr="006436BB">
        <w:rPr>
          <w:sz w:val="24"/>
          <w:szCs w:val="24"/>
        </w:rPr>
        <w:tab/>
      </w:r>
      <w:r w:rsidR="006B3559">
        <w:rPr>
          <w:sz w:val="24"/>
          <w:szCs w:val="24"/>
        </w:rPr>
        <w:t>Reinstatement with Change for Information Collection:  “</w:t>
      </w:r>
      <w:r w:rsidR="009E7288" w:rsidRPr="006436BB">
        <w:rPr>
          <w:sz w:val="24"/>
          <w:szCs w:val="24"/>
        </w:rPr>
        <w:t>Next Series of Tobacco Use Supplements t</w:t>
      </w:r>
      <w:r w:rsidR="006B3559">
        <w:rPr>
          <w:sz w:val="24"/>
          <w:szCs w:val="24"/>
        </w:rPr>
        <w:t xml:space="preserve">o the Current Population Survey </w:t>
      </w:r>
      <w:r w:rsidR="006436BB" w:rsidRPr="006436BB">
        <w:rPr>
          <w:sz w:val="24"/>
          <w:szCs w:val="24"/>
        </w:rPr>
        <w:t>(TUS-CPS)</w:t>
      </w:r>
      <w:r w:rsidR="00535A26">
        <w:rPr>
          <w:sz w:val="24"/>
          <w:szCs w:val="24"/>
        </w:rPr>
        <w:t xml:space="preserve"> (NCI)</w:t>
      </w:r>
      <w:r w:rsidR="006B3559">
        <w:rPr>
          <w:sz w:val="24"/>
          <w:szCs w:val="24"/>
        </w:rPr>
        <w:t>”</w:t>
      </w:r>
      <w:r w:rsidR="006436BB" w:rsidRPr="006436BB">
        <w:rPr>
          <w:sz w:val="24"/>
          <w:szCs w:val="24"/>
        </w:rPr>
        <w:t xml:space="preserve">, </w:t>
      </w:r>
    </w:p>
    <w:p w:rsidR="00EC19AF" w:rsidRPr="006436BB" w:rsidRDefault="006436BB" w:rsidP="006B3559">
      <w:pPr>
        <w:widowControl/>
        <w:autoSpaceDE w:val="0"/>
        <w:autoSpaceDN w:val="0"/>
        <w:adjustRightInd w:val="0"/>
        <w:ind w:left="1440"/>
        <w:rPr>
          <w:sz w:val="24"/>
          <w:szCs w:val="24"/>
        </w:rPr>
      </w:pPr>
      <w:r w:rsidRPr="006436BB">
        <w:rPr>
          <w:sz w:val="24"/>
          <w:szCs w:val="24"/>
        </w:rPr>
        <w:t>OMB No. 0925-0368, Expiration Date: 3/31/2013</w:t>
      </w:r>
    </w:p>
    <w:p w:rsidR="00EC19AF" w:rsidRPr="006436BB" w:rsidRDefault="00EC19AF" w:rsidP="00EC19AF">
      <w:pPr>
        <w:widowControl/>
        <w:autoSpaceDE w:val="0"/>
        <w:autoSpaceDN w:val="0"/>
        <w:adjustRightInd w:val="0"/>
        <w:rPr>
          <w:sz w:val="24"/>
          <w:szCs w:val="24"/>
        </w:rPr>
      </w:pPr>
    </w:p>
    <w:p w:rsidR="006438F1" w:rsidRPr="006436BB" w:rsidRDefault="006438F1" w:rsidP="009E7288">
      <w:pPr>
        <w:widowControl/>
        <w:autoSpaceDE w:val="0"/>
        <w:autoSpaceDN w:val="0"/>
        <w:adjustRightInd w:val="0"/>
        <w:ind w:left="1440" w:hanging="1440"/>
        <w:rPr>
          <w:sz w:val="24"/>
          <w:szCs w:val="24"/>
        </w:rPr>
      </w:pPr>
    </w:p>
    <w:p w:rsidR="001C3F7A" w:rsidRPr="006436BB" w:rsidRDefault="001C3F7A" w:rsidP="006436BB">
      <w:pPr>
        <w:widowControl/>
        <w:autoSpaceDE w:val="0"/>
        <w:autoSpaceDN w:val="0"/>
        <w:adjustRightInd w:val="0"/>
        <w:rPr>
          <w:sz w:val="24"/>
          <w:szCs w:val="24"/>
        </w:rPr>
      </w:pPr>
      <w:r w:rsidRPr="006436BB">
        <w:rPr>
          <w:sz w:val="24"/>
          <w:szCs w:val="24"/>
        </w:rPr>
        <w:t xml:space="preserve">This is a request for OMB to approve the </w:t>
      </w:r>
      <w:r w:rsidR="009E7288" w:rsidRPr="006436BB">
        <w:rPr>
          <w:sz w:val="24"/>
          <w:szCs w:val="24"/>
        </w:rPr>
        <w:t>reinstatement with change titled</w:t>
      </w:r>
      <w:r w:rsidR="006438F1" w:rsidRPr="006436BB">
        <w:rPr>
          <w:sz w:val="24"/>
          <w:szCs w:val="24"/>
        </w:rPr>
        <w:t>,</w:t>
      </w:r>
      <w:r w:rsidR="009E7288" w:rsidRPr="006436BB">
        <w:rPr>
          <w:sz w:val="24"/>
          <w:szCs w:val="24"/>
        </w:rPr>
        <w:t xml:space="preserve"> </w:t>
      </w:r>
      <w:r w:rsidR="006436BB" w:rsidRPr="006436BB">
        <w:rPr>
          <w:sz w:val="24"/>
          <w:szCs w:val="24"/>
        </w:rPr>
        <w:t>“</w:t>
      </w:r>
      <w:r w:rsidR="009E7288" w:rsidRPr="006436BB">
        <w:rPr>
          <w:sz w:val="24"/>
          <w:szCs w:val="24"/>
        </w:rPr>
        <w:t>Next Series of Tobacco Use Supplements to the Current Population Survey (TUS-CPS)</w:t>
      </w:r>
      <w:r w:rsidR="00535A26">
        <w:rPr>
          <w:sz w:val="24"/>
          <w:szCs w:val="24"/>
        </w:rPr>
        <w:t xml:space="preserve"> (NCI)</w:t>
      </w:r>
      <w:r w:rsidR="006436BB" w:rsidRPr="006436BB">
        <w:rPr>
          <w:sz w:val="24"/>
          <w:szCs w:val="24"/>
        </w:rPr>
        <w:t>”</w:t>
      </w:r>
      <w:r w:rsidR="006438F1" w:rsidRPr="006436BB">
        <w:rPr>
          <w:sz w:val="24"/>
          <w:szCs w:val="24"/>
        </w:rPr>
        <w:t xml:space="preserve"> </w:t>
      </w:r>
      <w:r w:rsidR="009E7288" w:rsidRPr="006436BB">
        <w:rPr>
          <w:sz w:val="24"/>
          <w:szCs w:val="24"/>
        </w:rPr>
        <w:t xml:space="preserve">for </w:t>
      </w:r>
      <w:r w:rsidR="006436BB" w:rsidRPr="006436BB">
        <w:rPr>
          <w:sz w:val="24"/>
          <w:szCs w:val="24"/>
        </w:rPr>
        <w:t xml:space="preserve">two </w:t>
      </w:r>
      <w:r w:rsidR="009E7288" w:rsidRPr="006436BB">
        <w:rPr>
          <w:sz w:val="24"/>
          <w:szCs w:val="24"/>
        </w:rPr>
        <w:t xml:space="preserve">years. The </w:t>
      </w:r>
      <w:r w:rsidRPr="006436BB">
        <w:rPr>
          <w:sz w:val="24"/>
          <w:szCs w:val="24"/>
        </w:rPr>
        <w:t>supporting statements and various attachments accompany this memorandum.</w:t>
      </w:r>
    </w:p>
    <w:p w:rsidR="001C3F7A" w:rsidRPr="006436BB" w:rsidRDefault="001C3F7A" w:rsidP="001C3F7A">
      <w:pPr>
        <w:rPr>
          <w:sz w:val="24"/>
          <w:szCs w:val="24"/>
        </w:rPr>
      </w:pPr>
    </w:p>
    <w:p w:rsidR="007924A3" w:rsidRDefault="007924A3" w:rsidP="001C3F7A">
      <w:pPr>
        <w:rPr>
          <w:color w:val="211E1E"/>
          <w:sz w:val="24"/>
          <w:szCs w:val="24"/>
        </w:rPr>
      </w:pPr>
      <w:r w:rsidRPr="000C1AA9">
        <w:rPr>
          <w:sz w:val="24"/>
          <w:szCs w:val="24"/>
        </w:rPr>
        <w:t xml:space="preserve">The </w:t>
      </w:r>
      <w:r w:rsidRPr="007924A3">
        <w:rPr>
          <w:sz w:val="24"/>
          <w:szCs w:val="24"/>
        </w:rPr>
        <w:t>2014-15</w:t>
      </w:r>
      <w:r w:rsidRPr="000C1AA9">
        <w:rPr>
          <w:sz w:val="24"/>
          <w:szCs w:val="24"/>
        </w:rPr>
        <w:t xml:space="preserve"> Tobacco Use Supplement-Current Population Survey (TUS-CPS) will be conducted by the Census Bureau and is </w:t>
      </w:r>
      <w:r w:rsidRPr="007924A3">
        <w:rPr>
          <w:sz w:val="24"/>
          <w:szCs w:val="24"/>
        </w:rPr>
        <w:t>co-sponsored by the National Cancer Institute (</w:t>
      </w:r>
      <w:r w:rsidRPr="007924A3">
        <w:rPr>
          <w:color w:val="211E1E"/>
          <w:sz w:val="24"/>
          <w:szCs w:val="24"/>
        </w:rPr>
        <w:t>NCI) and the Food and Drug Administration (FDA).  Fielded since 1992, most recently in 2010-11, t</w:t>
      </w:r>
      <w:r w:rsidRPr="007924A3">
        <w:rPr>
          <w:sz w:val="24"/>
          <w:szCs w:val="24"/>
        </w:rPr>
        <w:t xml:space="preserve">his survey is part of a continuing series of surveys (OMB No. 0925-0368) sponsored by NCI that </w:t>
      </w:r>
      <w:r w:rsidRPr="007924A3">
        <w:rPr>
          <w:color w:val="211E1E"/>
          <w:sz w:val="24"/>
          <w:szCs w:val="24"/>
        </w:rPr>
        <w:t xml:space="preserve">has been administered triennially as part of the Census  Bureau's and the Bureau of Labor Statistics’ CPS. For the TUS-CPS, data </w:t>
      </w:r>
      <w:r w:rsidRPr="007924A3">
        <w:rPr>
          <w:sz w:val="24"/>
          <w:szCs w:val="24"/>
        </w:rPr>
        <w:t xml:space="preserve">will be collected from the U.S. civilian non-institutionalized population on smoking, other tobacco use, including switching, flavors, dependence, cessation attempts, and policy and social norms. </w:t>
      </w:r>
      <w:r w:rsidRPr="007924A3">
        <w:rPr>
          <w:color w:val="211E1E"/>
          <w:sz w:val="24"/>
          <w:szCs w:val="24"/>
        </w:rPr>
        <w:t xml:space="preserve">The TUS-CPS has been a key source of national, state, some local-level, and health disparity data on these topics in U.S. households because it uses a large, nationally representative sample. </w:t>
      </w:r>
    </w:p>
    <w:p w:rsidR="007924A3" w:rsidRDefault="007924A3" w:rsidP="001C3F7A">
      <w:pPr>
        <w:rPr>
          <w:color w:val="211E1E"/>
          <w:sz w:val="24"/>
          <w:szCs w:val="24"/>
        </w:rPr>
      </w:pPr>
    </w:p>
    <w:p w:rsidR="00B55ECE" w:rsidRDefault="007924A3" w:rsidP="001C3F7A">
      <w:pPr>
        <w:rPr>
          <w:sz w:val="24"/>
          <w:szCs w:val="24"/>
        </w:rPr>
      </w:pPr>
      <w:r w:rsidRPr="007924A3">
        <w:rPr>
          <w:color w:val="211E1E"/>
          <w:sz w:val="24"/>
          <w:szCs w:val="24"/>
        </w:rPr>
        <w:t xml:space="preserve">The 2014-15 TUS-CPS is designed to meet both NCI’s and FDA’s goals.  The NCI and FDA are co-sponsoring the 2014-15 TUS-CPS through parallel, but separate interagency agreements with the Census Bureau.  The NCI is particularly focused on policy information such as </w:t>
      </w:r>
      <w:r w:rsidRPr="007924A3">
        <w:rPr>
          <w:sz w:val="24"/>
          <w:szCs w:val="24"/>
        </w:rPr>
        <w:t xml:space="preserve">home and workplace smoking policies, cigarette price, and impact of these on subsequent purchase and use behavior; and changes in smoking norms and attitudes.  The </w:t>
      </w:r>
      <w:r w:rsidRPr="007924A3">
        <w:rPr>
          <w:color w:val="211E1E"/>
          <w:sz w:val="24"/>
          <w:szCs w:val="24"/>
        </w:rPr>
        <w:t xml:space="preserve">FDA aims to support research to aid the development and evaluation of tobacco product regulations.  The research findings generated from this program are expected to provide data to inform FDA regulation of the manufacture, distribution, and marketing of tobacco products to protect public health. A unique feature is the ability to link other social and economic Census Bureau and Bureau of Labor Statistics data, other sponsor-supported supplement data, and the National Longitudinal Mortality Study cancer incidence and cause-specific mortality data to the TUS-CPS data.  </w:t>
      </w:r>
      <w:r w:rsidRPr="007924A3">
        <w:rPr>
          <w:sz w:val="24"/>
          <w:szCs w:val="24"/>
        </w:rPr>
        <w:t>Data will be collected in July 2014, January 2015, and May 2015 from about 255,000 respondents.</w:t>
      </w:r>
    </w:p>
    <w:sectPr w:rsidR="00B55ECE" w:rsidSect="004B019E">
      <w:headerReference w:type="even" r:id="rId8"/>
      <w:headerReference w:type="default" r:id="rId9"/>
      <w:headerReference w:type="first" r:id="rId10"/>
      <w:footnotePr>
        <w:numRestart w:val="eachSect"/>
      </w:footnotePr>
      <w:endnotePr>
        <w:numFmt w:val="decimal"/>
      </w:endnotePr>
      <w:type w:val="continuous"/>
      <w:pgSz w:w="12240" w:h="15840"/>
      <w:pgMar w:top="1440"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933" w:rsidRDefault="00823933">
      <w:r>
        <w:separator/>
      </w:r>
    </w:p>
  </w:endnote>
  <w:endnote w:type="continuationSeparator" w:id="0">
    <w:p w:rsidR="00823933" w:rsidRDefault="008239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933" w:rsidRDefault="00823933">
      <w:r>
        <w:separator/>
      </w:r>
    </w:p>
  </w:footnote>
  <w:footnote w:type="continuationSeparator" w:id="0">
    <w:p w:rsidR="00823933" w:rsidRDefault="008239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A3" w:rsidRDefault="007924A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A3" w:rsidRDefault="007924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4A3" w:rsidRDefault="007924A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4"/>
  </w:hdrShapeDefaults>
  <w:footnotePr>
    <w:numRestart w:val="eachSect"/>
    <w:footnote w:id="-1"/>
    <w:footnote w:id="0"/>
  </w:footnotePr>
  <w:endnotePr>
    <w:numFmt w:val="decimal"/>
    <w:endnote w:id="-1"/>
    <w:endnote w:id="0"/>
  </w:endnotePr>
  <w:compat/>
  <w:rsids>
    <w:rsidRoot w:val="00B52B9B"/>
    <w:rsid w:val="00007A3D"/>
    <w:rsid w:val="0007164B"/>
    <w:rsid w:val="000C2B5C"/>
    <w:rsid w:val="000E4890"/>
    <w:rsid w:val="00174E91"/>
    <w:rsid w:val="001C1DFD"/>
    <w:rsid w:val="001C3F7A"/>
    <w:rsid w:val="001E76BF"/>
    <w:rsid w:val="00282AF0"/>
    <w:rsid w:val="0030133B"/>
    <w:rsid w:val="00302A26"/>
    <w:rsid w:val="003137AE"/>
    <w:rsid w:val="003D3AE8"/>
    <w:rsid w:val="003E63D3"/>
    <w:rsid w:val="00424F80"/>
    <w:rsid w:val="004B019E"/>
    <w:rsid w:val="00512A73"/>
    <w:rsid w:val="00535A26"/>
    <w:rsid w:val="00581426"/>
    <w:rsid w:val="005820B9"/>
    <w:rsid w:val="005A65A4"/>
    <w:rsid w:val="005F17B4"/>
    <w:rsid w:val="00626433"/>
    <w:rsid w:val="00641945"/>
    <w:rsid w:val="006436BB"/>
    <w:rsid w:val="006438F1"/>
    <w:rsid w:val="00651E4B"/>
    <w:rsid w:val="006B3559"/>
    <w:rsid w:val="0073719C"/>
    <w:rsid w:val="007861A9"/>
    <w:rsid w:val="007924A3"/>
    <w:rsid w:val="007D48B2"/>
    <w:rsid w:val="008142B9"/>
    <w:rsid w:val="008230AB"/>
    <w:rsid w:val="00823933"/>
    <w:rsid w:val="00824D7F"/>
    <w:rsid w:val="008855EE"/>
    <w:rsid w:val="0088692D"/>
    <w:rsid w:val="008B612E"/>
    <w:rsid w:val="008C33C4"/>
    <w:rsid w:val="00943A6E"/>
    <w:rsid w:val="009464D3"/>
    <w:rsid w:val="00996516"/>
    <w:rsid w:val="009D343F"/>
    <w:rsid w:val="009E7288"/>
    <w:rsid w:val="00A7221E"/>
    <w:rsid w:val="00A837B2"/>
    <w:rsid w:val="00A938C5"/>
    <w:rsid w:val="00B348B3"/>
    <w:rsid w:val="00B52B9B"/>
    <w:rsid w:val="00B55ECE"/>
    <w:rsid w:val="00BA07BE"/>
    <w:rsid w:val="00BA41A8"/>
    <w:rsid w:val="00BC5036"/>
    <w:rsid w:val="00BD16E6"/>
    <w:rsid w:val="00BD2A93"/>
    <w:rsid w:val="00C064FE"/>
    <w:rsid w:val="00C34004"/>
    <w:rsid w:val="00C94A7A"/>
    <w:rsid w:val="00CA3CE6"/>
    <w:rsid w:val="00CC4E04"/>
    <w:rsid w:val="00CD318B"/>
    <w:rsid w:val="00CE17C5"/>
    <w:rsid w:val="00CF0F42"/>
    <w:rsid w:val="00DC2DCE"/>
    <w:rsid w:val="00DE5042"/>
    <w:rsid w:val="00E14150"/>
    <w:rsid w:val="00E27547"/>
    <w:rsid w:val="00E72E68"/>
    <w:rsid w:val="00EC010B"/>
    <w:rsid w:val="00EC19AF"/>
    <w:rsid w:val="00FF43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19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4B019E"/>
    <w:rPr>
      <w:vertAlign w:val="superscript"/>
    </w:rPr>
  </w:style>
  <w:style w:type="character" w:styleId="FootnoteReference">
    <w:name w:val="footnote reference"/>
    <w:semiHidden/>
    <w:rsid w:val="004B019E"/>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9E7288"/>
    <w:rPr>
      <w:rFonts w:ascii="Tahoma" w:hAnsi="Tahoma" w:cs="Tahoma"/>
      <w:sz w:val="16"/>
      <w:szCs w:val="16"/>
    </w:rPr>
  </w:style>
  <w:style w:type="character" w:customStyle="1" w:styleId="BalloonTextChar">
    <w:name w:val="Balloon Text Char"/>
    <w:basedOn w:val="DefaultParagraphFont"/>
    <w:link w:val="BalloonText"/>
    <w:uiPriority w:val="99"/>
    <w:semiHidden/>
    <w:rsid w:val="009E7288"/>
    <w:rPr>
      <w:rFonts w:ascii="Tahoma" w:hAnsi="Tahoma" w:cs="Tahoma"/>
      <w:sz w:val="16"/>
      <w:szCs w:val="16"/>
    </w:rPr>
  </w:style>
  <w:style w:type="character" w:styleId="CommentReference">
    <w:name w:val="annotation reference"/>
    <w:semiHidden/>
    <w:rsid w:val="006436BB"/>
    <w:rPr>
      <w:sz w:val="16"/>
      <w:szCs w:val="16"/>
    </w:rPr>
  </w:style>
  <w:style w:type="paragraph" w:styleId="CommentText">
    <w:name w:val="annotation text"/>
    <w:basedOn w:val="Normal"/>
    <w:link w:val="CommentTextChar"/>
    <w:semiHidden/>
    <w:rsid w:val="006436BB"/>
    <w:pPr>
      <w:widowControl/>
      <w:autoSpaceDE w:val="0"/>
      <w:autoSpaceDN w:val="0"/>
      <w:adjustRightInd w:val="0"/>
    </w:pPr>
  </w:style>
  <w:style w:type="character" w:customStyle="1" w:styleId="CommentTextChar">
    <w:name w:val="Comment Text Char"/>
    <w:basedOn w:val="DefaultParagraphFont"/>
    <w:link w:val="CommentText"/>
    <w:semiHidden/>
    <w:rsid w:val="006436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Header">
    <w:name w:val="header"/>
    <w:basedOn w:val="Normal"/>
    <w:rsid w:val="000C2B5C"/>
    <w:pPr>
      <w:tabs>
        <w:tab w:val="center" w:pos="4320"/>
        <w:tab w:val="right" w:pos="8640"/>
      </w:tabs>
    </w:pPr>
  </w:style>
  <w:style w:type="paragraph" w:styleId="Footer">
    <w:name w:val="footer"/>
    <w:basedOn w:val="Normal"/>
    <w:rsid w:val="000C2B5C"/>
    <w:pPr>
      <w:tabs>
        <w:tab w:val="center" w:pos="4320"/>
        <w:tab w:val="right" w:pos="8640"/>
      </w:tabs>
    </w:pPr>
  </w:style>
  <w:style w:type="paragraph" w:customStyle="1" w:styleId="Default">
    <w:name w:val="Default"/>
    <w:rsid w:val="001C3F7A"/>
    <w:pPr>
      <w:autoSpaceDE w:val="0"/>
      <w:autoSpaceDN w:val="0"/>
      <w:adjustRightInd w:val="0"/>
    </w:pPr>
    <w:rPr>
      <w:rFonts w:ascii="Arial MT" w:hAnsi="Arial MT" w:cs="Arial MT"/>
      <w:color w:val="000000"/>
      <w:sz w:val="24"/>
      <w:szCs w:val="24"/>
    </w:rPr>
  </w:style>
  <w:style w:type="paragraph" w:styleId="BodyTextIndent2">
    <w:name w:val="Body Text Indent 2"/>
    <w:basedOn w:val="Normal"/>
    <w:link w:val="BodyTextIndent2Char"/>
    <w:rsid w:val="001C3F7A"/>
    <w:pPr>
      <w:spacing w:line="480" w:lineRule="auto"/>
      <w:ind w:firstLine="720"/>
    </w:pPr>
    <w:rPr>
      <w:snapToGrid w:val="0"/>
      <w:color w:val="000000"/>
      <w:sz w:val="22"/>
    </w:rPr>
  </w:style>
  <w:style w:type="character" w:customStyle="1" w:styleId="BodyTextIndent2Char">
    <w:name w:val="Body Text Indent 2 Char"/>
    <w:link w:val="BodyTextIndent2"/>
    <w:rsid w:val="001C3F7A"/>
    <w:rPr>
      <w:snapToGrid w:val="0"/>
      <w:color w:val="000000"/>
      <w:sz w:val="22"/>
    </w:rPr>
  </w:style>
  <w:style w:type="paragraph" w:styleId="BalloonText">
    <w:name w:val="Balloon Text"/>
    <w:basedOn w:val="Normal"/>
    <w:link w:val="BalloonTextChar"/>
    <w:uiPriority w:val="99"/>
    <w:semiHidden/>
    <w:unhideWhenUsed/>
    <w:rsid w:val="009E7288"/>
    <w:rPr>
      <w:rFonts w:ascii="Tahoma" w:hAnsi="Tahoma" w:cs="Tahoma"/>
      <w:sz w:val="16"/>
      <w:szCs w:val="16"/>
    </w:rPr>
  </w:style>
  <w:style w:type="character" w:customStyle="1" w:styleId="BalloonTextChar">
    <w:name w:val="Balloon Text Char"/>
    <w:basedOn w:val="DefaultParagraphFont"/>
    <w:link w:val="BalloonText"/>
    <w:uiPriority w:val="99"/>
    <w:semiHidden/>
    <w:rsid w:val="009E7288"/>
    <w:rPr>
      <w:rFonts w:ascii="Tahoma" w:hAnsi="Tahoma" w:cs="Tahoma"/>
      <w:sz w:val="16"/>
      <w:szCs w:val="16"/>
    </w:rPr>
  </w:style>
  <w:style w:type="character" w:styleId="CommentReference">
    <w:name w:val="annotation reference"/>
    <w:semiHidden/>
    <w:rsid w:val="006436BB"/>
    <w:rPr>
      <w:sz w:val="16"/>
      <w:szCs w:val="16"/>
    </w:rPr>
  </w:style>
  <w:style w:type="paragraph" w:styleId="CommentText">
    <w:name w:val="annotation text"/>
    <w:basedOn w:val="Normal"/>
    <w:link w:val="CommentTextChar"/>
    <w:semiHidden/>
    <w:rsid w:val="006436BB"/>
    <w:pPr>
      <w:widowControl/>
      <w:autoSpaceDE w:val="0"/>
      <w:autoSpaceDN w:val="0"/>
      <w:adjustRightInd w:val="0"/>
    </w:pPr>
  </w:style>
  <w:style w:type="character" w:customStyle="1" w:styleId="CommentTextChar">
    <w:name w:val="Comment Text Char"/>
    <w:basedOn w:val="DefaultParagraphFont"/>
    <w:link w:val="CommentText"/>
    <w:semiHidden/>
    <w:rsid w:val="006436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742C9-604D-4D8B-A70F-B003F4DA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Example of (Optional) Cover Memorandum</vt:lpstr>
    </vt:vector>
  </TitlesOfParts>
  <Company>OIT/NIH</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(Optional) Cover Memorandum</dc:title>
  <dc:subject>Example of (Optional) Cover Memorandum</dc:subject>
  <dc:creator>BrierlyE</dc:creator>
  <cp:keywords>Example of (Optional) Cover Memorandum</cp:keywords>
  <cp:lastModifiedBy>abdelmot</cp:lastModifiedBy>
  <cp:revision>2</cp:revision>
  <cp:lastPrinted>2013-12-14T04:27:00Z</cp:lastPrinted>
  <dcterms:created xsi:type="dcterms:W3CDTF">2014-04-28T20:25:00Z</dcterms:created>
  <dcterms:modified xsi:type="dcterms:W3CDTF">2014-04-28T20:25:00Z</dcterms:modified>
</cp:coreProperties>
</file>