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F5" w:rsidRPr="0036184C" w:rsidRDefault="0036184C">
      <w:pPr>
        <w:framePr w:w="11448" w:h="1486" w:hRule="exact" w:wrap="auto" w:vAnchor="text" w:hAnchor="page" w:x="325" w:y="-287"/>
        <w:pBdr>
          <w:top w:val="single" w:sz="6" w:space="0" w:color="FFFFFF"/>
          <w:left w:val="single" w:sz="6" w:space="0" w:color="FFFFFF"/>
          <w:bottom w:val="single" w:sz="6" w:space="0" w:color="FFFFFF"/>
          <w:right w:val="single" w:sz="6" w:space="0" w:color="FFFFFF"/>
        </w:pBdr>
        <w:rPr>
          <w:rFonts w:asciiTheme="minorHAnsi" w:hAnsiTheme="minorHAnsi"/>
          <w:sz w:val="22"/>
          <w:szCs w:val="22"/>
        </w:rPr>
      </w:pPr>
      <w:r>
        <w:rPr>
          <w:rFonts w:asciiTheme="minorHAnsi" w:hAnsiTheme="minorHAnsi"/>
          <w:noProof/>
          <w:snapToGrid/>
          <w:sz w:val="22"/>
          <w:szCs w:val="22"/>
        </w:rPr>
        <w:drawing>
          <wp:inline distT="0" distB="0" distL="0" distR="0">
            <wp:extent cx="7269480" cy="944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91" t="-465" r="-491" b="-465"/>
                    <a:stretch>
                      <a:fillRect/>
                    </a:stretch>
                  </pic:blipFill>
                  <pic:spPr bwMode="auto">
                    <a:xfrm>
                      <a:off x="0" y="0"/>
                      <a:ext cx="7269480" cy="944880"/>
                    </a:xfrm>
                    <a:prstGeom prst="rect">
                      <a:avLst/>
                    </a:prstGeom>
                    <a:noFill/>
                    <a:ln>
                      <a:noFill/>
                    </a:ln>
                  </pic:spPr>
                </pic:pic>
              </a:graphicData>
            </a:graphic>
          </wp:inline>
        </w:drawing>
      </w:r>
    </w:p>
    <w:p w:rsidR="002B5F77" w:rsidRPr="0036184C" w:rsidRDefault="002B5F77" w:rsidP="002B5F77">
      <w:pPr>
        <w:rPr>
          <w:rFonts w:asciiTheme="minorHAnsi" w:hAnsiTheme="minorHAnsi"/>
          <w:sz w:val="22"/>
          <w:szCs w:val="22"/>
        </w:rPr>
      </w:pPr>
      <w:bookmarkStart w:id="0" w:name="QuickMark"/>
      <w:bookmarkEnd w:id="0"/>
    </w:p>
    <w:p w:rsidR="00F011C2" w:rsidRPr="0036184C" w:rsidRDefault="00AE623F" w:rsidP="002B5F77">
      <w:pPr>
        <w:rPr>
          <w:rFonts w:asciiTheme="minorHAnsi" w:hAnsiTheme="minorHAnsi"/>
          <w:sz w:val="22"/>
          <w:szCs w:val="22"/>
        </w:rPr>
      </w:pPr>
      <w:r w:rsidRPr="0036184C">
        <w:rPr>
          <w:rFonts w:asciiTheme="minorHAnsi" w:hAnsiTheme="minorHAnsi"/>
          <w:sz w:val="22"/>
          <w:szCs w:val="22"/>
        </w:rPr>
        <w:t xml:space="preserve"> </w:t>
      </w: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DATE:</w:t>
      </w:r>
      <w:r w:rsidRPr="0036184C">
        <w:rPr>
          <w:rFonts w:asciiTheme="minorHAnsi" w:hAnsiTheme="minorHAnsi"/>
          <w:sz w:val="22"/>
          <w:szCs w:val="22"/>
        </w:rPr>
        <w:tab/>
      </w:r>
      <w:r w:rsidRPr="0036184C">
        <w:rPr>
          <w:rFonts w:asciiTheme="minorHAnsi" w:hAnsiTheme="minorHAnsi"/>
          <w:sz w:val="22"/>
          <w:szCs w:val="22"/>
        </w:rPr>
        <w:tab/>
      </w:r>
      <w:r w:rsidR="008A23A0">
        <w:rPr>
          <w:rFonts w:asciiTheme="minorHAnsi" w:hAnsiTheme="minorHAnsi"/>
          <w:sz w:val="22"/>
          <w:szCs w:val="22"/>
        </w:rPr>
        <w:t>June 16, 2014</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TO:</w:t>
      </w:r>
      <w:r w:rsidRPr="0036184C">
        <w:rPr>
          <w:rFonts w:asciiTheme="minorHAnsi" w:hAnsiTheme="minorHAnsi"/>
          <w:sz w:val="22"/>
          <w:szCs w:val="22"/>
        </w:rPr>
        <w:tab/>
      </w:r>
      <w:r w:rsidRPr="0036184C">
        <w:rPr>
          <w:rFonts w:asciiTheme="minorHAnsi" w:hAnsiTheme="minorHAnsi"/>
          <w:sz w:val="22"/>
          <w:szCs w:val="22"/>
        </w:rPr>
        <w:tab/>
        <w:t>M</w:t>
      </w:r>
      <w:r w:rsidR="00A14924">
        <w:rPr>
          <w:rFonts w:asciiTheme="minorHAnsi" w:hAnsiTheme="minorHAnsi"/>
          <w:sz w:val="22"/>
          <w:szCs w:val="22"/>
        </w:rPr>
        <w:t>r. Harvey Fort</w:t>
      </w:r>
      <w:r w:rsidRPr="0036184C">
        <w:rPr>
          <w:rFonts w:asciiTheme="minorHAnsi" w:hAnsiTheme="minorHAnsi"/>
          <w:sz w:val="22"/>
          <w:szCs w:val="22"/>
        </w:rPr>
        <w:t>e</w:t>
      </w: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ab/>
      </w:r>
      <w:r w:rsidRPr="0036184C">
        <w:rPr>
          <w:rFonts w:asciiTheme="minorHAnsi" w:hAnsiTheme="minorHAnsi"/>
          <w:sz w:val="22"/>
          <w:szCs w:val="22"/>
        </w:rPr>
        <w:tab/>
        <w:t>Office of Management and Budget</w:t>
      </w: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ab/>
      </w:r>
      <w:r w:rsidRPr="0036184C">
        <w:rPr>
          <w:rFonts w:asciiTheme="minorHAnsi" w:hAnsiTheme="minorHAnsi"/>
          <w:sz w:val="22"/>
          <w:szCs w:val="22"/>
        </w:rPr>
        <w:tab/>
        <w:t>Office of Information and Regulatory Affairs</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FROM:</w:t>
      </w:r>
      <w:r w:rsidRPr="0036184C">
        <w:rPr>
          <w:rFonts w:asciiTheme="minorHAnsi" w:hAnsiTheme="minorHAnsi"/>
          <w:sz w:val="22"/>
          <w:szCs w:val="22"/>
        </w:rPr>
        <w:tab/>
      </w:r>
      <w:r w:rsidRPr="0036184C">
        <w:rPr>
          <w:rFonts w:asciiTheme="minorHAnsi" w:hAnsiTheme="minorHAnsi"/>
          <w:sz w:val="22"/>
          <w:szCs w:val="22"/>
        </w:rPr>
        <w:tab/>
        <w:t xml:space="preserve">Dr. </w:t>
      </w:r>
      <w:bookmarkStart w:id="1" w:name="_GoBack"/>
      <w:bookmarkEnd w:id="1"/>
      <w:proofErr w:type="spellStart"/>
      <w:r w:rsidR="00A14924" w:rsidRPr="0036184C">
        <w:rPr>
          <w:rFonts w:asciiTheme="minorHAnsi" w:hAnsiTheme="minorHAnsi"/>
          <w:sz w:val="22"/>
          <w:szCs w:val="22"/>
        </w:rPr>
        <w:t>Kristianna</w:t>
      </w:r>
      <w:proofErr w:type="spellEnd"/>
      <w:r w:rsidR="00A14924">
        <w:rPr>
          <w:rFonts w:asciiTheme="minorHAnsi" w:hAnsiTheme="minorHAnsi"/>
          <w:sz w:val="22"/>
          <w:szCs w:val="22"/>
        </w:rPr>
        <w:t xml:space="preserve"> </w:t>
      </w:r>
      <w:proofErr w:type="spellStart"/>
      <w:r w:rsidR="00A14924" w:rsidRPr="0036184C">
        <w:rPr>
          <w:rFonts w:asciiTheme="minorHAnsi" w:hAnsiTheme="minorHAnsi"/>
          <w:sz w:val="22"/>
          <w:szCs w:val="22"/>
        </w:rPr>
        <w:t>Pettibone</w:t>
      </w:r>
      <w:proofErr w:type="spellEnd"/>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ab/>
      </w:r>
      <w:r w:rsidRPr="0036184C">
        <w:rPr>
          <w:rFonts w:asciiTheme="minorHAnsi" w:hAnsiTheme="minorHAnsi"/>
          <w:sz w:val="22"/>
          <w:szCs w:val="22"/>
        </w:rPr>
        <w:tab/>
        <w:t>National Institute of Environmental Health Sciences (NIEHS)</w:t>
      </w:r>
    </w:p>
    <w:p w:rsidR="0036184C" w:rsidRPr="0036184C" w:rsidRDefault="0036184C" w:rsidP="0036184C">
      <w:pPr>
        <w:rPr>
          <w:rFonts w:asciiTheme="minorHAnsi" w:hAnsiTheme="minorHAnsi"/>
          <w:sz w:val="22"/>
          <w:szCs w:val="22"/>
        </w:rPr>
      </w:pPr>
    </w:p>
    <w:p w:rsidR="0036184C" w:rsidRPr="0036184C" w:rsidRDefault="0036184C" w:rsidP="0036184C">
      <w:pPr>
        <w:ind w:left="1440" w:hanging="1440"/>
        <w:rPr>
          <w:rFonts w:asciiTheme="minorHAnsi" w:hAnsiTheme="minorHAnsi"/>
          <w:sz w:val="22"/>
          <w:szCs w:val="22"/>
        </w:rPr>
      </w:pPr>
      <w:r w:rsidRPr="0036184C">
        <w:rPr>
          <w:rFonts w:asciiTheme="minorHAnsi" w:hAnsiTheme="minorHAnsi"/>
          <w:sz w:val="22"/>
          <w:szCs w:val="22"/>
        </w:rPr>
        <w:t>SUBJECT:</w:t>
      </w:r>
      <w:r w:rsidRPr="0036184C">
        <w:rPr>
          <w:rFonts w:asciiTheme="minorHAnsi" w:hAnsiTheme="minorHAnsi"/>
          <w:sz w:val="22"/>
          <w:szCs w:val="22"/>
        </w:rPr>
        <w:tab/>
        <w:t>Request for Change to the NIEHS DERT Extramural Data Collection (OMB Control #: 0925-0657, Expiration Date: 06/30/2015)</w:t>
      </w:r>
    </w:p>
    <w:p w:rsidR="0036184C" w:rsidRPr="0036184C" w:rsidRDefault="0036184C" w:rsidP="0036184C">
      <w:pPr>
        <w:ind w:left="1440" w:hanging="1440"/>
        <w:rPr>
          <w:rFonts w:asciiTheme="minorHAnsi" w:hAnsiTheme="minorHAnsi"/>
          <w:sz w:val="22"/>
          <w:szCs w:val="22"/>
        </w:rPr>
      </w:pPr>
    </w:p>
    <w:p w:rsidR="0036184C" w:rsidRPr="0036184C" w:rsidRDefault="0036184C" w:rsidP="0036184C">
      <w:pPr>
        <w:ind w:left="1440" w:hanging="1440"/>
        <w:rPr>
          <w:rFonts w:asciiTheme="minorHAnsi" w:hAnsiTheme="minorHAnsi"/>
          <w:sz w:val="22"/>
          <w:szCs w:val="22"/>
        </w:rPr>
      </w:pPr>
      <w:r w:rsidRPr="0036184C">
        <w:rPr>
          <w:rFonts w:asciiTheme="minorHAnsi" w:hAnsiTheme="minorHAnsi"/>
          <w:sz w:val="22"/>
          <w:szCs w:val="22"/>
        </w:rPr>
        <w:t>CC:</w:t>
      </w:r>
      <w:r w:rsidRPr="0036184C">
        <w:rPr>
          <w:rFonts w:asciiTheme="minorHAnsi" w:hAnsiTheme="minorHAnsi"/>
          <w:sz w:val="22"/>
          <w:szCs w:val="22"/>
        </w:rPr>
        <w:tab/>
        <w:t>Christie Drew &amp; Jane Lambert (NIEHS), Cara Long (NINDS), Lisa Kennedy (NIDCD), Keisha Shropshire &amp;</w:t>
      </w:r>
      <w:r w:rsidR="008A23A0">
        <w:rPr>
          <w:rFonts w:asciiTheme="minorHAnsi" w:hAnsiTheme="minorHAnsi"/>
          <w:sz w:val="22"/>
          <w:szCs w:val="22"/>
        </w:rPr>
        <w:t xml:space="preserve"> </w:t>
      </w:r>
      <w:r w:rsidRPr="0036184C">
        <w:rPr>
          <w:rFonts w:asciiTheme="minorHAnsi" w:hAnsiTheme="minorHAnsi"/>
          <w:sz w:val="22"/>
          <w:szCs w:val="22"/>
        </w:rPr>
        <w:t>Anne Sperling (NIMH), Sarah Glavin &amp; Jamelle Banks (NICHD), Vivian Horovitch-Kelley (NCI), Seleda Perryman &amp; Mikia Currie (OD/OPERA)</w:t>
      </w:r>
    </w:p>
    <w:p w:rsidR="0036184C" w:rsidRPr="0036184C" w:rsidRDefault="0036184C" w:rsidP="0036184C">
      <w:pPr>
        <w:pBdr>
          <w:bottom w:val="single" w:sz="12" w:space="1" w:color="auto"/>
        </w:pBdr>
        <w:ind w:left="1440" w:hanging="1440"/>
        <w:rPr>
          <w:rFonts w:asciiTheme="minorHAnsi" w:hAnsiTheme="minorHAnsi"/>
          <w:sz w:val="22"/>
          <w:szCs w:val="22"/>
        </w:rPr>
      </w:pPr>
    </w:p>
    <w:p w:rsidR="0036184C" w:rsidRPr="0036184C" w:rsidRDefault="0036184C" w:rsidP="0036184C">
      <w:pPr>
        <w:ind w:left="1440" w:hanging="1440"/>
        <w:rPr>
          <w:rFonts w:asciiTheme="minorHAnsi" w:hAnsiTheme="minorHAnsi"/>
          <w:sz w:val="22"/>
          <w:szCs w:val="22"/>
        </w:rPr>
      </w:pPr>
    </w:p>
    <w:p w:rsidR="0036184C" w:rsidRPr="0036184C" w:rsidRDefault="00763E47" w:rsidP="0036184C">
      <w:pPr>
        <w:rPr>
          <w:rFonts w:asciiTheme="minorHAnsi" w:hAnsiTheme="minorHAnsi"/>
          <w:sz w:val="22"/>
          <w:szCs w:val="22"/>
        </w:rPr>
      </w:pPr>
      <w:r w:rsidRPr="00763E47">
        <w:rPr>
          <w:rFonts w:asciiTheme="minorHAnsi" w:hAnsiTheme="minorHAnsi"/>
          <w:sz w:val="22"/>
          <w:szCs w:val="22"/>
        </w:rPr>
        <w:t xml:space="preserve">We have identified five additional Institutes </w:t>
      </w:r>
      <w:r w:rsidR="00C02649">
        <w:rPr>
          <w:rFonts w:asciiTheme="minorHAnsi" w:hAnsiTheme="minorHAnsi"/>
          <w:sz w:val="22"/>
          <w:szCs w:val="22"/>
        </w:rPr>
        <w:t>that</w:t>
      </w:r>
      <w:r w:rsidR="00C02649" w:rsidRPr="00763E47">
        <w:rPr>
          <w:rFonts w:asciiTheme="minorHAnsi" w:hAnsiTheme="minorHAnsi"/>
          <w:sz w:val="22"/>
          <w:szCs w:val="22"/>
        </w:rPr>
        <w:t xml:space="preserve"> </w:t>
      </w:r>
      <w:r w:rsidRPr="00763E47">
        <w:rPr>
          <w:rFonts w:asciiTheme="minorHAnsi" w:hAnsiTheme="minorHAnsi"/>
          <w:sz w:val="22"/>
          <w:szCs w:val="22"/>
        </w:rPr>
        <w:t xml:space="preserve">fit under the scope </w:t>
      </w:r>
      <w:r>
        <w:rPr>
          <w:rFonts w:asciiTheme="minorHAnsi" w:hAnsiTheme="minorHAnsi"/>
          <w:sz w:val="22"/>
          <w:szCs w:val="22"/>
        </w:rPr>
        <w:t xml:space="preserve">of clearance </w:t>
      </w:r>
      <w:r w:rsidRPr="00763E47">
        <w:rPr>
          <w:rFonts w:asciiTheme="minorHAnsi" w:hAnsiTheme="minorHAnsi"/>
          <w:sz w:val="22"/>
          <w:szCs w:val="22"/>
        </w:rPr>
        <w:t xml:space="preserve">for </w:t>
      </w:r>
      <w:r w:rsidR="0036184C" w:rsidRPr="00763E47">
        <w:rPr>
          <w:rFonts w:asciiTheme="minorHAnsi" w:hAnsiTheme="minorHAnsi"/>
          <w:sz w:val="22"/>
          <w:szCs w:val="22"/>
        </w:rPr>
        <w:t>NIEHS</w:t>
      </w:r>
      <w:r w:rsidRPr="00763E47">
        <w:rPr>
          <w:rFonts w:asciiTheme="minorHAnsi" w:hAnsiTheme="minorHAnsi"/>
          <w:sz w:val="22"/>
          <w:szCs w:val="22"/>
        </w:rPr>
        <w:t>’</w:t>
      </w:r>
      <w:r w:rsidR="0036184C" w:rsidRPr="00763E47">
        <w:rPr>
          <w:rFonts w:asciiTheme="minorHAnsi" w:hAnsiTheme="minorHAnsi"/>
          <w:sz w:val="22"/>
          <w:szCs w:val="22"/>
        </w:rPr>
        <w:t xml:space="preserve"> Division of Extramural Research and Training (DERT) Extramural Grantee Data Collection</w:t>
      </w:r>
      <w:r w:rsidRPr="00763E47">
        <w:rPr>
          <w:rFonts w:asciiTheme="minorHAnsi" w:hAnsiTheme="minorHAnsi"/>
          <w:sz w:val="22"/>
          <w:szCs w:val="22"/>
        </w:rPr>
        <w:t xml:space="preserve"> </w:t>
      </w:r>
      <w:r w:rsidR="0036184C" w:rsidRPr="00763E47">
        <w:rPr>
          <w:rFonts w:asciiTheme="minorHAnsi" w:hAnsiTheme="minorHAnsi"/>
          <w:sz w:val="22"/>
          <w:szCs w:val="22"/>
        </w:rPr>
        <w:t>(OMB Control #: 0925-0657, Expiration Date: 06/30/2015</w:t>
      </w:r>
      <w:r w:rsidR="0036184C" w:rsidRPr="0036184C">
        <w:rPr>
          <w:rFonts w:asciiTheme="minorHAnsi" w:hAnsiTheme="minorHAnsi"/>
          <w:sz w:val="22"/>
          <w:szCs w:val="22"/>
        </w:rPr>
        <w:t>).</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cs="Arial"/>
          <w:color w:val="000000"/>
          <w:sz w:val="22"/>
          <w:szCs w:val="22"/>
        </w:rPr>
      </w:pPr>
      <w:r w:rsidRPr="0036184C">
        <w:rPr>
          <w:rFonts w:asciiTheme="minorHAnsi" w:hAnsiTheme="minorHAnsi" w:cs="Arial"/>
          <w:color w:val="000000"/>
          <w:sz w:val="22"/>
          <w:szCs w:val="22"/>
        </w:rPr>
        <w:t xml:space="preserve">We would like to </w:t>
      </w:r>
      <w:r w:rsidR="00C02649">
        <w:rPr>
          <w:rFonts w:asciiTheme="minorHAnsi" w:hAnsiTheme="minorHAnsi" w:cs="Arial"/>
          <w:color w:val="000000"/>
          <w:sz w:val="22"/>
          <w:szCs w:val="22"/>
        </w:rPr>
        <w:t>request that</w:t>
      </w:r>
      <w:r w:rsidRPr="0036184C">
        <w:rPr>
          <w:rFonts w:asciiTheme="minorHAnsi" w:hAnsiTheme="minorHAnsi"/>
          <w:sz w:val="22"/>
          <w:szCs w:val="22"/>
        </w:rPr>
        <w:t xml:space="preserve"> the NIEHS DERT clearance include the following NIH Institutes:</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i/>
          <w:color w:val="000000"/>
        </w:rPr>
        <w:t>Eunice Kennedy Shriver</w:t>
      </w:r>
      <w:r w:rsidRPr="0036184C">
        <w:rPr>
          <w:rFonts w:asciiTheme="minorHAnsi" w:hAnsiTheme="minorHAnsi" w:cs="Arial"/>
          <w:color w:val="000000"/>
        </w:rPr>
        <w:t xml:space="preserve"> National Institute of Child Health and Human Development (NICHD);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 xml:space="preserve">National Institute on Deafness and Other Communication Disorders (NIDCD);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 xml:space="preserve">National Institute of Mental Health (NIMH);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National Institute of Neurological Disorders and Stroke (NINDS); and</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National Cancer Institute (NCI).</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cs="Arial"/>
          <w:color w:val="000000"/>
          <w:sz w:val="22"/>
          <w:szCs w:val="22"/>
        </w:rPr>
      </w:pPr>
      <w:r w:rsidRPr="0036184C">
        <w:rPr>
          <w:rFonts w:asciiTheme="minorHAnsi" w:hAnsiTheme="minorHAnsi"/>
          <w:sz w:val="22"/>
          <w:szCs w:val="22"/>
        </w:rPr>
        <w:t>This change request will</w:t>
      </w:r>
      <w:r w:rsidRPr="0036184C">
        <w:rPr>
          <w:rFonts w:asciiTheme="minorHAnsi" w:hAnsiTheme="minorHAnsi" w:cs="Arial"/>
          <w:color w:val="000000"/>
          <w:sz w:val="22"/>
          <w:szCs w:val="22"/>
        </w:rPr>
        <w:t xml:space="preserve"> minimize duplication and increase efficiency across the National Institutes of Health (NIH) by facilitating the use of an OMB approved data collection instrument by</w:t>
      </w:r>
      <w:r w:rsidR="008A79C9">
        <w:rPr>
          <w:rFonts w:asciiTheme="minorHAnsi" w:hAnsiTheme="minorHAnsi" w:cs="Arial"/>
          <w:color w:val="000000"/>
          <w:sz w:val="22"/>
          <w:szCs w:val="22"/>
        </w:rPr>
        <w:t xml:space="preserve"> these </w:t>
      </w:r>
      <w:r w:rsidRPr="0036184C">
        <w:rPr>
          <w:rFonts w:asciiTheme="minorHAnsi" w:hAnsiTheme="minorHAnsi" w:cs="Arial"/>
          <w:color w:val="000000"/>
          <w:sz w:val="22"/>
          <w:szCs w:val="22"/>
        </w:rPr>
        <w:t xml:space="preserve">additional ICs, rather than developing and obtaining clearance for a new data collection instrument. </w:t>
      </w:r>
      <w:r w:rsidR="004B0798" w:rsidRPr="008A79C9">
        <w:rPr>
          <w:rFonts w:asciiTheme="minorHAnsi" w:hAnsiTheme="minorHAnsi" w:cs="Arial"/>
          <w:color w:val="000000"/>
          <w:sz w:val="22"/>
          <w:szCs w:val="22"/>
        </w:rPr>
        <w:t>No part of the survey has been changed.</w:t>
      </w:r>
    </w:p>
    <w:p w:rsidR="0036184C" w:rsidRPr="0036184C" w:rsidRDefault="0036184C" w:rsidP="0036184C">
      <w:pPr>
        <w:rPr>
          <w:rFonts w:asciiTheme="minorHAnsi" w:hAnsiTheme="minorHAnsi" w:cs="Arial"/>
          <w:color w:val="000000"/>
          <w:sz w:val="22"/>
          <w:szCs w:val="22"/>
        </w:rPr>
      </w:pPr>
    </w:p>
    <w:p w:rsidR="0036184C" w:rsidRPr="0036184C" w:rsidRDefault="0036184C" w:rsidP="0036184C">
      <w:pPr>
        <w:rPr>
          <w:rFonts w:asciiTheme="minorHAnsi" w:hAnsiTheme="minorHAnsi" w:cs="Arial"/>
          <w:color w:val="000000"/>
          <w:sz w:val="22"/>
          <w:szCs w:val="22"/>
        </w:rPr>
      </w:pPr>
      <w:r w:rsidRPr="0036184C">
        <w:rPr>
          <w:rFonts w:asciiTheme="minorHAnsi" w:hAnsiTheme="minorHAnsi" w:cs="Arial"/>
          <w:color w:val="000000"/>
          <w:sz w:val="22"/>
          <w:szCs w:val="22"/>
        </w:rPr>
        <w:t>Table 1 on the next page provides details of the additional respondent burden associated with this change. This change will result in an additional 600 burden hours</w:t>
      </w:r>
      <w:r w:rsidR="008A23A0">
        <w:rPr>
          <w:rFonts w:asciiTheme="minorHAnsi" w:hAnsiTheme="minorHAnsi" w:cs="Arial"/>
          <w:color w:val="000000"/>
          <w:sz w:val="22"/>
          <w:szCs w:val="22"/>
        </w:rPr>
        <w:t xml:space="preserve"> for the final year of the clearance associated with this survey</w:t>
      </w:r>
      <w:r w:rsidRPr="0036184C">
        <w:rPr>
          <w:rFonts w:asciiTheme="minorHAnsi" w:hAnsiTheme="minorHAnsi" w:cs="Arial"/>
          <w:color w:val="000000"/>
          <w:sz w:val="22"/>
          <w:szCs w:val="22"/>
        </w:rPr>
        <w:t>.</w:t>
      </w:r>
    </w:p>
    <w:p w:rsidR="0036184C" w:rsidRPr="0036184C" w:rsidRDefault="0036184C" w:rsidP="0036184C">
      <w:pPr>
        <w:rPr>
          <w:rFonts w:asciiTheme="minorHAnsi" w:hAnsiTheme="minorHAnsi" w:cs="Arial"/>
          <w:color w:val="000000"/>
          <w:sz w:val="22"/>
          <w:szCs w:val="22"/>
        </w:rPr>
      </w:pPr>
    </w:p>
    <w:p w:rsidR="0036184C" w:rsidRPr="0036184C" w:rsidRDefault="0036184C" w:rsidP="0036184C">
      <w:pPr>
        <w:rPr>
          <w:rFonts w:asciiTheme="minorHAnsi" w:hAnsiTheme="minorHAnsi"/>
          <w:b/>
          <w:sz w:val="22"/>
          <w:szCs w:val="22"/>
        </w:rPr>
      </w:pPr>
      <w:r w:rsidRPr="0036184C">
        <w:rPr>
          <w:rFonts w:asciiTheme="minorHAnsi" w:hAnsiTheme="minorHAnsi"/>
          <w:b/>
          <w:sz w:val="22"/>
          <w:szCs w:val="22"/>
        </w:rPr>
        <w:br w:type="page"/>
      </w:r>
    </w:p>
    <w:p w:rsidR="0036184C" w:rsidRPr="0036184C" w:rsidRDefault="0036184C" w:rsidP="0036184C">
      <w:pPr>
        <w:jc w:val="center"/>
        <w:rPr>
          <w:rFonts w:asciiTheme="minorHAnsi" w:hAnsiTheme="minorHAnsi"/>
          <w:b/>
          <w:sz w:val="22"/>
          <w:szCs w:val="22"/>
        </w:rPr>
      </w:pPr>
      <w:r w:rsidRPr="0036184C">
        <w:rPr>
          <w:rFonts w:asciiTheme="minorHAnsi" w:hAnsiTheme="minorHAnsi"/>
          <w:b/>
          <w:sz w:val="22"/>
          <w:szCs w:val="22"/>
        </w:rPr>
        <w:lastRenderedPageBreak/>
        <w:t>Table 1: Annualized Estimates of Hour Burdens for New ICs Added to Clearance</w:t>
      </w:r>
    </w:p>
    <w:tbl>
      <w:tblPr>
        <w:tblW w:w="8208" w:type="dxa"/>
        <w:tblInd w:w="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2"/>
        <w:gridCol w:w="1530"/>
        <w:gridCol w:w="1386"/>
        <w:gridCol w:w="1854"/>
        <w:gridCol w:w="1386"/>
      </w:tblGrid>
      <w:tr w:rsidR="0036184C" w:rsidRPr="0036184C" w:rsidTr="00732DB2">
        <w:trPr>
          <w:trHeight w:val="546"/>
        </w:trPr>
        <w:tc>
          <w:tcPr>
            <w:tcW w:w="2052"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Type of Respondent</w:t>
            </w:r>
          </w:p>
        </w:tc>
        <w:tc>
          <w:tcPr>
            <w:tcW w:w="1530"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Number of Respondents</w:t>
            </w:r>
          </w:p>
        </w:tc>
        <w:tc>
          <w:tcPr>
            <w:tcW w:w="1386"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Frequency of Response</w:t>
            </w:r>
          </w:p>
        </w:tc>
        <w:tc>
          <w:tcPr>
            <w:tcW w:w="1854"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Average Time per Response </w:t>
            </w:r>
          </w:p>
        </w:tc>
        <w:tc>
          <w:tcPr>
            <w:tcW w:w="1386" w:type="dxa"/>
            <w:tcBorders>
              <w:top w:val="double" w:sz="4" w:space="0" w:color="auto"/>
              <w:bottom w:val="single" w:sz="4" w:space="0" w:color="auto"/>
            </w:tcBorders>
            <w:shd w:val="clear" w:color="auto" w:fill="auto"/>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Annual Hour Burden</w:t>
            </w:r>
          </w:p>
        </w:tc>
      </w:tr>
      <w:tr w:rsidR="0036184C" w:rsidRPr="0036184C" w:rsidTr="00732DB2">
        <w:trPr>
          <w:cantSplit/>
          <w:trHeight w:val="576"/>
        </w:trPr>
        <w:tc>
          <w:tcPr>
            <w:tcW w:w="2052" w:type="dxa"/>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NICHD Grantee</w:t>
            </w:r>
          </w:p>
        </w:tc>
        <w:tc>
          <w:tcPr>
            <w:tcW w:w="1530"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200</w:t>
            </w:r>
          </w:p>
        </w:tc>
        <w:tc>
          <w:tcPr>
            <w:tcW w:w="1386"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100 </w:t>
            </w:r>
          </w:p>
        </w:tc>
      </w:tr>
      <w:tr w:rsidR="0036184C" w:rsidRPr="0036184C" w:rsidTr="00732DB2">
        <w:trPr>
          <w:cantSplit/>
          <w:trHeight w:val="576"/>
        </w:trPr>
        <w:tc>
          <w:tcPr>
            <w:tcW w:w="2052" w:type="dxa"/>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NIDCD Grantee</w:t>
            </w:r>
          </w:p>
        </w:tc>
        <w:tc>
          <w:tcPr>
            <w:tcW w:w="1530"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200</w:t>
            </w:r>
          </w:p>
        </w:tc>
        <w:tc>
          <w:tcPr>
            <w:tcW w:w="1386"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100 </w:t>
            </w:r>
          </w:p>
        </w:tc>
      </w:tr>
      <w:tr w:rsidR="0036184C" w:rsidRPr="0036184C" w:rsidTr="00732DB2">
        <w:trPr>
          <w:cantSplit/>
          <w:trHeight w:val="576"/>
        </w:trPr>
        <w:tc>
          <w:tcPr>
            <w:tcW w:w="2052" w:type="dxa"/>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NIMH Grantee</w:t>
            </w:r>
          </w:p>
        </w:tc>
        <w:tc>
          <w:tcPr>
            <w:tcW w:w="1530"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200</w:t>
            </w:r>
          </w:p>
        </w:tc>
        <w:tc>
          <w:tcPr>
            <w:tcW w:w="1386"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100 </w:t>
            </w:r>
          </w:p>
        </w:tc>
      </w:tr>
      <w:tr w:rsidR="0036184C" w:rsidRPr="0036184C" w:rsidTr="00732DB2">
        <w:trPr>
          <w:cantSplit/>
          <w:trHeight w:val="576"/>
        </w:trPr>
        <w:tc>
          <w:tcPr>
            <w:tcW w:w="2052" w:type="dxa"/>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NINDS Grantee</w:t>
            </w:r>
          </w:p>
        </w:tc>
        <w:tc>
          <w:tcPr>
            <w:tcW w:w="1530"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200</w:t>
            </w:r>
          </w:p>
        </w:tc>
        <w:tc>
          <w:tcPr>
            <w:tcW w:w="1386" w:type="dxa"/>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 xml:space="preserve">100 </w:t>
            </w:r>
          </w:p>
        </w:tc>
      </w:tr>
      <w:tr w:rsidR="0036184C" w:rsidRPr="0036184C" w:rsidTr="008A23A0">
        <w:trPr>
          <w:cantSplit/>
          <w:trHeight w:val="576"/>
        </w:trPr>
        <w:tc>
          <w:tcPr>
            <w:tcW w:w="2052" w:type="dxa"/>
            <w:tcBorders>
              <w:bottom w:val="single" w:sz="4" w:space="0" w:color="auto"/>
            </w:tcBorders>
          </w:tcPr>
          <w:p w:rsidR="0036184C" w:rsidRPr="0036184C" w:rsidRDefault="0036184C" w:rsidP="00732DB2">
            <w:pPr>
              <w:pStyle w:val="NormalWeb"/>
              <w:spacing w:before="0" w:beforeAutospacing="0" w:after="0" w:afterAutospacing="0"/>
              <w:ind w:left="180"/>
              <w:rPr>
                <w:rFonts w:asciiTheme="minorHAnsi" w:hAnsiTheme="minorHAnsi"/>
                <w:sz w:val="22"/>
                <w:szCs w:val="22"/>
              </w:rPr>
            </w:pPr>
            <w:r w:rsidRPr="0036184C">
              <w:rPr>
                <w:rFonts w:asciiTheme="minorHAnsi" w:hAnsiTheme="minorHAnsi"/>
                <w:sz w:val="22"/>
                <w:szCs w:val="22"/>
              </w:rPr>
              <w:t>NCI Grantee</w:t>
            </w:r>
          </w:p>
        </w:tc>
        <w:tc>
          <w:tcPr>
            <w:tcW w:w="1530" w:type="dxa"/>
            <w:tcBorders>
              <w:bottom w:val="single" w:sz="4" w:space="0" w:color="auto"/>
            </w:tcBorders>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400</w:t>
            </w:r>
          </w:p>
        </w:tc>
        <w:tc>
          <w:tcPr>
            <w:tcW w:w="1386" w:type="dxa"/>
            <w:tcBorders>
              <w:bottom w:val="single" w:sz="4" w:space="0" w:color="auto"/>
            </w:tcBorders>
          </w:tcPr>
          <w:p w:rsidR="0036184C" w:rsidRPr="0036184C" w:rsidRDefault="0036184C" w:rsidP="00732DB2">
            <w:pPr>
              <w:pStyle w:val="NormalWeb"/>
              <w:spacing w:before="0" w:beforeAutospacing="0" w:after="0" w:afterAutospacing="0"/>
              <w:ind w:left="72"/>
              <w:rPr>
                <w:rFonts w:asciiTheme="minorHAnsi" w:hAnsiTheme="minorHAnsi"/>
                <w:sz w:val="22"/>
                <w:szCs w:val="22"/>
              </w:rPr>
            </w:pPr>
            <w:r w:rsidRPr="0036184C">
              <w:rPr>
                <w:rFonts w:asciiTheme="minorHAnsi" w:hAnsiTheme="minorHAnsi"/>
                <w:sz w:val="22"/>
                <w:szCs w:val="22"/>
              </w:rPr>
              <w:t>1</w:t>
            </w:r>
          </w:p>
        </w:tc>
        <w:tc>
          <w:tcPr>
            <w:tcW w:w="1854" w:type="dxa"/>
            <w:tcBorders>
              <w:bottom w:val="single" w:sz="4" w:space="0" w:color="auto"/>
            </w:tcBorders>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30/60</w:t>
            </w:r>
          </w:p>
        </w:tc>
        <w:tc>
          <w:tcPr>
            <w:tcW w:w="1386" w:type="dxa"/>
            <w:tcBorders>
              <w:bottom w:val="single" w:sz="4" w:space="0" w:color="auto"/>
            </w:tcBorders>
          </w:tcPr>
          <w:p w:rsidR="0036184C" w:rsidRPr="0036184C" w:rsidRDefault="0036184C" w:rsidP="00732DB2">
            <w:pPr>
              <w:pStyle w:val="NormalWeb"/>
              <w:spacing w:before="0" w:beforeAutospacing="0" w:after="0" w:afterAutospacing="0"/>
              <w:rPr>
                <w:rFonts w:asciiTheme="minorHAnsi" w:hAnsiTheme="minorHAnsi"/>
                <w:sz w:val="22"/>
                <w:szCs w:val="22"/>
              </w:rPr>
            </w:pPr>
            <w:r w:rsidRPr="0036184C">
              <w:rPr>
                <w:rFonts w:asciiTheme="minorHAnsi" w:hAnsiTheme="minorHAnsi"/>
                <w:sz w:val="22"/>
                <w:szCs w:val="22"/>
              </w:rPr>
              <w:t>200</w:t>
            </w:r>
          </w:p>
        </w:tc>
      </w:tr>
      <w:tr w:rsidR="0036184C" w:rsidRPr="0036184C" w:rsidTr="008A23A0">
        <w:trPr>
          <w:cantSplit/>
          <w:trHeight w:val="576"/>
        </w:trPr>
        <w:tc>
          <w:tcPr>
            <w:tcW w:w="2052" w:type="dxa"/>
            <w:tcBorders>
              <w:top w:val="single" w:sz="4" w:space="0" w:color="auto"/>
              <w:bottom w:val="double" w:sz="4" w:space="0" w:color="auto"/>
            </w:tcBorders>
          </w:tcPr>
          <w:p w:rsidR="0036184C" w:rsidRPr="0036184C" w:rsidRDefault="0036184C" w:rsidP="008A23A0">
            <w:pPr>
              <w:pStyle w:val="NormalWeb"/>
              <w:spacing w:before="0" w:beforeAutospacing="0" w:after="0" w:afterAutospacing="0"/>
              <w:ind w:left="180"/>
              <w:rPr>
                <w:rFonts w:asciiTheme="minorHAnsi" w:hAnsiTheme="minorHAnsi"/>
                <w:b/>
                <w:sz w:val="22"/>
                <w:szCs w:val="22"/>
              </w:rPr>
            </w:pPr>
            <w:r w:rsidRPr="0036184C">
              <w:rPr>
                <w:rFonts w:asciiTheme="minorHAnsi" w:hAnsiTheme="minorHAnsi"/>
                <w:b/>
                <w:sz w:val="22"/>
                <w:szCs w:val="22"/>
              </w:rPr>
              <w:t xml:space="preserve">Total </w:t>
            </w:r>
          </w:p>
        </w:tc>
        <w:tc>
          <w:tcPr>
            <w:tcW w:w="1530" w:type="dxa"/>
            <w:tcBorders>
              <w:top w:val="single" w:sz="4" w:space="0" w:color="auto"/>
              <w:bottom w:val="double" w:sz="4" w:space="0" w:color="auto"/>
            </w:tcBorders>
          </w:tcPr>
          <w:p w:rsidR="0036184C" w:rsidRPr="0036184C" w:rsidRDefault="0036184C" w:rsidP="00732DB2">
            <w:pPr>
              <w:pStyle w:val="NormalWeb"/>
              <w:spacing w:before="0" w:beforeAutospacing="0" w:after="0" w:afterAutospacing="0"/>
              <w:ind w:left="72"/>
              <w:rPr>
                <w:rFonts w:asciiTheme="minorHAnsi" w:hAnsiTheme="minorHAnsi"/>
                <w:b/>
                <w:sz w:val="22"/>
                <w:szCs w:val="22"/>
              </w:rPr>
            </w:pPr>
            <w:r w:rsidRPr="0036184C">
              <w:rPr>
                <w:rFonts w:asciiTheme="minorHAnsi" w:hAnsiTheme="minorHAnsi"/>
                <w:b/>
                <w:sz w:val="22"/>
                <w:szCs w:val="22"/>
              </w:rPr>
              <w:t>1,200</w:t>
            </w:r>
          </w:p>
        </w:tc>
        <w:tc>
          <w:tcPr>
            <w:tcW w:w="1386" w:type="dxa"/>
            <w:tcBorders>
              <w:top w:val="single" w:sz="4" w:space="0" w:color="auto"/>
              <w:bottom w:val="double" w:sz="4" w:space="0" w:color="auto"/>
            </w:tcBorders>
          </w:tcPr>
          <w:p w:rsidR="0036184C" w:rsidRPr="0036184C" w:rsidRDefault="0036184C" w:rsidP="00732DB2">
            <w:pPr>
              <w:pStyle w:val="NormalWeb"/>
              <w:spacing w:before="0" w:beforeAutospacing="0" w:after="0" w:afterAutospacing="0"/>
              <w:ind w:left="72"/>
              <w:rPr>
                <w:rFonts w:asciiTheme="minorHAnsi" w:hAnsiTheme="minorHAnsi"/>
                <w:b/>
                <w:sz w:val="22"/>
                <w:szCs w:val="22"/>
              </w:rPr>
            </w:pPr>
          </w:p>
        </w:tc>
        <w:tc>
          <w:tcPr>
            <w:tcW w:w="1854" w:type="dxa"/>
            <w:tcBorders>
              <w:top w:val="single" w:sz="4" w:space="0" w:color="auto"/>
              <w:bottom w:val="double" w:sz="4" w:space="0" w:color="auto"/>
            </w:tcBorders>
          </w:tcPr>
          <w:p w:rsidR="0036184C" w:rsidRPr="0036184C" w:rsidRDefault="0036184C" w:rsidP="00732DB2">
            <w:pPr>
              <w:pStyle w:val="NormalWeb"/>
              <w:spacing w:before="0" w:beforeAutospacing="0" w:after="0" w:afterAutospacing="0"/>
              <w:rPr>
                <w:rFonts w:asciiTheme="minorHAnsi" w:hAnsiTheme="minorHAnsi"/>
                <w:b/>
                <w:sz w:val="22"/>
                <w:szCs w:val="22"/>
              </w:rPr>
            </w:pPr>
          </w:p>
        </w:tc>
        <w:tc>
          <w:tcPr>
            <w:tcW w:w="1386" w:type="dxa"/>
            <w:tcBorders>
              <w:top w:val="single" w:sz="4" w:space="0" w:color="auto"/>
              <w:bottom w:val="double" w:sz="4" w:space="0" w:color="auto"/>
            </w:tcBorders>
          </w:tcPr>
          <w:p w:rsidR="0036184C" w:rsidRPr="0036184C" w:rsidRDefault="0036184C" w:rsidP="00732DB2">
            <w:pPr>
              <w:pStyle w:val="NormalWeb"/>
              <w:spacing w:before="0" w:beforeAutospacing="0" w:after="0" w:afterAutospacing="0"/>
              <w:rPr>
                <w:rFonts w:asciiTheme="minorHAnsi" w:hAnsiTheme="minorHAnsi"/>
                <w:b/>
                <w:sz w:val="22"/>
                <w:szCs w:val="22"/>
              </w:rPr>
            </w:pPr>
            <w:r w:rsidRPr="0036184C">
              <w:rPr>
                <w:rFonts w:asciiTheme="minorHAnsi" w:hAnsiTheme="minorHAnsi"/>
                <w:b/>
                <w:sz w:val="22"/>
                <w:szCs w:val="22"/>
              </w:rPr>
              <w:t>600 hours</w:t>
            </w:r>
          </w:p>
        </w:tc>
      </w:tr>
    </w:tbl>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b/>
          <w:sz w:val="22"/>
          <w:szCs w:val="22"/>
        </w:rPr>
      </w:pPr>
      <w:r>
        <w:rPr>
          <w:rFonts w:asciiTheme="minorHAnsi" w:hAnsiTheme="minorHAnsi"/>
          <w:b/>
          <w:sz w:val="22"/>
          <w:szCs w:val="22"/>
        </w:rPr>
        <w:br w:type="page"/>
      </w:r>
      <w:r w:rsidRPr="0036184C">
        <w:rPr>
          <w:rFonts w:asciiTheme="minorHAnsi" w:hAnsiTheme="minorHAnsi"/>
          <w:b/>
          <w:sz w:val="22"/>
          <w:szCs w:val="22"/>
        </w:rPr>
        <w:lastRenderedPageBreak/>
        <w:t>Supporting Documentation for NIEHS Change Request</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cs="Arial"/>
          <w:color w:val="000000"/>
          <w:sz w:val="22"/>
          <w:szCs w:val="22"/>
        </w:rPr>
      </w:pPr>
      <w:r w:rsidRPr="0036184C">
        <w:rPr>
          <w:rFonts w:asciiTheme="minorHAnsi" w:hAnsiTheme="minorHAnsi"/>
          <w:sz w:val="22"/>
          <w:szCs w:val="22"/>
        </w:rPr>
        <w:t xml:space="preserve">We would like to request a change to the NIEHS Division of Extramural Research and Training (DERT) Extramural Grantee Data Collection (OMB Control #: 0925-0657, Expiration Date: 06/30/2015). </w:t>
      </w:r>
      <w:r w:rsidRPr="0036184C">
        <w:rPr>
          <w:rFonts w:asciiTheme="minorHAnsi" w:hAnsiTheme="minorHAnsi" w:cs="Arial"/>
          <w:color w:val="000000"/>
          <w:sz w:val="22"/>
          <w:szCs w:val="22"/>
        </w:rPr>
        <w:t xml:space="preserve">Upon reviewing the survey other institutes have determined that the survey could also easily be used with their own grantees. NIEHS currently has approval to use the survey through June 2015. In an effort to minimize duplication and increase efficiency across the National Institutes of Health (NIH), we would like to </w:t>
      </w:r>
      <w:r w:rsidR="003455FC">
        <w:rPr>
          <w:rFonts w:asciiTheme="minorHAnsi" w:hAnsiTheme="minorHAnsi" w:cs="Arial"/>
          <w:color w:val="000000"/>
          <w:sz w:val="22"/>
          <w:szCs w:val="22"/>
        </w:rPr>
        <w:t>request that the</w:t>
      </w:r>
      <w:r w:rsidRPr="0036184C">
        <w:rPr>
          <w:rFonts w:asciiTheme="minorHAnsi" w:hAnsiTheme="minorHAnsi"/>
          <w:sz w:val="22"/>
          <w:szCs w:val="22"/>
        </w:rPr>
        <w:t xml:space="preserve"> NIEHS DERT clearance include the following NIH Institutes for the last year of the OMB clearance (June 2014-June 2015):</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i/>
          <w:color w:val="000000"/>
        </w:rPr>
        <w:t>Eunice Kennedy Shriver</w:t>
      </w:r>
      <w:r w:rsidRPr="0036184C">
        <w:rPr>
          <w:rFonts w:asciiTheme="minorHAnsi" w:hAnsiTheme="minorHAnsi" w:cs="Arial"/>
          <w:color w:val="000000"/>
        </w:rPr>
        <w:t xml:space="preserve"> National Institute of Child Health and Human Development (NICHD);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 xml:space="preserve">National Institute on Deafness and Other Communication Disorders (NIDCD);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 xml:space="preserve">National Institute of Mental Health (NIMH); </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National Institute of Neurological Disorders and Stroke (NINDS); and</w:t>
      </w:r>
    </w:p>
    <w:p w:rsidR="0036184C" w:rsidRPr="0036184C" w:rsidRDefault="0036184C" w:rsidP="0036184C">
      <w:pPr>
        <w:pStyle w:val="ListParagraph"/>
        <w:numPr>
          <w:ilvl w:val="0"/>
          <w:numId w:val="7"/>
        </w:numPr>
        <w:spacing w:after="0" w:line="240" w:lineRule="auto"/>
        <w:rPr>
          <w:rFonts w:asciiTheme="minorHAnsi" w:hAnsiTheme="minorHAnsi" w:cs="Arial"/>
          <w:color w:val="000000"/>
        </w:rPr>
      </w:pPr>
      <w:r w:rsidRPr="0036184C">
        <w:rPr>
          <w:rFonts w:asciiTheme="minorHAnsi" w:hAnsiTheme="minorHAnsi" w:cs="Arial"/>
          <w:color w:val="000000"/>
        </w:rPr>
        <w:t>National Cancer Institute (NCI).</w:t>
      </w:r>
    </w:p>
    <w:p w:rsidR="0036184C" w:rsidRPr="0036184C" w:rsidRDefault="0036184C" w:rsidP="0036184C">
      <w:pPr>
        <w:ind w:left="360"/>
        <w:rPr>
          <w:rFonts w:asciiTheme="minorHAnsi" w:hAnsiTheme="minorHAnsi" w:cs="Arial"/>
          <w:color w:val="000000"/>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cs="Arial"/>
          <w:color w:val="000000"/>
          <w:sz w:val="22"/>
          <w:szCs w:val="22"/>
        </w:rPr>
        <w:t>A goal of the NIH is to exemplify and promo</w:t>
      </w:r>
      <w:r w:rsidRPr="0036184C">
        <w:rPr>
          <w:rFonts w:asciiTheme="minorHAnsi" w:hAnsiTheme="minorHAnsi"/>
          <w:sz w:val="22"/>
          <w:szCs w:val="22"/>
        </w:rPr>
        <w:t>te the highest level of scientific integrity, public accountability, and social responsibility in the conduct of science.  To achieve this goal, the NIH assesses its extramural research programs in a consistent and systematic manner to make informed decisions about its research programs and to determine grantees’ satisfaction with procedures and initiatives.  The NIEHS DERT instrument is an ideal tool to assist the NIH in its research program assessments.  The above Institutes propose using the NIEHS DERT instrument for individual Institute research program assessment needs, with the same intended purpose and use as stated in all sections of the clearance.  All Institutes agree to use the instrument in a manner consistent with the clearance’s Supporting Statements A and B.  Provided below are brief descriptions of how each Institute will use the survey:</w:t>
      </w:r>
    </w:p>
    <w:p w:rsidR="0036184C" w:rsidRPr="0036184C" w:rsidRDefault="0036184C" w:rsidP="0036184C">
      <w:pPr>
        <w:ind w:left="360"/>
        <w:rPr>
          <w:rFonts w:asciiTheme="minorHAnsi" w:hAnsiTheme="minorHAnsi"/>
          <w:sz w:val="22"/>
          <w:szCs w:val="22"/>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rPr>
        <w:t>NICHD:</w:t>
      </w:r>
      <w:r w:rsidRPr="0036184C">
        <w:rPr>
          <w:rFonts w:asciiTheme="minorHAnsi" w:hAnsiTheme="minorHAnsi"/>
        </w:rPr>
        <w:t xml:space="preserve">  </w:t>
      </w:r>
      <w:r w:rsidRPr="0036184C">
        <w:rPr>
          <w:rFonts w:asciiTheme="minorHAnsi" w:hAnsiTheme="minorHAnsi" w:cs="DIGNJA+TimesNewRoman"/>
        </w:rPr>
        <w:t xml:space="preserve">The NICHD conducts and supports scientific research and research training surrounding the many factors that protect and enhance the processes of human growth and development, and medical rehabilitation.  The NICHD intends to use the NIEHS DERT instrument primarily to assess its multisite Center and Network programs such as the Autism Centers of Excellence and the </w:t>
      </w:r>
      <w:r w:rsidRPr="0036184C">
        <w:rPr>
          <w:rFonts w:asciiTheme="minorHAnsi" w:hAnsiTheme="minorHAnsi" w:cs="Arial"/>
        </w:rPr>
        <w:t>Medical Rehabilitation Research Infrastructure Network</w:t>
      </w:r>
      <w:r w:rsidRPr="0036184C">
        <w:rPr>
          <w:rFonts w:asciiTheme="minorHAnsi" w:hAnsiTheme="minorHAnsi" w:cs="DIGNJA+TimesNewRoman"/>
        </w:rPr>
        <w:t>.  Data collected using the NIEHS DERT instrument will be used to support program planning/management, to inform program decisions, to assess grantee satisfaction with programs and initiatives, to modify/improve processes, and to report on the activities and outcomes of NICHD grantees.</w:t>
      </w:r>
    </w:p>
    <w:p w:rsidR="0036184C" w:rsidRPr="0036184C" w:rsidRDefault="0036184C" w:rsidP="0036184C">
      <w:pPr>
        <w:rPr>
          <w:rFonts w:asciiTheme="minorHAnsi" w:hAnsiTheme="minorHAnsi"/>
          <w:sz w:val="22"/>
          <w:szCs w:val="22"/>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rPr>
        <w:t>NIDCD</w:t>
      </w:r>
      <w:r w:rsidRPr="0036184C">
        <w:rPr>
          <w:rFonts w:asciiTheme="minorHAnsi" w:hAnsiTheme="minorHAnsi"/>
        </w:rPr>
        <w:t xml:space="preserve">:  </w:t>
      </w:r>
      <w:r w:rsidRPr="0036184C">
        <w:rPr>
          <w:rFonts w:asciiTheme="minorHAnsi" w:hAnsiTheme="minorHAnsi"/>
          <w:color w:val="000000"/>
        </w:rPr>
        <w:t xml:space="preserve">The National Institute on Deafness and Other Communication Disorders (NIDCD) is responsible for sponsoring and conducting research, training, and education related to the normal and disordered processes of hearing, balance, taste, smell, voice, speech, and language. The NIDCD hopes to use this data collection tool to aid us in evaluating NIDCD’s scientific and training programs (such as the Autism Centers for Excellence, which we co-fund), public outreach campaigns (such as Noisy Planet), and determine how to improve our knowledge of the prevalence and burden of communication disorders. </w:t>
      </w:r>
    </w:p>
    <w:p w:rsidR="0036184C" w:rsidRPr="0036184C" w:rsidRDefault="0036184C" w:rsidP="0036184C">
      <w:pPr>
        <w:rPr>
          <w:rFonts w:asciiTheme="minorHAnsi" w:hAnsiTheme="minorHAnsi"/>
          <w:sz w:val="22"/>
          <w:szCs w:val="22"/>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rPr>
        <w:t>NIMH</w:t>
      </w:r>
      <w:r w:rsidRPr="0036184C">
        <w:rPr>
          <w:rFonts w:asciiTheme="minorHAnsi" w:hAnsiTheme="minorHAnsi"/>
        </w:rPr>
        <w:t>:</w:t>
      </w:r>
      <w:r w:rsidRPr="0036184C">
        <w:rPr>
          <w:rFonts w:asciiTheme="minorHAnsi" w:hAnsiTheme="minorHAnsi"/>
          <w:b/>
        </w:rPr>
        <w:t xml:space="preserve"> </w:t>
      </w:r>
      <w:r w:rsidRPr="0036184C">
        <w:rPr>
          <w:rFonts w:asciiTheme="minorHAnsi" w:hAnsiTheme="minorHAnsi"/>
          <w:lang w:val="en"/>
        </w:rPr>
        <w:t xml:space="preserve">The mission of NIMH is to transform the understanding and treatment of mental illnesses through basic and clinical research, paving the way for prevention, recovery and cure.  NIMH intends to use the NIEHS DERT as a data collection tool to support program planning and management, to evaluate NIMH scientific programs (such as the Autism Centers for Excellence, which we co-fund), communication, and outreach activities; to inform program and data driven </w:t>
      </w:r>
      <w:r w:rsidRPr="0036184C">
        <w:rPr>
          <w:rFonts w:asciiTheme="minorHAnsi" w:hAnsiTheme="minorHAnsi"/>
          <w:lang w:val="en"/>
        </w:rPr>
        <w:lastRenderedPageBreak/>
        <w:t xml:space="preserve">business decisions; to enhance knowledge and improve processes; and to report on programmatic activities and outcomes of NIMH grantees.  </w:t>
      </w:r>
    </w:p>
    <w:p w:rsidR="0036184C" w:rsidRPr="0036184C" w:rsidRDefault="0036184C" w:rsidP="0036184C">
      <w:pPr>
        <w:pStyle w:val="ListParagraph"/>
        <w:rPr>
          <w:rFonts w:asciiTheme="minorHAnsi" w:hAnsiTheme="minorHAnsi"/>
          <w:b/>
          <w:bCs/>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bCs/>
        </w:rPr>
        <w:t xml:space="preserve">NINDS:  </w:t>
      </w:r>
      <w:r w:rsidRPr="0036184C">
        <w:rPr>
          <w:rFonts w:asciiTheme="minorHAnsi" w:hAnsiTheme="minorHAnsi"/>
        </w:rPr>
        <w:t xml:space="preserve">The mission of the NINDS is to </w:t>
      </w:r>
      <w:r w:rsidRPr="0036184C">
        <w:rPr>
          <w:rFonts w:asciiTheme="minorHAnsi" w:hAnsiTheme="minorHAnsi"/>
          <w:lang w:val="en"/>
        </w:rPr>
        <w:t xml:space="preserve">seek fundamental knowledge about the brain and nervous system and to use that knowledge to reduce the burden of neurological disease.  The </w:t>
      </w:r>
      <w:r w:rsidRPr="0036184C">
        <w:rPr>
          <w:rFonts w:asciiTheme="minorHAnsi" w:hAnsiTheme="minorHAnsi"/>
        </w:rPr>
        <w:t xml:space="preserve">largest portion of the NINDS budget represents grants and contracts for basic, translational, and clinical research and research training at universities, hospitals, businesses, and organizations.  NINDS intends to use the NIEHS DERT instrument to assess awardee experiences and satisfaction with various NINDS initiatives, to help determine the impact of NINDS programs and policies on neuroscience research, and to inform effective program planning and management.  Data collected through the survey instrument may also be used to report on research outcomes resulting from NINDS-funded grants and programs (such as the Autism Centers for Excellence, which we co-fund).  </w:t>
      </w:r>
    </w:p>
    <w:p w:rsidR="0036184C" w:rsidRPr="0036184C" w:rsidRDefault="0036184C" w:rsidP="0036184C">
      <w:pPr>
        <w:pStyle w:val="ListParagraph"/>
        <w:rPr>
          <w:rFonts w:asciiTheme="minorHAnsi" w:hAnsiTheme="minorHAnsi"/>
        </w:rPr>
      </w:pPr>
    </w:p>
    <w:p w:rsidR="0036184C" w:rsidRPr="0036184C" w:rsidRDefault="0036184C" w:rsidP="0036184C">
      <w:pPr>
        <w:pStyle w:val="ListParagraph"/>
        <w:numPr>
          <w:ilvl w:val="0"/>
          <w:numId w:val="9"/>
        </w:numPr>
        <w:spacing w:after="0" w:line="240" w:lineRule="auto"/>
        <w:rPr>
          <w:rFonts w:asciiTheme="minorHAnsi" w:hAnsiTheme="minorHAnsi"/>
        </w:rPr>
      </w:pPr>
      <w:r w:rsidRPr="0036184C">
        <w:rPr>
          <w:rFonts w:asciiTheme="minorHAnsi" w:hAnsiTheme="minorHAnsi"/>
          <w:b/>
        </w:rPr>
        <w:t>NCI</w:t>
      </w:r>
      <w:r w:rsidRPr="0036184C">
        <w:rPr>
          <w:rFonts w:asciiTheme="minorHAnsi" w:hAnsiTheme="minorHAnsi"/>
        </w:rPr>
        <w:t>:  The National Cancer Institute conducts and supports research, training, health information dissemination, and other programs with respect to the cause, diagnosis, prevention, and treatment of cancer, rehabilitation from cancer, and the continuing care of cancer patients and the families of cancer patients.   Specific programs have expressed interest in collecting additional information related to the grantees’ contributions, outcomes and collaborations.  This submission is inclusive in surveying grantees who are currently receiving funding or who have received funding in the past.  This is important because often contributions occur after the period of development supported by research grants.  All information would significantly contribute towards improved program management at NCI.</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 xml:space="preserve">Overall, we anticipate this change request will provide each participating Institute with important information on the its extramural research and training grant awardees, the impact of its research programs, and valuable information to make informed future program decisions.  </w:t>
      </w:r>
    </w:p>
    <w:p w:rsidR="0036184C" w:rsidRPr="0036184C" w:rsidRDefault="0036184C" w:rsidP="0036184C">
      <w:pPr>
        <w:rPr>
          <w:rFonts w:asciiTheme="minorHAnsi" w:hAnsiTheme="minorHAnsi"/>
          <w:sz w:val="22"/>
          <w:szCs w:val="22"/>
        </w:rPr>
      </w:pPr>
    </w:p>
    <w:p w:rsidR="0036184C" w:rsidRPr="0036184C" w:rsidRDefault="0036184C" w:rsidP="0036184C">
      <w:pPr>
        <w:rPr>
          <w:rFonts w:asciiTheme="minorHAnsi" w:hAnsiTheme="minorHAnsi"/>
          <w:sz w:val="22"/>
          <w:szCs w:val="22"/>
        </w:rPr>
      </w:pPr>
      <w:r w:rsidRPr="0036184C">
        <w:rPr>
          <w:rFonts w:asciiTheme="minorHAnsi" w:hAnsiTheme="minorHAnsi"/>
          <w:sz w:val="22"/>
          <w:szCs w:val="22"/>
        </w:rPr>
        <w:t xml:space="preserve">Please let us know if you have any questions or need additional information regarding this Request for Change to the NIEHS DERT Extramural Data Collection. </w:t>
      </w:r>
    </w:p>
    <w:p w:rsidR="0036184C" w:rsidRPr="0036184C" w:rsidRDefault="0036184C" w:rsidP="0036184C">
      <w:pPr>
        <w:rPr>
          <w:rFonts w:asciiTheme="minorHAnsi" w:hAnsiTheme="minorHAnsi"/>
          <w:sz w:val="22"/>
          <w:szCs w:val="22"/>
        </w:rPr>
      </w:pPr>
    </w:p>
    <w:p w:rsidR="00F011C2" w:rsidRPr="0036184C" w:rsidRDefault="00F011C2" w:rsidP="0036184C">
      <w:pPr>
        <w:tabs>
          <w:tab w:val="left" w:pos="5520"/>
        </w:tabs>
        <w:rPr>
          <w:rFonts w:asciiTheme="minorHAnsi" w:hAnsiTheme="minorHAnsi"/>
          <w:sz w:val="22"/>
          <w:szCs w:val="22"/>
        </w:rPr>
      </w:pPr>
    </w:p>
    <w:sectPr w:rsidR="00F011C2" w:rsidRPr="0036184C" w:rsidSect="000D6B5C">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CC" w:rsidRDefault="007210CC" w:rsidP="00780605">
      <w:r>
        <w:separator/>
      </w:r>
    </w:p>
  </w:endnote>
  <w:endnote w:type="continuationSeparator" w:id="0">
    <w:p w:rsidR="007210CC" w:rsidRDefault="007210CC" w:rsidP="0078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GNJA+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CC" w:rsidRDefault="007210CC" w:rsidP="00780605">
      <w:r>
        <w:separator/>
      </w:r>
    </w:p>
  </w:footnote>
  <w:footnote w:type="continuationSeparator" w:id="0">
    <w:p w:rsidR="007210CC" w:rsidRDefault="007210CC" w:rsidP="00780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060F3"/>
    <w:multiLevelType w:val="singleLevel"/>
    <w:tmpl w:val="3BB02290"/>
    <w:lvl w:ilvl="0">
      <w:start w:val="1"/>
      <w:numFmt w:val="decimal"/>
      <w:lvlText w:val="%1."/>
      <w:lvlJc w:val="left"/>
      <w:pPr>
        <w:tabs>
          <w:tab w:val="num" w:pos="480"/>
        </w:tabs>
        <w:ind w:left="480" w:hanging="480"/>
      </w:pPr>
      <w:rPr>
        <w:rFonts w:hint="default"/>
      </w:rPr>
    </w:lvl>
  </w:abstractNum>
  <w:abstractNum w:abstractNumId="1">
    <w:nsid w:val="3FE16596"/>
    <w:multiLevelType w:val="singleLevel"/>
    <w:tmpl w:val="0409000F"/>
    <w:lvl w:ilvl="0">
      <w:start w:val="1"/>
      <w:numFmt w:val="decimal"/>
      <w:lvlText w:val="%1."/>
      <w:lvlJc w:val="left"/>
      <w:pPr>
        <w:tabs>
          <w:tab w:val="num" w:pos="360"/>
        </w:tabs>
        <w:ind w:left="360" w:hanging="360"/>
      </w:pPr>
    </w:lvl>
  </w:abstractNum>
  <w:abstractNum w:abstractNumId="2">
    <w:nsid w:val="45B503FC"/>
    <w:multiLevelType w:val="hybridMultilevel"/>
    <w:tmpl w:val="FBA8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64DCF"/>
    <w:multiLevelType w:val="hybridMultilevel"/>
    <w:tmpl w:val="87A8D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9D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208334A"/>
    <w:multiLevelType w:val="hybridMultilevel"/>
    <w:tmpl w:val="C104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892C19"/>
    <w:multiLevelType w:val="hybridMultilevel"/>
    <w:tmpl w:val="D2AE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9E4E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9422FF4"/>
    <w:multiLevelType w:val="hybridMultilevel"/>
    <w:tmpl w:val="26480B32"/>
    <w:lvl w:ilvl="0" w:tplc="11844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8"/>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26"/>
    <w:rsid w:val="000060CF"/>
    <w:rsid w:val="000105A0"/>
    <w:rsid w:val="0003412F"/>
    <w:rsid w:val="00056AC9"/>
    <w:rsid w:val="000D6B5C"/>
    <w:rsid w:val="00120DD2"/>
    <w:rsid w:val="00125A54"/>
    <w:rsid w:val="0016779E"/>
    <w:rsid w:val="001911B7"/>
    <w:rsid w:val="001D5276"/>
    <w:rsid w:val="00227A5F"/>
    <w:rsid w:val="0028656C"/>
    <w:rsid w:val="002B5F77"/>
    <w:rsid w:val="002F1187"/>
    <w:rsid w:val="0030686B"/>
    <w:rsid w:val="003455FC"/>
    <w:rsid w:val="0036184C"/>
    <w:rsid w:val="00385939"/>
    <w:rsid w:val="00385CD5"/>
    <w:rsid w:val="003F30F7"/>
    <w:rsid w:val="00465117"/>
    <w:rsid w:val="00484A42"/>
    <w:rsid w:val="004B0798"/>
    <w:rsid w:val="00557F13"/>
    <w:rsid w:val="00597CFE"/>
    <w:rsid w:val="005D26F5"/>
    <w:rsid w:val="005D440F"/>
    <w:rsid w:val="005F3326"/>
    <w:rsid w:val="00650497"/>
    <w:rsid w:val="00652301"/>
    <w:rsid w:val="006A6987"/>
    <w:rsid w:val="006B252D"/>
    <w:rsid w:val="006F5E8C"/>
    <w:rsid w:val="007210CC"/>
    <w:rsid w:val="00763E47"/>
    <w:rsid w:val="00780605"/>
    <w:rsid w:val="008263FA"/>
    <w:rsid w:val="00855E9F"/>
    <w:rsid w:val="008A23A0"/>
    <w:rsid w:val="008A79C9"/>
    <w:rsid w:val="00987577"/>
    <w:rsid w:val="00A14924"/>
    <w:rsid w:val="00A47076"/>
    <w:rsid w:val="00A60BDC"/>
    <w:rsid w:val="00AD6023"/>
    <w:rsid w:val="00AE623F"/>
    <w:rsid w:val="00AF6009"/>
    <w:rsid w:val="00B80B48"/>
    <w:rsid w:val="00BA10F5"/>
    <w:rsid w:val="00BC2E4E"/>
    <w:rsid w:val="00C02649"/>
    <w:rsid w:val="00CC72FC"/>
    <w:rsid w:val="00D24C7A"/>
    <w:rsid w:val="00E100EA"/>
    <w:rsid w:val="00F011C2"/>
    <w:rsid w:val="00F755C2"/>
    <w:rsid w:val="00F95F71"/>
    <w:rsid w:val="00FE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2">
    <w:name w:val="heading 2"/>
    <w:basedOn w:val="Normal"/>
    <w:next w:val="Normal"/>
    <w:qFormat/>
    <w:rsid w:val="00D24C7A"/>
    <w:pPr>
      <w:keepNext/>
      <w:tabs>
        <w:tab w:val="left" w:pos="-1440"/>
        <w:tab w:val="left" w:pos="-720"/>
        <w:tab w:val="left" w:pos="0"/>
        <w:tab w:val="left" w:pos="432"/>
        <w:tab w:val="left" w:pos="864"/>
        <w:tab w:val="left" w:pos="1296"/>
        <w:tab w:val="left" w:pos="1728"/>
        <w:tab w:val="left" w:pos="2160"/>
        <w:tab w:val="left" w:pos="2592"/>
        <w:tab w:val="left" w:pos="3024"/>
        <w:tab w:val="left" w:pos="315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10080"/>
      </w:tabs>
      <w:outlineLvl w:val="1"/>
    </w:pPr>
    <w:rPr>
      <w:rFonts w:ascii="Arial" w:hAnsi="Arial" w:cs="Arial"/>
      <w:b/>
      <w:bCs/>
    </w:rPr>
  </w:style>
  <w:style w:type="paragraph" w:styleId="Heading3">
    <w:name w:val="heading 3"/>
    <w:basedOn w:val="Normal"/>
    <w:next w:val="Normal"/>
    <w:qFormat/>
    <w:rsid w:val="00D24C7A"/>
    <w:pPr>
      <w:keepNext/>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Book Antiqua" w:hAnsi="Book Antiqua"/>
      <w:b/>
      <w:snapToGrid/>
      <w:sz w:val="22"/>
    </w:rPr>
  </w:style>
  <w:style w:type="paragraph" w:styleId="Heading4">
    <w:name w:val="heading 4"/>
    <w:basedOn w:val="Normal"/>
    <w:next w:val="Normal"/>
    <w:qFormat/>
    <w:rsid w:val="00D24C7A"/>
    <w:pPr>
      <w:keepNext/>
      <w:widowControl/>
      <w:tabs>
        <w:tab w:val="left" w:pos="0"/>
        <w:tab w:val="left" w:pos="4248"/>
        <w:tab w:val="left" w:pos="4320"/>
      </w:tabs>
      <w:suppressAutoHyphens/>
      <w:spacing w:line="240" w:lineRule="atLeast"/>
      <w:jc w:val="center"/>
      <w:outlineLvl w:val="3"/>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Header">
    <w:name w:val="header"/>
    <w:basedOn w:val="Normal"/>
    <w:rsid w:val="00D24C7A"/>
    <w:pPr>
      <w:widowControl/>
      <w:tabs>
        <w:tab w:val="center" w:pos="4320"/>
        <w:tab w:val="right" w:pos="8640"/>
      </w:tabs>
    </w:pPr>
    <w:rPr>
      <w:rFonts w:ascii="Times New Roman" w:hAnsi="Times New Roman"/>
      <w:snapToGrid/>
      <w:sz w:val="20"/>
    </w:rPr>
  </w:style>
  <w:style w:type="paragraph" w:styleId="BodyText2">
    <w:name w:val="Body Text 2"/>
    <w:basedOn w:val="Normal"/>
    <w:rsid w:val="00D24C7A"/>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pPr>
    <w:rPr>
      <w:rFonts w:ascii="Book Antiqua" w:hAnsi="Book Antiqua"/>
      <w:snapToGrid/>
      <w:sz w:val="22"/>
    </w:rPr>
  </w:style>
  <w:style w:type="paragraph" w:styleId="BodyTextIndent">
    <w:name w:val="Body Text Indent"/>
    <w:basedOn w:val="Normal"/>
    <w:rsid w:val="00D24C7A"/>
    <w:pPr>
      <w:widowControl/>
      <w:ind w:left="720"/>
    </w:pPr>
    <w:rPr>
      <w:rFonts w:ascii="Times New Roman" w:hAnsi="Times New Roman"/>
      <w:snapToGrid/>
    </w:rPr>
  </w:style>
  <w:style w:type="paragraph" w:styleId="Footer">
    <w:name w:val="footer"/>
    <w:basedOn w:val="Normal"/>
    <w:link w:val="FooterChar"/>
    <w:uiPriority w:val="99"/>
    <w:rsid w:val="00D24C7A"/>
    <w:pPr>
      <w:tabs>
        <w:tab w:val="center" w:pos="4320"/>
        <w:tab w:val="right" w:pos="8640"/>
      </w:tabs>
    </w:pPr>
  </w:style>
  <w:style w:type="paragraph" w:styleId="NormalWeb">
    <w:name w:val="Normal (Web)"/>
    <w:basedOn w:val="Normal"/>
    <w:rsid w:val="00D24C7A"/>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80605"/>
    <w:pPr>
      <w:widowControl/>
      <w:spacing w:after="200" w:line="276" w:lineRule="auto"/>
      <w:ind w:left="720"/>
      <w:contextualSpacing/>
    </w:pPr>
    <w:rPr>
      <w:rFonts w:ascii="Calibri" w:eastAsia="Calibri" w:hAnsi="Calibri"/>
      <w:snapToGrid/>
      <w:sz w:val="22"/>
      <w:szCs w:val="22"/>
    </w:rPr>
  </w:style>
  <w:style w:type="character" w:customStyle="1" w:styleId="FooterChar">
    <w:name w:val="Footer Char"/>
    <w:link w:val="Footer"/>
    <w:uiPriority w:val="99"/>
    <w:rsid w:val="00780605"/>
    <w:rPr>
      <w:rFonts w:ascii="Courier New" w:hAnsi="Courier New"/>
      <w:snapToGrid w:val="0"/>
      <w:sz w:val="24"/>
    </w:rPr>
  </w:style>
  <w:style w:type="paragraph" w:styleId="BalloonText">
    <w:name w:val="Balloon Text"/>
    <w:basedOn w:val="Normal"/>
    <w:link w:val="BalloonTextChar"/>
    <w:rsid w:val="002B5F77"/>
    <w:rPr>
      <w:rFonts w:ascii="Tahoma" w:hAnsi="Tahoma" w:cs="Tahoma"/>
      <w:sz w:val="16"/>
      <w:szCs w:val="16"/>
    </w:rPr>
  </w:style>
  <w:style w:type="character" w:customStyle="1" w:styleId="BalloonTextChar">
    <w:name w:val="Balloon Text Char"/>
    <w:link w:val="BalloonText"/>
    <w:rsid w:val="002B5F77"/>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2">
    <w:name w:val="heading 2"/>
    <w:basedOn w:val="Normal"/>
    <w:next w:val="Normal"/>
    <w:qFormat/>
    <w:rsid w:val="00D24C7A"/>
    <w:pPr>
      <w:keepNext/>
      <w:tabs>
        <w:tab w:val="left" w:pos="-1440"/>
        <w:tab w:val="left" w:pos="-720"/>
        <w:tab w:val="left" w:pos="0"/>
        <w:tab w:val="left" w:pos="432"/>
        <w:tab w:val="left" w:pos="864"/>
        <w:tab w:val="left" w:pos="1296"/>
        <w:tab w:val="left" w:pos="1728"/>
        <w:tab w:val="left" w:pos="2160"/>
        <w:tab w:val="left" w:pos="2592"/>
        <w:tab w:val="left" w:pos="3024"/>
        <w:tab w:val="left" w:pos="315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10080"/>
      </w:tabs>
      <w:outlineLvl w:val="1"/>
    </w:pPr>
    <w:rPr>
      <w:rFonts w:ascii="Arial" w:hAnsi="Arial" w:cs="Arial"/>
      <w:b/>
      <w:bCs/>
    </w:rPr>
  </w:style>
  <w:style w:type="paragraph" w:styleId="Heading3">
    <w:name w:val="heading 3"/>
    <w:basedOn w:val="Normal"/>
    <w:next w:val="Normal"/>
    <w:qFormat/>
    <w:rsid w:val="00D24C7A"/>
    <w:pPr>
      <w:keepNext/>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Book Antiqua" w:hAnsi="Book Antiqua"/>
      <w:b/>
      <w:snapToGrid/>
      <w:sz w:val="22"/>
    </w:rPr>
  </w:style>
  <w:style w:type="paragraph" w:styleId="Heading4">
    <w:name w:val="heading 4"/>
    <w:basedOn w:val="Normal"/>
    <w:next w:val="Normal"/>
    <w:qFormat/>
    <w:rsid w:val="00D24C7A"/>
    <w:pPr>
      <w:keepNext/>
      <w:widowControl/>
      <w:tabs>
        <w:tab w:val="left" w:pos="0"/>
        <w:tab w:val="left" w:pos="4248"/>
        <w:tab w:val="left" w:pos="4320"/>
      </w:tabs>
      <w:suppressAutoHyphens/>
      <w:spacing w:line="240" w:lineRule="atLeast"/>
      <w:jc w:val="center"/>
      <w:outlineLvl w:val="3"/>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Header">
    <w:name w:val="header"/>
    <w:basedOn w:val="Normal"/>
    <w:rsid w:val="00D24C7A"/>
    <w:pPr>
      <w:widowControl/>
      <w:tabs>
        <w:tab w:val="center" w:pos="4320"/>
        <w:tab w:val="right" w:pos="8640"/>
      </w:tabs>
    </w:pPr>
    <w:rPr>
      <w:rFonts w:ascii="Times New Roman" w:hAnsi="Times New Roman"/>
      <w:snapToGrid/>
      <w:sz w:val="20"/>
    </w:rPr>
  </w:style>
  <w:style w:type="paragraph" w:styleId="BodyText2">
    <w:name w:val="Body Text 2"/>
    <w:basedOn w:val="Normal"/>
    <w:rsid w:val="00D24C7A"/>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pPr>
    <w:rPr>
      <w:rFonts w:ascii="Book Antiqua" w:hAnsi="Book Antiqua"/>
      <w:snapToGrid/>
      <w:sz w:val="22"/>
    </w:rPr>
  </w:style>
  <w:style w:type="paragraph" w:styleId="BodyTextIndent">
    <w:name w:val="Body Text Indent"/>
    <w:basedOn w:val="Normal"/>
    <w:rsid w:val="00D24C7A"/>
    <w:pPr>
      <w:widowControl/>
      <w:ind w:left="720"/>
    </w:pPr>
    <w:rPr>
      <w:rFonts w:ascii="Times New Roman" w:hAnsi="Times New Roman"/>
      <w:snapToGrid/>
    </w:rPr>
  </w:style>
  <w:style w:type="paragraph" w:styleId="Footer">
    <w:name w:val="footer"/>
    <w:basedOn w:val="Normal"/>
    <w:link w:val="FooterChar"/>
    <w:uiPriority w:val="99"/>
    <w:rsid w:val="00D24C7A"/>
    <w:pPr>
      <w:tabs>
        <w:tab w:val="center" w:pos="4320"/>
        <w:tab w:val="right" w:pos="8640"/>
      </w:tabs>
    </w:pPr>
  </w:style>
  <w:style w:type="paragraph" w:styleId="NormalWeb">
    <w:name w:val="Normal (Web)"/>
    <w:basedOn w:val="Normal"/>
    <w:rsid w:val="00D24C7A"/>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80605"/>
    <w:pPr>
      <w:widowControl/>
      <w:spacing w:after="200" w:line="276" w:lineRule="auto"/>
      <w:ind w:left="720"/>
      <w:contextualSpacing/>
    </w:pPr>
    <w:rPr>
      <w:rFonts w:ascii="Calibri" w:eastAsia="Calibri" w:hAnsi="Calibri"/>
      <w:snapToGrid/>
      <w:sz w:val="22"/>
      <w:szCs w:val="22"/>
    </w:rPr>
  </w:style>
  <w:style w:type="character" w:customStyle="1" w:styleId="FooterChar">
    <w:name w:val="Footer Char"/>
    <w:link w:val="Footer"/>
    <w:uiPriority w:val="99"/>
    <w:rsid w:val="00780605"/>
    <w:rPr>
      <w:rFonts w:ascii="Courier New" w:hAnsi="Courier New"/>
      <w:snapToGrid w:val="0"/>
      <w:sz w:val="24"/>
    </w:rPr>
  </w:style>
  <w:style w:type="paragraph" w:styleId="BalloonText">
    <w:name w:val="Balloon Text"/>
    <w:basedOn w:val="Normal"/>
    <w:link w:val="BalloonTextChar"/>
    <w:rsid w:val="002B5F77"/>
    <w:rPr>
      <w:rFonts w:ascii="Tahoma" w:hAnsi="Tahoma" w:cs="Tahoma"/>
      <w:sz w:val="16"/>
      <w:szCs w:val="16"/>
    </w:rPr>
  </w:style>
  <w:style w:type="character" w:customStyle="1" w:styleId="BalloonTextChar">
    <w:name w:val="Balloon Text Char"/>
    <w:link w:val="BalloonText"/>
    <w:rsid w:val="002B5F7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7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6408C-98BF-4E70-AD95-DE527ACE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1183</Words>
  <Characters>6935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Alterman</dc:creator>
  <cp:lastModifiedBy>Perryman, Seleda</cp:lastModifiedBy>
  <cp:revision>2</cp:revision>
  <cp:lastPrinted>2011-09-12T13:19:00Z</cp:lastPrinted>
  <dcterms:created xsi:type="dcterms:W3CDTF">2014-06-16T14:44:00Z</dcterms:created>
  <dcterms:modified xsi:type="dcterms:W3CDTF">2014-06-16T14:44:00Z</dcterms:modified>
</cp:coreProperties>
</file>