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488" w:rsidRPr="00B41312" w:rsidRDefault="00EB0488" w:rsidP="00B41312">
      <w:pPr>
        <w:pStyle w:val="Default"/>
        <w:jc w:val="center"/>
      </w:pPr>
      <w:bookmarkStart w:id="0" w:name="_GoBack"/>
      <w:bookmarkEnd w:id="0"/>
      <w:r w:rsidRPr="00B41312">
        <w:rPr>
          <w:bCs/>
        </w:rPr>
        <w:t xml:space="preserve">Supporting Statement </w:t>
      </w:r>
      <w:r w:rsidR="00B41312" w:rsidRPr="00B41312">
        <w:rPr>
          <w:bCs/>
        </w:rPr>
        <w:t>Part A</w:t>
      </w:r>
    </w:p>
    <w:p w:rsidR="00B41312" w:rsidRDefault="00EB0488" w:rsidP="00B41312">
      <w:pPr>
        <w:pStyle w:val="Default"/>
        <w:jc w:val="center"/>
        <w:rPr>
          <w:bCs/>
        </w:rPr>
      </w:pPr>
      <w:r w:rsidRPr="00B41312">
        <w:rPr>
          <w:bCs/>
        </w:rPr>
        <w:t>Medicare Advantage Chronic Care Improvement Program (CCIP)</w:t>
      </w:r>
      <w:r w:rsidR="00B41312">
        <w:rPr>
          <w:bCs/>
        </w:rPr>
        <w:t xml:space="preserve"> and</w:t>
      </w:r>
    </w:p>
    <w:p w:rsidR="00EB0488" w:rsidRPr="00B41312" w:rsidRDefault="00EB0488" w:rsidP="00B41312">
      <w:pPr>
        <w:pStyle w:val="Default"/>
        <w:jc w:val="center"/>
        <w:rPr>
          <w:bCs/>
        </w:rPr>
      </w:pPr>
      <w:r w:rsidRPr="00B41312">
        <w:rPr>
          <w:bCs/>
        </w:rPr>
        <w:t>Quality Improvement (QI) Project Reporting Tools</w:t>
      </w:r>
    </w:p>
    <w:p w:rsidR="00EB0488" w:rsidRPr="00B41312" w:rsidRDefault="00B41312" w:rsidP="00B41312">
      <w:pPr>
        <w:pStyle w:val="Default"/>
        <w:jc w:val="center"/>
      </w:pPr>
      <w:r w:rsidRPr="00B41312">
        <w:t xml:space="preserve">CMS-10209, </w:t>
      </w:r>
      <w:proofErr w:type="spellStart"/>
      <w:r w:rsidRPr="00B41312">
        <w:t>OCN</w:t>
      </w:r>
      <w:proofErr w:type="spellEnd"/>
      <w:r w:rsidRPr="00B41312">
        <w:t xml:space="preserve"> 0938-1023</w:t>
      </w:r>
    </w:p>
    <w:p w:rsidR="00B41312" w:rsidRPr="00EB0488" w:rsidRDefault="00B41312" w:rsidP="00EB0488">
      <w:pPr>
        <w:pStyle w:val="Default"/>
        <w:rPr>
          <w:sz w:val="28"/>
          <w:szCs w:val="28"/>
          <w:u w:val="single"/>
        </w:rPr>
      </w:pPr>
    </w:p>
    <w:p w:rsidR="00EB0488" w:rsidRPr="00B41312" w:rsidRDefault="00EB0488" w:rsidP="00EB0488">
      <w:pPr>
        <w:pStyle w:val="Default"/>
        <w:rPr>
          <w:sz w:val="23"/>
          <w:szCs w:val="23"/>
        </w:rPr>
      </w:pPr>
      <w:r w:rsidRPr="00B41312">
        <w:rPr>
          <w:b/>
          <w:bCs/>
          <w:sz w:val="23"/>
          <w:szCs w:val="23"/>
        </w:rPr>
        <w:t>Background</w:t>
      </w:r>
    </w:p>
    <w:p w:rsidR="00B41312" w:rsidRDefault="00B41312" w:rsidP="00EB0488">
      <w:pPr>
        <w:pStyle w:val="Default"/>
        <w:rPr>
          <w:sz w:val="23"/>
          <w:szCs w:val="23"/>
        </w:rPr>
      </w:pPr>
    </w:p>
    <w:p w:rsidR="00EB0488" w:rsidRDefault="00EB0488" w:rsidP="00EB0488">
      <w:pPr>
        <w:pStyle w:val="Default"/>
        <w:rPr>
          <w:sz w:val="23"/>
          <w:szCs w:val="23"/>
        </w:rPr>
      </w:pPr>
      <w:r>
        <w:rPr>
          <w:sz w:val="23"/>
          <w:szCs w:val="23"/>
        </w:rPr>
        <w:t xml:space="preserve">The Social Security Act, §1852 e(1), (2), and (3)(a)(i), and regulations at Part 42, §422.152 describe CMS’ regulatory authority to require each Medicare Advantage Organization (MAO) coordinated care plan that offers one or more MA plans to have an ongoing quality assessment and performance improvement program. This program must include assessing performance using standard measures required by the Center for Medicare and Medicaid Services (CMS), and reporting its performance to CMS. </w:t>
      </w:r>
    </w:p>
    <w:p w:rsidR="00EB0488" w:rsidRDefault="00EB0488" w:rsidP="00EB0488">
      <w:pPr>
        <w:pStyle w:val="Default"/>
        <w:rPr>
          <w:sz w:val="23"/>
          <w:szCs w:val="23"/>
        </w:rPr>
      </w:pPr>
    </w:p>
    <w:p w:rsidR="00EB0488" w:rsidRDefault="00EB0488" w:rsidP="00EB0488">
      <w:pPr>
        <w:pStyle w:val="Default"/>
        <w:rPr>
          <w:sz w:val="23"/>
          <w:szCs w:val="23"/>
        </w:rPr>
      </w:pPr>
      <w:r>
        <w:rPr>
          <w:sz w:val="23"/>
          <w:szCs w:val="23"/>
        </w:rPr>
        <w:t xml:space="preserve">MAOs will submit their Chronic Care Improvement Programs (CCIPs) and Quality Improvement Project (QIPs) using the revised CCIP and QIP Reporting Tools that are included in this collection. The tools have been redesigned: (1) to decrease the response burden through limiting the amount of narrative required and using an automated system; (2) to be more aligned with the standard QI reporting format; and (3) to improve the information provided by MAOs by using more structured reporting tools. CMS believes the new reporting tools will provide a simpler, easier way for MAOs to report the required data. The new tool will also generate consistency in reporting among plans so that collected data can be used more efficiently by CMS and the plans. </w:t>
      </w:r>
    </w:p>
    <w:p w:rsidR="00EB0488" w:rsidRPr="00E30D78" w:rsidRDefault="00EB0488" w:rsidP="00EB0488">
      <w:pPr>
        <w:pStyle w:val="Default"/>
        <w:rPr>
          <w:sz w:val="23"/>
          <w:szCs w:val="23"/>
        </w:rPr>
      </w:pPr>
    </w:p>
    <w:p w:rsidR="00EB0488" w:rsidRPr="00E30D78" w:rsidRDefault="00EB0488" w:rsidP="00EB0488">
      <w:pPr>
        <w:pStyle w:val="Default"/>
        <w:numPr>
          <w:ilvl w:val="0"/>
          <w:numId w:val="1"/>
        </w:numPr>
        <w:rPr>
          <w:b/>
          <w:bCs/>
          <w:sz w:val="23"/>
          <w:szCs w:val="23"/>
        </w:rPr>
      </w:pPr>
      <w:r w:rsidRPr="00E30D78">
        <w:rPr>
          <w:b/>
          <w:bCs/>
          <w:sz w:val="23"/>
          <w:szCs w:val="23"/>
        </w:rPr>
        <w:t xml:space="preserve">Justification </w:t>
      </w:r>
    </w:p>
    <w:p w:rsidR="00EB0488" w:rsidRPr="00E30D78" w:rsidRDefault="00EB0488" w:rsidP="00EB0488">
      <w:pPr>
        <w:pStyle w:val="Default"/>
        <w:ind w:left="360"/>
        <w:rPr>
          <w:b/>
          <w:bCs/>
          <w:sz w:val="23"/>
          <w:szCs w:val="23"/>
        </w:rPr>
      </w:pPr>
    </w:p>
    <w:p w:rsidR="00EB0488" w:rsidRPr="00EB0488" w:rsidRDefault="00EB0488" w:rsidP="00EB0488">
      <w:pPr>
        <w:pStyle w:val="Default"/>
        <w:numPr>
          <w:ilvl w:val="0"/>
          <w:numId w:val="2"/>
        </w:numPr>
        <w:rPr>
          <w:sz w:val="23"/>
          <w:szCs w:val="23"/>
          <w:u w:val="single"/>
        </w:rPr>
      </w:pPr>
      <w:r w:rsidRPr="00EB0488">
        <w:rPr>
          <w:sz w:val="23"/>
          <w:szCs w:val="23"/>
          <w:u w:val="single"/>
        </w:rPr>
        <w:t xml:space="preserve">Need and Legal Basis </w:t>
      </w:r>
    </w:p>
    <w:p w:rsidR="00EB0488" w:rsidRDefault="00EB0488" w:rsidP="00EB0488">
      <w:pPr>
        <w:pStyle w:val="Default"/>
        <w:ind w:left="720"/>
        <w:rPr>
          <w:sz w:val="23"/>
          <w:szCs w:val="23"/>
        </w:rPr>
      </w:pPr>
    </w:p>
    <w:p w:rsidR="00EB0488" w:rsidRDefault="00EB0488" w:rsidP="00EB0488">
      <w:pPr>
        <w:pStyle w:val="Default"/>
        <w:rPr>
          <w:sz w:val="23"/>
          <w:szCs w:val="23"/>
        </w:rPr>
      </w:pPr>
      <w:r>
        <w:rPr>
          <w:sz w:val="23"/>
          <w:szCs w:val="23"/>
        </w:rPr>
        <w:t xml:space="preserve">Quality Improvement (QI) is a major initiative for CMS. The enactment in 2010 of the Affordable Care Act (ACA) also provides CMS with an opportunity to review its QI program for the MAOs. It is critical to CMS’ mission to expand its efforts to identify and evaluate MAOs’ QI efforts. </w:t>
      </w:r>
    </w:p>
    <w:p w:rsidR="00EB0488" w:rsidRDefault="00EB0488" w:rsidP="00EB0488">
      <w:pPr>
        <w:pStyle w:val="Default"/>
        <w:rPr>
          <w:sz w:val="23"/>
          <w:szCs w:val="23"/>
        </w:rPr>
      </w:pPr>
    </w:p>
    <w:p w:rsidR="00EB0488" w:rsidRDefault="00EB0488" w:rsidP="00EB0488">
      <w:pPr>
        <w:pStyle w:val="Default"/>
        <w:rPr>
          <w:sz w:val="23"/>
          <w:szCs w:val="23"/>
        </w:rPr>
      </w:pPr>
      <w:r>
        <w:rPr>
          <w:sz w:val="23"/>
          <w:szCs w:val="23"/>
        </w:rPr>
        <w:t>MAOs are required by CMS regulations at 42 CFR 422.152(a</w:t>
      </w:r>
      <w:proofErr w:type="gramStart"/>
      <w:r>
        <w:rPr>
          <w:sz w:val="23"/>
          <w:szCs w:val="23"/>
        </w:rPr>
        <w:t>)(</w:t>
      </w:r>
      <w:proofErr w:type="gramEnd"/>
      <w:r>
        <w:rPr>
          <w:sz w:val="23"/>
          <w:szCs w:val="23"/>
        </w:rPr>
        <w:t>1), (2), and (3) to have an ongoing QI program that meets CMS requirements and includes at least one CCIP and one QIP</w:t>
      </w:r>
      <w:r w:rsidR="00061AD3">
        <w:rPr>
          <w:sz w:val="23"/>
          <w:szCs w:val="23"/>
        </w:rPr>
        <w:t>.</w:t>
      </w:r>
      <w:r>
        <w:rPr>
          <w:sz w:val="23"/>
          <w:szCs w:val="23"/>
        </w:rPr>
        <w:t xml:space="preserve"> Every MAO must have a QI program that monitors and identifies areas where implementing appropriate interventions would improve patient outcomes and patient safety. The goal of the QI Program is to demonstrate a favorable effect on health outcomes, enrollee satisfaction, and encourage providers to participate in CMS QI initiatives that result in high qualit</w:t>
      </w:r>
      <w:r w:rsidR="00061AD3">
        <w:rPr>
          <w:sz w:val="23"/>
          <w:szCs w:val="23"/>
        </w:rPr>
        <w:t xml:space="preserve">y healthcare being delivered to </w:t>
      </w:r>
      <w:r>
        <w:rPr>
          <w:sz w:val="23"/>
          <w:szCs w:val="23"/>
        </w:rPr>
        <w:t xml:space="preserve">beneficiaries at all times. </w:t>
      </w:r>
    </w:p>
    <w:p w:rsidR="00EB0488" w:rsidRDefault="00EB0488" w:rsidP="00EB0488">
      <w:pPr>
        <w:pStyle w:val="Default"/>
        <w:rPr>
          <w:sz w:val="23"/>
          <w:szCs w:val="23"/>
        </w:rPr>
      </w:pPr>
    </w:p>
    <w:p w:rsidR="00EB0488" w:rsidRDefault="00EB0488" w:rsidP="00EB0488">
      <w:pPr>
        <w:pStyle w:val="Default"/>
        <w:numPr>
          <w:ilvl w:val="0"/>
          <w:numId w:val="2"/>
        </w:numPr>
        <w:rPr>
          <w:sz w:val="23"/>
          <w:szCs w:val="23"/>
          <w:u w:val="single"/>
        </w:rPr>
      </w:pPr>
      <w:r w:rsidRPr="00EB0488">
        <w:rPr>
          <w:sz w:val="23"/>
          <w:szCs w:val="23"/>
          <w:u w:val="single"/>
        </w:rPr>
        <w:t xml:space="preserve">Information Users </w:t>
      </w:r>
    </w:p>
    <w:p w:rsidR="00EB0488" w:rsidRPr="00EB0488" w:rsidRDefault="00EB0488" w:rsidP="00EB0488">
      <w:pPr>
        <w:pStyle w:val="Default"/>
        <w:ind w:left="720"/>
        <w:rPr>
          <w:sz w:val="23"/>
          <w:szCs w:val="23"/>
          <w:u w:val="single"/>
        </w:rPr>
      </w:pPr>
    </w:p>
    <w:p w:rsidR="00EB0488" w:rsidRDefault="00EB0488" w:rsidP="00EB0488">
      <w:pPr>
        <w:pStyle w:val="Default"/>
        <w:rPr>
          <w:sz w:val="23"/>
          <w:szCs w:val="23"/>
        </w:rPr>
      </w:pPr>
      <w:r>
        <w:rPr>
          <w:sz w:val="23"/>
          <w:szCs w:val="23"/>
        </w:rPr>
        <w:t xml:space="preserve">Information collected using the CCIP and QIP reporting tools is an integral resource for oversight, monitoring, compliance, and auditing activities necessary to ensure high quality value-based health care for Medicare beneficiaries. Data will be used by CMS Central and Regional Office staff, MAOs, </w:t>
      </w:r>
      <w:r w:rsidR="000D2DC6">
        <w:rPr>
          <w:sz w:val="23"/>
          <w:szCs w:val="23"/>
        </w:rPr>
        <w:t xml:space="preserve">and potentially </w:t>
      </w:r>
      <w:r>
        <w:rPr>
          <w:sz w:val="23"/>
          <w:szCs w:val="23"/>
        </w:rPr>
        <w:t>Quality Im</w:t>
      </w:r>
      <w:r w:rsidR="000D2DC6">
        <w:rPr>
          <w:sz w:val="23"/>
          <w:szCs w:val="23"/>
        </w:rPr>
        <w:t xml:space="preserve">provement Organizations (QIOs). Note that </w:t>
      </w:r>
      <w:r w:rsidR="00C03AF2">
        <w:rPr>
          <w:sz w:val="23"/>
          <w:szCs w:val="23"/>
        </w:rPr>
        <w:t xml:space="preserve">there is currently no </w:t>
      </w:r>
      <w:r w:rsidR="000D2DC6">
        <w:rPr>
          <w:sz w:val="23"/>
          <w:szCs w:val="23"/>
        </w:rPr>
        <w:t xml:space="preserve">contractor involvement </w:t>
      </w:r>
      <w:r w:rsidR="00C03AF2">
        <w:rPr>
          <w:sz w:val="23"/>
          <w:szCs w:val="23"/>
        </w:rPr>
        <w:t xml:space="preserve">in </w:t>
      </w:r>
      <w:r w:rsidR="000D2DC6">
        <w:rPr>
          <w:sz w:val="23"/>
          <w:szCs w:val="23"/>
        </w:rPr>
        <w:t xml:space="preserve">this project. </w:t>
      </w:r>
    </w:p>
    <w:p w:rsidR="00EB0488" w:rsidRDefault="00EB0488" w:rsidP="00EB0488">
      <w:pPr>
        <w:pStyle w:val="Default"/>
        <w:pageBreakBefore/>
        <w:rPr>
          <w:sz w:val="23"/>
          <w:szCs w:val="23"/>
        </w:rPr>
      </w:pPr>
      <w:r>
        <w:rPr>
          <w:sz w:val="23"/>
          <w:szCs w:val="23"/>
        </w:rPr>
        <w:lastRenderedPageBreak/>
        <w:t xml:space="preserve">3. </w:t>
      </w:r>
      <w:r>
        <w:rPr>
          <w:sz w:val="23"/>
          <w:szCs w:val="23"/>
        </w:rPr>
        <w:tab/>
      </w:r>
      <w:r w:rsidRPr="00EB0488">
        <w:rPr>
          <w:sz w:val="23"/>
          <w:szCs w:val="23"/>
          <w:u w:val="single"/>
        </w:rPr>
        <w:t>Use of Information Technology</w:t>
      </w:r>
      <w:r>
        <w:rPr>
          <w:sz w:val="23"/>
          <w:szCs w:val="23"/>
        </w:rPr>
        <w:t xml:space="preserve"> </w:t>
      </w:r>
    </w:p>
    <w:p w:rsidR="00EB0488" w:rsidRDefault="00EB0488" w:rsidP="00EB0488">
      <w:pPr>
        <w:pStyle w:val="Default"/>
        <w:spacing w:before="240"/>
        <w:rPr>
          <w:sz w:val="23"/>
          <w:szCs w:val="23"/>
        </w:rPr>
      </w:pPr>
      <w:r>
        <w:rPr>
          <w:sz w:val="23"/>
          <w:szCs w:val="23"/>
        </w:rPr>
        <w:t>Technology is used in the collection, processing and storage of the data. Specifically, MAOs must complete and submit the QIP and CCIP reporting tools in CMS’ Health Plan Management Syst</w:t>
      </w:r>
      <w:r w:rsidR="000D2DC6">
        <w:rPr>
          <w:sz w:val="23"/>
          <w:szCs w:val="23"/>
        </w:rPr>
        <w:t xml:space="preserve">em (HPMS) </w:t>
      </w:r>
      <w:r w:rsidR="00937FEB">
        <w:rPr>
          <w:sz w:val="23"/>
          <w:szCs w:val="23"/>
        </w:rPr>
        <w:t>annually</w:t>
      </w:r>
      <w:r w:rsidR="000D2DC6">
        <w:rPr>
          <w:sz w:val="23"/>
          <w:szCs w:val="23"/>
        </w:rPr>
        <w:t>. The submission is</w:t>
      </w:r>
      <w:r>
        <w:rPr>
          <w:sz w:val="23"/>
          <w:szCs w:val="23"/>
        </w:rPr>
        <w:t xml:space="preserve"> 100% electronic. </w:t>
      </w:r>
    </w:p>
    <w:p w:rsidR="00EB0488" w:rsidRDefault="00EB0488" w:rsidP="00EB0488">
      <w:pPr>
        <w:pStyle w:val="Default"/>
        <w:rPr>
          <w:sz w:val="23"/>
          <w:szCs w:val="23"/>
        </w:rPr>
      </w:pPr>
    </w:p>
    <w:p w:rsidR="00EB0488" w:rsidRDefault="00EB0488" w:rsidP="00EB0488">
      <w:pPr>
        <w:pStyle w:val="Default"/>
        <w:rPr>
          <w:sz w:val="23"/>
          <w:szCs w:val="23"/>
        </w:rPr>
      </w:pPr>
      <w:r>
        <w:rPr>
          <w:sz w:val="23"/>
          <w:szCs w:val="23"/>
        </w:rPr>
        <w:t xml:space="preserve">4. </w:t>
      </w:r>
      <w:r>
        <w:rPr>
          <w:sz w:val="23"/>
          <w:szCs w:val="23"/>
        </w:rPr>
        <w:tab/>
      </w:r>
      <w:r w:rsidRPr="00EB0488">
        <w:rPr>
          <w:sz w:val="23"/>
          <w:szCs w:val="23"/>
          <w:u w:val="single"/>
        </w:rPr>
        <w:t>Duplication of Efforts</w:t>
      </w:r>
      <w:r>
        <w:rPr>
          <w:sz w:val="23"/>
          <w:szCs w:val="23"/>
        </w:rPr>
        <w:t xml:space="preserve"> </w:t>
      </w:r>
    </w:p>
    <w:p w:rsidR="00EB0488" w:rsidRDefault="00EB0488" w:rsidP="00EB0488">
      <w:pPr>
        <w:pStyle w:val="Default"/>
        <w:rPr>
          <w:sz w:val="23"/>
          <w:szCs w:val="23"/>
        </w:rPr>
      </w:pPr>
    </w:p>
    <w:p w:rsidR="00EB0488" w:rsidRDefault="00EB0488" w:rsidP="00EB0488">
      <w:pPr>
        <w:pStyle w:val="Default"/>
        <w:rPr>
          <w:sz w:val="23"/>
          <w:szCs w:val="23"/>
        </w:rPr>
      </w:pPr>
      <w:r>
        <w:rPr>
          <w:sz w:val="23"/>
          <w:szCs w:val="23"/>
        </w:rPr>
        <w:t xml:space="preserve">This collection does not contain duplication of similar information. </w:t>
      </w:r>
    </w:p>
    <w:p w:rsidR="00EB0488" w:rsidRDefault="00EB0488" w:rsidP="00EB0488">
      <w:pPr>
        <w:pStyle w:val="Default"/>
        <w:rPr>
          <w:sz w:val="23"/>
          <w:szCs w:val="23"/>
        </w:rPr>
      </w:pPr>
    </w:p>
    <w:p w:rsidR="00EB0488" w:rsidRDefault="00EB0488" w:rsidP="00EB0488">
      <w:pPr>
        <w:pStyle w:val="Default"/>
        <w:rPr>
          <w:sz w:val="23"/>
          <w:szCs w:val="23"/>
        </w:rPr>
      </w:pPr>
      <w:r>
        <w:rPr>
          <w:sz w:val="23"/>
          <w:szCs w:val="23"/>
        </w:rPr>
        <w:t xml:space="preserve">5. </w:t>
      </w:r>
      <w:r>
        <w:rPr>
          <w:sz w:val="23"/>
          <w:szCs w:val="23"/>
        </w:rPr>
        <w:tab/>
      </w:r>
      <w:r w:rsidRPr="00EB0488">
        <w:rPr>
          <w:sz w:val="23"/>
          <w:szCs w:val="23"/>
          <w:u w:val="single"/>
        </w:rPr>
        <w:t>Small Business</w:t>
      </w:r>
      <w:r>
        <w:rPr>
          <w:sz w:val="23"/>
          <w:szCs w:val="23"/>
        </w:rPr>
        <w:t xml:space="preserve"> </w:t>
      </w:r>
    </w:p>
    <w:p w:rsidR="00EA4F87" w:rsidRDefault="00EA4F87" w:rsidP="00EB0488">
      <w:pPr>
        <w:pStyle w:val="Default"/>
        <w:rPr>
          <w:sz w:val="23"/>
          <w:szCs w:val="23"/>
        </w:rPr>
      </w:pPr>
    </w:p>
    <w:p w:rsidR="00EB0488" w:rsidRDefault="00EB0488" w:rsidP="00EB0488">
      <w:pPr>
        <w:pStyle w:val="Default"/>
        <w:rPr>
          <w:sz w:val="23"/>
          <w:szCs w:val="23"/>
        </w:rPr>
      </w:pPr>
      <w:r>
        <w:rPr>
          <w:sz w:val="23"/>
          <w:szCs w:val="23"/>
        </w:rPr>
        <w:t xml:space="preserve">This collection does not impose a significant impact on small businesses and other entities. </w:t>
      </w:r>
    </w:p>
    <w:p w:rsidR="00EB0488" w:rsidRDefault="00EB0488" w:rsidP="00EB0488">
      <w:pPr>
        <w:pStyle w:val="Default"/>
        <w:rPr>
          <w:sz w:val="23"/>
          <w:szCs w:val="23"/>
        </w:rPr>
      </w:pPr>
    </w:p>
    <w:p w:rsidR="00EB0488" w:rsidRDefault="00EB0488" w:rsidP="00EB0488">
      <w:pPr>
        <w:pStyle w:val="Default"/>
        <w:rPr>
          <w:sz w:val="23"/>
          <w:szCs w:val="23"/>
        </w:rPr>
      </w:pPr>
      <w:r>
        <w:rPr>
          <w:sz w:val="23"/>
          <w:szCs w:val="23"/>
        </w:rPr>
        <w:t>6.</w:t>
      </w:r>
      <w:r>
        <w:rPr>
          <w:sz w:val="23"/>
          <w:szCs w:val="23"/>
        </w:rPr>
        <w:tab/>
        <w:t xml:space="preserve"> </w:t>
      </w:r>
      <w:r w:rsidRPr="00EB0488">
        <w:rPr>
          <w:sz w:val="23"/>
          <w:szCs w:val="23"/>
          <w:u w:val="single"/>
        </w:rPr>
        <w:t>Less Frequent Collection</w:t>
      </w:r>
      <w:r>
        <w:rPr>
          <w:sz w:val="23"/>
          <w:szCs w:val="23"/>
        </w:rPr>
        <w:t xml:space="preserve"> </w:t>
      </w:r>
    </w:p>
    <w:p w:rsidR="00EB0488" w:rsidRDefault="00EB0488" w:rsidP="00EB0488">
      <w:pPr>
        <w:pStyle w:val="Default"/>
        <w:rPr>
          <w:sz w:val="23"/>
          <w:szCs w:val="23"/>
        </w:rPr>
      </w:pPr>
    </w:p>
    <w:p w:rsidR="00EB0488" w:rsidRDefault="00EB0488" w:rsidP="00EB0488">
      <w:pPr>
        <w:pStyle w:val="Default"/>
        <w:rPr>
          <w:sz w:val="23"/>
          <w:szCs w:val="23"/>
        </w:rPr>
      </w:pPr>
      <w:r>
        <w:rPr>
          <w:sz w:val="23"/>
          <w:szCs w:val="23"/>
        </w:rPr>
        <w:t xml:space="preserve">Less frequent collection of the data from MAOs would severely limit CMS’ ability to perform accurate and timely oversight, monitoring, compliance, and auditing activities regarding the overall QI program including the CCIPs and QIPs. </w:t>
      </w:r>
    </w:p>
    <w:p w:rsidR="00EB0488" w:rsidRDefault="00EB0488" w:rsidP="00EB0488">
      <w:pPr>
        <w:pStyle w:val="Default"/>
        <w:rPr>
          <w:sz w:val="23"/>
          <w:szCs w:val="23"/>
        </w:rPr>
      </w:pPr>
    </w:p>
    <w:p w:rsidR="00EB0488" w:rsidRDefault="00EB0488" w:rsidP="00EB0488">
      <w:pPr>
        <w:pStyle w:val="Default"/>
        <w:rPr>
          <w:sz w:val="23"/>
          <w:szCs w:val="23"/>
          <w:u w:val="single"/>
        </w:rPr>
      </w:pPr>
      <w:r>
        <w:rPr>
          <w:sz w:val="23"/>
          <w:szCs w:val="23"/>
        </w:rPr>
        <w:t xml:space="preserve">7. </w:t>
      </w:r>
      <w:r>
        <w:rPr>
          <w:sz w:val="23"/>
          <w:szCs w:val="23"/>
        </w:rPr>
        <w:tab/>
      </w:r>
      <w:r w:rsidRPr="00EB0488">
        <w:rPr>
          <w:sz w:val="23"/>
          <w:szCs w:val="23"/>
          <w:u w:val="single"/>
        </w:rPr>
        <w:t xml:space="preserve">Special Circumstances </w:t>
      </w:r>
    </w:p>
    <w:p w:rsidR="00EB0488" w:rsidRPr="00EB0488" w:rsidRDefault="00EB0488" w:rsidP="00EB0488">
      <w:pPr>
        <w:pStyle w:val="Default"/>
        <w:rPr>
          <w:sz w:val="23"/>
          <w:szCs w:val="23"/>
          <w:u w:val="single"/>
        </w:rPr>
      </w:pPr>
    </w:p>
    <w:p w:rsidR="00EB0488" w:rsidRDefault="00EB0488" w:rsidP="00EB0488">
      <w:pPr>
        <w:pStyle w:val="Default"/>
        <w:rPr>
          <w:sz w:val="23"/>
          <w:szCs w:val="23"/>
        </w:rPr>
      </w:pPr>
      <w:r>
        <w:rPr>
          <w:sz w:val="23"/>
          <w:szCs w:val="23"/>
        </w:rPr>
        <w:t xml:space="preserve">No special circumstances apply. </w:t>
      </w:r>
    </w:p>
    <w:p w:rsidR="00EB0488" w:rsidRDefault="00EB0488" w:rsidP="00EB0488">
      <w:pPr>
        <w:pStyle w:val="Default"/>
        <w:rPr>
          <w:sz w:val="23"/>
          <w:szCs w:val="23"/>
        </w:rPr>
      </w:pPr>
    </w:p>
    <w:p w:rsidR="00EB0488" w:rsidRDefault="00EB0488" w:rsidP="00EB0488">
      <w:pPr>
        <w:pStyle w:val="Default"/>
        <w:rPr>
          <w:sz w:val="23"/>
          <w:szCs w:val="23"/>
        </w:rPr>
      </w:pPr>
      <w:r>
        <w:rPr>
          <w:sz w:val="23"/>
          <w:szCs w:val="23"/>
        </w:rPr>
        <w:t xml:space="preserve">8. </w:t>
      </w:r>
      <w:r>
        <w:rPr>
          <w:sz w:val="23"/>
          <w:szCs w:val="23"/>
        </w:rPr>
        <w:tab/>
      </w:r>
      <w:r w:rsidRPr="00EB0488">
        <w:rPr>
          <w:sz w:val="23"/>
          <w:szCs w:val="23"/>
          <w:u w:val="single"/>
        </w:rPr>
        <w:t>Federal Register/Outside Consultation</w:t>
      </w:r>
      <w:r>
        <w:rPr>
          <w:sz w:val="23"/>
          <w:szCs w:val="23"/>
        </w:rPr>
        <w:t xml:space="preserve"> </w:t>
      </w:r>
    </w:p>
    <w:p w:rsidR="00EB0488" w:rsidRDefault="00EB0488" w:rsidP="00EB0488">
      <w:pPr>
        <w:pStyle w:val="Default"/>
        <w:rPr>
          <w:sz w:val="23"/>
          <w:szCs w:val="23"/>
        </w:rPr>
      </w:pPr>
    </w:p>
    <w:p w:rsidR="00EB0488" w:rsidRDefault="00EB0488" w:rsidP="00EB0488">
      <w:pPr>
        <w:pStyle w:val="Default"/>
        <w:rPr>
          <w:sz w:val="23"/>
          <w:szCs w:val="23"/>
        </w:rPr>
      </w:pPr>
      <w:r>
        <w:rPr>
          <w:sz w:val="23"/>
          <w:szCs w:val="23"/>
        </w:rPr>
        <w:t xml:space="preserve">The 60-day Federal Register notice published on </w:t>
      </w:r>
      <w:r w:rsidR="00360938">
        <w:rPr>
          <w:sz w:val="23"/>
          <w:szCs w:val="23"/>
        </w:rPr>
        <w:t xml:space="preserve">January 10, 2014 (79 </w:t>
      </w:r>
      <w:proofErr w:type="spellStart"/>
      <w:r w:rsidR="00360938">
        <w:rPr>
          <w:sz w:val="23"/>
          <w:szCs w:val="23"/>
        </w:rPr>
        <w:t>FR</w:t>
      </w:r>
      <w:proofErr w:type="spellEnd"/>
      <w:r w:rsidR="00360938">
        <w:rPr>
          <w:sz w:val="23"/>
          <w:szCs w:val="23"/>
        </w:rPr>
        <w:t xml:space="preserve"> 1872). While comments were received, they did not pertain to this collection</w:t>
      </w:r>
      <w:r>
        <w:rPr>
          <w:sz w:val="23"/>
          <w:szCs w:val="23"/>
        </w:rPr>
        <w:t>.</w:t>
      </w:r>
    </w:p>
    <w:p w:rsidR="00EB0488" w:rsidRDefault="00EB0488" w:rsidP="00EB0488">
      <w:pPr>
        <w:pStyle w:val="Default"/>
        <w:rPr>
          <w:sz w:val="23"/>
          <w:szCs w:val="23"/>
        </w:rPr>
      </w:pPr>
    </w:p>
    <w:p w:rsidR="00EB0488" w:rsidRDefault="00EB0488" w:rsidP="00EB0488">
      <w:pPr>
        <w:pStyle w:val="Default"/>
        <w:rPr>
          <w:sz w:val="23"/>
          <w:szCs w:val="23"/>
        </w:rPr>
      </w:pPr>
      <w:r>
        <w:rPr>
          <w:sz w:val="23"/>
          <w:szCs w:val="23"/>
        </w:rPr>
        <w:t xml:space="preserve">9. </w:t>
      </w:r>
      <w:r>
        <w:rPr>
          <w:sz w:val="23"/>
          <w:szCs w:val="23"/>
        </w:rPr>
        <w:tab/>
      </w:r>
      <w:r w:rsidRPr="00EB0488">
        <w:rPr>
          <w:sz w:val="23"/>
          <w:szCs w:val="23"/>
          <w:u w:val="single"/>
        </w:rPr>
        <w:t>Payments/Gifts to Respondents</w:t>
      </w:r>
      <w:r>
        <w:rPr>
          <w:sz w:val="23"/>
          <w:szCs w:val="23"/>
        </w:rPr>
        <w:t xml:space="preserve"> </w:t>
      </w:r>
    </w:p>
    <w:p w:rsidR="00EB0488" w:rsidRDefault="00EB0488" w:rsidP="00EB0488">
      <w:pPr>
        <w:pStyle w:val="Default"/>
        <w:rPr>
          <w:sz w:val="23"/>
          <w:szCs w:val="23"/>
        </w:rPr>
      </w:pPr>
    </w:p>
    <w:p w:rsidR="00EB0488" w:rsidRDefault="00EB0488" w:rsidP="00EB0488">
      <w:pPr>
        <w:pStyle w:val="Default"/>
        <w:rPr>
          <w:sz w:val="23"/>
          <w:szCs w:val="23"/>
        </w:rPr>
      </w:pPr>
      <w:r>
        <w:rPr>
          <w:sz w:val="23"/>
          <w:szCs w:val="23"/>
        </w:rPr>
        <w:t xml:space="preserve">There are no payments/gifts to respondents associated with this information collection request. </w:t>
      </w:r>
    </w:p>
    <w:p w:rsidR="00EB0488" w:rsidRDefault="00EB0488" w:rsidP="00EB0488">
      <w:pPr>
        <w:pStyle w:val="Default"/>
        <w:rPr>
          <w:sz w:val="23"/>
          <w:szCs w:val="23"/>
        </w:rPr>
      </w:pPr>
    </w:p>
    <w:p w:rsidR="00EB0488" w:rsidRPr="00EB0488" w:rsidRDefault="00EB0488" w:rsidP="00EB0488">
      <w:pPr>
        <w:pStyle w:val="Default"/>
        <w:rPr>
          <w:sz w:val="23"/>
          <w:szCs w:val="23"/>
          <w:u w:val="single"/>
        </w:rPr>
      </w:pPr>
      <w:r>
        <w:rPr>
          <w:sz w:val="23"/>
          <w:szCs w:val="23"/>
        </w:rPr>
        <w:t xml:space="preserve">10. </w:t>
      </w:r>
      <w:r>
        <w:rPr>
          <w:sz w:val="23"/>
          <w:szCs w:val="23"/>
        </w:rPr>
        <w:tab/>
      </w:r>
      <w:r w:rsidRPr="00EB0488">
        <w:rPr>
          <w:sz w:val="23"/>
          <w:szCs w:val="23"/>
          <w:u w:val="single"/>
        </w:rPr>
        <w:t xml:space="preserve">Confidentiality </w:t>
      </w:r>
    </w:p>
    <w:p w:rsidR="00EB0488" w:rsidRDefault="00EB0488" w:rsidP="00EB0488">
      <w:pPr>
        <w:pStyle w:val="Default"/>
        <w:rPr>
          <w:sz w:val="23"/>
          <w:szCs w:val="23"/>
        </w:rPr>
      </w:pPr>
    </w:p>
    <w:p w:rsidR="00EB0488" w:rsidRDefault="00EB0488" w:rsidP="00EB0488">
      <w:pPr>
        <w:pStyle w:val="Default"/>
        <w:rPr>
          <w:sz w:val="23"/>
          <w:szCs w:val="23"/>
        </w:rPr>
      </w:pPr>
      <w:r>
        <w:rPr>
          <w:sz w:val="23"/>
          <w:szCs w:val="23"/>
        </w:rPr>
        <w:t>Consistent with federal government and CMS policies, CMS will protect the confidentiality of the requested proprietary information. Specifically, only information within this collection (or attachments thereto) that constitutes a trade secret, privileged or confidential information, (as such terms are interpreted under the Freedom of Information Act and applicable case law), and is clearly labeled as such by the respondent, and which includes an explanation of how it meets one of the expectations specified n 45 CFR Part 5, will be protected from release by CMS under 5 U.S.C. §552(b</w:t>
      </w:r>
      <w:proofErr w:type="gramStart"/>
      <w:r>
        <w:rPr>
          <w:sz w:val="23"/>
          <w:szCs w:val="23"/>
        </w:rPr>
        <w:t>)(</w:t>
      </w:r>
      <w:proofErr w:type="gramEnd"/>
      <w:r>
        <w:rPr>
          <w:sz w:val="23"/>
          <w:szCs w:val="23"/>
        </w:rPr>
        <w:t xml:space="preserve">4). Information not labeled as trades secret, privileged, or confidential or not including an explanation of why it meets one or more of the FOIA exceptions in 45 CFR Part 5 will not be withheld from release under 5 U.S. C. § 552(b)(4). </w:t>
      </w:r>
    </w:p>
    <w:p w:rsidR="00EB0488" w:rsidRDefault="00EB0488" w:rsidP="00EB0488">
      <w:pPr>
        <w:pStyle w:val="Default"/>
        <w:rPr>
          <w:sz w:val="23"/>
          <w:szCs w:val="23"/>
        </w:rPr>
      </w:pPr>
    </w:p>
    <w:p w:rsidR="00EB0488" w:rsidRPr="00EB0488" w:rsidRDefault="00EB0488" w:rsidP="00EB0488">
      <w:pPr>
        <w:pStyle w:val="Default"/>
        <w:rPr>
          <w:sz w:val="23"/>
          <w:szCs w:val="23"/>
          <w:u w:val="single"/>
        </w:rPr>
      </w:pPr>
      <w:r>
        <w:rPr>
          <w:sz w:val="23"/>
          <w:szCs w:val="23"/>
        </w:rPr>
        <w:t xml:space="preserve">11. </w:t>
      </w:r>
      <w:r>
        <w:rPr>
          <w:sz w:val="23"/>
          <w:szCs w:val="23"/>
        </w:rPr>
        <w:tab/>
      </w:r>
      <w:r>
        <w:rPr>
          <w:sz w:val="23"/>
          <w:szCs w:val="23"/>
          <w:u w:val="single"/>
        </w:rPr>
        <w:t xml:space="preserve">Sensitive Questions </w:t>
      </w:r>
      <w:r w:rsidRPr="00EB0488">
        <w:rPr>
          <w:sz w:val="23"/>
          <w:szCs w:val="23"/>
          <w:u w:val="single"/>
        </w:rPr>
        <w:t xml:space="preserve"> </w:t>
      </w:r>
    </w:p>
    <w:p w:rsidR="00EB0488" w:rsidRDefault="00EB0488" w:rsidP="00EB0488">
      <w:pPr>
        <w:pStyle w:val="Default"/>
        <w:pageBreakBefore/>
        <w:rPr>
          <w:sz w:val="23"/>
          <w:szCs w:val="23"/>
        </w:rPr>
      </w:pPr>
      <w:r>
        <w:rPr>
          <w:sz w:val="23"/>
          <w:szCs w:val="23"/>
        </w:rPr>
        <w:t xml:space="preserve">CMS will adhere to all statues, regulations, and agency policies. </w:t>
      </w:r>
    </w:p>
    <w:p w:rsidR="00EB0488" w:rsidRDefault="00EB0488" w:rsidP="00EB0488">
      <w:pPr>
        <w:pStyle w:val="Default"/>
        <w:rPr>
          <w:sz w:val="23"/>
          <w:szCs w:val="23"/>
        </w:rPr>
      </w:pPr>
    </w:p>
    <w:p w:rsidR="00EB0488" w:rsidRPr="00EB0488" w:rsidRDefault="00EB0488" w:rsidP="00EB0488">
      <w:pPr>
        <w:pStyle w:val="Default"/>
        <w:rPr>
          <w:sz w:val="23"/>
          <w:szCs w:val="23"/>
          <w:u w:val="single"/>
        </w:rPr>
      </w:pPr>
      <w:r>
        <w:rPr>
          <w:sz w:val="23"/>
          <w:szCs w:val="23"/>
        </w:rPr>
        <w:t xml:space="preserve">12. </w:t>
      </w:r>
      <w:r>
        <w:rPr>
          <w:sz w:val="23"/>
          <w:szCs w:val="23"/>
        </w:rPr>
        <w:tab/>
      </w:r>
      <w:r w:rsidRPr="00EB0488">
        <w:rPr>
          <w:sz w:val="23"/>
          <w:szCs w:val="23"/>
          <w:u w:val="single"/>
        </w:rPr>
        <w:t xml:space="preserve">Burden Estimates (Hours and Wages) </w:t>
      </w:r>
    </w:p>
    <w:p w:rsidR="00EB0488" w:rsidRDefault="00EB0488" w:rsidP="00EB0488">
      <w:pPr>
        <w:pStyle w:val="Default"/>
        <w:rPr>
          <w:sz w:val="23"/>
          <w:szCs w:val="23"/>
        </w:rPr>
      </w:pPr>
    </w:p>
    <w:p w:rsidR="00EB0488" w:rsidRDefault="00937FEB" w:rsidP="00EB0488">
      <w:pPr>
        <w:pStyle w:val="Default"/>
        <w:rPr>
          <w:sz w:val="23"/>
          <w:szCs w:val="23"/>
        </w:rPr>
      </w:pPr>
      <w:r>
        <w:rPr>
          <w:sz w:val="23"/>
          <w:szCs w:val="23"/>
        </w:rPr>
        <w:t>CMS</w:t>
      </w:r>
      <w:r w:rsidR="00EB0488">
        <w:rPr>
          <w:sz w:val="23"/>
          <w:szCs w:val="23"/>
        </w:rPr>
        <w:t xml:space="preserve"> estimates that it will take 15 hours for a respondent to</w:t>
      </w:r>
      <w:r>
        <w:rPr>
          <w:sz w:val="23"/>
          <w:szCs w:val="23"/>
        </w:rPr>
        <w:t xml:space="preserve"> collect information and to</w:t>
      </w:r>
      <w:r w:rsidR="00EB0488">
        <w:rPr>
          <w:sz w:val="23"/>
          <w:szCs w:val="23"/>
        </w:rPr>
        <w:t xml:space="preserve"> complete the CCIP a</w:t>
      </w:r>
      <w:r>
        <w:rPr>
          <w:sz w:val="23"/>
          <w:szCs w:val="23"/>
        </w:rPr>
        <w:t xml:space="preserve">nd 15 hours to collect information and to complete the QIP. </w:t>
      </w:r>
    </w:p>
    <w:p w:rsidR="00EB0488" w:rsidRDefault="00EB0488" w:rsidP="00EB0488">
      <w:pPr>
        <w:pStyle w:val="Default"/>
        <w:rPr>
          <w:sz w:val="23"/>
          <w:szCs w:val="23"/>
        </w:rPr>
      </w:pPr>
    </w:p>
    <w:p w:rsidR="00EB0488" w:rsidRDefault="00EB0488" w:rsidP="00EB0488">
      <w:pPr>
        <w:pStyle w:val="Default"/>
        <w:rPr>
          <w:b/>
          <w:bCs/>
          <w:sz w:val="23"/>
          <w:szCs w:val="23"/>
        </w:rPr>
      </w:pPr>
      <w:r>
        <w:rPr>
          <w:b/>
          <w:bCs/>
          <w:sz w:val="23"/>
          <w:szCs w:val="23"/>
        </w:rPr>
        <w:t xml:space="preserve">The total annual hours requested is calculated as follows: </w:t>
      </w:r>
    </w:p>
    <w:p w:rsidR="00EB0488" w:rsidRDefault="00EB0488" w:rsidP="00EB0488">
      <w:pPr>
        <w:pStyle w:val="Default"/>
        <w:rPr>
          <w:sz w:val="23"/>
          <w:szCs w:val="23"/>
        </w:rPr>
      </w:pPr>
    </w:p>
    <w:p w:rsidR="00EB0488" w:rsidRDefault="00EB0488" w:rsidP="00EB0488">
      <w:pPr>
        <w:pStyle w:val="Default"/>
        <w:jc w:val="center"/>
        <w:rPr>
          <w:sz w:val="23"/>
          <w:szCs w:val="23"/>
        </w:rPr>
      </w:pPr>
      <w:r>
        <w:rPr>
          <w:b/>
          <w:bCs/>
          <w:sz w:val="23"/>
          <w:szCs w:val="23"/>
        </w:rPr>
        <w:t>Table 1</w:t>
      </w:r>
    </w:p>
    <w:p w:rsidR="00EB0488" w:rsidRDefault="00EB0488" w:rsidP="00EB0488">
      <w:pPr>
        <w:pStyle w:val="Default"/>
        <w:jc w:val="center"/>
        <w:rPr>
          <w:b/>
          <w:bCs/>
          <w:sz w:val="23"/>
          <w:szCs w:val="23"/>
        </w:rPr>
      </w:pPr>
      <w:r>
        <w:rPr>
          <w:b/>
          <w:bCs/>
          <w:sz w:val="23"/>
          <w:szCs w:val="23"/>
        </w:rPr>
        <w:t>Summary of Hours Burden by Type of Report</w:t>
      </w:r>
    </w:p>
    <w:p w:rsidR="00EB0488" w:rsidRDefault="00EB0488" w:rsidP="00EB0488">
      <w:pPr>
        <w:pStyle w:val="Default"/>
        <w:jc w:val="center"/>
        <w:rPr>
          <w:sz w:val="23"/>
          <w:szCs w:val="23"/>
        </w:rPr>
      </w:pPr>
    </w:p>
    <w:p w:rsidR="00EB0488" w:rsidRDefault="00EB0488" w:rsidP="00EB0488">
      <w:pPr>
        <w:pStyle w:val="Default"/>
        <w:rPr>
          <w:sz w:val="23"/>
          <w:szCs w:val="23"/>
        </w:rPr>
      </w:pPr>
      <w:r>
        <w:rPr>
          <w:sz w:val="23"/>
          <w:szCs w:val="23"/>
        </w:rPr>
        <w:t>In total, CMS estimates that it will receive 1,904 responses. This would amount to 28,560 total annual hours. The expected number of reports is based on the number of MAO contract numbers and the number of Special Needs Plans (SNPs).</w:t>
      </w:r>
    </w:p>
    <w:p w:rsidR="00EB0488" w:rsidRDefault="00EB0488" w:rsidP="00EB0488">
      <w:pPr>
        <w:pStyle w:val="Default"/>
        <w:rPr>
          <w:sz w:val="23"/>
          <w:szCs w:val="23"/>
        </w:rPr>
      </w:pPr>
    </w:p>
    <w:tbl>
      <w:tblPr>
        <w:tblW w:w="7200" w:type="dxa"/>
        <w:tblInd w:w="108" w:type="dxa"/>
        <w:tblLook w:val="04A0" w:firstRow="1" w:lastRow="0" w:firstColumn="1" w:lastColumn="0" w:noHBand="0" w:noVBand="1"/>
      </w:tblPr>
      <w:tblGrid>
        <w:gridCol w:w="3049"/>
        <w:gridCol w:w="1001"/>
        <w:gridCol w:w="1170"/>
        <w:gridCol w:w="1980"/>
      </w:tblGrid>
      <w:tr w:rsidR="00061AD3" w:rsidRPr="00D16877" w:rsidTr="00F92B8B">
        <w:trPr>
          <w:trHeight w:val="765"/>
        </w:trPr>
        <w:tc>
          <w:tcPr>
            <w:tcW w:w="3049" w:type="dxa"/>
            <w:tcBorders>
              <w:top w:val="single" w:sz="4" w:space="0" w:color="auto"/>
              <w:left w:val="single" w:sz="4" w:space="0" w:color="auto"/>
              <w:bottom w:val="single" w:sz="4" w:space="0" w:color="auto"/>
              <w:right w:val="single" w:sz="4" w:space="0" w:color="auto"/>
            </w:tcBorders>
            <w:shd w:val="clear" w:color="auto" w:fill="auto"/>
            <w:hideMark/>
          </w:tcPr>
          <w:p w:rsidR="00061AD3" w:rsidRPr="000B6BCB" w:rsidRDefault="00061AD3" w:rsidP="00F92B8B">
            <w:pPr>
              <w:rPr>
                <w:b/>
                <w:bCs/>
                <w:sz w:val="16"/>
                <w:szCs w:val="16"/>
              </w:rPr>
            </w:pPr>
            <w:r w:rsidRPr="000B6BCB">
              <w:rPr>
                <w:b/>
                <w:bCs/>
                <w:sz w:val="16"/>
                <w:szCs w:val="16"/>
              </w:rPr>
              <w:t>Report/Responses</w:t>
            </w:r>
          </w:p>
        </w:tc>
        <w:tc>
          <w:tcPr>
            <w:tcW w:w="1001" w:type="dxa"/>
            <w:tcBorders>
              <w:top w:val="single" w:sz="4" w:space="0" w:color="auto"/>
              <w:left w:val="nil"/>
              <w:bottom w:val="single" w:sz="4" w:space="0" w:color="auto"/>
              <w:right w:val="single" w:sz="4" w:space="0" w:color="auto"/>
            </w:tcBorders>
            <w:shd w:val="clear" w:color="auto" w:fill="auto"/>
            <w:hideMark/>
          </w:tcPr>
          <w:p w:rsidR="00061AD3" w:rsidRPr="000B6BCB" w:rsidRDefault="00061AD3" w:rsidP="00F92B8B">
            <w:pPr>
              <w:rPr>
                <w:b/>
                <w:bCs/>
                <w:color w:val="000000"/>
                <w:sz w:val="16"/>
                <w:szCs w:val="16"/>
              </w:rPr>
            </w:pPr>
            <w:r w:rsidRPr="000B6BCB">
              <w:rPr>
                <w:b/>
                <w:bCs/>
                <w:color w:val="000000"/>
                <w:sz w:val="16"/>
                <w:szCs w:val="16"/>
              </w:rPr>
              <w:t>CCIP</w:t>
            </w:r>
          </w:p>
        </w:tc>
        <w:tc>
          <w:tcPr>
            <w:tcW w:w="1170" w:type="dxa"/>
            <w:tcBorders>
              <w:top w:val="single" w:sz="4" w:space="0" w:color="auto"/>
              <w:left w:val="nil"/>
              <w:bottom w:val="single" w:sz="4" w:space="0" w:color="auto"/>
              <w:right w:val="single" w:sz="4" w:space="0" w:color="auto"/>
            </w:tcBorders>
            <w:shd w:val="clear" w:color="auto" w:fill="auto"/>
            <w:hideMark/>
          </w:tcPr>
          <w:p w:rsidR="00061AD3" w:rsidRPr="000B6BCB" w:rsidRDefault="00061AD3" w:rsidP="00F92B8B">
            <w:pPr>
              <w:rPr>
                <w:b/>
                <w:bCs/>
                <w:color w:val="000000"/>
                <w:sz w:val="16"/>
                <w:szCs w:val="16"/>
              </w:rPr>
            </w:pPr>
            <w:r w:rsidRPr="000B6BCB">
              <w:rPr>
                <w:b/>
                <w:bCs/>
                <w:color w:val="000000"/>
                <w:sz w:val="16"/>
                <w:szCs w:val="16"/>
              </w:rPr>
              <w:t>QIP</w:t>
            </w:r>
          </w:p>
        </w:tc>
        <w:tc>
          <w:tcPr>
            <w:tcW w:w="1980" w:type="dxa"/>
            <w:tcBorders>
              <w:top w:val="single" w:sz="4" w:space="0" w:color="auto"/>
              <w:left w:val="nil"/>
              <w:bottom w:val="single" w:sz="4" w:space="0" w:color="auto"/>
              <w:right w:val="single" w:sz="4" w:space="0" w:color="auto"/>
            </w:tcBorders>
            <w:shd w:val="clear" w:color="auto" w:fill="auto"/>
            <w:hideMark/>
          </w:tcPr>
          <w:p w:rsidR="00061AD3" w:rsidRPr="000B6BCB" w:rsidRDefault="00061AD3" w:rsidP="00F92B8B">
            <w:pPr>
              <w:rPr>
                <w:b/>
                <w:bCs/>
                <w:color w:val="000000"/>
                <w:sz w:val="16"/>
                <w:szCs w:val="16"/>
              </w:rPr>
            </w:pPr>
            <w:r w:rsidRPr="000B6BCB">
              <w:rPr>
                <w:b/>
                <w:bCs/>
                <w:color w:val="000000"/>
                <w:sz w:val="16"/>
                <w:szCs w:val="16"/>
              </w:rPr>
              <w:t>Summary</w:t>
            </w:r>
          </w:p>
        </w:tc>
      </w:tr>
      <w:tr w:rsidR="00061AD3" w:rsidRPr="00D16877" w:rsidTr="00F92B8B">
        <w:trPr>
          <w:trHeight w:val="422"/>
        </w:trPr>
        <w:tc>
          <w:tcPr>
            <w:tcW w:w="3049" w:type="dxa"/>
            <w:tcBorders>
              <w:top w:val="single" w:sz="4" w:space="0" w:color="auto"/>
              <w:left w:val="single" w:sz="4" w:space="0" w:color="auto"/>
              <w:bottom w:val="single" w:sz="4" w:space="0" w:color="auto"/>
              <w:right w:val="single" w:sz="4" w:space="0" w:color="auto"/>
            </w:tcBorders>
            <w:shd w:val="clear" w:color="auto" w:fill="auto"/>
            <w:hideMark/>
          </w:tcPr>
          <w:p w:rsidR="00061AD3" w:rsidRPr="00D16877" w:rsidRDefault="00061AD3" w:rsidP="00F92B8B">
            <w:pPr>
              <w:rPr>
                <w:b/>
                <w:bCs/>
                <w:sz w:val="16"/>
                <w:szCs w:val="16"/>
              </w:rPr>
            </w:pPr>
            <w:r w:rsidRPr="00D16877">
              <w:rPr>
                <w:b/>
                <w:bCs/>
                <w:sz w:val="16"/>
                <w:szCs w:val="16"/>
              </w:rPr>
              <w:t>Expected Report/ Responses</w:t>
            </w:r>
          </w:p>
        </w:tc>
        <w:tc>
          <w:tcPr>
            <w:tcW w:w="1001" w:type="dxa"/>
            <w:tcBorders>
              <w:top w:val="single" w:sz="4" w:space="0" w:color="auto"/>
              <w:left w:val="nil"/>
              <w:bottom w:val="single" w:sz="4" w:space="0" w:color="auto"/>
              <w:right w:val="single" w:sz="4" w:space="0" w:color="auto"/>
            </w:tcBorders>
            <w:shd w:val="clear" w:color="auto" w:fill="auto"/>
            <w:hideMark/>
          </w:tcPr>
          <w:p w:rsidR="00061AD3" w:rsidRPr="00E350CB" w:rsidRDefault="00061AD3" w:rsidP="00F92B8B">
            <w:pPr>
              <w:rPr>
                <w:bCs/>
                <w:color w:val="000000"/>
                <w:sz w:val="16"/>
                <w:szCs w:val="16"/>
              </w:rPr>
            </w:pPr>
            <w:r w:rsidRPr="00E350CB">
              <w:rPr>
                <w:bCs/>
                <w:color w:val="000000"/>
                <w:sz w:val="16"/>
                <w:szCs w:val="16"/>
              </w:rPr>
              <w:t>952</w:t>
            </w:r>
          </w:p>
        </w:tc>
        <w:tc>
          <w:tcPr>
            <w:tcW w:w="1170" w:type="dxa"/>
            <w:tcBorders>
              <w:top w:val="single" w:sz="4" w:space="0" w:color="auto"/>
              <w:left w:val="nil"/>
              <w:bottom w:val="single" w:sz="4" w:space="0" w:color="auto"/>
              <w:right w:val="single" w:sz="4" w:space="0" w:color="auto"/>
            </w:tcBorders>
            <w:shd w:val="clear" w:color="auto" w:fill="auto"/>
            <w:hideMark/>
          </w:tcPr>
          <w:p w:rsidR="00061AD3" w:rsidRPr="00E350CB" w:rsidRDefault="00061AD3" w:rsidP="00F92B8B">
            <w:pPr>
              <w:rPr>
                <w:bCs/>
                <w:color w:val="000000"/>
                <w:sz w:val="16"/>
                <w:szCs w:val="16"/>
              </w:rPr>
            </w:pPr>
            <w:r w:rsidRPr="00E350CB">
              <w:rPr>
                <w:bCs/>
                <w:color w:val="000000"/>
                <w:sz w:val="16"/>
                <w:szCs w:val="16"/>
              </w:rPr>
              <w:t>952</w:t>
            </w:r>
          </w:p>
        </w:tc>
        <w:tc>
          <w:tcPr>
            <w:tcW w:w="1980" w:type="dxa"/>
            <w:tcBorders>
              <w:top w:val="single" w:sz="4" w:space="0" w:color="auto"/>
              <w:left w:val="nil"/>
              <w:bottom w:val="single" w:sz="4" w:space="0" w:color="auto"/>
              <w:right w:val="single" w:sz="4" w:space="0" w:color="auto"/>
            </w:tcBorders>
            <w:shd w:val="clear" w:color="auto" w:fill="auto"/>
            <w:hideMark/>
          </w:tcPr>
          <w:p w:rsidR="00061AD3" w:rsidRPr="00E350CB" w:rsidRDefault="00061AD3" w:rsidP="00F92B8B">
            <w:pPr>
              <w:rPr>
                <w:bCs/>
                <w:color w:val="000000"/>
                <w:sz w:val="16"/>
                <w:szCs w:val="16"/>
              </w:rPr>
            </w:pPr>
            <w:r w:rsidRPr="00E350CB">
              <w:rPr>
                <w:bCs/>
                <w:color w:val="000000"/>
                <w:sz w:val="16"/>
                <w:szCs w:val="16"/>
              </w:rPr>
              <w:t>1904</w:t>
            </w:r>
          </w:p>
        </w:tc>
      </w:tr>
      <w:tr w:rsidR="00061AD3" w:rsidRPr="00D94FFB" w:rsidTr="00F92B8B">
        <w:trPr>
          <w:trHeight w:val="440"/>
        </w:trPr>
        <w:tc>
          <w:tcPr>
            <w:tcW w:w="3049" w:type="dxa"/>
            <w:tcBorders>
              <w:top w:val="single" w:sz="4" w:space="0" w:color="auto"/>
              <w:left w:val="single" w:sz="4" w:space="0" w:color="auto"/>
              <w:bottom w:val="single" w:sz="4" w:space="0" w:color="auto"/>
              <w:right w:val="single" w:sz="4" w:space="0" w:color="auto"/>
            </w:tcBorders>
            <w:shd w:val="clear" w:color="auto" w:fill="auto"/>
            <w:hideMark/>
          </w:tcPr>
          <w:p w:rsidR="00061AD3" w:rsidRPr="00D94FFB" w:rsidRDefault="00061AD3" w:rsidP="00F92B8B">
            <w:pPr>
              <w:rPr>
                <w:b/>
                <w:bCs/>
                <w:sz w:val="16"/>
                <w:szCs w:val="16"/>
              </w:rPr>
            </w:pPr>
            <w:r w:rsidRPr="00D94FFB">
              <w:rPr>
                <w:b/>
                <w:bCs/>
                <w:sz w:val="16"/>
                <w:szCs w:val="16"/>
              </w:rPr>
              <w:t>Part 1: Plan Section</w:t>
            </w:r>
          </w:p>
        </w:tc>
        <w:tc>
          <w:tcPr>
            <w:tcW w:w="1001" w:type="dxa"/>
            <w:tcBorders>
              <w:top w:val="single" w:sz="4" w:space="0" w:color="auto"/>
              <w:left w:val="nil"/>
              <w:bottom w:val="single" w:sz="4" w:space="0" w:color="auto"/>
              <w:right w:val="single" w:sz="4" w:space="0" w:color="auto"/>
            </w:tcBorders>
            <w:shd w:val="clear" w:color="auto" w:fill="auto"/>
            <w:hideMark/>
          </w:tcPr>
          <w:p w:rsidR="00061AD3" w:rsidRPr="00D94FFB" w:rsidRDefault="00061AD3" w:rsidP="00F92B8B">
            <w:pPr>
              <w:rPr>
                <w:bCs/>
                <w:color w:val="000000"/>
                <w:sz w:val="16"/>
                <w:szCs w:val="16"/>
              </w:rPr>
            </w:pPr>
            <w:r w:rsidRPr="00D94FFB">
              <w:rPr>
                <w:bCs/>
                <w:color w:val="000000"/>
                <w:sz w:val="16"/>
                <w:szCs w:val="16"/>
              </w:rPr>
              <w:t>2</w:t>
            </w:r>
          </w:p>
        </w:tc>
        <w:tc>
          <w:tcPr>
            <w:tcW w:w="1170" w:type="dxa"/>
            <w:tcBorders>
              <w:top w:val="single" w:sz="4" w:space="0" w:color="auto"/>
              <w:left w:val="nil"/>
              <w:bottom w:val="single" w:sz="4" w:space="0" w:color="auto"/>
              <w:right w:val="single" w:sz="4" w:space="0" w:color="auto"/>
            </w:tcBorders>
            <w:shd w:val="clear" w:color="auto" w:fill="auto"/>
            <w:hideMark/>
          </w:tcPr>
          <w:p w:rsidR="00061AD3" w:rsidRPr="00D94FFB" w:rsidRDefault="00061AD3" w:rsidP="00F92B8B">
            <w:pPr>
              <w:rPr>
                <w:bCs/>
                <w:color w:val="000000"/>
                <w:sz w:val="16"/>
                <w:szCs w:val="16"/>
              </w:rPr>
            </w:pPr>
            <w:r w:rsidRPr="00D94FFB">
              <w:rPr>
                <w:bCs/>
                <w:color w:val="000000"/>
                <w:sz w:val="16"/>
                <w:szCs w:val="16"/>
              </w:rPr>
              <w:t>2</w:t>
            </w:r>
          </w:p>
        </w:tc>
        <w:tc>
          <w:tcPr>
            <w:tcW w:w="1980" w:type="dxa"/>
            <w:tcBorders>
              <w:top w:val="single" w:sz="4" w:space="0" w:color="auto"/>
              <w:left w:val="nil"/>
              <w:bottom w:val="single" w:sz="4" w:space="0" w:color="auto"/>
              <w:right w:val="single" w:sz="4" w:space="0" w:color="auto"/>
            </w:tcBorders>
            <w:shd w:val="clear" w:color="auto" w:fill="auto"/>
            <w:hideMark/>
          </w:tcPr>
          <w:p w:rsidR="00061AD3" w:rsidRPr="00D94FFB" w:rsidRDefault="00061AD3" w:rsidP="00F92B8B">
            <w:pPr>
              <w:rPr>
                <w:bCs/>
                <w:color w:val="000000"/>
                <w:sz w:val="16"/>
                <w:szCs w:val="16"/>
              </w:rPr>
            </w:pPr>
            <w:r w:rsidRPr="00D94FFB">
              <w:rPr>
                <w:bCs/>
                <w:color w:val="000000"/>
                <w:sz w:val="16"/>
                <w:szCs w:val="16"/>
              </w:rPr>
              <w:t>4</w:t>
            </w:r>
          </w:p>
        </w:tc>
      </w:tr>
      <w:tr w:rsidR="00061AD3" w:rsidRPr="00D16877" w:rsidTr="00F92B8B">
        <w:trPr>
          <w:trHeight w:val="440"/>
        </w:trPr>
        <w:tc>
          <w:tcPr>
            <w:tcW w:w="3049" w:type="dxa"/>
            <w:tcBorders>
              <w:top w:val="single" w:sz="4" w:space="0" w:color="auto"/>
              <w:left w:val="single" w:sz="4" w:space="0" w:color="auto"/>
              <w:bottom w:val="single" w:sz="4" w:space="0" w:color="auto"/>
              <w:right w:val="single" w:sz="4" w:space="0" w:color="auto"/>
            </w:tcBorders>
            <w:shd w:val="clear" w:color="auto" w:fill="auto"/>
            <w:hideMark/>
          </w:tcPr>
          <w:p w:rsidR="00061AD3" w:rsidRPr="00D16877" w:rsidRDefault="00061AD3" w:rsidP="00F92B8B">
            <w:pPr>
              <w:rPr>
                <w:b/>
                <w:bCs/>
                <w:sz w:val="16"/>
                <w:szCs w:val="16"/>
              </w:rPr>
            </w:pPr>
            <w:r w:rsidRPr="00D16877">
              <w:rPr>
                <w:b/>
                <w:bCs/>
                <w:sz w:val="16"/>
                <w:szCs w:val="16"/>
              </w:rPr>
              <w:t>Part 2: Do Section</w:t>
            </w:r>
          </w:p>
        </w:tc>
        <w:tc>
          <w:tcPr>
            <w:tcW w:w="1001" w:type="dxa"/>
            <w:tcBorders>
              <w:top w:val="single" w:sz="4" w:space="0" w:color="auto"/>
              <w:left w:val="nil"/>
              <w:bottom w:val="single" w:sz="4" w:space="0" w:color="auto"/>
              <w:right w:val="single" w:sz="4" w:space="0" w:color="auto"/>
            </w:tcBorders>
            <w:shd w:val="clear" w:color="auto" w:fill="auto"/>
            <w:hideMark/>
          </w:tcPr>
          <w:p w:rsidR="00061AD3" w:rsidRPr="00E350CB" w:rsidRDefault="00061AD3" w:rsidP="00F92B8B">
            <w:pPr>
              <w:rPr>
                <w:bCs/>
                <w:color w:val="000000"/>
                <w:sz w:val="16"/>
                <w:szCs w:val="16"/>
              </w:rPr>
            </w:pPr>
            <w:r w:rsidRPr="00E350CB">
              <w:rPr>
                <w:bCs/>
                <w:color w:val="000000"/>
                <w:sz w:val="16"/>
                <w:szCs w:val="16"/>
              </w:rPr>
              <w:t>5</w:t>
            </w:r>
          </w:p>
        </w:tc>
        <w:tc>
          <w:tcPr>
            <w:tcW w:w="1170" w:type="dxa"/>
            <w:tcBorders>
              <w:top w:val="single" w:sz="4" w:space="0" w:color="auto"/>
              <w:left w:val="nil"/>
              <w:bottom w:val="single" w:sz="4" w:space="0" w:color="auto"/>
              <w:right w:val="single" w:sz="4" w:space="0" w:color="auto"/>
            </w:tcBorders>
            <w:shd w:val="clear" w:color="auto" w:fill="auto"/>
            <w:hideMark/>
          </w:tcPr>
          <w:p w:rsidR="00061AD3" w:rsidRPr="00E350CB" w:rsidRDefault="00061AD3" w:rsidP="00F92B8B">
            <w:pPr>
              <w:rPr>
                <w:bCs/>
                <w:color w:val="000000"/>
                <w:sz w:val="16"/>
                <w:szCs w:val="16"/>
              </w:rPr>
            </w:pPr>
            <w:r w:rsidRPr="00E350CB">
              <w:rPr>
                <w:bCs/>
                <w:color w:val="000000"/>
                <w:sz w:val="16"/>
                <w:szCs w:val="16"/>
              </w:rPr>
              <w:t>5</w:t>
            </w:r>
          </w:p>
        </w:tc>
        <w:tc>
          <w:tcPr>
            <w:tcW w:w="1980" w:type="dxa"/>
            <w:tcBorders>
              <w:top w:val="single" w:sz="4" w:space="0" w:color="auto"/>
              <w:left w:val="nil"/>
              <w:bottom w:val="single" w:sz="4" w:space="0" w:color="auto"/>
              <w:right w:val="single" w:sz="4" w:space="0" w:color="auto"/>
            </w:tcBorders>
            <w:shd w:val="clear" w:color="auto" w:fill="auto"/>
            <w:hideMark/>
          </w:tcPr>
          <w:p w:rsidR="00061AD3" w:rsidRPr="00E350CB" w:rsidRDefault="00061AD3" w:rsidP="00F92B8B">
            <w:pPr>
              <w:rPr>
                <w:bCs/>
                <w:color w:val="000000"/>
                <w:sz w:val="16"/>
                <w:szCs w:val="16"/>
              </w:rPr>
            </w:pPr>
            <w:r w:rsidRPr="00E350CB">
              <w:rPr>
                <w:bCs/>
                <w:color w:val="000000"/>
                <w:sz w:val="16"/>
                <w:szCs w:val="16"/>
              </w:rPr>
              <w:t>10</w:t>
            </w:r>
          </w:p>
        </w:tc>
      </w:tr>
      <w:tr w:rsidR="00061AD3" w:rsidRPr="00D16877" w:rsidTr="00F92B8B">
        <w:trPr>
          <w:trHeight w:val="440"/>
        </w:trPr>
        <w:tc>
          <w:tcPr>
            <w:tcW w:w="3049" w:type="dxa"/>
            <w:tcBorders>
              <w:top w:val="single" w:sz="4" w:space="0" w:color="auto"/>
              <w:left w:val="single" w:sz="4" w:space="0" w:color="auto"/>
              <w:bottom w:val="single" w:sz="4" w:space="0" w:color="auto"/>
              <w:right w:val="single" w:sz="4" w:space="0" w:color="auto"/>
            </w:tcBorders>
            <w:shd w:val="clear" w:color="auto" w:fill="auto"/>
            <w:hideMark/>
          </w:tcPr>
          <w:p w:rsidR="00061AD3" w:rsidRPr="00D16877" w:rsidRDefault="00061AD3" w:rsidP="00F92B8B">
            <w:pPr>
              <w:rPr>
                <w:b/>
                <w:bCs/>
                <w:sz w:val="16"/>
                <w:szCs w:val="16"/>
              </w:rPr>
            </w:pPr>
            <w:r w:rsidRPr="00D16877">
              <w:rPr>
                <w:b/>
                <w:bCs/>
                <w:sz w:val="16"/>
                <w:szCs w:val="16"/>
              </w:rPr>
              <w:t>Part 3: Study Section</w:t>
            </w:r>
          </w:p>
        </w:tc>
        <w:tc>
          <w:tcPr>
            <w:tcW w:w="1001" w:type="dxa"/>
            <w:tcBorders>
              <w:top w:val="single" w:sz="4" w:space="0" w:color="auto"/>
              <w:left w:val="nil"/>
              <w:bottom w:val="single" w:sz="4" w:space="0" w:color="auto"/>
              <w:right w:val="single" w:sz="4" w:space="0" w:color="auto"/>
            </w:tcBorders>
            <w:shd w:val="clear" w:color="auto" w:fill="auto"/>
            <w:hideMark/>
          </w:tcPr>
          <w:p w:rsidR="00061AD3" w:rsidRPr="00E350CB" w:rsidRDefault="00061AD3" w:rsidP="00F92B8B">
            <w:pPr>
              <w:rPr>
                <w:bCs/>
                <w:color w:val="000000"/>
                <w:sz w:val="16"/>
                <w:szCs w:val="16"/>
              </w:rPr>
            </w:pPr>
            <w:r w:rsidRPr="00E350CB">
              <w:rPr>
                <w:bCs/>
                <w:color w:val="000000"/>
                <w:sz w:val="16"/>
                <w:szCs w:val="16"/>
              </w:rPr>
              <w:t>5</w:t>
            </w:r>
          </w:p>
        </w:tc>
        <w:tc>
          <w:tcPr>
            <w:tcW w:w="1170" w:type="dxa"/>
            <w:tcBorders>
              <w:top w:val="single" w:sz="4" w:space="0" w:color="auto"/>
              <w:left w:val="nil"/>
              <w:bottom w:val="single" w:sz="4" w:space="0" w:color="auto"/>
              <w:right w:val="single" w:sz="4" w:space="0" w:color="auto"/>
            </w:tcBorders>
            <w:shd w:val="clear" w:color="auto" w:fill="auto"/>
            <w:hideMark/>
          </w:tcPr>
          <w:p w:rsidR="00061AD3" w:rsidRPr="00E350CB" w:rsidRDefault="00061AD3" w:rsidP="00F92B8B">
            <w:pPr>
              <w:rPr>
                <w:bCs/>
                <w:color w:val="000000"/>
                <w:sz w:val="16"/>
                <w:szCs w:val="16"/>
              </w:rPr>
            </w:pPr>
            <w:r w:rsidRPr="00E350CB">
              <w:rPr>
                <w:bCs/>
                <w:color w:val="000000"/>
                <w:sz w:val="16"/>
                <w:szCs w:val="16"/>
              </w:rPr>
              <w:t>5</w:t>
            </w:r>
          </w:p>
        </w:tc>
        <w:tc>
          <w:tcPr>
            <w:tcW w:w="1980" w:type="dxa"/>
            <w:tcBorders>
              <w:top w:val="single" w:sz="4" w:space="0" w:color="auto"/>
              <w:left w:val="nil"/>
              <w:bottom w:val="single" w:sz="4" w:space="0" w:color="auto"/>
              <w:right w:val="single" w:sz="4" w:space="0" w:color="auto"/>
            </w:tcBorders>
            <w:shd w:val="clear" w:color="auto" w:fill="auto"/>
            <w:hideMark/>
          </w:tcPr>
          <w:p w:rsidR="00061AD3" w:rsidRPr="00E350CB" w:rsidRDefault="00061AD3" w:rsidP="00F92B8B">
            <w:pPr>
              <w:rPr>
                <w:bCs/>
                <w:color w:val="000000"/>
                <w:sz w:val="16"/>
                <w:szCs w:val="16"/>
              </w:rPr>
            </w:pPr>
            <w:r w:rsidRPr="00E350CB">
              <w:rPr>
                <w:bCs/>
                <w:color w:val="000000"/>
                <w:sz w:val="16"/>
                <w:szCs w:val="16"/>
              </w:rPr>
              <w:t>10</w:t>
            </w:r>
          </w:p>
        </w:tc>
      </w:tr>
      <w:tr w:rsidR="00061AD3" w:rsidRPr="00D16877" w:rsidTr="00F92B8B">
        <w:trPr>
          <w:trHeight w:val="440"/>
        </w:trPr>
        <w:tc>
          <w:tcPr>
            <w:tcW w:w="3049" w:type="dxa"/>
            <w:tcBorders>
              <w:top w:val="single" w:sz="4" w:space="0" w:color="auto"/>
              <w:left w:val="single" w:sz="4" w:space="0" w:color="auto"/>
              <w:bottom w:val="single" w:sz="4" w:space="0" w:color="auto"/>
              <w:right w:val="single" w:sz="4" w:space="0" w:color="auto"/>
            </w:tcBorders>
            <w:shd w:val="clear" w:color="auto" w:fill="auto"/>
            <w:hideMark/>
          </w:tcPr>
          <w:p w:rsidR="00061AD3" w:rsidRPr="00D16877" w:rsidRDefault="00061AD3" w:rsidP="00F92B8B">
            <w:pPr>
              <w:rPr>
                <w:b/>
                <w:bCs/>
                <w:sz w:val="16"/>
                <w:szCs w:val="16"/>
              </w:rPr>
            </w:pPr>
            <w:r w:rsidRPr="00D16877">
              <w:rPr>
                <w:b/>
                <w:bCs/>
                <w:sz w:val="16"/>
                <w:szCs w:val="16"/>
              </w:rPr>
              <w:t>Part 4: Act Section</w:t>
            </w:r>
          </w:p>
        </w:tc>
        <w:tc>
          <w:tcPr>
            <w:tcW w:w="1001" w:type="dxa"/>
            <w:tcBorders>
              <w:top w:val="single" w:sz="4" w:space="0" w:color="auto"/>
              <w:left w:val="nil"/>
              <w:bottom w:val="single" w:sz="4" w:space="0" w:color="auto"/>
              <w:right w:val="single" w:sz="4" w:space="0" w:color="auto"/>
            </w:tcBorders>
            <w:shd w:val="clear" w:color="auto" w:fill="auto"/>
            <w:hideMark/>
          </w:tcPr>
          <w:p w:rsidR="00061AD3" w:rsidRPr="00E350CB" w:rsidRDefault="00061AD3" w:rsidP="00F92B8B">
            <w:pPr>
              <w:rPr>
                <w:bCs/>
                <w:color w:val="000000"/>
                <w:sz w:val="16"/>
                <w:szCs w:val="16"/>
              </w:rPr>
            </w:pPr>
            <w:r w:rsidRPr="00E350CB">
              <w:rPr>
                <w:bCs/>
                <w:color w:val="000000"/>
                <w:sz w:val="16"/>
                <w:szCs w:val="16"/>
              </w:rPr>
              <w:t>3</w:t>
            </w:r>
          </w:p>
        </w:tc>
        <w:tc>
          <w:tcPr>
            <w:tcW w:w="1170" w:type="dxa"/>
            <w:tcBorders>
              <w:top w:val="single" w:sz="4" w:space="0" w:color="auto"/>
              <w:left w:val="nil"/>
              <w:bottom w:val="single" w:sz="4" w:space="0" w:color="auto"/>
              <w:right w:val="single" w:sz="4" w:space="0" w:color="auto"/>
            </w:tcBorders>
            <w:shd w:val="clear" w:color="auto" w:fill="auto"/>
            <w:hideMark/>
          </w:tcPr>
          <w:p w:rsidR="00061AD3" w:rsidRPr="00E350CB" w:rsidRDefault="00061AD3" w:rsidP="00F92B8B">
            <w:pPr>
              <w:rPr>
                <w:bCs/>
                <w:color w:val="000000"/>
                <w:sz w:val="16"/>
                <w:szCs w:val="16"/>
              </w:rPr>
            </w:pPr>
            <w:r w:rsidRPr="00E350CB">
              <w:rPr>
                <w:bCs/>
                <w:color w:val="000000"/>
                <w:sz w:val="16"/>
                <w:szCs w:val="16"/>
              </w:rPr>
              <w:t>3</w:t>
            </w:r>
          </w:p>
        </w:tc>
        <w:tc>
          <w:tcPr>
            <w:tcW w:w="1980" w:type="dxa"/>
            <w:tcBorders>
              <w:top w:val="single" w:sz="4" w:space="0" w:color="auto"/>
              <w:left w:val="nil"/>
              <w:bottom w:val="single" w:sz="4" w:space="0" w:color="auto"/>
              <w:right w:val="single" w:sz="4" w:space="0" w:color="auto"/>
            </w:tcBorders>
            <w:shd w:val="clear" w:color="auto" w:fill="auto"/>
            <w:hideMark/>
          </w:tcPr>
          <w:p w:rsidR="00061AD3" w:rsidRPr="00E350CB" w:rsidRDefault="00061AD3" w:rsidP="00F92B8B">
            <w:pPr>
              <w:rPr>
                <w:bCs/>
                <w:color w:val="000000"/>
                <w:sz w:val="16"/>
                <w:szCs w:val="16"/>
              </w:rPr>
            </w:pPr>
            <w:r w:rsidRPr="00E350CB">
              <w:rPr>
                <w:bCs/>
                <w:color w:val="000000"/>
                <w:sz w:val="16"/>
                <w:szCs w:val="16"/>
              </w:rPr>
              <w:t>6</w:t>
            </w:r>
          </w:p>
        </w:tc>
      </w:tr>
      <w:tr w:rsidR="00061AD3" w:rsidRPr="00D16877" w:rsidTr="00F92B8B">
        <w:trPr>
          <w:trHeight w:val="350"/>
        </w:trPr>
        <w:tc>
          <w:tcPr>
            <w:tcW w:w="3049" w:type="dxa"/>
            <w:tcBorders>
              <w:top w:val="single" w:sz="4" w:space="0" w:color="auto"/>
              <w:left w:val="single" w:sz="4" w:space="0" w:color="auto"/>
              <w:bottom w:val="single" w:sz="4" w:space="0" w:color="auto"/>
              <w:right w:val="single" w:sz="4" w:space="0" w:color="auto"/>
            </w:tcBorders>
            <w:shd w:val="clear" w:color="auto" w:fill="auto"/>
            <w:hideMark/>
          </w:tcPr>
          <w:p w:rsidR="00061AD3" w:rsidRPr="00D16877" w:rsidRDefault="00061AD3" w:rsidP="00F92B8B">
            <w:pPr>
              <w:rPr>
                <w:b/>
                <w:bCs/>
                <w:sz w:val="16"/>
                <w:szCs w:val="16"/>
              </w:rPr>
            </w:pPr>
            <w:r w:rsidRPr="00D16877">
              <w:rPr>
                <w:b/>
                <w:bCs/>
                <w:sz w:val="16"/>
                <w:szCs w:val="16"/>
              </w:rPr>
              <w:t>Overall # of hours per report</w:t>
            </w:r>
          </w:p>
        </w:tc>
        <w:tc>
          <w:tcPr>
            <w:tcW w:w="1001" w:type="dxa"/>
            <w:tcBorders>
              <w:top w:val="single" w:sz="4" w:space="0" w:color="auto"/>
              <w:left w:val="nil"/>
              <w:bottom w:val="single" w:sz="4" w:space="0" w:color="auto"/>
              <w:right w:val="single" w:sz="4" w:space="0" w:color="auto"/>
            </w:tcBorders>
            <w:shd w:val="clear" w:color="auto" w:fill="auto"/>
            <w:hideMark/>
          </w:tcPr>
          <w:p w:rsidR="00061AD3" w:rsidRPr="00E350CB" w:rsidRDefault="00061AD3" w:rsidP="00F92B8B">
            <w:pPr>
              <w:rPr>
                <w:bCs/>
                <w:color w:val="000000"/>
                <w:sz w:val="16"/>
                <w:szCs w:val="16"/>
              </w:rPr>
            </w:pPr>
            <w:r w:rsidRPr="00E350CB">
              <w:rPr>
                <w:bCs/>
                <w:color w:val="000000"/>
                <w:sz w:val="16"/>
                <w:szCs w:val="16"/>
              </w:rPr>
              <w:t>15</w:t>
            </w:r>
          </w:p>
        </w:tc>
        <w:tc>
          <w:tcPr>
            <w:tcW w:w="1170" w:type="dxa"/>
            <w:tcBorders>
              <w:top w:val="single" w:sz="4" w:space="0" w:color="auto"/>
              <w:left w:val="nil"/>
              <w:bottom w:val="single" w:sz="4" w:space="0" w:color="auto"/>
              <w:right w:val="single" w:sz="4" w:space="0" w:color="auto"/>
            </w:tcBorders>
            <w:shd w:val="clear" w:color="auto" w:fill="auto"/>
            <w:hideMark/>
          </w:tcPr>
          <w:p w:rsidR="00061AD3" w:rsidRPr="00E350CB" w:rsidRDefault="00061AD3" w:rsidP="00F92B8B">
            <w:pPr>
              <w:rPr>
                <w:bCs/>
                <w:color w:val="000000"/>
                <w:sz w:val="16"/>
                <w:szCs w:val="16"/>
              </w:rPr>
            </w:pPr>
            <w:r w:rsidRPr="00E350CB">
              <w:rPr>
                <w:bCs/>
                <w:color w:val="000000"/>
                <w:sz w:val="16"/>
                <w:szCs w:val="16"/>
              </w:rPr>
              <w:t>15</w:t>
            </w:r>
          </w:p>
        </w:tc>
        <w:tc>
          <w:tcPr>
            <w:tcW w:w="1980" w:type="dxa"/>
            <w:tcBorders>
              <w:top w:val="single" w:sz="4" w:space="0" w:color="auto"/>
              <w:left w:val="nil"/>
              <w:bottom w:val="single" w:sz="4" w:space="0" w:color="auto"/>
              <w:right w:val="single" w:sz="4" w:space="0" w:color="auto"/>
            </w:tcBorders>
            <w:shd w:val="clear" w:color="auto" w:fill="auto"/>
            <w:hideMark/>
          </w:tcPr>
          <w:p w:rsidR="00061AD3" w:rsidRPr="00E350CB" w:rsidRDefault="00061AD3" w:rsidP="00F92B8B">
            <w:pPr>
              <w:rPr>
                <w:bCs/>
                <w:color w:val="000000"/>
                <w:sz w:val="16"/>
                <w:szCs w:val="16"/>
              </w:rPr>
            </w:pPr>
            <w:r w:rsidRPr="00E350CB">
              <w:rPr>
                <w:bCs/>
                <w:color w:val="000000"/>
                <w:sz w:val="16"/>
                <w:szCs w:val="16"/>
              </w:rPr>
              <w:t>30</w:t>
            </w:r>
          </w:p>
        </w:tc>
      </w:tr>
      <w:tr w:rsidR="00061AD3" w:rsidRPr="00D16877" w:rsidTr="00F92B8B">
        <w:trPr>
          <w:trHeight w:val="765"/>
        </w:trPr>
        <w:tc>
          <w:tcPr>
            <w:tcW w:w="3049" w:type="dxa"/>
            <w:tcBorders>
              <w:top w:val="single" w:sz="4" w:space="0" w:color="auto"/>
              <w:left w:val="single" w:sz="4" w:space="0" w:color="auto"/>
              <w:bottom w:val="single" w:sz="4" w:space="0" w:color="auto"/>
              <w:right w:val="single" w:sz="4" w:space="0" w:color="auto"/>
            </w:tcBorders>
            <w:shd w:val="clear" w:color="auto" w:fill="auto"/>
            <w:hideMark/>
          </w:tcPr>
          <w:p w:rsidR="00061AD3" w:rsidRPr="00D16877" w:rsidRDefault="00061AD3" w:rsidP="00F92B8B">
            <w:pPr>
              <w:rPr>
                <w:b/>
                <w:bCs/>
                <w:sz w:val="16"/>
                <w:szCs w:val="16"/>
              </w:rPr>
            </w:pPr>
            <w:r w:rsidRPr="00D16877">
              <w:rPr>
                <w:b/>
                <w:bCs/>
                <w:sz w:val="16"/>
                <w:szCs w:val="16"/>
              </w:rPr>
              <w:t>Annual Burden hours</w:t>
            </w:r>
          </w:p>
        </w:tc>
        <w:tc>
          <w:tcPr>
            <w:tcW w:w="1001" w:type="dxa"/>
            <w:tcBorders>
              <w:top w:val="single" w:sz="4" w:space="0" w:color="auto"/>
              <w:left w:val="nil"/>
              <w:bottom w:val="single" w:sz="4" w:space="0" w:color="auto"/>
              <w:right w:val="single" w:sz="4" w:space="0" w:color="auto"/>
            </w:tcBorders>
            <w:shd w:val="clear" w:color="auto" w:fill="auto"/>
            <w:hideMark/>
          </w:tcPr>
          <w:p w:rsidR="00061AD3" w:rsidRPr="00D16877" w:rsidRDefault="00061AD3" w:rsidP="00F92B8B">
            <w:pPr>
              <w:rPr>
                <w:b/>
                <w:bCs/>
                <w:color w:val="000000"/>
                <w:sz w:val="16"/>
                <w:szCs w:val="16"/>
              </w:rPr>
            </w:pPr>
            <w:r w:rsidRPr="00D16877">
              <w:rPr>
                <w:b/>
                <w:bCs/>
                <w:color w:val="000000"/>
                <w:sz w:val="16"/>
                <w:szCs w:val="16"/>
              </w:rPr>
              <w:t>14280</w:t>
            </w:r>
          </w:p>
        </w:tc>
        <w:tc>
          <w:tcPr>
            <w:tcW w:w="1170" w:type="dxa"/>
            <w:tcBorders>
              <w:top w:val="single" w:sz="4" w:space="0" w:color="auto"/>
              <w:left w:val="nil"/>
              <w:bottom w:val="single" w:sz="4" w:space="0" w:color="auto"/>
              <w:right w:val="single" w:sz="4" w:space="0" w:color="auto"/>
            </w:tcBorders>
            <w:shd w:val="clear" w:color="auto" w:fill="auto"/>
            <w:hideMark/>
          </w:tcPr>
          <w:p w:rsidR="00061AD3" w:rsidRPr="00D16877" w:rsidRDefault="00061AD3" w:rsidP="00F92B8B">
            <w:pPr>
              <w:rPr>
                <w:b/>
                <w:bCs/>
                <w:color w:val="000000"/>
                <w:sz w:val="16"/>
                <w:szCs w:val="16"/>
              </w:rPr>
            </w:pPr>
            <w:r w:rsidRPr="00D16877">
              <w:rPr>
                <w:b/>
                <w:bCs/>
                <w:color w:val="000000"/>
                <w:sz w:val="16"/>
                <w:szCs w:val="16"/>
              </w:rPr>
              <w:t>14280</w:t>
            </w:r>
          </w:p>
        </w:tc>
        <w:tc>
          <w:tcPr>
            <w:tcW w:w="1980" w:type="dxa"/>
            <w:tcBorders>
              <w:top w:val="single" w:sz="4" w:space="0" w:color="auto"/>
              <w:left w:val="nil"/>
              <w:bottom w:val="single" w:sz="4" w:space="0" w:color="auto"/>
              <w:right w:val="single" w:sz="4" w:space="0" w:color="auto"/>
            </w:tcBorders>
            <w:shd w:val="clear" w:color="auto" w:fill="auto"/>
            <w:hideMark/>
          </w:tcPr>
          <w:p w:rsidR="00061AD3" w:rsidRPr="00D16877" w:rsidRDefault="00061AD3" w:rsidP="00F92B8B">
            <w:pPr>
              <w:rPr>
                <w:b/>
                <w:bCs/>
                <w:color w:val="000000"/>
                <w:sz w:val="16"/>
                <w:szCs w:val="16"/>
              </w:rPr>
            </w:pPr>
            <w:r w:rsidRPr="00D16877">
              <w:rPr>
                <w:b/>
                <w:bCs/>
                <w:color w:val="000000"/>
                <w:sz w:val="16"/>
                <w:szCs w:val="16"/>
              </w:rPr>
              <w:t>28560</w:t>
            </w:r>
          </w:p>
        </w:tc>
      </w:tr>
    </w:tbl>
    <w:p w:rsidR="00061AD3" w:rsidRDefault="00061AD3" w:rsidP="00EB0488">
      <w:pPr>
        <w:pStyle w:val="Default"/>
        <w:rPr>
          <w:sz w:val="23"/>
          <w:szCs w:val="23"/>
        </w:rPr>
      </w:pPr>
    </w:p>
    <w:p w:rsidR="00061AD3" w:rsidRDefault="00061AD3" w:rsidP="00061AD3">
      <w:pPr>
        <w:jc w:val="center"/>
        <w:rPr>
          <w:b/>
        </w:rPr>
      </w:pPr>
      <w:r>
        <w:rPr>
          <w:b/>
        </w:rPr>
        <w:t>Table 2</w:t>
      </w:r>
    </w:p>
    <w:p w:rsidR="00061AD3" w:rsidRPr="0007535F" w:rsidRDefault="00061AD3" w:rsidP="00061AD3">
      <w:pPr>
        <w:jc w:val="center"/>
        <w:rPr>
          <w:b/>
        </w:rPr>
      </w:pPr>
      <w:r w:rsidRPr="0007535F">
        <w:rPr>
          <w:b/>
        </w:rPr>
        <w:t xml:space="preserve">Total Wage </w:t>
      </w:r>
      <w:r>
        <w:rPr>
          <w:b/>
        </w:rPr>
        <w:t>B</w:t>
      </w:r>
      <w:r w:rsidRPr="0007535F">
        <w:rPr>
          <w:b/>
        </w:rPr>
        <w:t xml:space="preserve">urden by </w:t>
      </w:r>
      <w:r>
        <w:rPr>
          <w:b/>
        </w:rPr>
        <w:t>Report</w:t>
      </w:r>
    </w:p>
    <w:p w:rsidR="00061AD3" w:rsidRPr="0007535F" w:rsidRDefault="00061AD3" w:rsidP="00061AD3">
      <w:pPr>
        <w:rPr>
          <w:b/>
        </w:rPr>
      </w:pPr>
    </w:p>
    <w:p w:rsidR="00061AD3" w:rsidRDefault="00061AD3" w:rsidP="00061AD3">
      <w:r w:rsidRPr="0007535F">
        <w:t xml:space="preserve">The estimated wage burden for the </w:t>
      </w:r>
      <w:r>
        <w:t xml:space="preserve">CCIP and QIP reports </w:t>
      </w:r>
      <w:r w:rsidRPr="0007535F">
        <w:t>is $</w:t>
      </w:r>
      <w:r>
        <w:t xml:space="preserve">1,570,800 </w:t>
      </w:r>
      <w:r w:rsidRPr="0007535F">
        <w:t>based on an estimate wage rate of $</w:t>
      </w:r>
      <w:r>
        <w:t>5</w:t>
      </w:r>
      <w:r w:rsidRPr="0007535F">
        <w:t>5.00 per hour wage</w:t>
      </w:r>
      <w:r>
        <w:t>.</w:t>
      </w:r>
    </w:p>
    <w:p w:rsidR="00061AD3" w:rsidRDefault="00061AD3" w:rsidP="00061AD3"/>
    <w:tbl>
      <w:tblPr>
        <w:tblW w:w="8280" w:type="dxa"/>
        <w:tblInd w:w="108" w:type="dxa"/>
        <w:tblLayout w:type="fixed"/>
        <w:tblLook w:val="0000" w:firstRow="0" w:lastRow="0" w:firstColumn="0" w:lastColumn="0" w:noHBand="0" w:noVBand="0"/>
      </w:tblPr>
      <w:tblGrid>
        <w:gridCol w:w="3060"/>
        <w:gridCol w:w="2160"/>
        <w:gridCol w:w="1620"/>
        <w:gridCol w:w="1440"/>
      </w:tblGrid>
      <w:tr w:rsidR="00061AD3" w:rsidRPr="00D16877" w:rsidTr="00F92B8B">
        <w:trPr>
          <w:trHeight w:val="610"/>
        </w:trPr>
        <w:tc>
          <w:tcPr>
            <w:tcW w:w="3060" w:type="dxa"/>
            <w:tcBorders>
              <w:top w:val="single" w:sz="8" w:space="0" w:color="auto"/>
              <w:left w:val="single" w:sz="8" w:space="0" w:color="auto"/>
              <w:bottom w:val="single" w:sz="4" w:space="0" w:color="auto"/>
              <w:right w:val="single" w:sz="4" w:space="0" w:color="auto"/>
            </w:tcBorders>
            <w:shd w:val="clear" w:color="auto" w:fill="auto"/>
            <w:vAlign w:val="center"/>
          </w:tcPr>
          <w:p w:rsidR="00061AD3" w:rsidRPr="00373DBF" w:rsidRDefault="00061AD3" w:rsidP="00F92B8B">
            <w:pPr>
              <w:rPr>
                <w:b/>
                <w:bCs/>
                <w:sz w:val="16"/>
                <w:szCs w:val="16"/>
              </w:rPr>
            </w:pPr>
            <w:r w:rsidRPr="00373DBF">
              <w:rPr>
                <w:b/>
                <w:bCs/>
                <w:sz w:val="16"/>
                <w:szCs w:val="16"/>
              </w:rPr>
              <w:t>Report/Responses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061AD3" w:rsidRPr="00373DBF" w:rsidRDefault="00061AD3" w:rsidP="00F92B8B">
            <w:pPr>
              <w:rPr>
                <w:b/>
                <w:bCs/>
                <w:color w:val="000000"/>
                <w:sz w:val="16"/>
                <w:szCs w:val="16"/>
              </w:rPr>
            </w:pPr>
            <w:r w:rsidRPr="00373DBF">
              <w:rPr>
                <w:b/>
                <w:bCs/>
                <w:color w:val="000000"/>
                <w:sz w:val="16"/>
                <w:szCs w:val="16"/>
              </w:rPr>
              <w:t>CCIP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1AD3" w:rsidRPr="00373DBF" w:rsidRDefault="00061AD3" w:rsidP="00F92B8B">
            <w:pPr>
              <w:rPr>
                <w:b/>
                <w:bCs/>
                <w:color w:val="000000"/>
                <w:sz w:val="16"/>
                <w:szCs w:val="16"/>
              </w:rPr>
            </w:pPr>
            <w:r w:rsidRPr="00373DBF">
              <w:rPr>
                <w:b/>
                <w:bCs/>
                <w:color w:val="000000"/>
                <w:sz w:val="16"/>
                <w:szCs w:val="16"/>
              </w:rPr>
              <w:t>QIP</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61AD3" w:rsidRPr="00373DBF" w:rsidRDefault="00061AD3" w:rsidP="00F92B8B">
            <w:pPr>
              <w:rPr>
                <w:b/>
                <w:bCs/>
                <w:color w:val="000000"/>
                <w:sz w:val="16"/>
                <w:szCs w:val="16"/>
              </w:rPr>
            </w:pPr>
            <w:r w:rsidRPr="00373DBF">
              <w:rPr>
                <w:b/>
                <w:bCs/>
                <w:color w:val="000000"/>
                <w:sz w:val="16"/>
                <w:szCs w:val="16"/>
              </w:rPr>
              <w:t>Total</w:t>
            </w:r>
          </w:p>
        </w:tc>
      </w:tr>
      <w:tr w:rsidR="00061AD3" w:rsidRPr="00D16877" w:rsidTr="00F92B8B">
        <w:trPr>
          <w:trHeight w:val="610"/>
        </w:trPr>
        <w:tc>
          <w:tcPr>
            <w:tcW w:w="3060" w:type="dxa"/>
            <w:tcBorders>
              <w:top w:val="single" w:sz="8" w:space="0" w:color="auto"/>
              <w:left w:val="single" w:sz="8" w:space="0" w:color="auto"/>
              <w:bottom w:val="single" w:sz="4" w:space="0" w:color="auto"/>
              <w:right w:val="single" w:sz="4" w:space="0" w:color="auto"/>
            </w:tcBorders>
            <w:shd w:val="clear" w:color="auto" w:fill="auto"/>
            <w:vAlign w:val="center"/>
          </w:tcPr>
          <w:p w:rsidR="00061AD3" w:rsidRPr="00373DBF" w:rsidRDefault="00061AD3" w:rsidP="00F92B8B">
            <w:pPr>
              <w:rPr>
                <w:b/>
                <w:bCs/>
                <w:sz w:val="16"/>
                <w:szCs w:val="16"/>
              </w:rPr>
            </w:pPr>
            <w:r w:rsidRPr="00373DBF">
              <w:rPr>
                <w:b/>
                <w:bCs/>
                <w:sz w:val="16"/>
                <w:szCs w:val="16"/>
              </w:rPr>
              <w:t>Annual burden Hours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061AD3" w:rsidRPr="00373DBF" w:rsidRDefault="00061AD3" w:rsidP="00F92B8B">
            <w:pPr>
              <w:rPr>
                <w:bCs/>
                <w:color w:val="000000"/>
                <w:sz w:val="16"/>
                <w:szCs w:val="16"/>
              </w:rPr>
            </w:pPr>
            <w:r w:rsidRPr="00373DBF">
              <w:rPr>
                <w:bCs/>
                <w:color w:val="000000"/>
                <w:sz w:val="16"/>
                <w:szCs w:val="16"/>
              </w:rPr>
              <w:t>14280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1AD3" w:rsidRPr="00373DBF" w:rsidRDefault="00061AD3" w:rsidP="00F92B8B">
            <w:pPr>
              <w:rPr>
                <w:bCs/>
                <w:color w:val="000000"/>
                <w:sz w:val="16"/>
                <w:szCs w:val="16"/>
              </w:rPr>
            </w:pPr>
            <w:r w:rsidRPr="00373DBF">
              <w:rPr>
                <w:bCs/>
                <w:color w:val="000000"/>
                <w:sz w:val="16"/>
                <w:szCs w:val="16"/>
              </w:rPr>
              <w:t>14280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61AD3" w:rsidRPr="00373DBF" w:rsidRDefault="00061AD3" w:rsidP="00F92B8B">
            <w:pPr>
              <w:rPr>
                <w:bCs/>
                <w:color w:val="000000"/>
                <w:sz w:val="16"/>
                <w:szCs w:val="16"/>
              </w:rPr>
            </w:pPr>
            <w:r w:rsidRPr="00373DBF">
              <w:rPr>
                <w:bCs/>
                <w:color w:val="000000"/>
                <w:sz w:val="16"/>
                <w:szCs w:val="16"/>
              </w:rPr>
              <w:t>28560</w:t>
            </w:r>
          </w:p>
        </w:tc>
      </w:tr>
      <w:tr w:rsidR="00061AD3" w:rsidRPr="00D16877" w:rsidTr="00F92B8B">
        <w:trPr>
          <w:trHeight w:val="610"/>
        </w:trPr>
        <w:tc>
          <w:tcPr>
            <w:tcW w:w="3060" w:type="dxa"/>
            <w:tcBorders>
              <w:top w:val="single" w:sz="8" w:space="0" w:color="auto"/>
              <w:left w:val="single" w:sz="8" w:space="0" w:color="auto"/>
              <w:bottom w:val="single" w:sz="4" w:space="0" w:color="auto"/>
              <w:right w:val="single" w:sz="4" w:space="0" w:color="auto"/>
            </w:tcBorders>
            <w:shd w:val="clear" w:color="auto" w:fill="auto"/>
            <w:vAlign w:val="center"/>
          </w:tcPr>
          <w:p w:rsidR="00061AD3" w:rsidRPr="00373DBF" w:rsidRDefault="00061AD3" w:rsidP="00F92B8B">
            <w:pPr>
              <w:rPr>
                <w:b/>
                <w:bCs/>
                <w:sz w:val="16"/>
                <w:szCs w:val="16"/>
              </w:rPr>
            </w:pPr>
            <w:r w:rsidRPr="00373DBF">
              <w:rPr>
                <w:b/>
                <w:bCs/>
                <w:sz w:val="16"/>
                <w:szCs w:val="16"/>
              </w:rPr>
              <w:t xml:space="preserve"> Hourly Wages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061AD3" w:rsidRPr="00373DBF" w:rsidRDefault="00061AD3" w:rsidP="00F92B8B">
            <w:pPr>
              <w:rPr>
                <w:bCs/>
                <w:color w:val="000000"/>
                <w:sz w:val="16"/>
                <w:szCs w:val="16"/>
              </w:rPr>
            </w:pPr>
            <w:r w:rsidRPr="00373DBF">
              <w:rPr>
                <w:bCs/>
                <w:color w:val="000000"/>
                <w:sz w:val="16"/>
                <w:szCs w:val="16"/>
              </w:rPr>
              <w:t xml:space="preserve">$55.00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1AD3" w:rsidRPr="00373DBF" w:rsidRDefault="00061AD3" w:rsidP="00F92B8B">
            <w:pPr>
              <w:rPr>
                <w:bCs/>
                <w:color w:val="000000"/>
                <w:sz w:val="16"/>
                <w:szCs w:val="16"/>
              </w:rPr>
            </w:pPr>
            <w:r w:rsidRPr="00373DBF">
              <w:rPr>
                <w:bCs/>
                <w:color w:val="000000"/>
                <w:sz w:val="16"/>
                <w:szCs w:val="16"/>
              </w:rPr>
              <w:t xml:space="preserve">$55.00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61AD3" w:rsidRPr="00373DBF" w:rsidRDefault="00061AD3" w:rsidP="00F92B8B">
            <w:pPr>
              <w:rPr>
                <w:bCs/>
                <w:color w:val="000000"/>
                <w:sz w:val="16"/>
                <w:szCs w:val="16"/>
              </w:rPr>
            </w:pPr>
            <w:r w:rsidRPr="00373DBF">
              <w:rPr>
                <w:bCs/>
                <w:color w:val="000000"/>
                <w:sz w:val="16"/>
                <w:szCs w:val="16"/>
              </w:rPr>
              <w:t xml:space="preserve">$55.00 </w:t>
            </w:r>
          </w:p>
        </w:tc>
      </w:tr>
      <w:tr w:rsidR="00061AD3" w:rsidRPr="00D16877" w:rsidTr="00F92B8B">
        <w:trPr>
          <w:trHeight w:val="610"/>
        </w:trPr>
        <w:tc>
          <w:tcPr>
            <w:tcW w:w="3060" w:type="dxa"/>
            <w:tcBorders>
              <w:top w:val="single" w:sz="8" w:space="0" w:color="auto"/>
              <w:left w:val="single" w:sz="8" w:space="0" w:color="auto"/>
              <w:bottom w:val="single" w:sz="4" w:space="0" w:color="auto"/>
              <w:right w:val="single" w:sz="4" w:space="0" w:color="auto"/>
            </w:tcBorders>
            <w:shd w:val="clear" w:color="auto" w:fill="auto"/>
            <w:vAlign w:val="center"/>
          </w:tcPr>
          <w:p w:rsidR="00061AD3" w:rsidRPr="00373DBF" w:rsidRDefault="00061AD3" w:rsidP="00F92B8B">
            <w:pPr>
              <w:rPr>
                <w:b/>
                <w:bCs/>
                <w:sz w:val="16"/>
                <w:szCs w:val="16"/>
              </w:rPr>
            </w:pPr>
            <w:r w:rsidRPr="00373DBF">
              <w:rPr>
                <w:b/>
                <w:bCs/>
                <w:sz w:val="16"/>
                <w:szCs w:val="16"/>
              </w:rPr>
              <w:t>Total Wage burden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061AD3" w:rsidRPr="00373DBF" w:rsidRDefault="00061AD3" w:rsidP="00F92B8B">
            <w:pPr>
              <w:rPr>
                <w:b/>
                <w:bCs/>
                <w:color w:val="000000"/>
                <w:sz w:val="16"/>
                <w:szCs w:val="16"/>
              </w:rPr>
            </w:pPr>
            <w:r w:rsidRPr="00373DBF">
              <w:rPr>
                <w:b/>
                <w:bCs/>
                <w:color w:val="000000"/>
                <w:sz w:val="16"/>
                <w:szCs w:val="16"/>
              </w:rPr>
              <w:t xml:space="preserve">$785,400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1AD3" w:rsidRPr="00373DBF" w:rsidRDefault="00061AD3" w:rsidP="00F92B8B">
            <w:pPr>
              <w:rPr>
                <w:b/>
                <w:bCs/>
                <w:color w:val="000000"/>
                <w:sz w:val="16"/>
                <w:szCs w:val="16"/>
              </w:rPr>
            </w:pPr>
            <w:r w:rsidRPr="00373DBF">
              <w:rPr>
                <w:b/>
                <w:bCs/>
                <w:color w:val="000000"/>
                <w:sz w:val="16"/>
                <w:szCs w:val="16"/>
              </w:rPr>
              <w:t xml:space="preserve">$785,400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61AD3" w:rsidRPr="00373DBF" w:rsidRDefault="00061AD3" w:rsidP="00F92B8B">
            <w:pPr>
              <w:rPr>
                <w:b/>
                <w:bCs/>
                <w:color w:val="000000"/>
                <w:sz w:val="16"/>
                <w:szCs w:val="16"/>
              </w:rPr>
            </w:pPr>
            <w:r w:rsidRPr="00373DBF">
              <w:rPr>
                <w:b/>
                <w:bCs/>
                <w:color w:val="000000"/>
                <w:sz w:val="16"/>
                <w:szCs w:val="16"/>
              </w:rPr>
              <w:t xml:space="preserve">$1,570,800 </w:t>
            </w:r>
          </w:p>
        </w:tc>
      </w:tr>
    </w:tbl>
    <w:p w:rsidR="00061AD3" w:rsidRDefault="00061AD3" w:rsidP="00061AD3">
      <w:pPr>
        <w:pStyle w:val="Heading1"/>
        <w:jc w:val="left"/>
      </w:pPr>
    </w:p>
    <w:p w:rsidR="00061AD3" w:rsidRDefault="00061AD3" w:rsidP="00061AD3">
      <w:pPr>
        <w:pStyle w:val="Heading1"/>
      </w:pPr>
      <w:r>
        <w:t>Table 3</w:t>
      </w:r>
    </w:p>
    <w:p w:rsidR="00061AD3" w:rsidRDefault="00061AD3" w:rsidP="00061AD3">
      <w:pPr>
        <w:jc w:val="center"/>
        <w:rPr>
          <w:b/>
        </w:rPr>
      </w:pPr>
      <w:r>
        <w:rPr>
          <w:b/>
        </w:rPr>
        <w:t>Summary of Burden Hours Comparison CY</w:t>
      </w:r>
      <w:r w:rsidR="006E7365">
        <w:rPr>
          <w:b/>
        </w:rPr>
        <w:t xml:space="preserve"> </w:t>
      </w:r>
      <w:r>
        <w:rPr>
          <w:b/>
        </w:rPr>
        <w:t>201</w:t>
      </w:r>
      <w:r w:rsidR="006E7365">
        <w:rPr>
          <w:b/>
        </w:rPr>
        <w:t>1</w:t>
      </w:r>
      <w:r>
        <w:rPr>
          <w:b/>
        </w:rPr>
        <w:t xml:space="preserve"> to CY</w:t>
      </w:r>
      <w:r w:rsidR="006E7365">
        <w:rPr>
          <w:b/>
        </w:rPr>
        <w:t xml:space="preserve"> </w:t>
      </w:r>
      <w:r>
        <w:rPr>
          <w:b/>
        </w:rPr>
        <w:t>201</w:t>
      </w:r>
      <w:r w:rsidR="006E7365">
        <w:rPr>
          <w:b/>
        </w:rPr>
        <w:t>4</w:t>
      </w:r>
    </w:p>
    <w:p w:rsidR="00061AD3" w:rsidRDefault="00061AD3" w:rsidP="00061AD3">
      <w:pPr>
        <w:ind w:left="-630"/>
        <w:rPr>
          <w:b/>
          <w:sz w:val="18"/>
          <w:szCs w:val="18"/>
        </w:rPr>
      </w:pPr>
    </w:p>
    <w:p w:rsidR="00061AD3" w:rsidRPr="008F1A22" w:rsidRDefault="00061AD3" w:rsidP="00061AD3">
      <w:r w:rsidRPr="008F1A22">
        <w:t xml:space="preserve">The overall </w:t>
      </w:r>
      <w:r>
        <w:t xml:space="preserve">annual </w:t>
      </w:r>
      <w:r w:rsidRPr="008F1A22">
        <w:t>burden hour</w:t>
      </w:r>
      <w:r w:rsidR="00381B53">
        <w:t>s as well as the number of expected respondents remain the same</w:t>
      </w:r>
      <w:r w:rsidRPr="008F1A22">
        <w:t xml:space="preserve"> (CY201</w:t>
      </w:r>
      <w:r w:rsidR="00381B53">
        <w:t>1</w:t>
      </w:r>
      <w:r w:rsidRPr="008F1A22">
        <w:t xml:space="preserve"> </w:t>
      </w:r>
      <w:r>
        <w:t>b</w:t>
      </w:r>
      <w:r w:rsidRPr="008F1A22">
        <w:t>urden hours-CY201</w:t>
      </w:r>
      <w:r w:rsidR="00381B53">
        <w:t>4</w:t>
      </w:r>
      <w:r>
        <w:t xml:space="preserve"> b</w:t>
      </w:r>
      <w:r w:rsidRPr="008F1A22">
        <w:t>urden hours)</w:t>
      </w:r>
      <w:r>
        <w:t xml:space="preserve">.  </w:t>
      </w:r>
    </w:p>
    <w:p w:rsidR="00061AD3" w:rsidRDefault="00061AD3" w:rsidP="00061AD3">
      <w:pPr>
        <w:rPr>
          <w:b/>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1377"/>
        <w:gridCol w:w="1137"/>
        <w:gridCol w:w="1045"/>
        <w:gridCol w:w="241"/>
        <w:gridCol w:w="1403"/>
        <w:gridCol w:w="1170"/>
        <w:gridCol w:w="956"/>
      </w:tblGrid>
      <w:tr w:rsidR="00061AD3" w:rsidRPr="0007535F" w:rsidTr="002C1207">
        <w:tc>
          <w:tcPr>
            <w:tcW w:w="647" w:type="dxa"/>
          </w:tcPr>
          <w:p w:rsidR="00061AD3" w:rsidRPr="0007535F" w:rsidRDefault="00061AD3" w:rsidP="00F92B8B">
            <w:pPr>
              <w:rPr>
                <w:b/>
                <w:sz w:val="18"/>
                <w:szCs w:val="18"/>
              </w:rPr>
            </w:pPr>
          </w:p>
        </w:tc>
        <w:tc>
          <w:tcPr>
            <w:tcW w:w="1377" w:type="dxa"/>
          </w:tcPr>
          <w:p w:rsidR="00061AD3" w:rsidRPr="0007535F" w:rsidRDefault="00061AD3" w:rsidP="00F92B8B">
            <w:pPr>
              <w:rPr>
                <w:b/>
                <w:sz w:val="18"/>
                <w:szCs w:val="18"/>
              </w:rPr>
            </w:pPr>
            <w:r w:rsidRPr="0007535F">
              <w:rPr>
                <w:b/>
                <w:sz w:val="18"/>
                <w:szCs w:val="18"/>
              </w:rPr>
              <w:t>CY201</w:t>
            </w:r>
            <w:r w:rsidR="002C1207">
              <w:rPr>
                <w:b/>
                <w:sz w:val="18"/>
                <w:szCs w:val="18"/>
              </w:rPr>
              <w:t>1</w:t>
            </w:r>
            <w:r>
              <w:rPr>
                <w:b/>
                <w:sz w:val="18"/>
                <w:szCs w:val="18"/>
              </w:rPr>
              <w:t xml:space="preserve"> </w:t>
            </w:r>
            <w:r w:rsidRPr="0007535F">
              <w:rPr>
                <w:b/>
                <w:sz w:val="18"/>
                <w:szCs w:val="18"/>
              </w:rPr>
              <w:t>Number of Respondents</w:t>
            </w:r>
          </w:p>
        </w:tc>
        <w:tc>
          <w:tcPr>
            <w:tcW w:w="1137" w:type="dxa"/>
          </w:tcPr>
          <w:p w:rsidR="00061AD3" w:rsidRPr="0007535F" w:rsidRDefault="002C1207" w:rsidP="00F92B8B">
            <w:pPr>
              <w:rPr>
                <w:b/>
                <w:sz w:val="18"/>
                <w:szCs w:val="18"/>
              </w:rPr>
            </w:pPr>
            <w:r>
              <w:rPr>
                <w:b/>
                <w:sz w:val="18"/>
                <w:szCs w:val="18"/>
              </w:rPr>
              <w:t>2011</w:t>
            </w:r>
            <w:r w:rsidR="00061AD3">
              <w:rPr>
                <w:b/>
                <w:sz w:val="18"/>
                <w:szCs w:val="18"/>
              </w:rPr>
              <w:t xml:space="preserve"> </w:t>
            </w:r>
            <w:r w:rsidR="00061AD3" w:rsidRPr="0007535F">
              <w:rPr>
                <w:b/>
                <w:sz w:val="18"/>
                <w:szCs w:val="18"/>
              </w:rPr>
              <w:t>(hours)</w:t>
            </w:r>
          </w:p>
          <w:p w:rsidR="00061AD3" w:rsidRPr="0007535F" w:rsidRDefault="00061AD3" w:rsidP="00F92B8B">
            <w:pPr>
              <w:rPr>
                <w:b/>
                <w:sz w:val="18"/>
                <w:szCs w:val="18"/>
              </w:rPr>
            </w:pPr>
            <w:r w:rsidRPr="0007535F">
              <w:rPr>
                <w:b/>
                <w:sz w:val="18"/>
                <w:szCs w:val="18"/>
              </w:rPr>
              <w:t>Estimates</w:t>
            </w:r>
          </w:p>
        </w:tc>
        <w:tc>
          <w:tcPr>
            <w:tcW w:w="1045" w:type="dxa"/>
          </w:tcPr>
          <w:p w:rsidR="00061AD3" w:rsidRDefault="002C1207" w:rsidP="00F92B8B">
            <w:pPr>
              <w:rPr>
                <w:b/>
                <w:sz w:val="18"/>
                <w:szCs w:val="18"/>
              </w:rPr>
            </w:pPr>
            <w:r>
              <w:rPr>
                <w:b/>
                <w:sz w:val="18"/>
                <w:szCs w:val="18"/>
              </w:rPr>
              <w:t>CY2011</w:t>
            </w:r>
          </w:p>
          <w:p w:rsidR="00061AD3" w:rsidRPr="0007535F" w:rsidRDefault="00061AD3" w:rsidP="00F92B8B">
            <w:pPr>
              <w:rPr>
                <w:b/>
                <w:sz w:val="18"/>
                <w:szCs w:val="18"/>
              </w:rPr>
            </w:pPr>
            <w:r w:rsidRPr="0007535F">
              <w:rPr>
                <w:b/>
                <w:sz w:val="18"/>
                <w:szCs w:val="18"/>
              </w:rPr>
              <w:t>Annual Burden Hours</w:t>
            </w:r>
          </w:p>
        </w:tc>
        <w:tc>
          <w:tcPr>
            <w:tcW w:w="241" w:type="dxa"/>
            <w:shd w:val="clear" w:color="auto" w:fill="0D0D0D"/>
          </w:tcPr>
          <w:p w:rsidR="00061AD3" w:rsidRPr="0007535F" w:rsidRDefault="00061AD3" w:rsidP="00F92B8B">
            <w:pPr>
              <w:rPr>
                <w:b/>
                <w:sz w:val="18"/>
                <w:szCs w:val="18"/>
              </w:rPr>
            </w:pPr>
          </w:p>
        </w:tc>
        <w:tc>
          <w:tcPr>
            <w:tcW w:w="1403" w:type="dxa"/>
          </w:tcPr>
          <w:p w:rsidR="00061AD3" w:rsidRPr="0007535F" w:rsidRDefault="002C1207" w:rsidP="00F92B8B">
            <w:pPr>
              <w:rPr>
                <w:b/>
                <w:sz w:val="18"/>
                <w:szCs w:val="18"/>
              </w:rPr>
            </w:pPr>
            <w:r>
              <w:rPr>
                <w:b/>
                <w:sz w:val="18"/>
                <w:szCs w:val="18"/>
              </w:rPr>
              <w:t xml:space="preserve">CY2014 Number of </w:t>
            </w:r>
            <w:r w:rsidR="00061AD3" w:rsidRPr="0007535F">
              <w:rPr>
                <w:b/>
                <w:sz w:val="18"/>
                <w:szCs w:val="18"/>
              </w:rPr>
              <w:t>Respondents</w:t>
            </w:r>
          </w:p>
        </w:tc>
        <w:tc>
          <w:tcPr>
            <w:tcW w:w="1170" w:type="dxa"/>
          </w:tcPr>
          <w:p w:rsidR="00061AD3" w:rsidRPr="0007535F" w:rsidRDefault="00061AD3" w:rsidP="00F92B8B">
            <w:pPr>
              <w:rPr>
                <w:b/>
                <w:sz w:val="18"/>
                <w:szCs w:val="18"/>
              </w:rPr>
            </w:pPr>
            <w:r w:rsidRPr="0007535F">
              <w:rPr>
                <w:b/>
                <w:sz w:val="18"/>
                <w:szCs w:val="18"/>
              </w:rPr>
              <w:t>201</w:t>
            </w:r>
            <w:r w:rsidR="002C1207">
              <w:rPr>
                <w:b/>
                <w:sz w:val="18"/>
                <w:szCs w:val="18"/>
              </w:rPr>
              <w:t>4</w:t>
            </w:r>
            <w:r w:rsidRPr="0007535F">
              <w:rPr>
                <w:b/>
                <w:sz w:val="18"/>
                <w:szCs w:val="18"/>
              </w:rPr>
              <w:t>(hours)</w:t>
            </w:r>
          </w:p>
          <w:p w:rsidR="00061AD3" w:rsidRPr="0007535F" w:rsidRDefault="00061AD3" w:rsidP="00F92B8B">
            <w:pPr>
              <w:rPr>
                <w:b/>
                <w:sz w:val="18"/>
                <w:szCs w:val="18"/>
              </w:rPr>
            </w:pPr>
            <w:r w:rsidRPr="0007535F">
              <w:rPr>
                <w:b/>
                <w:sz w:val="18"/>
                <w:szCs w:val="18"/>
              </w:rPr>
              <w:t>Estimates</w:t>
            </w:r>
          </w:p>
        </w:tc>
        <w:tc>
          <w:tcPr>
            <w:tcW w:w="956" w:type="dxa"/>
          </w:tcPr>
          <w:p w:rsidR="00061AD3" w:rsidRPr="0007535F" w:rsidRDefault="00061AD3" w:rsidP="00F92B8B">
            <w:pPr>
              <w:rPr>
                <w:b/>
                <w:sz w:val="18"/>
                <w:szCs w:val="18"/>
              </w:rPr>
            </w:pPr>
            <w:r w:rsidRPr="0007535F">
              <w:rPr>
                <w:b/>
                <w:sz w:val="18"/>
                <w:szCs w:val="18"/>
              </w:rPr>
              <w:t xml:space="preserve"> CY201</w:t>
            </w:r>
            <w:r w:rsidR="002C1207">
              <w:rPr>
                <w:b/>
                <w:sz w:val="18"/>
                <w:szCs w:val="18"/>
              </w:rPr>
              <w:t>4</w:t>
            </w:r>
            <w:r>
              <w:rPr>
                <w:b/>
                <w:sz w:val="18"/>
                <w:szCs w:val="18"/>
              </w:rPr>
              <w:t xml:space="preserve"> </w:t>
            </w:r>
            <w:r w:rsidRPr="0007535F">
              <w:rPr>
                <w:b/>
                <w:sz w:val="18"/>
                <w:szCs w:val="18"/>
              </w:rPr>
              <w:t>Annual</w:t>
            </w:r>
          </w:p>
          <w:p w:rsidR="00061AD3" w:rsidRPr="0007535F" w:rsidRDefault="00061AD3" w:rsidP="00F92B8B">
            <w:pPr>
              <w:rPr>
                <w:b/>
                <w:sz w:val="18"/>
                <w:szCs w:val="18"/>
              </w:rPr>
            </w:pPr>
            <w:r w:rsidRPr="0007535F">
              <w:rPr>
                <w:b/>
                <w:sz w:val="18"/>
                <w:szCs w:val="18"/>
              </w:rPr>
              <w:t xml:space="preserve">Burden  </w:t>
            </w:r>
          </w:p>
          <w:p w:rsidR="00061AD3" w:rsidRPr="0007535F" w:rsidRDefault="00061AD3" w:rsidP="00F92B8B">
            <w:pPr>
              <w:rPr>
                <w:b/>
                <w:sz w:val="18"/>
                <w:szCs w:val="18"/>
              </w:rPr>
            </w:pPr>
            <w:r w:rsidRPr="0007535F">
              <w:rPr>
                <w:b/>
                <w:sz w:val="18"/>
                <w:szCs w:val="18"/>
              </w:rPr>
              <w:t>Hours</w:t>
            </w:r>
          </w:p>
        </w:tc>
      </w:tr>
      <w:tr w:rsidR="00061AD3" w:rsidRPr="0007535F" w:rsidTr="002C1207">
        <w:trPr>
          <w:trHeight w:val="278"/>
        </w:trPr>
        <w:tc>
          <w:tcPr>
            <w:tcW w:w="647" w:type="dxa"/>
          </w:tcPr>
          <w:p w:rsidR="00061AD3" w:rsidRPr="0007535F" w:rsidRDefault="00061AD3" w:rsidP="00F92B8B">
            <w:pPr>
              <w:rPr>
                <w:bCs/>
                <w:sz w:val="18"/>
                <w:szCs w:val="18"/>
              </w:rPr>
            </w:pPr>
            <w:r>
              <w:rPr>
                <w:bCs/>
                <w:sz w:val="18"/>
                <w:szCs w:val="18"/>
              </w:rPr>
              <w:t>CCIP</w:t>
            </w:r>
          </w:p>
        </w:tc>
        <w:tc>
          <w:tcPr>
            <w:tcW w:w="1377" w:type="dxa"/>
          </w:tcPr>
          <w:p w:rsidR="00061AD3" w:rsidRPr="0007535F" w:rsidRDefault="002C1207" w:rsidP="00F92B8B">
            <w:pPr>
              <w:rPr>
                <w:bCs/>
                <w:sz w:val="18"/>
                <w:szCs w:val="18"/>
              </w:rPr>
            </w:pPr>
            <w:r>
              <w:rPr>
                <w:bCs/>
                <w:sz w:val="18"/>
                <w:szCs w:val="18"/>
              </w:rPr>
              <w:t>952</w:t>
            </w:r>
          </w:p>
        </w:tc>
        <w:tc>
          <w:tcPr>
            <w:tcW w:w="1137" w:type="dxa"/>
          </w:tcPr>
          <w:p w:rsidR="00061AD3" w:rsidRPr="0007535F" w:rsidRDefault="002C1207" w:rsidP="00F92B8B">
            <w:pPr>
              <w:rPr>
                <w:bCs/>
                <w:sz w:val="18"/>
                <w:szCs w:val="18"/>
              </w:rPr>
            </w:pPr>
            <w:r>
              <w:rPr>
                <w:bCs/>
                <w:sz w:val="18"/>
                <w:szCs w:val="18"/>
              </w:rPr>
              <w:t>15</w:t>
            </w:r>
          </w:p>
        </w:tc>
        <w:tc>
          <w:tcPr>
            <w:tcW w:w="1045" w:type="dxa"/>
          </w:tcPr>
          <w:p w:rsidR="00061AD3" w:rsidRPr="0007535F" w:rsidRDefault="002C1207" w:rsidP="00F92B8B">
            <w:pPr>
              <w:rPr>
                <w:bCs/>
                <w:sz w:val="18"/>
                <w:szCs w:val="18"/>
              </w:rPr>
            </w:pPr>
            <w:r>
              <w:rPr>
                <w:bCs/>
                <w:sz w:val="18"/>
                <w:szCs w:val="18"/>
              </w:rPr>
              <w:t>14280</w:t>
            </w:r>
          </w:p>
        </w:tc>
        <w:tc>
          <w:tcPr>
            <w:tcW w:w="241" w:type="dxa"/>
            <w:shd w:val="clear" w:color="auto" w:fill="0D0D0D"/>
          </w:tcPr>
          <w:p w:rsidR="00061AD3" w:rsidRPr="0007535F" w:rsidRDefault="00061AD3" w:rsidP="00F92B8B">
            <w:pPr>
              <w:rPr>
                <w:bCs/>
                <w:sz w:val="18"/>
                <w:szCs w:val="18"/>
              </w:rPr>
            </w:pPr>
          </w:p>
        </w:tc>
        <w:tc>
          <w:tcPr>
            <w:tcW w:w="1403" w:type="dxa"/>
          </w:tcPr>
          <w:p w:rsidR="00061AD3" w:rsidRPr="0007535F" w:rsidRDefault="00061AD3" w:rsidP="00F92B8B">
            <w:pPr>
              <w:rPr>
                <w:bCs/>
                <w:sz w:val="18"/>
                <w:szCs w:val="18"/>
              </w:rPr>
            </w:pPr>
            <w:r>
              <w:rPr>
                <w:bCs/>
                <w:sz w:val="18"/>
                <w:szCs w:val="18"/>
              </w:rPr>
              <w:t>952</w:t>
            </w:r>
          </w:p>
        </w:tc>
        <w:tc>
          <w:tcPr>
            <w:tcW w:w="1170" w:type="dxa"/>
          </w:tcPr>
          <w:p w:rsidR="00061AD3" w:rsidRPr="0007535F" w:rsidRDefault="00061AD3" w:rsidP="00F92B8B">
            <w:pPr>
              <w:rPr>
                <w:bCs/>
                <w:sz w:val="18"/>
                <w:szCs w:val="18"/>
              </w:rPr>
            </w:pPr>
            <w:r>
              <w:rPr>
                <w:bCs/>
                <w:sz w:val="18"/>
                <w:szCs w:val="18"/>
              </w:rPr>
              <w:t>15</w:t>
            </w:r>
          </w:p>
        </w:tc>
        <w:tc>
          <w:tcPr>
            <w:tcW w:w="956" w:type="dxa"/>
          </w:tcPr>
          <w:p w:rsidR="00061AD3" w:rsidRPr="0007535F" w:rsidRDefault="00061AD3" w:rsidP="00F92B8B">
            <w:pPr>
              <w:rPr>
                <w:bCs/>
                <w:sz w:val="18"/>
                <w:szCs w:val="18"/>
              </w:rPr>
            </w:pPr>
            <w:r>
              <w:rPr>
                <w:bCs/>
                <w:sz w:val="18"/>
                <w:szCs w:val="18"/>
              </w:rPr>
              <w:t>14280</w:t>
            </w:r>
          </w:p>
        </w:tc>
      </w:tr>
      <w:tr w:rsidR="00061AD3" w:rsidTr="002C1207">
        <w:tc>
          <w:tcPr>
            <w:tcW w:w="647" w:type="dxa"/>
          </w:tcPr>
          <w:p w:rsidR="00061AD3" w:rsidRDefault="00061AD3" w:rsidP="00F92B8B">
            <w:pPr>
              <w:rPr>
                <w:bCs/>
                <w:sz w:val="18"/>
                <w:szCs w:val="18"/>
              </w:rPr>
            </w:pPr>
            <w:r>
              <w:rPr>
                <w:bCs/>
                <w:sz w:val="18"/>
                <w:szCs w:val="18"/>
              </w:rPr>
              <w:t xml:space="preserve">Q1P </w:t>
            </w:r>
          </w:p>
        </w:tc>
        <w:tc>
          <w:tcPr>
            <w:tcW w:w="1377" w:type="dxa"/>
          </w:tcPr>
          <w:p w:rsidR="00061AD3" w:rsidRDefault="002C1207" w:rsidP="00F92B8B">
            <w:pPr>
              <w:rPr>
                <w:bCs/>
                <w:sz w:val="18"/>
                <w:szCs w:val="18"/>
              </w:rPr>
            </w:pPr>
            <w:r>
              <w:rPr>
                <w:bCs/>
                <w:sz w:val="18"/>
                <w:szCs w:val="18"/>
              </w:rPr>
              <w:t>952</w:t>
            </w:r>
          </w:p>
        </w:tc>
        <w:tc>
          <w:tcPr>
            <w:tcW w:w="1137" w:type="dxa"/>
          </w:tcPr>
          <w:p w:rsidR="00061AD3" w:rsidRDefault="002C1207" w:rsidP="00F92B8B">
            <w:pPr>
              <w:rPr>
                <w:bCs/>
                <w:sz w:val="18"/>
                <w:szCs w:val="18"/>
              </w:rPr>
            </w:pPr>
            <w:r>
              <w:rPr>
                <w:bCs/>
                <w:sz w:val="18"/>
                <w:szCs w:val="18"/>
              </w:rPr>
              <w:t>15</w:t>
            </w:r>
          </w:p>
        </w:tc>
        <w:tc>
          <w:tcPr>
            <w:tcW w:w="1045" w:type="dxa"/>
          </w:tcPr>
          <w:p w:rsidR="00061AD3" w:rsidRDefault="002C1207" w:rsidP="00F92B8B">
            <w:pPr>
              <w:rPr>
                <w:bCs/>
                <w:sz w:val="18"/>
                <w:szCs w:val="18"/>
              </w:rPr>
            </w:pPr>
            <w:r>
              <w:rPr>
                <w:bCs/>
                <w:sz w:val="18"/>
                <w:szCs w:val="18"/>
              </w:rPr>
              <w:t>14280</w:t>
            </w:r>
          </w:p>
        </w:tc>
        <w:tc>
          <w:tcPr>
            <w:tcW w:w="241" w:type="dxa"/>
            <w:shd w:val="clear" w:color="auto" w:fill="0D0D0D"/>
          </w:tcPr>
          <w:p w:rsidR="00061AD3" w:rsidRPr="0007535F" w:rsidRDefault="00061AD3" w:rsidP="00F92B8B">
            <w:pPr>
              <w:rPr>
                <w:bCs/>
                <w:sz w:val="18"/>
                <w:szCs w:val="18"/>
              </w:rPr>
            </w:pPr>
          </w:p>
        </w:tc>
        <w:tc>
          <w:tcPr>
            <w:tcW w:w="1403" w:type="dxa"/>
          </w:tcPr>
          <w:p w:rsidR="00061AD3" w:rsidRDefault="00061AD3" w:rsidP="00F92B8B">
            <w:pPr>
              <w:rPr>
                <w:bCs/>
                <w:sz w:val="18"/>
                <w:szCs w:val="18"/>
              </w:rPr>
            </w:pPr>
            <w:r>
              <w:rPr>
                <w:bCs/>
                <w:sz w:val="18"/>
                <w:szCs w:val="18"/>
              </w:rPr>
              <w:t>952</w:t>
            </w:r>
          </w:p>
        </w:tc>
        <w:tc>
          <w:tcPr>
            <w:tcW w:w="1170" w:type="dxa"/>
          </w:tcPr>
          <w:p w:rsidR="00061AD3" w:rsidRDefault="00061AD3" w:rsidP="00F92B8B">
            <w:pPr>
              <w:rPr>
                <w:bCs/>
                <w:sz w:val="18"/>
                <w:szCs w:val="18"/>
              </w:rPr>
            </w:pPr>
            <w:r>
              <w:rPr>
                <w:bCs/>
                <w:sz w:val="18"/>
                <w:szCs w:val="18"/>
              </w:rPr>
              <w:t>15</w:t>
            </w:r>
          </w:p>
        </w:tc>
        <w:tc>
          <w:tcPr>
            <w:tcW w:w="956" w:type="dxa"/>
          </w:tcPr>
          <w:p w:rsidR="00061AD3" w:rsidRDefault="00061AD3" w:rsidP="00F92B8B">
            <w:pPr>
              <w:rPr>
                <w:bCs/>
                <w:sz w:val="18"/>
                <w:szCs w:val="18"/>
              </w:rPr>
            </w:pPr>
            <w:r>
              <w:rPr>
                <w:bCs/>
                <w:sz w:val="18"/>
                <w:szCs w:val="18"/>
              </w:rPr>
              <w:t>14280</w:t>
            </w:r>
          </w:p>
        </w:tc>
      </w:tr>
      <w:tr w:rsidR="00061AD3" w:rsidRPr="0007535F" w:rsidTr="002C1207">
        <w:tc>
          <w:tcPr>
            <w:tcW w:w="647" w:type="dxa"/>
          </w:tcPr>
          <w:p w:rsidR="00061AD3" w:rsidRDefault="00061AD3" w:rsidP="00F92B8B">
            <w:pPr>
              <w:rPr>
                <w:b/>
                <w:bCs/>
                <w:sz w:val="18"/>
                <w:szCs w:val="18"/>
              </w:rPr>
            </w:pPr>
            <w:r>
              <w:rPr>
                <w:b/>
                <w:bCs/>
                <w:sz w:val="18"/>
                <w:szCs w:val="18"/>
              </w:rPr>
              <w:t>Total</w:t>
            </w:r>
          </w:p>
        </w:tc>
        <w:tc>
          <w:tcPr>
            <w:tcW w:w="1377" w:type="dxa"/>
          </w:tcPr>
          <w:p w:rsidR="00061AD3" w:rsidRPr="0007535F" w:rsidRDefault="002C1207" w:rsidP="00F92B8B">
            <w:pPr>
              <w:rPr>
                <w:b/>
                <w:bCs/>
                <w:sz w:val="18"/>
                <w:szCs w:val="18"/>
              </w:rPr>
            </w:pPr>
            <w:r>
              <w:rPr>
                <w:b/>
                <w:bCs/>
                <w:sz w:val="18"/>
                <w:szCs w:val="18"/>
              </w:rPr>
              <w:t>1904</w:t>
            </w:r>
          </w:p>
        </w:tc>
        <w:tc>
          <w:tcPr>
            <w:tcW w:w="1137" w:type="dxa"/>
          </w:tcPr>
          <w:p w:rsidR="00061AD3" w:rsidRPr="0007535F" w:rsidRDefault="00061AD3" w:rsidP="00F92B8B">
            <w:pPr>
              <w:rPr>
                <w:b/>
                <w:bCs/>
                <w:sz w:val="18"/>
                <w:szCs w:val="18"/>
              </w:rPr>
            </w:pPr>
          </w:p>
        </w:tc>
        <w:tc>
          <w:tcPr>
            <w:tcW w:w="1045" w:type="dxa"/>
          </w:tcPr>
          <w:p w:rsidR="00061AD3" w:rsidRPr="0007535F" w:rsidRDefault="002C1207" w:rsidP="00F92B8B">
            <w:pPr>
              <w:rPr>
                <w:b/>
                <w:bCs/>
                <w:sz w:val="18"/>
                <w:szCs w:val="18"/>
              </w:rPr>
            </w:pPr>
            <w:r>
              <w:rPr>
                <w:b/>
                <w:bCs/>
                <w:sz w:val="18"/>
                <w:szCs w:val="18"/>
              </w:rPr>
              <w:t>28560</w:t>
            </w:r>
          </w:p>
        </w:tc>
        <w:tc>
          <w:tcPr>
            <w:tcW w:w="241" w:type="dxa"/>
            <w:shd w:val="clear" w:color="auto" w:fill="0D0D0D"/>
          </w:tcPr>
          <w:p w:rsidR="00061AD3" w:rsidRPr="0007535F" w:rsidRDefault="00061AD3" w:rsidP="00F92B8B">
            <w:pPr>
              <w:rPr>
                <w:b/>
                <w:bCs/>
                <w:sz w:val="18"/>
                <w:szCs w:val="18"/>
              </w:rPr>
            </w:pPr>
          </w:p>
        </w:tc>
        <w:tc>
          <w:tcPr>
            <w:tcW w:w="1403" w:type="dxa"/>
          </w:tcPr>
          <w:p w:rsidR="00061AD3" w:rsidRPr="0007535F" w:rsidRDefault="00061AD3" w:rsidP="00F92B8B">
            <w:pPr>
              <w:rPr>
                <w:b/>
                <w:bCs/>
                <w:sz w:val="18"/>
                <w:szCs w:val="18"/>
              </w:rPr>
            </w:pPr>
            <w:r>
              <w:rPr>
                <w:b/>
                <w:bCs/>
                <w:sz w:val="18"/>
                <w:szCs w:val="18"/>
              </w:rPr>
              <w:t>1904</w:t>
            </w:r>
          </w:p>
        </w:tc>
        <w:tc>
          <w:tcPr>
            <w:tcW w:w="1170" w:type="dxa"/>
          </w:tcPr>
          <w:p w:rsidR="00061AD3" w:rsidRPr="0007535F" w:rsidRDefault="00061AD3" w:rsidP="00F92B8B">
            <w:pPr>
              <w:rPr>
                <w:b/>
                <w:bCs/>
                <w:sz w:val="18"/>
                <w:szCs w:val="18"/>
              </w:rPr>
            </w:pPr>
          </w:p>
        </w:tc>
        <w:tc>
          <w:tcPr>
            <w:tcW w:w="956" w:type="dxa"/>
          </w:tcPr>
          <w:p w:rsidR="00061AD3" w:rsidRPr="0007535F" w:rsidRDefault="00061AD3" w:rsidP="00F92B8B">
            <w:pPr>
              <w:rPr>
                <w:b/>
                <w:bCs/>
                <w:sz w:val="18"/>
                <w:szCs w:val="18"/>
              </w:rPr>
            </w:pPr>
            <w:r>
              <w:rPr>
                <w:b/>
                <w:bCs/>
                <w:sz w:val="18"/>
                <w:szCs w:val="18"/>
              </w:rPr>
              <w:t>28560</w:t>
            </w:r>
          </w:p>
        </w:tc>
      </w:tr>
    </w:tbl>
    <w:p w:rsidR="00061AD3" w:rsidRDefault="00061AD3" w:rsidP="00061AD3">
      <w:pPr>
        <w:rPr>
          <w:b/>
        </w:rPr>
      </w:pPr>
    </w:p>
    <w:p w:rsidR="00061AD3" w:rsidRDefault="00061AD3" w:rsidP="00061AD3"/>
    <w:p w:rsidR="00061AD3" w:rsidRDefault="00061AD3" w:rsidP="00061AD3">
      <w:pPr>
        <w:rPr>
          <w:i/>
          <w:u w:val="single"/>
        </w:rPr>
      </w:pPr>
      <w:r>
        <w:rPr>
          <w:i/>
          <w:u w:val="single"/>
        </w:rPr>
        <w:t>Estimate of total annual cost burden to respondents from collection of information – (a) total capital and start-up cost; (b) total operation and maintenance</w:t>
      </w:r>
    </w:p>
    <w:p w:rsidR="00061AD3" w:rsidRDefault="00061AD3" w:rsidP="00061AD3">
      <w:pPr>
        <w:rPr>
          <w:i/>
          <w:u w:val="single"/>
        </w:rPr>
      </w:pPr>
    </w:p>
    <w:p w:rsidR="00061AD3" w:rsidRDefault="00061AD3" w:rsidP="00061AD3">
      <w:r>
        <w:t>Not applicable.  The entities that apply are ongoing health organizations that voluntarily elect to pursue a CMS Medicare Advantage contract to offer health coverage to beneficiaries.</w:t>
      </w:r>
    </w:p>
    <w:p w:rsidR="00061AD3" w:rsidRPr="003B7301" w:rsidRDefault="00061AD3" w:rsidP="00061AD3"/>
    <w:p w:rsidR="00061AD3" w:rsidRDefault="00061AD3" w:rsidP="00061AD3">
      <w:r>
        <w:t>13.</w:t>
      </w:r>
      <w:r>
        <w:tab/>
      </w:r>
      <w:r>
        <w:rPr>
          <w:u w:val="single"/>
        </w:rPr>
        <w:t>Capital Costs</w:t>
      </w:r>
    </w:p>
    <w:p w:rsidR="00061AD3" w:rsidRDefault="00061AD3" w:rsidP="00061AD3"/>
    <w:p w:rsidR="00061AD3" w:rsidRDefault="00061AD3" w:rsidP="00061AD3">
      <w:r>
        <w:t xml:space="preserve">We do not anticipate additional capital costs.  CMS requirements do not require the acquisition of new systems or the development of new technology to complete these reports.  </w:t>
      </w:r>
    </w:p>
    <w:p w:rsidR="00061AD3" w:rsidRDefault="00061AD3" w:rsidP="00061AD3"/>
    <w:p w:rsidR="00061AD3" w:rsidRDefault="00061AD3" w:rsidP="00061AD3">
      <w:pPr>
        <w:rPr>
          <w:u w:val="single"/>
        </w:rPr>
      </w:pPr>
      <w:r>
        <w:t>14.</w:t>
      </w:r>
      <w:r>
        <w:tab/>
      </w:r>
      <w:r>
        <w:rPr>
          <w:u w:val="single"/>
        </w:rPr>
        <w:t>Cost to Federal Government</w:t>
      </w:r>
    </w:p>
    <w:p w:rsidR="00061AD3" w:rsidRDefault="00061AD3" w:rsidP="00061AD3">
      <w:r>
        <w:br/>
        <w:t>CMS</w:t>
      </w:r>
      <w:r w:rsidR="00FF18BE">
        <w:t xml:space="preserve"> will internally </w:t>
      </w:r>
      <w:r w:rsidR="00C03AF2">
        <w:t xml:space="preserve">review </w:t>
      </w:r>
      <w:r>
        <w:t xml:space="preserve">and </w:t>
      </w:r>
      <w:r w:rsidRPr="002A5A25">
        <w:t>analyz</w:t>
      </w:r>
      <w:r w:rsidR="00FF18BE">
        <w:t>e</w:t>
      </w:r>
      <w:r>
        <w:t xml:space="preserve"> the</w:t>
      </w:r>
      <w:r w:rsidRPr="002A5A25">
        <w:t xml:space="preserve"> </w:t>
      </w:r>
      <w:r>
        <w:t>CC</w:t>
      </w:r>
      <w:r w:rsidRPr="002A5A25">
        <w:t xml:space="preserve">IP and </w:t>
      </w:r>
      <w:r>
        <w:t>Q</w:t>
      </w:r>
      <w:r w:rsidRPr="002A5A25">
        <w:t xml:space="preserve">IP submissions. </w:t>
      </w:r>
      <w:r>
        <w:t>The estimated cost for review of MAOs</w:t>
      </w:r>
      <w:r w:rsidR="00C03AF2">
        <w:t>’</w:t>
      </w:r>
      <w:r>
        <w:t xml:space="preserve"> CCIP and QIP submission</w:t>
      </w:r>
      <w:r w:rsidR="00C03AF2">
        <w:t>s</w:t>
      </w:r>
      <w:r>
        <w:t xml:space="preserve"> is</w:t>
      </w:r>
      <w:r w:rsidR="00FF18BE">
        <w:t xml:space="preserve"> $1,047,20</w:t>
      </w:r>
      <w:r>
        <w:t>0. This estimated cost is based on the budgeted amount per review and estimate</w:t>
      </w:r>
      <w:r w:rsidR="00C03AF2">
        <w:t>d</w:t>
      </w:r>
      <w:r>
        <w:t xml:space="preserve"> wages of reviewers and support staff. </w:t>
      </w:r>
    </w:p>
    <w:p w:rsidR="00061AD3" w:rsidRDefault="00061AD3" w:rsidP="00061AD3">
      <w:pPr>
        <w:rPr>
          <w:i/>
          <w:u w:val="single"/>
        </w:rPr>
      </w:pPr>
    </w:p>
    <w:p w:rsidR="00061AD3" w:rsidRDefault="00061AD3" w:rsidP="00061AD3">
      <w:pPr>
        <w:rPr>
          <w:i/>
          <w:u w:val="single"/>
        </w:rPr>
      </w:pPr>
      <w:r>
        <w:rPr>
          <w:i/>
          <w:u w:val="single"/>
        </w:rPr>
        <w:t>Annualized Cost to Federal Government</w:t>
      </w:r>
    </w:p>
    <w:p w:rsidR="00061AD3" w:rsidRDefault="00061AD3" w:rsidP="00061AD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816"/>
        <w:gridCol w:w="2952"/>
      </w:tblGrid>
      <w:tr w:rsidR="00061AD3" w:rsidTr="00F92B8B">
        <w:tc>
          <w:tcPr>
            <w:tcW w:w="1980" w:type="dxa"/>
          </w:tcPr>
          <w:p w:rsidR="00061AD3" w:rsidRDefault="00061AD3" w:rsidP="00F92B8B">
            <w:r>
              <w:t>CMS Subject Matter Expert (SME)</w:t>
            </w:r>
          </w:p>
        </w:tc>
        <w:tc>
          <w:tcPr>
            <w:tcW w:w="3816" w:type="dxa"/>
          </w:tcPr>
          <w:p w:rsidR="00061AD3" w:rsidRDefault="00061AD3" w:rsidP="00C03AF2">
            <w:r>
              <w:t>4 hours x $55.00/</w:t>
            </w:r>
            <w:proofErr w:type="spellStart"/>
            <w:r>
              <w:t>hr</w:t>
            </w:r>
            <w:proofErr w:type="spellEnd"/>
            <w:r>
              <w:t xml:space="preserve"> x 1904 </w:t>
            </w:r>
            <w:proofErr w:type="spellStart"/>
            <w:r w:rsidR="00C03AF2">
              <w:t>CCIP</w:t>
            </w:r>
            <w:proofErr w:type="spellEnd"/>
            <w:r w:rsidR="00C03AF2">
              <w:t>/</w:t>
            </w:r>
            <w:proofErr w:type="spellStart"/>
            <w:r w:rsidR="00C03AF2">
              <w:t>QIP</w:t>
            </w:r>
            <w:proofErr w:type="spellEnd"/>
            <w:r w:rsidR="00C03AF2">
              <w:t xml:space="preserve"> submissions</w:t>
            </w:r>
          </w:p>
        </w:tc>
        <w:tc>
          <w:tcPr>
            <w:tcW w:w="2952" w:type="dxa"/>
          </w:tcPr>
          <w:p w:rsidR="00061AD3" w:rsidRDefault="00061AD3" w:rsidP="00F92B8B">
            <w:r>
              <w:t>$418,880</w:t>
            </w:r>
          </w:p>
        </w:tc>
      </w:tr>
      <w:tr w:rsidR="00061AD3" w:rsidTr="00F92B8B">
        <w:tc>
          <w:tcPr>
            <w:tcW w:w="1980" w:type="dxa"/>
          </w:tcPr>
          <w:p w:rsidR="00061AD3" w:rsidRDefault="00061AD3" w:rsidP="00F92B8B">
            <w:r>
              <w:t>CMS Regional Office Acct. Manager</w:t>
            </w:r>
          </w:p>
        </w:tc>
        <w:tc>
          <w:tcPr>
            <w:tcW w:w="3816" w:type="dxa"/>
          </w:tcPr>
          <w:p w:rsidR="00061AD3" w:rsidRDefault="00061AD3" w:rsidP="00C03AF2">
            <w:r>
              <w:t>6 hours x $55.00/</w:t>
            </w:r>
            <w:proofErr w:type="spellStart"/>
            <w:r>
              <w:t>hr</w:t>
            </w:r>
            <w:proofErr w:type="spellEnd"/>
            <w:r>
              <w:t xml:space="preserve"> x 1904 </w:t>
            </w:r>
            <w:proofErr w:type="spellStart"/>
            <w:r w:rsidR="00C03AF2">
              <w:t>CCIP</w:t>
            </w:r>
            <w:proofErr w:type="spellEnd"/>
            <w:r w:rsidR="00C03AF2">
              <w:t>/</w:t>
            </w:r>
            <w:proofErr w:type="spellStart"/>
            <w:r w:rsidR="00C03AF2">
              <w:t>QIP</w:t>
            </w:r>
            <w:proofErr w:type="spellEnd"/>
            <w:r>
              <w:t xml:space="preserve"> </w:t>
            </w:r>
            <w:r w:rsidR="00C03AF2">
              <w:t>submissions</w:t>
            </w:r>
          </w:p>
        </w:tc>
        <w:tc>
          <w:tcPr>
            <w:tcW w:w="2952" w:type="dxa"/>
          </w:tcPr>
          <w:p w:rsidR="00061AD3" w:rsidRDefault="00061AD3" w:rsidP="00F92B8B">
            <w:r>
              <w:t>$628,320</w:t>
            </w:r>
          </w:p>
        </w:tc>
      </w:tr>
      <w:tr w:rsidR="00061AD3" w:rsidTr="00F92B8B">
        <w:tc>
          <w:tcPr>
            <w:tcW w:w="1980" w:type="dxa"/>
          </w:tcPr>
          <w:p w:rsidR="00061AD3" w:rsidRDefault="00061AD3" w:rsidP="00F92B8B">
            <w:r>
              <w:t>Total</w:t>
            </w:r>
          </w:p>
        </w:tc>
        <w:tc>
          <w:tcPr>
            <w:tcW w:w="3816" w:type="dxa"/>
          </w:tcPr>
          <w:p w:rsidR="00061AD3" w:rsidRDefault="00061AD3" w:rsidP="00F92B8B"/>
        </w:tc>
        <w:tc>
          <w:tcPr>
            <w:tcW w:w="2952" w:type="dxa"/>
          </w:tcPr>
          <w:p w:rsidR="00061AD3" w:rsidRDefault="009B0113" w:rsidP="00F92B8B">
            <w:r>
              <w:t>$</w:t>
            </w:r>
            <w:r w:rsidRPr="009B0113">
              <w:t>1</w:t>
            </w:r>
            <w:r>
              <w:t>,</w:t>
            </w:r>
            <w:r w:rsidRPr="009B0113">
              <w:t>047</w:t>
            </w:r>
            <w:r>
              <w:t>,</w:t>
            </w:r>
            <w:r w:rsidRPr="009B0113">
              <w:t>200</w:t>
            </w:r>
          </w:p>
        </w:tc>
      </w:tr>
    </w:tbl>
    <w:p w:rsidR="00061AD3" w:rsidRDefault="00061AD3" w:rsidP="00061AD3"/>
    <w:p w:rsidR="00061AD3" w:rsidRDefault="00061AD3" w:rsidP="00061AD3">
      <w:pPr>
        <w:tabs>
          <w:tab w:val="left" w:pos="-90"/>
        </w:tabs>
        <w:ind w:left="-90"/>
      </w:pPr>
      <w:r>
        <w:t xml:space="preserve">The estimated </w:t>
      </w:r>
      <w:r w:rsidR="000C630E">
        <w:t>c</w:t>
      </w:r>
      <w:r>
        <w:t>ost per</w:t>
      </w:r>
      <w:r w:rsidR="000C630E">
        <w:t xml:space="preserve"> CCIP/QIP</w:t>
      </w:r>
      <w:r>
        <w:t xml:space="preserve"> review is $</w:t>
      </w:r>
      <w:r w:rsidR="00104767">
        <w:t>550</w:t>
      </w:r>
      <w:r>
        <w:t xml:space="preserve"> ($1,</w:t>
      </w:r>
      <w:r w:rsidR="00104767">
        <w:t>047,200</w:t>
      </w:r>
      <w:r>
        <w:t xml:space="preserve"> divided by 1,904 applications)</w:t>
      </w:r>
    </w:p>
    <w:p w:rsidR="00061AD3" w:rsidRDefault="00061AD3" w:rsidP="00061AD3"/>
    <w:p w:rsidR="00061AD3" w:rsidRDefault="00061AD3" w:rsidP="00061AD3">
      <w:r>
        <w:t>15.</w:t>
      </w:r>
      <w:r>
        <w:tab/>
      </w:r>
      <w:r>
        <w:rPr>
          <w:u w:val="single"/>
        </w:rPr>
        <w:t>Changes to Burden</w:t>
      </w:r>
    </w:p>
    <w:p w:rsidR="00061AD3" w:rsidRDefault="00061AD3" w:rsidP="00061AD3"/>
    <w:p w:rsidR="00061AD3" w:rsidRDefault="0007295A" w:rsidP="00061AD3">
      <w:r w:rsidRPr="0007295A">
        <w:t xml:space="preserve">There </w:t>
      </w:r>
      <w:r>
        <w:t xml:space="preserve">are no changes to the overall burden of hours to complete the CCIP and QIP. </w:t>
      </w:r>
      <w:r w:rsidR="00E17C29">
        <w:t xml:space="preserve">While the </w:t>
      </w:r>
      <w:proofErr w:type="spellStart"/>
      <w:r w:rsidR="00E17C29">
        <w:t>CCIP</w:t>
      </w:r>
      <w:proofErr w:type="spellEnd"/>
      <w:r w:rsidR="00E17C29">
        <w:t xml:space="preserve"> and </w:t>
      </w:r>
      <w:proofErr w:type="spellStart"/>
      <w:r w:rsidR="00E17C29">
        <w:t>QIP</w:t>
      </w:r>
      <w:proofErr w:type="spellEnd"/>
      <w:r w:rsidR="00E17C29">
        <w:t xml:space="preserve"> user guides have been revised, the changes are </w:t>
      </w:r>
      <w:proofErr w:type="spellStart"/>
      <w:r w:rsidR="00E17C29">
        <w:t>nonsubstantive</w:t>
      </w:r>
      <w:proofErr w:type="spellEnd"/>
      <w:r w:rsidR="00E17C29">
        <w:t xml:space="preserve">. </w:t>
      </w:r>
    </w:p>
    <w:p w:rsidR="00061AD3" w:rsidRDefault="00061AD3" w:rsidP="00061AD3"/>
    <w:p w:rsidR="00061AD3" w:rsidRDefault="00061AD3" w:rsidP="00061AD3">
      <w:r>
        <w:t>16.</w:t>
      </w:r>
      <w:r>
        <w:tab/>
      </w:r>
      <w:r>
        <w:rPr>
          <w:u w:val="single"/>
        </w:rPr>
        <w:t>Publication/Tabulation Dates</w:t>
      </w:r>
    </w:p>
    <w:p w:rsidR="00061AD3" w:rsidRDefault="00061AD3" w:rsidP="00061AD3"/>
    <w:p w:rsidR="00061AD3" w:rsidRDefault="00061AD3" w:rsidP="00061AD3">
      <w:r>
        <w:t xml:space="preserve">CMS anticipates that we will </w:t>
      </w:r>
      <w:r w:rsidR="0007295A">
        <w:t xml:space="preserve">publically report a summary of the CCIP and QIP findings. </w:t>
      </w:r>
    </w:p>
    <w:p w:rsidR="00061AD3" w:rsidRDefault="00061AD3" w:rsidP="00061AD3"/>
    <w:p w:rsidR="00061AD3" w:rsidRDefault="00061AD3" w:rsidP="00061AD3">
      <w:r>
        <w:t>17.</w:t>
      </w:r>
      <w:r>
        <w:tab/>
      </w:r>
      <w:r>
        <w:rPr>
          <w:u w:val="single"/>
        </w:rPr>
        <w:t>Expiration Date</w:t>
      </w:r>
    </w:p>
    <w:p w:rsidR="00061AD3" w:rsidRDefault="00061AD3" w:rsidP="00061AD3"/>
    <w:p w:rsidR="00061AD3" w:rsidRPr="00186528" w:rsidRDefault="00061AD3" w:rsidP="00061AD3">
      <w:r w:rsidRPr="00186528">
        <w:t>CMS is not requesting an exemption from displaying the expiration date</w:t>
      </w:r>
      <w:r>
        <w:t>. Requested expiration</w:t>
      </w:r>
      <w:r w:rsidR="00C50D03">
        <w:t xml:space="preserve"> date: March 31, 2017</w:t>
      </w:r>
      <w:r>
        <w:t>.</w:t>
      </w:r>
    </w:p>
    <w:p w:rsidR="00061AD3" w:rsidRDefault="00061AD3" w:rsidP="00061AD3"/>
    <w:p w:rsidR="00061AD3" w:rsidRDefault="00061AD3" w:rsidP="00061AD3">
      <w:r>
        <w:t>18.</w:t>
      </w:r>
      <w:r>
        <w:tab/>
      </w:r>
      <w:r>
        <w:rPr>
          <w:u w:val="single"/>
        </w:rPr>
        <w:t>Certification Statement</w:t>
      </w:r>
    </w:p>
    <w:p w:rsidR="00061AD3" w:rsidRDefault="00061AD3" w:rsidP="00061AD3"/>
    <w:p w:rsidR="00061AD3" w:rsidRDefault="00061AD3" w:rsidP="00061AD3">
      <w:r>
        <w:t>There are no exceptions to the certification statement.</w:t>
      </w:r>
    </w:p>
    <w:p w:rsidR="00061AD3" w:rsidRDefault="00061AD3" w:rsidP="00061AD3"/>
    <w:p w:rsidR="00061AD3" w:rsidRPr="00C84F7B" w:rsidRDefault="00061AD3" w:rsidP="00061AD3">
      <w:r w:rsidRPr="00C84F7B">
        <w:rPr>
          <w:b/>
        </w:rPr>
        <w:t>B.</w:t>
      </w:r>
      <w:r w:rsidRPr="00C84F7B">
        <w:rPr>
          <w:b/>
        </w:rPr>
        <w:tab/>
        <w:t>Collections of Information Employing Statistical Methods</w:t>
      </w:r>
    </w:p>
    <w:p w:rsidR="00061AD3" w:rsidRDefault="00061AD3" w:rsidP="00061AD3"/>
    <w:p w:rsidR="00061AD3" w:rsidRPr="00075C16" w:rsidRDefault="00061AD3" w:rsidP="00061AD3">
      <w:r>
        <w:t>This information collection does not employ any statistical analyses.</w:t>
      </w:r>
    </w:p>
    <w:p w:rsidR="00061AD3" w:rsidRDefault="00061AD3" w:rsidP="00EB0488">
      <w:pPr>
        <w:pStyle w:val="Default"/>
        <w:rPr>
          <w:sz w:val="23"/>
          <w:szCs w:val="23"/>
        </w:rPr>
      </w:pPr>
    </w:p>
    <w:sectPr w:rsidR="00061A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AD3" w:rsidRDefault="00061AD3" w:rsidP="00061AD3">
      <w:r>
        <w:separator/>
      </w:r>
    </w:p>
  </w:endnote>
  <w:endnote w:type="continuationSeparator" w:id="0">
    <w:p w:rsidR="00061AD3" w:rsidRDefault="00061AD3" w:rsidP="0006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AD3" w:rsidRDefault="00061AD3" w:rsidP="00061AD3">
      <w:r>
        <w:separator/>
      </w:r>
    </w:p>
  </w:footnote>
  <w:footnote w:type="continuationSeparator" w:id="0">
    <w:p w:rsidR="00061AD3" w:rsidRDefault="00061AD3" w:rsidP="00061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AD3" w:rsidRDefault="00061AD3">
    <w:pPr>
      <w:pStyle w:val="Header"/>
    </w:pPr>
  </w:p>
  <w:p w:rsidR="00061AD3" w:rsidRDefault="00061A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23E13"/>
    <w:multiLevelType w:val="hybridMultilevel"/>
    <w:tmpl w:val="83969922"/>
    <w:lvl w:ilvl="0" w:tplc="AA6C69C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511180F"/>
    <w:multiLevelType w:val="hybridMultilevel"/>
    <w:tmpl w:val="31B417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488"/>
    <w:rsid w:val="00000188"/>
    <w:rsid w:val="00061AD3"/>
    <w:rsid w:val="0007295A"/>
    <w:rsid w:val="000C630E"/>
    <w:rsid w:val="000D2DC6"/>
    <w:rsid w:val="00104767"/>
    <w:rsid w:val="00123127"/>
    <w:rsid w:val="002C1207"/>
    <w:rsid w:val="002F2C8D"/>
    <w:rsid w:val="00360938"/>
    <w:rsid w:val="00381B53"/>
    <w:rsid w:val="003C305E"/>
    <w:rsid w:val="006E7365"/>
    <w:rsid w:val="007D3618"/>
    <w:rsid w:val="00937FEB"/>
    <w:rsid w:val="00977E0C"/>
    <w:rsid w:val="009B0113"/>
    <w:rsid w:val="00B41312"/>
    <w:rsid w:val="00C03AF2"/>
    <w:rsid w:val="00C50D03"/>
    <w:rsid w:val="00C84F7B"/>
    <w:rsid w:val="00CB7355"/>
    <w:rsid w:val="00D9735C"/>
    <w:rsid w:val="00E17C29"/>
    <w:rsid w:val="00E30D78"/>
    <w:rsid w:val="00E57FCA"/>
    <w:rsid w:val="00EA4F87"/>
    <w:rsid w:val="00EB0488"/>
    <w:rsid w:val="00FF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A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61AD3"/>
    <w:pPr>
      <w:keepNext/>
      <w:widowControl w:val="0"/>
      <w:autoSpaceDE w:val="0"/>
      <w:autoSpaceDN w:val="0"/>
      <w:adjustRightInd w:val="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048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B048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B0488"/>
    <w:rPr>
      <w:rFonts w:ascii="Tahoma" w:hAnsi="Tahoma" w:cs="Tahoma"/>
      <w:sz w:val="16"/>
      <w:szCs w:val="16"/>
    </w:rPr>
  </w:style>
  <w:style w:type="paragraph" w:styleId="Header">
    <w:name w:val="header"/>
    <w:basedOn w:val="Normal"/>
    <w:link w:val="HeaderChar"/>
    <w:uiPriority w:val="99"/>
    <w:unhideWhenUsed/>
    <w:rsid w:val="00061AD3"/>
    <w:pPr>
      <w:tabs>
        <w:tab w:val="center" w:pos="4680"/>
        <w:tab w:val="right" w:pos="9360"/>
      </w:tabs>
    </w:pPr>
  </w:style>
  <w:style w:type="character" w:customStyle="1" w:styleId="HeaderChar">
    <w:name w:val="Header Char"/>
    <w:basedOn w:val="DefaultParagraphFont"/>
    <w:link w:val="Header"/>
    <w:uiPriority w:val="99"/>
    <w:rsid w:val="00061A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1AD3"/>
    <w:pPr>
      <w:tabs>
        <w:tab w:val="center" w:pos="4680"/>
        <w:tab w:val="right" w:pos="9360"/>
      </w:tabs>
    </w:pPr>
  </w:style>
  <w:style w:type="character" w:customStyle="1" w:styleId="FooterChar">
    <w:name w:val="Footer Char"/>
    <w:basedOn w:val="DefaultParagraphFont"/>
    <w:link w:val="Footer"/>
    <w:uiPriority w:val="99"/>
    <w:rsid w:val="00061AD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61AD3"/>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A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61AD3"/>
    <w:pPr>
      <w:keepNext/>
      <w:widowControl w:val="0"/>
      <w:autoSpaceDE w:val="0"/>
      <w:autoSpaceDN w:val="0"/>
      <w:adjustRightInd w:val="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048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B048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B0488"/>
    <w:rPr>
      <w:rFonts w:ascii="Tahoma" w:hAnsi="Tahoma" w:cs="Tahoma"/>
      <w:sz w:val="16"/>
      <w:szCs w:val="16"/>
    </w:rPr>
  </w:style>
  <w:style w:type="paragraph" w:styleId="Header">
    <w:name w:val="header"/>
    <w:basedOn w:val="Normal"/>
    <w:link w:val="HeaderChar"/>
    <w:uiPriority w:val="99"/>
    <w:unhideWhenUsed/>
    <w:rsid w:val="00061AD3"/>
    <w:pPr>
      <w:tabs>
        <w:tab w:val="center" w:pos="4680"/>
        <w:tab w:val="right" w:pos="9360"/>
      </w:tabs>
    </w:pPr>
  </w:style>
  <w:style w:type="character" w:customStyle="1" w:styleId="HeaderChar">
    <w:name w:val="Header Char"/>
    <w:basedOn w:val="DefaultParagraphFont"/>
    <w:link w:val="Header"/>
    <w:uiPriority w:val="99"/>
    <w:rsid w:val="00061A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1AD3"/>
    <w:pPr>
      <w:tabs>
        <w:tab w:val="center" w:pos="4680"/>
        <w:tab w:val="right" w:pos="9360"/>
      </w:tabs>
    </w:pPr>
  </w:style>
  <w:style w:type="character" w:customStyle="1" w:styleId="FooterChar">
    <w:name w:val="Footer Char"/>
    <w:basedOn w:val="DefaultParagraphFont"/>
    <w:link w:val="Footer"/>
    <w:uiPriority w:val="99"/>
    <w:rsid w:val="00061AD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61AD3"/>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DIEUJUSTE</dc:creator>
  <cp:lastModifiedBy>Mitch Bryman</cp:lastModifiedBy>
  <cp:revision>10</cp:revision>
  <cp:lastPrinted>2013-12-24T15:49:00Z</cp:lastPrinted>
  <dcterms:created xsi:type="dcterms:W3CDTF">2014-04-03T16:25:00Z</dcterms:created>
  <dcterms:modified xsi:type="dcterms:W3CDTF">2014-04-07T18:47:00Z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47688328</vt:i4>
  </property>
  <property fmtid="{D5CDD505-2E9C-101B-9397-08002B2CF9AE}" pid="3" name="_NewReviewCycle">
    <vt:lpwstr/>
  </property>
  <property fmtid="{D5CDD505-2E9C-101B-9397-08002B2CF9AE}" pid="4" name="_EmailSubject">
    <vt:lpwstr>For review -- CCIP &amp; QIP PRA Package </vt:lpwstr>
  </property>
  <property fmtid="{D5CDD505-2E9C-101B-9397-08002B2CF9AE}" pid="5" name="_AuthorEmail">
    <vt:lpwstr>Dana.Burley@cms.hhs.gov</vt:lpwstr>
  </property>
  <property fmtid="{D5CDD505-2E9C-101B-9397-08002B2CF9AE}" pid="6" name="_AuthorEmailDisplayName">
    <vt:lpwstr>Burley, Dana B. (CMS/CM)</vt:lpwstr>
  </property>
  <property fmtid="{D5CDD505-2E9C-101B-9397-08002B2CF9AE}" pid="7" name="_PreviousAdHocReviewCycleID">
    <vt:i4>-981728828</vt:i4>
  </property>
  <property fmtid="{D5CDD505-2E9C-101B-9397-08002B2CF9AE}" pid="8" name="_ReviewingToolsShownOnce">
    <vt:lpwstr/>
  </property>
</Properties>
</file>