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22" w:rsidRPr="00786D41" w:rsidRDefault="00AC71DE">
      <w:pPr>
        <w:rPr>
          <w:b/>
        </w:rPr>
      </w:pPr>
      <w:bookmarkStart w:id="0" w:name="_GoBack"/>
      <w:bookmarkEnd w:id="0"/>
      <w:r w:rsidRPr="00786D41">
        <w:rPr>
          <w:b/>
        </w:rPr>
        <w:t xml:space="preserve">Nationwide CAHPS Survey of </w:t>
      </w:r>
      <w:r w:rsidR="00921E32" w:rsidRPr="00786D41">
        <w:rPr>
          <w:b/>
        </w:rPr>
        <w:t xml:space="preserve">Adult Medicaid </w:t>
      </w:r>
      <w:r w:rsidRPr="00786D41">
        <w:rPr>
          <w:b/>
        </w:rPr>
        <w:t xml:space="preserve">Beneficiaries </w:t>
      </w:r>
      <w:r w:rsidR="00921E32" w:rsidRPr="00786D41">
        <w:rPr>
          <w:b/>
        </w:rPr>
        <w:t>Sampling Pilot:  Methods and Findings</w:t>
      </w:r>
    </w:p>
    <w:p w:rsidR="00AC71DE" w:rsidRDefault="002B7B92">
      <w:r>
        <w:t xml:space="preserve">CMS and its contractor, </w:t>
      </w:r>
      <w:r w:rsidR="00921E32">
        <w:t xml:space="preserve">NORC conducted a pilot study </w:t>
      </w:r>
      <w:r w:rsidR="004C283A">
        <w:t>between</w:t>
      </w:r>
      <w:r w:rsidR="00921E32">
        <w:t xml:space="preserve"> January </w:t>
      </w:r>
      <w:r w:rsidR="004C283A">
        <w:t>and</w:t>
      </w:r>
      <w:r w:rsidR="00921E32">
        <w:t xml:space="preserve"> March 2014</w:t>
      </w:r>
      <w:r w:rsidR="00F940AF">
        <w:t xml:space="preserve"> to test three methods of sample selection that </w:t>
      </w:r>
      <w:r w:rsidR="00921E32">
        <w:t>we propose</w:t>
      </w:r>
      <w:r w:rsidR="00F940AF">
        <w:t xml:space="preserve"> </w:t>
      </w:r>
      <w:r w:rsidR="00921E32">
        <w:t xml:space="preserve">for the Nationwide </w:t>
      </w:r>
      <w:r w:rsidR="00480A5F" w:rsidRPr="00480A5F">
        <w:t>Consumer Assessment of Healthcare Providers and Systems</w:t>
      </w:r>
      <w:r w:rsidR="00480A5F">
        <w:t xml:space="preserve"> (</w:t>
      </w:r>
      <w:r w:rsidR="00921E32">
        <w:t>CAHPS</w:t>
      </w:r>
      <w:r w:rsidR="00480A5F">
        <w:t>)</w:t>
      </w:r>
      <w:r w:rsidR="00921E32">
        <w:t xml:space="preserve"> Survey of Adult Medicaid Beneficiaries</w:t>
      </w:r>
      <w:r w:rsidR="00AC71DE">
        <w:t xml:space="preserve">.  In addition to assessing the </w:t>
      </w:r>
      <w:r w:rsidR="00E8085A">
        <w:t xml:space="preserve">viability </w:t>
      </w:r>
      <w:r w:rsidR="00AC71DE">
        <w:t>of the sampling specifications used to select samples and quality of the samples drawn, the pilot was also intended to</w:t>
      </w:r>
      <w:r w:rsidR="004C283A">
        <w:t xml:space="preserve"> </w:t>
      </w:r>
      <w:r w:rsidR="00F940AF">
        <w:t xml:space="preserve">estimate the level of burden on states </w:t>
      </w:r>
      <w:r w:rsidR="00AC71DE">
        <w:t xml:space="preserve">associated with </w:t>
      </w:r>
      <w:r w:rsidR="00F940AF">
        <w:t xml:space="preserve">each </w:t>
      </w:r>
      <w:r w:rsidR="004C283A">
        <w:t>sampling</w:t>
      </w:r>
      <w:r w:rsidR="00F940AF">
        <w:t xml:space="preserve"> method. The three </w:t>
      </w:r>
      <w:r w:rsidR="004C283A">
        <w:t xml:space="preserve">sampling </w:t>
      </w:r>
      <w:r w:rsidR="00F940AF">
        <w:t xml:space="preserve">methods each </w:t>
      </w:r>
      <w:r w:rsidR="00F128E4">
        <w:t xml:space="preserve">yield </w:t>
      </w:r>
      <w:r w:rsidR="0021485C">
        <w:t xml:space="preserve">a sample file of eligible beneficiaries that can be contacted for the CAHPS survey. </w:t>
      </w:r>
      <w:r w:rsidR="004C283A">
        <w:t>S</w:t>
      </w:r>
      <w:r w:rsidR="00F940AF">
        <w:t>tate</w:t>
      </w:r>
      <w:r w:rsidR="00AC71DE">
        <w:t>s</w:t>
      </w:r>
      <w:r w:rsidR="00F940AF">
        <w:t xml:space="preserve"> will choose one of these options based </w:t>
      </w:r>
      <w:r w:rsidR="001D1D2B">
        <w:t xml:space="preserve">on </w:t>
      </w:r>
      <w:r w:rsidR="004C283A">
        <w:t>the currency of their d</w:t>
      </w:r>
      <w:r w:rsidR="00B53AFF">
        <w:t>ata files and state preferences</w:t>
      </w:r>
      <w:r w:rsidR="002E5BB0">
        <w:t xml:space="preserve"> </w:t>
      </w:r>
      <w:r w:rsidR="004C283A">
        <w:t xml:space="preserve">(e.g., whether </w:t>
      </w:r>
      <w:r w:rsidR="00993B76">
        <w:t xml:space="preserve">the state </w:t>
      </w:r>
      <w:r w:rsidR="004C283A">
        <w:t xml:space="preserve">prefers to provide a data extract from which NORC will draw a sample or whether the state prefers to select </w:t>
      </w:r>
      <w:r w:rsidR="002E5BB0">
        <w:t xml:space="preserve">its </w:t>
      </w:r>
      <w:r w:rsidR="001D1D2B">
        <w:t>own sample</w:t>
      </w:r>
      <w:r w:rsidR="00AC71DE">
        <w:t>)</w:t>
      </w:r>
      <w:r w:rsidR="001D1D2B">
        <w:t xml:space="preserve">. </w:t>
      </w:r>
    </w:p>
    <w:p w:rsidR="000D32F7" w:rsidRDefault="001D1D2B">
      <w:r>
        <w:t xml:space="preserve">The three </w:t>
      </w:r>
      <w:r w:rsidR="00AC71DE">
        <w:t xml:space="preserve">sampling </w:t>
      </w:r>
      <w:r>
        <w:t>options are:</w:t>
      </w:r>
      <w:r w:rsidR="00F940AF">
        <w:t xml:space="preserve"> </w:t>
      </w:r>
    </w:p>
    <w:p w:rsidR="000D32F7" w:rsidRDefault="006C371C" w:rsidP="000D32F7">
      <w:pPr>
        <w:pStyle w:val="ListParagraph"/>
        <w:numPr>
          <w:ilvl w:val="0"/>
          <w:numId w:val="1"/>
        </w:numPr>
      </w:pPr>
      <w:r w:rsidRPr="00786D41">
        <w:rPr>
          <w:b/>
        </w:rPr>
        <w:t>MSIS Option</w:t>
      </w:r>
      <w:r w:rsidR="00B53AFF">
        <w:rPr>
          <w:b/>
        </w:rPr>
        <w:t xml:space="preserve"> (Option 1)</w:t>
      </w:r>
      <w:r>
        <w:t xml:space="preserve">: </w:t>
      </w:r>
      <w:r w:rsidR="000D32F7">
        <w:t xml:space="preserve">NORC pulls a sample of eligible beneficiaries from </w:t>
      </w:r>
      <w:r w:rsidR="002E5BB0">
        <w:t xml:space="preserve">approved state </w:t>
      </w:r>
      <w:r w:rsidR="000D32F7">
        <w:t xml:space="preserve">MSIS </w:t>
      </w:r>
      <w:r w:rsidR="002E5BB0">
        <w:t>dat</w:t>
      </w:r>
      <w:r w:rsidR="003747E5">
        <w:t>a</w:t>
      </w:r>
      <w:r w:rsidR="000D32F7">
        <w:t>. The sample is sent back to the state, so contact information</w:t>
      </w:r>
      <w:r w:rsidR="00993B76">
        <w:t xml:space="preserve"> (e.g., name, address, phone number)</w:t>
      </w:r>
      <w:r w:rsidR="000D32F7">
        <w:t xml:space="preserve"> can be appended. The state then sends the contact information back to NORC.</w:t>
      </w:r>
    </w:p>
    <w:p w:rsidR="000D32F7" w:rsidRDefault="006C371C" w:rsidP="000D32F7">
      <w:pPr>
        <w:pStyle w:val="ListParagraph"/>
        <w:numPr>
          <w:ilvl w:val="0"/>
          <w:numId w:val="1"/>
        </w:numPr>
      </w:pPr>
      <w:r w:rsidRPr="00786D41">
        <w:rPr>
          <w:b/>
        </w:rPr>
        <w:t>Data Extract Option</w:t>
      </w:r>
      <w:r w:rsidR="00B53AFF">
        <w:rPr>
          <w:b/>
        </w:rPr>
        <w:t xml:space="preserve"> (Option 2)</w:t>
      </w:r>
      <w:r>
        <w:t xml:space="preserve">: </w:t>
      </w:r>
      <w:r w:rsidR="000D32F7">
        <w:t xml:space="preserve">The state sends </w:t>
      </w:r>
      <w:r w:rsidR="003747E5">
        <w:t xml:space="preserve">NORC </w:t>
      </w:r>
      <w:r w:rsidR="000D32F7">
        <w:t>a file of beneficiaries</w:t>
      </w:r>
      <w:r w:rsidR="00993B76">
        <w:t xml:space="preserve"> eligible during the six-month period of interest (currently defined as July 1, 2013 through December 31, 2013)</w:t>
      </w:r>
      <w:r w:rsidR="000D32F7">
        <w:t xml:space="preserve">, and a </w:t>
      </w:r>
      <w:r w:rsidR="003747E5">
        <w:t>long-t</w:t>
      </w:r>
      <w:r w:rsidR="000D32F7">
        <w:t xml:space="preserve">erm care claims file </w:t>
      </w:r>
      <w:r w:rsidR="00993B76">
        <w:t>for claims during calendar year 2013</w:t>
      </w:r>
      <w:r w:rsidR="000D32F7">
        <w:t xml:space="preserve">. NORC </w:t>
      </w:r>
      <w:r w:rsidR="00E77DB3">
        <w:t xml:space="preserve">uses this file to </w:t>
      </w:r>
      <w:r w:rsidR="000D32F7">
        <w:t>select a sample of eligible beneficiaries.</w:t>
      </w:r>
    </w:p>
    <w:p w:rsidR="00975E84" w:rsidRDefault="006C371C" w:rsidP="000D32F7">
      <w:pPr>
        <w:pStyle w:val="ListParagraph"/>
        <w:numPr>
          <w:ilvl w:val="0"/>
          <w:numId w:val="1"/>
        </w:numPr>
      </w:pPr>
      <w:r w:rsidRPr="00786D41">
        <w:rPr>
          <w:b/>
        </w:rPr>
        <w:t>State Selects Sample Option</w:t>
      </w:r>
      <w:r w:rsidR="00B53AFF">
        <w:rPr>
          <w:b/>
        </w:rPr>
        <w:t xml:space="preserve"> (Option 3)</w:t>
      </w:r>
      <w:r>
        <w:t>:</w:t>
      </w:r>
      <w:r w:rsidR="00911F80">
        <w:t xml:space="preserve"> </w:t>
      </w:r>
      <w:r w:rsidR="00975E84">
        <w:t>The state</w:t>
      </w:r>
      <w:r w:rsidR="00153B90">
        <w:t xml:space="preserve"> constructs the sample frame and</w:t>
      </w:r>
      <w:r w:rsidR="00975E84">
        <w:t xml:space="preserve"> selects a sample of eligible beneficiaries using NORC’s detailed specifications. The state sends the selected sample to NORC. </w:t>
      </w:r>
    </w:p>
    <w:p w:rsidR="00975E84" w:rsidRDefault="00975E84" w:rsidP="00975E84">
      <w:r>
        <w:t>It is expected that the first and second options will require the least amount of effort on the part of the state, but the last option will require significant effort</w:t>
      </w:r>
      <w:r w:rsidR="002E5BB0">
        <w:t xml:space="preserve"> because</w:t>
      </w:r>
      <w:r w:rsidR="00993B76">
        <w:t xml:space="preserve"> the state will need to select their own sample</w:t>
      </w:r>
      <w:r w:rsidR="004E7391">
        <w:t xml:space="preserve"> per specifications provided by NORC</w:t>
      </w:r>
      <w:r w:rsidR="00993B76">
        <w:t xml:space="preserve">. Ultimately, if a state chooses </w:t>
      </w:r>
      <w:r w:rsidR="00E77DB3">
        <w:t xml:space="preserve">Option </w:t>
      </w:r>
      <w:r w:rsidR="00993B76">
        <w:t xml:space="preserve">3, the state will first have to create the files needed for </w:t>
      </w:r>
      <w:r w:rsidR="00E77DB3">
        <w:t>O</w:t>
      </w:r>
      <w:r w:rsidR="00993B76">
        <w:t>ption 2 as a starting point.</w:t>
      </w:r>
    </w:p>
    <w:p w:rsidR="004E7391" w:rsidRPr="00786D41" w:rsidRDefault="004E7391" w:rsidP="00975E84">
      <w:pPr>
        <w:rPr>
          <w:i/>
        </w:rPr>
      </w:pPr>
      <w:r w:rsidRPr="00786D41">
        <w:rPr>
          <w:i/>
        </w:rPr>
        <w:t>Pilot Methods</w:t>
      </w:r>
    </w:p>
    <w:p w:rsidR="00975E84" w:rsidRDefault="00167FBB" w:rsidP="00975E84">
      <w:r>
        <w:t xml:space="preserve">CMS invited all states receiving an Adult Quality Measures grant and states participating in the T-MSIS </w:t>
      </w:r>
      <w:r w:rsidR="00E77DB3">
        <w:t xml:space="preserve">pilot </w:t>
      </w:r>
      <w:r>
        <w:t xml:space="preserve">to participate in the </w:t>
      </w:r>
      <w:r w:rsidR="00E77DB3">
        <w:t xml:space="preserve">CAHPS </w:t>
      </w:r>
      <w:r>
        <w:t xml:space="preserve">pilot. </w:t>
      </w:r>
      <w:r w:rsidR="00413D1C">
        <w:t>Nine</w:t>
      </w:r>
      <w:r>
        <w:t xml:space="preserve"> states either volunteered</w:t>
      </w:r>
      <w:r w:rsidR="00564363">
        <w:t xml:space="preserve"> to participate in,</w:t>
      </w:r>
      <w:r>
        <w:t xml:space="preserve"> or requested additional information about the expectations of the pilot. After preliminary discussions with these states, we </w:t>
      </w:r>
      <w:r w:rsidR="00975E84">
        <w:t>recruit</w:t>
      </w:r>
      <w:r w:rsidR="002E5BB0">
        <w:t>ed</w:t>
      </w:r>
      <w:r w:rsidR="00975E84">
        <w:t xml:space="preserve"> five states </w:t>
      </w:r>
      <w:r w:rsidR="00AC71DE">
        <w:t>to participate</w:t>
      </w:r>
      <w:r w:rsidR="00975E84">
        <w:t xml:space="preserve"> in the pilot study: Alabama, Oregon, Rhode Island, Tennessee, and West Virginia. </w:t>
      </w:r>
      <w:r w:rsidR="001D1D2B">
        <w:t>Each state chose at least one</w:t>
      </w:r>
      <w:r w:rsidR="00AC71DE">
        <w:t xml:space="preserve"> sampling</w:t>
      </w:r>
      <w:r w:rsidR="001D1D2B">
        <w:t xml:space="preserve"> option</w:t>
      </w:r>
      <w:r w:rsidR="00AC71DE">
        <w:t xml:space="preserve"> to pursue </w:t>
      </w:r>
      <w:r w:rsidR="001D1D2B">
        <w:t xml:space="preserve">for the pilot study. </w:t>
      </w:r>
      <w:r w:rsidR="002E5BB0">
        <w:t>T</w:t>
      </w:r>
      <w:r w:rsidR="00894403">
        <w:t xml:space="preserve">wo states (Alabama and </w:t>
      </w:r>
      <w:r w:rsidR="001D1D2B">
        <w:t xml:space="preserve">Tennessee) </w:t>
      </w:r>
      <w:r w:rsidR="002E5BB0">
        <w:t>chose</w:t>
      </w:r>
      <w:r w:rsidR="00894403">
        <w:t xml:space="preserve"> </w:t>
      </w:r>
      <w:r w:rsidR="00AC71DE">
        <w:t xml:space="preserve">two </w:t>
      </w:r>
      <w:r w:rsidR="00894403">
        <w:t xml:space="preserve">options, due to their interest in attaining </w:t>
      </w:r>
      <w:r w:rsidR="002E5BB0">
        <w:t>experience</w:t>
      </w:r>
      <w:r w:rsidR="00894403">
        <w:t xml:space="preserve"> selecting a sample under </w:t>
      </w:r>
      <w:r w:rsidR="00E77DB3">
        <w:t>O</w:t>
      </w:r>
      <w:r w:rsidR="00894403">
        <w:t xml:space="preserve">ption 3. </w:t>
      </w:r>
      <w:r w:rsidR="003747E5">
        <w:t>A</w:t>
      </w:r>
      <w:r w:rsidR="00FF175B">
        <w:t>t</w:t>
      </w:r>
      <w:r w:rsidR="001D1D2B">
        <w:t xml:space="preserve"> least two states p</w:t>
      </w:r>
      <w:r w:rsidR="003747E5">
        <w:t>articipated</w:t>
      </w:r>
      <w:r w:rsidR="00FF175B">
        <w:t xml:space="preserve"> </w:t>
      </w:r>
      <w:r w:rsidR="001D1D2B">
        <w:t>under each option</w:t>
      </w:r>
      <w:r w:rsidR="004E7391">
        <w:t>,</w:t>
      </w:r>
      <w:r w:rsidR="001D1D2B">
        <w:t xml:space="preserve"> </w:t>
      </w:r>
      <w:r w:rsidR="00FF175B">
        <w:t>which provided</w:t>
      </w:r>
      <w:r w:rsidR="001D1D2B">
        <w:t xml:space="preserve"> a range for the level of effort required</w:t>
      </w:r>
      <w:r w:rsidR="00FF175B">
        <w:t xml:space="preserve"> under each sampling option</w:t>
      </w:r>
      <w:r w:rsidR="001D1D2B">
        <w:t>.</w:t>
      </w:r>
      <w:r w:rsidR="004E7391">
        <w:t xml:space="preserve"> Table 1 displays the sampling options pursued by each pilot state.  </w:t>
      </w:r>
    </w:p>
    <w:p w:rsidR="005D1799" w:rsidRDefault="005D1799" w:rsidP="00975E84">
      <w:pPr>
        <w:rPr>
          <w:b/>
        </w:rPr>
      </w:pPr>
    </w:p>
    <w:p w:rsidR="00975E84" w:rsidRPr="00786D41" w:rsidRDefault="00D71D10" w:rsidP="00D21972">
      <w:pPr>
        <w:spacing w:after="0"/>
        <w:rPr>
          <w:b/>
        </w:rPr>
      </w:pPr>
      <w:proofErr w:type="gramStart"/>
      <w:r w:rsidRPr="00786D41">
        <w:rPr>
          <w:b/>
        </w:rPr>
        <w:lastRenderedPageBreak/>
        <w:t>Table 1.</w:t>
      </w:r>
      <w:proofErr w:type="gramEnd"/>
      <w:r w:rsidRPr="00786D41">
        <w:rPr>
          <w:b/>
        </w:rPr>
        <w:t xml:space="preserve"> </w:t>
      </w:r>
      <w:r w:rsidR="00FF175B">
        <w:rPr>
          <w:b/>
        </w:rPr>
        <w:t xml:space="preserve">Pilot </w:t>
      </w:r>
      <w:r w:rsidRPr="00786D41">
        <w:rPr>
          <w:b/>
        </w:rPr>
        <w:t>State</w:t>
      </w:r>
      <w:r w:rsidR="00FF175B">
        <w:rPr>
          <w:b/>
        </w:rPr>
        <w:t>s</w:t>
      </w:r>
      <w:r w:rsidRPr="00786D41">
        <w:rPr>
          <w:b/>
        </w:rPr>
        <w:t xml:space="preserve"> </w:t>
      </w:r>
      <w:r w:rsidR="00FF175B">
        <w:rPr>
          <w:b/>
        </w:rPr>
        <w:t>by</w:t>
      </w:r>
      <w:r w:rsidRPr="00786D41">
        <w:rPr>
          <w:b/>
        </w:rPr>
        <w:t xml:space="preserve"> </w:t>
      </w:r>
      <w:r w:rsidR="00FF175B">
        <w:rPr>
          <w:b/>
        </w:rPr>
        <w:t xml:space="preserve">Sampling </w:t>
      </w:r>
      <w:r w:rsidRPr="00786D41">
        <w:rPr>
          <w:b/>
        </w:rPr>
        <w:t>Option</w:t>
      </w:r>
      <w:r w:rsidR="00FF175B">
        <w:rPr>
          <w:b/>
        </w:rPr>
        <w:t>s Selected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530"/>
        <w:gridCol w:w="1800"/>
        <w:gridCol w:w="1890"/>
      </w:tblGrid>
      <w:tr w:rsidR="00D71D10" w:rsidTr="00786D41">
        <w:trPr>
          <w:jc w:val="center"/>
        </w:trPr>
        <w:tc>
          <w:tcPr>
            <w:tcW w:w="1458" w:type="dxa"/>
          </w:tcPr>
          <w:p w:rsidR="00D71D10" w:rsidRDefault="00D71D10" w:rsidP="00975E84">
            <w:r>
              <w:t>State</w:t>
            </w:r>
          </w:p>
        </w:tc>
        <w:tc>
          <w:tcPr>
            <w:tcW w:w="1530" w:type="dxa"/>
          </w:tcPr>
          <w:p w:rsidR="00D71D10" w:rsidRDefault="00D71D10" w:rsidP="00D71D10">
            <w:pPr>
              <w:jc w:val="center"/>
            </w:pPr>
            <w:r>
              <w:t>Option 1 (MSIS)</w:t>
            </w:r>
          </w:p>
        </w:tc>
        <w:tc>
          <w:tcPr>
            <w:tcW w:w="1800" w:type="dxa"/>
          </w:tcPr>
          <w:p w:rsidR="00D71D10" w:rsidRDefault="00D71D10" w:rsidP="00D71D10">
            <w:pPr>
              <w:jc w:val="center"/>
            </w:pPr>
            <w:r>
              <w:t>Option 2</w:t>
            </w:r>
          </w:p>
          <w:p w:rsidR="00D71D10" w:rsidRDefault="00D71D10" w:rsidP="00D71D10">
            <w:pPr>
              <w:jc w:val="center"/>
            </w:pPr>
            <w:r>
              <w:t>(Data Extract)</w:t>
            </w:r>
          </w:p>
        </w:tc>
        <w:tc>
          <w:tcPr>
            <w:tcW w:w="1890" w:type="dxa"/>
          </w:tcPr>
          <w:p w:rsidR="00D71D10" w:rsidRDefault="00D71D10" w:rsidP="00D71D10">
            <w:pPr>
              <w:jc w:val="center"/>
            </w:pPr>
            <w:r>
              <w:t>Option 3</w:t>
            </w:r>
          </w:p>
          <w:p w:rsidR="00D71D10" w:rsidRDefault="00D71D10" w:rsidP="00D71D10">
            <w:pPr>
              <w:jc w:val="center"/>
            </w:pPr>
            <w:r>
              <w:t>(Select Sample)</w:t>
            </w:r>
          </w:p>
        </w:tc>
      </w:tr>
      <w:tr w:rsidR="00D71D10" w:rsidTr="00786D41">
        <w:trPr>
          <w:jc w:val="center"/>
        </w:trPr>
        <w:tc>
          <w:tcPr>
            <w:tcW w:w="1458" w:type="dxa"/>
          </w:tcPr>
          <w:p w:rsidR="00D71D10" w:rsidRDefault="00D71D10" w:rsidP="00975E84">
            <w:r>
              <w:t>Alabama</w:t>
            </w:r>
          </w:p>
        </w:tc>
        <w:tc>
          <w:tcPr>
            <w:tcW w:w="1530" w:type="dxa"/>
          </w:tcPr>
          <w:p w:rsidR="00D71D10" w:rsidRDefault="00D71D10" w:rsidP="00D71D10">
            <w:pPr>
              <w:jc w:val="center"/>
            </w:pPr>
          </w:p>
        </w:tc>
        <w:tc>
          <w:tcPr>
            <w:tcW w:w="1800" w:type="dxa"/>
          </w:tcPr>
          <w:p w:rsidR="00D71D10" w:rsidRDefault="00D71D10" w:rsidP="00D71D10">
            <w:pPr>
              <w:jc w:val="center"/>
            </w:pPr>
            <w:r>
              <w:sym w:font="Wingdings" w:char="F0FC"/>
            </w:r>
          </w:p>
        </w:tc>
        <w:tc>
          <w:tcPr>
            <w:tcW w:w="1890" w:type="dxa"/>
          </w:tcPr>
          <w:p w:rsidR="00D71D10" w:rsidRDefault="00D71D10" w:rsidP="00D71D10">
            <w:pPr>
              <w:jc w:val="center"/>
            </w:pPr>
            <w:r>
              <w:sym w:font="Wingdings" w:char="F0FC"/>
            </w:r>
          </w:p>
        </w:tc>
      </w:tr>
      <w:tr w:rsidR="00D71D10" w:rsidTr="00786D41">
        <w:trPr>
          <w:jc w:val="center"/>
        </w:trPr>
        <w:tc>
          <w:tcPr>
            <w:tcW w:w="1458" w:type="dxa"/>
          </w:tcPr>
          <w:p w:rsidR="00D71D10" w:rsidRDefault="00D71D10" w:rsidP="00975E84">
            <w:r>
              <w:t>Oregon</w:t>
            </w:r>
          </w:p>
        </w:tc>
        <w:tc>
          <w:tcPr>
            <w:tcW w:w="1530" w:type="dxa"/>
          </w:tcPr>
          <w:p w:rsidR="00D71D10" w:rsidRDefault="00D71D10" w:rsidP="00D71D10">
            <w:pPr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D71D10" w:rsidRDefault="00D71D10" w:rsidP="00D71D10">
            <w:pPr>
              <w:jc w:val="center"/>
            </w:pPr>
          </w:p>
        </w:tc>
        <w:tc>
          <w:tcPr>
            <w:tcW w:w="1890" w:type="dxa"/>
          </w:tcPr>
          <w:p w:rsidR="00D71D10" w:rsidRDefault="00D71D10" w:rsidP="00D71D10">
            <w:pPr>
              <w:jc w:val="center"/>
            </w:pPr>
          </w:p>
        </w:tc>
      </w:tr>
      <w:tr w:rsidR="00D71D10" w:rsidTr="00786D41">
        <w:trPr>
          <w:jc w:val="center"/>
        </w:trPr>
        <w:tc>
          <w:tcPr>
            <w:tcW w:w="1458" w:type="dxa"/>
          </w:tcPr>
          <w:p w:rsidR="00D71D10" w:rsidRDefault="00D71D10" w:rsidP="00975E84">
            <w:r>
              <w:t>Rhode Island</w:t>
            </w:r>
          </w:p>
        </w:tc>
        <w:tc>
          <w:tcPr>
            <w:tcW w:w="1530" w:type="dxa"/>
          </w:tcPr>
          <w:p w:rsidR="00D71D10" w:rsidRDefault="00D71D10" w:rsidP="00D71D10">
            <w:pPr>
              <w:jc w:val="center"/>
            </w:pPr>
          </w:p>
        </w:tc>
        <w:tc>
          <w:tcPr>
            <w:tcW w:w="1800" w:type="dxa"/>
          </w:tcPr>
          <w:p w:rsidR="00D71D10" w:rsidRDefault="00D71D10" w:rsidP="00D71D10">
            <w:pPr>
              <w:jc w:val="center"/>
            </w:pPr>
            <w:r>
              <w:sym w:font="Wingdings" w:char="F0FC"/>
            </w:r>
          </w:p>
        </w:tc>
        <w:tc>
          <w:tcPr>
            <w:tcW w:w="1890" w:type="dxa"/>
          </w:tcPr>
          <w:p w:rsidR="00D71D10" w:rsidRDefault="00D71D10" w:rsidP="00D71D10">
            <w:pPr>
              <w:jc w:val="center"/>
            </w:pPr>
          </w:p>
        </w:tc>
      </w:tr>
      <w:tr w:rsidR="00D71D10" w:rsidTr="00786D41">
        <w:trPr>
          <w:jc w:val="center"/>
        </w:trPr>
        <w:tc>
          <w:tcPr>
            <w:tcW w:w="1458" w:type="dxa"/>
          </w:tcPr>
          <w:p w:rsidR="00D71D10" w:rsidRDefault="00D71D10" w:rsidP="00975E84">
            <w:r>
              <w:t>Tennessee</w:t>
            </w:r>
          </w:p>
        </w:tc>
        <w:tc>
          <w:tcPr>
            <w:tcW w:w="1530" w:type="dxa"/>
          </w:tcPr>
          <w:p w:rsidR="00D71D10" w:rsidRDefault="00D71D10" w:rsidP="00D71D10">
            <w:pPr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D71D10" w:rsidRDefault="00D71D10" w:rsidP="00D71D10">
            <w:pPr>
              <w:jc w:val="center"/>
            </w:pPr>
          </w:p>
        </w:tc>
        <w:tc>
          <w:tcPr>
            <w:tcW w:w="1890" w:type="dxa"/>
          </w:tcPr>
          <w:p w:rsidR="00D71D10" w:rsidRDefault="00D71D10" w:rsidP="00D71D10">
            <w:pPr>
              <w:jc w:val="center"/>
            </w:pPr>
            <w:r>
              <w:sym w:font="Wingdings" w:char="F0FC"/>
            </w:r>
          </w:p>
        </w:tc>
      </w:tr>
      <w:tr w:rsidR="00D71D10" w:rsidTr="00786D41">
        <w:trPr>
          <w:jc w:val="center"/>
        </w:trPr>
        <w:tc>
          <w:tcPr>
            <w:tcW w:w="1458" w:type="dxa"/>
          </w:tcPr>
          <w:p w:rsidR="00D71D10" w:rsidRDefault="00D71D10" w:rsidP="00975E84">
            <w:r>
              <w:t>West Virginia</w:t>
            </w:r>
          </w:p>
        </w:tc>
        <w:tc>
          <w:tcPr>
            <w:tcW w:w="1530" w:type="dxa"/>
          </w:tcPr>
          <w:p w:rsidR="00D71D10" w:rsidRDefault="00D71D10" w:rsidP="00D71D10">
            <w:pPr>
              <w:jc w:val="center"/>
            </w:pPr>
          </w:p>
        </w:tc>
        <w:tc>
          <w:tcPr>
            <w:tcW w:w="1800" w:type="dxa"/>
          </w:tcPr>
          <w:p w:rsidR="00D71D10" w:rsidRDefault="00D71D10" w:rsidP="00D71D10">
            <w:pPr>
              <w:jc w:val="center"/>
            </w:pPr>
            <w:r>
              <w:sym w:font="Wingdings" w:char="F0FC"/>
            </w:r>
          </w:p>
        </w:tc>
        <w:tc>
          <w:tcPr>
            <w:tcW w:w="1890" w:type="dxa"/>
          </w:tcPr>
          <w:p w:rsidR="00D71D10" w:rsidRDefault="00D71D10" w:rsidP="00D71D10">
            <w:pPr>
              <w:jc w:val="center"/>
            </w:pPr>
          </w:p>
        </w:tc>
      </w:tr>
    </w:tbl>
    <w:p w:rsidR="009D0596" w:rsidRDefault="000001A4" w:rsidP="00D21972">
      <w:pPr>
        <w:spacing w:after="240"/>
      </w:pPr>
      <w:r w:rsidRPr="000001A4">
        <w:br/>
      </w:r>
      <w:r w:rsidR="00167FBB">
        <w:t xml:space="preserve">CMS and </w:t>
      </w:r>
      <w:r w:rsidR="009D0596">
        <w:t xml:space="preserve">NORC </w:t>
      </w:r>
      <w:r w:rsidR="004E7391">
        <w:t>convened introductory meetings with each pilot state in which NORC introduced the study and provided a guided walk</w:t>
      </w:r>
      <w:r w:rsidR="00153B90">
        <w:t>-</w:t>
      </w:r>
      <w:r w:rsidR="004E7391">
        <w:t>through of the documentation that lists out the specifications associated with each sampling method.  NORC also held follow-up</w:t>
      </w:r>
      <w:r w:rsidR="009D0596">
        <w:t xml:space="preserve"> phone calls </w:t>
      </w:r>
      <w:r w:rsidR="004E7391">
        <w:t>and responded to email correspondence from states to provide technical assistance,</w:t>
      </w:r>
      <w:r w:rsidR="009D0596">
        <w:t xml:space="preserve"> ensure </w:t>
      </w:r>
      <w:r w:rsidR="002E5BB0">
        <w:t xml:space="preserve">that </w:t>
      </w:r>
      <w:r w:rsidR="009D0596">
        <w:t>procedures were followed correctly</w:t>
      </w:r>
      <w:r w:rsidR="004E7391">
        <w:t>,</w:t>
      </w:r>
      <w:r w:rsidR="009D0596">
        <w:t xml:space="preserve"> and answer</w:t>
      </w:r>
      <w:r w:rsidR="002E5BB0">
        <w:t xml:space="preserve"> </w:t>
      </w:r>
      <w:r w:rsidR="004E7391">
        <w:t>state</w:t>
      </w:r>
      <w:r w:rsidR="009D0596">
        <w:t xml:space="preserve"> questions.</w:t>
      </w:r>
      <w:r w:rsidR="00167FBB">
        <w:t xml:space="preserve"> </w:t>
      </w:r>
      <w:r w:rsidR="009D0596">
        <w:t xml:space="preserve"> After each state finished the work associated with the chosen option</w:t>
      </w:r>
      <w:r w:rsidR="00153B90">
        <w:t>(s)</w:t>
      </w:r>
      <w:r w:rsidR="009D0596">
        <w:t xml:space="preserve">, NORC conducted a debriefing phone call </w:t>
      </w:r>
      <w:r w:rsidR="00B53AFF">
        <w:t>with the</w:t>
      </w:r>
      <w:r w:rsidR="004E7391">
        <w:t xml:space="preserve"> state </w:t>
      </w:r>
      <w:r w:rsidR="009D0596">
        <w:t xml:space="preserve">to understand </w:t>
      </w:r>
      <w:r w:rsidR="00B53AFF">
        <w:t xml:space="preserve">the amount of time </w:t>
      </w:r>
      <w:r w:rsidR="009D0596">
        <w:t xml:space="preserve">each option required </w:t>
      </w:r>
      <w:r w:rsidR="004E7391">
        <w:t>and to</w:t>
      </w:r>
      <w:r w:rsidR="009D0596">
        <w:t xml:space="preserve"> gain feedback to enhance the process.</w:t>
      </w:r>
    </w:p>
    <w:p w:rsidR="004E7391" w:rsidRPr="00786D41" w:rsidRDefault="004E7391" w:rsidP="00975E84">
      <w:pPr>
        <w:rPr>
          <w:i/>
        </w:rPr>
      </w:pPr>
      <w:r w:rsidRPr="00786D41">
        <w:rPr>
          <w:i/>
        </w:rPr>
        <w:t>Pilot Results</w:t>
      </w:r>
    </w:p>
    <w:p w:rsidR="007C3EB2" w:rsidRDefault="009D0596" w:rsidP="00975E84">
      <w:r>
        <w:t>Based on the feedback from states for each of the three options</w:t>
      </w:r>
      <w:r w:rsidR="009D4897">
        <w:t xml:space="preserve">, </w:t>
      </w:r>
      <w:r w:rsidR="003D0D58">
        <w:t>T</w:t>
      </w:r>
      <w:r w:rsidR="009D4897">
        <w:t xml:space="preserve">able 2 shows the level of effort </w:t>
      </w:r>
      <w:r w:rsidR="00B53AFF">
        <w:t xml:space="preserve">in hours </w:t>
      </w:r>
      <w:r w:rsidR="009D4897">
        <w:t xml:space="preserve">for each state under each option. As </w:t>
      </w:r>
      <w:r w:rsidR="001C58A1">
        <w:t>shown</w:t>
      </w:r>
      <w:r w:rsidR="009D4897">
        <w:t xml:space="preserve">, there was a wide range of hours needed across different states under each option. Averaging these </w:t>
      </w:r>
      <w:r w:rsidR="00153B90">
        <w:t xml:space="preserve">time estimates </w:t>
      </w:r>
      <w:r w:rsidR="009D4897">
        <w:t xml:space="preserve">together, NORC anticipated Option 1 will require </w:t>
      </w:r>
      <w:r w:rsidR="004939EB" w:rsidRPr="00D21972">
        <w:t xml:space="preserve">9 </w:t>
      </w:r>
      <w:r w:rsidR="009D4897" w:rsidRPr="00D21972">
        <w:t>hours</w:t>
      </w:r>
      <w:r w:rsidR="00571DD9" w:rsidRPr="000001A4">
        <w:t>,</w:t>
      </w:r>
      <w:r w:rsidR="00571DD9">
        <w:t xml:space="preserve"> on average</w:t>
      </w:r>
      <w:r w:rsidR="009D4897">
        <w:t>; Option 2 will require approximately 57 hours</w:t>
      </w:r>
      <w:r w:rsidR="00571DD9">
        <w:t>, on average</w:t>
      </w:r>
      <w:r w:rsidR="009D4897">
        <w:t xml:space="preserve">; and </w:t>
      </w:r>
      <w:r w:rsidR="001C58A1">
        <w:t>O</w:t>
      </w:r>
      <w:r w:rsidR="009D4897">
        <w:t>ption 3 will require</w:t>
      </w:r>
      <w:r w:rsidR="001D1D2B">
        <w:t xml:space="preserve"> </w:t>
      </w:r>
      <w:r w:rsidR="00D35FA3">
        <w:t xml:space="preserve">9 </w:t>
      </w:r>
      <w:r w:rsidR="009D4897">
        <w:t>hours</w:t>
      </w:r>
      <w:r w:rsidR="00993B76">
        <w:t xml:space="preserve"> in addition to </w:t>
      </w:r>
      <w:r w:rsidR="004939EB">
        <w:t xml:space="preserve">data extraction </w:t>
      </w:r>
      <w:r w:rsidR="00A93E2E">
        <w:t xml:space="preserve">for a total of </w:t>
      </w:r>
      <w:r w:rsidR="00D35FA3">
        <w:t xml:space="preserve">66 </w:t>
      </w:r>
      <w:r w:rsidR="00571DD9">
        <w:t>hours, on average</w:t>
      </w:r>
      <w:r w:rsidR="009D4897">
        <w:t>.</w:t>
      </w:r>
      <w:r w:rsidR="001D1D2B">
        <w:t xml:space="preserve"> </w:t>
      </w:r>
      <w:r w:rsidR="00571DD9">
        <w:t xml:space="preserve"> The process for </w:t>
      </w:r>
      <w:r w:rsidR="001C58A1">
        <w:t>O</w:t>
      </w:r>
      <w:r w:rsidR="00571DD9">
        <w:t xml:space="preserve">ption 3 requires the state to first complete the steps for </w:t>
      </w:r>
      <w:r w:rsidR="001C58A1">
        <w:t>O</w:t>
      </w:r>
      <w:r w:rsidR="00571DD9">
        <w:t>ption 2</w:t>
      </w:r>
      <w:r w:rsidR="004939EB">
        <w:t xml:space="preserve"> (i.e. data extraction)</w:t>
      </w:r>
      <w:r w:rsidR="00571DD9">
        <w:t xml:space="preserve">. </w:t>
      </w:r>
    </w:p>
    <w:p w:rsidR="00894403" w:rsidRPr="00786D41" w:rsidRDefault="00894403" w:rsidP="00D21972">
      <w:pPr>
        <w:spacing w:after="0"/>
        <w:rPr>
          <w:b/>
        </w:rPr>
      </w:pPr>
      <w:r w:rsidRPr="00786D41">
        <w:rPr>
          <w:b/>
        </w:rPr>
        <w:t>Table 2</w:t>
      </w:r>
      <w:r w:rsidR="00153B90" w:rsidRPr="00786D41">
        <w:rPr>
          <w:b/>
        </w:rPr>
        <w:t>.</w:t>
      </w:r>
      <w:r w:rsidRPr="00786D41">
        <w:rPr>
          <w:b/>
        </w:rPr>
        <w:t xml:space="preserve"> </w:t>
      </w:r>
      <w:r w:rsidR="00B85BF6" w:rsidRPr="00786D41">
        <w:rPr>
          <w:b/>
        </w:rPr>
        <w:t xml:space="preserve">Time </w:t>
      </w:r>
      <w:r w:rsidR="00480A5F">
        <w:rPr>
          <w:b/>
        </w:rPr>
        <w:t>E</w:t>
      </w:r>
      <w:r w:rsidR="00B85BF6" w:rsidRPr="00786D41">
        <w:rPr>
          <w:b/>
        </w:rPr>
        <w:t xml:space="preserve">stimates by </w:t>
      </w:r>
      <w:r w:rsidR="00480A5F">
        <w:rPr>
          <w:b/>
        </w:rPr>
        <w:t>O</w:t>
      </w:r>
      <w:r w:rsidR="00B85BF6" w:rsidRPr="00786D41">
        <w:rPr>
          <w:b/>
        </w:rPr>
        <w:t xml:space="preserve">ption and </w:t>
      </w:r>
      <w:r w:rsidR="00480A5F">
        <w:rPr>
          <w:b/>
        </w:rPr>
        <w:t>S</w:t>
      </w:r>
      <w:r w:rsidR="00B85BF6" w:rsidRPr="00786D41">
        <w:rPr>
          <w:b/>
        </w:rPr>
        <w:t>tate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530"/>
        <w:gridCol w:w="1800"/>
        <w:gridCol w:w="1890"/>
      </w:tblGrid>
      <w:tr w:rsidR="00B85BF6" w:rsidTr="00786D41">
        <w:trPr>
          <w:jc w:val="center"/>
        </w:trPr>
        <w:tc>
          <w:tcPr>
            <w:tcW w:w="1458" w:type="dxa"/>
          </w:tcPr>
          <w:p w:rsidR="00B85BF6" w:rsidRDefault="00B85BF6" w:rsidP="00851FB3">
            <w:r>
              <w:t>State</w:t>
            </w:r>
          </w:p>
        </w:tc>
        <w:tc>
          <w:tcPr>
            <w:tcW w:w="1530" w:type="dxa"/>
          </w:tcPr>
          <w:p w:rsidR="00B85BF6" w:rsidRDefault="00B85BF6" w:rsidP="00851FB3">
            <w:pPr>
              <w:jc w:val="center"/>
            </w:pPr>
            <w:r>
              <w:t>Option 1 (MSIS)</w:t>
            </w:r>
          </w:p>
        </w:tc>
        <w:tc>
          <w:tcPr>
            <w:tcW w:w="1800" w:type="dxa"/>
          </w:tcPr>
          <w:p w:rsidR="00B85BF6" w:rsidRDefault="00B85BF6" w:rsidP="00851FB3">
            <w:pPr>
              <w:jc w:val="center"/>
            </w:pPr>
            <w:r>
              <w:t>Option 2</w:t>
            </w:r>
          </w:p>
          <w:p w:rsidR="00B85BF6" w:rsidRDefault="00B85BF6" w:rsidP="00851FB3">
            <w:pPr>
              <w:jc w:val="center"/>
            </w:pPr>
            <w:r>
              <w:t>(Data Extract)</w:t>
            </w:r>
          </w:p>
        </w:tc>
        <w:tc>
          <w:tcPr>
            <w:tcW w:w="1890" w:type="dxa"/>
          </w:tcPr>
          <w:p w:rsidR="00B85BF6" w:rsidRDefault="00B85BF6" w:rsidP="00851FB3">
            <w:pPr>
              <w:jc w:val="center"/>
            </w:pPr>
            <w:r>
              <w:t>Option 3</w:t>
            </w:r>
          </w:p>
          <w:p w:rsidR="00B85BF6" w:rsidRDefault="00B85BF6" w:rsidP="00851FB3">
            <w:pPr>
              <w:jc w:val="center"/>
            </w:pPr>
            <w:r>
              <w:t>(Select Sample)</w:t>
            </w:r>
          </w:p>
        </w:tc>
      </w:tr>
      <w:tr w:rsidR="00B85BF6" w:rsidTr="00786D41">
        <w:trPr>
          <w:jc w:val="center"/>
        </w:trPr>
        <w:tc>
          <w:tcPr>
            <w:tcW w:w="1458" w:type="dxa"/>
          </w:tcPr>
          <w:p w:rsidR="00B85BF6" w:rsidRDefault="00B85BF6" w:rsidP="00851FB3">
            <w:r>
              <w:t>Alabama</w:t>
            </w:r>
          </w:p>
        </w:tc>
        <w:tc>
          <w:tcPr>
            <w:tcW w:w="1530" w:type="dxa"/>
          </w:tcPr>
          <w:p w:rsidR="00B85BF6" w:rsidRDefault="00B85BF6" w:rsidP="00851FB3">
            <w:pPr>
              <w:jc w:val="center"/>
            </w:pPr>
          </w:p>
        </w:tc>
        <w:tc>
          <w:tcPr>
            <w:tcW w:w="1800" w:type="dxa"/>
          </w:tcPr>
          <w:p w:rsidR="00B85BF6" w:rsidRDefault="00B85BF6" w:rsidP="00851FB3">
            <w:pPr>
              <w:jc w:val="center"/>
            </w:pPr>
            <w:r>
              <w:t>15</w:t>
            </w:r>
            <w:r w:rsidR="009D4897">
              <w:t xml:space="preserve"> </w:t>
            </w:r>
            <w:r>
              <w:t>h</w:t>
            </w:r>
            <w:r w:rsidR="009D4897">
              <w:t>ou</w:t>
            </w:r>
            <w:r>
              <w:t>rs across 3 weeks</w:t>
            </w:r>
          </w:p>
        </w:tc>
        <w:tc>
          <w:tcPr>
            <w:tcW w:w="1890" w:type="dxa"/>
          </w:tcPr>
          <w:p w:rsidR="00B85BF6" w:rsidRDefault="00BF10AE" w:rsidP="004939EB">
            <w:pPr>
              <w:jc w:val="center"/>
            </w:pPr>
            <w:r>
              <w:t xml:space="preserve">10 additional hours </w:t>
            </w:r>
            <w:r w:rsidR="004939EB">
              <w:t>once data extract is pulled</w:t>
            </w:r>
            <w:r w:rsidR="00733B21">
              <w:t>,</w:t>
            </w:r>
            <w:r>
              <w:t xml:space="preserve"> over 1 additional week</w:t>
            </w:r>
          </w:p>
        </w:tc>
      </w:tr>
      <w:tr w:rsidR="00B85BF6" w:rsidTr="00786D41">
        <w:trPr>
          <w:jc w:val="center"/>
        </w:trPr>
        <w:tc>
          <w:tcPr>
            <w:tcW w:w="1458" w:type="dxa"/>
          </w:tcPr>
          <w:p w:rsidR="00B85BF6" w:rsidRDefault="00B85BF6" w:rsidP="00851FB3">
            <w:r>
              <w:t>Oregon</w:t>
            </w:r>
          </w:p>
        </w:tc>
        <w:tc>
          <w:tcPr>
            <w:tcW w:w="1530" w:type="dxa"/>
          </w:tcPr>
          <w:p w:rsidR="00B85BF6" w:rsidRDefault="00A93E2E" w:rsidP="00851FB3">
            <w:pPr>
              <w:jc w:val="center"/>
            </w:pPr>
            <w:r>
              <w:t>16 hours across 1 week</w:t>
            </w:r>
          </w:p>
        </w:tc>
        <w:tc>
          <w:tcPr>
            <w:tcW w:w="1800" w:type="dxa"/>
          </w:tcPr>
          <w:p w:rsidR="00B85BF6" w:rsidRDefault="00B85BF6" w:rsidP="00851FB3">
            <w:pPr>
              <w:jc w:val="center"/>
            </w:pPr>
          </w:p>
        </w:tc>
        <w:tc>
          <w:tcPr>
            <w:tcW w:w="1890" w:type="dxa"/>
          </w:tcPr>
          <w:p w:rsidR="00B85BF6" w:rsidRDefault="00B85BF6" w:rsidP="00851FB3">
            <w:pPr>
              <w:jc w:val="center"/>
            </w:pPr>
          </w:p>
        </w:tc>
      </w:tr>
      <w:tr w:rsidR="00B85BF6" w:rsidTr="00786D41">
        <w:trPr>
          <w:jc w:val="center"/>
        </w:trPr>
        <w:tc>
          <w:tcPr>
            <w:tcW w:w="1458" w:type="dxa"/>
          </w:tcPr>
          <w:p w:rsidR="00B85BF6" w:rsidRDefault="00B85BF6" w:rsidP="00851FB3">
            <w:r>
              <w:t>Rhode Island</w:t>
            </w:r>
          </w:p>
        </w:tc>
        <w:tc>
          <w:tcPr>
            <w:tcW w:w="1530" w:type="dxa"/>
          </w:tcPr>
          <w:p w:rsidR="00B85BF6" w:rsidRDefault="00B85BF6" w:rsidP="00851FB3">
            <w:pPr>
              <w:jc w:val="center"/>
            </w:pPr>
          </w:p>
        </w:tc>
        <w:tc>
          <w:tcPr>
            <w:tcW w:w="1800" w:type="dxa"/>
          </w:tcPr>
          <w:p w:rsidR="00B85BF6" w:rsidRDefault="00B85BF6" w:rsidP="00851FB3">
            <w:pPr>
              <w:jc w:val="center"/>
            </w:pPr>
            <w:r>
              <w:t>35 hours across 10 weeks</w:t>
            </w:r>
          </w:p>
        </w:tc>
        <w:tc>
          <w:tcPr>
            <w:tcW w:w="1890" w:type="dxa"/>
          </w:tcPr>
          <w:p w:rsidR="00B85BF6" w:rsidRDefault="00B85BF6" w:rsidP="00851FB3">
            <w:pPr>
              <w:jc w:val="center"/>
            </w:pPr>
          </w:p>
        </w:tc>
      </w:tr>
      <w:tr w:rsidR="00B85BF6" w:rsidTr="00786D41">
        <w:trPr>
          <w:jc w:val="center"/>
        </w:trPr>
        <w:tc>
          <w:tcPr>
            <w:tcW w:w="1458" w:type="dxa"/>
          </w:tcPr>
          <w:p w:rsidR="00B85BF6" w:rsidRDefault="00B85BF6" w:rsidP="00851FB3">
            <w:r>
              <w:t>Tennessee</w:t>
            </w:r>
          </w:p>
        </w:tc>
        <w:tc>
          <w:tcPr>
            <w:tcW w:w="1530" w:type="dxa"/>
          </w:tcPr>
          <w:p w:rsidR="00B85BF6" w:rsidRDefault="00733B21" w:rsidP="00851FB3">
            <w:pPr>
              <w:jc w:val="center"/>
            </w:pPr>
            <w:r>
              <w:t>2 hours</w:t>
            </w:r>
            <w:r w:rsidR="004939EB">
              <w:t>*</w:t>
            </w:r>
          </w:p>
        </w:tc>
        <w:tc>
          <w:tcPr>
            <w:tcW w:w="1800" w:type="dxa"/>
          </w:tcPr>
          <w:p w:rsidR="00B85BF6" w:rsidRDefault="00B85BF6" w:rsidP="00851FB3">
            <w:pPr>
              <w:jc w:val="center"/>
            </w:pPr>
          </w:p>
        </w:tc>
        <w:tc>
          <w:tcPr>
            <w:tcW w:w="1890" w:type="dxa"/>
          </w:tcPr>
          <w:p w:rsidR="00B85BF6" w:rsidRDefault="00E7218C" w:rsidP="00733B21">
            <w:r>
              <w:t>8</w:t>
            </w:r>
            <w:r w:rsidR="00D35FA3">
              <w:t xml:space="preserve"> additional hours once data extract is pulled</w:t>
            </w:r>
            <w:r w:rsidR="00733B21">
              <w:t>,</w:t>
            </w:r>
            <w:r>
              <w:t xml:space="preserve"> over 2 additional days</w:t>
            </w:r>
          </w:p>
        </w:tc>
      </w:tr>
      <w:tr w:rsidR="00B85BF6" w:rsidTr="00786D41">
        <w:trPr>
          <w:jc w:val="center"/>
        </w:trPr>
        <w:tc>
          <w:tcPr>
            <w:tcW w:w="1458" w:type="dxa"/>
          </w:tcPr>
          <w:p w:rsidR="00B85BF6" w:rsidRDefault="00B85BF6" w:rsidP="00851FB3">
            <w:r>
              <w:t>West Virginia</w:t>
            </w:r>
          </w:p>
        </w:tc>
        <w:tc>
          <w:tcPr>
            <w:tcW w:w="1530" w:type="dxa"/>
          </w:tcPr>
          <w:p w:rsidR="00B85BF6" w:rsidRDefault="00B85BF6" w:rsidP="00851FB3">
            <w:pPr>
              <w:jc w:val="center"/>
            </w:pPr>
          </w:p>
        </w:tc>
        <w:tc>
          <w:tcPr>
            <w:tcW w:w="1800" w:type="dxa"/>
          </w:tcPr>
          <w:p w:rsidR="00B85BF6" w:rsidRDefault="00B85BF6" w:rsidP="00851FB3">
            <w:pPr>
              <w:jc w:val="center"/>
            </w:pPr>
            <w:r>
              <w:t>120 hours across 2 weeks</w:t>
            </w:r>
          </w:p>
        </w:tc>
        <w:tc>
          <w:tcPr>
            <w:tcW w:w="1890" w:type="dxa"/>
          </w:tcPr>
          <w:p w:rsidR="00B85BF6" w:rsidRDefault="00B85BF6" w:rsidP="00851FB3">
            <w:pPr>
              <w:jc w:val="center"/>
            </w:pPr>
          </w:p>
        </w:tc>
      </w:tr>
    </w:tbl>
    <w:p w:rsidR="00D93B49" w:rsidRPr="00D21972" w:rsidRDefault="004939EB" w:rsidP="00D93B49">
      <w:pPr>
        <w:rPr>
          <w:sz w:val="18"/>
          <w:szCs w:val="18"/>
        </w:rPr>
      </w:pPr>
      <w:r w:rsidRPr="00D21972">
        <w:rPr>
          <w:sz w:val="18"/>
        </w:rPr>
        <w:t xml:space="preserve">* Projection of hours. </w:t>
      </w:r>
      <w:r w:rsidR="00D93B49" w:rsidRPr="00D21972">
        <w:rPr>
          <w:sz w:val="18"/>
          <w:szCs w:val="18"/>
        </w:rPr>
        <w:t>Tennessee is experiencing difficulty receiving the MSIS file from NORC, so projected hours for this Option based on their experiences with Option 3.</w:t>
      </w:r>
    </w:p>
    <w:p w:rsidR="00975E84" w:rsidRDefault="00993B76" w:rsidP="00975E84">
      <w:r>
        <w:lastRenderedPageBreak/>
        <w:t xml:space="preserve">Through the pilot study, NORC was able to gain feedback on the specifications for each option, as well as the process in general, both of which will </w:t>
      </w:r>
      <w:r w:rsidR="008B0B13">
        <w:t xml:space="preserve">help </w:t>
      </w:r>
      <w:r w:rsidR="001C58A1">
        <w:t>NORC and states</w:t>
      </w:r>
      <w:r w:rsidR="008B0B13">
        <w:t xml:space="preserve"> during the main survey</w:t>
      </w:r>
      <w:r w:rsidR="001C58A1">
        <w:t xml:space="preserve"> collection</w:t>
      </w:r>
      <w:r>
        <w:t xml:space="preserve">. </w:t>
      </w:r>
      <w:r w:rsidR="00E77DB3">
        <w:t>For example, one</w:t>
      </w:r>
      <w:r w:rsidR="001C58A1">
        <w:t xml:space="preserve"> state suggested it </w:t>
      </w:r>
      <w:r w:rsidR="00480A5F">
        <w:t>would be</w:t>
      </w:r>
      <w:r w:rsidR="001C58A1">
        <w:t xml:space="preserve"> helpful to </w:t>
      </w:r>
      <w:r w:rsidR="001C58A1" w:rsidRPr="001C58A1">
        <w:t xml:space="preserve">include the MSIS definitions in the sampling specifications </w:t>
      </w:r>
      <w:r w:rsidR="001C58A1">
        <w:t>resource</w:t>
      </w:r>
      <w:r w:rsidR="001C58A1" w:rsidRPr="001C58A1">
        <w:t xml:space="preserve"> because the </w:t>
      </w:r>
      <w:r w:rsidR="001C58A1">
        <w:t xml:space="preserve">state staff </w:t>
      </w:r>
      <w:r w:rsidR="00480A5F">
        <w:t>who</w:t>
      </w:r>
      <w:r w:rsidR="001C58A1">
        <w:t xml:space="preserve"> are responsible for</w:t>
      </w:r>
      <w:r w:rsidR="001C58A1" w:rsidRPr="001C58A1">
        <w:t xml:space="preserve"> pulling together the sample for the </w:t>
      </w:r>
      <w:r w:rsidR="001C58A1">
        <w:t xml:space="preserve">CAHPS survey </w:t>
      </w:r>
      <w:r w:rsidR="001C58A1" w:rsidRPr="001C58A1">
        <w:t xml:space="preserve">may not be the same </w:t>
      </w:r>
      <w:r w:rsidR="001C58A1">
        <w:t>staff</w:t>
      </w:r>
      <w:r w:rsidR="001C58A1" w:rsidRPr="001C58A1">
        <w:t xml:space="preserve"> that are responsible for preparing MSIS files for submission to CMS.</w:t>
      </w:r>
      <w:r w:rsidR="001C58A1">
        <w:t xml:space="preserve"> </w:t>
      </w:r>
      <w:r w:rsidR="00FC4DB2">
        <w:t>Another state noted</w:t>
      </w:r>
      <w:r w:rsidR="00B53AFF">
        <w:t xml:space="preserve"> </w:t>
      </w:r>
      <w:r w:rsidR="00E77DB3">
        <w:t xml:space="preserve">that </w:t>
      </w:r>
      <w:r w:rsidR="00B53AFF">
        <w:t>including more details about file layouts, variables, and variable descriptions would be helpful in the specifications.</w:t>
      </w:r>
    </w:p>
    <w:p w:rsidR="00C74744" w:rsidRDefault="00C74744" w:rsidP="00FC4DB2"/>
    <w:sectPr w:rsidR="00C74744" w:rsidSect="00E5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53D5"/>
    <w:multiLevelType w:val="hybridMultilevel"/>
    <w:tmpl w:val="A3DE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F7"/>
    <w:rsid w:val="000001A4"/>
    <w:rsid w:val="000D32F7"/>
    <w:rsid w:val="00153B90"/>
    <w:rsid w:val="00167FBB"/>
    <w:rsid w:val="001C58A1"/>
    <w:rsid w:val="001D1D2B"/>
    <w:rsid w:val="0021485C"/>
    <w:rsid w:val="002B7B92"/>
    <w:rsid w:val="002E5BB0"/>
    <w:rsid w:val="003747E5"/>
    <w:rsid w:val="003D0D58"/>
    <w:rsid w:val="00413D1C"/>
    <w:rsid w:val="00480A5F"/>
    <w:rsid w:val="00491183"/>
    <w:rsid w:val="004939EB"/>
    <w:rsid w:val="004C283A"/>
    <w:rsid w:val="004E7391"/>
    <w:rsid w:val="0050758E"/>
    <w:rsid w:val="005454CE"/>
    <w:rsid w:val="00556EF9"/>
    <w:rsid w:val="00564363"/>
    <w:rsid w:val="00571DD9"/>
    <w:rsid w:val="00582846"/>
    <w:rsid w:val="005C0556"/>
    <w:rsid w:val="005D1799"/>
    <w:rsid w:val="006C371C"/>
    <w:rsid w:val="006F60BE"/>
    <w:rsid w:val="006F61AF"/>
    <w:rsid w:val="007128F2"/>
    <w:rsid w:val="00733B21"/>
    <w:rsid w:val="00786D41"/>
    <w:rsid w:val="0079784E"/>
    <w:rsid w:val="007C3EB2"/>
    <w:rsid w:val="007C4422"/>
    <w:rsid w:val="008002FE"/>
    <w:rsid w:val="00894403"/>
    <w:rsid w:val="008A6CDF"/>
    <w:rsid w:val="008B0B13"/>
    <w:rsid w:val="00911F80"/>
    <w:rsid w:val="00921E32"/>
    <w:rsid w:val="00975E84"/>
    <w:rsid w:val="00993B76"/>
    <w:rsid w:val="009D0596"/>
    <w:rsid w:val="009D4897"/>
    <w:rsid w:val="00A93E2E"/>
    <w:rsid w:val="00AA6A4C"/>
    <w:rsid w:val="00AC71DE"/>
    <w:rsid w:val="00B05E8B"/>
    <w:rsid w:val="00B53AFF"/>
    <w:rsid w:val="00B85BF6"/>
    <w:rsid w:val="00B90C39"/>
    <w:rsid w:val="00BF10AE"/>
    <w:rsid w:val="00C37225"/>
    <w:rsid w:val="00C5761B"/>
    <w:rsid w:val="00C74744"/>
    <w:rsid w:val="00D21972"/>
    <w:rsid w:val="00D35FA3"/>
    <w:rsid w:val="00D71D10"/>
    <w:rsid w:val="00D93B49"/>
    <w:rsid w:val="00E51C42"/>
    <w:rsid w:val="00E552EF"/>
    <w:rsid w:val="00E7218C"/>
    <w:rsid w:val="00E77DB3"/>
    <w:rsid w:val="00E8085A"/>
    <w:rsid w:val="00EE4A0B"/>
    <w:rsid w:val="00F128E4"/>
    <w:rsid w:val="00F940AF"/>
    <w:rsid w:val="00FC4DB2"/>
    <w:rsid w:val="00FD5002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F7"/>
    <w:pPr>
      <w:ind w:left="720"/>
      <w:contextualSpacing/>
    </w:pPr>
  </w:style>
  <w:style w:type="table" w:styleId="TableGrid">
    <w:name w:val="Table Grid"/>
    <w:basedOn w:val="TableNormal"/>
    <w:uiPriority w:val="59"/>
    <w:rsid w:val="00D7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D1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D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2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F7"/>
    <w:pPr>
      <w:ind w:left="720"/>
      <w:contextualSpacing/>
    </w:pPr>
  </w:style>
  <w:style w:type="table" w:styleId="TableGrid">
    <w:name w:val="Table Grid"/>
    <w:basedOn w:val="TableNormal"/>
    <w:uiPriority w:val="59"/>
    <w:rsid w:val="00D7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D1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D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2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3B1F-FD03-412D-B5DF-151D44BD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EOrmson</dc:creator>
  <cp:lastModifiedBy>MEGAN THOMAS</cp:lastModifiedBy>
  <cp:revision>2</cp:revision>
  <dcterms:created xsi:type="dcterms:W3CDTF">2014-04-21T22:17:00Z</dcterms:created>
  <dcterms:modified xsi:type="dcterms:W3CDTF">2014-04-21T22:17:00Z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1690970859</vt:i4>
  </property>
  <property fmtid="{D5CDD505-2E9C-101B-9397-08002B2CF9AE}" pid="4" name="_EmailSubject">
    <vt:lpwstr>Request for OMB Concurrent Review (CMS-10493)</vt:lpwstr>
  </property>
  <property fmtid="{D5CDD505-2E9C-101B-9397-08002B2CF9AE}" pid="5" name="_AuthorEmail">
    <vt:lpwstr>Megan.Thomas@cms.hhs.gov</vt:lpwstr>
  </property>
  <property fmtid="{D5CDD505-2E9C-101B-9397-08002B2CF9AE}" pid="6" name="_AuthorEmailDisplayName">
    <vt:lpwstr>Thomas, Megan (CMS/CMCS)</vt:lpwstr>
  </property>
</Properties>
</file>