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B0" w:rsidRPr="00077FB0" w:rsidRDefault="00077FB0" w:rsidP="004732D5">
      <w:pPr>
        <w:autoSpaceDE w:val="0"/>
        <w:autoSpaceDN w:val="0"/>
        <w:adjustRightInd w:val="0"/>
        <w:spacing w:after="0" w:line="240" w:lineRule="atLeast"/>
        <w:jc w:val="center"/>
        <w:rPr>
          <w:rFonts w:ascii="Times New Roman" w:hAnsi="Times New Roman" w:cs="Times New Roman"/>
          <w:b/>
          <w:caps/>
          <w:sz w:val="24"/>
          <w:szCs w:val="24"/>
        </w:rPr>
      </w:pPr>
      <w:bookmarkStart w:id="0" w:name="_GoBack"/>
      <w:bookmarkEnd w:id="0"/>
      <w:r w:rsidRPr="00077FB0">
        <w:rPr>
          <w:rFonts w:ascii="Times New Roman" w:hAnsi="Times New Roman" w:cs="Times New Roman"/>
          <w:b/>
          <w:caps/>
          <w:sz w:val="24"/>
          <w:szCs w:val="24"/>
        </w:rPr>
        <w:t xml:space="preserve">Justification for </w:t>
      </w:r>
    </w:p>
    <w:p w:rsidR="00077FB0" w:rsidRPr="00077FB0" w:rsidRDefault="00077FB0" w:rsidP="004732D5">
      <w:pPr>
        <w:autoSpaceDE w:val="0"/>
        <w:autoSpaceDN w:val="0"/>
        <w:adjustRightInd w:val="0"/>
        <w:spacing w:after="0" w:line="240" w:lineRule="atLeast"/>
        <w:jc w:val="center"/>
        <w:rPr>
          <w:rFonts w:ascii="Times New Roman" w:hAnsi="Times New Roman" w:cs="Times New Roman"/>
          <w:b/>
          <w:caps/>
          <w:sz w:val="24"/>
          <w:szCs w:val="24"/>
        </w:rPr>
      </w:pPr>
      <w:proofErr w:type="gramStart"/>
      <w:r w:rsidRPr="00077FB0">
        <w:rPr>
          <w:rFonts w:ascii="Times New Roman" w:hAnsi="Times New Roman" w:cs="Times New Roman"/>
          <w:b/>
          <w:caps/>
          <w:sz w:val="24"/>
          <w:szCs w:val="24"/>
        </w:rPr>
        <w:t xml:space="preserve">Non-substantive change request </w:t>
      </w:r>
      <w:r w:rsidR="004D4091">
        <w:rPr>
          <w:rFonts w:ascii="Times New Roman" w:hAnsi="Times New Roman" w:cs="Times New Roman"/>
          <w:b/>
          <w:caps/>
          <w:sz w:val="24"/>
          <w:szCs w:val="24"/>
        </w:rPr>
        <w:t>FOR</w:t>
      </w:r>
      <w:r w:rsidRPr="00077FB0">
        <w:rPr>
          <w:rFonts w:ascii="Times New Roman" w:hAnsi="Times New Roman" w:cs="Times New Roman"/>
          <w:b/>
          <w:caps/>
          <w:sz w:val="24"/>
          <w:szCs w:val="24"/>
        </w:rPr>
        <w:t xml:space="preserve"> OMB </w:t>
      </w:r>
      <w:r w:rsidR="004D4091">
        <w:rPr>
          <w:rFonts w:ascii="Times New Roman" w:hAnsi="Times New Roman" w:cs="Times New Roman"/>
          <w:b/>
          <w:caps/>
          <w:sz w:val="24"/>
          <w:szCs w:val="24"/>
        </w:rPr>
        <w:t>Control No.</w:t>
      </w:r>
      <w:proofErr w:type="gramEnd"/>
      <w:r w:rsidR="004D4091">
        <w:rPr>
          <w:rFonts w:ascii="Times New Roman" w:hAnsi="Times New Roman" w:cs="Times New Roman"/>
          <w:b/>
          <w:caps/>
          <w:sz w:val="24"/>
          <w:szCs w:val="24"/>
        </w:rPr>
        <w:t xml:space="preserve"> </w:t>
      </w:r>
      <w:r w:rsidRPr="00077FB0">
        <w:rPr>
          <w:rFonts w:ascii="Times New Roman" w:hAnsi="Times New Roman" w:cs="Times New Roman"/>
          <w:b/>
          <w:caps/>
          <w:sz w:val="24"/>
          <w:szCs w:val="24"/>
        </w:rPr>
        <w:t>1205-0132</w:t>
      </w:r>
    </w:p>
    <w:p w:rsidR="004732D5" w:rsidRDefault="004732D5" w:rsidP="004732D5">
      <w:pPr>
        <w:autoSpaceDE w:val="0"/>
        <w:autoSpaceDN w:val="0"/>
        <w:adjustRightInd w:val="0"/>
        <w:spacing w:after="0" w:line="240" w:lineRule="atLeast"/>
        <w:jc w:val="center"/>
        <w:rPr>
          <w:rFonts w:ascii="Times New Roman" w:hAnsi="Times New Roman" w:cs="Times New Roman"/>
          <w:b/>
          <w:sz w:val="24"/>
          <w:szCs w:val="24"/>
        </w:rPr>
      </w:pPr>
    </w:p>
    <w:p w:rsidR="00F4732C" w:rsidRDefault="00F4732C" w:rsidP="004732D5">
      <w:pPr>
        <w:autoSpaceDE w:val="0"/>
        <w:autoSpaceDN w:val="0"/>
        <w:adjustRightInd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ETA 8623A:  </w:t>
      </w:r>
      <w:r w:rsidR="00077FB0" w:rsidRPr="00077FB0">
        <w:rPr>
          <w:rFonts w:ascii="Times New Roman" w:hAnsi="Times New Roman" w:cs="Times New Roman"/>
          <w:b/>
          <w:sz w:val="24"/>
          <w:szCs w:val="24"/>
        </w:rPr>
        <w:t xml:space="preserve">ET Handbook No. 336, 18th Edition; </w:t>
      </w:r>
    </w:p>
    <w:p w:rsidR="00077FB0" w:rsidRPr="00077FB0" w:rsidRDefault="00077FB0" w:rsidP="004732D5">
      <w:pPr>
        <w:autoSpaceDE w:val="0"/>
        <w:autoSpaceDN w:val="0"/>
        <w:adjustRightInd w:val="0"/>
        <w:spacing w:after="0" w:line="240" w:lineRule="atLeast"/>
        <w:jc w:val="center"/>
        <w:rPr>
          <w:rFonts w:ascii="Times New Roman" w:hAnsi="Times New Roman" w:cs="Times New Roman"/>
          <w:b/>
          <w:sz w:val="24"/>
          <w:szCs w:val="24"/>
        </w:rPr>
      </w:pPr>
      <w:r w:rsidRPr="00077FB0">
        <w:rPr>
          <w:rFonts w:ascii="Times New Roman" w:hAnsi="Times New Roman" w:cs="Times New Roman"/>
          <w:b/>
          <w:sz w:val="24"/>
          <w:szCs w:val="24"/>
        </w:rPr>
        <w:t xml:space="preserve">Unemployment Insurance (UI) State Quality Service Plan (SQSP) </w:t>
      </w:r>
    </w:p>
    <w:p w:rsidR="004732D5" w:rsidRDefault="004732D5" w:rsidP="004732D5">
      <w:pPr>
        <w:tabs>
          <w:tab w:val="left" w:pos="0"/>
          <w:tab w:val="left" w:pos="720"/>
        </w:tabs>
        <w:spacing w:after="0" w:line="240" w:lineRule="atLeast"/>
        <w:rPr>
          <w:rFonts w:ascii="Times New Roman" w:hAnsi="Times New Roman" w:cs="Times New Roman"/>
          <w:b/>
          <w:bCs/>
          <w:sz w:val="24"/>
          <w:szCs w:val="24"/>
        </w:rPr>
      </w:pPr>
    </w:p>
    <w:p w:rsidR="006E6282" w:rsidRPr="006E6282" w:rsidRDefault="00077FB0" w:rsidP="00F11072">
      <w:pPr>
        <w:tabs>
          <w:tab w:val="left" w:pos="0"/>
          <w:tab w:val="left" w:pos="720"/>
        </w:tabs>
        <w:spacing w:line="360" w:lineRule="auto"/>
        <w:rPr>
          <w:rFonts w:ascii="Times New Roman" w:hAnsi="Times New Roman" w:cs="Times New Roman"/>
          <w:sz w:val="24"/>
          <w:szCs w:val="24"/>
        </w:rPr>
      </w:pPr>
      <w:r>
        <w:rPr>
          <w:rFonts w:ascii="Times New Roman" w:hAnsi="Times New Roman" w:cs="Times New Roman"/>
          <w:b/>
          <w:bCs/>
          <w:sz w:val="24"/>
          <w:szCs w:val="24"/>
        </w:rPr>
        <w:t xml:space="preserve">BACKGROUND:  </w:t>
      </w:r>
      <w:r w:rsidRPr="00077FB0">
        <w:rPr>
          <w:rFonts w:ascii="Times New Roman" w:hAnsi="Times New Roman" w:cs="Times New Roman"/>
          <w:sz w:val="24"/>
          <w:szCs w:val="24"/>
        </w:rPr>
        <w:t>The SQSP, with its State Plan Narrative, Corrective Action Plans (CAPs), and Integrity Action Plan (IAP), is the state’s formal plan and schedule for improving performance.  States use the State Plan Narrative to provide a general summary of the UI program in the state.  Additionally, states are to include in the Narrative:  1) performance in comparison to the Government Performance Results Act (GPRA) goals; 2) results of customer satisfaction surveys (optional); and, 3) actions planned to correct deficiencies regarding UI programs and reporting requirements.  Actions planned to correct deficiencies for Secretary Standards, Core Measures, and the Data Validation program</w:t>
      </w:r>
      <w:r w:rsidR="00550F1C">
        <w:rPr>
          <w:rFonts w:ascii="Times New Roman" w:hAnsi="Times New Roman" w:cs="Times New Roman"/>
          <w:sz w:val="24"/>
          <w:szCs w:val="24"/>
        </w:rPr>
        <w:t>s</w:t>
      </w:r>
      <w:r w:rsidRPr="00077FB0">
        <w:rPr>
          <w:rFonts w:ascii="Times New Roman" w:hAnsi="Times New Roman" w:cs="Times New Roman"/>
          <w:sz w:val="24"/>
          <w:szCs w:val="24"/>
        </w:rPr>
        <w:t xml:space="preserve"> are to be addressed in </w:t>
      </w:r>
      <w:r>
        <w:rPr>
          <w:rFonts w:ascii="Times New Roman" w:hAnsi="Times New Roman" w:cs="Times New Roman"/>
          <w:sz w:val="24"/>
          <w:szCs w:val="24"/>
        </w:rPr>
        <w:t>CAPs</w:t>
      </w:r>
      <w:r w:rsidRPr="00077FB0">
        <w:rPr>
          <w:rFonts w:ascii="Times New Roman" w:hAnsi="Times New Roman" w:cs="Times New Roman"/>
          <w:sz w:val="24"/>
          <w:szCs w:val="24"/>
        </w:rPr>
        <w:t xml:space="preserve">.  Actions planned to reduce and recover improper payments are to be addressed in the state’s IAP.   </w:t>
      </w:r>
      <w:r w:rsidR="001407DF" w:rsidRPr="00077FB0">
        <w:rPr>
          <w:rFonts w:ascii="Times New Roman" w:hAnsi="Times New Roman" w:cs="Times New Roman"/>
          <w:sz w:val="24"/>
          <w:szCs w:val="24"/>
        </w:rPr>
        <w:t xml:space="preserve">Operationally, the SQSP also serves as the programmatic plan portion of the </w:t>
      </w:r>
      <w:r w:rsidR="001407DF" w:rsidRPr="006E6282">
        <w:rPr>
          <w:rFonts w:ascii="Times New Roman" w:hAnsi="Times New Roman" w:cs="Times New Roman"/>
          <w:sz w:val="24"/>
          <w:szCs w:val="24"/>
        </w:rPr>
        <w:t xml:space="preserve">grant document through which states receive Federal UI administrative funding.  </w:t>
      </w:r>
      <w:r w:rsidR="006E6282" w:rsidRPr="006E6282">
        <w:rPr>
          <w:rFonts w:ascii="Times New Roman" w:hAnsi="Times New Roman" w:cs="Times New Roman"/>
          <w:sz w:val="24"/>
          <w:szCs w:val="24"/>
        </w:rPr>
        <w:t>Therefore, states submit budget worksheets and various assurances annually</w:t>
      </w:r>
      <w:r w:rsidR="00FA2FD7">
        <w:rPr>
          <w:rFonts w:ascii="Times New Roman" w:hAnsi="Times New Roman" w:cs="Times New Roman"/>
          <w:sz w:val="24"/>
          <w:szCs w:val="24"/>
        </w:rPr>
        <w:t>.</w:t>
      </w:r>
    </w:p>
    <w:p w:rsidR="00A30A1F" w:rsidRPr="00B34440" w:rsidRDefault="00174A8B" w:rsidP="002422D6">
      <w:pPr>
        <w:tabs>
          <w:tab w:val="left" w:pos="0"/>
          <w:tab w:val="left" w:pos="72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PURPOSE OF THIS REQUEST:  </w:t>
      </w:r>
      <w:r w:rsidR="00E109A3" w:rsidRPr="00B34440">
        <w:rPr>
          <w:rFonts w:ascii="Times New Roman" w:hAnsi="Times New Roman" w:cs="Times New Roman"/>
          <w:b/>
          <w:sz w:val="24"/>
          <w:szCs w:val="24"/>
        </w:rPr>
        <w:t xml:space="preserve">States have expressed </w:t>
      </w:r>
      <w:r w:rsidR="00FD2CB7" w:rsidRPr="00B34440">
        <w:rPr>
          <w:rFonts w:ascii="Times New Roman" w:hAnsi="Times New Roman" w:cs="Times New Roman"/>
          <w:b/>
          <w:sz w:val="24"/>
          <w:szCs w:val="24"/>
        </w:rPr>
        <w:t xml:space="preserve">that </w:t>
      </w:r>
      <w:r w:rsidR="00EC6BF3">
        <w:rPr>
          <w:rFonts w:ascii="Times New Roman" w:hAnsi="Times New Roman" w:cs="Times New Roman"/>
          <w:b/>
          <w:sz w:val="24"/>
          <w:szCs w:val="24"/>
        </w:rPr>
        <w:t xml:space="preserve">submitting the </w:t>
      </w:r>
      <w:r w:rsidR="00FD2CB7" w:rsidRPr="00B34440">
        <w:rPr>
          <w:rFonts w:ascii="Times New Roman" w:hAnsi="Times New Roman" w:cs="Times New Roman"/>
          <w:b/>
          <w:sz w:val="24"/>
          <w:szCs w:val="24"/>
        </w:rPr>
        <w:t>SQSP</w:t>
      </w:r>
      <w:r w:rsidR="00EC6BF3">
        <w:rPr>
          <w:rFonts w:ascii="Times New Roman" w:hAnsi="Times New Roman" w:cs="Times New Roman"/>
          <w:b/>
          <w:sz w:val="24"/>
          <w:szCs w:val="24"/>
        </w:rPr>
        <w:t xml:space="preserve"> on an annual basis</w:t>
      </w:r>
      <w:r w:rsidR="00FD2CB7" w:rsidRPr="00B34440">
        <w:rPr>
          <w:rFonts w:ascii="Times New Roman" w:hAnsi="Times New Roman" w:cs="Times New Roman"/>
          <w:b/>
          <w:sz w:val="24"/>
          <w:szCs w:val="24"/>
        </w:rPr>
        <w:t xml:space="preserve"> does not provide adequate time to plan and implement information technology solutions or </w:t>
      </w:r>
      <w:r w:rsidR="00EC6BF3">
        <w:rPr>
          <w:rFonts w:ascii="Times New Roman" w:hAnsi="Times New Roman" w:cs="Times New Roman"/>
          <w:b/>
          <w:sz w:val="24"/>
          <w:szCs w:val="24"/>
        </w:rPr>
        <w:t xml:space="preserve">to </w:t>
      </w:r>
      <w:r w:rsidR="00FD2CB7" w:rsidRPr="00B34440">
        <w:rPr>
          <w:rFonts w:ascii="Times New Roman" w:hAnsi="Times New Roman" w:cs="Times New Roman"/>
          <w:b/>
          <w:sz w:val="24"/>
          <w:szCs w:val="24"/>
        </w:rPr>
        <w:t xml:space="preserve">change business processes to improve performance.  </w:t>
      </w:r>
      <w:r w:rsidR="00EC6BF3">
        <w:rPr>
          <w:rFonts w:ascii="Times New Roman" w:hAnsi="Times New Roman" w:cs="Times New Roman"/>
          <w:b/>
          <w:sz w:val="24"/>
          <w:szCs w:val="24"/>
        </w:rPr>
        <w:t>Therefore, t</w:t>
      </w:r>
      <w:r w:rsidR="00FD2CB7" w:rsidRPr="00B34440">
        <w:rPr>
          <w:rFonts w:ascii="Times New Roman" w:hAnsi="Times New Roman" w:cs="Times New Roman"/>
          <w:b/>
          <w:sz w:val="24"/>
          <w:szCs w:val="24"/>
        </w:rPr>
        <w:t xml:space="preserve">o ensure a viable SQSP </w:t>
      </w:r>
      <w:r w:rsidR="00932D76" w:rsidRPr="00B34440">
        <w:rPr>
          <w:rFonts w:ascii="Times New Roman" w:hAnsi="Times New Roman" w:cs="Times New Roman"/>
          <w:b/>
          <w:sz w:val="24"/>
          <w:szCs w:val="24"/>
        </w:rPr>
        <w:t>and improve</w:t>
      </w:r>
      <w:r w:rsidR="00E60B0F" w:rsidRPr="00B34440">
        <w:rPr>
          <w:rFonts w:ascii="Times New Roman" w:hAnsi="Times New Roman" w:cs="Times New Roman"/>
          <w:b/>
          <w:sz w:val="24"/>
          <w:szCs w:val="24"/>
        </w:rPr>
        <w:t xml:space="preserve"> the quality of the SQSPs,</w:t>
      </w:r>
      <w:r w:rsidR="001407DF" w:rsidRPr="00B34440">
        <w:rPr>
          <w:rFonts w:ascii="Times New Roman" w:hAnsi="Times New Roman" w:cs="Times New Roman"/>
          <w:b/>
          <w:sz w:val="24"/>
          <w:szCs w:val="24"/>
        </w:rPr>
        <w:t xml:space="preserve"> </w:t>
      </w:r>
      <w:r w:rsidR="00EC6BF3">
        <w:rPr>
          <w:rFonts w:ascii="Times New Roman" w:hAnsi="Times New Roman" w:cs="Times New Roman"/>
          <w:b/>
          <w:sz w:val="24"/>
          <w:szCs w:val="24"/>
        </w:rPr>
        <w:t xml:space="preserve">the </w:t>
      </w:r>
      <w:r w:rsidR="004C576D">
        <w:rPr>
          <w:rFonts w:ascii="Times New Roman" w:hAnsi="Times New Roman" w:cs="Times New Roman"/>
          <w:b/>
          <w:sz w:val="24"/>
          <w:szCs w:val="24"/>
        </w:rPr>
        <w:t>Employment</w:t>
      </w:r>
      <w:r w:rsidR="00EC6BF3">
        <w:rPr>
          <w:rFonts w:ascii="Times New Roman" w:hAnsi="Times New Roman" w:cs="Times New Roman"/>
          <w:b/>
          <w:sz w:val="24"/>
          <w:szCs w:val="24"/>
        </w:rPr>
        <w:t xml:space="preserve"> and Training </w:t>
      </w:r>
      <w:proofErr w:type="gramStart"/>
      <w:r w:rsidR="00EC6BF3">
        <w:rPr>
          <w:rFonts w:ascii="Times New Roman" w:hAnsi="Times New Roman" w:cs="Times New Roman"/>
          <w:b/>
          <w:sz w:val="24"/>
          <w:szCs w:val="24"/>
        </w:rPr>
        <w:t>Administration  (</w:t>
      </w:r>
      <w:proofErr w:type="gramEnd"/>
      <w:r w:rsidR="00EC6BF3">
        <w:rPr>
          <w:rFonts w:ascii="Times New Roman" w:hAnsi="Times New Roman" w:cs="Times New Roman"/>
          <w:b/>
          <w:sz w:val="24"/>
          <w:szCs w:val="24"/>
        </w:rPr>
        <w:t>ETA) proposes that states</w:t>
      </w:r>
      <w:r w:rsidR="00E60B0F" w:rsidRPr="00B34440">
        <w:rPr>
          <w:rFonts w:ascii="Times New Roman" w:hAnsi="Times New Roman" w:cs="Times New Roman"/>
          <w:b/>
          <w:sz w:val="24"/>
          <w:szCs w:val="24"/>
        </w:rPr>
        <w:t xml:space="preserve"> </w:t>
      </w:r>
      <w:r w:rsidR="00EC6BF3">
        <w:rPr>
          <w:rFonts w:ascii="Times New Roman" w:hAnsi="Times New Roman" w:cs="Times New Roman"/>
          <w:b/>
          <w:sz w:val="24"/>
          <w:szCs w:val="24"/>
        </w:rPr>
        <w:t xml:space="preserve">submit their </w:t>
      </w:r>
      <w:r w:rsidR="00E60B0F" w:rsidRPr="00B34440">
        <w:rPr>
          <w:rFonts w:ascii="Times New Roman" w:hAnsi="Times New Roman" w:cs="Times New Roman"/>
          <w:b/>
          <w:sz w:val="24"/>
          <w:szCs w:val="24"/>
        </w:rPr>
        <w:t>formal SQSP, including the State Plan Narrative, CAPs, and the IAP</w:t>
      </w:r>
      <w:r w:rsidR="001407DF" w:rsidRPr="00B34440">
        <w:rPr>
          <w:rFonts w:ascii="Times New Roman" w:hAnsi="Times New Roman" w:cs="Times New Roman"/>
          <w:b/>
          <w:sz w:val="24"/>
          <w:szCs w:val="24"/>
        </w:rPr>
        <w:t>,</w:t>
      </w:r>
      <w:r w:rsidR="00E60B0F" w:rsidRPr="00B34440">
        <w:rPr>
          <w:rFonts w:ascii="Times New Roman" w:hAnsi="Times New Roman" w:cs="Times New Roman"/>
          <w:b/>
          <w:sz w:val="24"/>
          <w:szCs w:val="24"/>
        </w:rPr>
        <w:t xml:space="preserve"> bi</w:t>
      </w:r>
      <w:r w:rsidR="00EC6BF3">
        <w:rPr>
          <w:rFonts w:ascii="Times New Roman" w:hAnsi="Times New Roman" w:cs="Times New Roman"/>
          <w:b/>
          <w:sz w:val="24"/>
          <w:szCs w:val="24"/>
        </w:rPr>
        <w:t>-</w:t>
      </w:r>
      <w:r w:rsidR="00E60B0F" w:rsidRPr="00B34440">
        <w:rPr>
          <w:rFonts w:ascii="Times New Roman" w:hAnsi="Times New Roman" w:cs="Times New Roman"/>
          <w:b/>
          <w:sz w:val="24"/>
          <w:szCs w:val="24"/>
        </w:rPr>
        <w:t>annually</w:t>
      </w:r>
      <w:r w:rsidR="001407DF" w:rsidRPr="00B34440">
        <w:rPr>
          <w:rFonts w:ascii="Times New Roman" w:hAnsi="Times New Roman" w:cs="Times New Roman"/>
          <w:b/>
          <w:sz w:val="24"/>
          <w:szCs w:val="24"/>
        </w:rPr>
        <w:t xml:space="preserve">. </w:t>
      </w:r>
      <w:r w:rsidR="004148BF" w:rsidRPr="00B34440">
        <w:rPr>
          <w:rFonts w:ascii="Times New Roman" w:hAnsi="Times New Roman" w:cs="Times New Roman"/>
          <w:b/>
          <w:sz w:val="24"/>
          <w:szCs w:val="24"/>
        </w:rPr>
        <w:t xml:space="preserve"> </w:t>
      </w:r>
      <w:r w:rsidR="00FD2CB7" w:rsidRPr="00B34440">
        <w:rPr>
          <w:rFonts w:ascii="Times New Roman" w:hAnsi="Times New Roman" w:cs="Times New Roman"/>
          <w:b/>
          <w:sz w:val="24"/>
          <w:szCs w:val="24"/>
        </w:rPr>
        <w:t xml:space="preserve">The biannual SQSP planning cycle will provide </w:t>
      </w:r>
      <w:r w:rsidR="00932D76" w:rsidRPr="00B34440">
        <w:rPr>
          <w:rFonts w:ascii="Times New Roman" w:hAnsi="Times New Roman" w:cs="Times New Roman"/>
          <w:b/>
          <w:sz w:val="24"/>
          <w:szCs w:val="24"/>
        </w:rPr>
        <w:t xml:space="preserve">a </w:t>
      </w:r>
      <w:r w:rsidR="00FD2CB7" w:rsidRPr="00B34440">
        <w:rPr>
          <w:rFonts w:ascii="Times New Roman" w:hAnsi="Times New Roman" w:cs="Times New Roman"/>
          <w:b/>
          <w:sz w:val="24"/>
          <w:szCs w:val="24"/>
        </w:rPr>
        <w:t xml:space="preserve">24-month window </w:t>
      </w:r>
      <w:r w:rsidR="00AF396A" w:rsidRPr="00B34440">
        <w:rPr>
          <w:rFonts w:ascii="Times New Roman" w:hAnsi="Times New Roman" w:cs="Times New Roman"/>
          <w:b/>
          <w:sz w:val="24"/>
          <w:szCs w:val="24"/>
        </w:rPr>
        <w:t xml:space="preserve">for states </w:t>
      </w:r>
      <w:r w:rsidR="00FD2CB7" w:rsidRPr="00B34440">
        <w:rPr>
          <w:rFonts w:ascii="Times New Roman" w:hAnsi="Times New Roman" w:cs="Times New Roman"/>
          <w:b/>
          <w:sz w:val="24"/>
          <w:szCs w:val="24"/>
        </w:rPr>
        <w:t xml:space="preserve">to adequately plan and implement their vision </w:t>
      </w:r>
      <w:r w:rsidR="002422D6" w:rsidRPr="00B34440">
        <w:rPr>
          <w:rFonts w:ascii="Times New Roman" w:hAnsi="Times New Roman" w:cs="Times New Roman"/>
          <w:b/>
          <w:sz w:val="24"/>
          <w:szCs w:val="24"/>
        </w:rPr>
        <w:t>to enhance the</w:t>
      </w:r>
      <w:r w:rsidR="00932D76" w:rsidRPr="00B34440">
        <w:rPr>
          <w:rFonts w:ascii="Times New Roman" w:hAnsi="Times New Roman" w:cs="Times New Roman"/>
          <w:b/>
          <w:sz w:val="24"/>
          <w:szCs w:val="24"/>
        </w:rPr>
        <w:t xml:space="preserve"> </w:t>
      </w:r>
      <w:r w:rsidR="002422D6" w:rsidRPr="00B34440">
        <w:rPr>
          <w:rFonts w:ascii="Times New Roman" w:hAnsi="Times New Roman" w:cs="Times New Roman"/>
          <w:b/>
          <w:sz w:val="24"/>
          <w:szCs w:val="24"/>
        </w:rPr>
        <w:t>UI program, and to reflect their commitment to performance excellence and client</w:t>
      </w:r>
      <w:r w:rsidR="00932D76" w:rsidRPr="00B34440">
        <w:rPr>
          <w:rFonts w:ascii="Times New Roman" w:hAnsi="Times New Roman" w:cs="Times New Roman"/>
          <w:b/>
          <w:sz w:val="24"/>
          <w:szCs w:val="24"/>
        </w:rPr>
        <w:t xml:space="preserve"> </w:t>
      </w:r>
      <w:r w:rsidR="002422D6" w:rsidRPr="00B34440">
        <w:rPr>
          <w:rFonts w:ascii="Times New Roman" w:hAnsi="Times New Roman" w:cs="Times New Roman"/>
          <w:b/>
          <w:sz w:val="24"/>
          <w:szCs w:val="24"/>
        </w:rPr>
        <w:t xml:space="preserve">centered services. </w:t>
      </w:r>
      <w:r w:rsidR="00FD2CB7" w:rsidRPr="00B34440">
        <w:rPr>
          <w:rFonts w:ascii="Times New Roman" w:hAnsi="Times New Roman" w:cs="Times New Roman"/>
          <w:b/>
          <w:sz w:val="24"/>
          <w:szCs w:val="24"/>
        </w:rPr>
        <w:t xml:space="preserve"> </w:t>
      </w:r>
      <w:r w:rsidR="00000DF7" w:rsidRPr="00B34440">
        <w:rPr>
          <w:rFonts w:ascii="Times New Roman" w:hAnsi="Times New Roman" w:cs="Times New Roman"/>
          <w:b/>
          <w:sz w:val="24"/>
          <w:szCs w:val="24"/>
        </w:rPr>
        <w:t xml:space="preserve">Though </w:t>
      </w:r>
      <w:r w:rsidR="00EC6BF3">
        <w:rPr>
          <w:rFonts w:ascii="Times New Roman" w:hAnsi="Times New Roman" w:cs="Times New Roman"/>
          <w:b/>
          <w:sz w:val="24"/>
          <w:szCs w:val="24"/>
        </w:rPr>
        <w:t xml:space="preserve">states will submit </w:t>
      </w:r>
      <w:r w:rsidR="00000DF7" w:rsidRPr="00B34440">
        <w:rPr>
          <w:rFonts w:ascii="Times New Roman" w:hAnsi="Times New Roman" w:cs="Times New Roman"/>
          <w:b/>
          <w:sz w:val="24"/>
          <w:szCs w:val="24"/>
        </w:rPr>
        <w:t xml:space="preserve">the programmatic portion of the SQSP bi-annually, </w:t>
      </w:r>
      <w:r w:rsidR="00EC6BF3">
        <w:rPr>
          <w:rFonts w:ascii="Times New Roman" w:hAnsi="Times New Roman" w:cs="Times New Roman"/>
          <w:b/>
          <w:sz w:val="24"/>
          <w:szCs w:val="24"/>
        </w:rPr>
        <w:t>they</w:t>
      </w:r>
      <w:r w:rsidR="004148BF" w:rsidRPr="00B34440">
        <w:rPr>
          <w:rFonts w:ascii="Times New Roman" w:hAnsi="Times New Roman" w:cs="Times New Roman"/>
          <w:b/>
          <w:sz w:val="24"/>
          <w:szCs w:val="24"/>
        </w:rPr>
        <w:t xml:space="preserve"> will continue to submit budget worksheets and various assurances annually since funds for UI operations are appropriated each year.</w:t>
      </w:r>
      <w:r>
        <w:rPr>
          <w:rFonts w:ascii="Times New Roman" w:hAnsi="Times New Roman" w:cs="Times New Roman"/>
          <w:b/>
          <w:sz w:val="24"/>
          <w:szCs w:val="24"/>
        </w:rPr>
        <w:t xml:space="preserve">  </w:t>
      </w:r>
      <w:r>
        <w:rPr>
          <w:rFonts w:ascii="Times New Roman" w:hAnsi="Times New Roman" w:cs="Times New Roman"/>
          <w:sz w:val="24"/>
          <w:szCs w:val="24"/>
        </w:rPr>
        <w:t xml:space="preserve">The viability of the SQSP is critical to UI program performance.  </w:t>
      </w:r>
      <w:r w:rsidR="00EC6BF3">
        <w:rPr>
          <w:rFonts w:ascii="Times New Roman" w:hAnsi="Times New Roman" w:cs="Times New Roman"/>
          <w:sz w:val="24"/>
          <w:szCs w:val="24"/>
        </w:rPr>
        <w:t xml:space="preserve">ETA believes that </w:t>
      </w:r>
      <w:r>
        <w:rPr>
          <w:rFonts w:ascii="Times New Roman" w:hAnsi="Times New Roman" w:cs="Times New Roman"/>
          <w:sz w:val="24"/>
          <w:szCs w:val="24"/>
        </w:rPr>
        <w:t xml:space="preserve">states </w:t>
      </w:r>
      <w:r w:rsidR="00EC6BF3">
        <w:rPr>
          <w:rFonts w:ascii="Times New Roman" w:hAnsi="Times New Roman" w:cs="Times New Roman"/>
          <w:sz w:val="24"/>
          <w:szCs w:val="24"/>
        </w:rPr>
        <w:t>will elevate</w:t>
      </w:r>
      <w:r>
        <w:rPr>
          <w:rFonts w:ascii="Times New Roman" w:hAnsi="Times New Roman" w:cs="Times New Roman"/>
          <w:sz w:val="24"/>
          <w:szCs w:val="24"/>
        </w:rPr>
        <w:t xml:space="preserve"> performance improvement efforts by </w:t>
      </w:r>
      <w:r w:rsidR="00EC6BF3">
        <w:rPr>
          <w:rFonts w:ascii="Times New Roman" w:hAnsi="Times New Roman" w:cs="Times New Roman"/>
          <w:sz w:val="24"/>
          <w:szCs w:val="24"/>
        </w:rPr>
        <w:t xml:space="preserve">submitting the </w:t>
      </w:r>
      <w:r>
        <w:rPr>
          <w:rFonts w:ascii="Times New Roman" w:hAnsi="Times New Roman" w:cs="Times New Roman"/>
          <w:sz w:val="24"/>
          <w:szCs w:val="24"/>
        </w:rPr>
        <w:t xml:space="preserve">SQSP </w:t>
      </w:r>
      <w:r w:rsidR="00EC6BF3">
        <w:rPr>
          <w:rFonts w:ascii="Times New Roman" w:hAnsi="Times New Roman" w:cs="Times New Roman"/>
          <w:sz w:val="24"/>
          <w:szCs w:val="24"/>
        </w:rPr>
        <w:t>bi-annually.</w:t>
      </w:r>
      <w:r>
        <w:rPr>
          <w:rFonts w:ascii="Times New Roman" w:hAnsi="Times New Roman" w:cs="Times New Roman"/>
          <w:sz w:val="24"/>
          <w:szCs w:val="24"/>
        </w:rPr>
        <w:t xml:space="preserve">  </w:t>
      </w:r>
    </w:p>
    <w:p w:rsidR="00CC05CD" w:rsidRDefault="00CC05CD" w:rsidP="00F11072">
      <w:pPr>
        <w:tabs>
          <w:tab w:val="left" w:pos="0"/>
          <w:tab w:val="left" w:pos="720"/>
        </w:tabs>
        <w:spacing w:after="0" w:line="360" w:lineRule="auto"/>
        <w:rPr>
          <w:rFonts w:ascii="Times New Roman" w:hAnsi="Times New Roman" w:cs="Times New Roman"/>
          <w:sz w:val="24"/>
          <w:szCs w:val="24"/>
        </w:rPr>
      </w:pPr>
    </w:p>
    <w:p w:rsidR="00BC253D" w:rsidRDefault="00AF0D79" w:rsidP="00F11072">
      <w:pPr>
        <w:tabs>
          <w:tab w:val="left" w:pos="0"/>
          <w:tab w:val="left" w:pos="72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ETA propose</w:t>
      </w:r>
      <w:r w:rsidR="008D116C">
        <w:rPr>
          <w:rFonts w:ascii="Times New Roman" w:hAnsi="Times New Roman" w:cs="Times New Roman"/>
          <w:sz w:val="24"/>
          <w:szCs w:val="24"/>
        </w:rPr>
        <w:t>s</w:t>
      </w:r>
      <w:r>
        <w:rPr>
          <w:rFonts w:ascii="Times New Roman" w:hAnsi="Times New Roman" w:cs="Times New Roman"/>
          <w:sz w:val="24"/>
          <w:szCs w:val="24"/>
        </w:rPr>
        <w:t xml:space="preserve"> to implement this change with the FY 2015 SQSP.  </w:t>
      </w:r>
      <w:r w:rsidR="00A64AB0">
        <w:rPr>
          <w:rFonts w:ascii="Times New Roman" w:hAnsi="Times New Roman" w:cs="Times New Roman"/>
          <w:sz w:val="24"/>
          <w:szCs w:val="24"/>
        </w:rPr>
        <w:t>States begin planning the FY 2015 SQSP in June 2014, to allow time for plan preparation, submittal, and approval of the SQSP</w:t>
      </w:r>
      <w:r w:rsidR="008D116C">
        <w:rPr>
          <w:rFonts w:ascii="Times New Roman" w:hAnsi="Times New Roman" w:cs="Times New Roman"/>
          <w:sz w:val="24"/>
          <w:szCs w:val="24"/>
        </w:rPr>
        <w:t xml:space="preserve"> by September 2014</w:t>
      </w:r>
      <w:r w:rsidR="00A64AB0">
        <w:rPr>
          <w:rFonts w:ascii="Times New Roman" w:hAnsi="Times New Roman" w:cs="Times New Roman"/>
          <w:sz w:val="24"/>
          <w:szCs w:val="24"/>
        </w:rPr>
        <w:t xml:space="preserve">.  </w:t>
      </w:r>
      <w:r w:rsidR="00BC253D">
        <w:rPr>
          <w:rFonts w:ascii="Times New Roman" w:hAnsi="Times New Roman" w:cs="Times New Roman"/>
          <w:sz w:val="24"/>
          <w:szCs w:val="24"/>
        </w:rPr>
        <w:t xml:space="preserve">Therefore, ETA is requesting this non-substantive change now to allow time for </w:t>
      </w:r>
      <w:r w:rsidR="00A64AB0">
        <w:rPr>
          <w:rFonts w:ascii="Times New Roman" w:hAnsi="Times New Roman" w:cs="Times New Roman"/>
          <w:sz w:val="24"/>
          <w:szCs w:val="24"/>
        </w:rPr>
        <w:t xml:space="preserve">the completion of the process prior to the beginning of the FY.  </w:t>
      </w:r>
    </w:p>
    <w:p w:rsidR="00C50B06" w:rsidRDefault="00C50B06" w:rsidP="00F11072">
      <w:pPr>
        <w:tabs>
          <w:tab w:val="left" w:pos="0"/>
          <w:tab w:val="left" w:pos="720"/>
        </w:tabs>
        <w:spacing w:after="0" w:line="360" w:lineRule="auto"/>
        <w:rPr>
          <w:rFonts w:ascii="Times New Roman" w:hAnsi="Times New Roman" w:cs="Times New Roman"/>
          <w:sz w:val="24"/>
          <w:szCs w:val="24"/>
        </w:rPr>
      </w:pPr>
    </w:p>
    <w:p w:rsidR="00C50B06" w:rsidRDefault="00C50B06" w:rsidP="00F11072">
      <w:pPr>
        <w:tabs>
          <w:tab w:val="left" w:pos="0"/>
          <w:tab w:val="left" w:pos="720"/>
        </w:tabs>
        <w:spacing w:after="0" w:line="360" w:lineRule="auto"/>
        <w:rPr>
          <w:rFonts w:ascii="Times New Roman" w:hAnsi="Times New Roman" w:cs="Times New Roman"/>
          <w:sz w:val="24"/>
          <w:szCs w:val="24"/>
        </w:rPr>
      </w:pPr>
      <w:r>
        <w:rPr>
          <w:rFonts w:ascii="Times New Roman" w:hAnsi="Times New Roman" w:cs="Times New Roman"/>
          <w:sz w:val="24"/>
          <w:szCs w:val="24"/>
        </w:rPr>
        <w:t>ET Handbook No. 336, 18</w:t>
      </w:r>
      <w:r w:rsidRPr="00C50B06">
        <w:rPr>
          <w:rFonts w:ascii="Times New Roman" w:hAnsi="Times New Roman" w:cs="Times New Roman"/>
          <w:sz w:val="24"/>
          <w:szCs w:val="24"/>
          <w:vertAlign w:val="superscript"/>
        </w:rPr>
        <w:t>th</w:t>
      </w:r>
      <w:r>
        <w:rPr>
          <w:rFonts w:ascii="Times New Roman" w:hAnsi="Times New Roman" w:cs="Times New Roman"/>
          <w:sz w:val="24"/>
          <w:szCs w:val="24"/>
        </w:rPr>
        <w:t xml:space="preserve"> Edition has been revised to reflect this change</w:t>
      </w:r>
      <w:r w:rsidR="00F9679D">
        <w:rPr>
          <w:rFonts w:ascii="Times New Roman" w:hAnsi="Times New Roman" w:cs="Times New Roman"/>
          <w:sz w:val="24"/>
          <w:szCs w:val="24"/>
        </w:rPr>
        <w:t xml:space="preserve">.  Additionally, non-material changes has been made to the handbook      </w:t>
      </w:r>
    </w:p>
    <w:p w:rsidR="00F9679D" w:rsidRDefault="00F9679D" w:rsidP="00F9679D">
      <w:pPr>
        <w:tabs>
          <w:tab w:val="left" w:pos="0"/>
          <w:tab w:val="left" w:pos="720"/>
        </w:tabs>
        <w:spacing w:after="0" w:line="240" w:lineRule="auto"/>
        <w:rPr>
          <w:rFonts w:ascii="Times New Roman" w:hAnsi="Times New Roman" w:cs="Times New Roman"/>
          <w:sz w:val="24"/>
          <w:szCs w:val="24"/>
        </w:rPr>
      </w:pPr>
    </w:p>
    <w:p w:rsidR="00F9679D" w:rsidRDefault="00F9679D" w:rsidP="00F9679D">
      <w:pPr>
        <w:tabs>
          <w:tab w:val="left" w:pos="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Changes to ET Handbook 336, 18</w:t>
      </w:r>
      <w:r w:rsidRPr="00F9679D">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rsidR="00F9679D" w:rsidRDefault="00F9679D" w:rsidP="00F9679D">
      <w:pPr>
        <w:tabs>
          <w:tab w:val="left" w:pos="0"/>
          <w:tab w:val="left" w:pos="720"/>
        </w:tabs>
        <w:spacing w:after="0" w:line="240" w:lineRule="auto"/>
        <w:rPr>
          <w:rFonts w:ascii="Times New Roman" w:hAnsi="Times New Roman" w:cs="Times New Roman"/>
          <w:sz w:val="24"/>
          <w:szCs w:val="24"/>
        </w:rPr>
      </w:pPr>
    </w:p>
    <w:p w:rsidR="00D22A04" w:rsidRDefault="00F9679D" w:rsidP="00F9679D">
      <w:pPr>
        <w:tabs>
          <w:tab w:val="left" w:pos="0"/>
          <w:tab w:val="left" w:pos="720"/>
        </w:tabs>
        <w:spacing w:after="0" w:line="240" w:lineRule="auto"/>
        <w:rPr>
          <w:rFonts w:ascii="Times New Roman" w:hAnsi="Times New Roman" w:cs="Times New Roman"/>
          <w:b/>
          <w:sz w:val="24"/>
          <w:szCs w:val="24"/>
        </w:rPr>
      </w:pPr>
      <w:r w:rsidRPr="00F9679D">
        <w:rPr>
          <w:rFonts w:ascii="Times New Roman" w:hAnsi="Times New Roman" w:cs="Times New Roman"/>
          <w:b/>
          <w:sz w:val="24"/>
          <w:szCs w:val="24"/>
        </w:rPr>
        <w:t>Overall</w:t>
      </w:r>
    </w:p>
    <w:p w:rsidR="00F9679D" w:rsidRDefault="00F9679D" w:rsidP="00D22A04">
      <w:pPr>
        <w:pStyle w:val="ListParagraph"/>
        <w:numPr>
          <w:ilvl w:val="0"/>
          <w:numId w:val="2"/>
        </w:numPr>
        <w:tabs>
          <w:tab w:val="left" w:pos="0"/>
          <w:tab w:val="left" w:pos="720"/>
        </w:tabs>
        <w:spacing w:after="0" w:line="240" w:lineRule="auto"/>
        <w:rPr>
          <w:rFonts w:ascii="Times New Roman" w:hAnsi="Times New Roman" w:cs="Times New Roman"/>
          <w:sz w:val="24"/>
          <w:szCs w:val="24"/>
        </w:rPr>
      </w:pPr>
      <w:r w:rsidRPr="00D22A04">
        <w:rPr>
          <w:rFonts w:ascii="Times New Roman" w:hAnsi="Times New Roman" w:cs="Times New Roman"/>
          <w:sz w:val="24"/>
          <w:szCs w:val="24"/>
        </w:rPr>
        <w:t>publication date changed to April 2014</w:t>
      </w:r>
    </w:p>
    <w:p w:rsidR="00D22A04" w:rsidRPr="00D22A04" w:rsidRDefault="00D22A04" w:rsidP="00D22A04">
      <w:pPr>
        <w:pStyle w:val="ListParagraph"/>
        <w:numPr>
          <w:ilvl w:val="0"/>
          <w:numId w:val="2"/>
        </w:numPr>
        <w:tabs>
          <w:tab w:val="left" w:pos="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Change of the name of annual guidance from Call Memo to SQSP UIPL</w:t>
      </w:r>
    </w:p>
    <w:p w:rsidR="00F9679D" w:rsidRDefault="00F9679D" w:rsidP="00F9679D">
      <w:pPr>
        <w:tabs>
          <w:tab w:val="left" w:pos="0"/>
          <w:tab w:val="left" w:pos="720"/>
        </w:tabs>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sidR="00306DFD">
        <w:rPr>
          <w:rFonts w:ascii="Times New Roman" w:hAnsi="Times New Roman" w:cs="Times New Roman"/>
          <w:sz w:val="24"/>
          <w:szCs w:val="24"/>
        </w:rPr>
        <w:t xml:space="preserve"> </w:t>
      </w:r>
    </w:p>
    <w:p w:rsidR="00306DFD" w:rsidRPr="008F41AB" w:rsidRDefault="00306DFD" w:rsidP="008F41AB">
      <w:pPr>
        <w:pStyle w:val="ListParagraph"/>
        <w:numPr>
          <w:ilvl w:val="0"/>
          <w:numId w:val="3"/>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Added language regarding the annual requirement</w:t>
      </w:r>
    </w:p>
    <w:p w:rsidR="00306DFD" w:rsidRPr="008F41AB" w:rsidRDefault="00306DFD" w:rsidP="008F41AB">
      <w:pPr>
        <w:pStyle w:val="ListParagraph"/>
        <w:numPr>
          <w:ilvl w:val="0"/>
          <w:numId w:val="3"/>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Undated reference to UIPL 14-05</w:t>
      </w:r>
    </w:p>
    <w:p w:rsidR="00306DFD" w:rsidRPr="008F41AB" w:rsidRDefault="00306DFD" w:rsidP="008F41AB">
      <w:pPr>
        <w:pStyle w:val="ListParagraph"/>
        <w:numPr>
          <w:ilvl w:val="0"/>
          <w:numId w:val="3"/>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Updated the Performance Measurement System to include Integrity measures</w:t>
      </w:r>
    </w:p>
    <w:p w:rsidR="00A11778" w:rsidRPr="008F41AB" w:rsidRDefault="00A11778" w:rsidP="008F41AB">
      <w:pPr>
        <w:tabs>
          <w:tab w:val="left" w:pos="0"/>
          <w:tab w:val="left" w:pos="720"/>
        </w:tabs>
        <w:spacing w:after="0" w:line="240" w:lineRule="auto"/>
        <w:rPr>
          <w:rFonts w:ascii="Times New Roman" w:hAnsi="Times New Roman" w:cs="Times New Roman"/>
          <w:b/>
          <w:sz w:val="24"/>
          <w:szCs w:val="24"/>
        </w:rPr>
      </w:pPr>
      <w:r w:rsidRPr="008F41AB">
        <w:rPr>
          <w:rFonts w:ascii="Times New Roman" w:hAnsi="Times New Roman" w:cs="Times New Roman"/>
          <w:b/>
          <w:sz w:val="24"/>
          <w:szCs w:val="24"/>
        </w:rPr>
        <w:t>Chapter I</w:t>
      </w:r>
    </w:p>
    <w:p w:rsidR="00A11778" w:rsidRPr="008F41AB" w:rsidRDefault="00A11778" w:rsidP="008F41AB">
      <w:pPr>
        <w:pStyle w:val="ListParagraph"/>
        <w:numPr>
          <w:ilvl w:val="0"/>
          <w:numId w:val="5"/>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Revised SQSP process</w:t>
      </w:r>
      <w:r w:rsidR="00D22A04" w:rsidRPr="008F41AB">
        <w:rPr>
          <w:rFonts w:ascii="Times New Roman" w:hAnsi="Times New Roman" w:cs="Times New Roman"/>
          <w:sz w:val="24"/>
          <w:szCs w:val="24"/>
        </w:rPr>
        <w:t xml:space="preserve"> to include change to biannual submittal of the formal SQSP which includes CAPs and Narrative</w:t>
      </w:r>
    </w:p>
    <w:p w:rsidR="00D22A04" w:rsidRPr="008F41AB" w:rsidRDefault="00D22A04" w:rsidP="008F41AB">
      <w:pPr>
        <w:pStyle w:val="ListParagraph"/>
        <w:numPr>
          <w:ilvl w:val="0"/>
          <w:numId w:val="5"/>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Other non-material revisions for clarification</w:t>
      </w:r>
    </w:p>
    <w:p w:rsidR="00306DFD" w:rsidRPr="008F41AB" w:rsidRDefault="00D22A04" w:rsidP="008F41AB">
      <w:pPr>
        <w:pStyle w:val="ListParagraph"/>
        <w:numPr>
          <w:ilvl w:val="0"/>
          <w:numId w:val="5"/>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Added description of UI Program Integrity Plan</w:t>
      </w:r>
    </w:p>
    <w:p w:rsidR="00D22A04" w:rsidRPr="008F41AB" w:rsidRDefault="00D22A04" w:rsidP="008F41AB">
      <w:pPr>
        <w:tabs>
          <w:tab w:val="left" w:pos="0"/>
          <w:tab w:val="left" w:pos="720"/>
        </w:tabs>
        <w:spacing w:after="0" w:line="240" w:lineRule="auto"/>
        <w:rPr>
          <w:rFonts w:ascii="Times New Roman" w:hAnsi="Times New Roman" w:cs="Times New Roman"/>
          <w:b/>
          <w:sz w:val="24"/>
          <w:szCs w:val="24"/>
        </w:rPr>
      </w:pPr>
      <w:r w:rsidRPr="008F41AB">
        <w:rPr>
          <w:rFonts w:ascii="Times New Roman" w:hAnsi="Times New Roman" w:cs="Times New Roman"/>
          <w:b/>
          <w:sz w:val="24"/>
          <w:szCs w:val="24"/>
        </w:rPr>
        <w:t>Appendix I</w:t>
      </w:r>
    </w:p>
    <w:p w:rsidR="00D22A04" w:rsidRPr="008F41AB" w:rsidRDefault="00D22A04" w:rsidP="008F41AB">
      <w:pPr>
        <w:pStyle w:val="ListParagraph"/>
        <w:numPr>
          <w:ilvl w:val="0"/>
          <w:numId w:val="6"/>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Revised CAP format to allow for 2-year planning</w:t>
      </w:r>
    </w:p>
    <w:p w:rsidR="00596257" w:rsidRPr="008F41AB" w:rsidRDefault="00596257" w:rsidP="008F41AB">
      <w:pPr>
        <w:pStyle w:val="ListParagraph"/>
        <w:numPr>
          <w:ilvl w:val="0"/>
          <w:numId w:val="6"/>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Updated OMB expiration dates on forms</w:t>
      </w:r>
    </w:p>
    <w:p w:rsidR="00553EAE" w:rsidRPr="008F41AB" w:rsidRDefault="00553EAE" w:rsidP="008F41AB">
      <w:pPr>
        <w:tabs>
          <w:tab w:val="left" w:pos="0"/>
          <w:tab w:val="left" w:pos="720"/>
        </w:tabs>
        <w:spacing w:after="0" w:line="240" w:lineRule="auto"/>
        <w:rPr>
          <w:rFonts w:ascii="Times New Roman" w:hAnsi="Times New Roman" w:cs="Times New Roman"/>
          <w:b/>
          <w:sz w:val="24"/>
          <w:szCs w:val="24"/>
        </w:rPr>
      </w:pPr>
      <w:r w:rsidRPr="008F41AB">
        <w:rPr>
          <w:rFonts w:ascii="Times New Roman" w:hAnsi="Times New Roman" w:cs="Times New Roman"/>
          <w:b/>
          <w:sz w:val="24"/>
          <w:szCs w:val="24"/>
        </w:rPr>
        <w:t>Appendix II</w:t>
      </w:r>
    </w:p>
    <w:p w:rsidR="00553EAE" w:rsidRPr="008F41AB" w:rsidRDefault="00553EAE" w:rsidP="008F41AB">
      <w:pPr>
        <w:pStyle w:val="ListParagraph"/>
        <w:numPr>
          <w:ilvl w:val="0"/>
          <w:numId w:val="7"/>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Updated OMB expiration dates on forms</w:t>
      </w:r>
    </w:p>
    <w:p w:rsidR="001414A1" w:rsidRPr="008F41AB" w:rsidRDefault="001414A1" w:rsidP="008F41AB">
      <w:pPr>
        <w:tabs>
          <w:tab w:val="left" w:pos="0"/>
          <w:tab w:val="left" w:pos="720"/>
        </w:tabs>
        <w:spacing w:after="0" w:line="240" w:lineRule="auto"/>
        <w:rPr>
          <w:rFonts w:ascii="Times New Roman" w:hAnsi="Times New Roman" w:cs="Times New Roman"/>
          <w:b/>
          <w:sz w:val="24"/>
          <w:szCs w:val="24"/>
        </w:rPr>
      </w:pPr>
      <w:r w:rsidRPr="008F41AB">
        <w:rPr>
          <w:rFonts w:ascii="Times New Roman" w:hAnsi="Times New Roman" w:cs="Times New Roman"/>
          <w:b/>
          <w:sz w:val="24"/>
          <w:szCs w:val="24"/>
        </w:rPr>
        <w:t>Appendix III</w:t>
      </w:r>
    </w:p>
    <w:p w:rsidR="001414A1" w:rsidRPr="008F41AB" w:rsidRDefault="001414A1" w:rsidP="008F41AB">
      <w:pPr>
        <w:pStyle w:val="ListParagraph"/>
        <w:numPr>
          <w:ilvl w:val="0"/>
          <w:numId w:val="7"/>
        </w:numPr>
        <w:tabs>
          <w:tab w:val="left" w:pos="0"/>
          <w:tab w:val="left" w:pos="720"/>
        </w:tabs>
        <w:spacing w:after="0" w:line="240" w:lineRule="auto"/>
        <w:rPr>
          <w:rFonts w:ascii="Times New Roman" w:hAnsi="Times New Roman" w:cs="Times New Roman"/>
          <w:sz w:val="24"/>
          <w:szCs w:val="24"/>
        </w:rPr>
      </w:pPr>
      <w:r w:rsidRPr="008F41AB">
        <w:rPr>
          <w:rFonts w:ascii="Times New Roman" w:hAnsi="Times New Roman" w:cs="Times New Roman"/>
          <w:sz w:val="24"/>
          <w:szCs w:val="24"/>
        </w:rPr>
        <w:t>Updated OMB expiration dates on forms</w:t>
      </w:r>
    </w:p>
    <w:p w:rsidR="008D116C" w:rsidRDefault="008D116C" w:rsidP="00F9679D">
      <w:pPr>
        <w:tabs>
          <w:tab w:val="left" w:pos="0"/>
          <w:tab w:val="left" w:pos="720"/>
        </w:tabs>
        <w:spacing w:after="0" w:line="240" w:lineRule="auto"/>
        <w:rPr>
          <w:rFonts w:ascii="Times New Roman" w:hAnsi="Times New Roman" w:cs="Times New Roman"/>
          <w:sz w:val="24"/>
          <w:szCs w:val="24"/>
        </w:rPr>
      </w:pPr>
    </w:p>
    <w:p w:rsidR="00001CB7" w:rsidRDefault="00077FB0" w:rsidP="00F1107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ACTION SOUGHT: </w:t>
      </w:r>
      <w:r w:rsidR="00FA5A7C">
        <w:rPr>
          <w:rFonts w:ascii="Times New Roman" w:hAnsi="Times New Roman" w:cs="Times New Roman"/>
          <w:b/>
          <w:bCs/>
          <w:sz w:val="24"/>
          <w:szCs w:val="24"/>
        </w:rPr>
        <w:t xml:space="preserve"> </w:t>
      </w:r>
      <w:r w:rsidR="00FA5A7C" w:rsidRPr="00FA5A7C">
        <w:rPr>
          <w:rFonts w:ascii="Times New Roman" w:hAnsi="Times New Roman" w:cs="Times New Roman"/>
          <w:bCs/>
          <w:sz w:val="24"/>
          <w:szCs w:val="24"/>
        </w:rPr>
        <w:t>ETA</w:t>
      </w:r>
      <w:r>
        <w:rPr>
          <w:rFonts w:ascii="Times New Roman" w:hAnsi="Times New Roman" w:cs="Times New Roman"/>
          <w:sz w:val="24"/>
          <w:szCs w:val="24"/>
        </w:rPr>
        <w:t xml:space="preserve"> seeks OMB approval for a </w:t>
      </w:r>
      <w:r w:rsidR="000D1398">
        <w:rPr>
          <w:rFonts w:ascii="Times New Roman" w:hAnsi="Times New Roman" w:cs="Times New Roman"/>
          <w:sz w:val="24"/>
          <w:szCs w:val="24"/>
        </w:rPr>
        <w:t>non-substantive</w:t>
      </w:r>
      <w:r w:rsidR="00A23FC7">
        <w:rPr>
          <w:rFonts w:ascii="Times New Roman" w:hAnsi="Times New Roman" w:cs="Times New Roman"/>
          <w:sz w:val="24"/>
          <w:szCs w:val="24"/>
        </w:rPr>
        <w:t xml:space="preserve"> </w:t>
      </w:r>
      <w:r>
        <w:rPr>
          <w:rFonts w:ascii="Times New Roman" w:hAnsi="Times New Roman" w:cs="Times New Roman"/>
          <w:sz w:val="24"/>
          <w:szCs w:val="24"/>
        </w:rPr>
        <w:t>change to its current information collection (OMB 1205-</w:t>
      </w:r>
      <w:r w:rsidR="00FA5A7C">
        <w:rPr>
          <w:rFonts w:ascii="Times New Roman" w:hAnsi="Times New Roman" w:cs="Times New Roman"/>
          <w:sz w:val="24"/>
          <w:szCs w:val="24"/>
        </w:rPr>
        <w:t>0132</w:t>
      </w:r>
      <w:r>
        <w:rPr>
          <w:rFonts w:ascii="Times New Roman" w:hAnsi="Times New Roman" w:cs="Times New Roman"/>
          <w:sz w:val="24"/>
          <w:szCs w:val="24"/>
        </w:rPr>
        <w:t>), specifically</w:t>
      </w:r>
      <w:r w:rsidR="00A23FC7">
        <w:rPr>
          <w:rFonts w:ascii="Times New Roman" w:hAnsi="Times New Roman" w:cs="Times New Roman"/>
          <w:sz w:val="24"/>
          <w:szCs w:val="24"/>
        </w:rPr>
        <w:t xml:space="preserve"> </w:t>
      </w:r>
      <w:r>
        <w:rPr>
          <w:rFonts w:ascii="Times New Roman" w:hAnsi="Times New Roman" w:cs="Times New Roman"/>
          <w:sz w:val="24"/>
          <w:szCs w:val="24"/>
        </w:rPr>
        <w:t>by minor changes</w:t>
      </w:r>
      <w:r w:rsidR="00FA5A7C">
        <w:rPr>
          <w:rFonts w:ascii="Times New Roman" w:hAnsi="Times New Roman" w:cs="Times New Roman"/>
          <w:sz w:val="24"/>
          <w:szCs w:val="24"/>
        </w:rPr>
        <w:t xml:space="preserve"> throughout Handbook </w:t>
      </w:r>
      <w:r w:rsidR="00A23FC7">
        <w:rPr>
          <w:rFonts w:ascii="Times New Roman" w:hAnsi="Times New Roman" w:cs="Times New Roman"/>
          <w:sz w:val="24"/>
          <w:szCs w:val="24"/>
        </w:rPr>
        <w:t xml:space="preserve">No. </w:t>
      </w:r>
      <w:r w:rsidR="00FA5A7C">
        <w:rPr>
          <w:rFonts w:ascii="Times New Roman" w:hAnsi="Times New Roman" w:cs="Times New Roman"/>
          <w:sz w:val="24"/>
          <w:szCs w:val="24"/>
        </w:rPr>
        <w:t>336</w:t>
      </w:r>
      <w:r w:rsidR="001F4A92">
        <w:rPr>
          <w:rFonts w:ascii="Times New Roman" w:hAnsi="Times New Roman" w:cs="Times New Roman"/>
          <w:sz w:val="24"/>
          <w:szCs w:val="24"/>
        </w:rPr>
        <w:t xml:space="preserve"> </w:t>
      </w:r>
      <w:r w:rsidR="00B34440">
        <w:rPr>
          <w:rFonts w:ascii="Times New Roman" w:hAnsi="Times New Roman" w:cs="Times New Roman"/>
          <w:sz w:val="24"/>
          <w:szCs w:val="24"/>
        </w:rPr>
        <w:t xml:space="preserve">to </w:t>
      </w:r>
      <w:r w:rsidR="00FA5A7C">
        <w:rPr>
          <w:rFonts w:ascii="Times New Roman" w:hAnsi="Times New Roman" w:cs="Times New Roman"/>
          <w:sz w:val="24"/>
          <w:szCs w:val="24"/>
        </w:rPr>
        <w:t>chang</w:t>
      </w:r>
      <w:r w:rsidR="00537D84">
        <w:rPr>
          <w:rFonts w:ascii="Times New Roman" w:hAnsi="Times New Roman" w:cs="Times New Roman"/>
          <w:sz w:val="24"/>
          <w:szCs w:val="24"/>
        </w:rPr>
        <w:t>e</w:t>
      </w:r>
      <w:r w:rsidR="00FA5A7C">
        <w:rPr>
          <w:rFonts w:ascii="Times New Roman" w:hAnsi="Times New Roman" w:cs="Times New Roman"/>
          <w:sz w:val="24"/>
          <w:szCs w:val="24"/>
        </w:rPr>
        <w:t xml:space="preserve"> the SQSP submittal process from an annual to a bi-annual process.  </w:t>
      </w:r>
      <w:r>
        <w:rPr>
          <w:rFonts w:ascii="Times New Roman" w:hAnsi="Times New Roman" w:cs="Times New Roman"/>
          <w:sz w:val="24"/>
          <w:szCs w:val="24"/>
        </w:rPr>
        <w:t xml:space="preserve"> </w:t>
      </w:r>
      <w:r w:rsidR="00A23FC7">
        <w:rPr>
          <w:rFonts w:ascii="Times New Roman" w:hAnsi="Times New Roman" w:cs="Times New Roman"/>
          <w:sz w:val="24"/>
          <w:szCs w:val="24"/>
        </w:rPr>
        <w:t>The change to the submittal process will extend the duration of the SQSP to a two-year plan, thus reducing the burden incurred from an annual submittal</w:t>
      </w:r>
      <w:r w:rsidR="00CA722D">
        <w:rPr>
          <w:rFonts w:ascii="Times New Roman" w:hAnsi="Times New Roman" w:cs="Times New Roman"/>
          <w:sz w:val="24"/>
          <w:szCs w:val="24"/>
        </w:rPr>
        <w:t xml:space="preserve"> of the</w:t>
      </w:r>
      <w:r w:rsidR="00CA722D" w:rsidRPr="00CA722D">
        <w:rPr>
          <w:rFonts w:ascii="Times New Roman" w:hAnsi="Times New Roman" w:cs="Times New Roman"/>
          <w:sz w:val="24"/>
          <w:szCs w:val="24"/>
        </w:rPr>
        <w:t xml:space="preserve"> </w:t>
      </w:r>
      <w:r w:rsidR="00CA722D" w:rsidRPr="00077FB0">
        <w:rPr>
          <w:rFonts w:ascii="Times New Roman" w:hAnsi="Times New Roman" w:cs="Times New Roman"/>
          <w:sz w:val="24"/>
          <w:szCs w:val="24"/>
        </w:rPr>
        <w:t>State Plan Narrative, CAPs, and</w:t>
      </w:r>
      <w:r w:rsidR="00CA722D">
        <w:rPr>
          <w:rFonts w:ascii="Times New Roman" w:hAnsi="Times New Roman" w:cs="Times New Roman"/>
          <w:sz w:val="24"/>
          <w:szCs w:val="24"/>
        </w:rPr>
        <w:t xml:space="preserve"> the </w:t>
      </w:r>
      <w:r w:rsidR="00CA722D" w:rsidRPr="00077FB0">
        <w:rPr>
          <w:rFonts w:ascii="Times New Roman" w:hAnsi="Times New Roman" w:cs="Times New Roman"/>
          <w:sz w:val="24"/>
          <w:szCs w:val="24"/>
        </w:rPr>
        <w:t>IAP</w:t>
      </w:r>
      <w:r w:rsidR="00A23FC7">
        <w:rPr>
          <w:rFonts w:ascii="Times New Roman" w:hAnsi="Times New Roman" w:cs="Times New Roman"/>
          <w:sz w:val="24"/>
          <w:szCs w:val="24"/>
        </w:rPr>
        <w:t>.</w:t>
      </w:r>
      <w:r w:rsidR="00CA722D">
        <w:rPr>
          <w:rFonts w:ascii="Times New Roman" w:hAnsi="Times New Roman" w:cs="Times New Roman"/>
          <w:sz w:val="24"/>
          <w:szCs w:val="24"/>
        </w:rPr>
        <w:t xml:space="preserve">  </w:t>
      </w:r>
      <w:r w:rsidR="00527DF5">
        <w:rPr>
          <w:rFonts w:ascii="Times New Roman" w:hAnsi="Times New Roman" w:cs="Times New Roman"/>
          <w:sz w:val="24"/>
          <w:szCs w:val="24"/>
        </w:rPr>
        <w:t xml:space="preserve">Currently, </w:t>
      </w:r>
      <w:r w:rsidR="00A44907">
        <w:rPr>
          <w:rFonts w:ascii="Times New Roman" w:hAnsi="Times New Roman" w:cs="Times New Roman"/>
          <w:sz w:val="24"/>
          <w:szCs w:val="24"/>
        </w:rPr>
        <w:t xml:space="preserve">the average estimated number of responses per 53 respondents is 848, with an </w:t>
      </w:r>
      <w:r w:rsidR="00527DF5">
        <w:rPr>
          <w:rFonts w:ascii="Times New Roman" w:hAnsi="Times New Roman" w:cs="Times New Roman"/>
          <w:sz w:val="24"/>
          <w:szCs w:val="24"/>
        </w:rPr>
        <w:t xml:space="preserve">average burden per response </w:t>
      </w:r>
      <w:r w:rsidR="00A44907">
        <w:rPr>
          <w:rFonts w:ascii="Times New Roman" w:hAnsi="Times New Roman" w:cs="Times New Roman"/>
          <w:sz w:val="24"/>
          <w:szCs w:val="24"/>
        </w:rPr>
        <w:t>of</w:t>
      </w:r>
      <w:r w:rsidR="00527DF5">
        <w:rPr>
          <w:rFonts w:ascii="Times New Roman" w:hAnsi="Times New Roman" w:cs="Times New Roman"/>
          <w:sz w:val="24"/>
          <w:szCs w:val="24"/>
        </w:rPr>
        <w:t xml:space="preserve"> 3.25 hours.  </w:t>
      </w:r>
      <w:r w:rsidR="003A4DCB">
        <w:rPr>
          <w:rFonts w:ascii="Times New Roman" w:hAnsi="Times New Roman" w:cs="Times New Roman"/>
          <w:sz w:val="24"/>
          <w:szCs w:val="24"/>
        </w:rPr>
        <w:t xml:space="preserve">The current total annualized burden is 2,756 hours.   </w:t>
      </w:r>
    </w:p>
    <w:p w:rsidR="00A80BB8" w:rsidRPr="00A80BB8" w:rsidRDefault="00A80BB8" w:rsidP="00A80BB8">
      <w:pPr>
        <w:autoSpaceDE w:val="0"/>
        <w:autoSpaceDN w:val="0"/>
        <w:adjustRightInd w:val="0"/>
        <w:spacing w:after="0" w:line="360" w:lineRule="auto"/>
        <w:rPr>
          <w:rFonts w:ascii="Times New Roman" w:hAnsi="Times New Roman" w:cs="Times New Roman"/>
          <w:sz w:val="24"/>
          <w:szCs w:val="24"/>
        </w:rPr>
      </w:pPr>
    </w:p>
    <w:p w:rsidR="00A80BB8" w:rsidRPr="00A80BB8" w:rsidRDefault="00A80BB8" w:rsidP="00A80BB8">
      <w:pPr>
        <w:spacing w:line="360" w:lineRule="auto"/>
        <w:rPr>
          <w:rFonts w:ascii="Times New Roman" w:hAnsi="Times New Roman" w:cs="Times New Roman"/>
          <w:b/>
          <w:bCs/>
          <w:i/>
          <w:iCs/>
          <w:sz w:val="24"/>
          <w:szCs w:val="24"/>
        </w:rPr>
      </w:pPr>
      <w:r w:rsidRPr="00A80BB8">
        <w:rPr>
          <w:rFonts w:ascii="Times New Roman" w:hAnsi="Times New Roman" w:cs="Times New Roman"/>
          <w:sz w:val="24"/>
          <w:szCs w:val="24"/>
        </w:rPr>
        <w:lastRenderedPageBreak/>
        <w:t xml:space="preserve">Upon approval of this request, the burden under control number 1205-0132 will be </w:t>
      </w:r>
      <w:r>
        <w:rPr>
          <w:rFonts w:ascii="Times New Roman" w:hAnsi="Times New Roman" w:cs="Times New Roman"/>
          <w:sz w:val="24"/>
          <w:szCs w:val="24"/>
        </w:rPr>
        <w:t>an estimated average of 535</w:t>
      </w:r>
      <w:r w:rsidRPr="00A80BB8">
        <w:rPr>
          <w:rFonts w:ascii="Times New Roman" w:hAnsi="Times New Roman" w:cs="Times New Roman"/>
          <w:sz w:val="24"/>
          <w:szCs w:val="24"/>
        </w:rPr>
        <w:t xml:space="preserve"> responses, </w:t>
      </w:r>
      <w:r>
        <w:rPr>
          <w:rFonts w:ascii="Times New Roman" w:hAnsi="Times New Roman" w:cs="Times New Roman"/>
          <w:sz w:val="24"/>
          <w:szCs w:val="24"/>
        </w:rPr>
        <w:t>1</w:t>
      </w:r>
      <w:r w:rsidR="003E535F">
        <w:rPr>
          <w:rFonts w:ascii="Times New Roman" w:hAnsi="Times New Roman" w:cs="Times New Roman"/>
          <w:sz w:val="24"/>
          <w:szCs w:val="24"/>
        </w:rPr>
        <w:t>,</w:t>
      </w:r>
      <w:r>
        <w:rPr>
          <w:rFonts w:ascii="Times New Roman" w:hAnsi="Times New Roman" w:cs="Times New Roman"/>
          <w:sz w:val="24"/>
          <w:szCs w:val="24"/>
        </w:rPr>
        <w:t>530</w:t>
      </w:r>
      <w:r w:rsidRPr="00A80BB8">
        <w:rPr>
          <w:rFonts w:ascii="Times New Roman" w:hAnsi="Times New Roman" w:cs="Times New Roman"/>
          <w:sz w:val="24"/>
          <w:szCs w:val="24"/>
        </w:rPr>
        <w:t xml:space="preserve"> hours, and $</w:t>
      </w:r>
      <w:r>
        <w:rPr>
          <w:rFonts w:ascii="Times New Roman" w:hAnsi="Times New Roman" w:cs="Times New Roman"/>
          <w:sz w:val="24"/>
          <w:szCs w:val="24"/>
        </w:rPr>
        <w:t>0</w:t>
      </w:r>
      <w:r w:rsidRPr="00A80BB8">
        <w:rPr>
          <w:rFonts w:ascii="Times New Roman" w:hAnsi="Times New Roman" w:cs="Times New Roman"/>
          <w:sz w:val="24"/>
          <w:szCs w:val="24"/>
        </w:rPr>
        <w:t xml:space="preserve"> in other costs.  The burden</w:t>
      </w:r>
      <w:r>
        <w:rPr>
          <w:rFonts w:ascii="Times New Roman" w:hAnsi="Times New Roman" w:cs="Times New Roman"/>
          <w:sz w:val="24"/>
          <w:szCs w:val="24"/>
        </w:rPr>
        <w:t xml:space="preserve"> hour estimates </w:t>
      </w:r>
      <w:r w:rsidRPr="00A80BB8">
        <w:rPr>
          <w:rFonts w:ascii="Times New Roman" w:hAnsi="Times New Roman" w:cs="Times New Roman"/>
          <w:sz w:val="24"/>
          <w:szCs w:val="24"/>
        </w:rPr>
        <w:t>are based on the experience of Federal staff with substantially similar work</w:t>
      </w:r>
      <w:r w:rsidR="00E0307F">
        <w:rPr>
          <w:rFonts w:ascii="Times New Roman" w:hAnsi="Times New Roman" w:cs="Times New Roman"/>
          <w:sz w:val="24"/>
          <w:szCs w:val="24"/>
        </w:rPr>
        <w:t>.  The estimated burden hour allocation for this request is detailed as follows:</w:t>
      </w:r>
      <w:r w:rsidRPr="00A80BB8">
        <w:rPr>
          <w:rFonts w:ascii="Times New Roman" w:hAnsi="Times New Roman" w:cs="Times New Roman"/>
          <w:sz w:val="24"/>
          <w:szCs w:val="24"/>
        </w:rPr>
        <w:t xml:space="preserve"> </w:t>
      </w:r>
    </w:p>
    <w:tbl>
      <w:tblPr>
        <w:tblpPr w:leftFromText="180" w:rightFromText="180" w:vertAnchor="text"/>
        <w:tblW w:w="9630" w:type="dxa"/>
        <w:tblCellMar>
          <w:left w:w="0" w:type="dxa"/>
          <w:right w:w="0" w:type="dxa"/>
        </w:tblCellMar>
        <w:tblLook w:val="04A0" w:firstRow="1" w:lastRow="0" w:firstColumn="1" w:lastColumn="0" w:noHBand="0" w:noVBand="1"/>
      </w:tblPr>
      <w:tblGrid>
        <w:gridCol w:w="2003"/>
        <w:gridCol w:w="1547"/>
        <w:gridCol w:w="1334"/>
        <w:gridCol w:w="1076"/>
        <w:gridCol w:w="1294"/>
        <w:gridCol w:w="1251"/>
        <w:gridCol w:w="1125"/>
      </w:tblGrid>
      <w:tr w:rsidR="00A80BB8" w:rsidRPr="00A80BB8" w:rsidTr="008D5379">
        <w:trPr>
          <w:trHeight w:val="702"/>
        </w:trPr>
        <w:tc>
          <w:tcPr>
            <w:tcW w:w="2003"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autoSpaceDE w:val="0"/>
              <w:autoSpaceDN w:val="0"/>
              <w:spacing w:after="58"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Report</w:t>
            </w:r>
          </w:p>
        </w:tc>
        <w:tc>
          <w:tcPr>
            <w:tcW w:w="1547"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spacing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Respondents</w:t>
            </w:r>
            <w:r w:rsidR="00E0307F" w:rsidRPr="00E0307F">
              <w:rPr>
                <w:rFonts w:ascii="Times New Roman" w:hAnsi="Times New Roman" w:cs="Times New Roman"/>
                <w:b/>
                <w:sz w:val="24"/>
                <w:szCs w:val="24"/>
              </w:rPr>
              <w:t xml:space="preserve"> </w:t>
            </w:r>
            <w:r w:rsidRPr="00E0307F">
              <w:rPr>
                <w:rFonts w:ascii="Times New Roman" w:hAnsi="Times New Roman" w:cs="Times New Roman"/>
                <w:b/>
                <w:sz w:val="24"/>
                <w:szCs w:val="24"/>
              </w:rPr>
              <w:t>(State)</w:t>
            </w:r>
          </w:p>
        </w:tc>
        <w:tc>
          <w:tcPr>
            <w:tcW w:w="1334"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autoSpaceDE w:val="0"/>
              <w:autoSpaceDN w:val="0"/>
              <w:spacing w:after="58"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Reporting Frequency</w:t>
            </w:r>
          </w:p>
        </w:tc>
        <w:tc>
          <w:tcPr>
            <w:tcW w:w="107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autoSpaceDE w:val="0"/>
              <w:autoSpaceDN w:val="0"/>
              <w:spacing w:after="58"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Reports per Year</w:t>
            </w:r>
          </w:p>
        </w:tc>
        <w:tc>
          <w:tcPr>
            <w:tcW w:w="1294"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spacing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Total Responses</w:t>
            </w:r>
          </w:p>
        </w:tc>
        <w:tc>
          <w:tcPr>
            <w:tcW w:w="1251"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autoSpaceDE w:val="0"/>
              <w:autoSpaceDN w:val="0"/>
              <w:spacing w:after="58"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Hours per Response</w:t>
            </w:r>
          </w:p>
        </w:tc>
        <w:tc>
          <w:tcPr>
            <w:tcW w:w="112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A80BB8" w:rsidRPr="00E0307F" w:rsidRDefault="00A80BB8" w:rsidP="00E0307F">
            <w:pPr>
              <w:autoSpaceDE w:val="0"/>
              <w:autoSpaceDN w:val="0"/>
              <w:spacing w:after="58" w:line="240" w:lineRule="auto"/>
              <w:jc w:val="center"/>
              <w:rPr>
                <w:rFonts w:ascii="Times New Roman" w:hAnsi="Times New Roman" w:cs="Times New Roman"/>
                <w:b/>
                <w:sz w:val="24"/>
                <w:szCs w:val="24"/>
              </w:rPr>
            </w:pPr>
            <w:r w:rsidRPr="00E0307F">
              <w:rPr>
                <w:rFonts w:ascii="Times New Roman" w:hAnsi="Times New Roman" w:cs="Times New Roman"/>
                <w:b/>
                <w:sz w:val="24"/>
                <w:szCs w:val="24"/>
              </w:rPr>
              <w:t>Total Hours</w:t>
            </w:r>
          </w:p>
        </w:tc>
      </w:tr>
      <w:tr w:rsidR="00A80BB8" w:rsidRPr="00A80BB8" w:rsidTr="008D5379">
        <w:trPr>
          <w:trHeight w:val="522"/>
        </w:trPr>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A80BB8" w:rsidRPr="00A80BB8" w:rsidRDefault="00A80BB8" w:rsidP="00E0307F">
            <w:pPr>
              <w:spacing w:line="240" w:lineRule="auto"/>
              <w:rPr>
                <w:rFonts w:ascii="Times New Roman" w:hAnsi="Times New Roman" w:cs="Times New Roman"/>
                <w:sz w:val="24"/>
                <w:szCs w:val="24"/>
              </w:rPr>
            </w:pPr>
            <w:r w:rsidRPr="00A80BB8">
              <w:rPr>
                <w:rFonts w:ascii="Times New Roman" w:hAnsi="Times New Roman" w:cs="Times New Roman"/>
                <w:sz w:val="24"/>
                <w:szCs w:val="24"/>
              </w:rPr>
              <w:t>UI-1 (base), ETA 8623A</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53</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center"/>
              <w:rPr>
                <w:rFonts w:ascii="Times New Roman" w:hAnsi="Times New Roman" w:cs="Times New Roman"/>
                <w:sz w:val="24"/>
                <w:szCs w:val="24"/>
              </w:rPr>
            </w:pPr>
            <w:r>
              <w:rPr>
                <w:rFonts w:ascii="Times New Roman" w:hAnsi="Times New Roman" w:cs="Times New Roman"/>
                <w:sz w:val="24"/>
                <w:szCs w:val="24"/>
              </w:rPr>
              <w:t>annual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1</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53</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1</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53</w:t>
            </w:r>
          </w:p>
        </w:tc>
      </w:tr>
      <w:tr w:rsidR="00A80BB8" w:rsidRPr="00A80BB8" w:rsidTr="008D5379">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A80BB8" w:rsidRPr="00A80BB8" w:rsidRDefault="00A80BB8" w:rsidP="00E0307F">
            <w:pPr>
              <w:spacing w:line="240" w:lineRule="auto"/>
              <w:rPr>
                <w:rFonts w:ascii="Times New Roman" w:hAnsi="Times New Roman" w:cs="Times New Roman"/>
                <w:sz w:val="24"/>
                <w:szCs w:val="24"/>
              </w:rPr>
            </w:pPr>
            <w:r w:rsidRPr="00A80BB8">
              <w:rPr>
                <w:rFonts w:ascii="Times New Roman" w:hAnsi="Times New Roman" w:cs="Times New Roman"/>
                <w:sz w:val="24"/>
                <w:szCs w:val="24"/>
              </w:rPr>
              <w:t>UI-3 (contingency),</w:t>
            </w:r>
          </w:p>
          <w:p w:rsidR="00A80BB8" w:rsidRPr="00A80BB8" w:rsidRDefault="00A80BB8" w:rsidP="00E0307F">
            <w:pPr>
              <w:autoSpaceDE w:val="0"/>
              <w:autoSpaceDN w:val="0"/>
              <w:spacing w:after="58" w:line="240" w:lineRule="auto"/>
              <w:rPr>
                <w:rFonts w:ascii="Times New Roman" w:hAnsi="Times New Roman" w:cs="Times New Roman"/>
                <w:sz w:val="24"/>
                <w:szCs w:val="24"/>
              </w:rPr>
            </w:pPr>
            <w:r w:rsidRPr="00A80BB8">
              <w:rPr>
                <w:rFonts w:ascii="Times New Roman" w:hAnsi="Times New Roman" w:cs="Times New Roman"/>
                <w:sz w:val="24"/>
                <w:szCs w:val="24"/>
              </w:rPr>
              <w:t>ETA 2208A (Quarterly)</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53</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center"/>
              <w:rPr>
                <w:rFonts w:ascii="Times New Roman" w:hAnsi="Times New Roman" w:cs="Times New Roman"/>
                <w:sz w:val="24"/>
                <w:szCs w:val="24"/>
              </w:rPr>
            </w:pPr>
            <w:r>
              <w:rPr>
                <w:rFonts w:ascii="Times New Roman" w:hAnsi="Times New Roman" w:cs="Times New Roman"/>
                <w:sz w:val="24"/>
                <w:szCs w:val="24"/>
              </w:rPr>
              <w:t>quarterly</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4</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212</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2</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424</w:t>
            </w:r>
          </w:p>
        </w:tc>
      </w:tr>
      <w:tr w:rsidR="00A80BB8" w:rsidRPr="00A80BB8" w:rsidTr="008D5379">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A80BB8" w:rsidRPr="00A80BB8" w:rsidRDefault="00A80BB8" w:rsidP="00E0307F">
            <w:pPr>
              <w:autoSpaceDE w:val="0"/>
              <w:autoSpaceDN w:val="0"/>
              <w:spacing w:after="58" w:line="240" w:lineRule="auto"/>
              <w:rPr>
                <w:rFonts w:ascii="Times New Roman" w:hAnsi="Times New Roman" w:cs="Times New Roman"/>
                <w:sz w:val="24"/>
                <w:szCs w:val="24"/>
              </w:rPr>
            </w:pPr>
            <w:r w:rsidRPr="00A80BB8">
              <w:rPr>
                <w:rFonts w:ascii="Times New Roman" w:hAnsi="Times New Roman" w:cs="Times New Roman"/>
                <w:sz w:val="24"/>
                <w:szCs w:val="24"/>
              </w:rPr>
              <w:t>CAPs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874161">
            <w:pPr>
              <w:autoSpaceDE w:val="0"/>
              <w:autoSpaceDN w:val="0"/>
              <w:spacing w:after="58" w:line="240" w:lineRule="auto"/>
              <w:jc w:val="center"/>
              <w:rPr>
                <w:rFonts w:ascii="Times New Roman" w:hAnsi="Times New Roman" w:cs="Times New Roman"/>
                <w:sz w:val="24"/>
                <w:szCs w:val="24"/>
              </w:rPr>
            </w:pPr>
            <w:r>
              <w:rPr>
                <w:rFonts w:ascii="Times New Roman" w:hAnsi="Times New Roman" w:cs="Times New Roman"/>
                <w:sz w:val="24"/>
                <w:szCs w:val="24"/>
              </w:rPr>
              <w:t>biannual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8</w:t>
            </w:r>
            <w:r w:rsidR="00584004">
              <w:rPr>
                <w:rFonts w:ascii="Times New Roman" w:hAnsi="Times New Roman" w:cs="Times New Roman"/>
                <w:sz w:val="24"/>
                <w:szCs w:val="24"/>
              </w:rPr>
              <w:t>*</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216</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4</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864</w:t>
            </w:r>
          </w:p>
        </w:tc>
      </w:tr>
      <w:tr w:rsidR="00A80BB8" w:rsidRPr="00A80BB8" w:rsidTr="008D5379">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rsidR="00A80BB8" w:rsidRPr="00A80BB8" w:rsidRDefault="00A80BB8" w:rsidP="00E0307F">
            <w:pPr>
              <w:autoSpaceDE w:val="0"/>
              <w:autoSpaceDN w:val="0"/>
              <w:spacing w:line="240" w:lineRule="auto"/>
              <w:rPr>
                <w:rFonts w:ascii="Times New Roman" w:hAnsi="Times New Roman" w:cs="Times New Roman"/>
                <w:sz w:val="24"/>
                <w:szCs w:val="24"/>
              </w:rPr>
            </w:pPr>
            <w:r w:rsidRPr="00A80BB8">
              <w:rPr>
                <w:rFonts w:ascii="Times New Roman" w:hAnsi="Times New Roman" w:cs="Times New Roman"/>
                <w:sz w:val="24"/>
                <w:szCs w:val="24"/>
              </w:rPr>
              <w:t>UI Program Integrity Plan</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E0307F" w:rsidP="00E0307F">
            <w:pPr>
              <w:autoSpaceDE w:val="0"/>
              <w:autoSpaceDN w:val="0"/>
              <w:spacing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E0307F" w:rsidP="00E0307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biannual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A80BB8" w:rsidP="00E0307F">
            <w:pPr>
              <w:autoSpaceDE w:val="0"/>
              <w:autoSpaceDN w:val="0"/>
              <w:spacing w:line="240" w:lineRule="auto"/>
              <w:jc w:val="right"/>
              <w:rPr>
                <w:rFonts w:ascii="Times New Roman" w:hAnsi="Times New Roman" w:cs="Times New Roman"/>
                <w:sz w:val="24"/>
                <w:szCs w:val="24"/>
              </w:rPr>
            </w:pPr>
            <w:r w:rsidRPr="00A80BB8">
              <w:rPr>
                <w:rFonts w:ascii="Times New Roman" w:hAnsi="Times New Roman" w:cs="Times New Roman"/>
                <w:sz w:val="24"/>
                <w:szCs w:val="24"/>
              </w:rPr>
              <w:t>1</w:t>
            </w:r>
            <w:r w:rsidR="007E4F63">
              <w:rPr>
                <w:rFonts w:ascii="Times New Roman" w:hAnsi="Times New Roman" w:cs="Times New Roman"/>
                <w:sz w:val="24"/>
                <w:szCs w:val="24"/>
              </w:rPr>
              <w:t>*</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E0307F" w:rsidP="00E0307F">
            <w:pPr>
              <w:autoSpaceDE w:val="0"/>
              <w:autoSpaceDN w:val="0"/>
              <w:spacing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A80BB8" w:rsidP="00E0307F">
            <w:pPr>
              <w:autoSpaceDE w:val="0"/>
              <w:autoSpaceDN w:val="0"/>
              <w:spacing w:line="240" w:lineRule="auto"/>
              <w:jc w:val="right"/>
              <w:rPr>
                <w:rFonts w:ascii="Times New Roman" w:hAnsi="Times New Roman" w:cs="Times New Roman"/>
                <w:sz w:val="24"/>
                <w:szCs w:val="24"/>
              </w:rPr>
            </w:pPr>
            <w:r w:rsidRPr="00A80BB8">
              <w:rPr>
                <w:rFonts w:ascii="Times New Roman" w:hAnsi="Times New Roman" w:cs="Times New Roman"/>
                <w:sz w:val="24"/>
                <w:szCs w:val="24"/>
              </w:rPr>
              <w:t>3</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A80BB8" w:rsidRPr="00A80BB8" w:rsidRDefault="00E0307F" w:rsidP="00E0307F">
            <w:pPr>
              <w:autoSpaceDE w:val="0"/>
              <w:autoSpaceDN w:val="0"/>
              <w:spacing w:line="240" w:lineRule="auto"/>
              <w:jc w:val="right"/>
              <w:rPr>
                <w:rFonts w:ascii="Times New Roman" w:hAnsi="Times New Roman" w:cs="Times New Roman"/>
                <w:sz w:val="24"/>
                <w:szCs w:val="24"/>
              </w:rPr>
            </w:pPr>
            <w:r>
              <w:rPr>
                <w:rFonts w:ascii="Times New Roman" w:hAnsi="Times New Roman" w:cs="Times New Roman"/>
                <w:sz w:val="24"/>
                <w:szCs w:val="24"/>
              </w:rPr>
              <w:t>81</w:t>
            </w:r>
          </w:p>
        </w:tc>
      </w:tr>
      <w:tr w:rsidR="00A80BB8" w:rsidRPr="00A80BB8" w:rsidTr="008D5379">
        <w:trPr>
          <w:trHeight w:val="567"/>
        </w:trPr>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A80BB8" w:rsidRPr="00A80BB8" w:rsidRDefault="00A80BB8" w:rsidP="00E0307F">
            <w:pPr>
              <w:spacing w:line="240" w:lineRule="auto"/>
              <w:rPr>
                <w:rFonts w:ascii="Times New Roman" w:hAnsi="Times New Roman" w:cs="Times New Roman"/>
                <w:sz w:val="24"/>
                <w:szCs w:val="24"/>
              </w:rPr>
            </w:pPr>
            <w:r w:rsidRPr="00A80BB8">
              <w:rPr>
                <w:rFonts w:ascii="Times New Roman" w:hAnsi="Times New Roman" w:cs="Times New Roman"/>
                <w:sz w:val="24"/>
                <w:szCs w:val="24"/>
              </w:rPr>
              <w:t>State Plan</w:t>
            </w:r>
            <w:r w:rsidR="0094500C">
              <w:rPr>
                <w:rFonts w:ascii="Times New Roman" w:hAnsi="Times New Roman" w:cs="Times New Roman"/>
                <w:sz w:val="24"/>
                <w:szCs w:val="24"/>
              </w:rPr>
              <w:t xml:space="preserve"> </w:t>
            </w:r>
            <w:r w:rsidRPr="00A80BB8">
              <w:rPr>
                <w:rFonts w:ascii="Times New Roman" w:hAnsi="Times New Roman" w:cs="Times New Roman"/>
                <w:sz w:val="24"/>
                <w:szCs w:val="24"/>
              </w:rPr>
              <w:t>Narrative</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center"/>
              <w:rPr>
                <w:rFonts w:ascii="Times New Roman" w:hAnsi="Times New Roman" w:cs="Times New Roman"/>
                <w:sz w:val="24"/>
                <w:szCs w:val="24"/>
              </w:rPr>
            </w:pPr>
            <w:r>
              <w:rPr>
                <w:rFonts w:ascii="Times New Roman" w:hAnsi="Times New Roman" w:cs="Times New Roman"/>
                <w:sz w:val="24"/>
                <w:szCs w:val="24"/>
              </w:rPr>
              <w:t>biannual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1</w:t>
            </w:r>
            <w:r w:rsidR="007E4F63">
              <w:rPr>
                <w:rFonts w:ascii="Times New Roman" w:hAnsi="Times New Roman" w:cs="Times New Roman"/>
                <w:sz w:val="24"/>
                <w:szCs w:val="24"/>
              </w:rPr>
              <w:t>*</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4</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108</w:t>
            </w:r>
          </w:p>
        </w:tc>
      </w:tr>
      <w:tr w:rsidR="00A80BB8" w:rsidRPr="00A80BB8" w:rsidTr="008D5379">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A80BB8" w:rsidRPr="00A80BB8" w:rsidRDefault="00A80BB8" w:rsidP="00E0307F">
            <w:pPr>
              <w:autoSpaceDE w:val="0"/>
              <w:autoSpaceDN w:val="0"/>
              <w:spacing w:after="58" w:line="240" w:lineRule="auto"/>
              <w:rPr>
                <w:rFonts w:ascii="Times New Roman" w:hAnsi="Times New Roman" w:cs="Times New Roman"/>
                <w:sz w:val="24"/>
                <w:szCs w:val="24"/>
              </w:rPr>
            </w:pPr>
            <w:r w:rsidRPr="00A80BB8">
              <w:rPr>
                <w:rFonts w:ascii="Times New Roman" w:hAnsi="Times New Roman" w:cs="Times New Roman"/>
                <w:sz w:val="24"/>
                <w:szCs w:val="24"/>
              </w:rPr>
              <w:t>Total</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center"/>
              <w:rPr>
                <w:rFonts w:ascii="Times New Roman" w:hAnsi="Times New Roman" w:cs="Times New Roman"/>
                <w:sz w:val="24"/>
                <w:szCs w:val="24"/>
              </w:rPr>
            </w:pPr>
            <w:r w:rsidRPr="00A80BB8">
              <w:rPr>
                <w:rFonts w:ascii="Times New Roman" w:hAnsi="Times New Roman" w:cs="Times New Roman"/>
                <w:sz w:val="24"/>
                <w:szCs w:val="24"/>
              </w:rPr>
              <w:t>Various</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r w:rsidRPr="00A80BB8">
              <w:rPr>
                <w:rFonts w:ascii="Times New Roman" w:hAnsi="Times New Roman" w:cs="Times New Roman"/>
                <w:sz w:val="24"/>
                <w:szCs w:val="24"/>
              </w:rPr>
              <w:t>1</w:t>
            </w:r>
            <w:r w:rsidR="00E0307F">
              <w:rPr>
                <w:rFonts w:ascii="Times New Roman" w:hAnsi="Times New Roman" w:cs="Times New Roman"/>
                <w:sz w:val="24"/>
                <w:szCs w:val="24"/>
              </w:rPr>
              <w:t>5</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535</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A80BB8" w:rsidP="00E0307F">
            <w:pPr>
              <w:autoSpaceDE w:val="0"/>
              <w:autoSpaceDN w:val="0"/>
              <w:spacing w:after="58" w:line="240" w:lineRule="auto"/>
              <w:jc w:val="right"/>
              <w:rPr>
                <w:rFonts w:ascii="Times New Roman" w:hAnsi="Times New Roman" w:cs="Times New Roman"/>
                <w:sz w:val="24"/>
                <w:szCs w:val="24"/>
              </w:rPr>
            </w:pP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A80BB8" w:rsidRPr="00A80BB8" w:rsidRDefault="00E0307F" w:rsidP="00E03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1</w:t>
            </w:r>
            <w:r w:rsidR="003E535F">
              <w:rPr>
                <w:rFonts w:ascii="Times New Roman" w:hAnsi="Times New Roman" w:cs="Times New Roman"/>
                <w:sz w:val="24"/>
                <w:szCs w:val="24"/>
              </w:rPr>
              <w:t>,</w:t>
            </w:r>
            <w:r>
              <w:rPr>
                <w:rFonts w:ascii="Times New Roman" w:hAnsi="Times New Roman" w:cs="Times New Roman"/>
                <w:sz w:val="24"/>
                <w:szCs w:val="24"/>
              </w:rPr>
              <w:t>530</w:t>
            </w:r>
          </w:p>
        </w:tc>
      </w:tr>
    </w:tbl>
    <w:p w:rsidR="00B946C0" w:rsidRDefault="00D62C2C" w:rsidP="00B946C0">
      <w:pPr>
        <w:spacing w:line="240" w:lineRule="auto"/>
        <w:rPr>
          <w:rFonts w:ascii="Times New Roman" w:hAnsi="Times New Roman" w:cs="Times New Roman"/>
          <w:sz w:val="24"/>
          <w:szCs w:val="24"/>
        </w:rPr>
      </w:pPr>
      <w:r>
        <w:rPr>
          <w:rFonts w:ascii="Times New Roman" w:hAnsi="Times New Roman" w:cs="Times New Roman"/>
          <w:sz w:val="24"/>
          <w:szCs w:val="24"/>
        </w:rPr>
        <w:t>*</w:t>
      </w:r>
      <w:r w:rsidR="008D5379">
        <w:rPr>
          <w:rFonts w:ascii="Times New Roman" w:hAnsi="Times New Roman" w:cs="Times New Roman"/>
          <w:sz w:val="24"/>
          <w:szCs w:val="24"/>
        </w:rPr>
        <w:t>For burden estimation purposes each CAP, UI Program Integrity Plan, and State Plan Narrative is considered to be a different report even though they are submitted simultaneously</w:t>
      </w:r>
      <w:r w:rsidR="00C20FDB">
        <w:rPr>
          <w:rFonts w:ascii="Times New Roman" w:hAnsi="Times New Roman" w:cs="Times New Roman"/>
          <w:sz w:val="24"/>
          <w:szCs w:val="24"/>
        </w:rPr>
        <w:t>.</w:t>
      </w:r>
      <w:r w:rsidR="008D5379">
        <w:rPr>
          <w:rFonts w:ascii="Times New Roman" w:hAnsi="Times New Roman" w:cs="Times New Roman"/>
          <w:sz w:val="24"/>
          <w:szCs w:val="24"/>
        </w:rPr>
        <w:t xml:space="preserve"> </w:t>
      </w:r>
      <w:r w:rsidR="00584004">
        <w:rPr>
          <w:rFonts w:ascii="Times New Roman" w:hAnsi="Times New Roman" w:cs="Times New Roman"/>
          <w:sz w:val="24"/>
          <w:szCs w:val="24"/>
        </w:rPr>
        <w:t>While CAPs are submitted on a biannual basis, a State may need to submit mu</w:t>
      </w:r>
      <w:r w:rsidR="00334AC2">
        <w:rPr>
          <w:rFonts w:ascii="Times New Roman" w:hAnsi="Times New Roman" w:cs="Times New Roman"/>
          <w:sz w:val="24"/>
          <w:szCs w:val="24"/>
        </w:rPr>
        <w:t>ltiple plans to address various deficiencies.</w:t>
      </w:r>
    </w:p>
    <w:p w:rsidR="00A80BB8" w:rsidRDefault="00A80BB8" w:rsidP="00B946C0">
      <w:pPr>
        <w:spacing w:line="240" w:lineRule="auto"/>
        <w:rPr>
          <w:rFonts w:ascii="Times New Roman" w:hAnsi="Times New Roman" w:cs="Times New Roman"/>
          <w:b/>
          <w:bCs/>
          <w:i/>
          <w:iCs/>
          <w:sz w:val="24"/>
          <w:szCs w:val="24"/>
        </w:rPr>
      </w:pPr>
      <w:r w:rsidRPr="00A80BB8">
        <w:rPr>
          <w:rFonts w:ascii="Times New Roman" w:hAnsi="Times New Roman" w:cs="Times New Roman"/>
          <w:b/>
          <w:bCs/>
          <w:i/>
          <w:iCs/>
          <w:sz w:val="24"/>
          <w:szCs w:val="24"/>
        </w:rPr>
        <w:t>Summary</w:t>
      </w:r>
    </w:p>
    <w:p w:rsidR="00A80BB8" w:rsidRPr="00A80BB8" w:rsidRDefault="00A80BB8" w:rsidP="00E374C8">
      <w:pPr>
        <w:spacing w:after="0" w:line="240" w:lineRule="auto"/>
        <w:rPr>
          <w:rFonts w:ascii="Times New Roman" w:hAnsi="Times New Roman" w:cs="Times New Roman"/>
          <w:b/>
          <w:bCs/>
          <w:sz w:val="24"/>
          <w:szCs w:val="24"/>
        </w:rPr>
      </w:pPr>
      <w:r w:rsidRPr="00A80BB8">
        <w:rPr>
          <w:rFonts w:ascii="Times New Roman" w:hAnsi="Times New Roman" w:cs="Times New Roman"/>
          <w:sz w:val="24"/>
          <w:szCs w:val="24"/>
        </w:rPr>
        <w:t>Frequency:</w:t>
      </w:r>
      <w:r w:rsidRPr="00A80BB8">
        <w:rPr>
          <w:rFonts w:ascii="Times New Roman" w:hAnsi="Times New Roman" w:cs="Times New Roman"/>
          <w:b/>
          <w:bCs/>
          <w:sz w:val="24"/>
          <w:szCs w:val="24"/>
        </w:rPr>
        <w:t xml:space="preserve">  </w:t>
      </w:r>
      <w:r w:rsidRPr="00A80BB8">
        <w:rPr>
          <w:rFonts w:ascii="Times New Roman" w:hAnsi="Times New Roman" w:cs="Times New Roman"/>
          <w:sz w:val="24"/>
          <w:szCs w:val="24"/>
        </w:rPr>
        <w:t>Various.</w:t>
      </w:r>
    </w:p>
    <w:p w:rsidR="00A80BB8" w:rsidRPr="00A80BB8" w:rsidRDefault="00A80BB8" w:rsidP="00E374C8">
      <w:pPr>
        <w:spacing w:after="0" w:line="240" w:lineRule="auto"/>
        <w:ind w:left="720"/>
        <w:rPr>
          <w:rFonts w:ascii="Times New Roman" w:hAnsi="Times New Roman" w:cs="Times New Roman"/>
          <w:b/>
          <w:bCs/>
          <w:sz w:val="24"/>
          <w:szCs w:val="24"/>
        </w:rPr>
      </w:pPr>
    </w:p>
    <w:p w:rsidR="00A80BB8" w:rsidRPr="00A80BB8" w:rsidRDefault="00A80BB8" w:rsidP="00E374C8">
      <w:pPr>
        <w:spacing w:after="0" w:line="240" w:lineRule="auto"/>
        <w:rPr>
          <w:rFonts w:ascii="Times New Roman" w:hAnsi="Times New Roman" w:cs="Times New Roman"/>
          <w:sz w:val="24"/>
          <w:szCs w:val="24"/>
        </w:rPr>
      </w:pPr>
      <w:r w:rsidRPr="00A80BB8">
        <w:rPr>
          <w:rFonts w:ascii="Times New Roman" w:hAnsi="Times New Roman" w:cs="Times New Roman"/>
          <w:sz w:val="24"/>
          <w:szCs w:val="24"/>
        </w:rPr>
        <w:t>Total Respondents:  53 SWAs</w:t>
      </w:r>
    </w:p>
    <w:p w:rsidR="00A80BB8" w:rsidRPr="00A80BB8" w:rsidRDefault="00A80BB8" w:rsidP="00E374C8">
      <w:pPr>
        <w:spacing w:after="0" w:line="240" w:lineRule="auto"/>
        <w:ind w:left="720"/>
        <w:rPr>
          <w:rFonts w:ascii="Times New Roman" w:hAnsi="Times New Roman" w:cs="Times New Roman"/>
          <w:b/>
          <w:bCs/>
          <w:sz w:val="24"/>
          <w:szCs w:val="24"/>
        </w:rPr>
      </w:pPr>
    </w:p>
    <w:p w:rsidR="00A80BB8" w:rsidRPr="00A80BB8" w:rsidRDefault="00A80BB8" w:rsidP="00E374C8">
      <w:pPr>
        <w:spacing w:after="0" w:line="240" w:lineRule="auto"/>
        <w:rPr>
          <w:rFonts w:ascii="Times New Roman" w:hAnsi="Times New Roman" w:cs="Times New Roman"/>
          <w:sz w:val="24"/>
          <w:szCs w:val="24"/>
        </w:rPr>
      </w:pPr>
      <w:r w:rsidRPr="00A80BB8">
        <w:rPr>
          <w:rFonts w:ascii="Times New Roman" w:hAnsi="Times New Roman" w:cs="Times New Roman"/>
          <w:sz w:val="24"/>
          <w:szCs w:val="24"/>
        </w:rPr>
        <w:t xml:space="preserve">Estimated Number of Annual Responses:  </w:t>
      </w:r>
      <w:r w:rsidR="00E374C8">
        <w:rPr>
          <w:rFonts w:ascii="Times New Roman" w:hAnsi="Times New Roman" w:cs="Times New Roman"/>
          <w:sz w:val="24"/>
          <w:szCs w:val="24"/>
        </w:rPr>
        <w:t>535</w:t>
      </w:r>
      <w:r w:rsidRPr="00A80BB8">
        <w:rPr>
          <w:rFonts w:ascii="Times New Roman" w:hAnsi="Times New Roman" w:cs="Times New Roman"/>
          <w:sz w:val="24"/>
          <w:szCs w:val="24"/>
        </w:rPr>
        <w:t>.</w:t>
      </w:r>
    </w:p>
    <w:p w:rsidR="00A80BB8" w:rsidRPr="00A80BB8" w:rsidRDefault="00A80BB8" w:rsidP="00E374C8">
      <w:pPr>
        <w:spacing w:after="0" w:line="240" w:lineRule="auto"/>
        <w:rPr>
          <w:rFonts w:ascii="Times New Roman" w:hAnsi="Times New Roman" w:cs="Times New Roman"/>
          <w:sz w:val="24"/>
          <w:szCs w:val="24"/>
        </w:rPr>
      </w:pPr>
    </w:p>
    <w:p w:rsidR="00A80BB8" w:rsidRPr="00A80BB8" w:rsidRDefault="00A80BB8" w:rsidP="00E374C8">
      <w:pPr>
        <w:spacing w:after="0" w:line="240" w:lineRule="auto"/>
        <w:rPr>
          <w:rFonts w:ascii="Times New Roman" w:hAnsi="Times New Roman" w:cs="Times New Roman"/>
          <w:sz w:val="24"/>
          <w:szCs w:val="24"/>
        </w:rPr>
      </w:pPr>
      <w:r w:rsidRPr="00A80BB8">
        <w:rPr>
          <w:rFonts w:ascii="Times New Roman" w:hAnsi="Times New Roman" w:cs="Times New Roman"/>
          <w:sz w:val="24"/>
          <w:szCs w:val="24"/>
        </w:rPr>
        <w:t xml:space="preserve">Estimated Number of Annual Burden Hours:  </w:t>
      </w:r>
      <w:r w:rsidR="00E374C8">
        <w:rPr>
          <w:rFonts w:ascii="Times New Roman" w:hAnsi="Times New Roman" w:cs="Times New Roman"/>
          <w:sz w:val="24"/>
          <w:szCs w:val="24"/>
        </w:rPr>
        <w:t>1</w:t>
      </w:r>
      <w:r w:rsidR="003E535F">
        <w:rPr>
          <w:rFonts w:ascii="Times New Roman" w:hAnsi="Times New Roman" w:cs="Times New Roman"/>
          <w:sz w:val="24"/>
          <w:szCs w:val="24"/>
        </w:rPr>
        <w:t>,</w:t>
      </w:r>
      <w:r w:rsidR="00E374C8">
        <w:rPr>
          <w:rFonts w:ascii="Times New Roman" w:hAnsi="Times New Roman" w:cs="Times New Roman"/>
          <w:sz w:val="24"/>
          <w:szCs w:val="24"/>
        </w:rPr>
        <w:t>530</w:t>
      </w:r>
      <w:r w:rsidRPr="00A80BB8">
        <w:rPr>
          <w:rFonts w:ascii="Times New Roman" w:hAnsi="Times New Roman" w:cs="Times New Roman"/>
          <w:sz w:val="24"/>
          <w:szCs w:val="24"/>
        </w:rPr>
        <w:t>.</w:t>
      </w:r>
    </w:p>
    <w:p w:rsidR="00E374C8" w:rsidRDefault="00E374C8" w:rsidP="00E374C8">
      <w:pPr>
        <w:spacing w:after="0" w:line="240" w:lineRule="auto"/>
        <w:rPr>
          <w:rFonts w:ascii="Times New Roman" w:hAnsi="Times New Roman" w:cs="Times New Roman"/>
          <w:sz w:val="24"/>
          <w:szCs w:val="24"/>
        </w:rPr>
      </w:pPr>
    </w:p>
    <w:p w:rsidR="00A80BB8" w:rsidRPr="00A80BB8" w:rsidRDefault="00A80BB8" w:rsidP="00E374C8">
      <w:pPr>
        <w:spacing w:after="0" w:line="240" w:lineRule="auto"/>
        <w:rPr>
          <w:rFonts w:ascii="Times New Roman" w:hAnsi="Times New Roman" w:cs="Times New Roman"/>
          <w:sz w:val="24"/>
          <w:szCs w:val="24"/>
        </w:rPr>
      </w:pPr>
      <w:r w:rsidRPr="00A80BB8">
        <w:rPr>
          <w:rFonts w:ascii="Times New Roman" w:hAnsi="Times New Roman" w:cs="Times New Roman"/>
          <w:sz w:val="24"/>
          <w:szCs w:val="24"/>
        </w:rPr>
        <w:t>Estimated Value of Burden Hours:  $</w:t>
      </w:r>
      <w:r w:rsidR="00CC05CD">
        <w:rPr>
          <w:rFonts w:ascii="Times New Roman" w:hAnsi="Times New Roman" w:cs="Times New Roman"/>
          <w:sz w:val="24"/>
          <w:szCs w:val="24"/>
        </w:rPr>
        <w:t>66,141.90</w:t>
      </w:r>
      <w:r w:rsidRPr="00A80BB8">
        <w:rPr>
          <w:rFonts w:ascii="Times New Roman" w:hAnsi="Times New Roman" w:cs="Times New Roman"/>
          <w:sz w:val="24"/>
          <w:szCs w:val="24"/>
        </w:rPr>
        <w:t xml:space="preserve">.  This estimate is based upon </w:t>
      </w:r>
      <w:r w:rsidR="00E374C8">
        <w:rPr>
          <w:rFonts w:ascii="Times New Roman" w:hAnsi="Times New Roman" w:cs="Times New Roman"/>
          <w:sz w:val="24"/>
          <w:szCs w:val="24"/>
        </w:rPr>
        <w:t>1</w:t>
      </w:r>
      <w:r w:rsidR="003E535F">
        <w:rPr>
          <w:rFonts w:ascii="Times New Roman" w:hAnsi="Times New Roman" w:cs="Times New Roman"/>
          <w:sz w:val="24"/>
          <w:szCs w:val="24"/>
        </w:rPr>
        <w:t>,</w:t>
      </w:r>
      <w:r w:rsidR="00E374C8">
        <w:rPr>
          <w:rFonts w:ascii="Times New Roman" w:hAnsi="Times New Roman" w:cs="Times New Roman"/>
          <w:sz w:val="24"/>
          <w:szCs w:val="24"/>
        </w:rPr>
        <w:t>530</w:t>
      </w:r>
      <w:r w:rsidRPr="00A80BB8">
        <w:rPr>
          <w:rFonts w:ascii="Times New Roman" w:hAnsi="Times New Roman" w:cs="Times New Roman"/>
          <w:sz w:val="24"/>
          <w:szCs w:val="24"/>
        </w:rPr>
        <w:t xml:space="preserve"> total annual hours multiplied by the average hourly rate for state agency personnel of $</w:t>
      </w:r>
      <w:r w:rsidR="00CC05CD">
        <w:rPr>
          <w:rFonts w:ascii="Times New Roman" w:hAnsi="Times New Roman" w:cs="Times New Roman"/>
          <w:sz w:val="24"/>
          <w:szCs w:val="24"/>
        </w:rPr>
        <w:t>43.23</w:t>
      </w:r>
      <w:r w:rsidRPr="00A80BB8">
        <w:rPr>
          <w:rFonts w:ascii="Times New Roman" w:hAnsi="Times New Roman" w:cs="Times New Roman"/>
          <w:sz w:val="24"/>
          <w:szCs w:val="24"/>
        </w:rPr>
        <w:t xml:space="preserve">. </w:t>
      </w:r>
    </w:p>
    <w:p w:rsidR="00A80BB8" w:rsidRPr="00A80BB8" w:rsidRDefault="00A80BB8" w:rsidP="00E374C8">
      <w:pPr>
        <w:spacing w:after="0" w:line="240" w:lineRule="auto"/>
        <w:rPr>
          <w:rFonts w:ascii="Times New Roman" w:hAnsi="Times New Roman" w:cs="Times New Roman"/>
          <w:sz w:val="24"/>
          <w:szCs w:val="24"/>
        </w:rPr>
      </w:pPr>
    </w:p>
    <w:p w:rsidR="00A80BB8" w:rsidRPr="00CC05CD" w:rsidRDefault="00CC05CD" w:rsidP="00CC05CD">
      <w:pPr>
        <w:spacing w:after="0" w:line="360" w:lineRule="auto"/>
        <w:rPr>
          <w:rFonts w:ascii="Times New Roman" w:hAnsi="Times New Roman" w:cs="Times New Roman"/>
          <w:sz w:val="24"/>
          <w:szCs w:val="24"/>
        </w:rPr>
      </w:pPr>
      <w:r w:rsidRPr="00CC05CD">
        <w:rPr>
          <w:rFonts w:ascii="Times New Roman" w:hAnsi="Times New Roman" w:cs="Times New Roman"/>
          <w:sz w:val="24"/>
          <w:szCs w:val="24"/>
        </w:rPr>
        <w:t>There is no o</w:t>
      </w:r>
      <w:r w:rsidR="00A80BB8" w:rsidRPr="00CC05CD">
        <w:rPr>
          <w:rFonts w:ascii="Times New Roman" w:hAnsi="Times New Roman" w:cs="Times New Roman"/>
          <w:sz w:val="24"/>
          <w:szCs w:val="24"/>
        </w:rPr>
        <w:t xml:space="preserve">ther </w:t>
      </w:r>
      <w:r w:rsidRPr="00CC05CD">
        <w:rPr>
          <w:rFonts w:ascii="Times New Roman" w:hAnsi="Times New Roman" w:cs="Times New Roman"/>
          <w:sz w:val="24"/>
          <w:szCs w:val="24"/>
        </w:rPr>
        <w:t>a</w:t>
      </w:r>
      <w:r w:rsidR="00A80BB8" w:rsidRPr="00CC05CD">
        <w:rPr>
          <w:rFonts w:ascii="Times New Roman" w:hAnsi="Times New Roman" w:cs="Times New Roman"/>
          <w:sz w:val="24"/>
          <w:szCs w:val="24"/>
        </w:rPr>
        <w:t xml:space="preserve">nnual </w:t>
      </w:r>
      <w:r w:rsidRPr="00CC05CD">
        <w:rPr>
          <w:rFonts w:ascii="Times New Roman" w:hAnsi="Times New Roman" w:cs="Times New Roman"/>
          <w:sz w:val="24"/>
          <w:szCs w:val="24"/>
        </w:rPr>
        <w:t>c</w:t>
      </w:r>
      <w:r w:rsidR="00A80BB8" w:rsidRPr="00CC05CD">
        <w:rPr>
          <w:rFonts w:ascii="Times New Roman" w:hAnsi="Times New Roman" w:cs="Times New Roman"/>
          <w:sz w:val="24"/>
          <w:szCs w:val="24"/>
        </w:rPr>
        <w:t xml:space="preserve">ost </w:t>
      </w:r>
      <w:r w:rsidRPr="00CC05CD">
        <w:rPr>
          <w:rFonts w:ascii="Times New Roman" w:hAnsi="Times New Roman" w:cs="Times New Roman"/>
          <w:sz w:val="24"/>
          <w:szCs w:val="24"/>
        </w:rPr>
        <w:t>b</w:t>
      </w:r>
      <w:r w:rsidR="00A80BB8" w:rsidRPr="00CC05CD">
        <w:rPr>
          <w:rFonts w:ascii="Times New Roman" w:hAnsi="Times New Roman" w:cs="Times New Roman"/>
          <w:sz w:val="24"/>
          <w:szCs w:val="24"/>
        </w:rPr>
        <w:t>urden</w:t>
      </w:r>
    </w:p>
    <w:p w:rsidR="00A80BB8" w:rsidRPr="00A80BB8" w:rsidRDefault="00A80BB8" w:rsidP="00CC05CD">
      <w:pPr>
        <w:spacing w:after="0" w:line="360" w:lineRule="auto"/>
        <w:rPr>
          <w:rFonts w:ascii="Times New Roman" w:hAnsi="Times New Roman" w:cs="Times New Roman"/>
          <w:sz w:val="24"/>
          <w:szCs w:val="24"/>
        </w:rPr>
      </w:pPr>
    </w:p>
    <w:p w:rsidR="00CC05CD" w:rsidRDefault="00CC05CD" w:rsidP="00CC05CD">
      <w:pPr>
        <w:spacing w:after="0" w:line="360" w:lineRule="auto"/>
        <w:rPr>
          <w:rFonts w:ascii="Times New Roman" w:hAnsi="Times New Roman" w:cs="Times New Roman"/>
          <w:sz w:val="24"/>
          <w:szCs w:val="24"/>
          <w:u w:val="single"/>
        </w:rPr>
      </w:pPr>
    </w:p>
    <w:p w:rsidR="00CC05CD" w:rsidRDefault="00CC05CD" w:rsidP="00CC05CD">
      <w:pPr>
        <w:spacing w:after="0" w:line="360" w:lineRule="auto"/>
        <w:rPr>
          <w:rFonts w:ascii="Times New Roman" w:hAnsi="Times New Roman" w:cs="Times New Roman"/>
          <w:sz w:val="24"/>
          <w:szCs w:val="24"/>
          <w:u w:val="single"/>
        </w:rPr>
      </w:pPr>
    </w:p>
    <w:p w:rsidR="00A80BB8" w:rsidRPr="00CC05CD" w:rsidRDefault="00A80BB8" w:rsidP="00CC05CD">
      <w:pPr>
        <w:spacing w:after="0" w:line="360" w:lineRule="auto"/>
        <w:rPr>
          <w:rFonts w:ascii="Times New Roman" w:hAnsi="Times New Roman" w:cs="Times New Roman"/>
          <w:b/>
          <w:caps/>
          <w:sz w:val="24"/>
          <w:szCs w:val="24"/>
          <w:u w:val="single"/>
        </w:rPr>
      </w:pPr>
      <w:r w:rsidRPr="00CC05CD">
        <w:rPr>
          <w:rFonts w:ascii="Times New Roman" w:hAnsi="Times New Roman" w:cs="Times New Roman"/>
          <w:b/>
          <w:caps/>
          <w:sz w:val="24"/>
          <w:szCs w:val="24"/>
          <w:u w:val="single"/>
        </w:rPr>
        <w:t>Reasons for burden change</w:t>
      </w:r>
    </w:p>
    <w:p w:rsidR="00B946C0" w:rsidRDefault="00A80BB8" w:rsidP="00B946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Changing the formal SQSP submittal from an annual to a biannual process will </w:t>
      </w:r>
      <w:r w:rsidRPr="00A44907">
        <w:rPr>
          <w:rFonts w:ascii="Times New Roman" w:hAnsi="Times New Roman" w:cs="Times New Roman"/>
          <w:sz w:val="24"/>
          <w:szCs w:val="24"/>
        </w:rPr>
        <w:t xml:space="preserve">minimize the burden of the collection of information </w:t>
      </w:r>
      <w:r>
        <w:rPr>
          <w:rFonts w:ascii="Times New Roman" w:hAnsi="Times New Roman" w:cs="Times New Roman"/>
          <w:sz w:val="24"/>
          <w:szCs w:val="24"/>
        </w:rPr>
        <w:t xml:space="preserve">by </w:t>
      </w:r>
      <w:r w:rsidRPr="00A44907">
        <w:rPr>
          <w:rFonts w:ascii="Times New Roman" w:hAnsi="Times New Roman" w:cs="Times New Roman"/>
          <w:sz w:val="24"/>
          <w:szCs w:val="24"/>
        </w:rPr>
        <w:t>reduc</w:t>
      </w:r>
      <w:r>
        <w:rPr>
          <w:rFonts w:ascii="Times New Roman" w:hAnsi="Times New Roman" w:cs="Times New Roman"/>
          <w:sz w:val="24"/>
          <w:szCs w:val="24"/>
        </w:rPr>
        <w:t>ing</w:t>
      </w:r>
      <w:r w:rsidRPr="00A44907">
        <w:rPr>
          <w:rFonts w:ascii="Times New Roman" w:hAnsi="Times New Roman" w:cs="Times New Roman"/>
          <w:sz w:val="24"/>
          <w:szCs w:val="24"/>
        </w:rPr>
        <w:t xml:space="preserve"> the average estimated</w:t>
      </w:r>
      <w:r>
        <w:rPr>
          <w:rFonts w:ascii="Times New Roman" w:hAnsi="Times New Roman" w:cs="Times New Roman"/>
          <w:sz w:val="24"/>
          <w:szCs w:val="24"/>
        </w:rPr>
        <w:t xml:space="preserve"> total responses </w:t>
      </w:r>
      <w:r w:rsidR="00CC05CD">
        <w:rPr>
          <w:rFonts w:ascii="Times New Roman" w:hAnsi="Times New Roman" w:cs="Times New Roman"/>
          <w:sz w:val="24"/>
          <w:szCs w:val="24"/>
        </w:rPr>
        <w:t xml:space="preserve">by 313 </w:t>
      </w:r>
      <w:r w:rsidR="00CC05CD" w:rsidRPr="00A80BB8">
        <w:rPr>
          <w:rFonts w:ascii="Times New Roman" w:hAnsi="Times New Roman" w:cs="Times New Roman"/>
          <w:sz w:val="24"/>
          <w:szCs w:val="24"/>
        </w:rPr>
        <w:t xml:space="preserve">and </w:t>
      </w:r>
      <w:r w:rsidR="00CC05CD">
        <w:rPr>
          <w:rFonts w:ascii="Times New Roman" w:hAnsi="Times New Roman" w:cs="Times New Roman"/>
          <w:sz w:val="24"/>
          <w:szCs w:val="24"/>
        </w:rPr>
        <w:t>1</w:t>
      </w:r>
      <w:r w:rsidR="003E535F">
        <w:rPr>
          <w:rFonts w:ascii="Times New Roman" w:hAnsi="Times New Roman" w:cs="Times New Roman"/>
          <w:sz w:val="24"/>
          <w:szCs w:val="24"/>
        </w:rPr>
        <w:t>,</w:t>
      </w:r>
      <w:r w:rsidR="00CC05CD">
        <w:rPr>
          <w:rFonts w:ascii="Times New Roman" w:hAnsi="Times New Roman" w:cs="Times New Roman"/>
          <w:sz w:val="24"/>
          <w:szCs w:val="24"/>
        </w:rPr>
        <w:t>226</w:t>
      </w:r>
      <w:r w:rsidR="00CC05CD" w:rsidRPr="00A80BB8">
        <w:rPr>
          <w:rFonts w:ascii="Times New Roman" w:hAnsi="Times New Roman" w:cs="Times New Roman"/>
          <w:sz w:val="24"/>
          <w:szCs w:val="24"/>
        </w:rPr>
        <w:t xml:space="preserve"> hours, because </w:t>
      </w:r>
      <w:r w:rsidR="00CC05CD">
        <w:rPr>
          <w:rFonts w:ascii="Times New Roman" w:hAnsi="Times New Roman" w:cs="Times New Roman"/>
          <w:sz w:val="24"/>
          <w:szCs w:val="24"/>
        </w:rPr>
        <w:t>CAPs, the UI IAP, and the State Plan Narrative</w:t>
      </w:r>
      <w:r w:rsidR="00CC05CD" w:rsidRPr="00A80BB8">
        <w:rPr>
          <w:rFonts w:ascii="Times New Roman" w:hAnsi="Times New Roman" w:cs="Times New Roman"/>
          <w:sz w:val="24"/>
          <w:szCs w:val="24"/>
        </w:rPr>
        <w:t xml:space="preserve"> will be submitted on a bi-annual basis.  </w:t>
      </w:r>
    </w:p>
    <w:p w:rsidR="00B946C0" w:rsidRPr="00C174FE" w:rsidRDefault="00B946C0" w:rsidP="00B946C0">
      <w:pPr>
        <w:spacing w:after="0" w:line="360" w:lineRule="auto"/>
        <w:rPr>
          <w:rFonts w:ascii="Times New Roman" w:hAnsi="Times New Roman" w:cs="Times New Roman"/>
          <w:sz w:val="24"/>
          <w:szCs w:val="24"/>
        </w:rPr>
      </w:pPr>
    </w:p>
    <w:sectPr w:rsidR="00B946C0" w:rsidRPr="00C174FE" w:rsidSect="00F11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498"/>
    <w:multiLevelType w:val="hybridMultilevel"/>
    <w:tmpl w:val="1C6A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22BC7"/>
    <w:multiLevelType w:val="hybridMultilevel"/>
    <w:tmpl w:val="8E4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35FFB"/>
    <w:multiLevelType w:val="hybridMultilevel"/>
    <w:tmpl w:val="E258E98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48B22656"/>
    <w:multiLevelType w:val="hybridMultilevel"/>
    <w:tmpl w:val="ED3CDC0C"/>
    <w:lvl w:ilvl="0" w:tplc="5FC43A2C">
      <w:start w:val="1"/>
      <w:numFmt w:val="bullet"/>
      <w:pStyle w:val="Achievement"/>
      <w:lvlText w:val=""/>
      <w:lvlJc w:val="left"/>
      <w:pPr>
        <w:tabs>
          <w:tab w:val="num" w:pos="360"/>
        </w:tabs>
        <w:ind w:left="245" w:hanging="245"/>
      </w:pPr>
      <w:rPr>
        <w:rFonts w:ascii="Symbol" w:hAnsi="Symbol" w:hint="default"/>
        <w:sz w:val="22"/>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C5C2C9C"/>
    <w:multiLevelType w:val="hybridMultilevel"/>
    <w:tmpl w:val="ED66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103A27"/>
    <w:multiLevelType w:val="hybridMultilevel"/>
    <w:tmpl w:val="67523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649F0"/>
    <w:multiLevelType w:val="hybridMultilevel"/>
    <w:tmpl w:val="E7F0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46ADD"/>
    <w:multiLevelType w:val="hybridMultilevel"/>
    <w:tmpl w:val="FD02C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0"/>
    <w:rsid w:val="00000DF7"/>
    <w:rsid w:val="00006831"/>
    <w:rsid w:val="000379B2"/>
    <w:rsid w:val="0005748E"/>
    <w:rsid w:val="00077FB0"/>
    <w:rsid w:val="000D1398"/>
    <w:rsid w:val="000D4A52"/>
    <w:rsid w:val="001407DF"/>
    <w:rsid w:val="001414A1"/>
    <w:rsid w:val="00174A8B"/>
    <w:rsid w:val="001A4DA8"/>
    <w:rsid w:val="001F4A92"/>
    <w:rsid w:val="002422D6"/>
    <w:rsid w:val="00281DEA"/>
    <w:rsid w:val="00306DFD"/>
    <w:rsid w:val="00334AC2"/>
    <w:rsid w:val="003A4DCB"/>
    <w:rsid w:val="003E535F"/>
    <w:rsid w:val="003F58CE"/>
    <w:rsid w:val="004148BF"/>
    <w:rsid w:val="004732D5"/>
    <w:rsid w:val="004C576D"/>
    <w:rsid w:val="004C7DC3"/>
    <w:rsid w:val="004D4091"/>
    <w:rsid w:val="00527DF5"/>
    <w:rsid w:val="00537D84"/>
    <w:rsid w:val="005409D0"/>
    <w:rsid w:val="00550F1C"/>
    <w:rsid w:val="00553EAE"/>
    <w:rsid w:val="00584004"/>
    <w:rsid w:val="00596257"/>
    <w:rsid w:val="005D72B1"/>
    <w:rsid w:val="00624751"/>
    <w:rsid w:val="0062708A"/>
    <w:rsid w:val="006E6282"/>
    <w:rsid w:val="007D2A3C"/>
    <w:rsid w:val="007E4F63"/>
    <w:rsid w:val="00873B76"/>
    <w:rsid w:val="00874161"/>
    <w:rsid w:val="00882E19"/>
    <w:rsid w:val="008D116C"/>
    <w:rsid w:val="008D5379"/>
    <w:rsid w:val="008E027F"/>
    <w:rsid w:val="008F41AB"/>
    <w:rsid w:val="009001D5"/>
    <w:rsid w:val="00932D76"/>
    <w:rsid w:val="0094500C"/>
    <w:rsid w:val="00A11778"/>
    <w:rsid w:val="00A23FC7"/>
    <w:rsid w:val="00A30A1F"/>
    <w:rsid w:val="00A44907"/>
    <w:rsid w:val="00A64AB0"/>
    <w:rsid w:val="00A80BB8"/>
    <w:rsid w:val="00AF019D"/>
    <w:rsid w:val="00AF0D79"/>
    <w:rsid w:val="00AF396A"/>
    <w:rsid w:val="00B34440"/>
    <w:rsid w:val="00B946C0"/>
    <w:rsid w:val="00BC253D"/>
    <w:rsid w:val="00C174FE"/>
    <w:rsid w:val="00C20FDB"/>
    <w:rsid w:val="00C45DF3"/>
    <w:rsid w:val="00C50B06"/>
    <w:rsid w:val="00CA722D"/>
    <w:rsid w:val="00CC05CD"/>
    <w:rsid w:val="00CD5AB5"/>
    <w:rsid w:val="00CF2EE6"/>
    <w:rsid w:val="00D22A04"/>
    <w:rsid w:val="00D56500"/>
    <w:rsid w:val="00D62C2C"/>
    <w:rsid w:val="00E0307F"/>
    <w:rsid w:val="00E109A3"/>
    <w:rsid w:val="00E374C8"/>
    <w:rsid w:val="00E60B0F"/>
    <w:rsid w:val="00EB23FE"/>
    <w:rsid w:val="00EC6BF3"/>
    <w:rsid w:val="00F11072"/>
    <w:rsid w:val="00F4732C"/>
    <w:rsid w:val="00F54990"/>
    <w:rsid w:val="00F93229"/>
    <w:rsid w:val="00F9679D"/>
    <w:rsid w:val="00FA2C8E"/>
    <w:rsid w:val="00FA2FD7"/>
    <w:rsid w:val="00FA5A7C"/>
    <w:rsid w:val="00FD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D76"/>
    <w:rPr>
      <w:rFonts w:ascii="Tahoma" w:hAnsi="Tahoma" w:cs="Tahoma"/>
      <w:sz w:val="16"/>
      <w:szCs w:val="16"/>
    </w:rPr>
  </w:style>
  <w:style w:type="paragraph" w:styleId="ListParagraph">
    <w:name w:val="List Paragraph"/>
    <w:basedOn w:val="Normal"/>
    <w:uiPriority w:val="34"/>
    <w:qFormat/>
    <w:rsid w:val="00306DFD"/>
    <w:pPr>
      <w:ind w:left="720"/>
      <w:contextualSpacing/>
    </w:pPr>
  </w:style>
  <w:style w:type="paragraph" w:customStyle="1" w:styleId="a">
    <w:name w:val="_"/>
    <w:basedOn w:val="Normal"/>
    <w:uiPriority w:val="99"/>
    <w:rsid w:val="00A80BB8"/>
    <w:pPr>
      <w:autoSpaceDE w:val="0"/>
      <w:autoSpaceDN w:val="0"/>
      <w:spacing w:after="0" w:line="240" w:lineRule="auto"/>
      <w:ind w:left="720" w:hanging="720"/>
    </w:pPr>
    <w:rPr>
      <w:rFonts w:ascii="Times New Roman" w:hAnsi="Times New Roman" w:cs="Times New Roman"/>
      <w:sz w:val="24"/>
      <w:szCs w:val="24"/>
    </w:rPr>
  </w:style>
  <w:style w:type="paragraph" w:customStyle="1" w:styleId="Achievement">
    <w:name w:val="Achievement"/>
    <w:basedOn w:val="Normal"/>
    <w:uiPriority w:val="99"/>
    <w:rsid w:val="00A80BB8"/>
    <w:pPr>
      <w:numPr>
        <w:numId w:val="8"/>
      </w:numPr>
      <w:autoSpaceDE w:val="0"/>
      <w:autoSpaceDN w:val="0"/>
      <w:spacing w:after="0" w:line="240" w:lineRule="auto"/>
      <w:ind w:right="245"/>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D76"/>
    <w:rPr>
      <w:rFonts w:ascii="Tahoma" w:hAnsi="Tahoma" w:cs="Tahoma"/>
      <w:sz w:val="16"/>
      <w:szCs w:val="16"/>
    </w:rPr>
  </w:style>
  <w:style w:type="paragraph" w:styleId="ListParagraph">
    <w:name w:val="List Paragraph"/>
    <w:basedOn w:val="Normal"/>
    <w:uiPriority w:val="34"/>
    <w:qFormat/>
    <w:rsid w:val="00306DFD"/>
    <w:pPr>
      <w:ind w:left="720"/>
      <w:contextualSpacing/>
    </w:pPr>
  </w:style>
  <w:style w:type="paragraph" w:customStyle="1" w:styleId="a">
    <w:name w:val="_"/>
    <w:basedOn w:val="Normal"/>
    <w:uiPriority w:val="99"/>
    <w:rsid w:val="00A80BB8"/>
    <w:pPr>
      <w:autoSpaceDE w:val="0"/>
      <w:autoSpaceDN w:val="0"/>
      <w:spacing w:after="0" w:line="240" w:lineRule="auto"/>
      <w:ind w:left="720" w:hanging="720"/>
    </w:pPr>
    <w:rPr>
      <w:rFonts w:ascii="Times New Roman" w:hAnsi="Times New Roman" w:cs="Times New Roman"/>
      <w:sz w:val="24"/>
      <w:szCs w:val="24"/>
    </w:rPr>
  </w:style>
  <w:style w:type="paragraph" w:customStyle="1" w:styleId="Achievement">
    <w:name w:val="Achievement"/>
    <w:basedOn w:val="Normal"/>
    <w:uiPriority w:val="99"/>
    <w:rsid w:val="00A80BB8"/>
    <w:pPr>
      <w:numPr>
        <w:numId w:val="8"/>
      </w:numPr>
      <w:autoSpaceDE w:val="0"/>
      <w:autoSpaceDN w:val="0"/>
      <w:spacing w:after="0" w:line="240" w:lineRule="auto"/>
      <w:ind w:right="24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5069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2014-04-15T14:26:00Z</cp:lastPrinted>
  <dcterms:created xsi:type="dcterms:W3CDTF">2014-04-17T21:29:00Z</dcterms:created>
  <dcterms:modified xsi:type="dcterms:W3CDTF">2014-04-17T21:29:00Z</dcterms:modified>
</cp:coreProperties>
</file>